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hAnsiTheme="minorHAnsi" w:cstheme="minorBidi"/>
          <w:caps/>
          <w:color w:val="auto"/>
          <w:sz w:val="22"/>
          <w:szCs w:val="22"/>
          <w:lang w:eastAsia="en-US"/>
        </w:rPr>
        <w:id w:val="-2088995269"/>
        <w:docPartObj>
          <w:docPartGallery w:val="Cover Pages"/>
          <w:docPartUnique/>
        </w:docPartObj>
      </w:sdtPr>
      <w:sdtEndPr>
        <w:rPr>
          <w:rFonts w:ascii="Arial" w:hAnsi="Arial"/>
          <w:caps w:val="0"/>
          <w:sz w:val="20"/>
        </w:rPr>
      </w:sdtEndPr>
      <w:sdtContent>
        <w:p w14:paraId="227D5818" w14:textId="16B322F3" w:rsidR="00C207C4" w:rsidRDefault="00C207C4" w:rsidP="00996B9D">
          <w:pPr>
            <w:pStyle w:val="BodyText"/>
          </w:pPr>
        </w:p>
        <w:p w14:paraId="3457D013" w14:textId="65794BFC" w:rsidR="00AF4131" w:rsidRDefault="00AF4131" w:rsidP="00976FB5">
          <w:pPr>
            <w:widowControl w:val="0"/>
            <w:autoSpaceDE w:val="0"/>
            <w:autoSpaceDN w:val="0"/>
            <w:spacing w:after="0" w:line="240" w:lineRule="auto"/>
            <w:rPr>
              <w:rFonts w:ascii="Myriad Pro" w:eastAsia="Myriad Pro" w:hAnsi="Myriad Pro" w:cs="Myriad Pro"/>
              <w:sz w:val="22"/>
              <w:lang w:val="en-US" w:bidi="en-US"/>
            </w:rPr>
          </w:pPr>
        </w:p>
        <w:p w14:paraId="17553C15" w14:textId="7160B5EF" w:rsidR="00976FB5" w:rsidRPr="00976FB5" w:rsidRDefault="00AF4131" w:rsidP="00976FB5">
          <w:pPr>
            <w:widowControl w:val="0"/>
            <w:autoSpaceDE w:val="0"/>
            <w:autoSpaceDN w:val="0"/>
            <w:spacing w:after="0" w:line="240" w:lineRule="auto"/>
            <w:rPr>
              <w:rFonts w:ascii="Myriad Pro" w:eastAsia="Myriad Pro" w:hAnsi="Myriad Pro" w:cs="Myriad Pro"/>
              <w:sz w:val="22"/>
              <w:lang w:val="en-US" w:bidi="en-US"/>
            </w:rPr>
          </w:pPr>
          <w:r w:rsidRPr="00AF4131">
            <w:rPr>
              <w:rFonts w:ascii="Myriad Pro" w:eastAsia="Myriad Pro" w:hAnsi="Myriad Pro" w:cs="Myriad Pro"/>
              <w:noProof/>
              <w:sz w:val="22"/>
              <w:lang w:eastAsia="en-AU"/>
            </w:rPr>
            <mc:AlternateContent>
              <mc:Choice Requires="wps">
                <w:drawing>
                  <wp:anchor distT="45720" distB="45720" distL="114300" distR="114300" simplePos="0" relativeHeight="251658243" behindDoc="0" locked="0" layoutInCell="1" allowOverlap="1" wp14:anchorId="6AE6816F" wp14:editId="7FFAFF4F">
                    <wp:simplePos x="0" y="0"/>
                    <wp:positionH relativeFrom="column">
                      <wp:posOffset>2266950</wp:posOffset>
                    </wp:positionH>
                    <wp:positionV relativeFrom="paragraph">
                      <wp:posOffset>3583305</wp:posOffset>
                    </wp:positionV>
                    <wp:extent cx="3352800" cy="1543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543050"/>
                            </a:xfrm>
                            <a:prstGeom prst="rect">
                              <a:avLst/>
                            </a:prstGeom>
                            <a:solidFill>
                              <a:srgbClr val="FFFFFF"/>
                            </a:solidFill>
                            <a:ln w="9525">
                              <a:noFill/>
                              <a:miter lim="800000"/>
                              <a:headEnd/>
                              <a:tailEnd/>
                            </a:ln>
                          </wps:spPr>
                          <wps:txbx>
                            <w:txbxContent>
                              <w:p w14:paraId="3C9FD92F" w14:textId="3D722CC5" w:rsidR="00B06CBD" w:rsidRPr="00AF4131" w:rsidRDefault="00B06CBD">
                                <w:pPr>
                                  <w:rPr>
                                    <w:b/>
                                    <w:color w:val="0070AE" w:themeColor="accent2" w:themeTint="BF"/>
                                    <w:sz w:val="40"/>
                                    <w:szCs w:val="40"/>
                                  </w:rPr>
                                </w:pPr>
                                <w:r w:rsidRPr="00AF4131">
                                  <w:rPr>
                                    <w:b/>
                                    <w:color w:val="0070AE" w:themeColor="accent2" w:themeTint="BF"/>
                                    <w:sz w:val="40"/>
                                    <w:szCs w:val="40"/>
                                  </w:rPr>
                                  <w:t>Review of the Emissions Reduction Fund</w:t>
                                </w:r>
                              </w:p>
                              <w:p w14:paraId="5908B0C4" w14:textId="602C5E40" w:rsidR="00B06CBD" w:rsidRPr="00AF4131" w:rsidRDefault="00B06CBD">
                                <w:pPr>
                                  <w:rPr>
                                    <w:b/>
                                    <w:szCs w:val="20"/>
                                  </w:rPr>
                                </w:pPr>
                                <w:r w:rsidRPr="00AF4131">
                                  <w:rPr>
                                    <w:b/>
                                    <w:szCs w:val="20"/>
                                  </w:rPr>
                                  <w:t>October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6816F" id="_x0000_t202" coordsize="21600,21600" o:spt="202" path="m,l,21600r21600,l21600,xe">
                    <v:stroke joinstyle="miter"/>
                    <v:path gradientshapeok="t" o:connecttype="rect"/>
                  </v:shapetype>
                  <v:shape id="_x0000_s1026" type="#_x0000_t202" style="position:absolute;margin-left:178.5pt;margin-top:282.15pt;width:264pt;height:121.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" stroked="f">
                    <v:textbox>
                      <w:txbxContent>
                        <w:p w14:paraId="3C9FD92F" w14:textId="3D722CC5" w:rsidR="00B06CBD" w:rsidRPr="00AF4131" w:rsidRDefault="00B06CBD">
                          <w:pPr>
                            <w:rPr>
                              <w:b/>
                              <w:color w:val="0070AE" w:themeColor="accent2" w:themeTint="BF"/>
                              <w:sz w:val="40"/>
                              <w:szCs w:val="40"/>
                            </w:rPr>
                          </w:pPr>
                          <w:r w:rsidRPr="00AF4131">
                            <w:rPr>
                              <w:b/>
                              <w:color w:val="0070AE" w:themeColor="accent2" w:themeTint="BF"/>
                              <w:sz w:val="40"/>
                              <w:szCs w:val="40"/>
                            </w:rPr>
                            <w:t>Review of the Emissions Reduction Fund</w:t>
                          </w:r>
                        </w:p>
                        <w:p w14:paraId="5908B0C4" w14:textId="602C5E40" w:rsidR="00B06CBD" w:rsidRPr="00AF4131" w:rsidRDefault="00B06CBD">
                          <w:pPr>
                            <w:rPr>
                              <w:b/>
                              <w:szCs w:val="20"/>
                            </w:rPr>
                          </w:pPr>
                          <w:r w:rsidRPr="00AF4131">
                            <w:rPr>
                              <w:b/>
                              <w:szCs w:val="20"/>
                            </w:rPr>
                            <w:t>October 2020</w:t>
                          </w:r>
                        </w:p>
                      </w:txbxContent>
                    </v:textbox>
                    <w10:wrap type="square"/>
                  </v:shape>
                </w:pict>
              </mc:Fallback>
            </mc:AlternateContent>
          </w:r>
          <w:r w:rsidR="00976FB5" w:rsidRPr="00976FB5">
            <w:rPr>
              <w:rFonts w:ascii="Myriad Pro" w:eastAsia="Myriad Pro" w:hAnsi="Myriad Pro" w:cs="Myriad Pro"/>
              <w:noProof/>
              <w:sz w:val="22"/>
              <w:lang w:eastAsia="en-AU"/>
            </w:rPr>
            <w:drawing>
              <wp:anchor distT="0" distB="0" distL="114300" distR="114300" simplePos="0" relativeHeight="251658242" behindDoc="0" locked="0" layoutInCell="1" allowOverlap="1" wp14:anchorId="3BEEB8D0" wp14:editId="5034CC78">
                <wp:simplePos x="0" y="0"/>
                <wp:positionH relativeFrom="page">
                  <wp:posOffset>-15240</wp:posOffset>
                </wp:positionH>
                <wp:positionV relativeFrom="page">
                  <wp:posOffset>-15240</wp:posOffset>
                </wp:positionV>
                <wp:extent cx="7559675" cy="10688320"/>
                <wp:effectExtent l="0" t="0" r="0" b="508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3 AGCCA Cover-P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r w:rsidR="00976FB5" w:rsidRPr="00976FB5">
            <w:rPr>
              <w:rFonts w:ascii="Myriad Pro" w:eastAsia="Myriad Pro" w:hAnsi="Myriad Pro" w:cs="Myriad Pro"/>
              <w:sz w:val="22"/>
              <w:lang w:val="en-US" w:bidi="en-US"/>
            </w:rPr>
            <w:br w:type="page"/>
          </w:r>
        </w:p>
        <w:p w14:paraId="227D5819" w14:textId="1431F2A5" w:rsidR="00C207C4" w:rsidRDefault="00C207C4" w:rsidP="00996B9D">
          <w:pPr>
            <w:pStyle w:val="BodyText"/>
          </w:pPr>
        </w:p>
        <w:p w14:paraId="227D581A" w14:textId="77777777" w:rsidR="00C207C4" w:rsidRDefault="00C207C4" w:rsidP="00996B9D">
          <w:pPr>
            <w:pStyle w:val="BodyText"/>
          </w:pPr>
        </w:p>
        <w:p w14:paraId="227D581B" w14:textId="68DE2AD8" w:rsidR="00C207C4" w:rsidRDefault="00C207C4" w:rsidP="00996B9D">
          <w:pPr>
            <w:pStyle w:val="BodyText"/>
          </w:pPr>
        </w:p>
        <w:p w14:paraId="227D581C" w14:textId="77777777" w:rsidR="00C207C4" w:rsidRDefault="00C207C4" w:rsidP="00996B9D">
          <w:pPr>
            <w:pStyle w:val="BodyText"/>
          </w:pPr>
        </w:p>
        <w:p w14:paraId="227D581D" w14:textId="56E04370" w:rsidR="00C207C4" w:rsidRDefault="00C207C4" w:rsidP="00996B9D">
          <w:pPr>
            <w:pStyle w:val="BodyText"/>
          </w:pPr>
        </w:p>
        <w:p w14:paraId="227D581E" w14:textId="77777777" w:rsidR="00C207C4" w:rsidRDefault="00C207C4" w:rsidP="00996B9D">
          <w:pPr>
            <w:pStyle w:val="BodyText"/>
          </w:pPr>
        </w:p>
        <w:p w14:paraId="227D581F" w14:textId="6CC4283B" w:rsidR="00C207C4" w:rsidRDefault="00C207C4" w:rsidP="00996B9D">
          <w:pPr>
            <w:pStyle w:val="BodyText"/>
          </w:pPr>
        </w:p>
        <w:p w14:paraId="227D5820" w14:textId="6404E55E" w:rsidR="00C207C4" w:rsidRDefault="00C207C4" w:rsidP="00996B9D">
          <w:pPr>
            <w:pStyle w:val="BodyText"/>
          </w:pPr>
        </w:p>
        <w:p w14:paraId="227D5821" w14:textId="77777777" w:rsidR="00C207C4" w:rsidRDefault="00C207C4" w:rsidP="00996B9D">
          <w:pPr>
            <w:pStyle w:val="BodyText"/>
          </w:pPr>
        </w:p>
        <w:p w14:paraId="227D5822" w14:textId="511625C0" w:rsidR="00C207C4" w:rsidRDefault="00C207C4" w:rsidP="00996B9D">
          <w:pPr>
            <w:pStyle w:val="BodyText"/>
          </w:pPr>
        </w:p>
        <w:p w14:paraId="227D5823" w14:textId="77777777" w:rsidR="00C207C4" w:rsidRDefault="00C207C4" w:rsidP="00996B9D">
          <w:pPr>
            <w:pStyle w:val="BodyText"/>
          </w:pPr>
        </w:p>
        <w:p w14:paraId="227D5824" w14:textId="35CE7CB8" w:rsidR="00C207C4" w:rsidRDefault="00C207C4" w:rsidP="00996B9D">
          <w:pPr>
            <w:pStyle w:val="BodyText"/>
          </w:pPr>
        </w:p>
        <w:p w14:paraId="227D5825" w14:textId="1FB5CEF6" w:rsidR="00C207C4" w:rsidRDefault="00C207C4" w:rsidP="00996B9D">
          <w:pPr>
            <w:pStyle w:val="BodyText"/>
          </w:pPr>
        </w:p>
        <w:p w14:paraId="227D5826" w14:textId="77777777" w:rsidR="00C207C4" w:rsidRDefault="00C207C4" w:rsidP="00996B9D">
          <w:pPr>
            <w:pStyle w:val="BodyText"/>
          </w:pPr>
        </w:p>
        <w:p w14:paraId="227D5827" w14:textId="77777777" w:rsidR="00C207C4" w:rsidRDefault="00C207C4" w:rsidP="00996B9D">
          <w:pPr>
            <w:pStyle w:val="BodyText"/>
          </w:pPr>
        </w:p>
        <w:p w14:paraId="227D5828" w14:textId="77777777" w:rsidR="00C207C4" w:rsidRDefault="00C207C4" w:rsidP="00996B9D">
          <w:pPr>
            <w:pStyle w:val="BodyText"/>
          </w:pPr>
        </w:p>
        <w:p w14:paraId="227D5829" w14:textId="77777777" w:rsidR="00C207C4" w:rsidRDefault="00C207C4" w:rsidP="00996B9D">
          <w:pPr>
            <w:pStyle w:val="BodyText"/>
          </w:pPr>
        </w:p>
        <w:p w14:paraId="10D60BD3" w14:textId="65CAF6DD" w:rsidR="0067424F" w:rsidRDefault="0067424F" w:rsidP="00996B9D">
          <w:pPr>
            <w:pStyle w:val="BodyText"/>
          </w:pPr>
        </w:p>
        <w:p w14:paraId="0B2D5964" w14:textId="77777777" w:rsidR="0067424F" w:rsidRDefault="0067424F" w:rsidP="00996B9D">
          <w:pPr>
            <w:pStyle w:val="BodyText"/>
          </w:pPr>
        </w:p>
        <w:p w14:paraId="69E5A23E" w14:textId="77777777" w:rsidR="0067424F" w:rsidRDefault="0067424F" w:rsidP="00996B9D">
          <w:pPr>
            <w:pStyle w:val="BodyText"/>
          </w:pPr>
        </w:p>
        <w:p w14:paraId="0CC16CD7" w14:textId="77777777" w:rsidR="0067424F" w:rsidRDefault="0067424F" w:rsidP="00996B9D">
          <w:pPr>
            <w:pStyle w:val="BodyText"/>
          </w:pPr>
        </w:p>
        <w:p w14:paraId="1569A0F3" w14:textId="77777777" w:rsidR="0067424F" w:rsidRDefault="0067424F" w:rsidP="00996B9D">
          <w:pPr>
            <w:pStyle w:val="BodyText"/>
          </w:pPr>
        </w:p>
        <w:p w14:paraId="7768618E" w14:textId="77777777" w:rsidR="0067424F" w:rsidRDefault="0067424F" w:rsidP="00996B9D">
          <w:pPr>
            <w:pStyle w:val="BodyText"/>
          </w:pPr>
        </w:p>
        <w:p w14:paraId="535EBB72" w14:textId="77777777" w:rsidR="0067424F" w:rsidRDefault="0067424F" w:rsidP="00996B9D">
          <w:pPr>
            <w:pStyle w:val="BodyText"/>
          </w:pPr>
        </w:p>
        <w:p w14:paraId="2AD798F1" w14:textId="77777777" w:rsidR="0067424F" w:rsidRDefault="0067424F" w:rsidP="00996B9D">
          <w:pPr>
            <w:pStyle w:val="BodyText"/>
          </w:pPr>
        </w:p>
        <w:p w14:paraId="23F097E2" w14:textId="77777777" w:rsidR="0067424F" w:rsidRDefault="0067424F" w:rsidP="00996B9D">
          <w:pPr>
            <w:pStyle w:val="BodyText"/>
          </w:pPr>
        </w:p>
        <w:p w14:paraId="699DB1DC" w14:textId="77777777" w:rsidR="0067424F" w:rsidRDefault="0067424F" w:rsidP="00996B9D">
          <w:pPr>
            <w:pStyle w:val="BodyText"/>
          </w:pPr>
        </w:p>
        <w:p w14:paraId="12D1500F" w14:textId="77777777" w:rsidR="0067424F" w:rsidRDefault="0067424F" w:rsidP="00996B9D">
          <w:pPr>
            <w:pStyle w:val="BodyText"/>
          </w:pPr>
        </w:p>
        <w:p w14:paraId="349F559D" w14:textId="77777777" w:rsidR="0067424F" w:rsidRDefault="0067424F" w:rsidP="00996B9D">
          <w:pPr>
            <w:pStyle w:val="BodyText"/>
          </w:pPr>
        </w:p>
        <w:p w14:paraId="227D582C" w14:textId="18ABA48C" w:rsidR="00C207C4" w:rsidRDefault="00C207C4" w:rsidP="00996B9D">
          <w:pPr>
            <w:pStyle w:val="BodyText"/>
          </w:pPr>
        </w:p>
        <w:p w14:paraId="227D582D" w14:textId="77777777" w:rsidR="00C207C4" w:rsidRPr="0050143D" w:rsidRDefault="00C207C4" w:rsidP="00996B9D">
          <w:pPr>
            <w:pStyle w:val="BodyText"/>
          </w:pPr>
          <w:r w:rsidRPr="00B32198">
            <w:t>Published by the Climate Change Authority</w:t>
          </w:r>
        </w:p>
        <w:p w14:paraId="227D582E" w14:textId="77777777" w:rsidR="00C207C4" w:rsidRPr="0050143D" w:rsidRDefault="00C207C4" w:rsidP="00996B9D">
          <w:pPr>
            <w:pStyle w:val="BodyText"/>
          </w:pPr>
          <w:r w:rsidRPr="00B32198">
            <w:t>w</w:t>
          </w:r>
          <w:r>
            <w:t>ww.climatechangeauthority.gov.au</w:t>
          </w:r>
        </w:p>
        <w:p w14:paraId="227D582F" w14:textId="77777777" w:rsidR="00C207C4" w:rsidRPr="0050143D" w:rsidRDefault="00C207C4" w:rsidP="00996B9D">
          <w:pPr>
            <w:pStyle w:val="BodyText"/>
          </w:pPr>
          <w:r w:rsidRPr="00B32198">
            <w:t>© Commonwealth of Australia 2020</w:t>
          </w:r>
        </w:p>
        <w:p w14:paraId="227D5830" w14:textId="77777777" w:rsidR="00C207C4" w:rsidRPr="0050143D" w:rsidRDefault="00C207C4" w:rsidP="00996B9D">
          <w:pPr>
            <w:pStyle w:val="BodyText"/>
          </w:pPr>
          <w:r w:rsidRPr="00B32198">
            <w:t>This work is licensed under the Creative Commons Attribution 3.0 Australia Licence. To view a copy of this license, visit http://creativecommons.org/licenses/by/3.0/au</w:t>
          </w:r>
        </w:p>
        <w:p w14:paraId="227D5831" w14:textId="77777777" w:rsidR="00C207C4" w:rsidRPr="0050143D" w:rsidRDefault="00C207C4" w:rsidP="00996B9D">
          <w:pPr>
            <w:pStyle w:val="BodyText"/>
          </w:pPr>
          <w:r w:rsidRPr="00B32198">
            <w:t>The Climate Change Authority asserts the right to be recognised as author of the original material in the following manner:</w:t>
          </w:r>
        </w:p>
        <w:p w14:paraId="227D5832" w14:textId="77777777" w:rsidR="00C207C4" w:rsidRPr="00B32198" w:rsidRDefault="00C207C4" w:rsidP="00996B9D">
          <w:pPr>
            <w:pStyle w:val="BodyText"/>
          </w:pPr>
          <w:r w:rsidRPr="00B32198">
            <w:rPr>
              <w:noProof/>
            </w:rPr>
            <w:drawing>
              <wp:inline distT="0" distB="0" distL="0" distR="0" wp14:anchorId="227D5858" wp14:editId="5A8BF5E7">
                <wp:extent cx="931653" cy="32596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1653" cy="325963"/>
                        </a:xfrm>
                        <a:prstGeom prst="rect">
                          <a:avLst/>
                        </a:prstGeom>
                      </pic:spPr>
                    </pic:pic>
                  </a:graphicData>
                </a:graphic>
              </wp:inline>
            </w:drawing>
          </w:r>
          <w:r w:rsidRPr="00B32198">
            <w:t xml:space="preserve"> </w:t>
          </w:r>
          <w:r w:rsidRPr="00B32198">
            <w:rPr>
              <w:noProof/>
            </w:rPr>
            <w:drawing>
              <wp:inline distT="0" distB="0" distL="0" distR="0" wp14:anchorId="227D585A" wp14:editId="4665936E">
                <wp:extent cx="813818" cy="152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3818" cy="152400"/>
                        </a:xfrm>
                        <a:prstGeom prst="rect">
                          <a:avLst/>
                        </a:prstGeom>
                      </pic:spPr>
                    </pic:pic>
                  </a:graphicData>
                </a:graphic>
              </wp:inline>
            </w:drawing>
          </w:r>
        </w:p>
        <w:p w14:paraId="227D5833" w14:textId="77777777" w:rsidR="00C207C4" w:rsidRPr="0050143D" w:rsidRDefault="00C207C4" w:rsidP="00996B9D">
          <w:pPr>
            <w:pStyle w:val="BodyText"/>
          </w:pPr>
          <w:r w:rsidRPr="00B32198">
            <w:t>© Commonwealth of Australia (Climate Change Authority) 2020.</w:t>
          </w:r>
        </w:p>
        <w:p w14:paraId="227D5834" w14:textId="77777777" w:rsidR="00C207C4" w:rsidRPr="00B32198" w:rsidRDefault="00C207C4" w:rsidP="00996B9D">
          <w:pPr>
            <w:pStyle w:val="BodyText"/>
          </w:pPr>
        </w:p>
        <w:p w14:paraId="227D5835" w14:textId="77777777" w:rsidR="00C207C4" w:rsidRPr="0050143D" w:rsidRDefault="00C207C4" w:rsidP="00996B9D">
          <w:pPr>
            <w:pStyle w:val="BodyText"/>
          </w:pPr>
          <w:r w:rsidRPr="00B32198">
            <w:t>IMPORTANT NOTICE – PLEASE READ</w:t>
          </w:r>
        </w:p>
        <w:p w14:paraId="51B93073" w14:textId="2CE18317" w:rsidR="00635AE8" w:rsidRDefault="00C207C4" w:rsidP="00996B9D">
          <w:pPr>
            <w:pStyle w:val="BodyText"/>
          </w:pPr>
          <w:r w:rsidRPr="00B32198">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r w:rsidR="00806C31" w:rsidRPr="0050143D" w:rsidDel="00806C31">
            <w:t xml:space="preserve"> </w:t>
          </w:r>
          <w:bookmarkStart w:id="1" w:name="_Toc35416935"/>
          <w:bookmarkStart w:id="2" w:name="_Toc44514555"/>
          <w:bookmarkStart w:id="3" w:name="_Toc45030334"/>
          <w:bookmarkStart w:id="4" w:name="_Toc48996291"/>
          <w:bookmarkStart w:id="5" w:name="_Toc49350813"/>
          <w:bookmarkStart w:id="6" w:name="_Toc49352793"/>
          <w:bookmarkStart w:id="7" w:name="_Toc49354169"/>
          <w:bookmarkStart w:id="8" w:name="_Toc49355495"/>
          <w:bookmarkStart w:id="9" w:name="_Toc49429253"/>
          <w:bookmarkStart w:id="10" w:name="_Toc49434010"/>
          <w:bookmarkStart w:id="11" w:name="_Toc49441003"/>
          <w:bookmarkStart w:id="12" w:name="_Toc49441193"/>
          <w:bookmarkStart w:id="13" w:name="_Toc49442196"/>
          <w:bookmarkStart w:id="14" w:name="_Toc49508925"/>
          <w:bookmarkStart w:id="15" w:name="_Toc49519735"/>
          <w:bookmarkStart w:id="16" w:name="_Toc49521450"/>
          <w:bookmarkStart w:id="17" w:name="_Toc49524522"/>
          <w:bookmarkStart w:id="18" w:name="_Toc49524660"/>
          <w:bookmarkStart w:id="19" w:name="_Toc49527129"/>
          <w:bookmarkStart w:id="20" w:name="_Toc49527967"/>
          <w:bookmarkStart w:id="21" w:name="_Toc49692119"/>
          <w:bookmarkStart w:id="22" w:name="_Toc49710492"/>
          <w:bookmarkStart w:id="23" w:name="_Toc49710664"/>
          <w:bookmarkStart w:id="24" w:name="_Toc49713217"/>
          <w:bookmarkStart w:id="25" w:name="_Toc49713419"/>
          <w:bookmarkStart w:id="26" w:name="_Toc49776357"/>
          <w:bookmarkStart w:id="27" w:name="_Toc49784916"/>
          <w:bookmarkStart w:id="28" w:name="_Toc49786242"/>
          <w:bookmarkStart w:id="29" w:name="_Toc49787291"/>
          <w:bookmarkStart w:id="30" w:name="_Toc49787346"/>
          <w:bookmarkStart w:id="31" w:name="_Toc49850660"/>
          <w:bookmarkStart w:id="32" w:name="_Toc49852902"/>
          <w:bookmarkStart w:id="33" w:name="_Toc49854319"/>
          <w:bookmarkStart w:id="34" w:name="_Toc49856915"/>
          <w:bookmarkStart w:id="35" w:name="_Toc49858231"/>
          <w:bookmarkStart w:id="36" w:name="_Toc49858286"/>
          <w:bookmarkStart w:id="37" w:name="_Toc49862988"/>
          <w:bookmarkStart w:id="38" w:name="_Toc49867711"/>
          <w:bookmarkStart w:id="39" w:name="_Toc49870547"/>
          <w:bookmarkStart w:id="40" w:name="_Toc49871290"/>
          <w:bookmarkStart w:id="41" w:name="_Toc49871970"/>
          <w:bookmarkStart w:id="42" w:name="_Toc49872523"/>
          <w:bookmarkStart w:id="43" w:name="_Toc50027735"/>
          <w:bookmarkStart w:id="44" w:name="_Toc50029429"/>
          <w:bookmarkStart w:id="45" w:name="_Toc50043863"/>
          <w:bookmarkStart w:id="46" w:name="_Toc50057714"/>
          <w:bookmarkStart w:id="47" w:name="_Toc50553591"/>
          <w:bookmarkStart w:id="48" w:name="_Toc50555354"/>
        </w:p>
        <w:p w14:paraId="10E8AE15" w14:textId="77777777" w:rsidR="006F2EE4" w:rsidRPr="00635AE8" w:rsidRDefault="006F2EE4" w:rsidP="00996B9D">
          <w:pPr>
            <w:pStyle w:val="BodyText"/>
            <w:rPr>
              <w:rFonts w:eastAsiaTheme="majorEastAsia" w:cstheme="majorBidi"/>
              <w:color w:val="0C9FCD"/>
              <w:sz w:val="40"/>
              <w:szCs w:val="32"/>
            </w:rPr>
          </w:pPr>
        </w:p>
        <w:p w14:paraId="227D5837" w14:textId="6686BB11" w:rsidR="00C207C4" w:rsidRPr="00A27AE4" w:rsidRDefault="00C207C4" w:rsidP="00667F45">
          <w:pPr>
            <w:pStyle w:val="Heading1"/>
            <w:rPr>
              <w:color w:val="0070AE" w:themeColor="accent2" w:themeTint="BF"/>
            </w:rPr>
          </w:pPr>
          <w:bookmarkStart w:id="49" w:name="_Toc50559814"/>
          <w:bookmarkStart w:id="50" w:name="_Toc50559867"/>
          <w:bookmarkStart w:id="51" w:name="_Toc50563801"/>
          <w:bookmarkStart w:id="52" w:name="_Toc50711354"/>
          <w:bookmarkStart w:id="53" w:name="_Toc50720936"/>
          <w:bookmarkStart w:id="54" w:name="_Toc50730660"/>
          <w:bookmarkStart w:id="55" w:name="_Toc50734886"/>
          <w:bookmarkStart w:id="56" w:name="_Toc50735489"/>
          <w:bookmarkStart w:id="57" w:name="_Toc50905508"/>
          <w:bookmarkStart w:id="58" w:name="_Toc51586993"/>
          <w:bookmarkStart w:id="59" w:name="_Toc51594853"/>
          <w:bookmarkStart w:id="60" w:name="_Toc51599456"/>
          <w:bookmarkStart w:id="61" w:name="_Toc51613492"/>
          <w:bookmarkStart w:id="62" w:name="_Toc51669603"/>
          <w:bookmarkStart w:id="63" w:name="_Toc51669698"/>
          <w:bookmarkStart w:id="64" w:name="_Toc51672847"/>
          <w:bookmarkStart w:id="65" w:name="_Toc51673897"/>
          <w:bookmarkStart w:id="66" w:name="_Toc51680714"/>
          <w:bookmarkStart w:id="67" w:name="_Toc51683243"/>
          <w:bookmarkStart w:id="68" w:name="_Toc51685979"/>
          <w:bookmarkStart w:id="69" w:name="_Toc51687717"/>
          <w:bookmarkStart w:id="70" w:name="_Toc51687861"/>
          <w:bookmarkStart w:id="71" w:name="_Toc51705739"/>
          <w:bookmarkStart w:id="72" w:name="_Toc51770685"/>
          <w:bookmarkStart w:id="73" w:name="_Toc51770871"/>
          <w:bookmarkStart w:id="74" w:name="_Toc52359214"/>
          <w:bookmarkStart w:id="75" w:name="_Toc52367247"/>
          <w:bookmarkStart w:id="76" w:name="_Toc52371587"/>
          <w:bookmarkStart w:id="77" w:name="_Toc52374735"/>
          <w:bookmarkStart w:id="78" w:name="_Toc52377273"/>
          <w:bookmarkStart w:id="79" w:name="_Toc52379195"/>
          <w:bookmarkStart w:id="80" w:name="_Toc52379550"/>
          <w:bookmarkStart w:id="81" w:name="_Toc52532760"/>
          <w:bookmarkStart w:id="82" w:name="_Toc52535655"/>
          <w:bookmarkStart w:id="83" w:name="_Toc52537473"/>
          <w:bookmarkStart w:id="84" w:name="_Toc52544036"/>
          <w:bookmarkStart w:id="85" w:name="_Toc52545640"/>
          <w:bookmarkStart w:id="86" w:name="_Toc52547872"/>
          <w:bookmarkStart w:id="87" w:name="_Toc52548561"/>
          <w:bookmarkStart w:id="88" w:name="_Toc52890853"/>
          <w:bookmarkStart w:id="89" w:name="_Toc52895056"/>
          <w:bookmarkStart w:id="90" w:name="_Toc52896580"/>
          <w:bookmarkStart w:id="91" w:name="_Toc52977757"/>
          <w:bookmarkStart w:id="92" w:name="_Toc53129440"/>
          <w:r w:rsidRPr="00A27AE4">
            <w:rPr>
              <w:color w:val="0070AE" w:themeColor="accent2" w:themeTint="BF"/>
            </w:rPr>
            <w:lastRenderedPageBreak/>
            <w:t>Acknowledgements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ABB9CEB" w14:textId="77777777" w:rsidR="00360DB1" w:rsidRDefault="00360DB1" w:rsidP="00C207C4"/>
        <w:p w14:paraId="6EAE14C3" w14:textId="4881B31A" w:rsidR="00360DB1" w:rsidRDefault="00360DB1" w:rsidP="00C207C4">
          <w:r>
            <w:t xml:space="preserve">The Climate Change Authority would like to thank the many individuals and organisations who contributed time and expertise to this review, including those who provided formal submissions and participated in consultation. These contributions have improved the quality of the review and provided evidence to help inform the Authority’s recommendations. </w:t>
          </w:r>
        </w:p>
        <w:p w14:paraId="26560CDC" w14:textId="5D596E54" w:rsidR="00FE3F8C" w:rsidRDefault="00C71FB8" w:rsidP="00C207C4">
          <w:r>
            <w:t xml:space="preserve">The Authority would like to thank CSIRO </w:t>
          </w:r>
          <w:r w:rsidR="00B32B2B" w:rsidRPr="00B32B2B">
            <w:t>researchers Dr Stephen Roxburgh, Dr Keryn Paul and Dr</w:t>
          </w:r>
          <w:r w:rsidR="00165996">
            <w:t> </w:t>
          </w:r>
          <w:r w:rsidR="00B32B2B" w:rsidRPr="00B32B2B">
            <w:t>Libby Pinkard, for their report</w:t>
          </w:r>
          <w:r>
            <w:t xml:space="preserve"> </w:t>
          </w:r>
          <w:r w:rsidRPr="00CF6C0C">
            <w:rPr>
              <w:i/>
            </w:rPr>
            <w:t>Technical review of physical risks to carbon sequestration under the Emissions Reduction Fund (ERF</w:t>
          </w:r>
          <w:r w:rsidR="00B32B2B" w:rsidRPr="00B32B2B">
            <w:rPr>
              <w:i/>
            </w:rPr>
            <w:t>).</w:t>
          </w:r>
          <w:r w:rsidR="00B32B2B" w:rsidRPr="00B32B2B">
            <w:t xml:space="preserve"> The CSIRO report informed the Authority’s</w:t>
          </w:r>
          <w:r>
            <w:t xml:space="preserve"> consideration of climate risk</w:t>
          </w:r>
          <w:r w:rsidR="00B32B2B" w:rsidRPr="00B32B2B">
            <w:t xml:space="preserve"> to the ERF in this review.</w:t>
          </w:r>
          <w:r w:rsidR="002C3390">
            <w:t xml:space="preserve"> The Authority also t</w:t>
          </w:r>
          <w:r>
            <w:t>hanks Dr Rachael Nolan, Western Sydney</w:t>
          </w:r>
          <w:r w:rsidR="00B32B2B" w:rsidRPr="00B32B2B">
            <w:t xml:space="preserve"> University</w:t>
          </w:r>
          <w:r>
            <w:t xml:space="preserve">, for </w:t>
          </w:r>
          <w:r w:rsidR="002C3390">
            <w:t>her</w:t>
          </w:r>
          <w:r>
            <w:t xml:space="preserve"> </w:t>
          </w:r>
          <w:r w:rsidR="00EA56D7">
            <w:t xml:space="preserve">further </w:t>
          </w:r>
          <w:r>
            <w:t xml:space="preserve">review of </w:t>
          </w:r>
          <w:r w:rsidR="00B32B2B">
            <w:t>the CSIRO</w:t>
          </w:r>
          <w:r>
            <w:t xml:space="preserve"> report. </w:t>
          </w:r>
        </w:p>
        <w:p w14:paraId="675483F3" w14:textId="77777777" w:rsidR="00F94E82" w:rsidRDefault="00360DB1" w:rsidP="00C207C4">
          <w:r>
            <w:t>The</w:t>
          </w:r>
          <w:r w:rsidR="002C3390">
            <w:t xml:space="preserve"> </w:t>
          </w:r>
          <w:r>
            <w:t>Department of Industry, Science, Energy and Resources</w:t>
          </w:r>
          <w:r w:rsidR="002C3390">
            <w:t>,</w:t>
          </w:r>
          <w:r>
            <w:t xml:space="preserve"> </w:t>
          </w:r>
          <w:r w:rsidR="002C3390">
            <w:t xml:space="preserve">the Clean Energy Regulator </w:t>
          </w:r>
          <w:r>
            <w:t>and the Emissions Reduction Assurance Committee also provided technical expertise to the Authority in the preparation of this review. The views expressed in th</w:t>
          </w:r>
          <w:r w:rsidR="00C74A81">
            <w:t>e</w:t>
          </w:r>
          <w:r>
            <w:t xml:space="preserve"> review are the Authority’s own and should not be taken as the views or positions of any of the</w:t>
          </w:r>
          <w:r w:rsidR="00C74A81">
            <w:t xml:space="preserve"> entities</w:t>
          </w:r>
          <w:r>
            <w:t xml:space="preserve"> listed above.  </w:t>
          </w:r>
        </w:p>
        <w:p w14:paraId="5342E5B3" w14:textId="3056ED2D" w:rsidR="000F2564" w:rsidRDefault="000F2564" w:rsidP="00C207C4">
          <w:r>
            <w:br w:type="page"/>
          </w:r>
        </w:p>
        <w:p w14:paraId="1793F200" w14:textId="644CAAD1" w:rsidR="00AF4131" w:rsidRPr="00E47D8D" w:rsidRDefault="00E3027E" w:rsidP="00E47D8D">
          <w:pPr>
            <w:pStyle w:val="Heading1"/>
            <w:rPr>
              <w:color w:val="0070AE" w:themeColor="accent2" w:themeTint="BF"/>
            </w:rPr>
          </w:pPr>
          <w:bookmarkStart w:id="93" w:name="_Toc19289646"/>
          <w:bookmarkStart w:id="94" w:name="_Toc19289779"/>
          <w:bookmarkStart w:id="95" w:name="_Toc44514556"/>
          <w:bookmarkStart w:id="96" w:name="_Toc45030335"/>
          <w:bookmarkStart w:id="97" w:name="_Toc48996292"/>
          <w:bookmarkStart w:id="98" w:name="_Toc49350814"/>
          <w:bookmarkStart w:id="99" w:name="_Toc49352794"/>
          <w:bookmarkStart w:id="100" w:name="_Toc49354170"/>
          <w:bookmarkStart w:id="101" w:name="_Toc49355496"/>
          <w:bookmarkStart w:id="102" w:name="_Toc49429254"/>
          <w:bookmarkStart w:id="103" w:name="_Toc49434011"/>
          <w:bookmarkStart w:id="104" w:name="_Toc49441004"/>
          <w:bookmarkStart w:id="105" w:name="_Toc49441194"/>
          <w:bookmarkStart w:id="106" w:name="_Toc49442197"/>
          <w:bookmarkStart w:id="107" w:name="_Toc49508926"/>
          <w:bookmarkStart w:id="108" w:name="_Toc49519736"/>
          <w:bookmarkStart w:id="109" w:name="_Toc49521451"/>
          <w:bookmarkStart w:id="110" w:name="_Toc49524523"/>
          <w:bookmarkStart w:id="111" w:name="_Toc49524661"/>
          <w:bookmarkStart w:id="112" w:name="_Toc49527130"/>
          <w:bookmarkStart w:id="113" w:name="_Toc49527968"/>
          <w:bookmarkStart w:id="114" w:name="_Toc49692120"/>
          <w:bookmarkStart w:id="115" w:name="_Toc49710493"/>
          <w:bookmarkStart w:id="116" w:name="_Toc49710665"/>
          <w:bookmarkStart w:id="117" w:name="_Toc49713218"/>
          <w:bookmarkStart w:id="118" w:name="_Toc49713420"/>
          <w:bookmarkStart w:id="119" w:name="_Toc49776358"/>
          <w:bookmarkStart w:id="120" w:name="_Toc49784917"/>
          <w:bookmarkStart w:id="121" w:name="_Toc49786243"/>
          <w:bookmarkStart w:id="122" w:name="_Toc49787292"/>
          <w:bookmarkStart w:id="123" w:name="_Toc49787347"/>
          <w:bookmarkStart w:id="124" w:name="_Toc49850661"/>
          <w:bookmarkStart w:id="125" w:name="_Toc49852903"/>
          <w:bookmarkStart w:id="126" w:name="_Toc49854320"/>
          <w:bookmarkStart w:id="127" w:name="_Toc49856916"/>
          <w:bookmarkStart w:id="128" w:name="_Toc49858232"/>
          <w:bookmarkStart w:id="129" w:name="_Toc49858287"/>
          <w:bookmarkStart w:id="130" w:name="_Toc49862989"/>
          <w:bookmarkStart w:id="131" w:name="_Toc49867712"/>
          <w:bookmarkStart w:id="132" w:name="_Toc49870548"/>
          <w:bookmarkStart w:id="133" w:name="_Toc49871291"/>
          <w:bookmarkStart w:id="134" w:name="_Toc49871971"/>
          <w:bookmarkStart w:id="135" w:name="_Toc49872524"/>
          <w:bookmarkStart w:id="136" w:name="_Toc50027736"/>
          <w:bookmarkStart w:id="137" w:name="_Toc50029430"/>
          <w:bookmarkStart w:id="138" w:name="_Toc50043864"/>
          <w:bookmarkStart w:id="139" w:name="_Toc50057715"/>
          <w:bookmarkStart w:id="140" w:name="_Toc50553592"/>
          <w:bookmarkStart w:id="141" w:name="_Toc50555355"/>
          <w:bookmarkStart w:id="142" w:name="_Toc50559815"/>
          <w:bookmarkStart w:id="143" w:name="_Toc50559868"/>
          <w:bookmarkStart w:id="144" w:name="_Toc50563802"/>
          <w:bookmarkStart w:id="145" w:name="_Toc50711355"/>
          <w:bookmarkStart w:id="146" w:name="_Toc50720937"/>
          <w:bookmarkStart w:id="147" w:name="_Toc50730661"/>
          <w:bookmarkStart w:id="148" w:name="_Toc50734887"/>
          <w:bookmarkStart w:id="149" w:name="_Toc50735490"/>
          <w:bookmarkStart w:id="150" w:name="_Toc50905509"/>
          <w:bookmarkStart w:id="151" w:name="_Toc51586994"/>
          <w:bookmarkStart w:id="152" w:name="_Toc51594854"/>
          <w:bookmarkStart w:id="153" w:name="_Toc51599457"/>
          <w:bookmarkStart w:id="154" w:name="_Toc51613493"/>
          <w:bookmarkStart w:id="155" w:name="_Toc51669604"/>
          <w:bookmarkStart w:id="156" w:name="_Toc51669699"/>
          <w:bookmarkStart w:id="157" w:name="_Toc51672848"/>
          <w:bookmarkStart w:id="158" w:name="_Toc51673898"/>
          <w:bookmarkStart w:id="159" w:name="_Toc51680715"/>
          <w:bookmarkStart w:id="160" w:name="_Toc51683244"/>
          <w:bookmarkStart w:id="161" w:name="_Toc51685980"/>
          <w:bookmarkStart w:id="162" w:name="_Toc51687718"/>
          <w:bookmarkStart w:id="163" w:name="_Toc51687862"/>
          <w:bookmarkStart w:id="164" w:name="_Toc51705740"/>
          <w:bookmarkStart w:id="165" w:name="_Toc51770686"/>
          <w:bookmarkStart w:id="166" w:name="_Toc51770872"/>
          <w:bookmarkStart w:id="167" w:name="_Toc52359215"/>
          <w:bookmarkStart w:id="168" w:name="_Toc52367248"/>
          <w:bookmarkStart w:id="169" w:name="_Toc52371588"/>
          <w:bookmarkStart w:id="170" w:name="_Toc52374736"/>
          <w:bookmarkStart w:id="171" w:name="_Toc52377274"/>
          <w:bookmarkStart w:id="172" w:name="_Toc52379196"/>
          <w:bookmarkStart w:id="173" w:name="_Toc52379551"/>
          <w:bookmarkStart w:id="174" w:name="_Toc52532761"/>
          <w:bookmarkStart w:id="175" w:name="_Toc52535656"/>
          <w:bookmarkStart w:id="176" w:name="_Toc52537474"/>
          <w:bookmarkStart w:id="177" w:name="_Toc52544037"/>
          <w:bookmarkStart w:id="178" w:name="_Toc52545641"/>
          <w:bookmarkStart w:id="179" w:name="_Toc52547873"/>
          <w:bookmarkStart w:id="180" w:name="_Toc52548562"/>
          <w:bookmarkStart w:id="181" w:name="_Toc52890854"/>
          <w:bookmarkStart w:id="182" w:name="_Toc52895057"/>
          <w:bookmarkStart w:id="183" w:name="_Toc52896581"/>
          <w:bookmarkStart w:id="184" w:name="_Toc52977758"/>
          <w:bookmarkStart w:id="185" w:name="_Toc53129441"/>
          <w:r w:rsidRPr="00A27AE4">
            <w:rPr>
              <w:color w:val="0070AE" w:themeColor="accent2" w:themeTint="BF"/>
            </w:rPr>
            <w:t>Contents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631E6E7B" w14:textId="77777777" w:rsidR="007D4B74" w:rsidRDefault="00E3027E">
          <w:pPr>
            <w:pStyle w:val="TOC1"/>
            <w:rPr>
              <w:rFonts w:asciiTheme="minorHAnsi" w:eastAsiaTheme="minorEastAsia" w:hAnsiTheme="minorHAnsi"/>
              <w:noProof/>
              <w:sz w:val="22"/>
              <w:lang w:eastAsia="en-AU"/>
            </w:rPr>
          </w:pPr>
          <w:r>
            <w:fldChar w:fldCharType="begin"/>
          </w:r>
          <w:r>
            <w:instrText xml:space="preserve"> TOC \o "1-2" \h \z \u </w:instrText>
          </w:r>
          <w:r>
            <w:fldChar w:fldCharType="separate"/>
          </w:r>
          <w:hyperlink w:anchor="_Toc53129440" w:history="1">
            <w:r w:rsidR="007D4B74" w:rsidRPr="00145615">
              <w:rPr>
                <w:rStyle w:val="Hyperlink"/>
                <w:noProof/>
              </w:rPr>
              <w:t>Acknowledgements</w:t>
            </w:r>
            <w:r w:rsidR="007D4B74">
              <w:rPr>
                <w:noProof/>
                <w:webHidden/>
              </w:rPr>
              <w:tab/>
            </w:r>
            <w:r w:rsidR="007D4B74">
              <w:rPr>
                <w:noProof/>
                <w:webHidden/>
              </w:rPr>
              <w:fldChar w:fldCharType="begin"/>
            </w:r>
            <w:r w:rsidR="007D4B74">
              <w:rPr>
                <w:noProof/>
                <w:webHidden/>
              </w:rPr>
              <w:instrText xml:space="preserve"> PAGEREF _Toc53129440 \h </w:instrText>
            </w:r>
            <w:r w:rsidR="007D4B74">
              <w:rPr>
                <w:noProof/>
                <w:webHidden/>
              </w:rPr>
            </w:r>
            <w:r w:rsidR="007D4B74">
              <w:rPr>
                <w:noProof/>
                <w:webHidden/>
              </w:rPr>
              <w:fldChar w:fldCharType="separate"/>
            </w:r>
            <w:r w:rsidR="007D4B74">
              <w:rPr>
                <w:noProof/>
                <w:webHidden/>
              </w:rPr>
              <w:t>3</w:t>
            </w:r>
            <w:r w:rsidR="007D4B74">
              <w:rPr>
                <w:noProof/>
                <w:webHidden/>
              </w:rPr>
              <w:fldChar w:fldCharType="end"/>
            </w:r>
          </w:hyperlink>
        </w:p>
        <w:p w14:paraId="2181529B" w14:textId="77777777" w:rsidR="007D4B74" w:rsidRDefault="0080045D">
          <w:pPr>
            <w:pStyle w:val="TOC1"/>
            <w:rPr>
              <w:rFonts w:asciiTheme="minorHAnsi" w:eastAsiaTheme="minorEastAsia" w:hAnsiTheme="minorHAnsi"/>
              <w:noProof/>
              <w:sz w:val="22"/>
              <w:lang w:eastAsia="en-AU"/>
            </w:rPr>
          </w:pPr>
          <w:hyperlink w:anchor="_Toc53129441" w:history="1">
            <w:r w:rsidR="007D4B74" w:rsidRPr="00145615">
              <w:rPr>
                <w:rStyle w:val="Hyperlink"/>
                <w:noProof/>
              </w:rPr>
              <w:t>Contents</w:t>
            </w:r>
            <w:r w:rsidR="007D4B74">
              <w:rPr>
                <w:noProof/>
                <w:webHidden/>
              </w:rPr>
              <w:tab/>
            </w:r>
            <w:r w:rsidR="007D4B74">
              <w:rPr>
                <w:noProof/>
                <w:webHidden/>
              </w:rPr>
              <w:fldChar w:fldCharType="begin"/>
            </w:r>
            <w:r w:rsidR="007D4B74">
              <w:rPr>
                <w:noProof/>
                <w:webHidden/>
              </w:rPr>
              <w:instrText xml:space="preserve"> PAGEREF _Toc53129441 \h </w:instrText>
            </w:r>
            <w:r w:rsidR="007D4B74">
              <w:rPr>
                <w:noProof/>
                <w:webHidden/>
              </w:rPr>
            </w:r>
            <w:r w:rsidR="007D4B74">
              <w:rPr>
                <w:noProof/>
                <w:webHidden/>
              </w:rPr>
              <w:fldChar w:fldCharType="separate"/>
            </w:r>
            <w:r w:rsidR="007D4B74">
              <w:rPr>
                <w:noProof/>
                <w:webHidden/>
              </w:rPr>
              <w:t>4</w:t>
            </w:r>
            <w:r w:rsidR="007D4B74">
              <w:rPr>
                <w:noProof/>
                <w:webHidden/>
              </w:rPr>
              <w:fldChar w:fldCharType="end"/>
            </w:r>
          </w:hyperlink>
        </w:p>
        <w:p w14:paraId="794AC9B0" w14:textId="77777777" w:rsidR="007D4B74" w:rsidRDefault="0080045D">
          <w:pPr>
            <w:pStyle w:val="TOC1"/>
            <w:rPr>
              <w:rFonts w:asciiTheme="minorHAnsi" w:eastAsiaTheme="minorEastAsia" w:hAnsiTheme="minorHAnsi"/>
              <w:noProof/>
              <w:sz w:val="22"/>
              <w:lang w:eastAsia="en-AU"/>
            </w:rPr>
          </w:pPr>
          <w:hyperlink w:anchor="_Toc53129442" w:history="1">
            <w:r w:rsidR="007D4B74" w:rsidRPr="00145615">
              <w:rPr>
                <w:rStyle w:val="Hyperlink"/>
                <w:noProof/>
              </w:rPr>
              <w:t>Figures</w:t>
            </w:r>
            <w:r w:rsidR="007D4B74">
              <w:rPr>
                <w:noProof/>
                <w:webHidden/>
              </w:rPr>
              <w:tab/>
            </w:r>
            <w:r w:rsidR="007D4B74">
              <w:rPr>
                <w:noProof/>
                <w:webHidden/>
              </w:rPr>
              <w:fldChar w:fldCharType="begin"/>
            </w:r>
            <w:r w:rsidR="007D4B74">
              <w:rPr>
                <w:noProof/>
                <w:webHidden/>
              </w:rPr>
              <w:instrText xml:space="preserve"> PAGEREF _Toc53129442 \h </w:instrText>
            </w:r>
            <w:r w:rsidR="007D4B74">
              <w:rPr>
                <w:noProof/>
                <w:webHidden/>
              </w:rPr>
            </w:r>
            <w:r w:rsidR="007D4B74">
              <w:rPr>
                <w:noProof/>
                <w:webHidden/>
              </w:rPr>
              <w:fldChar w:fldCharType="separate"/>
            </w:r>
            <w:r w:rsidR="007D4B74">
              <w:rPr>
                <w:noProof/>
                <w:webHidden/>
              </w:rPr>
              <w:t>5</w:t>
            </w:r>
            <w:r w:rsidR="007D4B74">
              <w:rPr>
                <w:noProof/>
                <w:webHidden/>
              </w:rPr>
              <w:fldChar w:fldCharType="end"/>
            </w:r>
          </w:hyperlink>
        </w:p>
        <w:p w14:paraId="45286CC8" w14:textId="77777777" w:rsidR="007D4B74" w:rsidRDefault="0080045D">
          <w:pPr>
            <w:pStyle w:val="TOC1"/>
            <w:rPr>
              <w:rFonts w:asciiTheme="minorHAnsi" w:eastAsiaTheme="minorEastAsia" w:hAnsiTheme="minorHAnsi"/>
              <w:noProof/>
              <w:sz w:val="22"/>
              <w:lang w:eastAsia="en-AU"/>
            </w:rPr>
          </w:pPr>
          <w:hyperlink w:anchor="_Toc53129443" w:history="1">
            <w:r w:rsidR="007D4B74" w:rsidRPr="00145615">
              <w:rPr>
                <w:rStyle w:val="Hyperlink"/>
                <w:noProof/>
              </w:rPr>
              <w:t>Tables</w:t>
            </w:r>
            <w:r w:rsidR="007D4B74">
              <w:rPr>
                <w:noProof/>
                <w:webHidden/>
              </w:rPr>
              <w:tab/>
            </w:r>
            <w:r w:rsidR="007D4B74">
              <w:rPr>
                <w:noProof/>
                <w:webHidden/>
              </w:rPr>
              <w:fldChar w:fldCharType="begin"/>
            </w:r>
            <w:r w:rsidR="007D4B74">
              <w:rPr>
                <w:noProof/>
                <w:webHidden/>
              </w:rPr>
              <w:instrText xml:space="preserve"> PAGEREF _Toc53129443 \h </w:instrText>
            </w:r>
            <w:r w:rsidR="007D4B74">
              <w:rPr>
                <w:noProof/>
                <w:webHidden/>
              </w:rPr>
            </w:r>
            <w:r w:rsidR="007D4B74">
              <w:rPr>
                <w:noProof/>
                <w:webHidden/>
              </w:rPr>
              <w:fldChar w:fldCharType="separate"/>
            </w:r>
            <w:r w:rsidR="007D4B74">
              <w:rPr>
                <w:noProof/>
                <w:webHidden/>
              </w:rPr>
              <w:t>6</w:t>
            </w:r>
            <w:r w:rsidR="007D4B74">
              <w:rPr>
                <w:noProof/>
                <w:webHidden/>
              </w:rPr>
              <w:fldChar w:fldCharType="end"/>
            </w:r>
          </w:hyperlink>
        </w:p>
        <w:p w14:paraId="3AE21AA2" w14:textId="77777777" w:rsidR="007D4B74" w:rsidRDefault="0080045D">
          <w:pPr>
            <w:pStyle w:val="TOC1"/>
            <w:rPr>
              <w:rFonts w:asciiTheme="minorHAnsi" w:eastAsiaTheme="minorEastAsia" w:hAnsiTheme="minorHAnsi"/>
              <w:noProof/>
              <w:sz w:val="22"/>
              <w:lang w:eastAsia="en-AU"/>
            </w:rPr>
          </w:pPr>
          <w:hyperlink w:anchor="_Toc53129444" w:history="1">
            <w:r w:rsidR="007D4B74" w:rsidRPr="00145615">
              <w:rPr>
                <w:rStyle w:val="Hyperlink"/>
                <w:noProof/>
              </w:rPr>
              <w:t>Boxes</w:t>
            </w:r>
            <w:r w:rsidR="007D4B74">
              <w:rPr>
                <w:noProof/>
                <w:webHidden/>
              </w:rPr>
              <w:tab/>
            </w:r>
            <w:r w:rsidR="007D4B74">
              <w:rPr>
                <w:noProof/>
                <w:webHidden/>
              </w:rPr>
              <w:fldChar w:fldCharType="begin"/>
            </w:r>
            <w:r w:rsidR="007D4B74">
              <w:rPr>
                <w:noProof/>
                <w:webHidden/>
              </w:rPr>
              <w:instrText xml:space="preserve"> PAGEREF _Toc53129444 \h </w:instrText>
            </w:r>
            <w:r w:rsidR="007D4B74">
              <w:rPr>
                <w:noProof/>
                <w:webHidden/>
              </w:rPr>
            </w:r>
            <w:r w:rsidR="007D4B74">
              <w:rPr>
                <w:noProof/>
                <w:webHidden/>
              </w:rPr>
              <w:fldChar w:fldCharType="separate"/>
            </w:r>
            <w:r w:rsidR="007D4B74">
              <w:rPr>
                <w:noProof/>
                <w:webHidden/>
              </w:rPr>
              <w:t>6</w:t>
            </w:r>
            <w:r w:rsidR="007D4B74">
              <w:rPr>
                <w:noProof/>
                <w:webHidden/>
              </w:rPr>
              <w:fldChar w:fldCharType="end"/>
            </w:r>
          </w:hyperlink>
        </w:p>
        <w:p w14:paraId="0F249ADC" w14:textId="77777777" w:rsidR="007D4B74" w:rsidRDefault="0080045D">
          <w:pPr>
            <w:pStyle w:val="TOC1"/>
            <w:rPr>
              <w:rFonts w:asciiTheme="minorHAnsi" w:eastAsiaTheme="minorEastAsia" w:hAnsiTheme="minorHAnsi"/>
              <w:noProof/>
              <w:sz w:val="22"/>
              <w:lang w:eastAsia="en-AU"/>
            </w:rPr>
          </w:pPr>
          <w:hyperlink w:anchor="_Toc53129445" w:history="1">
            <w:r w:rsidR="007D4B74" w:rsidRPr="00145615">
              <w:rPr>
                <w:rStyle w:val="Hyperlink"/>
                <w:noProof/>
              </w:rPr>
              <w:t>Chair’s foreword</w:t>
            </w:r>
            <w:r w:rsidR="007D4B74">
              <w:rPr>
                <w:noProof/>
                <w:webHidden/>
              </w:rPr>
              <w:tab/>
            </w:r>
            <w:r w:rsidR="007D4B74">
              <w:rPr>
                <w:noProof/>
                <w:webHidden/>
              </w:rPr>
              <w:fldChar w:fldCharType="begin"/>
            </w:r>
            <w:r w:rsidR="007D4B74">
              <w:rPr>
                <w:noProof/>
                <w:webHidden/>
              </w:rPr>
              <w:instrText xml:space="preserve"> PAGEREF _Toc53129445 \h </w:instrText>
            </w:r>
            <w:r w:rsidR="007D4B74">
              <w:rPr>
                <w:noProof/>
                <w:webHidden/>
              </w:rPr>
            </w:r>
            <w:r w:rsidR="007D4B74">
              <w:rPr>
                <w:noProof/>
                <w:webHidden/>
              </w:rPr>
              <w:fldChar w:fldCharType="separate"/>
            </w:r>
            <w:r w:rsidR="007D4B74">
              <w:rPr>
                <w:noProof/>
                <w:webHidden/>
              </w:rPr>
              <w:t>7</w:t>
            </w:r>
            <w:r w:rsidR="007D4B74">
              <w:rPr>
                <w:noProof/>
                <w:webHidden/>
              </w:rPr>
              <w:fldChar w:fldCharType="end"/>
            </w:r>
          </w:hyperlink>
        </w:p>
        <w:p w14:paraId="0A55B3E1" w14:textId="77777777" w:rsidR="007D4B74" w:rsidRDefault="0080045D">
          <w:pPr>
            <w:pStyle w:val="TOC1"/>
            <w:rPr>
              <w:rFonts w:asciiTheme="minorHAnsi" w:eastAsiaTheme="minorEastAsia" w:hAnsiTheme="minorHAnsi"/>
              <w:noProof/>
              <w:sz w:val="22"/>
              <w:lang w:eastAsia="en-AU"/>
            </w:rPr>
          </w:pPr>
          <w:hyperlink w:anchor="_Toc53129446" w:history="1">
            <w:r w:rsidR="007D4B74" w:rsidRPr="00145615">
              <w:rPr>
                <w:rStyle w:val="Hyperlink"/>
                <w:noProof/>
              </w:rPr>
              <w:t>Executive summary</w:t>
            </w:r>
            <w:r w:rsidR="007D4B74">
              <w:rPr>
                <w:noProof/>
                <w:webHidden/>
              </w:rPr>
              <w:tab/>
            </w:r>
            <w:r w:rsidR="007D4B74">
              <w:rPr>
                <w:noProof/>
                <w:webHidden/>
              </w:rPr>
              <w:fldChar w:fldCharType="begin"/>
            </w:r>
            <w:r w:rsidR="007D4B74">
              <w:rPr>
                <w:noProof/>
                <w:webHidden/>
              </w:rPr>
              <w:instrText xml:space="preserve"> PAGEREF _Toc53129446 \h </w:instrText>
            </w:r>
            <w:r w:rsidR="007D4B74">
              <w:rPr>
                <w:noProof/>
                <w:webHidden/>
              </w:rPr>
            </w:r>
            <w:r w:rsidR="007D4B74">
              <w:rPr>
                <w:noProof/>
                <w:webHidden/>
              </w:rPr>
              <w:fldChar w:fldCharType="separate"/>
            </w:r>
            <w:r w:rsidR="007D4B74">
              <w:rPr>
                <w:noProof/>
                <w:webHidden/>
              </w:rPr>
              <w:t>8</w:t>
            </w:r>
            <w:r w:rsidR="007D4B74">
              <w:rPr>
                <w:noProof/>
                <w:webHidden/>
              </w:rPr>
              <w:fldChar w:fldCharType="end"/>
            </w:r>
          </w:hyperlink>
        </w:p>
        <w:p w14:paraId="14E27CEF" w14:textId="77777777" w:rsidR="007D4B74" w:rsidRDefault="0080045D">
          <w:pPr>
            <w:pStyle w:val="TOC1"/>
            <w:rPr>
              <w:rFonts w:asciiTheme="minorHAnsi" w:eastAsiaTheme="minorEastAsia" w:hAnsiTheme="minorHAnsi"/>
              <w:noProof/>
              <w:sz w:val="22"/>
              <w:lang w:eastAsia="en-AU"/>
            </w:rPr>
          </w:pPr>
          <w:hyperlink w:anchor="_Toc53129447" w:history="1">
            <w:r w:rsidR="007D4B74" w:rsidRPr="00145615">
              <w:rPr>
                <w:rStyle w:val="Hyperlink"/>
                <w:noProof/>
              </w:rPr>
              <w:t>List of recommendations</w:t>
            </w:r>
            <w:r w:rsidR="007D4B74">
              <w:rPr>
                <w:noProof/>
                <w:webHidden/>
              </w:rPr>
              <w:tab/>
            </w:r>
            <w:r w:rsidR="007D4B74">
              <w:rPr>
                <w:noProof/>
                <w:webHidden/>
              </w:rPr>
              <w:fldChar w:fldCharType="begin"/>
            </w:r>
            <w:r w:rsidR="007D4B74">
              <w:rPr>
                <w:noProof/>
                <w:webHidden/>
              </w:rPr>
              <w:instrText xml:space="preserve"> PAGEREF _Toc53129447 \h </w:instrText>
            </w:r>
            <w:r w:rsidR="007D4B74">
              <w:rPr>
                <w:noProof/>
                <w:webHidden/>
              </w:rPr>
            </w:r>
            <w:r w:rsidR="007D4B74">
              <w:rPr>
                <w:noProof/>
                <w:webHidden/>
              </w:rPr>
              <w:fldChar w:fldCharType="separate"/>
            </w:r>
            <w:r w:rsidR="007D4B74">
              <w:rPr>
                <w:noProof/>
                <w:webHidden/>
              </w:rPr>
              <w:t>12</w:t>
            </w:r>
            <w:r w:rsidR="007D4B74">
              <w:rPr>
                <w:noProof/>
                <w:webHidden/>
              </w:rPr>
              <w:fldChar w:fldCharType="end"/>
            </w:r>
          </w:hyperlink>
        </w:p>
        <w:p w14:paraId="4FDF8728" w14:textId="77777777" w:rsidR="007D4B74" w:rsidRDefault="0080045D">
          <w:pPr>
            <w:pStyle w:val="TOC1"/>
            <w:rPr>
              <w:rFonts w:asciiTheme="minorHAnsi" w:eastAsiaTheme="minorEastAsia" w:hAnsiTheme="minorHAnsi"/>
              <w:noProof/>
              <w:sz w:val="22"/>
              <w:lang w:eastAsia="en-AU"/>
            </w:rPr>
          </w:pPr>
          <w:hyperlink w:anchor="_Toc53129448" w:history="1">
            <w:r w:rsidR="007D4B74" w:rsidRPr="00145615">
              <w:rPr>
                <w:rStyle w:val="Hyperlink"/>
                <w:noProof/>
              </w:rPr>
              <w:t>Chapter 1: Introduction to this review</w:t>
            </w:r>
            <w:r w:rsidR="007D4B74">
              <w:rPr>
                <w:noProof/>
                <w:webHidden/>
              </w:rPr>
              <w:tab/>
            </w:r>
            <w:r w:rsidR="007D4B74">
              <w:rPr>
                <w:noProof/>
                <w:webHidden/>
              </w:rPr>
              <w:fldChar w:fldCharType="begin"/>
            </w:r>
            <w:r w:rsidR="007D4B74">
              <w:rPr>
                <w:noProof/>
                <w:webHidden/>
              </w:rPr>
              <w:instrText xml:space="preserve"> PAGEREF _Toc53129448 \h </w:instrText>
            </w:r>
            <w:r w:rsidR="007D4B74">
              <w:rPr>
                <w:noProof/>
                <w:webHidden/>
              </w:rPr>
            </w:r>
            <w:r w:rsidR="007D4B74">
              <w:rPr>
                <w:noProof/>
                <w:webHidden/>
              </w:rPr>
              <w:fldChar w:fldCharType="separate"/>
            </w:r>
            <w:r w:rsidR="007D4B74">
              <w:rPr>
                <w:noProof/>
                <w:webHidden/>
              </w:rPr>
              <w:t>18</w:t>
            </w:r>
            <w:r w:rsidR="007D4B74">
              <w:rPr>
                <w:noProof/>
                <w:webHidden/>
              </w:rPr>
              <w:fldChar w:fldCharType="end"/>
            </w:r>
          </w:hyperlink>
        </w:p>
        <w:p w14:paraId="4D50FB6C" w14:textId="77777777" w:rsidR="007D4B74" w:rsidRDefault="0080045D">
          <w:pPr>
            <w:pStyle w:val="TOC2"/>
            <w:tabs>
              <w:tab w:val="left" w:pos="880"/>
            </w:tabs>
            <w:rPr>
              <w:rFonts w:asciiTheme="minorHAnsi" w:eastAsiaTheme="minorEastAsia" w:hAnsiTheme="minorHAnsi"/>
              <w:noProof/>
              <w:sz w:val="22"/>
              <w:lang w:eastAsia="en-AU"/>
            </w:rPr>
          </w:pPr>
          <w:hyperlink w:anchor="_Toc53129449" w:history="1">
            <w:r w:rsidR="007D4B74" w:rsidRPr="00145615">
              <w:rPr>
                <w:rStyle w:val="Hyperlink"/>
                <w:noProof/>
              </w:rPr>
              <w:t>1.1</w:t>
            </w:r>
            <w:r w:rsidR="007D4B74">
              <w:rPr>
                <w:rFonts w:asciiTheme="minorHAnsi" w:eastAsiaTheme="minorEastAsia" w:hAnsiTheme="minorHAnsi"/>
                <w:noProof/>
                <w:sz w:val="22"/>
                <w:lang w:eastAsia="en-AU"/>
              </w:rPr>
              <w:tab/>
            </w:r>
            <w:r w:rsidR="007D4B74" w:rsidRPr="00145615">
              <w:rPr>
                <w:rStyle w:val="Hyperlink"/>
                <w:noProof/>
              </w:rPr>
              <w:t>About this review</w:t>
            </w:r>
            <w:r w:rsidR="007D4B74">
              <w:rPr>
                <w:noProof/>
                <w:webHidden/>
              </w:rPr>
              <w:tab/>
            </w:r>
            <w:r w:rsidR="007D4B74">
              <w:rPr>
                <w:noProof/>
                <w:webHidden/>
              </w:rPr>
              <w:fldChar w:fldCharType="begin"/>
            </w:r>
            <w:r w:rsidR="007D4B74">
              <w:rPr>
                <w:noProof/>
                <w:webHidden/>
              </w:rPr>
              <w:instrText xml:space="preserve"> PAGEREF _Toc53129449 \h </w:instrText>
            </w:r>
            <w:r w:rsidR="007D4B74">
              <w:rPr>
                <w:noProof/>
                <w:webHidden/>
              </w:rPr>
            </w:r>
            <w:r w:rsidR="007D4B74">
              <w:rPr>
                <w:noProof/>
                <w:webHidden/>
              </w:rPr>
              <w:fldChar w:fldCharType="separate"/>
            </w:r>
            <w:r w:rsidR="007D4B74">
              <w:rPr>
                <w:noProof/>
                <w:webHidden/>
              </w:rPr>
              <w:t>18</w:t>
            </w:r>
            <w:r w:rsidR="007D4B74">
              <w:rPr>
                <w:noProof/>
                <w:webHidden/>
              </w:rPr>
              <w:fldChar w:fldCharType="end"/>
            </w:r>
          </w:hyperlink>
        </w:p>
        <w:p w14:paraId="36CA3BAC" w14:textId="77777777" w:rsidR="007D4B74" w:rsidRDefault="0080045D">
          <w:pPr>
            <w:pStyle w:val="TOC2"/>
            <w:tabs>
              <w:tab w:val="left" w:pos="880"/>
            </w:tabs>
            <w:rPr>
              <w:rFonts w:asciiTheme="minorHAnsi" w:eastAsiaTheme="minorEastAsia" w:hAnsiTheme="minorHAnsi"/>
              <w:noProof/>
              <w:sz w:val="22"/>
              <w:lang w:eastAsia="en-AU"/>
            </w:rPr>
          </w:pPr>
          <w:hyperlink w:anchor="_Toc53129450" w:history="1">
            <w:r w:rsidR="007D4B74" w:rsidRPr="00145615">
              <w:rPr>
                <w:rStyle w:val="Hyperlink"/>
                <w:noProof/>
              </w:rPr>
              <w:t>1.2</w:t>
            </w:r>
            <w:r w:rsidR="007D4B74">
              <w:rPr>
                <w:rFonts w:asciiTheme="minorHAnsi" w:eastAsiaTheme="minorEastAsia" w:hAnsiTheme="minorHAnsi"/>
                <w:noProof/>
                <w:sz w:val="22"/>
                <w:lang w:eastAsia="en-AU"/>
              </w:rPr>
              <w:tab/>
            </w:r>
            <w:r w:rsidR="007D4B74" w:rsidRPr="00145615">
              <w:rPr>
                <w:rStyle w:val="Hyperlink"/>
                <w:noProof/>
              </w:rPr>
              <w:t>Interaction with other Government processes</w:t>
            </w:r>
            <w:r w:rsidR="007D4B74">
              <w:rPr>
                <w:noProof/>
                <w:webHidden/>
              </w:rPr>
              <w:tab/>
            </w:r>
            <w:r w:rsidR="007D4B74">
              <w:rPr>
                <w:noProof/>
                <w:webHidden/>
              </w:rPr>
              <w:fldChar w:fldCharType="begin"/>
            </w:r>
            <w:r w:rsidR="007D4B74">
              <w:rPr>
                <w:noProof/>
                <w:webHidden/>
              </w:rPr>
              <w:instrText xml:space="preserve"> PAGEREF _Toc53129450 \h </w:instrText>
            </w:r>
            <w:r w:rsidR="007D4B74">
              <w:rPr>
                <w:noProof/>
                <w:webHidden/>
              </w:rPr>
            </w:r>
            <w:r w:rsidR="007D4B74">
              <w:rPr>
                <w:noProof/>
                <w:webHidden/>
              </w:rPr>
              <w:fldChar w:fldCharType="separate"/>
            </w:r>
            <w:r w:rsidR="007D4B74">
              <w:rPr>
                <w:noProof/>
                <w:webHidden/>
              </w:rPr>
              <w:t>18</w:t>
            </w:r>
            <w:r w:rsidR="007D4B74">
              <w:rPr>
                <w:noProof/>
                <w:webHidden/>
              </w:rPr>
              <w:fldChar w:fldCharType="end"/>
            </w:r>
          </w:hyperlink>
        </w:p>
        <w:p w14:paraId="075FFC5F" w14:textId="77777777" w:rsidR="007D4B74" w:rsidRDefault="0080045D">
          <w:pPr>
            <w:pStyle w:val="TOC2"/>
            <w:tabs>
              <w:tab w:val="left" w:pos="880"/>
            </w:tabs>
            <w:rPr>
              <w:rFonts w:asciiTheme="minorHAnsi" w:eastAsiaTheme="minorEastAsia" w:hAnsiTheme="minorHAnsi"/>
              <w:noProof/>
              <w:sz w:val="22"/>
              <w:lang w:eastAsia="en-AU"/>
            </w:rPr>
          </w:pPr>
          <w:hyperlink w:anchor="_Toc53129451" w:history="1">
            <w:r w:rsidR="007D4B74" w:rsidRPr="00145615">
              <w:rPr>
                <w:rStyle w:val="Hyperlink"/>
                <w:noProof/>
              </w:rPr>
              <w:t>1.3</w:t>
            </w:r>
            <w:r w:rsidR="007D4B74">
              <w:rPr>
                <w:rFonts w:asciiTheme="minorHAnsi" w:eastAsiaTheme="minorEastAsia" w:hAnsiTheme="minorHAnsi"/>
                <w:noProof/>
                <w:sz w:val="22"/>
                <w:lang w:eastAsia="en-AU"/>
              </w:rPr>
              <w:tab/>
            </w:r>
            <w:r w:rsidR="007D4B74" w:rsidRPr="00145615">
              <w:rPr>
                <w:rStyle w:val="Hyperlink"/>
                <w:noProof/>
              </w:rPr>
              <w:t>Principles for this review</w:t>
            </w:r>
            <w:r w:rsidR="007D4B74">
              <w:rPr>
                <w:noProof/>
                <w:webHidden/>
              </w:rPr>
              <w:tab/>
            </w:r>
            <w:r w:rsidR="007D4B74">
              <w:rPr>
                <w:noProof/>
                <w:webHidden/>
              </w:rPr>
              <w:fldChar w:fldCharType="begin"/>
            </w:r>
            <w:r w:rsidR="007D4B74">
              <w:rPr>
                <w:noProof/>
                <w:webHidden/>
              </w:rPr>
              <w:instrText xml:space="preserve"> PAGEREF _Toc53129451 \h </w:instrText>
            </w:r>
            <w:r w:rsidR="007D4B74">
              <w:rPr>
                <w:noProof/>
                <w:webHidden/>
              </w:rPr>
            </w:r>
            <w:r w:rsidR="007D4B74">
              <w:rPr>
                <w:noProof/>
                <w:webHidden/>
              </w:rPr>
              <w:fldChar w:fldCharType="separate"/>
            </w:r>
            <w:r w:rsidR="007D4B74">
              <w:rPr>
                <w:noProof/>
                <w:webHidden/>
              </w:rPr>
              <w:t>19</w:t>
            </w:r>
            <w:r w:rsidR="007D4B74">
              <w:rPr>
                <w:noProof/>
                <w:webHidden/>
              </w:rPr>
              <w:fldChar w:fldCharType="end"/>
            </w:r>
          </w:hyperlink>
        </w:p>
        <w:p w14:paraId="0861758C" w14:textId="77777777" w:rsidR="007D4B74" w:rsidRDefault="0080045D">
          <w:pPr>
            <w:pStyle w:val="TOC2"/>
            <w:tabs>
              <w:tab w:val="left" w:pos="880"/>
            </w:tabs>
            <w:rPr>
              <w:rFonts w:asciiTheme="minorHAnsi" w:eastAsiaTheme="minorEastAsia" w:hAnsiTheme="minorHAnsi"/>
              <w:noProof/>
              <w:sz w:val="22"/>
              <w:lang w:eastAsia="en-AU"/>
            </w:rPr>
          </w:pPr>
          <w:hyperlink w:anchor="_Toc53129452" w:history="1">
            <w:r w:rsidR="007D4B74" w:rsidRPr="00145615">
              <w:rPr>
                <w:rStyle w:val="Hyperlink"/>
                <w:noProof/>
              </w:rPr>
              <w:t>1.4</w:t>
            </w:r>
            <w:r w:rsidR="007D4B74">
              <w:rPr>
                <w:rFonts w:asciiTheme="minorHAnsi" w:eastAsiaTheme="minorEastAsia" w:hAnsiTheme="minorHAnsi"/>
                <w:noProof/>
                <w:sz w:val="22"/>
                <w:lang w:eastAsia="en-AU"/>
              </w:rPr>
              <w:tab/>
            </w:r>
            <w:r w:rsidR="007D4B74" w:rsidRPr="00145615">
              <w:rPr>
                <w:rStyle w:val="Hyperlink"/>
                <w:noProof/>
              </w:rPr>
              <w:t>Public consultation</w:t>
            </w:r>
            <w:r w:rsidR="007D4B74">
              <w:rPr>
                <w:noProof/>
                <w:webHidden/>
              </w:rPr>
              <w:tab/>
            </w:r>
            <w:r w:rsidR="007D4B74">
              <w:rPr>
                <w:noProof/>
                <w:webHidden/>
              </w:rPr>
              <w:fldChar w:fldCharType="begin"/>
            </w:r>
            <w:r w:rsidR="007D4B74">
              <w:rPr>
                <w:noProof/>
                <w:webHidden/>
              </w:rPr>
              <w:instrText xml:space="preserve"> PAGEREF _Toc53129452 \h </w:instrText>
            </w:r>
            <w:r w:rsidR="007D4B74">
              <w:rPr>
                <w:noProof/>
                <w:webHidden/>
              </w:rPr>
            </w:r>
            <w:r w:rsidR="007D4B74">
              <w:rPr>
                <w:noProof/>
                <w:webHidden/>
              </w:rPr>
              <w:fldChar w:fldCharType="separate"/>
            </w:r>
            <w:r w:rsidR="007D4B74">
              <w:rPr>
                <w:noProof/>
                <w:webHidden/>
              </w:rPr>
              <w:t>19</w:t>
            </w:r>
            <w:r w:rsidR="007D4B74">
              <w:rPr>
                <w:noProof/>
                <w:webHidden/>
              </w:rPr>
              <w:fldChar w:fldCharType="end"/>
            </w:r>
          </w:hyperlink>
        </w:p>
        <w:p w14:paraId="1DE735B5" w14:textId="77777777" w:rsidR="007D4B74" w:rsidRDefault="0080045D">
          <w:pPr>
            <w:pStyle w:val="TOC1"/>
            <w:rPr>
              <w:rFonts w:asciiTheme="minorHAnsi" w:eastAsiaTheme="minorEastAsia" w:hAnsiTheme="minorHAnsi"/>
              <w:noProof/>
              <w:sz w:val="22"/>
              <w:lang w:eastAsia="en-AU"/>
            </w:rPr>
          </w:pPr>
          <w:hyperlink w:anchor="_Toc53129453" w:history="1">
            <w:r w:rsidR="007D4B74" w:rsidRPr="00145615">
              <w:rPr>
                <w:rStyle w:val="Hyperlink"/>
                <w:noProof/>
              </w:rPr>
              <w:t>Chapter 2: Overview of the Emissions Reduction Fund</w:t>
            </w:r>
            <w:r w:rsidR="007D4B74">
              <w:rPr>
                <w:noProof/>
                <w:webHidden/>
              </w:rPr>
              <w:tab/>
            </w:r>
            <w:r w:rsidR="007D4B74">
              <w:rPr>
                <w:noProof/>
                <w:webHidden/>
              </w:rPr>
              <w:fldChar w:fldCharType="begin"/>
            </w:r>
            <w:r w:rsidR="007D4B74">
              <w:rPr>
                <w:noProof/>
                <w:webHidden/>
              </w:rPr>
              <w:instrText xml:space="preserve"> PAGEREF _Toc53129453 \h </w:instrText>
            </w:r>
            <w:r w:rsidR="007D4B74">
              <w:rPr>
                <w:noProof/>
                <w:webHidden/>
              </w:rPr>
            </w:r>
            <w:r w:rsidR="007D4B74">
              <w:rPr>
                <w:noProof/>
                <w:webHidden/>
              </w:rPr>
              <w:fldChar w:fldCharType="separate"/>
            </w:r>
            <w:r w:rsidR="007D4B74">
              <w:rPr>
                <w:noProof/>
                <w:webHidden/>
              </w:rPr>
              <w:t>21</w:t>
            </w:r>
            <w:r w:rsidR="007D4B74">
              <w:rPr>
                <w:noProof/>
                <w:webHidden/>
              </w:rPr>
              <w:fldChar w:fldCharType="end"/>
            </w:r>
          </w:hyperlink>
        </w:p>
        <w:p w14:paraId="4A041CEC" w14:textId="77777777" w:rsidR="007D4B74" w:rsidRDefault="0080045D">
          <w:pPr>
            <w:pStyle w:val="TOC2"/>
            <w:tabs>
              <w:tab w:val="left" w:pos="880"/>
            </w:tabs>
            <w:rPr>
              <w:rFonts w:asciiTheme="minorHAnsi" w:eastAsiaTheme="minorEastAsia" w:hAnsiTheme="minorHAnsi"/>
              <w:noProof/>
              <w:sz w:val="22"/>
              <w:lang w:eastAsia="en-AU"/>
            </w:rPr>
          </w:pPr>
          <w:hyperlink w:anchor="_Toc53129454" w:history="1">
            <w:r w:rsidR="007D4B74" w:rsidRPr="00145615">
              <w:rPr>
                <w:rStyle w:val="Hyperlink"/>
                <w:noProof/>
              </w:rPr>
              <w:t>2.1</w:t>
            </w:r>
            <w:r w:rsidR="007D4B74">
              <w:rPr>
                <w:rFonts w:asciiTheme="minorHAnsi" w:eastAsiaTheme="minorEastAsia" w:hAnsiTheme="minorHAnsi"/>
                <w:noProof/>
                <w:sz w:val="22"/>
                <w:lang w:eastAsia="en-AU"/>
              </w:rPr>
              <w:tab/>
            </w:r>
            <w:r w:rsidR="007D4B74" w:rsidRPr="00145615">
              <w:rPr>
                <w:rStyle w:val="Hyperlink"/>
                <w:noProof/>
              </w:rPr>
              <w:t>Overview of the Emissions Reduction Fund</w:t>
            </w:r>
            <w:r w:rsidR="007D4B74">
              <w:rPr>
                <w:noProof/>
                <w:webHidden/>
              </w:rPr>
              <w:tab/>
            </w:r>
            <w:r w:rsidR="007D4B74">
              <w:rPr>
                <w:noProof/>
                <w:webHidden/>
              </w:rPr>
              <w:fldChar w:fldCharType="begin"/>
            </w:r>
            <w:r w:rsidR="007D4B74">
              <w:rPr>
                <w:noProof/>
                <w:webHidden/>
              </w:rPr>
              <w:instrText xml:space="preserve"> PAGEREF _Toc53129454 \h </w:instrText>
            </w:r>
            <w:r w:rsidR="007D4B74">
              <w:rPr>
                <w:noProof/>
                <w:webHidden/>
              </w:rPr>
            </w:r>
            <w:r w:rsidR="007D4B74">
              <w:rPr>
                <w:noProof/>
                <w:webHidden/>
              </w:rPr>
              <w:fldChar w:fldCharType="separate"/>
            </w:r>
            <w:r w:rsidR="007D4B74">
              <w:rPr>
                <w:noProof/>
                <w:webHidden/>
              </w:rPr>
              <w:t>21</w:t>
            </w:r>
            <w:r w:rsidR="007D4B74">
              <w:rPr>
                <w:noProof/>
                <w:webHidden/>
              </w:rPr>
              <w:fldChar w:fldCharType="end"/>
            </w:r>
          </w:hyperlink>
        </w:p>
        <w:p w14:paraId="1AD65E1B" w14:textId="77777777" w:rsidR="007D4B74" w:rsidRDefault="0080045D">
          <w:pPr>
            <w:pStyle w:val="TOC1"/>
            <w:rPr>
              <w:rFonts w:asciiTheme="minorHAnsi" w:eastAsiaTheme="minorEastAsia" w:hAnsiTheme="minorHAnsi"/>
              <w:noProof/>
              <w:sz w:val="22"/>
              <w:lang w:eastAsia="en-AU"/>
            </w:rPr>
          </w:pPr>
          <w:hyperlink w:anchor="_Toc53129455" w:history="1">
            <w:r w:rsidR="007D4B74" w:rsidRPr="00145615">
              <w:rPr>
                <w:rStyle w:val="Hyperlink"/>
                <w:noProof/>
              </w:rPr>
              <w:t>Chapter 3: Performance of the Emissions Reduction Fund</w:t>
            </w:r>
            <w:r w:rsidR="007D4B74">
              <w:rPr>
                <w:noProof/>
                <w:webHidden/>
              </w:rPr>
              <w:tab/>
            </w:r>
            <w:r w:rsidR="007D4B74">
              <w:rPr>
                <w:noProof/>
                <w:webHidden/>
              </w:rPr>
              <w:fldChar w:fldCharType="begin"/>
            </w:r>
            <w:r w:rsidR="007D4B74">
              <w:rPr>
                <w:noProof/>
                <w:webHidden/>
              </w:rPr>
              <w:instrText xml:space="preserve"> PAGEREF _Toc53129455 \h </w:instrText>
            </w:r>
            <w:r w:rsidR="007D4B74">
              <w:rPr>
                <w:noProof/>
                <w:webHidden/>
              </w:rPr>
            </w:r>
            <w:r w:rsidR="007D4B74">
              <w:rPr>
                <w:noProof/>
                <w:webHidden/>
              </w:rPr>
              <w:fldChar w:fldCharType="separate"/>
            </w:r>
            <w:r w:rsidR="007D4B74">
              <w:rPr>
                <w:noProof/>
                <w:webHidden/>
              </w:rPr>
              <w:t>26</w:t>
            </w:r>
            <w:r w:rsidR="007D4B74">
              <w:rPr>
                <w:noProof/>
                <w:webHidden/>
              </w:rPr>
              <w:fldChar w:fldCharType="end"/>
            </w:r>
          </w:hyperlink>
        </w:p>
        <w:p w14:paraId="2CE4F984" w14:textId="77777777" w:rsidR="007D4B74" w:rsidRDefault="0080045D">
          <w:pPr>
            <w:pStyle w:val="TOC2"/>
            <w:tabs>
              <w:tab w:val="left" w:pos="880"/>
            </w:tabs>
            <w:rPr>
              <w:rFonts w:asciiTheme="minorHAnsi" w:eastAsiaTheme="minorEastAsia" w:hAnsiTheme="minorHAnsi"/>
              <w:noProof/>
              <w:sz w:val="22"/>
              <w:lang w:eastAsia="en-AU"/>
            </w:rPr>
          </w:pPr>
          <w:hyperlink w:anchor="_Toc53129456" w:history="1">
            <w:r w:rsidR="007D4B74" w:rsidRPr="00145615">
              <w:rPr>
                <w:rStyle w:val="Hyperlink"/>
                <w:noProof/>
              </w:rPr>
              <w:t>3.1</w:t>
            </w:r>
            <w:r w:rsidR="007D4B74">
              <w:rPr>
                <w:rFonts w:asciiTheme="minorHAnsi" w:eastAsiaTheme="minorEastAsia" w:hAnsiTheme="minorHAnsi"/>
                <w:noProof/>
                <w:sz w:val="22"/>
                <w:lang w:eastAsia="en-AU"/>
              </w:rPr>
              <w:tab/>
            </w:r>
            <w:r w:rsidR="007D4B74" w:rsidRPr="00145615">
              <w:rPr>
                <w:rStyle w:val="Hyperlink"/>
                <w:noProof/>
              </w:rPr>
              <w:t>Crediting abatement</w:t>
            </w:r>
            <w:r w:rsidR="007D4B74">
              <w:rPr>
                <w:noProof/>
                <w:webHidden/>
              </w:rPr>
              <w:tab/>
            </w:r>
            <w:r w:rsidR="007D4B74">
              <w:rPr>
                <w:noProof/>
                <w:webHidden/>
              </w:rPr>
              <w:fldChar w:fldCharType="begin"/>
            </w:r>
            <w:r w:rsidR="007D4B74">
              <w:rPr>
                <w:noProof/>
                <w:webHidden/>
              </w:rPr>
              <w:instrText xml:space="preserve"> PAGEREF _Toc53129456 \h </w:instrText>
            </w:r>
            <w:r w:rsidR="007D4B74">
              <w:rPr>
                <w:noProof/>
                <w:webHidden/>
              </w:rPr>
            </w:r>
            <w:r w:rsidR="007D4B74">
              <w:rPr>
                <w:noProof/>
                <w:webHidden/>
              </w:rPr>
              <w:fldChar w:fldCharType="separate"/>
            </w:r>
            <w:r w:rsidR="007D4B74">
              <w:rPr>
                <w:noProof/>
                <w:webHidden/>
              </w:rPr>
              <w:t>26</w:t>
            </w:r>
            <w:r w:rsidR="007D4B74">
              <w:rPr>
                <w:noProof/>
                <w:webHidden/>
              </w:rPr>
              <w:fldChar w:fldCharType="end"/>
            </w:r>
          </w:hyperlink>
        </w:p>
        <w:p w14:paraId="67451045" w14:textId="77777777" w:rsidR="007D4B74" w:rsidRDefault="0080045D">
          <w:pPr>
            <w:pStyle w:val="TOC2"/>
            <w:tabs>
              <w:tab w:val="left" w:pos="880"/>
            </w:tabs>
            <w:rPr>
              <w:rFonts w:asciiTheme="minorHAnsi" w:eastAsiaTheme="minorEastAsia" w:hAnsiTheme="minorHAnsi"/>
              <w:noProof/>
              <w:sz w:val="22"/>
              <w:lang w:eastAsia="en-AU"/>
            </w:rPr>
          </w:pPr>
          <w:hyperlink w:anchor="_Toc53129457" w:history="1">
            <w:r w:rsidR="007D4B74" w:rsidRPr="00145615">
              <w:rPr>
                <w:rStyle w:val="Hyperlink"/>
                <w:noProof/>
              </w:rPr>
              <w:t>3.2</w:t>
            </w:r>
            <w:r w:rsidR="007D4B74">
              <w:rPr>
                <w:rFonts w:asciiTheme="minorHAnsi" w:eastAsiaTheme="minorEastAsia" w:hAnsiTheme="minorHAnsi"/>
                <w:noProof/>
                <w:sz w:val="22"/>
                <w:lang w:eastAsia="en-AU"/>
              </w:rPr>
              <w:tab/>
            </w:r>
            <w:r w:rsidR="007D4B74" w:rsidRPr="00145615">
              <w:rPr>
                <w:rStyle w:val="Hyperlink"/>
                <w:noProof/>
              </w:rPr>
              <w:t>Government purchasing</w:t>
            </w:r>
            <w:r w:rsidR="007D4B74">
              <w:rPr>
                <w:noProof/>
                <w:webHidden/>
              </w:rPr>
              <w:tab/>
            </w:r>
            <w:r w:rsidR="007D4B74">
              <w:rPr>
                <w:noProof/>
                <w:webHidden/>
              </w:rPr>
              <w:fldChar w:fldCharType="begin"/>
            </w:r>
            <w:r w:rsidR="007D4B74">
              <w:rPr>
                <w:noProof/>
                <w:webHidden/>
              </w:rPr>
              <w:instrText xml:space="preserve"> PAGEREF _Toc53129457 \h </w:instrText>
            </w:r>
            <w:r w:rsidR="007D4B74">
              <w:rPr>
                <w:noProof/>
                <w:webHidden/>
              </w:rPr>
            </w:r>
            <w:r w:rsidR="007D4B74">
              <w:rPr>
                <w:noProof/>
                <w:webHidden/>
              </w:rPr>
              <w:fldChar w:fldCharType="separate"/>
            </w:r>
            <w:r w:rsidR="007D4B74">
              <w:rPr>
                <w:noProof/>
                <w:webHidden/>
              </w:rPr>
              <w:t>29</w:t>
            </w:r>
            <w:r w:rsidR="007D4B74">
              <w:rPr>
                <w:noProof/>
                <w:webHidden/>
              </w:rPr>
              <w:fldChar w:fldCharType="end"/>
            </w:r>
          </w:hyperlink>
        </w:p>
        <w:p w14:paraId="5F8E26AB" w14:textId="77777777" w:rsidR="007D4B74" w:rsidRDefault="0080045D">
          <w:pPr>
            <w:pStyle w:val="TOC1"/>
            <w:rPr>
              <w:rFonts w:asciiTheme="minorHAnsi" w:eastAsiaTheme="minorEastAsia" w:hAnsiTheme="minorHAnsi"/>
              <w:noProof/>
              <w:sz w:val="22"/>
              <w:lang w:eastAsia="en-AU"/>
            </w:rPr>
          </w:pPr>
          <w:hyperlink w:anchor="_Toc53129458" w:history="1">
            <w:r w:rsidR="007D4B74" w:rsidRPr="00145615">
              <w:rPr>
                <w:rStyle w:val="Hyperlink"/>
                <w:noProof/>
              </w:rPr>
              <w:t>Chapter 4: Signalling demand for emissions reductions and boosting supply</w:t>
            </w:r>
            <w:r w:rsidR="007D4B74">
              <w:rPr>
                <w:noProof/>
                <w:webHidden/>
              </w:rPr>
              <w:tab/>
            </w:r>
            <w:r w:rsidR="007D4B74">
              <w:rPr>
                <w:noProof/>
                <w:webHidden/>
              </w:rPr>
              <w:fldChar w:fldCharType="begin"/>
            </w:r>
            <w:r w:rsidR="007D4B74">
              <w:rPr>
                <w:noProof/>
                <w:webHidden/>
              </w:rPr>
              <w:instrText xml:space="preserve"> PAGEREF _Toc53129458 \h </w:instrText>
            </w:r>
            <w:r w:rsidR="007D4B74">
              <w:rPr>
                <w:noProof/>
                <w:webHidden/>
              </w:rPr>
            </w:r>
            <w:r w:rsidR="007D4B74">
              <w:rPr>
                <w:noProof/>
                <w:webHidden/>
              </w:rPr>
              <w:fldChar w:fldCharType="separate"/>
            </w:r>
            <w:r w:rsidR="007D4B74">
              <w:rPr>
                <w:noProof/>
                <w:webHidden/>
              </w:rPr>
              <w:t>34</w:t>
            </w:r>
            <w:r w:rsidR="007D4B74">
              <w:rPr>
                <w:noProof/>
                <w:webHidden/>
              </w:rPr>
              <w:fldChar w:fldCharType="end"/>
            </w:r>
          </w:hyperlink>
        </w:p>
        <w:p w14:paraId="6B6E54C5" w14:textId="77777777" w:rsidR="007D4B74" w:rsidRDefault="0080045D">
          <w:pPr>
            <w:pStyle w:val="TOC2"/>
            <w:tabs>
              <w:tab w:val="left" w:pos="880"/>
            </w:tabs>
            <w:rPr>
              <w:rFonts w:asciiTheme="minorHAnsi" w:eastAsiaTheme="minorEastAsia" w:hAnsiTheme="minorHAnsi"/>
              <w:noProof/>
              <w:sz w:val="22"/>
              <w:lang w:eastAsia="en-AU"/>
            </w:rPr>
          </w:pPr>
          <w:hyperlink w:anchor="_Toc53129459" w:history="1">
            <w:r w:rsidR="007D4B74" w:rsidRPr="00145615">
              <w:rPr>
                <w:rStyle w:val="Hyperlink"/>
                <w:noProof/>
              </w:rPr>
              <w:t>4.1</w:t>
            </w:r>
            <w:r w:rsidR="007D4B74">
              <w:rPr>
                <w:rFonts w:asciiTheme="minorHAnsi" w:eastAsiaTheme="minorEastAsia" w:hAnsiTheme="minorHAnsi"/>
                <w:noProof/>
                <w:sz w:val="22"/>
                <w:lang w:eastAsia="en-AU"/>
              </w:rPr>
              <w:tab/>
            </w:r>
            <w:r w:rsidR="007D4B74" w:rsidRPr="00145615">
              <w:rPr>
                <w:rStyle w:val="Hyperlink"/>
                <w:noProof/>
              </w:rPr>
              <w:t>Demand for ACCUs</w:t>
            </w:r>
            <w:r w:rsidR="007D4B74">
              <w:rPr>
                <w:noProof/>
                <w:webHidden/>
              </w:rPr>
              <w:tab/>
            </w:r>
            <w:r w:rsidR="007D4B74">
              <w:rPr>
                <w:noProof/>
                <w:webHidden/>
              </w:rPr>
              <w:fldChar w:fldCharType="begin"/>
            </w:r>
            <w:r w:rsidR="007D4B74">
              <w:rPr>
                <w:noProof/>
                <w:webHidden/>
              </w:rPr>
              <w:instrText xml:space="preserve"> PAGEREF _Toc53129459 \h </w:instrText>
            </w:r>
            <w:r w:rsidR="007D4B74">
              <w:rPr>
                <w:noProof/>
                <w:webHidden/>
              </w:rPr>
            </w:r>
            <w:r w:rsidR="007D4B74">
              <w:rPr>
                <w:noProof/>
                <w:webHidden/>
              </w:rPr>
              <w:fldChar w:fldCharType="separate"/>
            </w:r>
            <w:r w:rsidR="007D4B74">
              <w:rPr>
                <w:noProof/>
                <w:webHidden/>
              </w:rPr>
              <w:t>34</w:t>
            </w:r>
            <w:r w:rsidR="007D4B74">
              <w:rPr>
                <w:noProof/>
                <w:webHidden/>
              </w:rPr>
              <w:fldChar w:fldCharType="end"/>
            </w:r>
          </w:hyperlink>
        </w:p>
        <w:p w14:paraId="02B703EE" w14:textId="77777777" w:rsidR="007D4B74" w:rsidRDefault="0080045D">
          <w:pPr>
            <w:pStyle w:val="TOC2"/>
            <w:tabs>
              <w:tab w:val="left" w:pos="880"/>
            </w:tabs>
            <w:rPr>
              <w:rFonts w:asciiTheme="minorHAnsi" w:eastAsiaTheme="minorEastAsia" w:hAnsiTheme="minorHAnsi"/>
              <w:noProof/>
              <w:sz w:val="22"/>
              <w:lang w:eastAsia="en-AU"/>
            </w:rPr>
          </w:pPr>
          <w:hyperlink w:anchor="_Toc53129460" w:history="1">
            <w:r w:rsidR="007D4B74" w:rsidRPr="00145615">
              <w:rPr>
                <w:rStyle w:val="Hyperlink"/>
                <w:noProof/>
              </w:rPr>
              <w:t>4.2</w:t>
            </w:r>
            <w:r w:rsidR="007D4B74">
              <w:rPr>
                <w:rFonts w:asciiTheme="minorHAnsi" w:eastAsiaTheme="minorEastAsia" w:hAnsiTheme="minorHAnsi"/>
                <w:noProof/>
                <w:sz w:val="22"/>
                <w:lang w:eastAsia="en-AU"/>
              </w:rPr>
              <w:tab/>
            </w:r>
            <w:r w:rsidR="007D4B74" w:rsidRPr="00145615">
              <w:rPr>
                <w:rStyle w:val="Hyperlink"/>
                <w:noProof/>
              </w:rPr>
              <w:t>Compliance market demand</w:t>
            </w:r>
            <w:r w:rsidR="007D4B74">
              <w:rPr>
                <w:noProof/>
                <w:webHidden/>
              </w:rPr>
              <w:tab/>
            </w:r>
            <w:r w:rsidR="007D4B74">
              <w:rPr>
                <w:noProof/>
                <w:webHidden/>
              </w:rPr>
              <w:fldChar w:fldCharType="begin"/>
            </w:r>
            <w:r w:rsidR="007D4B74">
              <w:rPr>
                <w:noProof/>
                <w:webHidden/>
              </w:rPr>
              <w:instrText xml:space="preserve"> PAGEREF _Toc53129460 \h </w:instrText>
            </w:r>
            <w:r w:rsidR="007D4B74">
              <w:rPr>
                <w:noProof/>
                <w:webHidden/>
              </w:rPr>
            </w:r>
            <w:r w:rsidR="007D4B74">
              <w:rPr>
                <w:noProof/>
                <w:webHidden/>
              </w:rPr>
              <w:fldChar w:fldCharType="separate"/>
            </w:r>
            <w:r w:rsidR="007D4B74">
              <w:rPr>
                <w:noProof/>
                <w:webHidden/>
              </w:rPr>
              <w:t>37</w:t>
            </w:r>
            <w:r w:rsidR="007D4B74">
              <w:rPr>
                <w:noProof/>
                <w:webHidden/>
              </w:rPr>
              <w:fldChar w:fldCharType="end"/>
            </w:r>
          </w:hyperlink>
        </w:p>
        <w:p w14:paraId="421E6667" w14:textId="77777777" w:rsidR="007D4B74" w:rsidRDefault="0080045D">
          <w:pPr>
            <w:pStyle w:val="TOC2"/>
            <w:tabs>
              <w:tab w:val="left" w:pos="880"/>
            </w:tabs>
            <w:rPr>
              <w:rFonts w:asciiTheme="minorHAnsi" w:eastAsiaTheme="minorEastAsia" w:hAnsiTheme="minorHAnsi"/>
              <w:noProof/>
              <w:sz w:val="22"/>
              <w:lang w:eastAsia="en-AU"/>
            </w:rPr>
          </w:pPr>
          <w:hyperlink w:anchor="_Toc53129461" w:history="1">
            <w:r w:rsidR="007D4B74" w:rsidRPr="00145615">
              <w:rPr>
                <w:rStyle w:val="Hyperlink"/>
                <w:noProof/>
              </w:rPr>
              <w:t>4.3</w:t>
            </w:r>
            <w:r w:rsidR="007D4B74">
              <w:rPr>
                <w:rFonts w:asciiTheme="minorHAnsi" w:eastAsiaTheme="minorEastAsia" w:hAnsiTheme="minorHAnsi"/>
                <w:noProof/>
                <w:sz w:val="22"/>
                <w:lang w:eastAsia="en-AU"/>
              </w:rPr>
              <w:tab/>
            </w:r>
            <w:r w:rsidR="007D4B74" w:rsidRPr="00145615">
              <w:rPr>
                <w:rStyle w:val="Hyperlink"/>
                <w:noProof/>
              </w:rPr>
              <w:t>Voluntary market demand</w:t>
            </w:r>
            <w:r w:rsidR="007D4B74">
              <w:rPr>
                <w:noProof/>
                <w:webHidden/>
              </w:rPr>
              <w:tab/>
            </w:r>
            <w:r w:rsidR="007D4B74">
              <w:rPr>
                <w:noProof/>
                <w:webHidden/>
              </w:rPr>
              <w:fldChar w:fldCharType="begin"/>
            </w:r>
            <w:r w:rsidR="007D4B74">
              <w:rPr>
                <w:noProof/>
                <w:webHidden/>
              </w:rPr>
              <w:instrText xml:space="preserve"> PAGEREF _Toc53129461 \h </w:instrText>
            </w:r>
            <w:r w:rsidR="007D4B74">
              <w:rPr>
                <w:noProof/>
                <w:webHidden/>
              </w:rPr>
            </w:r>
            <w:r w:rsidR="007D4B74">
              <w:rPr>
                <w:noProof/>
                <w:webHidden/>
              </w:rPr>
              <w:fldChar w:fldCharType="separate"/>
            </w:r>
            <w:r w:rsidR="007D4B74">
              <w:rPr>
                <w:noProof/>
                <w:webHidden/>
              </w:rPr>
              <w:t>39</w:t>
            </w:r>
            <w:r w:rsidR="007D4B74">
              <w:rPr>
                <w:noProof/>
                <w:webHidden/>
              </w:rPr>
              <w:fldChar w:fldCharType="end"/>
            </w:r>
          </w:hyperlink>
        </w:p>
        <w:p w14:paraId="234B45F4" w14:textId="77777777" w:rsidR="007D4B74" w:rsidRDefault="0080045D">
          <w:pPr>
            <w:pStyle w:val="TOC2"/>
            <w:tabs>
              <w:tab w:val="left" w:pos="880"/>
            </w:tabs>
            <w:rPr>
              <w:rFonts w:asciiTheme="minorHAnsi" w:eastAsiaTheme="minorEastAsia" w:hAnsiTheme="minorHAnsi"/>
              <w:noProof/>
              <w:sz w:val="22"/>
              <w:lang w:eastAsia="en-AU"/>
            </w:rPr>
          </w:pPr>
          <w:hyperlink w:anchor="_Toc53129462" w:history="1">
            <w:r w:rsidR="007D4B74" w:rsidRPr="00145615">
              <w:rPr>
                <w:rStyle w:val="Hyperlink"/>
                <w:noProof/>
              </w:rPr>
              <w:t>4.4</w:t>
            </w:r>
            <w:r w:rsidR="007D4B74">
              <w:rPr>
                <w:rFonts w:asciiTheme="minorHAnsi" w:eastAsiaTheme="minorEastAsia" w:hAnsiTheme="minorHAnsi"/>
                <w:noProof/>
                <w:sz w:val="22"/>
                <w:lang w:eastAsia="en-AU"/>
              </w:rPr>
              <w:tab/>
            </w:r>
            <w:r w:rsidR="007D4B74" w:rsidRPr="00145615">
              <w:rPr>
                <w:rStyle w:val="Hyperlink"/>
                <w:noProof/>
              </w:rPr>
              <w:t>Innovative financing</w:t>
            </w:r>
            <w:r w:rsidR="007D4B74">
              <w:rPr>
                <w:noProof/>
                <w:webHidden/>
              </w:rPr>
              <w:tab/>
            </w:r>
            <w:r w:rsidR="007D4B74">
              <w:rPr>
                <w:noProof/>
                <w:webHidden/>
              </w:rPr>
              <w:fldChar w:fldCharType="begin"/>
            </w:r>
            <w:r w:rsidR="007D4B74">
              <w:rPr>
                <w:noProof/>
                <w:webHidden/>
              </w:rPr>
              <w:instrText xml:space="preserve"> PAGEREF _Toc53129462 \h </w:instrText>
            </w:r>
            <w:r w:rsidR="007D4B74">
              <w:rPr>
                <w:noProof/>
                <w:webHidden/>
              </w:rPr>
            </w:r>
            <w:r w:rsidR="007D4B74">
              <w:rPr>
                <w:noProof/>
                <w:webHidden/>
              </w:rPr>
              <w:fldChar w:fldCharType="separate"/>
            </w:r>
            <w:r w:rsidR="007D4B74">
              <w:rPr>
                <w:noProof/>
                <w:webHidden/>
              </w:rPr>
              <w:t>40</w:t>
            </w:r>
            <w:r w:rsidR="007D4B74">
              <w:rPr>
                <w:noProof/>
                <w:webHidden/>
              </w:rPr>
              <w:fldChar w:fldCharType="end"/>
            </w:r>
          </w:hyperlink>
        </w:p>
        <w:p w14:paraId="19C76587" w14:textId="77777777" w:rsidR="007D4B74" w:rsidRDefault="0080045D">
          <w:pPr>
            <w:pStyle w:val="TOC1"/>
            <w:rPr>
              <w:rFonts w:asciiTheme="minorHAnsi" w:eastAsiaTheme="minorEastAsia" w:hAnsiTheme="minorHAnsi"/>
              <w:noProof/>
              <w:sz w:val="22"/>
              <w:lang w:eastAsia="en-AU"/>
            </w:rPr>
          </w:pPr>
          <w:hyperlink w:anchor="_Toc53129463" w:history="1">
            <w:r w:rsidR="007D4B74" w:rsidRPr="00145615">
              <w:rPr>
                <w:rStyle w:val="Hyperlink"/>
                <w:noProof/>
              </w:rPr>
              <w:t>Chapter 5: Maintaining integrity</w:t>
            </w:r>
            <w:r w:rsidR="007D4B74">
              <w:rPr>
                <w:noProof/>
                <w:webHidden/>
              </w:rPr>
              <w:tab/>
            </w:r>
            <w:r w:rsidR="007D4B74">
              <w:rPr>
                <w:noProof/>
                <w:webHidden/>
              </w:rPr>
              <w:fldChar w:fldCharType="begin"/>
            </w:r>
            <w:r w:rsidR="007D4B74">
              <w:rPr>
                <w:noProof/>
                <w:webHidden/>
              </w:rPr>
              <w:instrText xml:space="preserve"> PAGEREF _Toc53129463 \h </w:instrText>
            </w:r>
            <w:r w:rsidR="007D4B74">
              <w:rPr>
                <w:noProof/>
                <w:webHidden/>
              </w:rPr>
            </w:r>
            <w:r w:rsidR="007D4B74">
              <w:rPr>
                <w:noProof/>
                <w:webHidden/>
              </w:rPr>
              <w:fldChar w:fldCharType="separate"/>
            </w:r>
            <w:r w:rsidR="007D4B74">
              <w:rPr>
                <w:noProof/>
                <w:webHidden/>
              </w:rPr>
              <w:t>46</w:t>
            </w:r>
            <w:r w:rsidR="007D4B74">
              <w:rPr>
                <w:noProof/>
                <w:webHidden/>
              </w:rPr>
              <w:fldChar w:fldCharType="end"/>
            </w:r>
          </w:hyperlink>
        </w:p>
        <w:p w14:paraId="118EB540" w14:textId="77777777" w:rsidR="007D4B74" w:rsidRDefault="0080045D">
          <w:pPr>
            <w:pStyle w:val="TOC2"/>
            <w:tabs>
              <w:tab w:val="left" w:pos="880"/>
            </w:tabs>
            <w:rPr>
              <w:rFonts w:asciiTheme="minorHAnsi" w:eastAsiaTheme="minorEastAsia" w:hAnsiTheme="minorHAnsi"/>
              <w:noProof/>
              <w:sz w:val="22"/>
              <w:lang w:eastAsia="en-AU"/>
            </w:rPr>
          </w:pPr>
          <w:hyperlink w:anchor="_Toc53129464" w:history="1">
            <w:r w:rsidR="007D4B74" w:rsidRPr="00145615">
              <w:rPr>
                <w:rStyle w:val="Hyperlink"/>
                <w:noProof/>
              </w:rPr>
              <w:t>5.1</w:t>
            </w:r>
            <w:r w:rsidR="007D4B74">
              <w:rPr>
                <w:rFonts w:asciiTheme="minorHAnsi" w:eastAsiaTheme="minorEastAsia" w:hAnsiTheme="minorHAnsi"/>
                <w:noProof/>
                <w:sz w:val="22"/>
                <w:lang w:eastAsia="en-AU"/>
              </w:rPr>
              <w:tab/>
            </w:r>
            <w:r w:rsidR="007D4B74" w:rsidRPr="00145615">
              <w:rPr>
                <w:rStyle w:val="Hyperlink"/>
                <w:noProof/>
              </w:rPr>
              <w:t>The importance of scheme integrity</w:t>
            </w:r>
            <w:r w:rsidR="007D4B74">
              <w:rPr>
                <w:noProof/>
                <w:webHidden/>
              </w:rPr>
              <w:tab/>
            </w:r>
            <w:r w:rsidR="007D4B74">
              <w:rPr>
                <w:noProof/>
                <w:webHidden/>
              </w:rPr>
              <w:fldChar w:fldCharType="begin"/>
            </w:r>
            <w:r w:rsidR="007D4B74">
              <w:rPr>
                <w:noProof/>
                <w:webHidden/>
              </w:rPr>
              <w:instrText xml:space="preserve"> PAGEREF _Toc53129464 \h </w:instrText>
            </w:r>
            <w:r w:rsidR="007D4B74">
              <w:rPr>
                <w:noProof/>
                <w:webHidden/>
              </w:rPr>
            </w:r>
            <w:r w:rsidR="007D4B74">
              <w:rPr>
                <w:noProof/>
                <w:webHidden/>
              </w:rPr>
              <w:fldChar w:fldCharType="separate"/>
            </w:r>
            <w:r w:rsidR="007D4B74">
              <w:rPr>
                <w:noProof/>
                <w:webHidden/>
              </w:rPr>
              <w:t>46</w:t>
            </w:r>
            <w:r w:rsidR="007D4B74">
              <w:rPr>
                <w:noProof/>
                <w:webHidden/>
              </w:rPr>
              <w:fldChar w:fldCharType="end"/>
            </w:r>
          </w:hyperlink>
        </w:p>
        <w:p w14:paraId="2ACC1D7C" w14:textId="77777777" w:rsidR="007D4B74" w:rsidRDefault="0080045D">
          <w:pPr>
            <w:pStyle w:val="TOC2"/>
            <w:tabs>
              <w:tab w:val="left" w:pos="880"/>
            </w:tabs>
            <w:rPr>
              <w:rFonts w:asciiTheme="minorHAnsi" w:eastAsiaTheme="minorEastAsia" w:hAnsiTheme="minorHAnsi"/>
              <w:noProof/>
              <w:sz w:val="22"/>
              <w:lang w:eastAsia="en-AU"/>
            </w:rPr>
          </w:pPr>
          <w:hyperlink w:anchor="_Toc53129465" w:history="1">
            <w:r w:rsidR="007D4B74" w:rsidRPr="00145615">
              <w:rPr>
                <w:rStyle w:val="Hyperlink"/>
                <w:noProof/>
              </w:rPr>
              <w:t>5.2</w:t>
            </w:r>
            <w:r w:rsidR="007D4B74">
              <w:rPr>
                <w:rFonts w:asciiTheme="minorHAnsi" w:eastAsiaTheme="minorEastAsia" w:hAnsiTheme="minorHAnsi"/>
                <w:noProof/>
                <w:sz w:val="22"/>
                <w:lang w:eastAsia="en-AU"/>
              </w:rPr>
              <w:tab/>
            </w:r>
            <w:r w:rsidR="007D4B74" w:rsidRPr="00145615">
              <w:rPr>
                <w:rStyle w:val="Hyperlink"/>
                <w:noProof/>
              </w:rPr>
              <w:t>Offsets Integrity Standards</w:t>
            </w:r>
            <w:r w:rsidR="007D4B74">
              <w:rPr>
                <w:noProof/>
                <w:webHidden/>
              </w:rPr>
              <w:tab/>
            </w:r>
            <w:r w:rsidR="007D4B74">
              <w:rPr>
                <w:noProof/>
                <w:webHidden/>
              </w:rPr>
              <w:fldChar w:fldCharType="begin"/>
            </w:r>
            <w:r w:rsidR="007D4B74">
              <w:rPr>
                <w:noProof/>
                <w:webHidden/>
              </w:rPr>
              <w:instrText xml:space="preserve"> PAGEREF _Toc53129465 \h </w:instrText>
            </w:r>
            <w:r w:rsidR="007D4B74">
              <w:rPr>
                <w:noProof/>
                <w:webHidden/>
              </w:rPr>
            </w:r>
            <w:r w:rsidR="007D4B74">
              <w:rPr>
                <w:noProof/>
                <w:webHidden/>
              </w:rPr>
              <w:fldChar w:fldCharType="separate"/>
            </w:r>
            <w:r w:rsidR="007D4B74">
              <w:rPr>
                <w:noProof/>
                <w:webHidden/>
              </w:rPr>
              <w:t>47</w:t>
            </w:r>
            <w:r w:rsidR="007D4B74">
              <w:rPr>
                <w:noProof/>
                <w:webHidden/>
              </w:rPr>
              <w:fldChar w:fldCharType="end"/>
            </w:r>
          </w:hyperlink>
        </w:p>
        <w:p w14:paraId="7393F197" w14:textId="77777777" w:rsidR="007D4B74" w:rsidRDefault="0080045D">
          <w:pPr>
            <w:pStyle w:val="TOC2"/>
            <w:tabs>
              <w:tab w:val="left" w:pos="880"/>
            </w:tabs>
            <w:rPr>
              <w:rFonts w:asciiTheme="minorHAnsi" w:eastAsiaTheme="minorEastAsia" w:hAnsiTheme="minorHAnsi"/>
              <w:noProof/>
              <w:sz w:val="22"/>
              <w:lang w:eastAsia="en-AU"/>
            </w:rPr>
          </w:pPr>
          <w:hyperlink w:anchor="_Toc53129466" w:history="1">
            <w:r w:rsidR="007D4B74" w:rsidRPr="00145615">
              <w:rPr>
                <w:rStyle w:val="Hyperlink"/>
                <w:noProof/>
              </w:rPr>
              <w:t>5.3</w:t>
            </w:r>
            <w:r w:rsidR="007D4B74">
              <w:rPr>
                <w:rFonts w:asciiTheme="minorHAnsi" w:eastAsiaTheme="minorEastAsia" w:hAnsiTheme="minorHAnsi"/>
                <w:noProof/>
                <w:sz w:val="22"/>
                <w:lang w:eastAsia="en-AU"/>
              </w:rPr>
              <w:tab/>
            </w:r>
            <w:r w:rsidR="007D4B74" w:rsidRPr="00145615">
              <w:rPr>
                <w:rStyle w:val="Hyperlink"/>
                <w:noProof/>
              </w:rPr>
              <w:t>Application of the Offsets Integrity Standards</w:t>
            </w:r>
            <w:r w:rsidR="007D4B74">
              <w:rPr>
                <w:noProof/>
                <w:webHidden/>
              </w:rPr>
              <w:tab/>
            </w:r>
            <w:r w:rsidR="007D4B74">
              <w:rPr>
                <w:noProof/>
                <w:webHidden/>
              </w:rPr>
              <w:fldChar w:fldCharType="begin"/>
            </w:r>
            <w:r w:rsidR="007D4B74">
              <w:rPr>
                <w:noProof/>
                <w:webHidden/>
              </w:rPr>
              <w:instrText xml:space="preserve"> PAGEREF _Toc53129466 \h </w:instrText>
            </w:r>
            <w:r w:rsidR="007D4B74">
              <w:rPr>
                <w:noProof/>
                <w:webHidden/>
              </w:rPr>
            </w:r>
            <w:r w:rsidR="007D4B74">
              <w:rPr>
                <w:noProof/>
                <w:webHidden/>
              </w:rPr>
              <w:fldChar w:fldCharType="separate"/>
            </w:r>
            <w:r w:rsidR="007D4B74">
              <w:rPr>
                <w:noProof/>
                <w:webHidden/>
              </w:rPr>
              <w:t>49</w:t>
            </w:r>
            <w:r w:rsidR="007D4B74">
              <w:rPr>
                <w:noProof/>
                <w:webHidden/>
              </w:rPr>
              <w:fldChar w:fldCharType="end"/>
            </w:r>
          </w:hyperlink>
        </w:p>
        <w:p w14:paraId="0DA81C01" w14:textId="77777777" w:rsidR="007D4B74" w:rsidRDefault="0080045D">
          <w:pPr>
            <w:pStyle w:val="TOC2"/>
            <w:tabs>
              <w:tab w:val="left" w:pos="880"/>
            </w:tabs>
            <w:rPr>
              <w:rFonts w:asciiTheme="minorHAnsi" w:eastAsiaTheme="minorEastAsia" w:hAnsiTheme="minorHAnsi"/>
              <w:noProof/>
              <w:sz w:val="22"/>
              <w:lang w:eastAsia="en-AU"/>
            </w:rPr>
          </w:pPr>
          <w:hyperlink w:anchor="_Toc53129467" w:history="1">
            <w:r w:rsidR="007D4B74" w:rsidRPr="00145615">
              <w:rPr>
                <w:rStyle w:val="Hyperlink"/>
                <w:noProof/>
              </w:rPr>
              <w:t>5.4</w:t>
            </w:r>
            <w:r w:rsidR="007D4B74">
              <w:rPr>
                <w:rFonts w:asciiTheme="minorHAnsi" w:eastAsiaTheme="minorEastAsia" w:hAnsiTheme="minorHAnsi"/>
                <w:noProof/>
                <w:sz w:val="22"/>
                <w:lang w:eastAsia="en-AU"/>
              </w:rPr>
              <w:tab/>
            </w:r>
            <w:r w:rsidR="007D4B74" w:rsidRPr="00145615">
              <w:rPr>
                <w:rStyle w:val="Hyperlink"/>
                <w:noProof/>
              </w:rPr>
              <w:t>Crediting before abatement occurs</w:t>
            </w:r>
            <w:r w:rsidR="007D4B74">
              <w:rPr>
                <w:noProof/>
                <w:webHidden/>
              </w:rPr>
              <w:tab/>
            </w:r>
            <w:r w:rsidR="007D4B74">
              <w:rPr>
                <w:noProof/>
                <w:webHidden/>
              </w:rPr>
              <w:fldChar w:fldCharType="begin"/>
            </w:r>
            <w:r w:rsidR="007D4B74">
              <w:rPr>
                <w:noProof/>
                <w:webHidden/>
              </w:rPr>
              <w:instrText xml:space="preserve"> PAGEREF _Toc53129467 \h </w:instrText>
            </w:r>
            <w:r w:rsidR="007D4B74">
              <w:rPr>
                <w:noProof/>
                <w:webHidden/>
              </w:rPr>
            </w:r>
            <w:r w:rsidR="007D4B74">
              <w:rPr>
                <w:noProof/>
                <w:webHidden/>
              </w:rPr>
              <w:fldChar w:fldCharType="separate"/>
            </w:r>
            <w:r w:rsidR="007D4B74">
              <w:rPr>
                <w:noProof/>
                <w:webHidden/>
              </w:rPr>
              <w:t>54</w:t>
            </w:r>
            <w:r w:rsidR="007D4B74">
              <w:rPr>
                <w:noProof/>
                <w:webHidden/>
              </w:rPr>
              <w:fldChar w:fldCharType="end"/>
            </w:r>
          </w:hyperlink>
        </w:p>
        <w:p w14:paraId="05470671" w14:textId="77777777" w:rsidR="007D4B74" w:rsidRDefault="0080045D">
          <w:pPr>
            <w:pStyle w:val="TOC2"/>
            <w:tabs>
              <w:tab w:val="left" w:pos="880"/>
            </w:tabs>
            <w:rPr>
              <w:rFonts w:asciiTheme="minorHAnsi" w:eastAsiaTheme="minorEastAsia" w:hAnsiTheme="minorHAnsi"/>
              <w:noProof/>
              <w:sz w:val="22"/>
              <w:lang w:eastAsia="en-AU"/>
            </w:rPr>
          </w:pPr>
          <w:hyperlink w:anchor="_Toc53129468" w:history="1">
            <w:r w:rsidR="007D4B74" w:rsidRPr="00145615">
              <w:rPr>
                <w:rStyle w:val="Hyperlink"/>
                <w:noProof/>
              </w:rPr>
              <w:t>5.5</w:t>
            </w:r>
            <w:r w:rsidR="007D4B74">
              <w:rPr>
                <w:rFonts w:asciiTheme="minorHAnsi" w:eastAsiaTheme="minorEastAsia" w:hAnsiTheme="minorHAnsi"/>
                <w:noProof/>
                <w:sz w:val="22"/>
                <w:lang w:eastAsia="en-AU"/>
              </w:rPr>
              <w:tab/>
            </w:r>
            <w:r w:rsidR="007D4B74" w:rsidRPr="00145615">
              <w:rPr>
                <w:rStyle w:val="Hyperlink"/>
                <w:noProof/>
              </w:rPr>
              <w:t>Duty of utmost good faith and Carbon Industry Code of Conduct</w:t>
            </w:r>
            <w:r w:rsidR="007D4B74">
              <w:rPr>
                <w:noProof/>
                <w:webHidden/>
              </w:rPr>
              <w:tab/>
            </w:r>
            <w:r w:rsidR="007D4B74">
              <w:rPr>
                <w:noProof/>
                <w:webHidden/>
              </w:rPr>
              <w:fldChar w:fldCharType="begin"/>
            </w:r>
            <w:r w:rsidR="007D4B74">
              <w:rPr>
                <w:noProof/>
                <w:webHidden/>
              </w:rPr>
              <w:instrText xml:space="preserve"> PAGEREF _Toc53129468 \h </w:instrText>
            </w:r>
            <w:r w:rsidR="007D4B74">
              <w:rPr>
                <w:noProof/>
                <w:webHidden/>
              </w:rPr>
            </w:r>
            <w:r w:rsidR="007D4B74">
              <w:rPr>
                <w:noProof/>
                <w:webHidden/>
              </w:rPr>
              <w:fldChar w:fldCharType="separate"/>
            </w:r>
            <w:r w:rsidR="007D4B74">
              <w:rPr>
                <w:noProof/>
                <w:webHidden/>
              </w:rPr>
              <w:t>55</w:t>
            </w:r>
            <w:r w:rsidR="007D4B74">
              <w:rPr>
                <w:noProof/>
                <w:webHidden/>
              </w:rPr>
              <w:fldChar w:fldCharType="end"/>
            </w:r>
          </w:hyperlink>
        </w:p>
        <w:p w14:paraId="10CED9BF" w14:textId="77777777" w:rsidR="007D4B74" w:rsidRDefault="0080045D">
          <w:pPr>
            <w:pStyle w:val="TOC1"/>
            <w:rPr>
              <w:rFonts w:asciiTheme="minorHAnsi" w:eastAsiaTheme="minorEastAsia" w:hAnsiTheme="minorHAnsi"/>
              <w:noProof/>
              <w:sz w:val="22"/>
              <w:lang w:eastAsia="en-AU"/>
            </w:rPr>
          </w:pPr>
          <w:hyperlink w:anchor="_Toc53129469" w:history="1">
            <w:r w:rsidR="007D4B74" w:rsidRPr="00145615">
              <w:rPr>
                <w:rStyle w:val="Hyperlink"/>
                <w:noProof/>
              </w:rPr>
              <w:t>Chapter 6: Optimising governance for a mature Emissions Reduction Fund</w:t>
            </w:r>
            <w:r w:rsidR="007D4B74">
              <w:rPr>
                <w:noProof/>
                <w:webHidden/>
              </w:rPr>
              <w:tab/>
            </w:r>
            <w:r w:rsidR="007D4B74">
              <w:rPr>
                <w:noProof/>
                <w:webHidden/>
              </w:rPr>
              <w:fldChar w:fldCharType="begin"/>
            </w:r>
            <w:r w:rsidR="007D4B74">
              <w:rPr>
                <w:noProof/>
                <w:webHidden/>
              </w:rPr>
              <w:instrText xml:space="preserve"> PAGEREF _Toc53129469 \h </w:instrText>
            </w:r>
            <w:r w:rsidR="007D4B74">
              <w:rPr>
                <w:noProof/>
                <w:webHidden/>
              </w:rPr>
            </w:r>
            <w:r w:rsidR="007D4B74">
              <w:rPr>
                <w:noProof/>
                <w:webHidden/>
              </w:rPr>
              <w:fldChar w:fldCharType="separate"/>
            </w:r>
            <w:r w:rsidR="007D4B74">
              <w:rPr>
                <w:noProof/>
                <w:webHidden/>
              </w:rPr>
              <w:t>58</w:t>
            </w:r>
            <w:r w:rsidR="007D4B74">
              <w:rPr>
                <w:noProof/>
                <w:webHidden/>
              </w:rPr>
              <w:fldChar w:fldCharType="end"/>
            </w:r>
          </w:hyperlink>
        </w:p>
        <w:p w14:paraId="6A842CCE" w14:textId="77777777" w:rsidR="007D4B74" w:rsidRDefault="0080045D">
          <w:pPr>
            <w:pStyle w:val="TOC2"/>
            <w:tabs>
              <w:tab w:val="left" w:pos="880"/>
            </w:tabs>
            <w:rPr>
              <w:rFonts w:asciiTheme="minorHAnsi" w:eastAsiaTheme="minorEastAsia" w:hAnsiTheme="minorHAnsi"/>
              <w:noProof/>
              <w:sz w:val="22"/>
              <w:lang w:eastAsia="en-AU"/>
            </w:rPr>
          </w:pPr>
          <w:hyperlink w:anchor="_Toc53129470" w:history="1">
            <w:r w:rsidR="007D4B74" w:rsidRPr="00145615">
              <w:rPr>
                <w:rStyle w:val="Hyperlink"/>
                <w:noProof/>
                <w:lang w:eastAsia="en-AU"/>
              </w:rPr>
              <w:t>6.1</w:t>
            </w:r>
            <w:r w:rsidR="007D4B74">
              <w:rPr>
                <w:rFonts w:asciiTheme="minorHAnsi" w:eastAsiaTheme="minorEastAsia" w:hAnsiTheme="minorHAnsi"/>
                <w:noProof/>
                <w:sz w:val="22"/>
                <w:lang w:eastAsia="en-AU"/>
              </w:rPr>
              <w:tab/>
            </w:r>
            <w:r w:rsidR="007D4B74" w:rsidRPr="00145615">
              <w:rPr>
                <w:rStyle w:val="Hyperlink"/>
                <w:noProof/>
              </w:rPr>
              <w:t>Improving method development and variation</w:t>
            </w:r>
            <w:r w:rsidR="007D4B74">
              <w:rPr>
                <w:noProof/>
                <w:webHidden/>
              </w:rPr>
              <w:tab/>
            </w:r>
            <w:r w:rsidR="007D4B74">
              <w:rPr>
                <w:noProof/>
                <w:webHidden/>
              </w:rPr>
              <w:fldChar w:fldCharType="begin"/>
            </w:r>
            <w:r w:rsidR="007D4B74">
              <w:rPr>
                <w:noProof/>
                <w:webHidden/>
              </w:rPr>
              <w:instrText xml:space="preserve"> PAGEREF _Toc53129470 \h </w:instrText>
            </w:r>
            <w:r w:rsidR="007D4B74">
              <w:rPr>
                <w:noProof/>
                <w:webHidden/>
              </w:rPr>
            </w:r>
            <w:r w:rsidR="007D4B74">
              <w:rPr>
                <w:noProof/>
                <w:webHidden/>
              </w:rPr>
              <w:fldChar w:fldCharType="separate"/>
            </w:r>
            <w:r w:rsidR="007D4B74">
              <w:rPr>
                <w:noProof/>
                <w:webHidden/>
              </w:rPr>
              <w:t>58</w:t>
            </w:r>
            <w:r w:rsidR="007D4B74">
              <w:rPr>
                <w:noProof/>
                <w:webHidden/>
              </w:rPr>
              <w:fldChar w:fldCharType="end"/>
            </w:r>
          </w:hyperlink>
        </w:p>
        <w:p w14:paraId="6BB7D26B" w14:textId="77777777" w:rsidR="007D4B74" w:rsidRDefault="0080045D">
          <w:pPr>
            <w:pStyle w:val="TOC2"/>
            <w:tabs>
              <w:tab w:val="left" w:pos="880"/>
            </w:tabs>
            <w:rPr>
              <w:rFonts w:asciiTheme="minorHAnsi" w:eastAsiaTheme="minorEastAsia" w:hAnsiTheme="minorHAnsi"/>
              <w:noProof/>
              <w:sz w:val="22"/>
              <w:lang w:eastAsia="en-AU"/>
            </w:rPr>
          </w:pPr>
          <w:hyperlink w:anchor="_Toc53129471" w:history="1">
            <w:r w:rsidR="007D4B74" w:rsidRPr="00145615">
              <w:rPr>
                <w:rStyle w:val="Hyperlink"/>
                <w:noProof/>
              </w:rPr>
              <w:t>6.2</w:t>
            </w:r>
            <w:r w:rsidR="007D4B74">
              <w:rPr>
                <w:rFonts w:asciiTheme="minorHAnsi" w:eastAsiaTheme="minorEastAsia" w:hAnsiTheme="minorHAnsi"/>
                <w:noProof/>
                <w:sz w:val="22"/>
                <w:lang w:eastAsia="en-AU"/>
              </w:rPr>
              <w:tab/>
            </w:r>
            <w:r w:rsidR="007D4B74" w:rsidRPr="00145615">
              <w:rPr>
                <w:rStyle w:val="Hyperlink"/>
                <w:noProof/>
              </w:rPr>
              <w:t>Establishing a Steering Committee for method processes</w:t>
            </w:r>
            <w:r w:rsidR="007D4B74">
              <w:rPr>
                <w:noProof/>
                <w:webHidden/>
              </w:rPr>
              <w:tab/>
            </w:r>
            <w:r w:rsidR="007D4B74">
              <w:rPr>
                <w:noProof/>
                <w:webHidden/>
              </w:rPr>
              <w:fldChar w:fldCharType="begin"/>
            </w:r>
            <w:r w:rsidR="007D4B74">
              <w:rPr>
                <w:noProof/>
                <w:webHidden/>
              </w:rPr>
              <w:instrText xml:space="preserve"> PAGEREF _Toc53129471 \h </w:instrText>
            </w:r>
            <w:r w:rsidR="007D4B74">
              <w:rPr>
                <w:noProof/>
                <w:webHidden/>
              </w:rPr>
            </w:r>
            <w:r w:rsidR="007D4B74">
              <w:rPr>
                <w:noProof/>
                <w:webHidden/>
              </w:rPr>
              <w:fldChar w:fldCharType="separate"/>
            </w:r>
            <w:r w:rsidR="007D4B74">
              <w:rPr>
                <w:noProof/>
                <w:webHidden/>
              </w:rPr>
              <w:t>59</w:t>
            </w:r>
            <w:r w:rsidR="007D4B74">
              <w:rPr>
                <w:noProof/>
                <w:webHidden/>
              </w:rPr>
              <w:fldChar w:fldCharType="end"/>
            </w:r>
          </w:hyperlink>
        </w:p>
        <w:p w14:paraId="06104F2E" w14:textId="77777777" w:rsidR="007D4B74" w:rsidRDefault="0080045D">
          <w:pPr>
            <w:pStyle w:val="TOC2"/>
            <w:tabs>
              <w:tab w:val="left" w:pos="880"/>
            </w:tabs>
            <w:rPr>
              <w:rFonts w:asciiTheme="minorHAnsi" w:eastAsiaTheme="minorEastAsia" w:hAnsiTheme="minorHAnsi"/>
              <w:noProof/>
              <w:sz w:val="22"/>
              <w:lang w:eastAsia="en-AU"/>
            </w:rPr>
          </w:pPr>
          <w:hyperlink w:anchor="_Toc53129472" w:history="1">
            <w:r w:rsidR="007D4B74" w:rsidRPr="00145615">
              <w:rPr>
                <w:rStyle w:val="Hyperlink"/>
                <w:noProof/>
              </w:rPr>
              <w:t>6.3</w:t>
            </w:r>
            <w:r w:rsidR="007D4B74">
              <w:rPr>
                <w:rFonts w:asciiTheme="minorHAnsi" w:eastAsiaTheme="minorEastAsia" w:hAnsiTheme="minorHAnsi"/>
                <w:noProof/>
                <w:sz w:val="22"/>
                <w:lang w:eastAsia="en-AU"/>
              </w:rPr>
              <w:tab/>
            </w:r>
            <w:r w:rsidR="007D4B74" w:rsidRPr="00145615">
              <w:rPr>
                <w:rStyle w:val="Hyperlink"/>
                <w:noProof/>
              </w:rPr>
              <w:t>Maintaining scheme integrity through the Emissions Reduction Assurance Committee</w:t>
            </w:r>
            <w:r w:rsidR="007D4B74">
              <w:rPr>
                <w:noProof/>
                <w:webHidden/>
              </w:rPr>
              <w:tab/>
            </w:r>
            <w:r w:rsidR="007D4B74">
              <w:rPr>
                <w:noProof/>
                <w:webHidden/>
              </w:rPr>
              <w:fldChar w:fldCharType="begin"/>
            </w:r>
            <w:r w:rsidR="007D4B74">
              <w:rPr>
                <w:noProof/>
                <w:webHidden/>
              </w:rPr>
              <w:instrText xml:space="preserve"> PAGEREF _Toc53129472 \h </w:instrText>
            </w:r>
            <w:r w:rsidR="007D4B74">
              <w:rPr>
                <w:noProof/>
                <w:webHidden/>
              </w:rPr>
            </w:r>
            <w:r w:rsidR="007D4B74">
              <w:rPr>
                <w:noProof/>
                <w:webHidden/>
              </w:rPr>
              <w:fldChar w:fldCharType="separate"/>
            </w:r>
            <w:r w:rsidR="007D4B74">
              <w:rPr>
                <w:noProof/>
                <w:webHidden/>
              </w:rPr>
              <w:t>62</w:t>
            </w:r>
            <w:r w:rsidR="007D4B74">
              <w:rPr>
                <w:noProof/>
                <w:webHidden/>
              </w:rPr>
              <w:fldChar w:fldCharType="end"/>
            </w:r>
          </w:hyperlink>
        </w:p>
        <w:p w14:paraId="3ABA5860" w14:textId="77777777" w:rsidR="007D4B74" w:rsidRDefault="0080045D">
          <w:pPr>
            <w:pStyle w:val="TOC1"/>
            <w:rPr>
              <w:rFonts w:asciiTheme="minorHAnsi" w:eastAsiaTheme="minorEastAsia" w:hAnsiTheme="minorHAnsi"/>
              <w:noProof/>
              <w:sz w:val="22"/>
              <w:lang w:eastAsia="en-AU"/>
            </w:rPr>
          </w:pPr>
          <w:hyperlink w:anchor="_Toc53129473" w:history="1">
            <w:r w:rsidR="007D4B74" w:rsidRPr="00145615">
              <w:rPr>
                <w:rStyle w:val="Hyperlink"/>
                <w:noProof/>
              </w:rPr>
              <w:t>Chapter 7: Method and tool variation risk sharing framework</w:t>
            </w:r>
            <w:r w:rsidR="007D4B74">
              <w:rPr>
                <w:noProof/>
                <w:webHidden/>
              </w:rPr>
              <w:tab/>
            </w:r>
            <w:r w:rsidR="007D4B74">
              <w:rPr>
                <w:noProof/>
                <w:webHidden/>
              </w:rPr>
              <w:fldChar w:fldCharType="begin"/>
            </w:r>
            <w:r w:rsidR="007D4B74">
              <w:rPr>
                <w:noProof/>
                <w:webHidden/>
              </w:rPr>
              <w:instrText xml:space="preserve"> PAGEREF _Toc53129473 \h </w:instrText>
            </w:r>
            <w:r w:rsidR="007D4B74">
              <w:rPr>
                <w:noProof/>
                <w:webHidden/>
              </w:rPr>
            </w:r>
            <w:r w:rsidR="007D4B74">
              <w:rPr>
                <w:noProof/>
                <w:webHidden/>
              </w:rPr>
              <w:fldChar w:fldCharType="separate"/>
            </w:r>
            <w:r w:rsidR="007D4B74">
              <w:rPr>
                <w:noProof/>
                <w:webHidden/>
              </w:rPr>
              <w:t>68</w:t>
            </w:r>
            <w:r w:rsidR="007D4B74">
              <w:rPr>
                <w:noProof/>
                <w:webHidden/>
              </w:rPr>
              <w:fldChar w:fldCharType="end"/>
            </w:r>
          </w:hyperlink>
        </w:p>
        <w:p w14:paraId="19DD2B5A" w14:textId="77777777" w:rsidR="007D4B74" w:rsidRDefault="0080045D">
          <w:pPr>
            <w:pStyle w:val="TOC2"/>
            <w:tabs>
              <w:tab w:val="left" w:pos="880"/>
            </w:tabs>
            <w:rPr>
              <w:rFonts w:asciiTheme="minorHAnsi" w:eastAsiaTheme="minorEastAsia" w:hAnsiTheme="minorHAnsi"/>
              <w:noProof/>
              <w:sz w:val="22"/>
              <w:lang w:eastAsia="en-AU"/>
            </w:rPr>
          </w:pPr>
          <w:hyperlink w:anchor="_Toc53129474" w:history="1">
            <w:r w:rsidR="007D4B74" w:rsidRPr="00145615">
              <w:rPr>
                <w:rStyle w:val="Hyperlink"/>
                <w:noProof/>
              </w:rPr>
              <w:t>7.1</w:t>
            </w:r>
            <w:r w:rsidR="007D4B74">
              <w:rPr>
                <w:rFonts w:asciiTheme="minorHAnsi" w:eastAsiaTheme="minorEastAsia" w:hAnsiTheme="minorHAnsi"/>
                <w:noProof/>
                <w:sz w:val="22"/>
                <w:lang w:eastAsia="en-AU"/>
              </w:rPr>
              <w:tab/>
            </w:r>
            <w:r w:rsidR="007D4B74" w:rsidRPr="00145615">
              <w:rPr>
                <w:rStyle w:val="Hyperlink"/>
                <w:noProof/>
              </w:rPr>
              <w:t>Method and tool variation</w:t>
            </w:r>
            <w:r w:rsidR="007D4B74">
              <w:rPr>
                <w:noProof/>
                <w:webHidden/>
              </w:rPr>
              <w:tab/>
            </w:r>
            <w:r w:rsidR="007D4B74">
              <w:rPr>
                <w:noProof/>
                <w:webHidden/>
              </w:rPr>
              <w:fldChar w:fldCharType="begin"/>
            </w:r>
            <w:r w:rsidR="007D4B74">
              <w:rPr>
                <w:noProof/>
                <w:webHidden/>
              </w:rPr>
              <w:instrText xml:space="preserve"> PAGEREF _Toc53129474 \h </w:instrText>
            </w:r>
            <w:r w:rsidR="007D4B74">
              <w:rPr>
                <w:noProof/>
                <w:webHidden/>
              </w:rPr>
            </w:r>
            <w:r w:rsidR="007D4B74">
              <w:rPr>
                <w:noProof/>
                <w:webHidden/>
              </w:rPr>
              <w:fldChar w:fldCharType="separate"/>
            </w:r>
            <w:r w:rsidR="007D4B74">
              <w:rPr>
                <w:noProof/>
                <w:webHidden/>
              </w:rPr>
              <w:t>68</w:t>
            </w:r>
            <w:r w:rsidR="007D4B74">
              <w:rPr>
                <w:noProof/>
                <w:webHidden/>
              </w:rPr>
              <w:fldChar w:fldCharType="end"/>
            </w:r>
          </w:hyperlink>
        </w:p>
        <w:p w14:paraId="54D4D251" w14:textId="77777777" w:rsidR="007D4B74" w:rsidRDefault="0080045D">
          <w:pPr>
            <w:pStyle w:val="TOC2"/>
            <w:tabs>
              <w:tab w:val="left" w:pos="880"/>
            </w:tabs>
            <w:rPr>
              <w:rFonts w:asciiTheme="minorHAnsi" w:eastAsiaTheme="minorEastAsia" w:hAnsiTheme="minorHAnsi"/>
              <w:noProof/>
              <w:sz w:val="22"/>
              <w:lang w:eastAsia="en-AU"/>
            </w:rPr>
          </w:pPr>
          <w:hyperlink w:anchor="_Toc53129475" w:history="1">
            <w:r w:rsidR="007D4B74" w:rsidRPr="00145615">
              <w:rPr>
                <w:rStyle w:val="Hyperlink"/>
                <w:noProof/>
              </w:rPr>
              <w:t>7.2</w:t>
            </w:r>
            <w:r w:rsidR="007D4B74">
              <w:rPr>
                <w:rFonts w:asciiTheme="minorHAnsi" w:eastAsiaTheme="minorEastAsia" w:hAnsiTheme="minorHAnsi"/>
                <w:noProof/>
                <w:sz w:val="22"/>
                <w:lang w:eastAsia="en-AU"/>
              </w:rPr>
              <w:tab/>
            </w:r>
            <w:r w:rsidR="007D4B74" w:rsidRPr="00145615">
              <w:rPr>
                <w:rStyle w:val="Hyperlink"/>
                <w:noProof/>
              </w:rPr>
              <w:t>Risk sharing framework</w:t>
            </w:r>
            <w:r w:rsidR="007D4B74">
              <w:rPr>
                <w:noProof/>
                <w:webHidden/>
              </w:rPr>
              <w:tab/>
            </w:r>
            <w:r w:rsidR="007D4B74">
              <w:rPr>
                <w:noProof/>
                <w:webHidden/>
              </w:rPr>
              <w:fldChar w:fldCharType="begin"/>
            </w:r>
            <w:r w:rsidR="007D4B74">
              <w:rPr>
                <w:noProof/>
                <w:webHidden/>
              </w:rPr>
              <w:instrText xml:space="preserve"> PAGEREF _Toc53129475 \h </w:instrText>
            </w:r>
            <w:r w:rsidR="007D4B74">
              <w:rPr>
                <w:noProof/>
                <w:webHidden/>
              </w:rPr>
            </w:r>
            <w:r w:rsidR="007D4B74">
              <w:rPr>
                <w:noProof/>
                <w:webHidden/>
              </w:rPr>
              <w:fldChar w:fldCharType="separate"/>
            </w:r>
            <w:r w:rsidR="007D4B74">
              <w:rPr>
                <w:noProof/>
                <w:webHidden/>
              </w:rPr>
              <w:t>72</w:t>
            </w:r>
            <w:r w:rsidR="007D4B74">
              <w:rPr>
                <w:noProof/>
                <w:webHidden/>
              </w:rPr>
              <w:fldChar w:fldCharType="end"/>
            </w:r>
          </w:hyperlink>
        </w:p>
        <w:p w14:paraId="0395573B" w14:textId="77777777" w:rsidR="007D4B74" w:rsidRDefault="0080045D">
          <w:pPr>
            <w:pStyle w:val="TOC1"/>
            <w:rPr>
              <w:rFonts w:asciiTheme="minorHAnsi" w:eastAsiaTheme="minorEastAsia" w:hAnsiTheme="minorHAnsi"/>
              <w:noProof/>
              <w:sz w:val="22"/>
              <w:lang w:eastAsia="en-AU"/>
            </w:rPr>
          </w:pPr>
          <w:hyperlink w:anchor="_Toc53129476" w:history="1">
            <w:r w:rsidR="007D4B74" w:rsidRPr="00145615">
              <w:rPr>
                <w:rStyle w:val="Hyperlink"/>
                <w:noProof/>
              </w:rPr>
              <w:t>Chapter 8: Risk of under-delivery of contracted abatement</w:t>
            </w:r>
            <w:r w:rsidR="007D4B74">
              <w:rPr>
                <w:noProof/>
                <w:webHidden/>
              </w:rPr>
              <w:tab/>
            </w:r>
            <w:r w:rsidR="007D4B74">
              <w:rPr>
                <w:noProof/>
                <w:webHidden/>
              </w:rPr>
              <w:fldChar w:fldCharType="begin"/>
            </w:r>
            <w:r w:rsidR="007D4B74">
              <w:rPr>
                <w:noProof/>
                <w:webHidden/>
              </w:rPr>
              <w:instrText xml:space="preserve"> PAGEREF _Toc53129476 \h </w:instrText>
            </w:r>
            <w:r w:rsidR="007D4B74">
              <w:rPr>
                <w:noProof/>
                <w:webHidden/>
              </w:rPr>
            </w:r>
            <w:r w:rsidR="007D4B74">
              <w:rPr>
                <w:noProof/>
                <w:webHidden/>
              </w:rPr>
              <w:fldChar w:fldCharType="separate"/>
            </w:r>
            <w:r w:rsidR="007D4B74">
              <w:rPr>
                <w:noProof/>
                <w:webHidden/>
              </w:rPr>
              <w:t>74</w:t>
            </w:r>
            <w:r w:rsidR="007D4B74">
              <w:rPr>
                <w:noProof/>
                <w:webHidden/>
              </w:rPr>
              <w:fldChar w:fldCharType="end"/>
            </w:r>
          </w:hyperlink>
        </w:p>
        <w:p w14:paraId="134011D5" w14:textId="77777777" w:rsidR="007D4B74" w:rsidRDefault="0080045D">
          <w:pPr>
            <w:pStyle w:val="TOC2"/>
            <w:tabs>
              <w:tab w:val="left" w:pos="880"/>
            </w:tabs>
            <w:rPr>
              <w:rFonts w:asciiTheme="minorHAnsi" w:eastAsiaTheme="minorEastAsia" w:hAnsiTheme="minorHAnsi"/>
              <w:noProof/>
              <w:sz w:val="22"/>
              <w:lang w:eastAsia="en-AU"/>
            </w:rPr>
          </w:pPr>
          <w:hyperlink w:anchor="_Toc53129477" w:history="1">
            <w:r w:rsidR="007D4B74" w:rsidRPr="00145615">
              <w:rPr>
                <w:rStyle w:val="Hyperlink"/>
                <w:noProof/>
              </w:rPr>
              <w:t>8.1</w:t>
            </w:r>
            <w:r w:rsidR="007D4B74">
              <w:rPr>
                <w:rFonts w:asciiTheme="minorHAnsi" w:eastAsiaTheme="minorEastAsia" w:hAnsiTheme="minorHAnsi"/>
                <w:noProof/>
                <w:sz w:val="22"/>
                <w:lang w:eastAsia="en-AU"/>
              </w:rPr>
              <w:tab/>
            </w:r>
            <w:r w:rsidR="007D4B74" w:rsidRPr="00145615">
              <w:rPr>
                <w:rStyle w:val="Hyperlink"/>
                <w:noProof/>
              </w:rPr>
              <w:t>The Government’s fixed-contract portfolio</w:t>
            </w:r>
            <w:r w:rsidR="007D4B74">
              <w:rPr>
                <w:noProof/>
                <w:webHidden/>
              </w:rPr>
              <w:tab/>
            </w:r>
            <w:r w:rsidR="007D4B74">
              <w:rPr>
                <w:noProof/>
                <w:webHidden/>
              </w:rPr>
              <w:fldChar w:fldCharType="begin"/>
            </w:r>
            <w:r w:rsidR="007D4B74">
              <w:rPr>
                <w:noProof/>
                <w:webHidden/>
              </w:rPr>
              <w:instrText xml:space="preserve"> PAGEREF _Toc53129477 \h </w:instrText>
            </w:r>
            <w:r w:rsidR="007D4B74">
              <w:rPr>
                <w:noProof/>
                <w:webHidden/>
              </w:rPr>
            </w:r>
            <w:r w:rsidR="007D4B74">
              <w:rPr>
                <w:noProof/>
                <w:webHidden/>
              </w:rPr>
              <w:fldChar w:fldCharType="separate"/>
            </w:r>
            <w:r w:rsidR="007D4B74">
              <w:rPr>
                <w:noProof/>
                <w:webHidden/>
              </w:rPr>
              <w:t>74</w:t>
            </w:r>
            <w:r w:rsidR="007D4B74">
              <w:rPr>
                <w:noProof/>
                <w:webHidden/>
              </w:rPr>
              <w:fldChar w:fldCharType="end"/>
            </w:r>
          </w:hyperlink>
        </w:p>
        <w:p w14:paraId="1BF8CFFA" w14:textId="77777777" w:rsidR="007D4B74" w:rsidRDefault="0080045D">
          <w:pPr>
            <w:pStyle w:val="TOC2"/>
            <w:tabs>
              <w:tab w:val="left" w:pos="880"/>
            </w:tabs>
            <w:rPr>
              <w:rFonts w:asciiTheme="minorHAnsi" w:eastAsiaTheme="minorEastAsia" w:hAnsiTheme="minorHAnsi"/>
              <w:noProof/>
              <w:sz w:val="22"/>
              <w:lang w:eastAsia="en-AU"/>
            </w:rPr>
          </w:pPr>
          <w:hyperlink w:anchor="_Toc53129478" w:history="1">
            <w:r w:rsidR="007D4B74" w:rsidRPr="00145615">
              <w:rPr>
                <w:rStyle w:val="Hyperlink"/>
                <w:noProof/>
              </w:rPr>
              <w:t>8.2</w:t>
            </w:r>
            <w:r w:rsidR="007D4B74">
              <w:rPr>
                <w:rFonts w:asciiTheme="minorHAnsi" w:eastAsiaTheme="minorEastAsia" w:hAnsiTheme="minorHAnsi"/>
                <w:noProof/>
                <w:sz w:val="22"/>
                <w:lang w:eastAsia="en-AU"/>
              </w:rPr>
              <w:tab/>
            </w:r>
            <w:r w:rsidR="007D4B74" w:rsidRPr="00145615">
              <w:rPr>
                <w:rStyle w:val="Hyperlink"/>
                <w:noProof/>
              </w:rPr>
              <w:t>Future role of fixed delivery contracts</w:t>
            </w:r>
            <w:r w:rsidR="007D4B74">
              <w:rPr>
                <w:noProof/>
                <w:webHidden/>
              </w:rPr>
              <w:tab/>
            </w:r>
            <w:r w:rsidR="007D4B74">
              <w:rPr>
                <w:noProof/>
                <w:webHidden/>
              </w:rPr>
              <w:fldChar w:fldCharType="begin"/>
            </w:r>
            <w:r w:rsidR="007D4B74">
              <w:rPr>
                <w:noProof/>
                <w:webHidden/>
              </w:rPr>
              <w:instrText xml:space="preserve"> PAGEREF _Toc53129478 \h </w:instrText>
            </w:r>
            <w:r w:rsidR="007D4B74">
              <w:rPr>
                <w:noProof/>
                <w:webHidden/>
              </w:rPr>
            </w:r>
            <w:r w:rsidR="007D4B74">
              <w:rPr>
                <w:noProof/>
                <w:webHidden/>
              </w:rPr>
              <w:fldChar w:fldCharType="separate"/>
            </w:r>
            <w:r w:rsidR="007D4B74">
              <w:rPr>
                <w:noProof/>
                <w:webHidden/>
              </w:rPr>
              <w:t>80</w:t>
            </w:r>
            <w:r w:rsidR="007D4B74">
              <w:rPr>
                <w:noProof/>
                <w:webHidden/>
              </w:rPr>
              <w:fldChar w:fldCharType="end"/>
            </w:r>
          </w:hyperlink>
        </w:p>
        <w:p w14:paraId="334F7B1E" w14:textId="77777777" w:rsidR="007D4B74" w:rsidRDefault="0080045D">
          <w:pPr>
            <w:pStyle w:val="TOC1"/>
            <w:rPr>
              <w:rFonts w:asciiTheme="minorHAnsi" w:eastAsiaTheme="minorEastAsia" w:hAnsiTheme="minorHAnsi"/>
              <w:noProof/>
              <w:sz w:val="22"/>
              <w:lang w:eastAsia="en-AU"/>
            </w:rPr>
          </w:pPr>
          <w:hyperlink w:anchor="_Toc53129479" w:history="1">
            <w:r w:rsidR="007D4B74" w:rsidRPr="00145615">
              <w:rPr>
                <w:rStyle w:val="Hyperlink"/>
                <w:noProof/>
              </w:rPr>
              <w:t>Chapter 9: Climate risks to carbon sequestration</w:t>
            </w:r>
            <w:r w:rsidR="007D4B74">
              <w:rPr>
                <w:noProof/>
                <w:webHidden/>
              </w:rPr>
              <w:tab/>
            </w:r>
            <w:r w:rsidR="007D4B74">
              <w:rPr>
                <w:noProof/>
                <w:webHidden/>
              </w:rPr>
              <w:fldChar w:fldCharType="begin"/>
            </w:r>
            <w:r w:rsidR="007D4B74">
              <w:rPr>
                <w:noProof/>
                <w:webHidden/>
              </w:rPr>
              <w:instrText xml:space="preserve"> PAGEREF _Toc53129479 \h </w:instrText>
            </w:r>
            <w:r w:rsidR="007D4B74">
              <w:rPr>
                <w:noProof/>
                <w:webHidden/>
              </w:rPr>
            </w:r>
            <w:r w:rsidR="007D4B74">
              <w:rPr>
                <w:noProof/>
                <w:webHidden/>
              </w:rPr>
              <w:fldChar w:fldCharType="separate"/>
            </w:r>
            <w:r w:rsidR="007D4B74">
              <w:rPr>
                <w:noProof/>
                <w:webHidden/>
              </w:rPr>
              <w:t>82</w:t>
            </w:r>
            <w:r w:rsidR="007D4B74">
              <w:rPr>
                <w:noProof/>
                <w:webHidden/>
              </w:rPr>
              <w:fldChar w:fldCharType="end"/>
            </w:r>
          </w:hyperlink>
        </w:p>
        <w:p w14:paraId="0B330AD0" w14:textId="77777777" w:rsidR="007D4B74" w:rsidRDefault="0080045D">
          <w:pPr>
            <w:pStyle w:val="TOC2"/>
            <w:tabs>
              <w:tab w:val="left" w:pos="880"/>
            </w:tabs>
            <w:rPr>
              <w:rFonts w:asciiTheme="minorHAnsi" w:eastAsiaTheme="minorEastAsia" w:hAnsiTheme="minorHAnsi"/>
              <w:noProof/>
              <w:sz w:val="22"/>
              <w:lang w:eastAsia="en-AU"/>
            </w:rPr>
          </w:pPr>
          <w:hyperlink w:anchor="_Toc53129480" w:history="1">
            <w:r w:rsidR="007D4B74" w:rsidRPr="00145615">
              <w:rPr>
                <w:rStyle w:val="Hyperlink"/>
                <w:noProof/>
              </w:rPr>
              <w:t>9.1</w:t>
            </w:r>
            <w:r w:rsidR="007D4B74">
              <w:rPr>
                <w:rFonts w:asciiTheme="minorHAnsi" w:eastAsiaTheme="minorEastAsia" w:hAnsiTheme="minorHAnsi"/>
                <w:noProof/>
                <w:sz w:val="22"/>
                <w:lang w:eastAsia="en-AU"/>
              </w:rPr>
              <w:tab/>
            </w:r>
            <w:r w:rsidR="007D4B74" w:rsidRPr="00145615">
              <w:rPr>
                <w:rStyle w:val="Hyperlink"/>
                <w:iCs/>
                <w:noProof/>
              </w:rPr>
              <w:t>CSIRO’s technical review of biophysical risks to carbon sequestration under the ERF</w:t>
            </w:r>
            <w:r w:rsidR="007D4B74">
              <w:rPr>
                <w:noProof/>
                <w:webHidden/>
              </w:rPr>
              <w:tab/>
            </w:r>
            <w:r w:rsidR="007D4B74">
              <w:rPr>
                <w:noProof/>
                <w:webHidden/>
              </w:rPr>
              <w:fldChar w:fldCharType="begin"/>
            </w:r>
            <w:r w:rsidR="007D4B74">
              <w:rPr>
                <w:noProof/>
                <w:webHidden/>
              </w:rPr>
              <w:instrText xml:space="preserve"> PAGEREF _Toc53129480 \h </w:instrText>
            </w:r>
            <w:r w:rsidR="007D4B74">
              <w:rPr>
                <w:noProof/>
                <w:webHidden/>
              </w:rPr>
            </w:r>
            <w:r w:rsidR="007D4B74">
              <w:rPr>
                <w:noProof/>
                <w:webHidden/>
              </w:rPr>
              <w:fldChar w:fldCharType="separate"/>
            </w:r>
            <w:r w:rsidR="007D4B74">
              <w:rPr>
                <w:noProof/>
                <w:webHidden/>
              </w:rPr>
              <w:t>82</w:t>
            </w:r>
            <w:r w:rsidR="007D4B74">
              <w:rPr>
                <w:noProof/>
                <w:webHidden/>
              </w:rPr>
              <w:fldChar w:fldCharType="end"/>
            </w:r>
          </w:hyperlink>
        </w:p>
        <w:p w14:paraId="40328A08" w14:textId="77777777" w:rsidR="007D4B74" w:rsidRDefault="0080045D">
          <w:pPr>
            <w:pStyle w:val="TOC2"/>
            <w:tabs>
              <w:tab w:val="left" w:pos="880"/>
            </w:tabs>
            <w:rPr>
              <w:rFonts w:asciiTheme="minorHAnsi" w:eastAsiaTheme="minorEastAsia" w:hAnsiTheme="minorHAnsi"/>
              <w:noProof/>
              <w:sz w:val="22"/>
              <w:lang w:eastAsia="en-AU"/>
            </w:rPr>
          </w:pPr>
          <w:hyperlink w:anchor="_Toc53129481" w:history="1">
            <w:r w:rsidR="007D4B74" w:rsidRPr="00145615">
              <w:rPr>
                <w:rStyle w:val="Hyperlink"/>
                <w:noProof/>
              </w:rPr>
              <w:t>9.2</w:t>
            </w:r>
            <w:r w:rsidR="007D4B74">
              <w:rPr>
                <w:rFonts w:asciiTheme="minorHAnsi" w:eastAsiaTheme="minorEastAsia" w:hAnsiTheme="minorHAnsi"/>
                <w:noProof/>
                <w:sz w:val="22"/>
                <w:lang w:eastAsia="en-AU"/>
              </w:rPr>
              <w:tab/>
            </w:r>
            <w:r w:rsidR="007D4B74" w:rsidRPr="00145615">
              <w:rPr>
                <w:rStyle w:val="Hyperlink"/>
                <w:iCs/>
                <w:noProof/>
              </w:rPr>
              <w:t>Opportunities to manage climate risk effectively</w:t>
            </w:r>
            <w:r w:rsidR="007D4B74">
              <w:rPr>
                <w:noProof/>
                <w:webHidden/>
              </w:rPr>
              <w:tab/>
            </w:r>
            <w:r w:rsidR="007D4B74">
              <w:rPr>
                <w:noProof/>
                <w:webHidden/>
              </w:rPr>
              <w:fldChar w:fldCharType="begin"/>
            </w:r>
            <w:r w:rsidR="007D4B74">
              <w:rPr>
                <w:noProof/>
                <w:webHidden/>
              </w:rPr>
              <w:instrText xml:space="preserve"> PAGEREF _Toc53129481 \h </w:instrText>
            </w:r>
            <w:r w:rsidR="007D4B74">
              <w:rPr>
                <w:noProof/>
                <w:webHidden/>
              </w:rPr>
            </w:r>
            <w:r w:rsidR="007D4B74">
              <w:rPr>
                <w:noProof/>
                <w:webHidden/>
              </w:rPr>
              <w:fldChar w:fldCharType="separate"/>
            </w:r>
            <w:r w:rsidR="007D4B74">
              <w:rPr>
                <w:noProof/>
                <w:webHidden/>
              </w:rPr>
              <w:t>90</w:t>
            </w:r>
            <w:r w:rsidR="007D4B74">
              <w:rPr>
                <w:noProof/>
                <w:webHidden/>
              </w:rPr>
              <w:fldChar w:fldCharType="end"/>
            </w:r>
          </w:hyperlink>
        </w:p>
        <w:p w14:paraId="6DE61EC8" w14:textId="77777777" w:rsidR="007D4B74" w:rsidRDefault="0080045D">
          <w:pPr>
            <w:pStyle w:val="TOC1"/>
            <w:rPr>
              <w:rFonts w:asciiTheme="minorHAnsi" w:eastAsiaTheme="minorEastAsia" w:hAnsiTheme="minorHAnsi"/>
              <w:noProof/>
              <w:sz w:val="22"/>
              <w:lang w:eastAsia="en-AU"/>
            </w:rPr>
          </w:pPr>
          <w:hyperlink w:anchor="_Toc53129482" w:history="1">
            <w:r w:rsidR="007D4B74" w:rsidRPr="00145615">
              <w:rPr>
                <w:rStyle w:val="Hyperlink"/>
                <w:noProof/>
              </w:rPr>
              <w:t>Chapter 10: Building a climate resilient and sustainable Emissions Reduction Fund</w:t>
            </w:r>
            <w:r w:rsidR="007D4B74">
              <w:rPr>
                <w:noProof/>
                <w:webHidden/>
              </w:rPr>
              <w:tab/>
            </w:r>
            <w:r w:rsidR="007D4B74">
              <w:rPr>
                <w:noProof/>
                <w:webHidden/>
              </w:rPr>
              <w:fldChar w:fldCharType="begin"/>
            </w:r>
            <w:r w:rsidR="007D4B74">
              <w:rPr>
                <w:noProof/>
                <w:webHidden/>
              </w:rPr>
              <w:instrText xml:space="preserve"> PAGEREF _Toc53129482 \h </w:instrText>
            </w:r>
            <w:r w:rsidR="007D4B74">
              <w:rPr>
                <w:noProof/>
                <w:webHidden/>
              </w:rPr>
            </w:r>
            <w:r w:rsidR="007D4B74">
              <w:rPr>
                <w:noProof/>
                <w:webHidden/>
              </w:rPr>
              <w:fldChar w:fldCharType="separate"/>
            </w:r>
            <w:r w:rsidR="007D4B74">
              <w:rPr>
                <w:noProof/>
                <w:webHidden/>
              </w:rPr>
              <w:t>99</w:t>
            </w:r>
            <w:r w:rsidR="007D4B74">
              <w:rPr>
                <w:noProof/>
                <w:webHidden/>
              </w:rPr>
              <w:fldChar w:fldCharType="end"/>
            </w:r>
          </w:hyperlink>
        </w:p>
        <w:p w14:paraId="3037E29B" w14:textId="77777777" w:rsidR="007D4B74" w:rsidRDefault="0080045D">
          <w:pPr>
            <w:pStyle w:val="TOC2"/>
            <w:tabs>
              <w:tab w:val="left" w:pos="880"/>
            </w:tabs>
            <w:rPr>
              <w:rFonts w:asciiTheme="minorHAnsi" w:eastAsiaTheme="minorEastAsia" w:hAnsiTheme="minorHAnsi"/>
              <w:noProof/>
              <w:sz w:val="22"/>
              <w:lang w:eastAsia="en-AU"/>
            </w:rPr>
          </w:pPr>
          <w:hyperlink w:anchor="_Toc53129483" w:history="1">
            <w:r w:rsidR="007D4B74" w:rsidRPr="00145615">
              <w:rPr>
                <w:rStyle w:val="Hyperlink"/>
                <w:noProof/>
              </w:rPr>
              <w:t>10.1</w:t>
            </w:r>
            <w:r w:rsidR="007D4B74">
              <w:rPr>
                <w:rFonts w:asciiTheme="minorHAnsi" w:eastAsiaTheme="minorEastAsia" w:hAnsiTheme="minorHAnsi"/>
                <w:noProof/>
                <w:sz w:val="22"/>
                <w:lang w:eastAsia="en-AU"/>
              </w:rPr>
              <w:tab/>
            </w:r>
            <w:r w:rsidR="007D4B74" w:rsidRPr="00145615">
              <w:rPr>
                <w:rStyle w:val="Hyperlink"/>
                <w:noProof/>
              </w:rPr>
              <w:t>Increasing the resilience of land-sector ERF abatement through management strategies</w:t>
            </w:r>
            <w:r w:rsidR="007D4B74">
              <w:rPr>
                <w:noProof/>
                <w:webHidden/>
              </w:rPr>
              <w:tab/>
            </w:r>
            <w:r w:rsidR="007D4B74">
              <w:rPr>
                <w:noProof/>
                <w:webHidden/>
              </w:rPr>
              <w:fldChar w:fldCharType="begin"/>
            </w:r>
            <w:r w:rsidR="007D4B74">
              <w:rPr>
                <w:noProof/>
                <w:webHidden/>
              </w:rPr>
              <w:instrText xml:space="preserve"> PAGEREF _Toc53129483 \h </w:instrText>
            </w:r>
            <w:r w:rsidR="007D4B74">
              <w:rPr>
                <w:noProof/>
                <w:webHidden/>
              </w:rPr>
            </w:r>
            <w:r w:rsidR="007D4B74">
              <w:rPr>
                <w:noProof/>
                <w:webHidden/>
              </w:rPr>
              <w:fldChar w:fldCharType="separate"/>
            </w:r>
            <w:r w:rsidR="007D4B74">
              <w:rPr>
                <w:noProof/>
                <w:webHidden/>
              </w:rPr>
              <w:t>99</w:t>
            </w:r>
            <w:r w:rsidR="007D4B74">
              <w:rPr>
                <w:noProof/>
                <w:webHidden/>
              </w:rPr>
              <w:fldChar w:fldCharType="end"/>
            </w:r>
          </w:hyperlink>
        </w:p>
        <w:p w14:paraId="6AFD2933" w14:textId="77777777" w:rsidR="007D4B74" w:rsidRDefault="0080045D">
          <w:pPr>
            <w:pStyle w:val="TOC2"/>
            <w:tabs>
              <w:tab w:val="left" w:pos="880"/>
            </w:tabs>
            <w:rPr>
              <w:rFonts w:asciiTheme="minorHAnsi" w:eastAsiaTheme="minorEastAsia" w:hAnsiTheme="minorHAnsi"/>
              <w:noProof/>
              <w:sz w:val="22"/>
              <w:lang w:eastAsia="en-AU"/>
            </w:rPr>
          </w:pPr>
          <w:hyperlink w:anchor="_Toc53129484" w:history="1">
            <w:r w:rsidR="007D4B74" w:rsidRPr="00145615">
              <w:rPr>
                <w:rStyle w:val="Hyperlink"/>
                <w:noProof/>
              </w:rPr>
              <w:t>10.2</w:t>
            </w:r>
            <w:r w:rsidR="007D4B74">
              <w:rPr>
                <w:rFonts w:asciiTheme="minorHAnsi" w:eastAsiaTheme="minorEastAsia" w:hAnsiTheme="minorHAnsi"/>
                <w:noProof/>
                <w:sz w:val="22"/>
                <w:lang w:eastAsia="en-AU"/>
              </w:rPr>
              <w:tab/>
            </w:r>
            <w:r w:rsidR="007D4B74" w:rsidRPr="00145615">
              <w:rPr>
                <w:rStyle w:val="Hyperlink"/>
                <w:noProof/>
              </w:rPr>
              <w:t>Supporting best practice projects</w:t>
            </w:r>
            <w:r w:rsidR="007D4B74">
              <w:rPr>
                <w:noProof/>
                <w:webHidden/>
              </w:rPr>
              <w:tab/>
            </w:r>
            <w:r w:rsidR="007D4B74">
              <w:rPr>
                <w:noProof/>
                <w:webHidden/>
              </w:rPr>
              <w:fldChar w:fldCharType="begin"/>
            </w:r>
            <w:r w:rsidR="007D4B74">
              <w:rPr>
                <w:noProof/>
                <w:webHidden/>
              </w:rPr>
              <w:instrText xml:space="preserve"> PAGEREF _Toc53129484 \h </w:instrText>
            </w:r>
            <w:r w:rsidR="007D4B74">
              <w:rPr>
                <w:noProof/>
                <w:webHidden/>
              </w:rPr>
            </w:r>
            <w:r w:rsidR="007D4B74">
              <w:rPr>
                <w:noProof/>
                <w:webHidden/>
              </w:rPr>
              <w:fldChar w:fldCharType="separate"/>
            </w:r>
            <w:r w:rsidR="007D4B74">
              <w:rPr>
                <w:noProof/>
                <w:webHidden/>
              </w:rPr>
              <w:t>101</w:t>
            </w:r>
            <w:r w:rsidR="007D4B74">
              <w:rPr>
                <w:noProof/>
                <w:webHidden/>
              </w:rPr>
              <w:fldChar w:fldCharType="end"/>
            </w:r>
          </w:hyperlink>
        </w:p>
        <w:p w14:paraId="0D228204" w14:textId="77777777" w:rsidR="007D4B74" w:rsidRDefault="0080045D">
          <w:pPr>
            <w:pStyle w:val="TOC2"/>
            <w:tabs>
              <w:tab w:val="left" w:pos="880"/>
            </w:tabs>
            <w:rPr>
              <w:rFonts w:asciiTheme="minorHAnsi" w:eastAsiaTheme="minorEastAsia" w:hAnsiTheme="minorHAnsi"/>
              <w:noProof/>
              <w:sz w:val="22"/>
              <w:lang w:eastAsia="en-AU"/>
            </w:rPr>
          </w:pPr>
          <w:hyperlink w:anchor="_Toc53129485" w:history="1">
            <w:r w:rsidR="007D4B74" w:rsidRPr="00145615">
              <w:rPr>
                <w:rStyle w:val="Hyperlink"/>
                <w:noProof/>
              </w:rPr>
              <w:t>10.3</w:t>
            </w:r>
            <w:r w:rsidR="007D4B74">
              <w:rPr>
                <w:rFonts w:asciiTheme="minorHAnsi" w:eastAsiaTheme="minorEastAsia" w:hAnsiTheme="minorHAnsi"/>
                <w:noProof/>
                <w:sz w:val="22"/>
                <w:lang w:eastAsia="en-AU"/>
              </w:rPr>
              <w:tab/>
            </w:r>
            <w:r w:rsidR="007D4B74" w:rsidRPr="00145615">
              <w:rPr>
                <w:rStyle w:val="Hyperlink"/>
                <w:noProof/>
              </w:rPr>
              <w:t>Managing potential adverse impacts in the ERF</w:t>
            </w:r>
            <w:r w:rsidR="007D4B74">
              <w:rPr>
                <w:noProof/>
                <w:webHidden/>
              </w:rPr>
              <w:tab/>
            </w:r>
            <w:r w:rsidR="007D4B74">
              <w:rPr>
                <w:noProof/>
                <w:webHidden/>
              </w:rPr>
              <w:fldChar w:fldCharType="begin"/>
            </w:r>
            <w:r w:rsidR="007D4B74">
              <w:rPr>
                <w:noProof/>
                <w:webHidden/>
              </w:rPr>
              <w:instrText xml:space="preserve"> PAGEREF _Toc53129485 \h </w:instrText>
            </w:r>
            <w:r w:rsidR="007D4B74">
              <w:rPr>
                <w:noProof/>
                <w:webHidden/>
              </w:rPr>
            </w:r>
            <w:r w:rsidR="007D4B74">
              <w:rPr>
                <w:noProof/>
                <w:webHidden/>
              </w:rPr>
              <w:fldChar w:fldCharType="separate"/>
            </w:r>
            <w:r w:rsidR="007D4B74">
              <w:rPr>
                <w:noProof/>
                <w:webHidden/>
              </w:rPr>
              <w:t>102</w:t>
            </w:r>
            <w:r w:rsidR="007D4B74">
              <w:rPr>
                <w:noProof/>
                <w:webHidden/>
              </w:rPr>
              <w:fldChar w:fldCharType="end"/>
            </w:r>
          </w:hyperlink>
        </w:p>
        <w:p w14:paraId="7FE289EC" w14:textId="77777777" w:rsidR="007D4B74" w:rsidRDefault="0080045D">
          <w:pPr>
            <w:pStyle w:val="TOC1"/>
            <w:rPr>
              <w:rFonts w:asciiTheme="minorHAnsi" w:eastAsiaTheme="minorEastAsia" w:hAnsiTheme="minorHAnsi"/>
              <w:noProof/>
              <w:sz w:val="22"/>
              <w:lang w:eastAsia="en-AU"/>
            </w:rPr>
          </w:pPr>
          <w:hyperlink w:anchor="_Toc53129486" w:history="1">
            <w:r w:rsidR="007D4B74" w:rsidRPr="00145615">
              <w:rPr>
                <w:rStyle w:val="Hyperlink"/>
                <w:noProof/>
              </w:rPr>
              <w:t>Glossary of terms</w:t>
            </w:r>
            <w:r w:rsidR="007D4B74">
              <w:rPr>
                <w:noProof/>
                <w:webHidden/>
              </w:rPr>
              <w:tab/>
            </w:r>
            <w:r w:rsidR="007D4B74">
              <w:rPr>
                <w:noProof/>
                <w:webHidden/>
              </w:rPr>
              <w:fldChar w:fldCharType="begin"/>
            </w:r>
            <w:r w:rsidR="007D4B74">
              <w:rPr>
                <w:noProof/>
                <w:webHidden/>
              </w:rPr>
              <w:instrText xml:space="preserve"> PAGEREF _Toc53129486 \h </w:instrText>
            </w:r>
            <w:r w:rsidR="007D4B74">
              <w:rPr>
                <w:noProof/>
                <w:webHidden/>
              </w:rPr>
            </w:r>
            <w:r w:rsidR="007D4B74">
              <w:rPr>
                <w:noProof/>
                <w:webHidden/>
              </w:rPr>
              <w:fldChar w:fldCharType="separate"/>
            </w:r>
            <w:r w:rsidR="007D4B74">
              <w:rPr>
                <w:noProof/>
                <w:webHidden/>
              </w:rPr>
              <w:t>104</w:t>
            </w:r>
            <w:r w:rsidR="007D4B74">
              <w:rPr>
                <w:noProof/>
                <w:webHidden/>
              </w:rPr>
              <w:fldChar w:fldCharType="end"/>
            </w:r>
          </w:hyperlink>
        </w:p>
        <w:p w14:paraId="30D224F6" w14:textId="77777777" w:rsidR="007D4B74" w:rsidRDefault="0080045D">
          <w:pPr>
            <w:pStyle w:val="TOC1"/>
            <w:rPr>
              <w:rFonts w:asciiTheme="minorHAnsi" w:eastAsiaTheme="minorEastAsia" w:hAnsiTheme="minorHAnsi"/>
              <w:noProof/>
              <w:sz w:val="22"/>
              <w:lang w:eastAsia="en-AU"/>
            </w:rPr>
          </w:pPr>
          <w:hyperlink w:anchor="_Toc53129487" w:history="1">
            <w:r w:rsidR="007D4B74" w:rsidRPr="00145615">
              <w:rPr>
                <w:rStyle w:val="Hyperlink"/>
                <w:noProof/>
              </w:rPr>
              <w:t>Table of abbreviations and acronyms</w:t>
            </w:r>
            <w:r w:rsidR="007D4B74">
              <w:rPr>
                <w:noProof/>
                <w:webHidden/>
              </w:rPr>
              <w:tab/>
            </w:r>
            <w:r w:rsidR="007D4B74">
              <w:rPr>
                <w:noProof/>
                <w:webHidden/>
              </w:rPr>
              <w:fldChar w:fldCharType="begin"/>
            </w:r>
            <w:r w:rsidR="007D4B74">
              <w:rPr>
                <w:noProof/>
                <w:webHidden/>
              </w:rPr>
              <w:instrText xml:space="preserve"> PAGEREF _Toc53129487 \h </w:instrText>
            </w:r>
            <w:r w:rsidR="007D4B74">
              <w:rPr>
                <w:noProof/>
                <w:webHidden/>
              </w:rPr>
            </w:r>
            <w:r w:rsidR="007D4B74">
              <w:rPr>
                <w:noProof/>
                <w:webHidden/>
              </w:rPr>
              <w:fldChar w:fldCharType="separate"/>
            </w:r>
            <w:r w:rsidR="007D4B74">
              <w:rPr>
                <w:noProof/>
                <w:webHidden/>
              </w:rPr>
              <w:t>107</w:t>
            </w:r>
            <w:r w:rsidR="007D4B74">
              <w:rPr>
                <w:noProof/>
                <w:webHidden/>
              </w:rPr>
              <w:fldChar w:fldCharType="end"/>
            </w:r>
          </w:hyperlink>
        </w:p>
        <w:p w14:paraId="08E0BF85" w14:textId="77777777" w:rsidR="007D4B74" w:rsidRDefault="0080045D">
          <w:pPr>
            <w:pStyle w:val="TOC1"/>
            <w:rPr>
              <w:rFonts w:asciiTheme="minorHAnsi" w:eastAsiaTheme="minorEastAsia" w:hAnsiTheme="minorHAnsi"/>
              <w:noProof/>
              <w:sz w:val="22"/>
              <w:lang w:eastAsia="en-AU"/>
            </w:rPr>
          </w:pPr>
          <w:hyperlink w:anchor="_Toc53129488" w:history="1">
            <w:r w:rsidR="007D4B74" w:rsidRPr="00145615">
              <w:rPr>
                <w:rStyle w:val="Hyperlink"/>
                <w:noProof/>
              </w:rPr>
              <w:t>Appendix A. Stakeholder consultation</w:t>
            </w:r>
            <w:r w:rsidR="007D4B74">
              <w:rPr>
                <w:noProof/>
                <w:webHidden/>
              </w:rPr>
              <w:tab/>
            </w:r>
            <w:r w:rsidR="007D4B74">
              <w:rPr>
                <w:noProof/>
                <w:webHidden/>
              </w:rPr>
              <w:fldChar w:fldCharType="begin"/>
            </w:r>
            <w:r w:rsidR="007D4B74">
              <w:rPr>
                <w:noProof/>
                <w:webHidden/>
              </w:rPr>
              <w:instrText xml:space="preserve"> PAGEREF _Toc53129488 \h </w:instrText>
            </w:r>
            <w:r w:rsidR="007D4B74">
              <w:rPr>
                <w:noProof/>
                <w:webHidden/>
              </w:rPr>
            </w:r>
            <w:r w:rsidR="007D4B74">
              <w:rPr>
                <w:noProof/>
                <w:webHidden/>
              </w:rPr>
              <w:fldChar w:fldCharType="separate"/>
            </w:r>
            <w:r w:rsidR="007D4B74">
              <w:rPr>
                <w:noProof/>
                <w:webHidden/>
              </w:rPr>
              <w:t>109</w:t>
            </w:r>
            <w:r w:rsidR="007D4B74">
              <w:rPr>
                <w:noProof/>
                <w:webHidden/>
              </w:rPr>
              <w:fldChar w:fldCharType="end"/>
            </w:r>
          </w:hyperlink>
        </w:p>
        <w:p w14:paraId="3120161A" w14:textId="77777777" w:rsidR="007D4B74" w:rsidRDefault="0080045D">
          <w:pPr>
            <w:pStyle w:val="TOC1"/>
            <w:rPr>
              <w:rFonts w:asciiTheme="minorHAnsi" w:eastAsiaTheme="minorEastAsia" w:hAnsiTheme="minorHAnsi"/>
              <w:noProof/>
              <w:sz w:val="22"/>
              <w:lang w:eastAsia="en-AU"/>
            </w:rPr>
          </w:pPr>
          <w:hyperlink w:anchor="_Toc53129489" w:history="1">
            <w:r w:rsidR="007D4B74" w:rsidRPr="00145615">
              <w:rPr>
                <w:rStyle w:val="Hyperlink"/>
                <w:noProof/>
              </w:rPr>
              <w:t>Appendix B. Costs and benefits of recommendations</w:t>
            </w:r>
            <w:r w:rsidR="007D4B74">
              <w:rPr>
                <w:noProof/>
                <w:webHidden/>
              </w:rPr>
              <w:tab/>
            </w:r>
            <w:r w:rsidR="007D4B74">
              <w:rPr>
                <w:noProof/>
                <w:webHidden/>
              </w:rPr>
              <w:fldChar w:fldCharType="begin"/>
            </w:r>
            <w:r w:rsidR="007D4B74">
              <w:rPr>
                <w:noProof/>
                <w:webHidden/>
              </w:rPr>
              <w:instrText xml:space="preserve"> PAGEREF _Toc53129489 \h </w:instrText>
            </w:r>
            <w:r w:rsidR="007D4B74">
              <w:rPr>
                <w:noProof/>
                <w:webHidden/>
              </w:rPr>
            </w:r>
            <w:r w:rsidR="007D4B74">
              <w:rPr>
                <w:noProof/>
                <w:webHidden/>
              </w:rPr>
              <w:fldChar w:fldCharType="separate"/>
            </w:r>
            <w:r w:rsidR="007D4B74">
              <w:rPr>
                <w:noProof/>
                <w:webHidden/>
              </w:rPr>
              <w:t>110</w:t>
            </w:r>
            <w:r w:rsidR="007D4B74">
              <w:rPr>
                <w:noProof/>
                <w:webHidden/>
              </w:rPr>
              <w:fldChar w:fldCharType="end"/>
            </w:r>
          </w:hyperlink>
        </w:p>
        <w:p w14:paraId="36FCB38B" w14:textId="77777777" w:rsidR="007D4B74" w:rsidRDefault="0080045D">
          <w:pPr>
            <w:pStyle w:val="TOC1"/>
            <w:rPr>
              <w:rFonts w:asciiTheme="minorHAnsi" w:eastAsiaTheme="minorEastAsia" w:hAnsiTheme="minorHAnsi"/>
              <w:noProof/>
              <w:sz w:val="22"/>
              <w:lang w:eastAsia="en-AU"/>
            </w:rPr>
          </w:pPr>
          <w:hyperlink w:anchor="_Toc53129490" w:history="1">
            <w:r w:rsidR="007D4B74" w:rsidRPr="00145615">
              <w:rPr>
                <w:rStyle w:val="Hyperlink"/>
                <w:noProof/>
              </w:rPr>
              <w:t>Appendix C. Recommendations from Authority’s 2017 ERF Review and Government response</w:t>
            </w:r>
            <w:r w:rsidR="007D4B74">
              <w:rPr>
                <w:noProof/>
                <w:webHidden/>
              </w:rPr>
              <w:tab/>
            </w:r>
            <w:r w:rsidR="007D4B74">
              <w:rPr>
                <w:noProof/>
                <w:webHidden/>
              </w:rPr>
              <w:fldChar w:fldCharType="begin"/>
            </w:r>
            <w:r w:rsidR="007D4B74">
              <w:rPr>
                <w:noProof/>
                <w:webHidden/>
              </w:rPr>
              <w:instrText xml:space="preserve"> PAGEREF _Toc53129490 \h </w:instrText>
            </w:r>
            <w:r w:rsidR="007D4B74">
              <w:rPr>
                <w:noProof/>
                <w:webHidden/>
              </w:rPr>
            </w:r>
            <w:r w:rsidR="007D4B74">
              <w:rPr>
                <w:noProof/>
                <w:webHidden/>
              </w:rPr>
              <w:fldChar w:fldCharType="separate"/>
            </w:r>
            <w:r w:rsidR="007D4B74">
              <w:rPr>
                <w:noProof/>
                <w:webHidden/>
              </w:rPr>
              <w:t>122</w:t>
            </w:r>
            <w:r w:rsidR="007D4B74">
              <w:rPr>
                <w:noProof/>
                <w:webHidden/>
              </w:rPr>
              <w:fldChar w:fldCharType="end"/>
            </w:r>
          </w:hyperlink>
        </w:p>
        <w:p w14:paraId="1780BC02" w14:textId="77777777" w:rsidR="007D4B74" w:rsidRDefault="0080045D">
          <w:pPr>
            <w:pStyle w:val="TOC1"/>
            <w:rPr>
              <w:rFonts w:asciiTheme="minorHAnsi" w:eastAsiaTheme="minorEastAsia" w:hAnsiTheme="minorHAnsi"/>
              <w:noProof/>
              <w:sz w:val="22"/>
              <w:lang w:eastAsia="en-AU"/>
            </w:rPr>
          </w:pPr>
          <w:hyperlink w:anchor="_Toc53129491" w:history="1">
            <w:r w:rsidR="007D4B74" w:rsidRPr="00145615">
              <w:rPr>
                <w:rStyle w:val="Hyperlink"/>
                <w:noProof/>
              </w:rPr>
              <w:t>Appendix D. Recommendations from Expert Panel (King) Review and related Authority advice</w:t>
            </w:r>
            <w:r w:rsidR="007D4B74">
              <w:rPr>
                <w:noProof/>
                <w:webHidden/>
              </w:rPr>
              <w:tab/>
            </w:r>
            <w:r w:rsidR="007D4B74">
              <w:rPr>
                <w:noProof/>
                <w:webHidden/>
              </w:rPr>
              <w:fldChar w:fldCharType="begin"/>
            </w:r>
            <w:r w:rsidR="007D4B74">
              <w:rPr>
                <w:noProof/>
                <w:webHidden/>
              </w:rPr>
              <w:instrText xml:space="preserve"> PAGEREF _Toc53129491 \h </w:instrText>
            </w:r>
            <w:r w:rsidR="007D4B74">
              <w:rPr>
                <w:noProof/>
                <w:webHidden/>
              </w:rPr>
            </w:r>
            <w:r w:rsidR="007D4B74">
              <w:rPr>
                <w:noProof/>
                <w:webHidden/>
              </w:rPr>
              <w:fldChar w:fldCharType="separate"/>
            </w:r>
            <w:r w:rsidR="007D4B74">
              <w:rPr>
                <w:noProof/>
                <w:webHidden/>
              </w:rPr>
              <w:t>126</w:t>
            </w:r>
            <w:r w:rsidR="007D4B74">
              <w:rPr>
                <w:noProof/>
                <w:webHidden/>
              </w:rPr>
              <w:fldChar w:fldCharType="end"/>
            </w:r>
          </w:hyperlink>
        </w:p>
        <w:p w14:paraId="40B94A68" w14:textId="77777777" w:rsidR="007D4B74" w:rsidRDefault="0080045D">
          <w:pPr>
            <w:pStyle w:val="TOC1"/>
            <w:rPr>
              <w:rFonts w:asciiTheme="minorHAnsi" w:eastAsiaTheme="minorEastAsia" w:hAnsiTheme="minorHAnsi"/>
              <w:noProof/>
              <w:sz w:val="22"/>
              <w:lang w:eastAsia="en-AU"/>
            </w:rPr>
          </w:pPr>
          <w:hyperlink w:anchor="_Toc53129492" w:history="1">
            <w:r w:rsidR="007D4B74" w:rsidRPr="00145615">
              <w:rPr>
                <w:rStyle w:val="Hyperlink"/>
                <w:noProof/>
              </w:rPr>
              <w:t>Appendix E. Summary of methods</w:t>
            </w:r>
            <w:r w:rsidR="007D4B74">
              <w:rPr>
                <w:noProof/>
                <w:webHidden/>
              </w:rPr>
              <w:tab/>
            </w:r>
            <w:r w:rsidR="007D4B74">
              <w:rPr>
                <w:noProof/>
                <w:webHidden/>
              </w:rPr>
              <w:fldChar w:fldCharType="begin"/>
            </w:r>
            <w:r w:rsidR="007D4B74">
              <w:rPr>
                <w:noProof/>
                <w:webHidden/>
              </w:rPr>
              <w:instrText xml:space="preserve"> PAGEREF _Toc53129492 \h </w:instrText>
            </w:r>
            <w:r w:rsidR="007D4B74">
              <w:rPr>
                <w:noProof/>
                <w:webHidden/>
              </w:rPr>
            </w:r>
            <w:r w:rsidR="007D4B74">
              <w:rPr>
                <w:noProof/>
                <w:webHidden/>
              </w:rPr>
              <w:fldChar w:fldCharType="separate"/>
            </w:r>
            <w:r w:rsidR="007D4B74">
              <w:rPr>
                <w:noProof/>
                <w:webHidden/>
              </w:rPr>
              <w:t>135</w:t>
            </w:r>
            <w:r w:rsidR="007D4B74">
              <w:rPr>
                <w:noProof/>
                <w:webHidden/>
              </w:rPr>
              <w:fldChar w:fldCharType="end"/>
            </w:r>
          </w:hyperlink>
        </w:p>
        <w:p w14:paraId="1F683BAB" w14:textId="77777777" w:rsidR="007D4B74" w:rsidRDefault="0080045D">
          <w:pPr>
            <w:pStyle w:val="TOC1"/>
            <w:rPr>
              <w:rFonts w:asciiTheme="minorHAnsi" w:eastAsiaTheme="minorEastAsia" w:hAnsiTheme="minorHAnsi"/>
              <w:noProof/>
              <w:sz w:val="22"/>
              <w:lang w:eastAsia="en-AU"/>
            </w:rPr>
          </w:pPr>
          <w:hyperlink w:anchor="_Toc53129493" w:history="1">
            <w:r w:rsidR="007D4B74" w:rsidRPr="00145615">
              <w:rPr>
                <w:rStyle w:val="Hyperlink"/>
                <w:noProof/>
              </w:rPr>
              <w:t>Appendix F. The CSIRO report findings on specific ERF activity categories</w:t>
            </w:r>
            <w:r w:rsidR="007D4B74">
              <w:rPr>
                <w:noProof/>
                <w:webHidden/>
              </w:rPr>
              <w:tab/>
            </w:r>
            <w:r w:rsidR="007D4B74">
              <w:rPr>
                <w:noProof/>
                <w:webHidden/>
              </w:rPr>
              <w:fldChar w:fldCharType="begin"/>
            </w:r>
            <w:r w:rsidR="007D4B74">
              <w:rPr>
                <w:noProof/>
                <w:webHidden/>
              </w:rPr>
              <w:instrText xml:space="preserve"> PAGEREF _Toc53129493 \h </w:instrText>
            </w:r>
            <w:r w:rsidR="007D4B74">
              <w:rPr>
                <w:noProof/>
                <w:webHidden/>
              </w:rPr>
            </w:r>
            <w:r w:rsidR="007D4B74">
              <w:rPr>
                <w:noProof/>
                <w:webHidden/>
              </w:rPr>
              <w:fldChar w:fldCharType="separate"/>
            </w:r>
            <w:r w:rsidR="007D4B74">
              <w:rPr>
                <w:noProof/>
                <w:webHidden/>
              </w:rPr>
              <w:t>139</w:t>
            </w:r>
            <w:r w:rsidR="007D4B74">
              <w:rPr>
                <w:noProof/>
                <w:webHidden/>
              </w:rPr>
              <w:fldChar w:fldCharType="end"/>
            </w:r>
          </w:hyperlink>
        </w:p>
        <w:p w14:paraId="7CC5D853" w14:textId="77777777" w:rsidR="007D4B74" w:rsidRDefault="0080045D">
          <w:pPr>
            <w:pStyle w:val="TOC1"/>
            <w:rPr>
              <w:rFonts w:asciiTheme="minorHAnsi" w:eastAsiaTheme="minorEastAsia" w:hAnsiTheme="minorHAnsi"/>
              <w:noProof/>
              <w:sz w:val="22"/>
              <w:lang w:eastAsia="en-AU"/>
            </w:rPr>
          </w:pPr>
          <w:hyperlink w:anchor="_Toc53129494" w:history="1">
            <w:r w:rsidR="007D4B74" w:rsidRPr="00145615">
              <w:rPr>
                <w:rStyle w:val="Hyperlink"/>
                <w:noProof/>
              </w:rPr>
              <w:t>References</w:t>
            </w:r>
            <w:r w:rsidR="007D4B74">
              <w:rPr>
                <w:noProof/>
                <w:webHidden/>
              </w:rPr>
              <w:tab/>
            </w:r>
            <w:r w:rsidR="007D4B74">
              <w:rPr>
                <w:noProof/>
                <w:webHidden/>
              </w:rPr>
              <w:fldChar w:fldCharType="begin"/>
            </w:r>
            <w:r w:rsidR="007D4B74">
              <w:rPr>
                <w:noProof/>
                <w:webHidden/>
              </w:rPr>
              <w:instrText xml:space="preserve"> PAGEREF _Toc53129494 \h </w:instrText>
            </w:r>
            <w:r w:rsidR="007D4B74">
              <w:rPr>
                <w:noProof/>
                <w:webHidden/>
              </w:rPr>
            </w:r>
            <w:r w:rsidR="007D4B74">
              <w:rPr>
                <w:noProof/>
                <w:webHidden/>
              </w:rPr>
              <w:fldChar w:fldCharType="separate"/>
            </w:r>
            <w:r w:rsidR="007D4B74">
              <w:rPr>
                <w:noProof/>
                <w:webHidden/>
              </w:rPr>
              <w:t>142</w:t>
            </w:r>
            <w:r w:rsidR="007D4B74">
              <w:rPr>
                <w:noProof/>
                <w:webHidden/>
              </w:rPr>
              <w:fldChar w:fldCharType="end"/>
            </w:r>
          </w:hyperlink>
        </w:p>
        <w:p w14:paraId="227D5843" w14:textId="3A8165EA" w:rsidR="00EF0ABF" w:rsidRDefault="00E3027E" w:rsidP="00E3027E">
          <w:r>
            <w:fldChar w:fldCharType="end"/>
          </w:r>
        </w:p>
        <w:p w14:paraId="60675957" w14:textId="6D8E9D12" w:rsidR="003E444F" w:rsidRDefault="003E444F" w:rsidP="003E444F">
          <w:pPr>
            <w:pStyle w:val="Heading1"/>
            <w:rPr>
              <w:color w:val="0070AE" w:themeColor="accent2" w:themeTint="BF"/>
            </w:rPr>
          </w:pPr>
          <w:bookmarkStart w:id="186" w:name="_Toc53129442"/>
          <w:r>
            <w:rPr>
              <w:color w:val="0070AE" w:themeColor="accent2" w:themeTint="BF"/>
            </w:rPr>
            <w:t>Figures</w:t>
          </w:r>
          <w:bookmarkEnd w:id="186"/>
        </w:p>
        <w:p w14:paraId="4B0C41C2" w14:textId="77777777" w:rsidR="00111AAF" w:rsidRDefault="008465AB">
          <w:pPr>
            <w:pStyle w:val="TOC1"/>
            <w:rPr>
              <w:rFonts w:asciiTheme="minorHAnsi" w:eastAsiaTheme="minorEastAsia" w:hAnsiTheme="minorHAnsi"/>
              <w:noProof/>
              <w:sz w:val="22"/>
              <w:lang w:eastAsia="en-AU"/>
            </w:rPr>
          </w:pPr>
          <w:r>
            <w:fldChar w:fldCharType="begin"/>
          </w:r>
          <w:r>
            <w:instrText xml:space="preserve"> TOC \h \z \t "Figure,1" </w:instrText>
          </w:r>
          <w:r>
            <w:fldChar w:fldCharType="separate"/>
          </w:r>
          <w:hyperlink w:anchor="_Toc53130452" w:history="1">
            <w:r w:rsidR="00111AAF" w:rsidRPr="001F5AD0">
              <w:rPr>
                <w:rStyle w:val="Hyperlink"/>
                <w:noProof/>
              </w:rPr>
              <w:t>Figure 2.1: Crediting and purchasing mechanisms under the ERF</w:t>
            </w:r>
            <w:r w:rsidR="00111AAF">
              <w:rPr>
                <w:noProof/>
                <w:webHidden/>
              </w:rPr>
              <w:tab/>
            </w:r>
            <w:r w:rsidR="00111AAF">
              <w:rPr>
                <w:noProof/>
                <w:webHidden/>
              </w:rPr>
              <w:fldChar w:fldCharType="begin"/>
            </w:r>
            <w:r w:rsidR="00111AAF">
              <w:rPr>
                <w:noProof/>
                <w:webHidden/>
              </w:rPr>
              <w:instrText xml:space="preserve"> PAGEREF _Toc53130452 \h </w:instrText>
            </w:r>
            <w:r w:rsidR="00111AAF">
              <w:rPr>
                <w:noProof/>
                <w:webHidden/>
              </w:rPr>
            </w:r>
            <w:r w:rsidR="00111AAF">
              <w:rPr>
                <w:noProof/>
                <w:webHidden/>
              </w:rPr>
              <w:fldChar w:fldCharType="separate"/>
            </w:r>
            <w:r w:rsidR="00111AAF">
              <w:rPr>
                <w:noProof/>
                <w:webHidden/>
              </w:rPr>
              <w:t>25</w:t>
            </w:r>
            <w:r w:rsidR="00111AAF">
              <w:rPr>
                <w:noProof/>
                <w:webHidden/>
              </w:rPr>
              <w:fldChar w:fldCharType="end"/>
            </w:r>
          </w:hyperlink>
        </w:p>
        <w:p w14:paraId="30439D06" w14:textId="77777777" w:rsidR="00111AAF" w:rsidRDefault="0080045D">
          <w:pPr>
            <w:pStyle w:val="TOC1"/>
            <w:rPr>
              <w:rFonts w:asciiTheme="minorHAnsi" w:eastAsiaTheme="minorEastAsia" w:hAnsiTheme="minorHAnsi"/>
              <w:noProof/>
              <w:sz w:val="22"/>
              <w:lang w:eastAsia="en-AU"/>
            </w:rPr>
          </w:pPr>
          <w:hyperlink w:anchor="_Toc53130453" w:history="1">
            <w:r w:rsidR="00111AAF" w:rsidRPr="001F5AD0">
              <w:rPr>
                <w:rStyle w:val="Hyperlink"/>
                <w:noProof/>
              </w:rPr>
              <w:t>Figure 3.1. ERF projects registered by month 1 Jan 2017 - 1 September 2020</w:t>
            </w:r>
            <w:r w:rsidR="00111AAF">
              <w:rPr>
                <w:noProof/>
                <w:webHidden/>
              </w:rPr>
              <w:tab/>
            </w:r>
            <w:r w:rsidR="00111AAF">
              <w:rPr>
                <w:noProof/>
                <w:webHidden/>
              </w:rPr>
              <w:fldChar w:fldCharType="begin"/>
            </w:r>
            <w:r w:rsidR="00111AAF">
              <w:rPr>
                <w:noProof/>
                <w:webHidden/>
              </w:rPr>
              <w:instrText xml:space="preserve"> PAGEREF _Toc53130453 \h </w:instrText>
            </w:r>
            <w:r w:rsidR="00111AAF">
              <w:rPr>
                <w:noProof/>
                <w:webHidden/>
              </w:rPr>
            </w:r>
            <w:r w:rsidR="00111AAF">
              <w:rPr>
                <w:noProof/>
                <w:webHidden/>
              </w:rPr>
              <w:fldChar w:fldCharType="separate"/>
            </w:r>
            <w:r w:rsidR="00111AAF">
              <w:rPr>
                <w:noProof/>
                <w:webHidden/>
              </w:rPr>
              <w:t>28</w:t>
            </w:r>
            <w:r w:rsidR="00111AAF">
              <w:rPr>
                <w:noProof/>
                <w:webHidden/>
              </w:rPr>
              <w:fldChar w:fldCharType="end"/>
            </w:r>
          </w:hyperlink>
        </w:p>
        <w:p w14:paraId="2CEBB816" w14:textId="77777777" w:rsidR="00111AAF" w:rsidRDefault="0080045D">
          <w:pPr>
            <w:pStyle w:val="TOC1"/>
            <w:rPr>
              <w:rFonts w:asciiTheme="minorHAnsi" w:eastAsiaTheme="minorEastAsia" w:hAnsiTheme="minorHAnsi"/>
              <w:noProof/>
              <w:sz w:val="22"/>
              <w:lang w:eastAsia="en-AU"/>
            </w:rPr>
          </w:pPr>
          <w:hyperlink w:anchor="_Toc53130454" w:history="1">
            <w:r w:rsidR="00111AAF" w:rsidRPr="001F5AD0">
              <w:rPr>
                <w:rStyle w:val="Hyperlink"/>
                <w:noProof/>
              </w:rPr>
              <w:t>Figure 3.2 Volume of ACCUs issued each year by method type</w:t>
            </w:r>
            <w:r w:rsidR="00111AAF">
              <w:rPr>
                <w:noProof/>
                <w:webHidden/>
              </w:rPr>
              <w:tab/>
            </w:r>
            <w:r w:rsidR="00111AAF">
              <w:rPr>
                <w:noProof/>
                <w:webHidden/>
              </w:rPr>
              <w:fldChar w:fldCharType="begin"/>
            </w:r>
            <w:r w:rsidR="00111AAF">
              <w:rPr>
                <w:noProof/>
                <w:webHidden/>
              </w:rPr>
              <w:instrText xml:space="preserve"> PAGEREF _Toc53130454 \h </w:instrText>
            </w:r>
            <w:r w:rsidR="00111AAF">
              <w:rPr>
                <w:noProof/>
                <w:webHidden/>
              </w:rPr>
            </w:r>
            <w:r w:rsidR="00111AAF">
              <w:rPr>
                <w:noProof/>
                <w:webHidden/>
              </w:rPr>
              <w:fldChar w:fldCharType="separate"/>
            </w:r>
            <w:r w:rsidR="00111AAF">
              <w:rPr>
                <w:noProof/>
                <w:webHidden/>
              </w:rPr>
              <w:t>29</w:t>
            </w:r>
            <w:r w:rsidR="00111AAF">
              <w:rPr>
                <w:noProof/>
                <w:webHidden/>
              </w:rPr>
              <w:fldChar w:fldCharType="end"/>
            </w:r>
          </w:hyperlink>
        </w:p>
        <w:p w14:paraId="6A01F3B7" w14:textId="77777777" w:rsidR="00111AAF" w:rsidRDefault="0080045D">
          <w:pPr>
            <w:pStyle w:val="TOC1"/>
            <w:rPr>
              <w:rFonts w:asciiTheme="minorHAnsi" w:eastAsiaTheme="minorEastAsia" w:hAnsiTheme="minorHAnsi"/>
              <w:noProof/>
              <w:sz w:val="22"/>
              <w:lang w:eastAsia="en-AU"/>
            </w:rPr>
          </w:pPr>
          <w:hyperlink w:anchor="_Toc53130455" w:history="1">
            <w:r w:rsidR="00111AAF" w:rsidRPr="001F5AD0">
              <w:rPr>
                <w:rStyle w:val="Hyperlink"/>
                <w:noProof/>
              </w:rPr>
              <w:t>Figure 3.3. Cumulative volume of contracted abatement by method type</w:t>
            </w:r>
            <w:r w:rsidR="00111AAF">
              <w:rPr>
                <w:noProof/>
                <w:webHidden/>
              </w:rPr>
              <w:tab/>
            </w:r>
            <w:r w:rsidR="00111AAF">
              <w:rPr>
                <w:noProof/>
                <w:webHidden/>
              </w:rPr>
              <w:fldChar w:fldCharType="begin"/>
            </w:r>
            <w:r w:rsidR="00111AAF">
              <w:rPr>
                <w:noProof/>
                <w:webHidden/>
              </w:rPr>
              <w:instrText xml:space="preserve"> PAGEREF _Toc53130455 \h </w:instrText>
            </w:r>
            <w:r w:rsidR="00111AAF">
              <w:rPr>
                <w:noProof/>
                <w:webHidden/>
              </w:rPr>
            </w:r>
            <w:r w:rsidR="00111AAF">
              <w:rPr>
                <w:noProof/>
                <w:webHidden/>
              </w:rPr>
              <w:fldChar w:fldCharType="separate"/>
            </w:r>
            <w:r w:rsidR="00111AAF">
              <w:rPr>
                <w:noProof/>
                <w:webHidden/>
              </w:rPr>
              <w:t>30</w:t>
            </w:r>
            <w:r w:rsidR="00111AAF">
              <w:rPr>
                <w:noProof/>
                <w:webHidden/>
              </w:rPr>
              <w:fldChar w:fldCharType="end"/>
            </w:r>
          </w:hyperlink>
        </w:p>
        <w:p w14:paraId="67EF9782" w14:textId="77777777" w:rsidR="00111AAF" w:rsidRDefault="0080045D">
          <w:pPr>
            <w:pStyle w:val="TOC1"/>
            <w:rPr>
              <w:rFonts w:asciiTheme="minorHAnsi" w:eastAsiaTheme="minorEastAsia" w:hAnsiTheme="minorHAnsi"/>
              <w:noProof/>
              <w:sz w:val="22"/>
              <w:lang w:eastAsia="en-AU"/>
            </w:rPr>
          </w:pPr>
          <w:hyperlink w:anchor="_Toc53130456" w:history="1">
            <w:r w:rsidR="00111AAF" w:rsidRPr="001F5AD0">
              <w:rPr>
                <w:rStyle w:val="Hyperlink"/>
                <w:noProof/>
              </w:rPr>
              <w:t>Figure 3.4. Auction results: Volume contracted abatement and average price</w:t>
            </w:r>
            <w:r w:rsidR="00111AAF">
              <w:rPr>
                <w:noProof/>
                <w:webHidden/>
              </w:rPr>
              <w:tab/>
            </w:r>
            <w:r w:rsidR="00111AAF">
              <w:rPr>
                <w:noProof/>
                <w:webHidden/>
              </w:rPr>
              <w:fldChar w:fldCharType="begin"/>
            </w:r>
            <w:r w:rsidR="00111AAF">
              <w:rPr>
                <w:noProof/>
                <w:webHidden/>
              </w:rPr>
              <w:instrText xml:space="preserve"> PAGEREF _Toc53130456 \h </w:instrText>
            </w:r>
            <w:r w:rsidR="00111AAF">
              <w:rPr>
                <w:noProof/>
                <w:webHidden/>
              </w:rPr>
            </w:r>
            <w:r w:rsidR="00111AAF">
              <w:rPr>
                <w:noProof/>
                <w:webHidden/>
              </w:rPr>
              <w:fldChar w:fldCharType="separate"/>
            </w:r>
            <w:r w:rsidR="00111AAF">
              <w:rPr>
                <w:noProof/>
                <w:webHidden/>
              </w:rPr>
              <w:t>31</w:t>
            </w:r>
            <w:r w:rsidR="00111AAF">
              <w:rPr>
                <w:noProof/>
                <w:webHidden/>
              </w:rPr>
              <w:fldChar w:fldCharType="end"/>
            </w:r>
          </w:hyperlink>
        </w:p>
        <w:p w14:paraId="6D9442DF" w14:textId="77777777" w:rsidR="00111AAF" w:rsidRDefault="0080045D">
          <w:pPr>
            <w:pStyle w:val="TOC1"/>
            <w:rPr>
              <w:rFonts w:asciiTheme="minorHAnsi" w:eastAsiaTheme="minorEastAsia" w:hAnsiTheme="minorHAnsi"/>
              <w:noProof/>
              <w:sz w:val="22"/>
              <w:lang w:eastAsia="en-AU"/>
            </w:rPr>
          </w:pPr>
          <w:hyperlink w:anchor="_Toc53130457" w:history="1">
            <w:r w:rsidR="00111AAF" w:rsidRPr="001F5AD0">
              <w:rPr>
                <w:rStyle w:val="Hyperlink"/>
                <w:noProof/>
              </w:rPr>
              <w:t>Figure 3.5. Contracted abatement, showing abatement still to be delivered by method type</w:t>
            </w:r>
            <w:r w:rsidR="00111AAF">
              <w:rPr>
                <w:noProof/>
                <w:webHidden/>
              </w:rPr>
              <w:tab/>
            </w:r>
            <w:r w:rsidR="00111AAF">
              <w:rPr>
                <w:noProof/>
                <w:webHidden/>
              </w:rPr>
              <w:fldChar w:fldCharType="begin"/>
            </w:r>
            <w:r w:rsidR="00111AAF">
              <w:rPr>
                <w:noProof/>
                <w:webHidden/>
              </w:rPr>
              <w:instrText xml:space="preserve"> PAGEREF _Toc53130457 \h </w:instrText>
            </w:r>
            <w:r w:rsidR="00111AAF">
              <w:rPr>
                <w:noProof/>
                <w:webHidden/>
              </w:rPr>
            </w:r>
            <w:r w:rsidR="00111AAF">
              <w:rPr>
                <w:noProof/>
                <w:webHidden/>
              </w:rPr>
              <w:fldChar w:fldCharType="separate"/>
            </w:r>
            <w:r w:rsidR="00111AAF">
              <w:rPr>
                <w:noProof/>
                <w:webHidden/>
              </w:rPr>
              <w:t>33</w:t>
            </w:r>
            <w:r w:rsidR="00111AAF">
              <w:rPr>
                <w:noProof/>
                <w:webHidden/>
              </w:rPr>
              <w:fldChar w:fldCharType="end"/>
            </w:r>
          </w:hyperlink>
        </w:p>
        <w:p w14:paraId="6BD64D62" w14:textId="77777777" w:rsidR="00111AAF" w:rsidRDefault="0080045D">
          <w:pPr>
            <w:pStyle w:val="TOC1"/>
            <w:rPr>
              <w:rFonts w:asciiTheme="minorHAnsi" w:eastAsiaTheme="minorEastAsia" w:hAnsiTheme="minorHAnsi"/>
              <w:noProof/>
              <w:sz w:val="22"/>
              <w:lang w:eastAsia="en-AU"/>
            </w:rPr>
          </w:pPr>
          <w:hyperlink w:anchor="_Toc53130458" w:history="1">
            <w:r w:rsidR="00111AAF" w:rsidRPr="001F5AD0">
              <w:rPr>
                <w:rStyle w:val="Hyperlink"/>
                <w:noProof/>
              </w:rPr>
              <w:t>Figure 4.1 Voluntary, state and territory government demand for ACCUs</w:t>
            </w:r>
            <w:r w:rsidR="00111AAF">
              <w:rPr>
                <w:noProof/>
                <w:webHidden/>
              </w:rPr>
              <w:tab/>
            </w:r>
            <w:r w:rsidR="00111AAF">
              <w:rPr>
                <w:noProof/>
                <w:webHidden/>
              </w:rPr>
              <w:fldChar w:fldCharType="begin"/>
            </w:r>
            <w:r w:rsidR="00111AAF">
              <w:rPr>
                <w:noProof/>
                <w:webHidden/>
              </w:rPr>
              <w:instrText xml:space="preserve"> PAGEREF _Toc53130458 \h </w:instrText>
            </w:r>
            <w:r w:rsidR="00111AAF">
              <w:rPr>
                <w:noProof/>
                <w:webHidden/>
              </w:rPr>
            </w:r>
            <w:r w:rsidR="00111AAF">
              <w:rPr>
                <w:noProof/>
                <w:webHidden/>
              </w:rPr>
              <w:fldChar w:fldCharType="separate"/>
            </w:r>
            <w:r w:rsidR="00111AAF">
              <w:rPr>
                <w:noProof/>
                <w:webHidden/>
              </w:rPr>
              <w:t>40</w:t>
            </w:r>
            <w:r w:rsidR="00111AAF">
              <w:rPr>
                <w:noProof/>
                <w:webHidden/>
              </w:rPr>
              <w:fldChar w:fldCharType="end"/>
            </w:r>
          </w:hyperlink>
        </w:p>
        <w:p w14:paraId="1763A9DB" w14:textId="77777777" w:rsidR="00111AAF" w:rsidRDefault="0080045D">
          <w:pPr>
            <w:pStyle w:val="TOC1"/>
            <w:rPr>
              <w:rFonts w:asciiTheme="minorHAnsi" w:eastAsiaTheme="minorEastAsia" w:hAnsiTheme="minorHAnsi"/>
              <w:noProof/>
              <w:sz w:val="22"/>
              <w:lang w:eastAsia="en-AU"/>
            </w:rPr>
          </w:pPr>
          <w:hyperlink w:anchor="_Toc53130459" w:history="1">
            <w:r w:rsidR="00111AAF" w:rsidRPr="001F5AD0">
              <w:rPr>
                <w:rStyle w:val="Hyperlink"/>
                <w:noProof/>
              </w:rPr>
              <w:t>Figure 7.1. Hierarchy of the legislative framework for the emissions reduction fund</w:t>
            </w:r>
            <w:r w:rsidR="00111AAF">
              <w:rPr>
                <w:noProof/>
                <w:webHidden/>
              </w:rPr>
              <w:tab/>
            </w:r>
            <w:r w:rsidR="00111AAF">
              <w:rPr>
                <w:noProof/>
                <w:webHidden/>
              </w:rPr>
              <w:fldChar w:fldCharType="begin"/>
            </w:r>
            <w:r w:rsidR="00111AAF">
              <w:rPr>
                <w:noProof/>
                <w:webHidden/>
              </w:rPr>
              <w:instrText xml:space="preserve"> PAGEREF _Toc53130459 \h </w:instrText>
            </w:r>
            <w:r w:rsidR="00111AAF">
              <w:rPr>
                <w:noProof/>
                <w:webHidden/>
              </w:rPr>
            </w:r>
            <w:r w:rsidR="00111AAF">
              <w:rPr>
                <w:noProof/>
                <w:webHidden/>
              </w:rPr>
              <w:fldChar w:fldCharType="separate"/>
            </w:r>
            <w:r w:rsidR="00111AAF">
              <w:rPr>
                <w:noProof/>
                <w:webHidden/>
              </w:rPr>
              <w:t>68</w:t>
            </w:r>
            <w:r w:rsidR="00111AAF">
              <w:rPr>
                <w:noProof/>
                <w:webHidden/>
              </w:rPr>
              <w:fldChar w:fldCharType="end"/>
            </w:r>
          </w:hyperlink>
        </w:p>
        <w:p w14:paraId="6577F6C5" w14:textId="77777777" w:rsidR="00111AAF" w:rsidRDefault="0080045D">
          <w:pPr>
            <w:pStyle w:val="TOC1"/>
            <w:rPr>
              <w:rFonts w:asciiTheme="minorHAnsi" w:eastAsiaTheme="minorEastAsia" w:hAnsiTheme="minorHAnsi"/>
              <w:noProof/>
              <w:sz w:val="22"/>
              <w:lang w:eastAsia="en-AU"/>
            </w:rPr>
          </w:pPr>
          <w:hyperlink w:anchor="_Toc53130460" w:history="1">
            <w:r w:rsidR="00111AAF" w:rsidRPr="001F5AD0">
              <w:rPr>
                <w:rStyle w:val="Hyperlink"/>
                <w:noProof/>
              </w:rPr>
              <w:t>Figure 8.1. ACCUs still to be delivered to the Government under fixed delivery contacts</w:t>
            </w:r>
            <w:r w:rsidR="00111AAF">
              <w:rPr>
                <w:noProof/>
                <w:webHidden/>
              </w:rPr>
              <w:tab/>
            </w:r>
            <w:r w:rsidR="00111AAF">
              <w:rPr>
                <w:noProof/>
                <w:webHidden/>
              </w:rPr>
              <w:fldChar w:fldCharType="begin"/>
            </w:r>
            <w:r w:rsidR="00111AAF">
              <w:rPr>
                <w:noProof/>
                <w:webHidden/>
              </w:rPr>
              <w:instrText xml:space="preserve"> PAGEREF _Toc53130460 \h </w:instrText>
            </w:r>
            <w:r w:rsidR="00111AAF">
              <w:rPr>
                <w:noProof/>
                <w:webHidden/>
              </w:rPr>
            </w:r>
            <w:r w:rsidR="00111AAF">
              <w:rPr>
                <w:noProof/>
                <w:webHidden/>
              </w:rPr>
              <w:fldChar w:fldCharType="separate"/>
            </w:r>
            <w:r w:rsidR="00111AAF">
              <w:rPr>
                <w:noProof/>
                <w:webHidden/>
              </w:rPr>
              <w:t>75</w:t>
            </w:r>
            <w:r w:rsidR="00111AAF">
              <w:rPr>
                <w:noProof/>
                <w:webHidden/>
              </w:rPr>
              <w:fldChar w:fldCharType="end"/>
            </w:r>
          </w:hyperlink>
        </w:p>
        <w:p w14:paraId="4642D6F5" w14:textId="77777777" w:rsidR="00111AAF" w:rsidRDefault="0080045D">
          <w:pPr>
            <w:pStyle w:val="TOC1"/>
            <w:rPr>
              <w:rFonts w:asciiTheme="minorHAnsi" w:eastAsiaTheme="minorEastAsia" w:hAnsiTheme="minorHAnsi"/>
              <w:noProof/>
              <w:sz w:val="22"/>
              <w:lang w:eastAsia="en-AU"/>
            </w:rPr>
          </w:pPr>
          <w:hyperlink w:anchor="_Toc53130461" w:history="1">
            <w:r w:rsidR="00111AAF" w:rsidRPr="001F5AD0">
              <w:rPr>
                <w:rStyle w:val="Hyperlink"/>
                <w:noProof/>
              </w:rPr>
              <w:t>Figure 8.2: Contract delivery schedules, conditions precedent and extensions: largest 14 contracts</w:t>
            </w:r>
            <w:r w:rsidR="00111AAF">
              <w:rPr>
                <w:noProof/>
                <w:webHidden/>
              </w:rPr>
              <w:tab/>
            </w:r>
            <w:r w:rsidR="00111AAF">
              <w:rPr>
                <w:noProof/>
                <w:webHidden/>
              </w:rPr>
              <w:fldChar w:fldCharType="begin"/>
            </w:r>
            <w:r w:rsidR="00111AAF">
              <w:rPr>
                <w:noProof/>
                <w:webHidden/>
              </w:rPr>
              <w:instrText xml:space="preserve"> PAGEREF _Toc53130461 \h </w:instrText>
            </w:r>
            <w:r w:rsidR="00111AAF">
              <w:rPr>
                <w:noProof/>
                <w:webHidden/>
              </w:rPr>
            </w:r>
            <w:r w:rsidR="00111AAF">
              <w:rPr>
                <w:noProof/>
                <w:webHidden/>
              </w:rPr>
              <w:fldChar w:fldCharType="separate"/>
            </w:r>
            <w:r w:rsidR="00111AAF">
              <w:rPr>
                <w:noProof/>
                <w:webHidden/>
              </w:rPr>
              <w:t>76</w:t>
            </w:r>
            <w:r w:rsidR="00111AAF">
              <w:rPr>
                <w:noProof/>
                <w:webHidden/>
              </w:rPr>
              <w:fldChar w:fldCharType="end"/>
            </w:r>
          </w:hyperlink>
        </w:p>
        <w:p w14:paraId="0D3D445B" w14:textId="77777777" w:rsidR="00111AAF" w:rsidRDefault="0080045D">
          <w:pPr>
            <w:pStyle w:val="TOC1"/>
            <w:rPr>
              <w:rFonts w:asciiTheme="minorHAnsi" w:eastAsiaTheme="minorEastAsia" w:hAnsiTheme="minorHAnsi"/>
              <w:noProof/>
              <w:sz w:val="22"/>
              <w:lang w:eastAsia="en-AU"/>
            </w:rPr>
          </w:pPr>
          <w:hyperlink w:anchor="_Toc53130462" w:history="1">
            <w:r w:rsidR="00111AAF" w:rsidRPr="001F5AD0">
              <w:rPr>
                <w:rStyle w:val="Hyperlink"/>
                <w:noProof/>
              </w:rPr>
              <w:t>Figure 8.3: Carbon abatement delivered and remaining (ACCUs): largest 14 contracts</w:t>
            </w:r>
            <w:r w:rsidR="00111AAF">
              <w:rPr>
                <w:noProof/>
                <w:webHidden/>
              </w:rPr>
              <w:tab/>
            </w:r>
            <w:r w:rsidR="00111AAF">
              <w:rPr>
                <w:noProof/>
                <w:webHidden/>
              </w:rPr>
              <w:fldChar w:fldCharType="begin"/>
            </w:r>
            <w:r w:rsidR="00111AAF">
              <w:rPr>
                <w:noProof/>
                <w:webHidden/>
              </w:rPr>
              <w:instrText xml:space="preserve"> PAGEREF _Toc53130462 \h </w:instrText>
            </w:r>
            <w:r w:rsidR="00111AAF">
              <w:rPr>
                <w:noProof/>
                <w:webHidden/>
              </w:rPr>
            </w:r>
            <w:r w:rsidR="00111AAF">
              <w:rPr>
                <w:noProof/>
                <w:webHidden/>
              </w:rPr>
              <w:fldChar w:fldCharType="separate"/>
            </w:r>
            <w:r w:rsidR="00111AAF">
              <w:rPr>
                <w:noProof/>
                <w:webHidden/>
              </w:rPr>
              <w:t>77</w:t>
            </w:r>
            <w:r w:rsidR="00111AAF">
              <w:rPr>
                <w:noProof/>
                <w:webHidden/>
              </w:rPr>
              <w:fldChar w:fldCharType="end"/>
            </w:r>
          </w:hyperlink>
        </w:p>
        <w:p w14:paraId="02741840" w14:textId="77777777" w:rsidR="00111AAF" w:rsidRDefault="0080045D">
          <w:pPr>
            <w:pStyle w:val="TOC1"/>
            <w:rPr>
              <w:rFonts w:asciiTheme="minorHAnsi" w:eastAsiaTheme="minorEastAsia" w:hAnsiTheme="minorHAnsi"/>
              <w:noProof/>
              <w:sz w:val="22"/>
              <w:lang w:eastAsia="en-AU"/>
            </w:rPr>
          </w:pPr>
          <w:hyperlink w:anchor="_Toc53130463" w:history="1">
            <w:r w:rsidR="00111AAF" w:rsidRPr="001F5AD0">
              <w:rPr>
                <w:rStyle w:val="Hyperlink"/>
                <w:noProof/>
              </w:rPr>
              <w:t>Figure 8.4. Government contract portfolio schedule of Delivery (September 2019 and June 2020)</w:t>
            </w:r>
            <w:r w:rsidR="00111AAF">
              <w:rPr>
                <w:noProof/>
                <w:webHidden/>
              </w:rPr>
              <w:tab/>
            </w:r>
            <w:r w:rsidR="00111AAF">
              <w:rPr>
                <w:noProof/>
                <w:webHidden/>
              </w:rPr>
              <w:fldChar w:fldCharType="begin"/>
            </w:r>
            <w:r w:rsidR="00111AAF">
              <w:rPr>
                <w:noProof/>
                <w:webHidden/>
              </w:rPr>
              <w:instrText xml:space="preserve"> PAGEREF _Toc53130463 \h </w:instrText>
            </w:r>
            <w:r w:rsidR="00111AAF">
              <w:rPr>
                <w:noProof/>
                <w:webHidden/>
              </w:rPr>
            </w:r>
            <w:r w:rsidR="00111AAF">
              <w:rPr>
                <w:noProof/>
                <w:webHidden/>
              </w:rPr>
              <w:fldChar w:fldCharType="separate"/>
            </w:r>
            <w:r w:rsidR="00111AAF">
              <w:rPr>
                <w:noProof/>
                <w:webHidden/>
              </w:rPr>
              <w:t>79</w:t>
            </w:r>
            <w:r w:rsidR="00111AAF">
              <w:rPr>
                <w:noProof/>
                <w:webHidden/>
              </w:rPr>
              <w:fldChar w:fldCharType="end"/>
            </w:r>
          </w:hyperlink>
        </w:p>
        <w:p w14:paraId="3AD303C6" w14:textId="77777777" w:rsidR="00111AAF" w:rsidRDefault="0080045D">
          <w:pPr>
            <w:pStyle w:val="TOC1"/>
            <w:rPr>
              <w:rFonts w:asciiTheme="minorHAnsi" w:eastAsiaTheme="minorEastAsia" w:hAnsiTheme="minorHAnsi"/>
              <w:noProof/>
              <w:sz w:val="22"/>
              <w:lang w:eastAsia="en-AU"/>
            </w:rPr>
          </w:pPr>
          <w:hyperlink w:anchor="_Toc53130464" w:history="1">
            <w:r w:rsidR="00111AAF" w:rsidRPr="001F5AD0">
              <w:rPr>
                <w:rStyle w:val="Hyperlink"/>
                <w:noProof/>
              </w:rPr>
              <w:t>Figure 9.1 Risks to carbon sequestration: accumulation and maintenance</w:t>
            </w:r>
            <w:r w:rsidR="00111AAF">
              <w:rPr>
                <w:noProof/>
                <w:webHidden/>
              </w:rPr>
              <w:tab/>
            </w:r>
            <w:r w:rsidR="00111AAF">
              <w:rPr>
                <w:noProof/>
                <w:webHidden/>
              </w:rPr>
              <w:fldChar w:fldCharType="begin"/>
            </w:r>
            <w:r w:rsidR="00111AAF">
              <w:rPr>
                <w:noProof/>
                <w:webHidden/>
              </w:rPr>
              <w:instrText xml:space="preserve"> PAGEREF _Toc53130464 \h </w:instrText>
            </w:r>
            <w:r w:rsidR="00111AAF">
              <w:rPr>
                <w:noProof/>
                <w:webHidden/>
              </w:rPr>
            </w:r>
            <w:r w:rsidR="00111AAF">
              <w:rPr>
                <w:noProof/>
                <w:webHidden/>
              </w:rPr>
              <w:fldChar w:fldCharType="separate"/>
            </w:r>
            <w:r w:rsidR="00111AAF">
              <w:rPr>
                <w:noProof/>
                <w:webHidden/>
              </w:rPr>
              <w:t>83</w:t>
            </w:r>
            <w:r w:rsidR="00111AAF">
              <w:rPr>
                <w:noProof/>
                <w:webHidden/>
              </w:rPr>
              <w:fldChar w:fldCharType="end"/>
            </w:r>
          </w:hyperlink>
        </w:p>
        <w:p w14:paraId="4C44A96F" w14:textId="77777777" w:rsidR="00111AAF" w:rsidRDefault="0080045D">
          <w:pPr>
            <w:pStyle w:val="TOC1"/>
            <w:rPr>
              <w:rFonts w:asciiTheme="minorHAnsi" w:eastAsiaTheme="minorEastAsia" w:hAnsiTheme="minorHAnsi"/>
              <w:noProof/>
              <w:sz w:val="22"/>
              <w:lang w:eastAsia="en-AU"/>
            </w:rPr>
          </w:pPr>
          <w:hyperlink w:anchor="_Toc53130465" w:history="1">
            <w:r w:rsidR="00111AAF" w:rsidRPr="001F5AD0">
              <w:rPr>
                <w:rStyle w:val="Hyperlink"/>
                <w:noProof/>
              </w:rPr>
              <w:t>Figure 9.2: Regional classifications based on NRM clusters and sub-clusters.</w:t>
            </w:r>
            <w:r w:rsidR="00111AAF">
              <w:rPr>
                <w:noProof/>
                <w:webHidden/>
              </w:rPr>
              <w:tab/>
            </w:r>
            <w:r w:rsidR="00111AAF">
              <w:rPr>
                <w:noProof/>
                <w:webHidden/>
              </w:rPr>
              <w:fldChar w:fldCharType="begin"/>
            </w:r>
            <w:r w:rsidR="00111AAF">
              <w:rPr>
                <w:noProof/>
                <w:webHidden/>
              </w:rPr>
              <w:instrText xml:space="preserve"> PAGEREF _Toc53130465 \h </w:instrText>
            </w:r>
            <w:r w:rsidR="00111AAF">
              <w:rPr>
                <w:noProof/>
                <w:webHidden/>
              </w:rPr>
            </w:r>
            <w:r w:rsidR="00111AAF">
              <w:rPr>
                <w:noProof/>
                <w:webHidden/>
              </w:rPr>
              <w:fldChar w:fldCharType="separate"/>
            </w:r>
            <w:r w:rsidR="00111AAF">
              <w:rPr>
                <w:noProof/>
                <w:webHidden/>
              </w:rPr>
              <w:t>85</w:t>
            </w:r>
            <w:r w:rsidR="00111AAF">
              <w:rPr>
                <w:noProof/>
                <w:webHidden/>
              </w:rPr>
              <w:fldChar w:fldCharType="end"/>
            </w:r>
          </w:hyperlink>
        </w:p>
        <w:p w14:paraId="0124E464" w14:textId="77777777" w:rsidR="00111AAF" w:rsidRDefault="0080045D">
          <w:pPr>
            <w:pStyle w:val="TOC1"/>
            <w:rPr>
              <w:rFonts w:asciiTheme="minorHAnsi" w:eastAsiaTheme="minorEastAsia" w:hAnsiTheme="minorHAnsi"/>
              <w:noProof/>
              <w:sz w:val="22"/>
              <w:lang w:eastAsia="en-AU"/>
            </w:rPr>
          </w:pPr>
          <w:hyperlink w:anchor="_Toc53130466" w:history="1">
            <w:r w:rsidR="00111AAF" w:rsidRPr="001F5AD0">
              <w:rPr>
                <w:rStyle w:val="Hyperlink"/>
                <w:noProof/>
              </w:rPr>
              <w:t>Figure 9.3. Relative risk rating for each activity class</w:t>
            </w:r>
            <w:r w:rsidR="00111AAF">
              <w:rPr>
                <w:noProof/>
                <w:webHidden/>
              </w:rPr>
              <w:tab/>
            </w:r>
            <w:r w:rsidR="00111AAF">
              <w:rPr>
                <w:noProof/>
                <w:webHidden/>
              </w:rPr>
              <w:fldChar w:fldCharType="begin"/>
            </w:r>
            <w:r w:rsidR="00111AAF">
              <w:rPr>
                <w:noProof/>
                <w:webHidden/>
              </w:rPr>
              <w:instrText xml:space="preserve"> PAGEREF _Toc53130466 \h </w:instrText>
            </w:r>
            <w:r w:rsidR="00111AAF">
              <w:rPr>
                <w:noProof/>
                <w:webHidden/>
              </w:rPr>
            </w:r>
            <w:r w:rsidR="00111AAF">
              <w:rPr>
                <w:noProof/>
                <w:webHidden/>
              </w:rPr>
              <w:fldChar w:fldCharType="separate"/>
            </w:r>
            <w:r w:rsidR="00111AAF">
              <w:rPr>
                <w:noProof/>
                <w:webHidden/>
              </w:rPr>
              <w:t>90</w:t>
            </w:r>
            <w:r w:rsidR="00111AAF">
              <w:rPr>
                <w:noProof/>
                <w:webHidden/>
              </w:rPr>
              <w:fldChar w:fldCharType="end"/>
            </w:r>
          </w:hyperlink>
        </w:p>
        <w:p w14:paraId="7F5A745D" w14:textId="77777777" w:rsidR="00111AAF" w:rsidRDefault="0080045D">
          <w:pPr>
            <w:pStyle w:val="TOC1"/>
            <w:rPr>
              <w:rFonts w:asciiTheme="minorHAnsi" w:eastAsiaTheme="minorEastAsia" w:hAnsiTheme="minorHAnsi"/>
              <w:noProof/>
              <w:sz w:val="22"/>
              <w:lang w:eastAsia="en-AU"/>
            </w:rPr>
          </w:pPr>
          <w:hyperlink w:anchor="_Toc53130467" w:history="1">
            <w:r w:rsidR="00111AAF" w:rsidRPr="001F5AD0">
              <w:rPr>
                <w:rStyle w:val="Hyperlink"/>
                <w:noProof/>
              </w:rPr>
              <w:t>Figure 9.4. Total number of ACCUs issued by location (to March 2020 and Q1 2020e)</w:t>
            </w:r>
            <w:r w:rsidR="00111AAF">
              <w:rPr>
                <w:noProof/>
                <w:webHidden/>
              </w:rPr>
              <w:tab/>
            </w:r>
            <w:r w:rsidR="00111AAF">
              <w:rPr>
                <w:noProof/>
                <w:webHidden/>
              </w:rPr>
              <w:fldChar w:fldCharType="begin"/>
            </w:r>
            <w:r w:rsidR="00111AAF">
              <w:rPr>
                <w:noProof/>
                <w:webHidden/>
              </w:rPr>
              <w:instrText xml:space="preserve"> PAGEREF _Toc53130467 \h </w:instrText>
            </w:r>
            <w:r w:rsidR="00111AAF">
              <w:rPr>
                <w:noProof/>
                <w:webHidden/>
              </w:rPr>
            </w:r>
            <w:r w:rsidR="00111AAF">
              <w:rPr>
                <w:noProof/>
                <w:webHidden/>
              </w:rPr>
              <w:fldChar w:fldCharType="separate"/>
            </w:r>
            <w:r w:rsidR="00111AAF">
              <w:rPr>
                <w:noProof/>
                <w:webHidden/>
              </w:rPr>
              <w:t>93</w:t>
            </w:r>
            <w:r w:rsidR="00111AAF">
              <w:rPr>
                <w:noProof/>
                <w:webHidden/>
              </w:rPr>
              <w:fldChar w:fldCharType="end"/>
            </w:r>
          </w:hyperlink>
        </w:p>
        <w:p w14:paraId="4C2F2226" w14:textId="77777777" w:rsidR="00111AAF" w:rsidRDefault="0080045D">
          <w:pPr>
            <w:pStyle w:val="TOC1"/>
            <w:rPr>
              <w:rFonts w:asciiTheme="minorHAnsi" w:eastAsiaTheme="minorEastAsia" w:hAnsiTheme="minorHAnsi"/>
              <w:noProof/>
              <w:sz w:val="22"/>
              <w:lang w:eastAsia="en-AU"/>
            </w:rPr>
          </w:pPr>
          <w:hyperlink w:anchor="_Toc53130468" w:history="1">
            <w:r w:rsidR="00111AAF" w:rsidRPr="001F5AD0">
              <w:rPr>
                <w:rStyle w:val="Hyperlink"/>
                <w:noProof/>
              </w:rPr>
              <w:t>Figure 10.1. Relationship between climate change impacts, adaptation responses and potential adaptation benefits</w:t>
            </w:r>
            <w:r w:rsidR="00111AAF">
              <w:rPr>
                <w:noProof/>
                <w:webHidden/>
              </w:rPr>
              <w:tab/>
            </w:r>
            <w:r w:rsidR="00111AAF">
              <w:rPr>
                <w:noProof/>
                <w:webHidden/>
              </w:rPr>
              <w:fldChar w:fldCharType="begin"/>
            </w:r>
            <w:r w:rsidR="00111AAF">
              <w:rPr>
                <w:noProof/>
                <w:webHidden/>
              </w:rPr>
              <w:instrText xml:space="preserve"> PAGEREF _Toc53130468 \h </w:instrText>
            </w:r>
            <w:r w:rsidR="00111AAF">
              <w:rPr>
                <w:noProof/>
                <w:webHidden/>
              </w:rPr>
            </w:r>
            <w:r w:rsidR="00111AAF">
              <w:rPr>
                <w:noProof/>
                <w:webHidden/>
              </w:rPr>
              <w:fldChar w:fldCharType="separate"/>
            </w:r>
            <w:r w:rsidR="00111AAF">
              <w:rPr>
                <w:noProof/>
                <w:webHidden/>
              </w:rPr>
              <w:t>100</w:t>
            </w:r>
            <w:r w:rsidR="00111AAF">
              <w:rPr>
                <w:noProof/>
                <w:webHidden/>
              </w:rPr>
              <w:fldChar w:fldCharType="end"/>
            </w:r>
          </w:hyperlink>
        </w:p>
        <w:p w14:paraId="7F8E4991" w14:textId="77777777" w:rsidR="008465AB" w:rsidRPr="008465AB" w:rsidRDefault="008465AB" w:rsidP="008465AB">
          <w:r>
            <w:fldChar w:fldCharType="end"/>
          </w:r>
        </w:p>
        <w:p w14:paraId="34778290" w14:textId="09406571" w:rsidR="009E1462" w:rsidRDefault="009E1462">
          <w:pPr>
            <w:pStyle w:val="Heading1"/>
            <w:rPr>
              <w:color w:val="0070AE" w:themeColor="accent2" w:themeTint="BF"/>
            </w:rPr>
          </w:pPr>
          <w:bookmarkStart w:id="187" w:name="_Toc53129443"/>
          <w:r w:rsidRPr="00CC338E">
            <w:rPr>
              <w:color w:val="0070AE" w:themeColor="accent2" w:themeTint="BF"/>
            </w:rPr>
            <w:t>Tables</w:t>
          </w:r>
          <w:bookmarkEnd w:id="187"/>
        </w:p>
        <w:p w14:paraId="7E1C7DF0" w14:textId="77777777" w:rsidR="007D4B74" w:rsidRDefault="008465AB">
          <w:pPr>
            <w:pStyle w:val="TOC1"/>
            <w:rPr>
              <w:rFonts w:asciiTheme="minorHAnsi" w:eastAsiaTheme="minorEastAsia" w:hAnsiTheme="minorHAnsi"/>
              <w:noProof/>
              <w:sz w:val="22"/>
              <w:lang w:eastAsia="en-AU"/>
            </w:rPr>
          </w:pPr>
          <w:r>
            <w:fldChar w:fldCharType="begin"/>
          </w:r>
          <w:r>
            <w:instrText xml:space="preserve"> TOC \h \z \t "Table,1" </w:instrText>
          </w:r>
          <w:r>
            <w:fldChar w:fldCharType="separate"/>
          </w:r>
          <w:hyperlink w:anchor="_Toc53129512" w:history="1">
            <w:r w:rsidR="007D4B74" w:rsidRPr="00F45148">
              <w:rPr>
                <w:rStyle w:val="Hyperlink"/>
                <w:noProof/>
              </w:rPr>
              <w:t>Table 2.1: Contract terms for fixed delivery and optional delivery carbon abatement contracts</w:t>
            </w:r>
            <w:r w:rsidR="007D4B74">
              <w:rPr>
                <w:noProof/>
                <w:webHidden/>
              </w:rPr>
              <w:tab/>
            </w:r>
            <w:r w:rsidR="007D4B74">
              <w:rPr>
                <w:noProof/>
                <w:webHidden/>
              </w:rPr>
              <w:fldChar w:fldCharType="begin"/>
            </w:r>
            <w:r w:rsidR="007D4B74">
              <w:rPr>
                <w:noProof/>
                <w:webHidden/>
              </w:rPr>
              <w:instrText xml:space="preserve"> PAGEREF _Toc53129512 \h </w:instrText>
            </w:r>
            <w:r w:rsidR="007D4B74">
              <w:rPr>
                <w:noProof/>
                <w:webHidden/>
              </w:rPr>
            </w:r>
            <w:r w:rsidR="007D4B74">
              <w:rPr>
                <w:noProof/>
                <w:webHidden/>
              </w:rPr>
              <w:fldChar w:fldCharType="separate"/>
            </w:r>
            <w:r w:rsidR="007D4B74">
              <w:rPr>
                <w:noProof/>
                <w:webHidden/>
              </w:rPr>
              <w:t>23</w:t>
            </w:r>
            <w:r w:rsidR="007D4B74">
              <w:rPr>
                <w:noProof/>
                <w:webHidden/>
              </w:rPr>
              <w:fldChar w:fldCharType="end"/>
            </w:r>
          </w:hyperlink>
        </w:p>
        <w:p w14:paraId="26184AF6" w14:textId="77777777" w:rsidR="007D4B74" w:rsidRDefault="0080045D">
          <w:pPr>
            <w:pStyle w:val="TOC1"/>
            <w:rPr>
              <w:rFonts w:asciiTheme="minorHAnsi" w:eastAsiaTheme="minorEastAsia" w:hAnsiTheme="minorHAnsi"/>
              <w:noProof/>
              <w:sz w:val="22"/>
              <w:lang w:eastAsia="en-AU"/>
            </w:rPr>
          </w:pPr>
          <w:hyperlink w:anchor="_Toc53129513" w:history="1">
            <w:r w:rsidR="007D4B74" w:rsidRPr="00F45148">
              <w:rPr>
                <w:rStyle w:val="Hyperlink"/>
                <w:noProof/>
              </w:rPr>
              <w:t>Table 3.1: Number of current ERF methods and registered projects</w:t>
            </w:r>
            <w:r w:rsidR="007D4B74">
              <w:rPr>
                <w:noProof/>
                <w:webHidden/>
              </w:rPr>
              <w:tab/>
            </w:r>
            <w:r w:rsidR="007D4B74">
              <w:rPr>
                <w:noProof/>
                <w:webHidden/>
              </w:rPr>
              <w:fldChar w:fldCharType="begin"/>
            </w:r>
            <w:r w:rsidR="007D4B74">
              <w:rPr>
                <w:noProof/>
                <w:webHidden/>
              </w:rPr>
              <w:instrText xml:space="preserve"> PAGEREF _Toc53129513 \h </w:instrText>
            </w:r>
            <w:r w:rsidR="007D4B74">
              <w:rPr>
                <w:noProof/>
                <w:webHidden/>
              </w:rPr>
            </w:r>
            <w:r w:rsidR="007D4B74">
              <w:rPr>
                <w:noProof/>
                <w:webHidden/>
              </w:rPr>
              <w:fldChar w:fldCharType="separate"/>
            </w:r>
            <w:r w:rsidR="007D4B74">
              <w:rPr>
                <w:noProof/>
                <w:webHidden/>
              </w:rPr>
              <w:t>27</w:t>
            </w:r>
            <w:r w:rsidR="007D4B74">
              <w:rPr>
                <w:noProof/>
                <w:webHidden/>
              </w:rPr>
              <w:fldChar w:fldCharType="end"/>
            </w:r>
          </w:hyperlink>
        </w:p>
        <w:p w14:paraId="0D009311" w14:textId="77777777" w:rsidR="007D4B74" w:rsidRDefault="0080045D">
          <w:pPr>
            <w:pStyle w:val="TOC1"/>
            <w:rPr>
              <w:rFonts w:asciiTheme="minorHAnsi" w:eastAsiaTheme="minorEastAsia" w:hAnsiTheme="minorHAnsi"/>
              <w:noProof/>
              <w:sz w:val="22"/>
              <w:lang w:eastAsia="en-AU"/>
            </w:rPr>
          </w:pPr>
          <w:hyperlink w:anchor="_Toc53129514" w:history="1">
            <w:r w:rsidR="007D4B74" w:rsidRPr="00F45148">
              <w:rPr>
                <w:rStyle w:val="Hyperlink"/>
                <w:noProof/>
              </w:rPr>
              <w:t>Table 5.1. Best practice principles on carbon credits (based on ICROA)</w:t>
            </w:r>
            <w:r w:rsidR="007D4B74">
              <w:rPr>
                <w:noProof/>
                <w:webHidden/>
              </w:rPr>
              <w:tab/>
            </w:r>
            <w:r w:rsidR="007D4B74">
              <w:rPr>
                <w:noProof/>
                <w:webHidden/>
              </w:rPr>
              <w:fldChar w:fldCharType="begin"/>
            </w:r>
            <w:r w:rsidR="007D4B74">
              <w:rPr>
                <w:noProof/>
                <w:webHidden/>
              </w:rPr>
              <w:instrText xml:space="preserve"> PAGEREF _Toc53129514 \h </w:instrText>
            </w:r>
            <w:r w:rsidR="007D4B74">
              <w:rPr>
                <w:noProof/>
                <w:webHidden/>
              </w:rPr>
            </w:r>
            <w:r w:rsidR="007D4B74">
              <w:rPr>
                <w:noProof/>
                <w:webHidden/>
              </w:rPr>
              <w:fldChar w:fldCharType="separate"/>
            </w:r>
            <w:r w:rsidR="007D4B74">
              <w:rPr>
                <w:noProof/>
                <w:webHidden/>
              </w:rPr>
              <w:t>48</w:t>
            </w:r>
            <w:r w:rsidR="007D4B74">
              <w:rPr>
                <w:noProof/>
                <w:webHidden/>
              </w:rPr>
              <w:fldChar w:fldCharType="end"/>
            </w:r>
          </w:hyperlink>
        </w:p>
        <w:p w14:paraId="6A16A287" w14:textId="77777777" w:rsidR="007D4B74" w:rsidRDefault="0080045D">
          <w:pPr>
            <w:pStyle w:val="TOC1"/>
            <w:rPr>
              <w:rFonts w:asciiTheme="minorHAnsi" w:eastAsiaTheme="minorEastAsia" w:hAnsiTheme="minorHAnsi"/>
              <w:noProof/>
              <w:sz w:val="22"/>
              <w:lang w:eastAsia="en-AU"/>
            </w:rPr>
          </w:pPr>
          <w:hyperlink w:anchor="_Toc53129515" w:history="1">
            <w:r w:rsidR="007D4B74" w:rsidRPr="00F45148">
              <w:rPr>
                <w:rStyle w:val="Hyperlink"/>
                <w:noProof/>
              </w:rPr>
              <w:t>Table 9.1: List of ERF methodologies included in the CSIRO Analysis</w:t>
            </w:r>
            <w:r w:rsidR="007D4B74">
              <w:rPr>
                <w:noProof/>
                <w:webHidden/>
              </w:rPr>
              <w:tab/>
            </w:r>
            <w:r w:rsidR="007D4B74">
              <w:rPr>
                <w:noProof/>
                <w:webHidden/>
              </w:rPr>
              <w:fldChar w:fldCharType="begin"/>
            </w:r>
            <w:r w:rsidR="007D4B74">
              <w:rPr>
                <w:noProof/>
                <w:webHidden/>
              </w:rPr>
              <w:instrText xml:space="preserve"> PAGEREF _Toc53129515 \h </w:instrText>
            </w:r>
            <w:r w:rsidR="007D4B74">
              <w:rPr>
                <w:noProof/>
                <w:webHidden/>
              </w:rPr>
            </w:r>
            <w:r w:rsidR="007D4B74">
              <w:rPr>
                <w:noProof/>
                <w:webHidden/>
              </w:rPr>
              <w:fldChar w:fldCharType="separate"/>
            </w:r>
            <w:r w:rsidR="007D4B74">
              <w:rPr>
                <w:noProof/>
                <w:webHidden/>
              </w:rPr>
              <w:t>84</w:t>
            </w:r>
            <w:r w:rsidR="007D4B74">
              <w:rPr>
                <w:noProof/>
                <w:webHidden/>
              </w:rPr>
              <w:fldChar w:fldCharType="end"/>
            </w:r>
          </w:hyperlink>
        </w:p>
        <w:p w14:paraId="01660D75" w14:textId="77777777" w:rsidR="007D4B74" w:rsidRDefault="0080045D">
          <w:pPr>
            <w:pStyle w:val="TOC1"/>
            <w:rPr>
              <w:rFonts w:asciiTheme="minorHAnsi" w:eastAsiaTheme="minorEastAsia" w:hAnsiTheme="minorHAnsi"/>
              <w:noProof/>
              <w:sz w:val="22"/>
              <w:lang w:eastAsia="en-AU"/>
            </w:rPr>
          </w:pPr>
          <w:hyperlink w:anchor="_Toc53129516" w:history="1">
            <w:r w:rsidR="007D4B74" w:rsidRPr="00F45148">
              <w:rPr>
                <w:rStyle w:val="Hyperlink"/>
                <w:noProof/>
              </w:rPr>
              <w:t>Table 9.2 Three class classification of the likelihood of identified risk factors</w:t>
            </w:r>
            <w:r w:rsidR="007D4B74">
              <w:rPr>
                <w:noProof/>
                <w:webHidden/>
              </w:rPr>
              <w:tab/>
            </w:r>
            <w:r w:rsidR="007D4B74">
              <w:rPr>
                <w:noProof/>
                <w:webHidden/>
              </w:rPr>
              <w:fldChar w:fldCharType="begin"/>
            </w:r>
            <w:r w:rsidR="007D4B74">
              <w:rPr>
                <w:noProof/>
                <w:webHidden/>
              </w:rPr>
              <w:instrText xml:space="preserve"> PAGEREF _Toc53129516 \h </w:instrText>
            </w:r>
            <w:r w:rsidR="007D4B74">
              <w:rPr>
                <w:noProof/>
                <w:webHidden/>
              </w:rPr>
            </w:r>
            <w:r w:rsidR="007D4B74">
              <w:rPr>
                <w:noProof/>
                <w:webHidden/>
              </w:rPr>
              <w:fldChar w:fldCharType="separate"/>
            </w:r>
            <w:r w:rsidR="007D4B74">
              <w:rPr>
                <w:noProof/>
                <w:webHidden/>
              </w:rPr>
              <w:t>86</w:t>
            </w:r>
            <w:r w:rsidR="007D4B74">
              <w:rPr>
                <w:noProof/>
                <w:webHidden/>
              </w:rPr>
              <w:fldChar w:fldCharType="end"/>
            </w:r>
          </w:hyperlink>
        </w:p>
        <w:p w14:paraId="431EF102" w14:textId="77777777" w:rsidR="007D4B74" w:rsidRDefault="0080045D">
          <w:pPr>
            <w:pStyle w:val="TOC1"/>
            <w:rPr>
              <w:rFonts w:asciiTheme="minorHAnsi" w:eastAsiaTheme="minorEastAsia" w:hAnsiTheme="minorHAnsi"/>
              <w:noProof/>
              <w:sz w:val="22"/>
              <w:lang w:eastAsia="en-AU"/>
            </w:rPr>
          </w:pPr>
          <w:hyperlink w:anchor="_Toc53129517" w:history="1">
            <w:r w:rsidR="007D4B74" w:rsidRPr="00F45148">
              <w:rPr>
                <w:rStyle w:val="Hyperlink"/>
                <w:noProof/>
              </w:rPr>
              <w:t>Table 9.3 Five-class classification of the consequences of identified risk factors</w:t>
            </w:r>
            <w:r w:rsidR="007D4B74">
              <w:rPr>
                <w:noProof/>
                <w:webHidden/>
              </w:rPr>
              <w:tab/>
            </w:r>
            <w:r w:rsidR="007D4B74">
              <w:rPr>
                <w:noProof/>
                <w:webHidden/>
              </w:rPr>
              <w:fldChar w:fldCharType="begin"/>
            </w:r>
            <w:r w:rsidR="007D4B74">
              <w:rPr>
                <w:noProof/>
                <w:webHidden/>
              </w:rPr>
              <w:instrText xml:space="preserve"> PAGEREF _Toc53129517 \h </w:instrText>
            </w:r>
            <w:r w:rsidR="007D4B74">
              <w:rPr>
                <w:noProof/>
                <w:webHidden/>
              </w:rPr>
            </w:r>
            <w:r w:rsidR="007D4B74">
              <w:rPr>
                <w:noProof/>
                <w:webHidden/>
              </w:rPr>
              <w:fldChar w:fldCharType="separate"/>
            </w:r>
            <w:r w:rsidR="007D4B74">
              <w:rPr>
                <w:noProof/>
                <w:webHidden/>
              </w:rPr>
              <w:t>86</w:t>
            </w:r>
            <w:r w:rsidR="007D4B74">
              <w:rPr>
                <w:noProof/>
                <w:webHidden/>
              </w:rPr>
              <w:fldChar w:fldCharType="end"/>
            </w:r>
          </w:hyperlink>
        </w:p>
        <w:p w14:paraId="1510B9B7" w14:textId="77777777" w:rsidR="007D4B74" w:rsidRDefault="0080045D">
          <w:pPr>
            <w:pStyle w:val="TOC1"/>
            <w:rPr>
              <w:rFonts w:asciiTheme="minorHAnsi" w:eastAsiaTheme="minorEastAsia" w:hAnsiTheme="minorHAnsi"/>
              <w:noProof/>
              <w:sz w:val="22"/>
              <w:lang w:eastAsia="en-AU"/>
            </w:rPr>
          </w:pPr>
          <w:hyperlink w:anchor="_Toc53129518" w:history="1">
            <w:r w:rsidR="007D4B74" w:rsidRPr="00F45148">
              <w:rPr>
                <w:rStyle w:val="Hyperlink"/>
                <w:noProof/>
              </w:rPr>
              <w:t>Table 9.4. Risk priority classification arising from combinations of consequence and likelihood.</w:t>
            </w:r>
            <w:r w:rsidR="007D4B74">
              <w:rPr>
                <w:noProof/>
                <w:webHidden/>
              </w:rPr>
              <w:tab/>
            </w:r>
            <w:r w:rsidR="007D4B74">
              <w:rPr>
                <w:noProof/>
                <w:webHidden/>
              </w:rPr>
              <w:fldChar w:fldCharType="begin"/>
            </w:r>
            <w:r w:rsidR="007D4B74">
              <w:rPr>
                <w:noProof/>
                <w:webHidden/>
              </w:rPr>
              <w:instrText xml:space="preserve"> PAGEREF _Toc53129518 \h </w:instrText>
            </w:r>
            <w:r w:rsidR="007D4B74">
              <w:rPr>
                <w:noProof/>
                <w:webHidden/>
              </w:rPr>
            </w:r>
            <w:r w:rsidR="007D4B74">
              <w:rPr>
                <w:noProof/>
                <w:webHidden/>
              </w:rPr>
              <w:fldChar w:fldCharType="separate"/>
            </w:r>
            <w:r w:rsidR="007D4B74">
              <w:rPr>
                <w:noProof/>
                <w:webHidden/>
              </w:rPr>
              <w:t>87</w:t>
            </w:r>
            <w:r w:rsidR="007D4B74">
              <w:rPr>
                <w:noProof/>
                <w:webHidden/>
              </w:rPr>
              <w:fldChar w:fldCharType="end"/>
            </w:r>
          </w:hyperlink>
        </w:p>
        <w:p w14:paraId="3DB15435" w14:textId="77777777" w:rsidR="007D4B74" w:rsidRDefault="0080045D">
          <w:pPr>
            <w:pStyle w:val="TOC1"/>
            <w:rPr>
              <w:rFonts w:asciiTheme="minorHAnsi" w:eastAsiaTheme="minorEastAsia" w:hAnsiTheme="minorHAnsi"/>
              <w:noProof/>
              <w:sz w:val="22"/>
              <w:lang w:eastAsia="en-AU"/>
            </w:rPr>
          </w:pPr>
          <w:hyperlink w:anchor="_Toc53129519" w:history="1">
            <w:r w:rsidR="007D4B74" w:rsidRPr="00F45148">
              <w:rPr>
                <w:rStyle w:val="Hyperlink"/>
                <w:noProof/>
              </w:rPr>
              <w:t>Table 9.5 Risk assessment summary</w:t>
            </w:r>
            <w:r w:rsidR="007D4B74">
              <w:rPr>
                <w:noProof/>
                <w:webHidden/>
              </w:rPr>
              <w:tab/>
            </w:r>
            <w:r w:rsidR="007D4B74">
              <w:rPr>
                <w:noProof/>
                <w:webHidden/>
              </w:rPr>
              <w:fldChar w:fldCharType="begin"/>
            </w:r>
            <w:r w:rsidR="007D4B74">
              <w:rPr>
                <w:noProof/>
                <w:webHidden/>
              </w:rPr>
              <w:instrText xml:space="preserve"> PAGEREF _Toc53129519 \h </w:instrText>
            </w:r>
            <w:r w:rsidR="007D4B74">
              <w:rPr>
                <w:noProof/>
                <w:webHidden/>
              </w:rPr>
            </w:r>
            <w:r w:rsidR="007D4B74">
              <w:rPr>
                <w:noProof/>
                <w:webHidden/>
              </w:rPr>
              <w:fldChar w:fldCharType="separate"/>
            </w:r>
            <w:r w:rsidR="007D4B74">
              <w:rPr>
                <w:noProof/>
                <w:webHidden/>
              </w:rPr>
              <w:t>89</w:t>
            </w:r>
            <w:r w:rsidR="007D4B74">
              <w:rPr>
                <w:noProof/>
                <w:webHidden/>
              </w:rPr>
              <w:fldChar w:fldCharType="end"/>
            </w:r>
          </w:hyperlink>
        </w:p>
        <w:p w14:paraId="56F84DF8" w14:textId="77777777" w:rsidR="007D4B74" w:rsidRDefault="0080045D">
          <w:pPr>
            <w:pStyle w:val="TOC1"/>
            <w:rPr>
              <w:rFonts w:asciiTheme="minorHAnsi" w:eastAsiaTheme="minorEastAsia" w:hAnsiTheme="minorHAnsi"/>
              <w:noProof/>
              <w:sz w:val="22"/>
              <w:lang w:eastAsia="en-AU"/>
            </w:rPr>
          </w:pPr>
          <w:hyperlink w:anchor="_Toc53129520" w:history="1">
            <w:r w:rsidR="007D4B74" w:rsidRPr="00F45148">
              <w:rPr>
                <w:rStyle w:val="Hyperlink"/>
                <w:noProof/>
              </w:rPr>
              <w:t>Table 9.6:  ERF mechanisms for mitigating risks of natural disturbance and non-permanence</w:t>
            </w:r>
            <w:r w:rsidR="007D4B74">
              <w:rPr>
                <w:noProof/>
                <w:webHidden/>
              </w:rPr>
              <w:tab/>
            </w:r>
            <w:r w:rsidR="007D4B74">
              <w:rPr>
                <w:noProof/>
                <w:webHidden/>
              </w:rPr>
              <w:fldChar w:fldCharType="begin"/>
            </w:r>
            <w:r w:rsidR="007D4B74">
              <w:rPr>
                <w:noProof/>
                <w:webHidden/>
              </w:rPr>
              <w:instrText xml:space="preserve"> PAGEREF _Toc53129520 \h </w:instrText>
            </w:r>
            <w:r w:rsidR="007D4B74">
              <w:rPr>
                <w:noProof/>
                <w:webHidden/>
              </w:rPr>
            </w:r>
            <w:r w:rsidR="007D4B74">
              <w:rPr>
                <w:noProof/>
                <w:webHidden/>
              </w:rPr>
              <w:fldChar w:fldCharType="separate"/>
            </w:r>
            <w:r w:rsidR="007D4B74">
              <w:rPr>
                <w:noProof/>
                <w:webHidden/>
              </w:rPr>
              <w:t>95</w:t>
            </w:r>
            <w:r w:rsidR="007D4B74">
              <w:rPr>
                <w:noProof/>
                <w:webHidden/>
              </w:rPr>
              <w:fldChar w:fldCharType="end"/>
            </w:r>
          </w:hyperlink>
        </w:p>
        <w:p w14:paraId="0ED3FF55" w14:textId="77777777" w:rsidR="007D4B74" w:rsidRDefault="0080045D">
          <w:pPr>
            <w:pStyle w:val="TOC1"/>
            <w:rPr>
              <w:rFonts w:asciiTheme="minorHAnsi" w:eastAsiaTheme="minorEastAsia" w:hAnsiTheme="minorHAnsi"/>
              <w:noProof/>
              <w:sz w:val="22"/>
              <w:lang w:eastAsia="en-AU"/>
            </w:rPr>
          </w:pPr>
          <w:hyperlink w:anchor="_Toc53129521" w:history="1">
            <w:r w:rsidR="007D4B74" w:rsidRPr="00F45148">
              <w:rPr>
                <w:rStyle w:val="Hyperlink"/>
                <w:noProof/>
              </w:rPr>
              <w:t>Table 10.1. Co-benefits and dis-benefits associated with ERF methods</w:t>
            </w:r>
            <w:r w:rsidR="007D4B74">
              <w:rPr>
                <w:noProof/>
                <w:webHidden/>
              </w:rPr>
              <w:tab/>
            </w:r>
            <w:r w:rsidR="007D4B74">
              <w:rPr>
                <w:noProof/>
                <w:webHidden/>
              </w:rPr>
              <w:fldChar w:fldCharType="begin"/>
            </w:r>
            <w:r w:rsidR="007D4B74">
              <w:rPr>
                <w:noProof/>
                <w:webHidden/>
              </w:rPr>
              <w:instrText xml:space="preserve"> PAGEREF _Toc53129521 \h </w:instrText>
            </w:r>
            <w:r w:rsidR="007D4B74">
              <w:rPr>
                <w:noProof/>
                <w:webHidden/>
              </w:rPr>
            </w:r>
            <w:r w:rsidR="007D4B74">
              <w:rPr>
                <w:noProof/>
                <w:webHidden/>
              </w:rPr>
              <w:fldChar w:fldCharType="separate"/>
            </w:r>
            <w:r w:rsidR="007D4B74">
              <w:rPr>
                <w:noProof/>
                <w:webHidden/>
              </w:rPr>
              <w:t>103</w:t>
            </w:r>
            <w:r w:rsidR="007D4B74">
              <w:rPr>
                <w:noProof/>
                <w:webHidden/>
              </w:rPr>
              <w:fldChar w:fldCharType="end"/>
            </w:r>
          </w:hyperlink>
        </w:p>
        <w:p w14:paraId="3649617E" w14:textId="77777777" w:rsidR="008465AB" w:rsidRPr="008226B9" w:rsidRDefault="008465AB" w:rsidP="008465AB">
          <w:r>
            <w:fldChar w:fldCharType="end"/>
          </w:r>
        </w:p>
        <w:p w14:paraId="7E0A8445" w14:textId="4E8ACC4C" w:rsidR="009E1462" w:rsidRPr="00A938C7" w:rsidRDefault="009E1462">
          <w:pPr>
            <w:pStyle w:val="Heading1"/>
            <w:rPr>
              <w:color w:val="0070AE" w:themeColor="accent2" w:themeTint="BF"/>
            </w:rPr>
          </w:pPr>
          <w:bookmarkStart w:id="188" w:name="_Toc53129444"/>
          <w:r w:rsidRPr="00CC338E">
            <w:rPr>
              <w:color w:val="0070AE" w:themeColor="accent2" w:themeTint="BF"/>
            </w:rPr>
            <w:t>Boxes</w:t>
          </w:r>
          <w:bookmarkEnd w:id="188"/>
        </w:p>
        <w:p w14:paraId="115AB2D4" w14:textId="77777777" w:rsidR="007D4B74" w:rsidRDefault="008465AB">
          <w:pPr>
            <w:pStyle w:val="TOC1"/>
            <w:rPr>
              <w:rFonts w:asciiTheme="minorHAnsi" w:eastAsiaTheme="minorEastAsia" w:hAnsiTheme="minorHAnsi"/>
              <w:noProof/>
              <w:sz w:val="22"/>
              <w:lang w:eastAsia="en-AU"/>
            </w:rPr>
          </w:pPr>
          <w:r>
            <w:fldChar w:fldCharType="begin"/>
          </w:r>
          <w:r>
            <w:instrText xml:space="preserve"> TOC \h \z \t "Box,1" </w:instrText>
          </w:r>
          <w:r>
            <w:fldChar w:fldCharType="separate"/>
          </w:r>
          <w:hyperlink w:anchor="_Toc53129522" w:history="1">
            <w:r w:rsidR="007D4B74" w:rsidRPr="007257A7">
              <w:rPr>
                <w:rStyle w:val="Hyperlink"/>
                <w:noProof/>
              </w:rPr>
              <w:t>Box 3.1. Lapsed or terminated contracts</w:t>
            </w:r>
            <w:r w:rsidR="007D4B74">
              <w:rPr>
                <w:noProof/>
                <w:webHidden/>
              </w:rPr>
              <w:tab/>
            </w:r>
            <w:r w:rsidR="007D4B74">
              <w:rPr>
                <w:noProof/>
                <w:webHidden/>
              </w:rPr>
              <w:fldChar w:fldCharType="begin"/>
            </w:r>
            <w:r w:rsidR="007D4B74">
              <w:rPr>
                <w:noProof/>
                <w:webHidden/>
              </w:rPr>
              <w:instrText xml:space="preserve"> PAGEREF _Toc53129522 \h </w:instrText>
            </w:r>
            <w:r w:rsidR="007D4B74">
              <w:rPr>
                <w:noProof/>
                <w:webHidden/>
              </w:rPr>
            </w:r>
            <w:r w:rsidR="007D4B74">
              <w:rPr>
                <w:noProof/>
                <w:webHidden/>
              </w:rPr>
              <w:fldChar w:fldCharType="separate"/>
            </w:r>
            <w:r w:rsidR="007D4B74">
              <w:rPr>
                <w:noProof/>
                <w:webHidden/>
              </w:rPr>
              <w:t>31</w:t>
            </w:r>
            <w:r w:rsidR="007D4B74">
              <w:rPr>
                <w:noProof/>
                <w:webHidden/>
              </w:rPr>
              <w:fldChar w:fldCharType="end"/>
            </w:r>
          </w:hyperlink>
        </w:p>
        <w:p w14:paraId="5F8B2E5E" w14:textId="77777777" w:rsidR="007D4B74" w:rsidRDefault="0080045D">
          <w:pPr>
            <w:pStyle w:val="TOC1"/>
            <w:rPr>
              <w:rFonts w:asciiTheme="minorHAnsi" w:eastAsiaTheme="minorEastAsia" w:hAnsiTheme="minorHAnsi"/>
              <w:noProof/>
              <w:sz w:val="22"/>
              <w:lang w:eastAsia="en-AU"/>
            </w:rPr>
          </w:pPr>
          <w:hyperlink w:anchor="_Toc53129523" w:history="1">
            <w:r w:rsidR="007D4B74" w:rsidRPr="007257A7">
              <w:rPr>
                <w:rStyle w:val="Hyperlink"/>
                <w:noProof/>
              </w:rPr>
              <w:t>Box 5.1 - Case studies: Low uptake of methods</w:t>
            </w:r>
            <w:r w:rsidR="007D4B74">
              <w:rPr>
                <w:noProof/>
                <w:webHidden/>
              </w:rPr>
              <w:tab/>
            </w:r>
            <w:r w:rsidR="007D4B74">
              <w:rPr>
                <w:noProof/>
                <w:webHidden/>
              </w:rPr>
              <w:fldChar w:fldCharType="begin"/>
            </w:r>
            <w:r w:rsidR="007D4B74">
              <w:rPr>
                <w:noProof/>
                <w:webHidden/>
              </w:rPr>
              <w:instrText xml:space="preserve"> PAGEREF _Toc53129523 \h </w:instrText>
            </w:r>
            <w:r w:rsidR="007D4B74">
              <w:rPr>
                <w:noProof/>
                <w:webHidden/>
              </w:rPr>
            </w:r>
            <w:r w:rsidR="007D4B74">
              <w:rPr>
                <w:noProof/>
                <w:webHidden/>
              </w:rPr>
              <w:fldChar w:fldCharType="separate"/>
            </w:r>
            <w:r w:rsidR="007D4B74">
              <w:rPr>
                <w:noProof/>
                <w:webHidden/>
              </w:rPr>
              <w:t>51</w:t>
            </w:r>
            <w:r w:rsidR="007D4B74">
              <w:rPr>
                <w:noProof/>
                <w:webHidden/>
              </w:rPr>
              <w:fldChar w:fldCharType="end"/>
            </w:r>
          </w:hyperlink>
        </w:p>
        <w:p w14:paraId="797EA8F2" w14:textId="77777777" w:rsidR="007D4B74" w:rsidRDefault="0080045D">
          <w:pPr>
            <w:pStyle w:val="TOC1"/>
            <w:rPr>
              <w:rFonts w:asciiTheme="minorHAnsi" w:eastAsiaTheme="minorEastAsia" w:hAnsiTheme="minorHAnsi"/>
              <w:noProof/>
              <w:sz w:val="22"/>
              <w:lang w:eastAsia="en-AU"/>
            </w:rPr>
          </w:pPr>
          <w:hyperlink w:anchor="_Toc53129524" w:history="1">
            <w:r w:rsidR="007D4B74" w:rsidRPr="007257A7">
              <w:rPr>
                <w:rStyle w:val="Hyperlink"/>
                <w:noProof/>
              </w:rPr>
              <w:t>Box 6.1 Examples of formalised industry input on regulatory matters</w:t>
            </w:r>
            <w:r w:rsidR="007D4B74">
              <w:rPr>
                <w:noProof/>
                <w:webHidden/>
              </w:rPr>
              <w:tab/>
            </w:r>
            <w:r w:rsidR="007D4B74">
              <w:rPr>
                <w:noProof/>
                <w:webHidden/>
              </w:rPr>
              <w:fldChar w:fldCharType="begin"/>
            </w:r>
            <w:r w:rsidR="007D4B74">
              <w:rPr>
                <w:noProof/>
                <w:webHidden/>
              </w:rPr>
              <w:instrText xml:space="preserve"> PAGEREF _Toc53129524 \h </w:instrText>
            </w:r>
            <w:r w:rsidR="007D4B74">
              <w:rPr>
                <w:noProof/>
                <w:webHidden/>
              </w:rPr>
            </w:r>
            <w:r w:rsidR="007D4B74">
              <w:rPr>
                <w:noProof/>
                <w:webHidden/>
              </w:rPr>
              <w:fldChar w:fldCharType="separate"/>
            </w:r>
            <w:r w:rsidR="007D4B74">
              <w:rPr>
                <w:noProof/>
                <w:webHidden/>
              </w:rPr>
              <w:t>61</w:t>
            </w:r>
            <w:r w:rsidR="007D4B74">
              <w:rPr>
                <w:noProof/>
                <w:webHidden/>
              </w:rPr>
              <w:fldChar w:fldCharType="end"/>
            </w:r>
          </w:hyperlink>
        </w:p>
        <w:p w14:paraId="0B243784" w14:textId="77777777" w:rsidR="007D4B74" w:rsidRDefault="0080045D">
          <w:pPr>
            <w:pStyle w:val="TOC1"/>
            <w:rPr>
              <w:rFonts w:asciiTheme="minorHAnsi" w:eastAsiaTheme="minorEastAsia" w:hAnsiTheme="minorHAnsi"/>
              <w:noProof/>
              <w:sz w:val="22"/>
              <w:lang w:eastAsia="en-AU"/>
            </w:rPr>
          </w:pPr>
          <w:hyperlink w:anchor="_Toc53129525" w:history="1">
            <w:r w:rsidR="007D4B74" w:rsidRPr="007257A7">
              <w:rPr>
                <w:rStyle w:val="Hyperlink"/>
                <w:noProof/>
              </w:rPr>
              <w:t>Box 6.2 Case study: Review of the landfill gas method</w:t>
            </w:r>
            <w:r w:rsidR="007D4B74">
              <w:rPr>
                <w:noProof/>
                <w:webHidden/>
              </w:rPr>
              <w:tab/>
            </w:r>
            <w:r w:rsidR="007D4B74">
              <w:rPr>
                <w:noProof/>
                <w:webHidden/>
              </w:rPr>
              <w:fldChar w:fldCharType="begin"/>
            </w:r>
            <w:r w:rsidR="007D4B74">
              <w:rPr>
                <w:noProof/>
                <w:webHidden/>
              </w:rPr>
              <w:instrText xml:space="preserve"> PAGEREF _Toc53129525 \h </w:instrText>
            </w:r>
            <w:r w:rsidR="007D4B74">
              <w:rPr>
                <w:noProof/>
                <w:webHidden/>
              </w:rPr>
            </w:r>
            <w:r w:rsidR="007D4B74">
              <w:rPr>
                <w:noProof/>
                <w:webHidden/>
              </w:rPr>
              <w:fldChar w:fldCharType="separate"/>
            </w:r>
            <w:r w:rsidR="007D4B74">
              <w:rPr>
                <w:noProof/>
                <w:webHidden/>
              </w:rPr>
              <w:t>66</w:t>
            </w:r>
            <w:r w:rsidR="007D4B74">
              <w:rPr>
                <w:noProof/>
                <w:webHidden/>
              </w:rPr>
              <w:fldChar w:fldCharType="end"/>
            </w:r>
          </w:hyperlink>
        </w:p>
        <w:p w14:paraId="07727023" w14:textId="77777777" w:rsidR="007D4B74" w:rsidRDefault="0080045D">
          <w:pPr>
            <w:pStyle w:val="TOC1"/>
            <w:rPr>
              <w:rFonts w:asciiTheme="minorHAnsi" w:eastAsiaTheme="minorEastAsia" w:hAnsiTheme="minorHAnsi"/>
              <w:noProof/>
              <w:sz w:val="22"/>
              <w:lang w:eastAsia="en-AU"/>
            </w:rPr>
          </w:pPr>
          <w:hyperlink w:anchor="_Toc53129526" w:history="1">
            <w:r w:rsidR="007D4B74" w:rsidRPr="007257A7">
              <w:rPr>
                <w:rStyle w:val="Hyperlink"/>
                <w:noProof/>
              </w:rPr>
              <w:t>Box 7.1 Example of where methods could evolve over time</w:t>
            </w:r>
            <w:r w:rsidR="007D4B74">
              <w:rPr>
                <w:noProof/>
                <w:webHidden/>
              </w:rPr>
              <w:tab/>
            </w:r>
            <w:r w:rsidR="007D4B74">
              <w:rPr>
                <w:noProof/>
                <w:webHidden/>
              </w:rPr>
              <w:fldChar w:fldCharType="begin"/>
            </w:r>
            <w:r w:rsidR="007D4B74">
              <w:rPr>
                <w:noProof/>
                <w:webHidden/>
              </w:rPr>
              <w:instrText xml:space="preserve"> PAGEREF _Toc53129526 \h </w:instrText>
            </w:r>
            <w:r w:rsidR="007D4B74">
              <w:rPr>
                <w:noProof/>
                <w:webHidden/>
              </w:rPr>
            </w:r>
            <w:r w:rsidR="007D4B74">
              <w:rPr>
                <w:noProof/>
                <w:webHidden/>
              </w:rPr>
              <w:fldChar w:fldCharType="separate"/>
            </w:r>
            <w:r w:rsidR="007D4B74">
              <w:rPr>
                <w:noProof/>
                <w:webHidden/>
              </w:rPr>
              <w:t>69</w:t>
            </w:r>
            <w:r w:rsidR="007D4B74">
              <w:rPr>
                <w:noProof/>
                <w:webHidden/>
              </w:rPr>
              <w:fldChar w:fldCharType="end"/>
            </w:r>
          </w:hyperlink>
        </w:p>
        <w:p w14:paraId="4C44B67F" w14:textId="77777777" w:rsidR="007D4B74" w:rsidRDefault="0080045D">
          <w:pPr>
            <w:pStyle w:val="TOC1"/>
            <w:rPr>
              <w:rFonts w:asciiTheme="minorHAnsi" w:eastAsiaTheme="minorEastAsia" w:hAnsiTheme="minorHAnsi"/>
              <w:noProof/>
              <w:sz w:val="22"/>
              <w:lang w:eastAsia="en-AU"/>
            </w:rPr>
          </w:pPr>
          <w:hyperlink w:anchor="_Toc53129527" w:history="1">
            <w:r w:rsidR="007D4B74" w:rsidRPr="007257A7">
              <w:rPr>
                <w:rStyle w:val="Hyperlink"/>
                <w:noProof/>
                <w:lang w:eastAsia="en-AU"/>
              </w:rPr>
              <w:t>Box 7.2 - Case study: Variations to native forest regeneration projects</w:t>
            </w:r>
            <w:r w:rsidR="007D4B74">
              <w:rPr>
                <w:noProof/>
                <w:webHidden/>
              </w:rPr>
              <w:tab/>
            </w:r>
            <w:r w:rsidR="007D4B74">
              <w:rPr>
                <w:noProof/>
                <w:webHidden/>
              </w:rPr>
              <w:fldChar w:fldCharType="begin"/>
            </w:r>
            <w:r w:rsidR="007D4B74">
              <w:rPr>
                <w:noProof/>
                <w:webHidden/>
              </w:rPr>
              <w:instrText xml:space="preserve"> PAGEREF _Toc53129527 \h </w:instrText>
            </w:r>
            <w:r w:rsidR="007D4B74">
              <w:rPr>
                <w:noProof/>
                <w:webHidden/>
              </w:rPr>
            </w:r>
            <w:r w:rsidR="007D4B74">
              <w:rPr>
                <w:noProof/>
                <w:webHidden/>
              </w:rPr>
              <w:fldChar w:fldCharType="separate"/>
            </w:r>
            <w:r w:rsidR="007D4B74">
              <w:rPr>
                <w:noProof/>
                <w:webHidden/>
              </w:rPr>
              <w:t>71</w:t>
            </w:r>
            <w:r w:rsidR="007D4B74">
              <w:rPr>
                <w:noProof/>
                <w:webHidden/>
              </w:rPr>
              <w:fldChar w:fldCharType="end"/>
            </w:r>
          </w:hyperlink>
        </w:p>
        <w:p w14:paraId="031A006E" w14:textId="77777777" w:rsidR="007D4B74" w:rsidRDefault="0080045D">
          <w:pPr>
            <w:pStyle w:val="TOC1"/>
            <w:rPr>
              <w:rFonts w:asciiTheme="minorHAnsi" w:eastAsiaTheme="minorEastAsia" w:hAnsiTheme="minorHAnsi"/>
              <w:noProof/>
              <w:sz w:val="22"/>
              <w:lang w:eastAsia="en-AU"/>
            </w:rPr>
          </w:pPr>
          <w:hyperlink r:id="rId15" w:anchor="_Toc53129528" w:history="1">
            <w:r w:rsidR="007D4B74" w:rsidRPr="007257A7">
              <w:rPr>
                <w:rStyle w:val="Hyperlink"/>
                <w:noProof/>
                <w:lang w:eastAsia="en-AU"/>
              </w:rPr>
              <w:t>Box 9.1 Note on interpreting risk ratings</w:t>
            </w:r>
            <w:r w:rsidR="007D4B74">
              <w:rPr>
                <w:noProof/>
                <w:webHidden/>
              </w:rPr>
              <w:tab/>
            </w:r>
            <w:r w:rsidR="007D4B74">
              <w:rPr>
                <w:noProof/>
                <w:webHidden/>
              </w:rPr>
              <w:fldChar w:fldCharType="begin"/>
            </w:r>
            <w:r w:rsidR="007D4B74">
              <w:rPr>
                <w:noProof/>
                <w:webHidden/>
              </w:rPr>
              <w:instrText xml:space="preserve"> PAGEREF _Toc53129528 \h </w:instrText>
            </w:r>
            <w:r w:rsidR="007D4B74">
              <w:rPr>
                <w:noProof/>
                <w:webHidden/>
              </w:rPr>
            </w:r>
            <w:r w:rsidR="007D4B74">
              <w:rPr>
                <w:noProof/>
                <w:webHidden/>
              </w:rPr>
              <w:fldChar w:fldCharType="separate"/>
            </w:r>
            <w:r w:rsidR="007D4B74">
              <w:rPr>
                <w:noProof/>
                <w:webHidden/>
              </w:rPr>
              <w:t>88</w:t>
            </w:r>
            <w:r w:rsidR="007D4B74">
              <w:rPr>
                <w:noProof/>
                <w:webHidden/>
              </w:rPr>
              <w:fldChar w:fldCharType="end"/>
            </w:r>
          </w:hyperlink>
        </w:p>
        <w:p w14:paraId="178F2AB8" w14:textId="77777777" w:rsidR="007D4B74" w:rsidRDefault="0080045D">
          <w:pPr>
            <w:pStyle w:val="TOC1"/>
            <w:rPr>
              <w:rFonts w:asciiTheme="minorHAnsi" w:eastAsiaTheme="minorEastAsia" w:hAnsiTheme="minorHAnsi"/>
              <w:noProof/>
              <w:sz w:val="22"/>
              <w:lang w:eastAsia="en-AU"/>
            </w:rPr>
          </w:pPr>
          <w:hyperlink w:anchor="_Toc53129529" w:history="1">
            <w:r w:rsidR="007D4B74" w:rsidRPr="007257A7">
              <w:rPr>
                <w:rStyle w:val="Hyperlink"/>
                <w:noProof/>
              </w:rPr>
              <w:t>Box 10.1 Climate risk mitigation strategies for the plantings of new forest activities</w:t>
            </w:r>
            <w:r w:rsidR="007D4B74">
              <w:rPr>
                <w:noProof/>
                <w:webHidden/>
              </w:rPr>
              <w:tab/>
            </w:r>
            <w:r w:rsidR="007D4B74">
              <w:rPr>
                <w:noProof/>
                <w:webHidden/>
              </w:rPr>
              <w:fldChar w:fldCharType="begin"/>
            </w:r>
            <w:r w:rsidR="007D4B74">
              <w:rPr>
                <w:noProof/>
                <w:webHidden/>
              </w:rPr>
              <w:instrText xml:space="preserve"> PAGEREF _Toc53129529 \h </w:instrText>
            </w:r>
            <w:r w:rsidR="007D4B74">
              <w:rPr>
                <w:noProof/>
                <w:webHidden/>
              </w:rPr>
            </w:r>
            <w:r w:rsidR="007D4B74">
              <w:rPr>
                <w:noProof/>
                <w:webHidden/>
              </w:rPr>
              <w:fldChar w:fldCharType="separate"/>
            </w:r>
            <w:r w:rsidR="007D4B74">
              <w:rPr>
                <w:noProof/>
                <w:webHidden/>
              </w:rPr>
              <w:t>101</w:t>
            </w:r>
            <w:r w:rsidR="007D4B74">
              <w:rPr>
                <w:noProof/>
                <w:webHidden/>
              </w:rPr>
              <w:fldChar w:fldCharType="end"/>
            </w:r>
          </w:hyperlink>
        </w:p>
        <w:p w14:paraId="60DED35D" w14:textId="4D560545" w:rsidR="00F60747" w:rsidRDefault="008465AB" w:rsidP="00CC338E">
          <w:r>
            <w:fldChar w:fldCharType="end"/>
          </w:r>
        </w:p>
        <w:p w14:paraId="71BBD136" w14:textId="3DD0188F" w:rsidR="009A73A9" w:rsidRPr="00CC338E" w:rsidRDefault="00F60747" w:rsidP="00F60747">
          <w:pPr>
            <w:spacing w:line="259" w:lineRule="auto"/>
          </w:pPr>
          <w:r>
            <w:br w:type="page"/>
          </w:r>
        </w:p>
        <w:p w14:paraId="227D5845" w14:textId="42B9C930" w:rsidR="00CD7802" w:rsidRPr="00B35722" w:rsidRDefault="00CD7802" w:rsidP="00E947F1">
          <w:pPr>
            <w:pStyle w:val="Heading1"/>
            <w:ind w:left="0" w:firstLine="0"/>
            <w:rPr>
              <w:color w:val="0070AE" w:themeColor="accent2" w:themeTint="BF"/>
            </w:rPr>
          </w:pPr>
          <w:bookmarkStart w:id="189" w:name="_Toc35416936"/>
          <w:bookmarkStart w:id="190" w:name="_Toc44514557"/>
          <w:bookmarkStart w:id="191" w:name="_Toc45030336"/>
          <w:bookmarkStart w:id="192" w:name="_Toc48996293"/>
          <w:bookmarkStart w:id="193" w:name="_Toc49350815"/>
          <w:bookmarkStart w:id="194" w:name="_Toc49352795"/>
          <w:bookmarkStart w:id="195" w:name="_Toc49354171"/>
          <w:bookmarkStart w:id="196" w:name="_Toc49355497"/>
          <w:bookmarkStart w:id="197" w:name="_Toc49429255"/>
          <w:bookmarkStart w:id="198" w:name="_Toc49434012"/>
          <w:bookmarkStart w:id="199" w:name="_Toc49441005"/>
          <w:bookmarkStart w:id="200" w:name="_Toc49441195"/>
          <w:bookmarkStart w:id="201" w:name="_Toc49442198"/>
          <w:bookmarkStart w:id="202" w:name="_Toc49508927"/>
          <w:bookmarkStart w:id="203" w:name="_Toc49519737"/>
          <w:bookmarkStart w:id="204" w:name="_Toc49521452"/>
          <w:bookmarkStart w:id="205" w:name="_Toc49524524"/>
          <w:bookmarkStart w:id="206" w:name="_Toc49524662"/>
          <w:bookmarkStart w:id="207" w:name="_Toc49527131"/>
          <w:bookmarkStart w:id="208" w:name="_Toc49527969"/>
          <w:bookmarkStart w:id="209" w:name="_Toc49692121"/>
          <w:bookmarkStart w:id="210" w:name="_Toc49710494"/>
          <w:bookmarkStart w:id="211" w:name="_Toc49710666"/>
          <w:bookmarkStart w:id="212" w:name="_Toc49713219"/>
          <w:bookmarkStart w:id="213" w:name="_Toc49713421"/>
          <w:bookmarkStart w:id="214" w:name="_Toc49776359"/>
          <w:bookmarkStart w:id="215" w:name="_Toc49784918"/>
          <w:bookmarkStart w:id="216" w:name="_Toc49786244"/>
          <w:bookmarkStart w:id="217" w:name="_Toc49787293"/>
          <w:bookmarkStart w:id="218" w:name="_Toc49787348"/>
          <w:bookmarkStart w:id="219" w:name="_Toc49850662"/>
          <w:bookmarkStart w:id="220" w:name="_Toc49852904"/>
          <w:bookmarkStart w:id="221" w:name="_Toc49854321"/>
          <w:bookmarkStart w:id="222" w:name="_Toc49856917"/>
          <w:bookmarkStart w:id="223" w:name="_Toc49858233"/>
          <w:bookmarkStart w:id="224" w:name="_Toc49858288"/>
          <w:bookmarkStart w:id="225" w:name="_Toc49862990"/>
          <w:bookmarkStart w:id="226" w:name="_Toc49867713"/>
          <w:bookmarkStart w:id="227" w:name="_Toc49870549"/>
          <w:bookmarkStart w:id="228" w:name="_Toc49871292"/>
          <w:bookmarkStart w:id="229" w:name="_Toc49871972"/>
          <w:bookmarkStart w:id="230" w:name="_Toc49872525"/>
          <w:bookmarkStart w:id="231" w:name="_Toc50027737"/>
          <w:bookmarkStart w:id="232" w:name="_Toc50029431"/>
          <w:bookmarkStart w:id="233" w:name="_Toc50043865"/>
          <w:bookmarkStart w:id="234" w:name="_Toc50057716"/>
          <w:bookmarkStart w:id="235" w:name="_Toc50553593"/>
          <w:bookmarkStart w:id="236" w:name="_Toc50555356"/>
          <w:bookmarkStart w:id="237" w:name="_Toc50559816"/>
          <w:bookmarkStart w:id="238" w:name="_Toc50559869"/>
          <w:bookmarkStart w:id="239" w:name="_Toc50563803"/>
          <w:bookmarkStart w:id="240" w:name="_Toc50711356"/>
          <w:bookmarkStart w:id="241" w:name="_Toc50720938"/>
          <w:bookmarkStart w:id="242" w:name="_Toc50730662"/>
          <w:bookmarkStart w:id="243" w:name="_Toc50734888"/>
          <w:bookmarkStart w:id="244" w:name="_Toc50735491"/>
          <w:bookmarkStart w:id="245" w:name="_Toc50905510"/>
          <w:bookmarkStart w:id="246" w:name="_Toc51586995"/>
          <w:bookmarkStart w:id="247" w:name="_Toc51594855"/>
          <w:bookmarkStart w:id="248" w:name="_Toc51599458"/>
          <w:bookmarkStart w:id="249" w:name="_Toc51613494"/>
          <w:bookmarkStart w:id="250" w:name="_Toc51669605"/>
          <w:bookmarkStart w:id="251" w:name="_Toc51669700"/>
          <w:bookmarkStart w:id="252" w:name="_Toc51672849"/>
          <w:bookmarkStart w:id="253" w:name="_Toc51673899"/>
          <w:bookmarkStart w:id="254" w:name="_Toc51680716"/>
          <w:bookmarkStart w:id="255" w:name="_Toc51683245"/>
          <w:bookmarkStart w:id="256" w:name="_Toc51685981"/>
          <w:bookmarkStart w:id="257" w:name="_Toc51687719"/>
          <w:bookmarkStart w:id="258" w:name="_Toc51687863"/>
          <w:bookmarkStart w:id="259" w:name="_Toc51705741"/>
          <w:bookmarkStart w:id="260" w:name="_Toc51770687"/>
          <w:bookmarkStart w:id="261" w:name="_Toc51770873"/>
          <w:bookmarkStart w:id="262" w:name="_Toc52359216"/>
          <w:bookmarkStart w:id="263" w:name="_Toc52367249"/>
          <w:bookmarkStart w:id="264" w:name="_Toc52371589"/>
          <w:bookmarkStart w:id="265" w:name="_Toc52374737"/>
          <w:bookmarkStart w:id="266" w:name="_Toc52377275"/>
          <w:bookmarkStart w:id="267" w:name="_Toc52379197"/>
          <w:bookmarkStart w:id="268" w:name="_Toc52379552"/>
          <w:bookmarkStart w:id="269" w:name="_Toc52532762"/>
          <w:bookmarkStart w:id="270" w:name="_Toc52535657"/>
          <w:bookmarkStart w:id="271" w:name="_Toc52537475"/>
          <w:bookmarkStart w:id="272" w:name="_Toc52544038"/>
          <w:bookmarkStart w:id="273" w:name="_Toc52545642"/>
          <w:bookmarkStart w:id="274" w:name="_Toc52547874"/>
          <w:bookmarkStart w:id="275" w:name="_Toc52548563"/>
          <w:bookmarkStart w:id="276" w:name="_Toc52890855"/>
          <w:bookmarkStart w:id="277" w:name="_Toc52895058"/>
          <w:bookmarkStart w:id="278" w:name="_Toc52896582"/>
          <w:bookmarkStart w:id="279" w:name="_Toc52977759"/>
          <w:bookmarkStart w:id="280" w:name="_Toc53129445"/>
          <w:r w:rsidRPr="00B35722">
            <w:rPr>
              <w:color w:val="0070AE" w:themeColor="accent2" w:themeTint="BF"/>
            </w:rPr>
            <w:t xml:space="preserve">Chair’s </w:t>
          </w:r>
          <w:r w:rsidR="00CD47FC" w:rsidRPr="00B35722">
            <w:rPr>
              <w:color w:val="0070AE" w:themeColor="accent2" w:themeTint="BF"/>
            </w:rPr>
            <w:t>f</w:t>
          </w:r>
          <w:r w:rsidRPr="00B35722">
            <w:rPr>
              <w:color w:val="0070AE" w:themeColor="accent2" w:themeTint="BF"/>
            </w:rPr>
            <w:t>oreword</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74B311B6" w14:textId="77777777" w:rsidR="00D47B84" w:rsidRDefault="00D47B84" w:rsidP="005864C0"/>
        <w:p w14:paraId="155DB848" w14:textId="623EBF94" w:rsidR="00D47B84" w:rsidRDefault="00D47B84" w:rsidP="005864C0">
          <w:r w:rsidRPr="00D47B84">
            <w:t xml:space="preserve">The Climate Change Authority is pleased to </w:t>
          </w:r>
          <w:r>
            <w:t xml:space="preserve">present </w:t>
          </w:r>
          <w:r w:rsidRPr="00D47B84">
            <w:t xml:space="preserve">its </w:t>
          </w:r>
          <w:r w:rsidR="00E4183D">
            <w:t xml:space="preserve">2020 </w:t>
          </w:r>
          <w:r w:rsidRPr="00D47B84">
            <w:t xml:space="preserve">review of the Emissions Reduction Fund (ERF). </w:t>
          </w:r>
        </w:p>
        <w:p w14:paraId="7DEEC5B6" w14:textId="1FBD0F20" w:rsidR="00D47D2B" w:rsidRDefault="00D47D2B" w:rsidP="005864C0">
          <w:r>
            <w:t>This is the Authority’s third statutory review of the ERF. The scheme is now maturing and is established as an integral component of the Government’s emissions reduction polic</w:t>
          </w:r>
          <w:r w:rsidR="00553970">
            <w:t>ies</w:t>
          </w:r>
          <w:r>
            <w:t xml:space="preserve">. It forms the architecture for crediting and purchasing of </w:t>
          </w:r>
          <w:r w:rsidR="00B4116C">
            <w:t>low</w:t>
          </w:r>
          <w:r w:rsidR="00511D09">
            <w:t>-</w:t>
          </w:r>
          <w:r w:rsidR="00B4116C">
            <w:t xml:space="preserve">cost </w:t>
          </w:r>
          <w:r>
            <w:t>abatement across the economy, lowering</w:t>
          </w:r>
          <w:r w:rsidRPr="00D47D2B">
            <w:t xml:space="preserve"> the overall costs to the economy of reducing emissions</w:t>
          </w:r>
          <w:r>
            <w:t>.</w:t>
          </w:r>
        </w:p>
        <w:p w14:paraId="1574AF5B" w14:textId="0921E40F" w:rsidR="00D47D2B" w:rsidRDefault="00D47D2B" w:rsidP="00F668CB">
          <w:r>
            <w:t xml:space="preserve">Following a robust start, </w:t>
          </w:r>
          <w:r w:rsidR="00C73D4D">
            <w:t xml:space="preserve">project activity and Government </w:t>
          </w:r>
          <w:r>
            <w:t>purchasing under the scheme slowed in the period 2017 to 2019</w:t>
          </w:r>
          <w:r w:rsidR="00C73D4D">
            <w:t xml:space="preserve">. This appears to have </w:t>
          </w:r>
          <w:r w:rsidR="002D66CA">
            <w:t>been caused by</w:t>
          </w:r>
          <w:r w:rsidR="00C73D4D">
            <w:t xml:space="preserve"> </w:t>
          </w:r>
          <w:r w:rsidR="002D66CA">
            <w:t>several</w:t>
          </w:r>
          <w:r w:rsidR="00C73D4D">
            <w:t xml:space="preserve"> factors, including some uncertainty over future funding for the </w:t>
          </w:r>
          <w:r w:rsidR="00EA25EF">
            <w:t>ERF</w:t>
          </w:r>
          <w:r w:rsidR="00C73D4D">
            <w:t xml:space="preserve"> </w:t>
          </w:r>
          <w:r w:rsidR="002D66CA">
            <w:t xml:space="preserve">prior to </w:t>
          </w:r>
          <w:r w:rsidR="00C73D4D">
            <w:t>the Government</w:t>
          </w:r>
          <w:r w:rsidR="002D66CA">
            <w:t xml:space="preserve"> announcement </w:t>
          </w:r>
          <w:r w:rsidR="00E4183D">
            <w:t xml:space="preserve">in 2019 </w:t>
          </w:r>
          <w:r w:rsidR="002D66CA">
            <w:t>of the Climate Solutions Fund</w:t>
          </w:r>
          <w:r w:rsidR="00C73D4D">
            <w:t xml:space="preserve">. </w:t>
          </w:r>
          <w:r w:rsidR="00D14E95">
            <w:t>S</w:t>
          </w:r>
          <w:r w:rsidR="00D87C2B">
            <w:t xml:space="preserve">takeholders </w:t>
          </w:r>
          <w:r w:rsidR="00D14E95">
            <w:t>have raised</w:t>
          </w:r>
          <w:r w:rsidR="00D87C2B">
            <w:t xml:space="preserve"> concerns about prices offered for Australian Carbon Credit Units</w:t>
          </w:r>
          <w:r w:rsidR="00EE4342">
            <w:t xml:space="preserve"> (ACCUs)</w:t>
          </w:r>
          <w:r w:rsidR="00D87C2B">
            <w:t xml:space="preserve"> </w:t>
          </w:r>
          <w:r w:rsidR="00D14E95">
            <w:t xml:space="preserve">and </w:t>
          </w:r>
          <w:r w:rsidR="00D87C2B">
            <w:t xml:space="preserve">low levels of demand </w:t>
          </w:r>
          <w:r w:rsidR="00F668CB">
            <w:t xml:space="preserve">deriving from compliance with the Safeguard Mechanism and from voluntary markets. </w:t>
          </w:r>
          <w:r w:rsidR="00553970">
            <w:t xml:space="preserve">The Authority </w:t>
          </w:r>
          <w:r w:rsidR="00D87C2B" w:rsidRPr="00D87C2B">
            <w:t xml:space="preserve">also heard </w:t>
          </w:r>
          <w:r w:rsidR="0007436F">
            <w:t xml:space="preserve">concerns </w:t>
          </w:r>
          <w:r w:rsidR="00D87C2B" w:rsidRPr="00D87C2B">
            <w:t>about high costs of participating in the scheme and the lack of methods for some activities</w:t>
          </w:r>
          <w:r w:rsidR="00F668CB">
            <w:t>.</w:t>
          </w:r>
        </w:p>
        <w:p w14:paraId="3877E018" w14:textId="0E9C3B6A" w:rsidR="00D47D2B" w:rsidRDefault="00E4183D" w:rsidP="005864C0">
          <w:r>
            <w:t>Last year t</w:t>
          </w:r>
          <w:r w:rsidR="00402A0B">
            <w:t>he Government establish</w:t>
          </w:r>
          <w:r w:rsidR="00F72F6B">
            <w:t>ed</w:t>
          </w:r>
          <w:r w:rsidR="00402A0B">
            <w:t xml:space="preserve"> </w:t>
          </w:r>
          <w:r w:rsidR="00F72F6B">
            <w:t>an</w:t>
          </w:r>
          <w:r w:rsidR="00402A0B">
            <w:t xml:space="preserve"> Expert Panel </w:t>
          </w:r>
          <w:r>
            <w:t xml:space="preserve">(the King Review) </w:t>
          </w:r>
          <w:r w:rsidR="00402A0B">
            <w:t xml:space="preserve">to </w:t>
          </w:r>
          <w:r w:rsidR="00003E9C">
            <w:t xml:space="preserve">provide advice </w:t>
          </w:r>
          <w:r w:rsidR="00402A0B">
            <w:t>on unlocking additional</w:t>
          </w:r>
          <w:r w:rsidR="00402A0B" w:rsidRPr="00402A0B">
            <w:t xml:space="preserve"> low cost abatement </w:t>
          </w:r>
          <w:r w:rsidR="00402A0B">
            <w:t xml:space="preserve">opportunities </w:t>
          </w:r>
          <w:r w:rsidR="00402A0B" w:rsidRPr="00402A0B">
            <w:t>across the country</w:t>
          </w:r>
          <w:r w:rsidR="00402A0B">
            <w:t xml:space="preserve">, including through the ERF. </w:t>
          </w:r>
          <w:r w:rsidR="001477FB">
            <w:t>T</w:t>
          </w:r>
          <w:r w:rsidR="001477FB" w:rsidRPr="001477FB">
            <w:t>he Expert Panel</w:t>
          </w:r>
          <w:r w:rsidR="001477FB">
            <w:t xml:space="preserve">’s report recommended measures </w:t>
          </w:r>
          <w:r w:rsidR="001477FB" w:rsidRPr="001477FB">
            <w:t>to lift the level of abatement activity under the ERF</w:t>
          </w:r>
          <w:r w:rsidR="001477FB">
            <w:t xml:space="preserve"> and the Government is proceeding to implement those.</w:t>
          </w:r>
          <w:r w:rsidR="006D6489">
            <w:t xml:space="preserve"> Implementation by the Clean Energy Regulator of optional delivery contracts has been very positively received in the market</w:t>
          </w:r>
          <w:r w:rsidR="00F72F6B">
            <w:t xml:space="preserve">. The Government has also recently announced </w:t>
          </w:r>
          <w:r w:rsidR="006D6489">
            <w:t>significant additional funding for the Regulator</w:t>
          </w:r>
          <w:r w:rsidR="00204D37">
            <w:t xml:space="preserve"> to establish a new </w:t>
          </w:r>
          <w:r w:rsidR="008406E2">
            <w:t xml:space="preserve">emissions reduction </w:t>
          </w:r>
          <w:r w:rsidR="00204D37">
            <w:t xml:space="preserve">trading platform and </w:t>
          </w:r>
          <w:r>
            <w:t xml:space="preserve">to </w:t>
          </w:r>
          <w:r w:rsidR="00204D37">
            <w:t xml:space="preserve">reduce </w:t>
          </w:r>
          <w:r w:rsidR="00F72F6B">
            <w:t xml:space="preserve">the time it takes for ERF methods to be developed and </w:t>
          </w:r>
          <w:r w:rsidR="008406E2">
            <w:t xml:space="preserve">for </w:t>
          </w:r>
          <w:r w:rsidR="00F72F6B">
            <w:t>projects to be registered.</w:t>
          </w:r>
          <w:r w:rsidR="00204D37">
            <w:t xml:space="preserve"> </w:t>
          </w:r>
        </w:p>
        <w:p w14:paraId="15A1A035" w14:textId="48689F38" w:rsidR="00626671" w:rsidRDefault="00626671" w:rsidP="00626671">
          <w:r>
            <w:t xml:space="preserve">The Authority has identified several additional measures that </w:t>
          </w:r>
          <w:r w:rsidR="008406E2">
            <w:t>build on these initiatives</w:t>
          </w:r>
          <w:r>
            <w:t xml:space="preserve"> and will help ensure the continuing success of the ERF. These measures aim to give ERF participants greater confidence over the future market for ACCUs and </w:t>
          </w:r>
          <w:r w:rsidR="00E4183D">
            <w:t>more involvement</w:t>
          </w:r>
          <w:r>
            <w:t xml:space="preserve"> in the range of activities to be included in the scheme and how they are implemented. Preserving the integrity of the scheme, and hence its environmental effectiveness and the strong reputation of ACCUs, also remains very important.</w:t>
          </w:r>
        </w:p>
        <w:p w14:paraId="3E18B17E" w14:textId="3691B365" w:rsidR="00626671" w:rsidRPr="005206CA" w:rsidRDefault="00626671" w:rsidP="00626671">
          <w:r>
            <w:t xml:space="preserve">For this review, the Authority commissioned the CSIRO to analyse the risks that the impacts of climate change pose to storing and maintaining carbon in the landscape under ERF methods. This work represents a vital step in understanding how the changing climate will affect our efforts to reduce emissions. It highlights </w:t>
          </w:r>
          <w:r w:rsidR="00511D09">
            <w:t xml:space="preserve">that </w:t>
          </w:r>
          <w:r>
            <w:t>risks are present and will continue to grow. The Authority recommends more work be undertaken to allow the Government and ERF participants to better understand and manage these risks.</w:t>
          </w:r>
        </w:p>
        <w:p w14:paraId="12063521" w14:textId="77777777" w:rsidR="00D47D2B" w:rsidRPr="005206CA" w:rsidRDefault="00D47D2B" w:rsidP="00D47D2B">
          <w:r w:rsidRPr="005206CA">
            <w:rPr>
              <w:noProof/>
              <w:color w:val="1F497D"/>
              <w:lang w:eastAsia="en-AU"/>
            </w:rPr>
            <w:drawing>
              <wp:anchor distT="0" distB="0" distL="114300" distR="114300" simplePos="0" relativeHeight="251658240" behindDoc="1" locked="0" layoutInCell="1" allowOverlap="1" wp14:anchorId="64880319" wp14:editId="50EBBF5B">
                <wp:simplePos x="0" y="0"/>
                <wp:positionH relativeFrom="column">
                  <wp:posOffset>4445</wp:posOffset>
                </wp:positionH>
                <wp:positionV relativeFrom="paragraph">
                  <wp:posOffset>0</wp:posOffset>
                </wp:positionV>
                <wp:extent cx="1118870" cy="539115"/>
                <wp:effectExtent l="0" t="0" r="5080" b="0"/>
                <wp:wrapTight wrapText="bothSides">
                  <wp:wrapPolygon edited="0">
                    <wp:start x="0" y="0"/>
                    <wp:lineTo x="0" y="20608"/>
                    <wp:lineTo x="21330" y="20608"/>
                    <wp:lineTo x="21330" y="0"/>
                    <wp:lineTo x="0" y="0"/>
                  </wp:wrapPolygon>
                </wp:wrapTight>
                <wp:docPr id="19" name="Picture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18870" cy="53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0FEE5" w14:textId="77777777" w:rsidR="00D47D2B" w:rsidRPr="005206CA" w:rsidRDefault="00D47D2B" w:rsidP="00D47D2B">
          <w:pPr>
            <w:spacing w:after="0" w:line="240" w:lineRule="auto"/>
          </w:pPr>
        </w:p>
        <w:p w14:paraId="59AF4ABE" w14:textId="77777777" w:rsidR="00D47D2B" w:rsidRPr="005206CA" w:rsidRDefault="00D47D2B" w:rsidP="00D47D2B">
          <w:pPr>
            <w:spacing w:after="0" w:line="240" w:lineRule="auto"/>
          </w:pPr>
        </w:p>
        <w:p w14:paraId="34D333AA" w14:textId="77777777" w:rsidR="00D47D2B" w:rsidRPr="005206CA" w:rsidRDefault="00D47D2B" w:rsidP="00D47D2B">
          <w:pPr>
            <w:spacing w:after="0" w:line="240" w:lineRule="auto"/>
          </w:pPr>
        </w:p>
        <w:p w14:paraId="2571D607" w14:textId="7F18E7C3" w:rsidR="00D47D2B" w:rsidRPr="005206CA" w:rsidRDefault="00D47D2B" w:rsidP="00D47D2B">
          <w:pPr>
            <w:spacing w:after="0" w:line="240" w:lineRule="auto"/>
          </w:pPr>
          <w:r>
            <w:t xml:space="preserve">Dr </w:t>
          </w:r>
          <w:r w:rsidRPr="005206CA">
            <w:t>Wendy Craik AM</w:t>
          </w:r>
        </w:p>
        <w:p w14:paraId="1B2C9925" w14:textId="77777777" w:rsidR="00D47D2B" w:rsidRPr="005206CA" w:rsidRDefault="00D47D2B" w:rsidP="00D47D2B">
          <w:pPr>
            <w:spacing w:after="0" w:line="240" w:lineRule="auto"/>
          </w:pPr>
          <w:r w:rsidRPr="005206CA">
            <w:t>Chair, Climate Change Authority</w:t>
          </w:r>
        </w:p>
        <w:p w14:paraId="18FBE8AD" w14:textId="77777777" w:rsidR="00D47D2B" w:rsidRPr="005206CA" w:rsidRDefault="00D47D2B" w:rsidP="00D47D2B">
          <w:pPr>
            <w:spacing w:after="0" w:line="240" w:lineRule="auto"/>
          </w:pPr>
        </w:p>
        <w:p w14:paraId="57D690CB" w14:textId="0DC55075" w:rsidR="005864C0" w:rsidRPr="005864C0" w:rsidRDefault="00D47D2B" w:rsidP="00A27AE4">
          <w:pPr>
            <w:spacing w:after="0" w:line="240" w:lineRule="auto"/>
          </w:pPr>
          <w:r>
            <w:t>9</w:t>
          </w:r>
          <w:r w:rsidRPr="005206CA">
            <w:t xml:space="preserve"> </w:t>
          </w:r>
          <w:r>
            <w:t xml:space="preserve">October </w:t>
          </w:r>
          <w:r w:rsidRPr="005206CA">
            <w:t>20</w:t>
          </w:r>
          <w:r>
            <w:t>20</w:t>
          </w:r>
          <w:r w:rsidR="005864C0" w:rsidRPr="005864C0">
            <w:br w:type="page"/>
          </w:r>
        </w:p>
        <w:p w14:paraId="61F6589E" w14:textId="12CC2292" w:rsidR="005864C0" w:rsidRPr="00570347" w:rsidRDefault="00AF4131" w:rsidP="00570347">
          <w:pPr>
            <w:pStyle w:val="Heading1"/>
            <w:ind w:left="0" w:firstLine="0"/>
            <w:rPr>
              <w:color w:val="0070AE" w:themeColor="accent2" w:themeTint="BF"/>
            </w:rPr>
          </w:pPr>
          <w:bookmarkStart w:id="281" w:name="_Toc52890856"/>
          <w:bookmarkStart w:id="282" w:name="_Toc52895059"/>
          <w:bookmarkStart w:id="283" w:name="_Toc52896583"/>
          <w:bookmarkStart w:id="284" w:name="_Toc52977760"/>
          <w:bookmarkStart w:id="285" w:name="_Toc53129446"/>
          <w:r w:rsidRPr="00B35722">
            <w:rPr>
              <w:color w:val="0070AE" w:themeColor="accent2" w:themeTint="BF"/>
            </w:rPr>
            <w:t xml:space="preserve">Executive </w:t>
          </w:r>
          <w:r w:rsidR="00CB1D10">
            <w:rPr>
              <w:color w:val="0070AE" w:themeColor="accent2" w:themeTint="BF"/>
            </w:rPr>
            <w:t>s</w:t>
          </w:r>
          <w:r w:rsidRPr="00B35722">
            <w:rPr>
              <w:color w:val="0070AE" w:themeColor="accent2" w:themeTint="BF"/>
            </w:rPr>
            <w:t>ummary</w:t>
          </w:r>
          <w:bookmarkEnd w:id="281"/>
          <w:bookmarkEnd w:id="282"/>
          <w:bookmarkEnd w:id="283"/>
          <w:bookmarkEnd w:id="284"/>
          <w:bookmarkEnd w:id="285"/>
        </w:p>
        <w:p w14:paraId="1A9FE53D" w14:textId="5BFF7872" w:rsidR="00AC6109" w:rsidRPr="006E001B" w:rsidRDefault="00AC6109" w:rsidP="00AC6109">
          <w:pPr>
            <w:rPr>
              <w:rFonts w:eastAsia="Calibri" w:cs="Times New Roman"/>
            </w:rPr>
          </w:pPr>
          <w:r w:rsidRPr="006E001B">
            <w:rPr>
              <w:rFonts w:eastAsia="Calibri" w:cs="Times New Roman"/>
            </w:rPr>
            <w:t>The Climate Change Authority is an independent statutory agency, established to provide expert, evidence-based advice to the Government on Australia’s climate change policy. The Emissions Reduction Fund (ERF) is an emission</w:t>
          </w:r>
          <w:r w:rsidR="002A29BF">
            <w:rPr>
              <w:rFonts w:eastAsia="Calibri" w:cs="Times New Roman"/>
            </w:rPr>
            <w:t>s</w:t>
          </w:r>
          <w:r w:rsidRPr="006E001B">
            <w:rPr>
              <w:rFonts w:eastAsia="Calibri" w:cs="Times New Roman"/>
            </w:rPr>
            <w:t xml:space="preserve"> offset</w:t>
          </w:r>
          <w:r w:rsidR="002A29BF">
            <w:rPr>
              <w:rFonts w:eastAsia="Calibri" w:cs="Times New Roman"/>
            </w:rPr>
            <w:t>ting</w:t>
          </w:r>
          <w:r w:rsidRPr="006E001B">
            <w:rPr>
              <w:rFonts w:eastAsia="Calibri" w:cs="Times New Roman"/>
            </w:rPr>
            <w:t xml:space="preserve"> scheme combined with Government purchasing of abatement. </w:t>
          </w:r>
          <w:r>
            <w:rPr>
              <w:rFonts w:eastAsia="Calibri" w:cs="Times New Roman"/>
            </w:rPr>
            <w:t>T</w:t>
          </w:r>
          <w:r w:rsidRPr="006E001B">
            <w:rPr>
              <w:rFonts w:eastAsia="Calibri" w:cs="Times New Roman"/>
            </w:rPr>
            <w:t xml:space="preserve">he Authority </w:t>
          </w:r>
          <w:r>
            <w:rPr>
              <w:rFonts w:eastAsia="Calibri" w:cs="Times New Roman"/>
            </w:rPr>
            <w:t xml:space="preserve">is required to </w:t>
          </w:r>
          <w:r w:rsidRPr="006E001B">
            <w:rPr>
              <w:rFonts w:eastAsia="Calibri" w:cs="Times New Roman"/>
            </w:rPr>
            <w:t>review the ERF</w:t>
          </w:r>
          <w:r w:rsidRPr="00F01823">
            <w:rPr>
              <w:rFonts w:eastAsia="Calibri" w:cs="Times New Roman"/>
            </w:rPr>
            <w:t xml:space="preserve"> </w:t>
          </w:r>
          <w:r>
            <w:rPr>
              <w:rFonts w:eastAsia="Calibri" w:cs="Times New Roman"/>
            </w:rPr>
            <w:t>e</w:t>
          </w:r>
          <w:r w:rsidRPr="006E001B">
            <w:rPr>
              <w:rFonts w:eastAsia="Calibri" w:cs="Times New Roman"/>
            </w:rPr>
            <w:t xml:space="preserve">very three years. </w:t>
          </w:r>
        </w:p>
        <w:p w14:paraId="032A0472" w14:textId="1A86F25F" w:rsidR="00AC6109" w:rsidRPr="00A42E31" w:rsidRDefault="00AC6109" w:rsidP="00AC6109">
          <w:pPr>
            <w:rPr>
              <w:rFonts w:eastAsia="Calibri" w:cs="Times New Roman"/>
            </w:rPr>
          </w:pPr>
          <w:r>
            <w:rPr>
              <w:rFonts w:eastAsia="Calibri" w:cs="Times New Roman"/>
            </w:rPr>
            <w:t>T</w:t>
          </w:r>
          <w:r w:rsidRPr="006E001B">
            <w:rPr>
              <w:rFonts w:eastAsia="Calibri" w:cs="Times New Roman"/>
            </w:rPr>
            <w:t xml:space="preserve">his review </w:t>
          </w:r>
          <w:r>
            <w:rPr>
              <w:rFonts w:eastAsia="Calibri" w:cs="Times New Roman"/>
            </w:rPr>
            <w:t xml:space="preserve">builds on the Government’s response to the </w:t>
          </w:r>
          <w:r w:rsidRPr="005413FD">
            <w:rPr>
              <w:rFonts w:eastAsia="Calibri" w:cs="Times New Roman"/>
              <w:i/>
            </w:rPr>
            <w:t>Report of the Expert Panel examining additional sources of low cost abatement</w:t>
          </w:r>
          <w:r>
            <w:rPr>
              <w:rFonts w:eastAsia="Calibri" w:cs="Times New Roman"/>
            </w:rPr>
            <w:t xml:space="preserve"> (the King Review), which contains many recommendations designed to lift the level of abatement activity under the ERF</w:t>
          </w:r>
          <w:r w:rsidR="0078295A">
            <w:rPr>
              <w:rFonts w:eastAsia="Calibri" w:cs="Times New Roman"/>
            </w:rPr>
            <w:t xml:space="preserve">, and </w:t>
          </w:r>
          <w:r w:rsidR="0078295A" w:rsidRPr="00E84DC0">
            <w:rPr>
              <w:rFonts w:eastAsia="Calibri" w:cs="Times New Roman"/>
            </w:rPr>
            <w:t>the Government’s first Low Emissions Technology</w:t>
          </w:r>
          <w:r w:rsidR="0078295A">
            <w:rPr>
              <w:rFonts w:eastAsia="Calibri" w:cs="Times New Roman"/>
            </w:rPr>
            <w:t xml:space="preserve"> Statement</w:t>
          </w:r>
          <w:r w:rsidR="0078295A" w:rsidRPr="00E84DC0">
            <w:rPr>
              <w:rFonts w:eastAsia="Calibri" w:cs="Times New Roman"/>
            </w:rPr>
            <w:t>, which</w:t>
          </w:r>
          <w:r w:rsidR="0078295A" w:rsidRPr="00E84DC0">
            <w:rPr>
              <w:rFonts w:cs="Arial"/>
              <w:color w:val="333333"/>
              <w:shd w:val="clear" w:color="auto" w:fill="FFFFFF"/>
            </w:rPr>
            <w:t xml:space="preserve"> </w:t>
          </w:r>
          <w:r w:rsidR="0078295A" w:rsidRPr="00E842F8">
            <w:rPr>
              <w:rFonts w:eastAsia="Calibri" w:cs="Times New Roman"/>
            </w:rPr>
            <w:t xml:space="preserve">presents a vision of a prosperous Australia and focuses </w:t>
          </w:r>
          <w:r w:rsidR="00EE4342">
            <w:rPr>
              <w:rFonts w:eastAsia="Calibri" w:cs="Times New Roman"/>
            </w:rPr>
            <w:t>G</w:t>
          </w:r>
          <w:r w:rsidR="0078295A" w:rsidRPr="00E842F8">
            <w:rPr>
              <w:rFonts w:eastAsia="Calibri" w:cs="Times New Roman"/>
            </w:rPr>
            <w:t>overnment investment on new and emerging technologies</w:t>
          </w:r>
          <w:r>
            <w:rPr>
              <w:rFonts w:eastAsia="Calibri" w:cs="Times New Roman"/>
            </w:rPr>
            <w:t xml:space="preserve">. </w:t>
          </w:r>
          <w:r w:rsidRPr="006E001B">
            <w:rPr>
              <w:rFonts w:eastAsia="Calibri" w:cs="Times New Roman"/>
            </w:rPr>
            <w:t>Th</w:t>
          </w:r>
          <w:r>
            <w:rPr>
              <w:rFonts w:eastAsia="Calibri" w:cs="Times New Roman"/>
            </w:rPr>
            <w:t xml:space="preserve">e Authority </w:t>
          </w:r>
          <w:r w:rsidRPr="006E001B">
            <w:rPr>
              <w:rFonts w:eastAsia="Calibri" w:cs="Times New Roman"/>
            </w:rPr>
            <w:t>also dr</w:t>
          </w:r>
          <w:r w:rsidR="00CB3519">
            <w:rPr>
              <w:rFonts w:eastAsia="Calibri" w:cs="Times New Roman"/>
            </w:rPr>
            <w:t>ew</w:t>
          </w:r>
          <w:r w:rsidRPr="006E001B">
            <w:rPr>
              <w:rFonts w:eastAsia="Calibri" w:cs="Times New Roman"/>
            </w:rPr>
            <w:t xml:space="preserve"> on </w:t>
          </w:r>
          <w:r>
            <w:rPr>
              <w:rFonts w:eastAsia="Calibri" w:cs="Times New Roman"/>
            </w:rPr>
            <w:t>its</w:t>
          </w:r>
          <w:r w:rsidRPr="006E001B">
            <w:rPr>
              <w:rFonts w:eastAsia="Calibri" w:cs="Times New Roman"/>
            </w:rPr>
            <w:t xml:space="preserve"> recent research report</w:t>
          </w:r>
          <w:r w:rsidR="00CB099B">
            <w:rPr>
              <w:rFonts w:eastAsia="Calibri" w:cs="Times New Roman"/>
            </w:rPr>
            <w:t>s</w:t>
          </w:r>
          <w:r w:rsidR="00CB3519">
            <w:rPr>
              <w:rFonts w:eastAsia="Calibri" w:cs="Times New Roman"/>
            </w:rPr>
            <w:t>.</w:t>
          </w:r>
          <w:r w:rsidRPr="006E001B">
            <w:rPr>
              <w:rFonts w:eastAsia="Calibri" w:cs="Times New Roman"/>
            </w:rPr>
            <w:t xml:space="preserve"> </w:t>
          </w:r>
          <w:r w:rsidRPr="006E001B">
            <w:rPr>
              <w:rFonts w:eastAsia="Calibri" w:cs="Times New Roman"/>
              <w:i/>
            </w:rPr>
            <w:t>Prospering in a low-emissions world: An updated climate policy toolkit for Australia</w:t>
          </w:r>
          <w:r>
            <w:rPr>
              <w:rFonts w:eastAsia="Calibri" w:cs="Times New Roman"/>
            </w:rPr>
            <w:t>, consider</w:t>
          </w:r>
          <w:r w:rsidR="00CB3519">
            <w:rPr>
              <w:rFonts w:eastAsia="Calibri" w:cs="Times New Roman"/>
            </w:rPr>
            <w:t>s</w:t>
          </w:r>
          <w:r>
            <w:rPr>
              <w:rFonts w:eastAsia="Calibri" w:cs="Times New Roman"/>
            </w:rPr>
            <w:t xml:space="preserve"> the role of the ERF within the toolkit of policies for achieving Australia’s emissions reduction goals</w:t>
          </w:r>
          <w:r w:rsidR="00CB3519">
            <w:rPr>
              <w:rFonts w:eastAsia="Calibri" w:cs="Times New Roman"/>
            </w:rPr>
            <w:t>,</w:t>
          </w:r>
          <w:r w:rsidR="00CB099B">
            <w:rPr>
              <w:rFonts w:eastAsia="Calibri" w:cs="Times New Roman"/>
            </w:rPr>
            <w:t xml:space="preserve"> </w:t>
          </w:r>
          <w:r w:rsidR="00CB3519">
            <w:rPr>
              <w:rFonts w:eastAsia="Calibri" w:cs="Times New Roman"/>
            </w:rPr>
            <w:t>while</w:t>
          </w:r>
          <w:r w:rsidR="00CB099B">
            <w:rPr>
              <w:rFonts w:eastAsia="Calibri" w:cs="Times New Roman"/>
            </w:rPr>
            <w:t xml:space="preserve"> </w:t>
          </w:r>
          <w:hyperlink r:id="rId18" w:history="1">
            <w:r w:rsidR="00CB099B" w:rsidRPr="002A0090">
              <w:rPr>
                <w:rFonts w:eastAsia="Calibri" w:cs="Times New Roman"/>
                <w:i/>
              </w:rPr>
              <w:t>Economic recovery, resilience and prosperity after the coronavirus</w:t>
            </w:r>
          </w:hyperlink>
          <w:r w:rsidR="00CB099B">
            <w:rPr>
              <w:rFonts w:eastAsia="Calibri" w:cs="Times New Roman"/>
            </w:rPr>
            <w:t>,</w:t>
          </w:r>
          <w:r w:rsidR="00CB099B">
            <w:rPr>
              <w:rFonts w:cs="Arial"/>
              <w:color w:val="000000"/>
              <w:shd w:val="clear" w:color="auto" w:fill="FFFFFF"/>
            </w:rPr>
            <w:t xml:space="preserve"> identifies measures that could contribute to a ‘triple-win' economic stimulus package in response to the economic impacts of COVID-19</w:t>
          </w:r>
          <w:r w:rsidRPr="006E001B">
            <w:rPr>
              <w:rFonts w:eastAsia="Calibri" w:cs="Times New Roman"/>
              <w:i/>
            </w:rPr>
            <w:t>.</w:t>
          </w:r>
          <w:r>
            <w:rPr>
              <w:rFonts w:eastAsia="Calibri" w:cs="Times New Roman"/>
              <w:i/>
            </w:rPr>
            <w:t xml:space="preserve"> </w:t>
          </w:r>
          <w:r>
            <w:rPr>
              <w:rFonts w:eastAsia="Calibri" w:cs="Times New Roman"/>
            </w:rPr>
            <w:t>This review focuses primarily on the operation of the ERF.</w:t>
          </w:r>
        </w:p>
        <w:p w14:paraId="7DF92E20" w14:textId="3AC7C67D" w:rsidR="00AC6109" w:rsidRDefault="00AC6109" w:rsidP="00AC6109">
          <w:pPr>
            <w:rPr>
              <w:rFonts w:eastAsia="Calibri" w:cs="Times New Roman"/>
            </w:rPr>
          </w:pPr>
          <w:r w:rsidRPr="006E001B">
            <w:rPr>
              <w:rFonts w:eastAsia="Calibri" w:cs="Times New Roman"/>
            </w:rPr>
            <w:t xml:space="preserve">The </w:t>
          </w:r>
          <w:r>
            <w:rPr>
              <w:rFonts w:eastAsia="Calibri" w:cs="Times New Roman"/>
            </w:rPr>
            <w:t>ERF</w:t>
          </w:r>
          <w:r w:rsidRPr="006E001B">
            <w:rPr>
              <w:rFonts w:eastAsia="Calibri" w:cs="Times New Roman"/>
            </w:rPr>
            <w:t xml:space="preserve"> has been in place </w:t>
          </w:r>
          <w:r w:rsidR="00484DDD">
            <w:rPr>
              <w:rFonts w:eastAsia="Calibri" w:cs="Times New Roman"/>
            </w:rPr>
            <w:t>since 2014</w:t>
          </w:r>
          <w:r w:rsidRPr="006E001B">
            <w:rPr>
              <w:rFonts w:eastAsia="Calibri" w:cs="Times New Roman"/>
            </w:rPr>
            <w:t xml:space="preserve"> and </w:t>
          </w:r>
          <w:r>
            <w:rPr>
              <w:rFonts w:eastAsia="Calibri" w:cs="Times New Roman"/>
            </w:rPr>
            <w:t>i</w:t>
          </w:r>
          <w:r w:rsidRPr="006E001B">
            <w:rPr>
              <w:rFonts w:eastAsia="Calibri" w:cs="Times New Roman"/>
            </w:rPr>
            <w:t xml:space="preserve">s </w:t>
          </w:r>
          <w:r>
            <w:rPr>
              <w:rFonts w:eastAsia="Calibri" w:cs="Times New Roman"/>
            </w:rPr>
            <w:t xml:space="preserve">maturing, with administrators and </w:t>
          </w:r>
          <w:r w:rsidR="00484DDD">
            <w:rPr>
              <w:rFonts w:eastAsia="Calibri" w:cs="Times New Roman"/>
            </w:rPr>
            <w:t xml:space="preserve">many </w:t>
          </w:r>
          <w:r>
            <w:rPr>
              <w:rFonts w:eastAsia="Calibri" w:cs="Times New Roman"/>
            </w:rPr>
            <w:t>p</w:t>
          </w:r>
          <w:r w:rsidR="00484DDD">
            <w:rPr>
              <w:rFonts w:eastAsia="Calibri" w:cs="Times New Roman"/>
            </w:rPr>
            <w:t xml:space="preserve">roject proponents now </w:t>
          </w:r>
          <w:r>
            <w:rPr>
              <w:rFonts w:eastAsia="Calibri" w:cs="Times New Roman"/>
            </w:rPr>
            <w:t>benefit</w:t>
          </w:r>
          <w:r w:rsidR="00126E3F">
            <w:rPr>
              <w:rFonts w:eastAsia="Calibri" w:cs="Times New Roman"/>
            </w:rPr>
            <w:t>ing</w:t>
          </w:r>
          <w:r w:rsidR="00484DDD">
            <w:rPr>
              <w:rFonts w:eastAsia="Calibri" w:cs="Times New Roman"/>
            </w:rPr>
            <w:t xml:space="preserve"> from several years of experience working with the scheme</w:t>
          </w:r>
          <w:r>
            <w:rPr>
              <w:rFonts w:eastAsia="Calibri" w:cs="Times New Roman"/>
            </w:rPr>
            <w:t xml:space="preserve">. It is a foundational element of the Government’s approach to reducing emissions – generating local, low-cost carbon offsets, </w:t>
          </w:r>
          <w:r w:rsidR="00D027E0">
            <w:rPr>
              <w:rFonts w:eastAsia="Calibri" w:cs="Times New Roman"/>
            </w:rPr>
            <w:t xml:space="preserve">and </w:t>
          </w:r>
          <w:r>
            <w:rPr>
              <w:rFonts w:eastAsia="Calibri" w:cs="Times New Roman"/>
            </w:rPr>
            <w:t>establishing a market for those offsets</w:t>
          </w:r>
          <w:r w:rsidR="00D027E0">
            <w:rPr>
              <w:rFonts w:eastAsia="Calibri" w:cs="Times New Roman"/>
            </w:rPr>
            <w:t>. It also provides</w:t>
          </w:r>
          <w:r>
            <w:rPr>
              <w:rFonts w:eastAsia="Calibri" w:cs="Times New Roman"/>
            </w:rPr>
            <w:t xml:space="preserve"> an architecture to</w:t>
          </w:r>
          <w:r w:rsidR="00827ECB">
            <w:rPr>
              <w:rFonts w:eastAsia="Calibri" w:cs="Times New Roman"/>
            </w:rPr>
            <w:t xml:space="preserve"> support</w:t>
          </w:r>
          <w:r>
            <w:rPr>
              <w:rFonts w:eastAsia="Calibri" w:cs="Times New Roman"/>
            </w:rPr>
            <w:t>: voluntary action; Australian exporters compet</w:t>
          </w:r>
          <w:r w:rsidR="007F0D3F">
            <w:rPr>
              <w:rFonts w:eastAsia="Calibri" w:cs="Times New Roman"/>
            </w:rPr>
            <w:t>ing</w:t>
          </w:r>
          <w:r>
            <w:rPr>
              <w:rFonts w:eastAsia="Calibri" w:cs="Times New Roman"/>
            </w:rPr>
            <w:t xml:space="preserve"> in global markets, where there is an increasing focus on low emissions supply chains</w:t>
          </w:r>
          <w:r w:rsidR="007F0D3F">
            <w:rPr>
              <w:rFonts w:eastAsia="Calibri" w:cs="Times New Roman"/>
            </w:rPr>
            <w:t>; and</w:t>
          </w:r>
          <w:r w:rsidR="007F0D3F" w:rsidRPr="007F0D3F">
            <w:rPr>
              <w:rFonts w:eastAsia="Calibri" w:cs="Times New Roman"/>
            </w:rPr>
            <w:t xml:space="preserve"> </w:t>
          </w:r>
          <w:r w:rsidR="007F0D3F">
            <w:rPr>
              <w:rFonts w:eastAsia="Calibri" w:cs="Times New Roman"/>
            </w:rPr>
            <w:t>the pursuit of broader environmental, social and productivity benefits</w:t>
          </w:r>
          <w:r>
            <w:rPr>
              <w:rFonts w:eastAsia="Calibri" w:cs="Times New Roman"/>
            </w:rPr>
            <w:t>.</w:t>
          </w:r>
        </w:p>
        <w:p w14:paraId="5B6B81FA" w14:textId="2C9DF1E5" w:rsidR="00AC6109" w:rsidRPr="00A42E31" w:rsidRDefault="00AC6109" w:rsidP="00AC6109">
          <w:pPr>
            <w:rPr>
              <w:rFonts w:cs="Arial"/>
              <w:szCs w:val="20"/>
            </w:rPr>
          </w:pPr>
          <w:r w:rsidRPr="00A42E31">
            <w:rPr>
              <w:rFonts w:cs="Arial"/>
              <w:szCs w:val="20"/>
            </w:rPr>
            <w:t>The ERF has been successful in activating low</w:t>
          </w:r>
          <w:r w:rsidR="00511D09">
            <w:rPr>
              <w:rFonts w:cs="Arial"/>
              <w:szCs w:val="20"/>
            </w:rPr>
            <w:t>-</w:t>
          </w:r>
          <w:r w:rsidRPr="00A42E31">
            <w:rPr>
              <w:rFonts w:cs="Arial"/>
              <w:szCs w:val="20"/>
            </w:rPr>
            <w:t xml:space="preserve">cost abatement from the agriculture, land and waste sectors. Landholders are reaping the rewards of a relatively new income stream. Australia’s carbon services industry is growing </w:t>
          </w:r>
          <w:r>
            <w:rPr>
              <w:rFonts w:cs="Arial"/>
              <w:szCs w:val="20"/>
            </w:rPr>
            <w:t>and t</w:t>
          </w:r>
          <w:r w:rsidRPr="00A42E31">
            <w:rPr>
              <w:rFonts w:cs="Arial"/>
              <w:szCs w:val="20"/>
            </w:rPr>
            <w:t xml:space="preserve">he voluntary market for </w:t>
          </w:r>
          <w:r w:rsidR="00827ECB" w:rsidRPr="00A42E31">
            <w:rPr>
              <w:rFonts w:cs="Arial"/>
              <w:szCs w:val="20"/>
            </w:rPr>
            <w:t xml:space="preserve">Australian Carbon Credit Units </w:t>
          </w:r>
          <w:r w:rsidR="00827ECB">
            <w:rPr>
              <w:rFonts w:cs="Arial"/>
              <w:szCs w:val="20"/>
            </w:rPr>
            <w:t>(</w:t>
          </w:r>
          <w:r w:rsidRPr="00A42E31">
            <w:rPr>
              <w:rFonts w:cs="Arial"/>
              <w:szCs w:val="20"/>
            </w:rPr>
            <w:t>ACCUs</w:t>
          </w:r>
          <w:r w:rsidR="00827ECB">
            <w:rPr>
              <w:rFonts w:cs="Arial"/>
              <w:szCs w:val="20"/>
            </w:rPr>
            <w:t>)</w:t>
          </w:r>
          <w:r w:rsidRPr="00A42E31">
            <w:rPr>
              <w:rFonts w:cs="Arial"/>
              <w:szCs w:val="20"/>
            </w:rPr>
            <w:t xml:space="preserve"> is small but also growing as </w:t>
          </w:r>
          <w:r w:rsidRPr="00A42E31">
            <w:rPr>
              <w:rFonts w:cs="Arial"/>
              <w:szCs w:val="20"/>
              <w:lang w:val="en-GB"/>
            </w:rPr>
            <w:t xml:space="preserve">more major emitters set voluntary net zero emissions targets. </w:t>
          </w:r>
          <w:r w:rsidRPr="00A42E31">
            <w:rPr>
              <w:rFonts w:cs="Arial"/>
              <w:szCs w:val="20"/>
            </w:rPr>
            <w:t xml:space="preserve">ACCUs meet the best international practice integrity principles for carbon credits and are recognised </w:t>
          </w:r>
          <w:r w:rsidR="002A29BF">
            <w:rPr>
              <w:rFonts w:cs="Arial"/>
              <w:szCs w:val="20"/>
            </w:rPr>
            <w:t>glob</w:t>
          </w:r>
          <w:r w:rsidR="002A29BF" w:rsidRPr="00A42E31">
            <w:rPr>
              <w:rFonts w:cs="Arial"/>
              <w:szCs w:val="20"/>
            </w:rPr>
            <w:t>ally</w:t>
          </w:r>
          <w:r w:rsidRPr="00A42E31">
            <w:rPr>
              <w:rFonts w:cs="Arial"/>
              <w:szCs w:val="20"/>
            </w:rPr>
            <w:t xml:space="preserve">. </w:t>
          </w:r>
        </w:p>
        <w:p w14:paraId="46664A6F" w14:textId="18B12BFB" w:rsidR="00AC6109" w:rsidRDefault="00AC6109" w:rsidP="00AC6109">
          <w:pPr>
            <w:rPr>
              <w:rFonts w:eastAsia="Calibri" w:cs="Times New Roman"/>
            </w:rPr>
          </w:pPr>
          <w:r>
            <w:rPr>
              <w:rFonts w:eastAsia="Calibri" w:cs="Times New Roman"/>
            </w:rPr>
            <w:t xml:space="preserve">Since the Authority’s 2017 review the ERF has, for a variety of reasons, not </w:t>
          </w:r>
          <w:r w:rsidR="0078295A">
            <w:rPr>
              <w:rFonts w:eastAsia="Calibri" w:cs="Times New Roman"/>
            </w:rPr>
            <w:t xml:space="preserve">contracted </w:t>
          </w:r>
          <w:r>
            <w:rPr>
              <w:rFonts w:eastAsia="Calibri" w:cs="Times New Roman"/>
            </w:rPr>
            <w:t xml:space="preserve">significant new amounts of abatement. </w:t>
          </w:r>
          <w:r w:rsidRPr="00CB1C36">
            <w:rPr>
              <w:rFonts w:eastAsia="Calibri" w:cs="Times New Roman"/>
            </w:rPr>
            <w:t xml:space="preserve">Stakeholders have identified concerns about uncertainty over the Government’s intentions regarding the purchasing of ACCUs the prices offered at ERF auctions and low levels of </w:t>
          </w:r>
          <w:r w:rsidR="005002AE">
            <w:rPr>
              <w:rFonts w:eastAsia="Calibri" w:cs="Times New Roman"/>
            </w:rPr>
            <w:t xml:space="preserve">private sector </w:t>
          </w:r>
          <w:r w:rsidRPr="00CB1C36">
            <w:rPr>
              <w:rFonts w:eastAsia="Calibri" w:cs="Times New Roman"/>
            </w:rPr>
            <w:t>demand</w:t>
          </w:r>
          <w:r w:rsidR="005002AE" w:rsidRPr="005002AE">
            <w:rPr>
              <w:rFonts w:eastAsia="Calibri" w:cs="Times New Roman"/>
            </w:rPr>
            <w:t xml:space="preserve"> </w:t>
          </w:r>
          <w:r w:rsidR="005002AE">
            <w:rPr>
              <w:rFonts w:eastAsia="Calibri" w:cs="Times New Roman"/>
            </w:rPr>
            <w:t xml:space="preserve">from the </w:t>
          </w:r>
          <w:r w:rsidR="005002AE" w:rsidRPr="00CB1C36">
            <w:rPr>
              <w:rFonts w:eastAsia="Calibri" w:cs="Times New Roman"/>
            </w:rPr>
            <w:t>compliance and voluntary</w:t>
          </w:r>
          <w:r w:rsidR="005002AE">
            <w:rPr>
              <w:rFonts w:eastAsia="Calibri" w:cs="Times New Roman"/>
            </w:rPr>
            <w:t xml:space="preserve"> markets</w:t>
          </w:r>
          <w:r w:rsidRPr="00CB1C36">
            <w:rPr>
              <w:rFonts w:eastAsia="Calibri" w:cs="Times New Roman"/>
            </w:rPr>
            <w:t>.</w:t>
          </w:r>
          <w:r>
            <w:rPr>
              <w:rFonts w:eastAsia="Calibri" w:cs="Times New Roman"/>
            </w:rPr>
            <w:t xml:space="preserve"> </w:t>
          </w:r>
          <w:r w:rsidRPr="00CB1C36">
            <w:rPr>
              <w:rFonts w:eastAsia="Calibri" w:cs="Times New Roman"/>
            </w:rPr>
            <w:t>The Authority has also heard about challenges potential ERF projects face in relation to obtaining finance, high costs of participating in the</w:t>
          </w:r>
          <w:r>
            <w:rPr>
              <w:rFonts w:eastAsia="Calibri" w:cs="Times New Roman"/>
            </w:rPr>
            <w:t xml:space="preserve"> scheme and the complexity, and </w:t>
          </w:r>
          <w:r w:rsidRPr="00CB1C36">
            <w:rPr>
              <w:rFonts w:eastAsia="Calibri" w:cs="Times New Roman"/>
            </w:rPr>
            <w:t>la</w:t>
          </w:r>
          <w:r>
            <w:rPr>
              <w:rFonts w:eastAsia="Calibri" w:cs="Times New Roman"/>
            </w:rPr>
            <w:t>c</w:t>
          </w:r>
          <w:r w:rsidRPr="00CB1C36">
            <w:rPr>
              <w:rFonts w:eastAsia="Calibri" w:cs="Times New Roman"/>
            </w:rPr>
            <w:t>k</w:t>
          </w:r>
          <w:r>
            <w:rPr>
              <w:rFonts w:eastAsia="Calibri" w:cs="Times New Roman"/>
            </w:rPr>
            <w:t>,</w:t>
          </w:r>
          <w:r w:rsidRPr="00CB1C36">
            <w:rPr>
              <w:rFonts w:eastAsia="Calibri" w:cs="Times New Roman"/>
            </w:rPr>
            <w:t xml:space="preserve"> of ERF methods</w:t>
          </w:r>
          <w:r w:rsidR="00E06996">
            <w:rPr>
              <w:rFonts w:eastAsia="Calibri" w:cs="Times New Roman"/>
            </w:rPr>
            <w:t xml:space="preserve"> for some activities</w:t>
          </w:r>
          <w:r w:rsidRPr="00CB1C36">
            <w:rPr>
              <w:rFonts w:eastAsia="Calibri" w:cs="Times New Roman"/>
            </w:rPr>
            <w:t>.</w:t>
          </w:r>
        </w:p>
        <w:p w14:paraId="1FD30322" w14:textId="4C70D461" w:rsidR="001C3076" w:rsidRDefault="00AC6109" w:rsidP="00AC6109">
          <w:pPr>
            <w:rPr>
              <w:rFonts w:eastAsia="Calibri" w:cs="Times New Roman"/>
            </w:rPr>
          </w:pPr>
          <w:r>
            <w:rPr>
              <w:rFonts w:eastAsia="Calibri" w:cs="Times New Roman"/>
            </w:rPr>
            <w:t>The most recent (September 2020) ERF auction result is promising</w:t>
          </w:r>
          <w:r w:rsidR="002A29BF">
            <w:rPr>
              <w:rFonts w:eastAsia="Calibri" w:cs="Times New Roman"/>
            </w:rPr>
            <w:t xml:space="preserve"> – </w:t>
          </w:r>
          <w:r>
            <w:rPr>
              <w:rFonts w:eastAsia="Calibri" w:cs="Times New Roman"/>
            </w:rPr>
            <w:t>a turnaround that appears mainly attributable to the introduction of option</w:t>
          </w:r>
          <w:r w:rsidR="002A29BF">
            <w:rPr>
              <w:rFonts w:eastAsia="Calibri" w:cs="Times New Roman"/>
            </w:rPr>
            <w:t>al delivery</w:t>
          </w:r>
          <w:r>
            <w:rPr>
              <w:rFonts w:eastAsia="Calibri" w:cs="Times New Roman"/>
            </w:rPr>
            <w:t xml:space="preserve"> contracts</w:t>
          </w:r>
          <w:r w:rsidR="005002AE">
            <w:rPr>
              <w:rFonts w:eastAsia="Calibri" w:cs="Times New Roman"/>
            </w:rPr>
            <w:t>, which give</w:t>
          </w:r>
          <w:r w:rsidR="005002AE" w:rsidRPr="005737A9">
            <w:rPr>
              <w:rFonts w:eastAsia="Calibri" w:cs="Times New Roman"/>
            </w:rPr>
            <w:t xml:space="preserve"> sellers the security of a contracted price for abatement </w:t>
          </w:r>
          <w:r w:rsidR="005002AE">
            <w:rPr>
              <w:rFonts w:eastAsia="Calibri" w:cs="Times New Roman"/>
            </w:rPr>
            <w:t xml:space="preserve">delivered </w:t>
          </w:r>
          <w:r w:rsidR="005002AE" w:rsidRPr="005737A9">
            <w:rPr>
              <w:rFonts w:eastAsia="Calibri" w:cs="Times New Roman"/>
            </w:rPr>
            <w:t xml:space="preserve">to the Commonwealth </w:t>
          </w:r>
          <w:r w:rsidR="005002AE">
            <w:rPr>
              <w:rFonts w:eastAsia="Calibri" w:cs="Times New Roman"/>
            </w:rPr>
            <w:t>and an option to instead</w:t>
          </w:r>
          <w:r w:rsidR="005002AE" w:rsidRPr="005737A9">
            <w:rPr>
              <w:rFonts w:eastAsia="Calibri" w:cs="Times New Roman"/>
            </w:rPr>
            <w:t xml:space="preserve"> sell their ACCUs elsewhere</w:t>
          </w:r>
          <w:r>
            <w:rPr>
              <w:rFonts w:eastAsia="Calibri" w:cs="Times New Roman"/>
            </w:rPr>
            <w:t xml:space="preserve">. The </w:t>
          </w:r>
          <w:r w:rsidRPr="006E001B">
            <w:rPr>
              <w:rFonts w:eastAsia="Calibri" w:cs="Times New Roman"/>
            </w:rPr>
            <w:t>Authority</w:t>
          </w:r>
          <w:r>
            <w:rPr>
              <w:rFonts w:eastAsia="Calibri" w:cs="Times New Roman"/>
            </w:rPr>
            <w:t xml:space="preserve"> has </w:t>
          </w:r>
          <w:r w:rsidRPr="006E001B">
            <w:rPr>
              <w:rFonts w:eastAsia="Calibri" w:cs="Times New Roman"/>
            </w:rPr>
            <w:t>identif</w:t>
          </w:r>
          <w:r>
            <w:rPr>
              <w:rFonts w:eastAsia="Calibri" w:cs="Times New Roman"/>
            </w:rPr>
            <w:t xml:space="preserve">ied </w:t>
          </w:r>
          <w:r w:rsidRPr="006E001B">
            <w:rPr>
              <w:rFonts w:eastAsia="Calibri" w:cs="Times New Roman"/>
            </w:rPr>
            <w:t xml:space="preserve">opportunities </w:t>
          </w:r>
          <w:r>
            <w:rPr>
              <w:rFonts w:eastAsia="Calibri" w:cs="Times New Roman"/>
            </w:rPr>
            <w:t>for</w:t>
          </w:r>
          <w:r w:rsidRPr="006E001B">
            <w:rPr>
              <w:rFonts w:eastAsia="Calibri" w:cs="Times New Roman"/>
            </w:rPr>
            <w:t xml:space="preserve"> </w:t>
          </w:r>
          <w:r>
            <w:rPr>
              <w:rFonts w:eastAsia="Calibri" w:cs="Times New Roman"/>
            </w:rPr>
            <w:t xml:space="preserve">further enhancing the operation of the </w:t>
          </w:r>
          <w:r w:rsidRPr="006E001B">
            <w:rPr>
              <w:rFonts w:eastAsia="Calibri" w:cs="Times New Roman"/>
            </w:rPr>
            <w:t>ERF</w:t>
          </w:r>
          <w:r>
            <w:rPr>
              <w:rFonts w:eastAsia="Calibri" w:cs="Times New Roman"/>
            </w:rPr>
            <w:t xml:space="preserve">, addressing stakeholder concerns and building on the ERF’s </w:t>
          </w:r>
          <w:r w:rsidRPr="00FD6F61">
            <w:rPr>
              <w:rFonts w:eastAsia="Calibri" w:cs="Times New Roman"/>
            </w:rPr>
            <w:t>foundations</w:t>
          </w:r>
          <w:r>
            <w:rPr>
              <w:rFonts w:eastAsia="Calibri" w:cs="Times New Roman"/>
            </w:rPr>
            <w:t>,</w:t>
          </w:r>
          <w:r w:rsidRPr="00FD6F61">
            <w:rPr>
              <w:rFonts w:eastAsia="Calibri" w:cs="Times New Roman"/>
            </w:rPr>
            <w:t xml:space="preserve"> to ensure Australian industries have the flexibility to access carbon offsets as climate policy settings </w:t>
          </w:r>
          <w:r>
            <w:rPr>
              <w:rFonts w:eastAsia="Calibri" w:cs="Times New Roman"/>
            </w:rPr>
            <w:t xml:space="preserve">and the broader operating environment </w:t>
          </w:r>
          <w:r w:rsidRPr="00FD6F61">
            <w:rPr>
              <w:rFonts w:eastAsia="Calibri" w:cs="Times New Roman"/>
            </w:rPr>
            <w:t xml:space="preserve">evolve, and to position Australia to participate successfully as the global economy transitions to </w:t>
          </w:r>
          <w:r>
            <w:rPr>
              <w:rFonts w:eastAsia="Calibri" w:cs="Times New Roman"/>
            </w:rPr>
            <w:t>net zero</w:t>
          </w:r>
          <w:r w:rsidRPr="00FD6F61">
            <w:rPr>
              <w:rFonts w:eastAsia="Calibri" w:cs="Times New Roman"/>
            </w:rPr>
            <w:t xml:space="preserve"> emissions</w:t>
          </w:r>
          <w:r w:rsidR="00F60747">
            <w:rPr>
              <w:rFonts w:eastAsia="Calibri" w:cs="Times New Roman"/>
            </w:rPr>
            <w:t>.</w:t>
          </w:r>
        </w:p>
        <w:p w14:paraId="537A0194" w14:textId="77777777" w:rsidR="00AC6109" w:rsidRPr="001C3076" w:rsidRDefault="00AC6109" w:rsidP="00AC6109">
          <w:pPr>
            <w:rPr>
              <w:rFonts w:eastAsia="Times New Roman" w:cs="Times New Roman"/>
              <w:color w:val="0070AE" w:themeColor="accent2" w:themeTint="BF"/>
              <w:spacing w:val="-10"/>
              <w:sz w:val="26"/>
              <w:szCs w:val="40"/>
            </w:rPr>
          </w:pPr>
          <w:r w:rsidRPr="001C3076">
            <w:rPr>
              <w:rFonts w:eastAsia="Times New Roman" w:cs="Times New Roman"/>
              <w:color w:val="0070AE" w:themeColor="accent2" w:themeTint="BF"/>
              <w:spacing w:val="-10"/>
              <w:sz w:val="26"/>
              <w:szCs w:val="40"/>
            </w:rPr>
            <w:t>Strengthening the demand signal for ACCUs</w:t>
          </w:r>
        </w:p>
        <w:p w14:paraId="0A9B75C4" w14:textId="152ECA5A" w:rsidR="00AC6109" w:rsidRDefault="00AC6109" w:rsidP="00AC6109">
          <w:r w:rsidRPr="006E001B">
            <w:t xml:space="preserve">Government purchasing currently dominates the </w:t>
          </w:r>
          <w:r>
            <w:t xml:space="preserve">ACCU </w:t>
          </w:r>
          <w:r w:rsidRPr="006E001B">
            <w:t xml:space="preserve">market, </w:t>
          </w:r>
          <w:r>
            <w:t>accounting for 95</w:t>
          </w:r>
          <w:r w:rsidR="00DE065E">
            <w:t xml:space="preserve"> per cent</w:t>
          </w:r>
          <w:r>
            <w:t xml:space="preserve"> of ACCU</w:t>
          </w:r>
          <w:r w:rsidR="00D8687C">
            <w:t>s</w:t>
          </w:r>
          <w:r>
            <w:t xml:space="preserve"> sold. </w:t>
          </w:r>
          <w:r w:rsidRPr="006E001B">
            <w:t xml:space="preserve">Uncertainty about Government funding </w:t>
          </w:r>
          <w:r>
            <w:t>for the ERF</w:t>
          </w:r>
          <w:r w:rsidRPr="006E001B">
            <w:t xml:space="preserve"> has affected confidence in future demand and impeded decisions to develop new abatement projects. </w:t>
          </w:r>
          <w:r w:rsidR="00FD3F81">
            <w:t>T</w:t>
          </w:r>
          <w:r w:rsidRPr="006E001B">
            <w:t xml:space="preserve">he </w:t>
          </w:r>
          <w:r>
            <w:t xml:space="preserve">announcement in early 2019 of the </w:t>
          </w:r>
          <w:r w:rsidRPr="006E001B">
            <w:t xml:space="preserve">Climate Solutions Fund provided a strong signal of the Governments intent, </w:t>
          </w:r>
          <w:r w:rsidR="00FD3F81">
            <w:t xml:space="preserve">however </w:t>
          </w:r>
          <w:r w:rsidRPr="006E001B">
            <w:t xml:space="preserve">stakeholders remain concerned that the funding could </w:t>
          </w:r>
          <w:r>
            <w:t xml:space="preserve">be diverted </w:t>
          </w:r>
          <w:r w:rsidR="00707436">
            <w:t xml:space="preserve">from the ERF </w:t>
          </w:r>
          <w:r>
            <w:t xml:space="preserve">to other </w:t>
          </w:r>
          <w:r w:rsidR="00707436">
            <w:t xml:space="preserve">low emissions </w:t>
          </w:r>
          <w:r>
            <w:t>initiatives.</w:t>
          </w:r>
        </w:p>
        <w:p w14:paraId="1EBEB28A" w14:textId="41E5574E" w:rsidR="00AC6109" w:rsidRPr="006E001B" w:rsidRDefault="00AC6109" w:rsidP="00AC6109">
          <w:r>
            <w:t xml:space="preserve">There are several steps the Government can take to </w:t>
          </w:r>
          <w:r w:rsidRPr="006E001B">
            <w:t>bolster what is currently a weak demand signal</w:t>
          </w:r>
          <w:r>
            <w:t xml:space="preserve"> and improve the confidence of potential investors in ERF projects. These include making a stronger commitment to maintaining ERF funding levels, publishing an indicative range of the quantity of abatement the Government will seek to purchase each year, and highlighting as part of its annual emissions projection the total contribution the ERF is estimated to make to </w:t>
          </w:r>
          <w:r w:rsidR="00707436">
            <w:t xml:space="preserve">Australia’s </w:t>
          </w:r>
          <w:r>
            <w:t>emissions reductions to 2030, through all potential sources of demand</w:t>
          </w:r>
          <w:r w:rsidRPr="006E001B">
            <w:t xml:space="preserve">. </w:t>
          </w:r>
        </w:p>
        <w:p w14:paraId="01668846" w14:textId="196D2CF5" w:rsidR="009D6162" w:rsidRDefault="00707436" w:rsidP="00AC6109">
          <w:r>
            <w:t>ACCUs are currently used by big emitters to offset emissions liabilities under the</w:t>
          </w:r>
          <w:r w:rsidR="00AC6109" w:rsidRPr="006E001B">
            <w:t xml:space="preserve"> </w:t>
          </w:r>
          <w:r w:rsidR="00AC6109">
            <w:t xml:space="preserve">Government’s </w:t>
          </w:r>
          <w:r w:rsidR="00AC6109" w:rsidRPr="006E001B">
            <w:t xml:space="preserve">Safeguard Mechanism and </w:t>
          </w:r>
          <w:r>
            <w:t xml:space="preserve">can be used to achieve voluntary carbon </w:t>
          </w:r>
          <w:r w:rsidR="009D6162">
            <w:t>neutral</w:t>
          </w:r>
          <w:r>
            <w:t xml:space="preserve"> status under the Government’s</w:t>
          </w:r>
          <w:r w:rsidR="00AC6109" w:rsidRPr="006E001B">
            <w:t xml:space="preserve"> Climate Active program</w:t>
          </w:r>
          <w:r w:rsidR="009D6162">
            <w:t>. The ERF</w:t>
          </w:r>
          <w:r w:rsidR="00AC6109" w:rsidRPr="006E001B">
            <w:t xml:space="preserve"> </w:t>
          </w:r>
          <w:r w:rsidR="00AC6109">
            <w:t xml:space="preserve">facilitates further </w:t>
          </w:r>
          <w:r w:rsidR="009D6162">
            <w:t xml:space="preserve">demand from the voluntary </w:t>
          </w:r>
          <w:r w:rsidR="00AC6109" w:rsidRPr="006E001B">
            <w:t>private sector</w:t>
          </w:r>
          <w:r w:rsidR="00AC6109">
            <w:t xml:space="preserve"> </w:t>
          </w:r>
          <w:r w:rsidR="002A29BF">
            <w:t xml:space="preserve">and state and territory governments </w:t>
          </w:r>
          <w:r w:rsidR="00AC6109">
            <w:t xml:space="preserve">through its crediting architecture. </w:t>
          </w:r>
          <w:r w:rsidR="00AC6109" w:rsidRPr="006E001B">
            <w:t>Demand from voluntary purchasers is small</w:t>
          </w:r>
          <w:r w:rsidR="00AC6109">
            <w:t xml:space="preserve"> and </w:t>
          </w:r>
          <w:r w:rsidR="00AC6109" w:rsidRPr="006E001B">
            <w:t>ACCUs compete with cheaper international units</w:t>
          </w:r>
          <w:r w:rsidR="00AC6109">
            <w:t>,</w:t>
          </w:r>
          <w:r w:rsidR="00AC6109" w:rsidRPr="006E001B">
            <w:t xml:space="preserve"> but are nonetheless prized for their high integrity, Australian origin and </w:t>
          </w:r>
          <w:r>
            <w:t xml:space="preserve">(in some cases) </w:t>
          </w:r>
          <w:r w:rsidR="00AC6109" w:rsidRPr="006E001B">
            <w:t xml:space="preserve">co-benefits. Voluntary demand is likely to continue to grow as companies set their own targets to manage their climate risks and </w:t>
          </w:r>
          <w:r w:rsidR="002A29BF">
            <w:t xml:space="preserve">meet </w:t>
          </w:r>
          <w:r w:rsidR="00AC6109" w:rsidRPr="006E001B">
            <w:t>demand for low-emissions products.</w:t>
          </w:r>
          <w:r w:rsidR="00AF4C63">
            <w:t xml:space="preserve"> </w:t>
          </w:r>
        </w:p>
        <w:p w14:paraId="58D4AEC0" w14:textId="0C4CC427" w:rsidR="00AC6109" w:rsidRPr="006E001B" w:rsidRDefault="00AC6109" w:rsidP="00AC6109">
          <w:pPr>
            <w:rPr>
              <w:rFonts w:eastAsia="Calibri" w:cs="Times New Roman"/>
            </w:rPr>
          </w:pPr>
          <w:r>
            <w:rPr>
              <w:lang w:eastAsia="en-GB"/>
            </w:rPr>
            <w:t>As a</w:t>
          </w:r>
          <w:r w:rsidR="00707436">
            <w:rPr>
              <w:lang w:eastAsia="en-GB"/>
            </w:rPr>
            <w:t>n</w:t>
          </w:r>
          <w:r>
            <w:rPr>
              <w:lang w:eastAsia="en-GB"/>
            </w:rPr>
            <w:t xml:space="preserve"> open trading economy, our</w:t>
          </w:r>
          <w:r w:rsidRPr="006E001B">
            <w:rPr>
              <w:lang w:eastAsia="en-GB"/>
            </w:rPr>
            <w:t xml:space="preserve"> prosperity depends on continued access to overseas markets, which will increasingly favour low- and zero-emissions products and services</w:t>
          </w:r>
          <w:r w:rsidRPr="006E001B">
            <w:rPr>
              <w:rFonts w:eastAsia="Calibri" w:cs="Times New Roman"/>
            </w:rPr>
            <w:t xml:space="preserve">. High integrity offsets </w:t>
          </w:r>
          <w:r w:rsidR="000A48F4">
            <w:rPr>
              <w:rFonts w:eastAsia="Calibri" w:cs="Times New Roman"/>
            </w:rPr>
            <w:t xml:space="preserve">such as ACCUs </w:t>
          </w:r>
          <w:r w:rsidRPr="006E001B">
            <w:rPr>
              <w:rFonts w:eastAsia="Calibri" w:cs="Times New Roman"/>
            </w:rPr>
            <w:t xml:space="preserve">can support Australian </w:t>
          </w:r>
          <w:r>
            <w:rPr>
              <w:rFonts w:eastAsia="Calibri" w:cs="Times New Roman"/>
            </w:rPr>
            <w:t>exporters</w:t>
          </w:r>
          <w:r w:rsidRPr="006E001B">
            <w:rPr>
              <w:rFonts w:eastAsia="Calibri" w:cs="Times New Roman"/>
            </w:rPr>
            <w:t xml:space="preserve">’ voluntary decisions to </w:t>
          </w:r>
          <w:r>
            <w:rPr>
              <w:rFonts w:eastAsia="Calibri" w:cs="Times New Roman"/>
            </w:rPr>
            <w:t>respond to changing consumer and investor preferences</w:t>
          </w:r>
          <w:r w:rsidR="004B39CC">
            <w:rPr>
              <w:rFonts w:eastAsia="Calibri" w:cs="Times New Roman"/>
            </w:rPr>
            <w:t xml:space="preserve"> and </w:t>
          </w:r>
          <w:r w:rsidRPr="006E001B">
            <w:rPr>
              <w:rFonts w:eastAsia="Calibri" w:cs="Times New Roman"/>
            </w:rPr>
            <w:t>meet ‘green’ labelling requ</w:t>
          </w:r>
          <w:r>
            <w:rPr>
              <w:rFonts w:eastAsia="Calibri" w:cs="Times New Roman"/>
            </w:rPr>
            <w:t>irements and net-zero standards</w:t>
          </w:r>
          <w:r w:rsidRPr="006E001B">
            <w:rPr>
              <w:rFonts w:eastAsia="Calibri" w:cs="Times New Roman"/>
            </w:rPr>
            <w:t xml:space="preserve">. </w:t>
          </w:r>
        </w:p>
        <w:p w14:paraId="40A4619C" w14:textId="2F70B599" w:rsidR="00AC6109" w:rsidRDefault="00AC6109" w:rsidP="00AC6109">
          <w:pPr>
            <w:rPr>
              <w:highlight w:val="yellow"/>
            </w:rPr>
          </w:pPr>
          <w:r>
            <w:t xml:space="preserve">Other government programs at both the federal and state level are linking with the ERF and expanding the sources of demand for ACCUs, in the pursuit of broader environmental benefits. The Queensland </w:t>
          </w:r>
          <w:r w:rsidRPr="006E001B">
            <w:t xml:space="preserve">Land Restoration Fund </w:t>
          </w:r>
          <w:r>
            <w:t xml:space="preserve">is an example. </w:t>
          </w:r>
          <w:r w:rsidRPr="006E001B">
            <w:t xml:space="preserve">State-based commitments to achieve net zero emissions and state regulatory requirements linked to development approvals could also lead to increased demand for ACCUs over time. For example, the Western Australian Environment Protection Authority’s guidelines on considering emissions when assessing environmental impacts for development proposals allow for offsetting of emissions with ACCUs and some other carbon units. </w:t>
          </w:r>
        </w:p>
        <w:p w14:paraId="50D54DD1" w14:textId="10BFBD75" w:rsidR="00AC6109" w:rsidRPr="006E001B" w:rsidRDefault="00AC6109" w:rsidP="00AC6109">
          <w:r w:rsidRPr="006E001B">
            <w:t xml:space="preserve">Global demand for carbon offsets is likely to grow as </w:t>
          </w:r>
          <w:r w:rsidRPr="006E001B">
            <w:rPr>
              <w:lang w:val="en-GB"/>
            </w:rPr>
            <w:t xml:space="preserve">more major emitters set voluntary net zero targets and governments around the world tighten climate regulations. </w:t>
          </w:r>
          <w:r w:rsidRPr="006E001B">
            <w:t xml:space="preserve">In the future, Australia could export ACCUs to countries transitioning to net zero emissions. The IPCC has found that negative emissions technologies—systems that remove greenhouse gases from the atmosphere—will be needed to achieve the temperature limitation goals of the Paris Agreement. </w:t>
          </w:r>
          <w:r>
            <w:t>R</w:t>
          </w:r>
          <w:r w:rsidRPr="006E001B">
            <w:t xml:space="preserve">eforestation and bioenergy carbon capture and storage will play an important role. Australia’s large, geologically stable land mass and highly-regarded offsets mechanism offer </w:t>
          </w:r>
          <w:r w:rsidR="00C0656F">
            <w:t>[</w:t>
          </w:r>
          <w:r w:rsidRPr="006E001B">
            <w:t>enormous</w:t>
          </w:r>
          <w:r w:rsidR="00C0656F">
            <w:t>]</w:t>
          </w:r>
          <w:r w:rsidRPr="006E001B">
            <w:t xml:space="preserve"> potential to contribute to the global decarbonisation goal. </w:t>
          </w:r>
        </w:p>
        <w:p w14:paraId="6E15376C" w14:textId="77777777" w:rsidR="00AC6109" w:rsidRPr="00E162C0" w:rsidRDefault="00AC6109" w:rsidP="00AC6109">
          <w:pPr>
            <w:rPr>
              <w:rFonts w:eastAsia="Times New Roman" w:cs="Times New Roman"/>
              <w:color w:val="0070AE" w:themeColor="accent2" w:themeTint="BF"/>
              <w:spacing w:val="-10"/>
              <w:sz w:val="26"/>
              <w:szCs w:val="40"/>
            </w:rPr>
          </w:pPr>
          <w:r w:rsidRPr="00E162C0">
            <w:rPr>
              <w:rFonts w:eastAsia="Times New Roman" w:cs="Times New Roman"/>
              <w:color w:val="0070AE" w:themeColor="accent2" w:themeTint="BF"/>
              <w:spacing w:val="-10"/>
              <w:sz w:val="26"/>
              <w:szCs w:val="40"/>
            </w:rPr>
            <w:t>Enhancing support for ERF projects</w:t>
          </w:r>
        </w:p>
        <w:p w14:paraId="3EFC2365" w14:textId="17A5304A" w:rsidR="00AC6109" w:rsidRPr="00A42E31" w:rsidRDefault="00AC6109" w:rsidP="00AC6109">
          <w:pPr>
            <w:rPr>
              <w:rFonts w:cs="Arial"/>
              <w:szCs w:val="20"/>
            </w:rPr>
          </w:pPr>
          <w:r w:rsidRPr="00A42E31">
            <w:rPr>
              <w:rFonts w:cs="Arial"/>
              <w:szCs w:val="20"/>
            </w:rPr>
            <w:t xml:space="preserve">In responding to the King Review, the Government </w:t>
          </w:r>
          <w:r>
            <w:rPr>
              <w:rFonts w:cs="Arial"/>
              <w:szCs w:val="20"/>
            </w:rPr>
            <w:t xml:space="preserve">is developing </w:t>
          </w:r>
          <w:r w:rsidRPr="00A42E31">
            <w:rPr>
              <w:rFonts w:cs="Arial"/>
              <w:szCs w:val="20"/>
            </w:rPr>
            <w:t xml:space="preserve">several measures to reduce the costs of participating in the ERF, encourage the participation of </w:t>
          </w:r>
          <w:r>
            <w:rPr>
              <w:rFonts w:cs="Arial"/>
              <w:szCs w:val="20"/>
            </w:rPr>
            <w:t xml:space="preserve">a wider variety of activities, including those of a </w:t>
          </w:r>
          <w:r w:rsidRPr="00A42E31">
            <w:rPr>
              <w:rFonts w:cs="Arial"/>
              <w:szCs w:val="20"/>
            </w:rPr>
            <w:t xml:space="preserve">smaller </w:t>
          </w:r>
          <w:r>
            <w:rPr>
              <w:rFonts w:cs="Arial"/>
              <w:szCs w:val="20"/>
            </w:rPr>
            <w:t xml:space="preserve">scale, </w:t>
          </w:r>
          <w:r w:rsidRPr="00A42E31">
            <w:rPr>
              <w:rFonts w:cs="Arial"/>
              <w:szCs w:val="20"/>
            </w:rPr>
            <w:t xml:space="preserve">and </w:t>
          </w:r>
          <w:r>
            <w:rPr>
              <w:rFonts w:cs="Arial"/>
              <w:szCs w:val="20"/>
            </w:rPr>
            <w:t xml:space="preserve">help </w:t>
          </w:r>
          <w:r w:rsidRPr="00A42E31">
            <w:rPr>
              <w:rFonts w:cs="Arial"/>
              <w:szCs w:val="20"/>
            </w:rPr>
            <w:t xml:space="preserve">project developers </w:t>
          </w:r>
          <w:r>
            <w:rPr>
              <w:rFonts w:cs="Arial"/>
              <w:szCs w:val="20"/>
            </w:rPr>
            <w:t xml:space="preserve">with </w:t>
          </w:r>
          <w:r w:rsidRPr="00A42E31">
            <w:rPr>
              <w:rFonts w:cs="Arial"/>
              <w:szCs w:val="20"/>
            </w:rPr>
            <w:t xml:space="preserve">high </w:t>
          </w:r>
          <w:r>
            <w:rPr>
              <w:rFonts w:cs="Arial"/>
              <w:szCs w:val="20"/>
            </w:rPr>
            <w:t xml:space="preserve">project </w:t>
          </w:r>
          <w:r w:rsidRPr="00A42E31">
            <w:rPr>
              <w:rFonts w:cs="Arial"/>
              <w:szCs w:val="20"/>
            </w:rPr>
            <w:t>start-up costs</w:t>
          </w:r>
          <w:r>
            <w:rPr>
              <w:rFonts w:cs="Arial"/>
              <w:szCs w:val="20"/>
            </w:rPr>
            <w:t>. The Authority encourages the Regulator to continue to explore ways to streamline ERF administrative processes and reduce transaction costs for participants.</w:t>
          </w:r>
        </w:p>
        <w:p w14:paraId="20C93EDB" w14:textId="2EBC44DA" w:rsidR="007F0D3F" w:rsidRDefault="00AC6109" w:rsidP="007F0D3F">
          <w:r w:rsidRPr="006E001B">
            <w:t xml:space="preserve">The King Review </w:t>
          </w:r>
          <w:r>
            <w:t xml:space="preserve">identified a range of ERF activities for which </w:t>
          </w:r>
          <w:r w:rsidRPr="006E001B">
            <w:t xml:space="preserve">projects have high establishment costs but are slow to generate abatement, which can be a barrier to </w:t>
          </w:r>
          <w:r>
            <w:t xml:space="preserve">obtaining </w:t>
          </w:r>
          <w:r w:rsidRPr="006E001B">
            <w:t>financ</w:t>
          </w:r>
          <w:r>
            <w:t>e</w:t>
          </w:r>
          <w:r w:rsidRPr="006E001B">
            <w:t xml:space="preserve">. </w:t>
          </w:r>
          <w:r>
            <w:t>The Government has said that it will consult with stakeholders on the best mechanisms to encourage such projects, on a method by method basis.</w:t>
          </w:r>
          <w:r w:rsidRPr="006E001B">
            <w:t xml:space="preserve"> The Authority </w:t>
          </w:r>
          <w:r>
            <w:t>considers that there are several i</w:t>
          </w:r>
          <w:r w:rsidRPr="006E001B">
            <w:t xml:space="preserve">nnovative financial mechanisms, such as concessional loans, blended finance or revenue-contingent loans, </w:t>
          </w:r>
          <w:r>
            <w:t xml:space="preserve">which </w:t>
          </w:r>
          <w:r w:rsidRPr="006E001B">
            <w:t>could</w:t>
          </w:r>
          <w:r>
            <w:t xml:space="preserve"> be deployed to </w:t>
          </w:r>
          <w:r w:rsidRPr="006E001B">
            <w:t>address th</w:t>
          </w:r>
          <w:r>
            <w:t>is</w:t>
          </w:r>
          <w:r w:rsidRPr="006E001B">
            <w:t xml:space="preserve"> problem</w:t>
          </w:r>
          <w:r w:rsidR="00CB099B">
            <w:t xml:space="preserve"> and contribute to the economic stimulus package in response to COVID-19</w:t>
          </w:r>
          <w:r>
            <w:t xml:space="preserve">, </w:t>
          </w:r>
          <w:r w:rsidRPr="006E001B">
            <w:t xml:space="preserve">without </w:t>
          </w:r>
          <w:r>
            <w:t xml:space="preserve">raising </w:t>
          </w:r>
          <w:r w:rsidRPr="006E001B">
            <w:t xml:space="preserve">risks to </w:t>
          </w:r>
          <w:r>
            <w:t xml:space="preserve">the </w:t>
          </w:r>
          <w:r w:rsidRPr="006E001B">
            <w:t>integrity</w:t>
          </w:r>
          <w:r>
            <w:t xml:space="preserve"> of the scheme</w:t>
          </w:r>
          <w:r w:rsidRPr="006E001B">
            <w:t>.</w:t>
          </w:r>
          <w:r>
            <w:t xml:space="preserve"> </w:t>
          </w:r>
          <w:r w:rsidR="007F0D3F">
            <w:t>For example</w:t>
          </w:r>
          <w:r w:rsidR="00904848">
            <w:t>,</w:t>
          </w:r>
          <w:r w:rsidR="007F0D3F">
            <w:t xml:space="preserve"> </w:t>
          </w:r>
          <w:r w:rsidR="003F108C">
            <w:t>concessional</w:t>
          </w:r>
          <w:r w:rsidR="007F0D3F">
            <w:t xml:space="preserve"> loans</w:t>
          </w:r>
          <w:r w:rsidR="002365A4">
            <w:t xml:space="preserve"> and grants</w:t>
          </w:r>
          <w:r w:rsidR="007F0D3F">
            <w:t xml:space="preserve"> could incentivise the deployment of transformative technology under the Safeguard Mechanism with less complexity, lower administrative costs, greater co-investment and fewer risks to the ERF than the introduction of a new carbon market instrument</w:t>
          </w:r>
          <w:r w:rsidR="00C0656F">
            <w:t>.</w:t>
          </w:r>
        </w:p>
        <w:p w14:paraId="69E6A897" w14:textId="68C871A3" w:rsidR="00AC6109" w:rsidRDefault="00AC6109" w:rsidP="00E0162C">
          <w:r>
            <w:t xml:space="preserve">The Clean Energy Finance Corporation (CEFC) is already very familiar with sources of </w:t>
          </w:r>
          <w:r w:rsidRPr="006E001B">
            <w:t>abatement across the economy</w:t>
          </w:r>
          <w:r>
            <w:t xml:space="preserve"> </w:t>
          </w:r>
          <w:r w:rsidRPr="006E001B">
            <w:t>and is well integrated in the private finance and investment market</w:t>
          </w:r>
          <w:r>
            <w:t xml:space="preserve">. It should be </w:t>
          </w:r>
          <w:r w:rsidRPr="006E001B">
            <w:t xml:space="preserve">well-positioned to catalyse private sector participation and co-investment in the ERF. Technologies at an earlier stage of development, not yet ready for deployment through ERF methodologies, could be accelerated through other policy mechanisms, such as </w:t>
          </w:r>
          <w:r>
            <w:t>the recently re-funded Australia</w:t>
          </w:r>
          <w:r w:rsidR="00511D09">
            <w:t>n</w:t>
          </w:r>
          <w:r>
            <w:t xml:space="preserve"> Renewable Energy Agency (ARENA)</w:t>
          </w:r>
          <w:r w:rsidRPr="006E001B">
            <w:t>. Information, outreach and support could also help overcome barriers to participation in the ERF.</w:t>
          </w:r>
        </w:p>
        <w:p w14:paraId="04D2869F" w14:textId="28FA89D4" w:rsidR="00AC6109" w:rsidRDefault="00AC6109" w:rsidP="00E0162C">
          <w:pPr>
            <w:rPr>
              <w:rFonts w:cs="Arial"/>
              <w:szCs w:val="20"/>
            </w:rPr>
          </w:pPr>
          <w:r w:rsidRPr="006E001B">
            <w:t xml:space="preserve">Abatement opportunities under the ERF are limited by the methodologies available. </w:t>
          </w:r>
          <w:r>
            <w:t xml:space="preserve">While </w:t>
          </w:r>
          <w:r w:rsidRPr="006E001B">
            <w:t xml:space="preserve">projects are registered under </w:t>
          </w:r>
          <w:r w:rsidRPr="00526AF0">
            <w:t>27 of the available 34 methods</w:t>
          </w:r>
          <w:r w:rsidR="006110F3">
            <w:t xml:space="preserve"> currently available</w:t>
          </w:r>
          <w:r w:rsidRPr="00526AF0">
            <w:t xml:space="preserve">, a considerable majority of </w:t>
          </w:r>
          <w:r w:rsidR="0078295A">
            <w:t>contracted abatement is</w:t>
          </w:r>
          <w:r w:rsidRPr="00526AF0">
            <w:t xml:space="preserve"> concentrated in just 5 methods</w:t>
          </w:r>
          <w:r w:rsidR="006110F3">
            <w:t xml:space="preserve"> types</w:t>
          </w:r>
          <w:r w:rsidRPr="006E001B">
            <w:t>. Method</w:t>
          </w:r>
          <w:r>
            <w:t>s have</w:t>
          </w:r>
          <w:r w:rsidDel="004B39CC">
            <w:t xml:space="preserve"> </w:t>
          </w:r>
          <w:r>
            <w:t xml:space="preserve">proven to be </w:t>
          </w:r>
          <w:r w:rsidRPr="006E001B">
            <w:t>slow to develop</w:t>
          </w:r>
          <w:r>
            <w:t xml:space="preserve"> and t</w:t>
          </w:r>
          <w:r>
            <w:rPr>
              <w:rFonts w:cs="Arial"/>
              <w:szCs w:val="20"/>
            </w:rPr>
            <w:t xml:space="preserve">he Government has very recently announced its intention to reduce the time taken to develop new methods to 12 months. This should more quickly expand the range of activities </w:t>
          </w:r>
          <w:r w:rsidR="004B39CC">
            <w:rPr>
              <w:rFonts w:cs="Arial"/>
              <w:szCs w:val="20"/>
            </w:rPr>
            <w:t>eligible</w:t>
          </w:r>
          <w:r>
            <w:rPr>
              <w:rFonts w:cs="Arial"/>
              <w:szCs w:val="20"/>
            </w:rPr>
            <w:t xml:space="preserve"> to be rewarded </w:t>
          </w:r>
          <w:r w:rsidDel="004B39CC">
            <w:rPr>
              <w:rFonts w:cs="Arial"/>
              <w:szCs w:val="20"/>
            </w:rPr>
            <w:t>under the scheme</w:t>
          </w:r>
          <w:r>
            <w:rPr>
              <w:rFonts w:cs="Arial"/>
              <w:szCs w:val="20"/>
            </w:rPr>
            <w:t xml:space="preserve">. Given the complex and resource intensive nature of method development, it is important that those activities which offer the best mix of </w:t>
          </w:r>
          <w:r w:rsidRPr="00A42E31">
            <w:rPr>
              <w:rFonts w:cs="Arial"/>
              <w:szCs w:val="20"/>
            </w:rPr>
            <w:t xml:space="preserve">abatement potential, cost effectiveness and </w:t>
          </w:r>
          <w:r>
            <w:rPr>
              <w:rFonts w:cs="Arial"/>
              <w:szCs w:val="20"/>
            </w:rPr>
            <w:t xml:space="preserve">deployment </w:t>
          </w:r>
          <w:r w:rsidRPr="00A42E31">
            <w:rPr>
              <w:rFonts w:cs="Arial"/>
              <w:szCs w:val="20"/>
            </w:rPr>
            <w:t>readiness</w:t>
          </w:r>
          <w:r>
            <w:rPr>
              <w:rFonts w:cs="Arial"/>
              <w:szCs w:val="20"/>
            </w:rPr>
            <w:t xml:space="preserve"> are given the highest priority</w:t>
          </w:r>
          <w:r w:rsidRPr="00A42E31">
            <w:rPr>
              <w:rFonts w:cs="Arial"/>
              <w:szCs w:val="20"/>
            </w:rPr>
            <w:t xml:space="preserve">. </w:t>
          </w:r>
          <w:r>
            <w:rPr>
              <w:rFonts w:cs="Arial"/>
              <w:szCs w:val="20"/>
            </w:rPr>
            <w:t xml:space="preserve">The Authority recommends a statement of priority emissions reduction activities for method development </w:t>
          </w:r>
          <w:r w:rsidR="005002AE">
            <w:rPr>
              <w:rFonts w:cs="Arial"/>
              <w:szCs w:val="20"/>
            </w:rPr>
            <w:t>be published</w:t>
          </w:r>
          <w:r>
            <w:rPr>
              <w:rFonts w:cs="Arial"/>
              <w:szCs w:val="20"/>
            </w:rPr>
            <w:t xml:space="preserve"> in conjunction with the annual Low Emissions Technology Statement. The preparation of this statement should include a formal consultation process.</w:t>
          </w:r>
        </w:p>
        <w:p w14:paraId="17E5E193" w14:textId="77777777" w:rsidR="00AC6109" w:rsidRPr="001C3076" w:rsidRDefault="00AC6109" w:rsidP="00F95A02">
          <w:pPr>
            <w:rPr>
              <w:color w:val="0070AE" w:themeColor="accent2" w:themeTint="BF"/>
              <w:sz w:val="26"/>
              <w:szCs w:val="26"/>
            </w:rPr>
          </w:pPr>
          <w:r w:rsidRPr="001C3076">
            <w:rPr>
              <w:color w:val="0070AE" w:themeColor="accent2" w:themeTint="BF"/>
              <w:sz w:val="26"/>
              <w:szCs w:val="26"/>
            </w:rPr>
            <w:t>Streamlining governance and upholding integrity</w:t>
          </w:r>
        </w:p>
        <w:p w14:paraId="785340C9" w14:textId="77CF6568" w:rsidR="00AC6109" w:rsidRPr="00E83AFF" w:rsidRDefault="00AC6109" w:rsidP="00E0162C">
          <w:r w:rsidRPr="00E83AFF">
            <w:t>Maintaining the integrity of the ERF</w:t>
          </w:r>
          <w:r w:rsidR="00511D09">
            <w:t xml:space="preserve"> — </w:t>
          </w:r>
          <w:r>
            <w:t xml:space="preserve">ensuring that </w:t>
          </w:r>
          <w:r w:rsidR="00323B1F">
            <w:t xml:space="preserve">it </w:t>
          </w:r>
          <w:r w:rsidRPr="00E83AFF">
            <w:t>is delivering genuine emissions reductions</w:t>
          </w:r>
          <w:r>
            <w:t xml:space="preserve"> </w:t>
          </w:r>
          <w:r w:rsidR="00511D09">
            <w:t>—</w:t>
          </w:r>
          <w:r>
            <w:t xml:space="preserve"> </w:t>
          </w:r>
          <w:r w:rsidRPr="00E83AFF">
            <w:t xml:space="preserve">is vital for the </w:t>
          </w:r>
          <w:r>
            <w:t xml:space="preserve">ongoing </w:t>
          </w:r>
          <w:r w:rsidRPr="00E83AFF">
            <w:t>success of the scheme</w:t>
          </w:r>
          <w:r>
            <w:t xml:space="preserve"> from an environmental perspective, as well as </w:t>
          </w:r>
          <w:r w:rsidR="00323B1F">
            <w:t xml:space="preserve">ensuring the scheme contributes to </w:t>
          </w:r>
          <w:r>
            <w:t xml:space="preserve">Australia’s progress towards its emissions reduction targets. </w:t>
          </w:r>
          <w:r w:rsidRPr="006E001B">
            <w:t xml:space="preserve">Integrity </w:t>
          </w:r>
          <w:r>
            <w:t xml:space="preserve">also lies </w:t>
          </w:r>
          <w:r w:rsidRPr="006E001B">
            <w:t>at the heart of the value of the ERF in the voluntary market</w:t>
          </w:r>
          <w:r w:rsidRPr="00DE6476">
            <w:t xml:space="preserve"> </w:t>
          </w:r>
          <w:r>
            <w:t>and acceptance of ACCUs</w:t>
          </w:r>
          <w:r w:rsidRPr="006E001B">
            <w:t xml:space="preserve"> in a global market</w:t>
          </w:r>
          <w:r>
            <w:t>.</w:t>
          </w:r>
          <w:r w:rsidRPr="006E001B">
            <w:t xml:space="preserve"> The right balance must </w:t>
          </w:r>
          <w:r>
            <w:t xml:space="preserve">therefore </w:t>
          </w:r>
          <w:r w:rsidRPr="006E001B">
            <w:t>be struck between</w:t>
          </w:r>
          <w:r w:rsidR="00790EFB">
            <w:t xml:space="preserve"> avoiding</w:t>
          </w:r>
          <w:r w:rsidRPr="006E001B">
            <w:t xml:space="preserve"> over-crediting</w:t>
          </w:r>
          <w:r w:rsidR="00C0656F">
            <w:t xml:space="preserve"> and</w:t>
          </w:r>
          <w:r w:rsidRPr="006E001B">
            <w:t xml:space="preserve"> committing taxpayer funds to activities that would occur in any event, and foregoing genuine opportunities by under-crediting</w:t>
          </w:r>
          <w:r>
            <w:t>. The Authority considers that t</w:t>
          </w:r>
          <w:r w:rsidRPr="00E83AFF">
            <w:t xml:space="preserve">he </w:t>
          </w:r>
          <w:r>
            <w:t xml:space="preserve">scheme’s </w:t>
          </w:r>
          <w:r w:rsidRPr="00E83AFF">
            <w:t xml:space="preserve">Offsets Integrity Standards </w:t>
          </w:r>
          <w:r>
            <w:t xml:space="preserve">are fit-for-purpose and </w:t>
          </w:r>
          <w:r w:rsidRPr="00E83AFF">
            <w:t xml:space="preserve">should be retained as </w:t>
          </w:r>
          <w:r w:rsidR="00323B1F">
            <w:t>they are</w:t>
          </w:r>
          <w:r w:rsidRPr="00E83AFF">
            <w:t xml:space="preserve">. However, more can be done to provide greater certainty to ERF participants as to how the Standards </w:t>
          </w:r>
          <w:r w:rsidR="00323B1F">
            <w:t>are</w:t>
          </w:r>
          <w:r w:rsidRPr="00E83AFF">
            <w:t xml:space="preserve"> interpreted and applied.</w:t>
          </w:r>
          <w:r>
            <w:t xml:space="preserve"> </w:t>
          </w:r>
        </w:p>
        <w:p w14:paraId="0FDA20C0" w14:textId="35244296" w:rsidR="00AC6109" w:rsidRDefault="00AC6109" w:rsidP="00E0162C">
          <w:r>
            <w:t>T</w:t>
          </w:r>
          <w:r w:rsidRPr="00110973">
            <w:t xml:space="preserve">he Emissions Reduction Assurance Committee </w:t>
          </w:r>
          <w:r>
            <w:t xml:space="preserve">(ERAC) </w:t>
          </w:r>
          <w:r w:rsidRPr="00110973">
            <w:t>plays an important role in upholding the integrity of the ERF. Increasing its resourcing</w:t>
          </w:r>
          <w:r>
            <w:t xml:space="preserve">, participation in method development and </w:t>
          </w:r>
          <w:r w:rsidR="0078295A">
            <w:t xml:space="preserve">variation </w:t>
          </w:r>
          <w:r>
            <w:t>processes</w:t>
          </w:r>
          <w:r w:rsidRPr="00110973">
            <w:t xml:space="preserve"> and </w:t>
          </w:r>
          <w:r>
            <w:t xml:space="preserve">access to administrative information on the operation of the scheme </w:t>
          </w:r>
          <w:r w:rsidRPr="00110973">
            <w:t>would further empower the Committee in its role.</w:t>
          </w:r>
          <w:r>
            <w:t xml:space="preserve"> </w:t>
          </w:r>
        </w:p>
        <w:p w14:paraId="7E66E793" w14:textId="550B566E" w:rsidR="00AC6109" w:rsidRDefault="00AC6109" w:rsidP="00E0162C">
          <w:r w:rsidRPr="0077568B">
            <w:t xml:space="preserve">The Government recently announced that </w:t>
          </w:r>
          <w:r w:rsidRPr="00A42E31">
            <w:t>responsibility for supporting the ERAC</w:t>
          </w:r>
          <w:r w:rsidR="00323B1F">
            <w:t>,</w:t>
          </w:r>
          <w:r w:rsidRPr="00A42E31">
            <w:t xml:space="preserve"> together with leading on method development and </w:t>
          </w:r>
          <w:r w:rsidR="0078295A">
            <w:t>variations</w:t>
          </w:r>
          <w:r w:rsidR="00323B1F">
            <w:t>,</w:t>
          </w:r>
          <w:r w:rsidRPr="00A42E31">
            <w:t xml:space="preserve"> will shift from the Department of Industry, Science, Energy and Resources to the Clean Energy Regulator. </w:t>
          </w:r>
          <w:r w:rsidRPr="0077568B">
            <w:t xml:space="preserve">The </w:t>
          </w:r>
          <w:r w:rsidRPr="00A42E31">
            <w:t xml:space="preserve">Regulator is already responsible for registering ERF projects, running ERF auctions and ensuring compliance with the scheme. The </w:t>
          </w:r>
          <w:r w:rsidRPr="0077568B">
            <w:t xml:space="preserve">Authority considers that consolidating public officials with the relevant expertise in one place and formalising the integration of industry and scientific knowledge has the potential to remove inefficiencies. </w:t>
          </w:r>
          <w:r w:rsidR="00C0656F">
            <w:t>T</w:t>
          </w:r>
          <w:r w:rsidRPr="00A42E31">
            <w:t xml:space="preserve">he Regulator will need </w:t>
          </w:r>
          <w:r w:rsidR="00C0656F">
            <w:t xml:space="preserve">review its </w:t>
          </w:r>
          <w:r w:rsidRPr="00A42E31">
            <w:t xml:space="preserve">probity </w:t>
          </w:r>
          <w:r w:rsidR="00C0656F">
            <w:t xml:space="preserve">checks and </w:t>
          </w:r>
          <w:r w:rsidRPr="00A42E31">
            <w:t>procedures to address potential conflicts of interest that arise given its broadened responsibilities under the scheme.</w:t>
          </w:r>
        </w:p>
        <w:p w14:paraId="37B7333B" w14:textId="57BB50DF" w:rsidR="00AC6109" w:rsidRDefault="00AC6109" w:rsidP="00AC6109">
          <w:pPr>
            <w:spacing w:line="259" w:lineRule="auto"/>
            <w:rPr>
              <w:rFonts w:cs="Arial"/>
              <w:szCs w:val="20"/>
            </w:rPr>
          </w:pPr>
          <w:r w:rsidRPr="00A42E31">
            <w:rPr>
              <w:rFonts w:cs="Arial"/>
              <w:szCs w:val="20"/>
            </w:rPr>
            <w:t xml:space="preserve">Many submissions have raised the need for greater, more structured involvement of stakeholders and external technical expertise in ERF method development. Establishing a formal </w:t>
          </w:r>
          <w:r>
            <w:rPr>
              <w:rFonts w:cs="Arial"/>
              <w:szCs w:val="20"/>
            </w:rPr>
            <w:t xml:space="preserve">Steering Committee </w:t>
          </w:r>
          <w:r w:rsidRPr="00A42E31">
            <w:rPr>
              <w:rFonts w:cs="Arial"/>
              <w:szCs w:val="20"/>
            </w:rPr>
            <w:t xml:space="preserve">to advise on method processes could bolster resources and better harness valuable </w:t>
          </w:r>
          <w:r>
            <w:rPr>
              <w:rFonts w:cs="Arial"/>
              <w:szCs w:val="20"/>
            </w:rPr>
            <w:t>expert and sc</w:t>
          </w:r>
          <w:r w:rsidRPr="00A42E31">
            <w:rPr>
              <w:rFonts w:cs="Arial"/>
              <w:szCs w:val="20"/>
            </w:rPr>
            <w:t>i</w:t>
          </w:r>
          <w:r>
            <w:rPr>
              <w:rFonts w:cs="Arial"/>
              <w:szCs w:val="20"/>
            </w:rPr>
            <w:t xml:space="preserve">entific input. This can be combined with </w:t>
          </w:r>
          <w:r w:rsidR="00323B1F">
            <w:rPr>
              <w:rFonts w:cs="Arial"/>
              <w:szCs w:val="20"/>
            </w:rPr>
            <w:t xml:space="preserve">a </w:t>
          </w:r>
          <w:r>
            <w:rPr>
              <w:rFonts w:cs="Arial"/>
              <w:szCs w:val="20"/>
            </w:rPr>
            <w:t xml:space="preserve">stakeholder engagement plan for ensuring appropriate participation from industry and other stakeholder and </w:t>
          </w:r>
          <w:r w:rsidRPr="00F05991">
            <w:rPr>
              <w:rFonts w:cs="Arial"/>
              <w:szCs w:val="20"/>
            </w:rPr>
            <w:t>third-party experts</w:t>
          </w:r>
          <w:r>
            <w:rPr>
              <w:rFonts w:cs="Arial"/>
              <w:szCs w:val="20"/>
            </w:rPr>
            <w:t>, to ensure all relevant views are reflected in the course of method development</w:t>
          </w:r>
          <w:r w:rsidRPr="00A42E31">
            <w:rPr>
              <w:rFonts w:cs="Arial"/>
              <w:szCs w:val="20"/>
            </w:rPr>
            <w:t>.</w:t>
          </w:r>
          <w:r>
            <w:rPr>
              <w:rFonts w:cs="Arial"/>
              <w:szCs w:val="20"/>
            </w:rPr>
            <w:t xml:space="preserve"> </w:t>
          </w:r>
        </w:p>
        <w:p w14:paraId="0A3525EB" w14:textId="46E86324" w:rsidR="00AC6109" w:rsidRPr="00A42E31" w:rsidRDefault="00AC6109" w:rsidP="00AC6109">
          <w:pPr>
            <w:rPr>
              <w:rFonts w:cs="Arial"/>
              <w:szCs w:val="20"/>
            </w:rPr>
          </w:pPr>
          <w:r w:rsidRPr="009060F9">
            <w:rPr>
              <w:rFonts w:cs="Arial"/>
              <w:szCs w:val="20"/>
            </w:rPr>
            <w:t xml:space="preserve">ERF methods, rules and tools need to keep pace with developments in science and technology to ensure that estimates of emissions reductions are as accurate as is practical and the integrity of ACCUs is maintained. </w:t>
          </w:r>
          <w:r w:rsidRPr="006E001B">
            <w:rPr>
              <w:rFonts w:eastAsia="Calibri" w:cs="Times New Roman"/>
            </w:rPr>
            <w:t xml:space="preserve">Some </w:t>
          </w:r>
          <w:r w:rsidR="00E01C98">
            <w:rPr>
              <w:rFonts w:eastAsia="Calibri" w:cs="Times New Roman"/>
            </w:rPr>
            <w:t>activities found to be</w:t>
          </w:r>
          <w:r w:rsidRPr="006E001B">
            <w:rPr>
              <w:rFonts w:eastAsia="Calibri" w:cs="Times New Roman"/>
            </w:rPr>
            <w:t xml:space="preserve"> additional now won’t be in the future</w:t>
          </w:r>
          <w:r w:rsidR="00511D09">
            <w:rPr>
              <w:rFonts w:eastAsia="Calibri" w:cs="Times New Roman"/>
            </w:rPr>
            <w:t>,</w:t>
          </w:r>
          <w:r w:rsidRPr="006E001B">
            <w:rPr>
              <w:rFonts w:eastAsia="Calibri" w:cs="Times New Roman"/>
            </w:rPr>
            <w:t xml:space="preserve"> as markets and technologies change</w:t>
          </w:r>
          <w:r w:rsidR="00E01C98">
            <w:rPr>
              <w:rFonts w:eastAsia="Calibri" w:cs="Times New Roman"/>
            </w:rPr>
            <w:t>, while some</w:t>
          </w:r>
          <w:r w:rsidRPr="006E001B">
            <w:rPr>
              <w:rFonts w:eastAsia="Calibri" w:cs="Times New Roman"/>
            </w:rPr>
            <w:t xml:space="preserve"> that </w:t>
          </w:r>
          <w:r w:rsidR="00E01C98">
            <w:rPr>
              <w:rFonts w:eastAsia="Calibri" w:cs="Times New Roman"/>
            </w:rPr>
            <w:t>do not meet</w:t>
          </w:r>
          <w:r w:rsidRPr="006E001B">
            <w:rPr>
              <w:rFonts w:eastAsia="Calibri" w:cs="Times New Roman"/>
            </w:rPr>
            <w:t xml:space="preserve"> additional</w:t>
          </w:r>
          <w:r w:rsidR="00E01C98">
            <w:rPr>
              <w:rFonts w:eastAsia="Calibri" w:cs="Times New Roman"/>
            </w:rPr>
            <w:t>ity requirements may do so</w:t>
          </w:r>
          <w:r w:rsidRPr="006E001B">
            <w:rPr>
              <w:rFonts w:eastAsia="Calibri" w:cs="Times New Roman"/>
            </w:rPr>
            <w:t xml:space="preserve"> in the future. As a result, the activities that can </w:t>
          </w:r>
          <w:r w:rsidR="00C0656F">
            <w:rPr>
              <w:rFonts w:eastAsia="Calibri" w:cs="Times New Roman"/>
            </w:rPr>
            <w:t xml:space="preserve">currently </w:t>
          </w:r>
          <w:r w:rsidRPr="006E001B">
            <w:rPr>
              <w:rFonts w:eastAsia="Calibri" w:cs="Times New Roman"/>
            </w:rPr>
            <w:t>generate genuine abatement and are eligible under the ERF will change over time</w:t>
          </w:r>
          <w:r>
            <w:rPr>
              <w:rFonts w:eastAsia="Calibri" w:cs="Times New Roman"/>
            </w:rPr>
            <w:t xml:space="preserve">. </w:t>
          </w:r>
          <w:r w:rsidRPr="009060F9">
            <w:rPr>
              <w:rFonts w:cs="Arial"/>
              <w:szCs w:val="20"/>
            </w:rPr>
            <w:t xml:space="preserve">However, changes made by the Government to </w:t>
          </w:r>
          <w:r w:rsidR="00E01C98">
            <w:rPr>
              <w:rFonts w:cs="Arial"/>
              <w:szCs w:val="20"/>
            </w:rPr>
            <w:t>the scheme to reflect such developments</w:t>
          </w:r>
          <w:r w:rsidRPr="009060F9">
            <w:rPr>
              <w:rFonts w:cs="Arial"/>
              <w:szCs w:val="20"/>
            </w:rPr>
            <w:t xml:space="preserve"> </w:t>
          </w:r>
          <w:r w:rsidR="00C0656F">
            <w:rPr>
              <w:rFonts w:cs="Arial"/>
              <w:szCs w:val="20"/>
            </w:rPr>
            <w:t>can</w:t>
          </w:r>
          <w:r w:rsidRPr="009060F9">
            <w:rPr>
              <w:rFonts w:cs="Arial"/>
              <w:szCs w:val="20"/>
            </w:rPr>
            <w:t xml:space="preserve"> </w:t>
          </w:r>
          <w:r w:rsidR="00E01C98">
            <w:rPr>
              <w:rFonts w:cs="Arial"/>
              <w:szCs w:val="20"/>
            </w:rPr>
            <w:t xml:space="preserve">have a </w:t>
          </w:r>
          <w:r w:rsidRPr="009060F9">
            <w:rPr>
              <w:rFonts w:cs="Arial"/>
              <w:szCs w:val="20"/>
            </w:rPr>
            <w:t xml:space="preserve">material </w:t>
          </w:r>
          <w:r w:rsidR="001803CE">
            <w:rPr>
              <w:rFonts w:cs="Arial"/>
              <w:szCs w:val="20"/>
            </w:rPr>
            <w:t xml:space="preserve">impact </w:t>
          </w:r>
          <w:r w:rsidR="00E01C98">
            <w:rPr>
              <w:rFonts w:cs="Arial"/>
              <w:szCs w:val="20"/>
            </w:rPr>
            <w:t>o</w:t>
          </w:r>
          <w:r w:rsidR="001803CE">
            <w:rPr>
              <w:rFonts w:cs="Arial"/>
              <w:szCs w:val="20"/>
            </w:rPr>
            <w:t>n</w:t>
          </w:r>
          <w:r w:rsidR="00E01C98">
            <w:rPr>
              <w:rFonts w:cs="Arial"/>
              <w:szCs w:val="20"/>
            </w:rPr>
            <w:t xml:space="preserve"> a</w:t>
          </w:r>
          <w:r w:rsidRPr="009060F9">
            <w:rPr>
              <w:rFonts w:cs="Arial"/>
              <w:szCs w:val="20"/>
            </w:rPr>
            <w:t xml:space="preserve"> project’s abatement p</w:t>
          </w:r>
          <w:r>
            <w:rPr>
              <w:rFonts w:cs="Arial"/>
              <w:szCs w:val="20"/>
            </w:rPr>
            <w:t xml:space="preserve">otential and business viability, thereby posing risks to </w:t>
          </w:r>
          <w:r w:rsidRPr="006E001B">
            <w:rPr>
              <w:rFonts w:eastAsia="Calibri" w:cs="Times New Roman"/>
            </w:rPr>
            <w:t>project proponents and</w:t>
          </w:r>
          <w:r>
            <w:rPr>
              <w:rFonts w:eastAsia="Calibri" w:cs="Times New Roman"/>
            </w:rPr>
            <w:t xml:space="preserve"> undermining</w:t>
          </w:r>
          <w:r w:rsidRPr="006E001B">
            <w:rPr>
              <w:rFonts w:eastAsia="Calibri" w:cs="Times New Roman"/>
            </w:rPr>
            <w:t xml:space="preserve"> confidence in the scheme</w:t>
          </w:r>
          <w:r>
            <w:rPr>
              <w:rFonts w:eastAsia="Calibri" w:cs="Times New Roman"/>
            </w:rPr>
            <w:t xml:space="preserve">. The Authority supports the Government’s work to </w:t>
          </w:r>
          <w:r>
            <w:rPr>
              <w:rFonts w:cs="Arial"/>
              <w:szCs w:val="20"/>
            </w:rPr>
            <w:t xml:space="preserve">develop a </w:t>
          </w:r>
          <w:r w:rsidRPr="009060F9">
            <w:rPr>
              <w:rFonts w:cs="Arial"/>
              <w:szCs w:val="20"/>
            </w:rPr>
            <w:t>robust and transparent framework for risk sharing between the Government and ERF project owners</w:t>
          </w:r>
          <w:r w:rsidR="00C0656F">
            <w:rPr>
              <w:rFonts w:cs="Arial"/>
              <w:szCs w:val="20"/>
            </w:rPr>
            <w:t xml:space="preserve"> to address this issue</w:t>
          </w:r>
          <w:r w:rsidR="00323B1F">
            <w:rPr>
              <w:rFonts w:cs="Arial"/>
              <w:szCs w:val="20"/>
            </w:rPr>
            <w:t>. Such a framework would</w:t>
          </w:r>
          <w:r w:rsidRPr="009060F9">
            <w:rPr>
              <w:rFonts w:cs="Arial"/>
              <w:szCs w:val="20"/>
            </w:rPr>
            <w:t xml:space="preserve"> enhance the confidence of investors in ERF activities.</w:t>
          </w:r>
        </w:p>
        <w:p w14:paraId="7500129F" w14:textId="77777777" w:rsidR="00AC6109" w:rsidRPr="001C3076" w:rsidRDefault="00AC6109" w:rsidP="00F95A02">
          <w:pPr>
            <w:rPr>
              <w:color w:val="0070AE" w:themeColor="accent2" w:themeTint="BF"/>
              <w:sz w:val="26"/>
              <w:szCs w:val="26"/>
            </w:rPr>
          </w:pPr>
          <w:r w:rsidRPr="001C3076">
            <w:rPr>
              <w:color w:val="0070AE" w:themeColor="accent2" w:themeTint="BF"/>
              <w:sz w:val="26"/>
              <w:szCs w:val="26"/>
            </w:rPr>
            <w:t xml:space="preserve">Building greater climate resilience </w:t>
          </w:r>
        </w:p>
        <w:p w14:paraId="433D4C84" w14:textId="77777777" w:rsidR="00AC6109" w:rsidRPr="004D2C53" w:rsidRDefault="00AC6109" w:rsidP="00AC6109">
          <w:pPr>
            <w:rPr>
              <w:rFonts w:eastAsia="Calibri" w:cs="Times New Roman"/>
            </w:rPr>
          </w:pPr>
          <w:r w:rsidRPr="006E001B">
            <w:rPr>
              <w:rFonts w:eastAsia="Calibri" w:cs="Times New Roman"/>
            </w:rPr>
            <w:t>Australia is already experiencing the effects of a variable and changing climate on the agriculture and land sectors</w:t>
          </w:r>
          <w:r>
            <w:rPr>
              <w:rFonts w:eastAsia="Calibri" w:cs="Times New Roman"/>
            </w:rPr>
            <w:t xml:space="preserve">. </w:t>
          </w:r>
          <w:r w:rsidRPr="004D2C53">
            <w:rPr>
              <w:rFonts w:eastAsia="Calibri" w:cs="Times New Roman"/>
            </w:rPr>
            <w:t>Land-based sequestration activities are subject to natural processes and climate variations which affect their ability</w:t>
          </w:r>
          <w:r>
            <w:rPr>
              <w:rFonts w:eastAsia="Calibri" w:cs="Times New Roman"/>
            </w:rPr>
            <w:t xml:space="preserve"> to accumulate and store carbon</w:t>
          </w:r>
          <w:r w:rsidRPr="004D2C53">
            <w:rPr>
              <w:rFonts w:eastAsia="Calibri" w:cs="Times New Roman"/>
            </w:rPr>
            <w:t>. The Authority engaged the CSIRO to examine the risks from climate change to storing and maintaining carbon in the landscape under ERF methods.</w:t>
          </w:r>
        </w:p>
        <w:p w14:paraId="21AD4D9B" w14:textId="59CCEBD7" w:rsidR="00AC6109" w:rsidRPr="004D2C53" w:rsidRDefault="00C0656F" w:rsidP="00AC6109">
          <w:pPr>
            <w:rPr>
              <w:rFonts w:eastAsia="Calibri" w:cs="Times New Roman"/>
            </w:rPr>
          </w:pPr>
          <w:r>
            <w:rPr>
              <w:rFonts w:eastAsia="Calibri" w:cs="Times New Roman"/>
            </w:rPr>
            <w:t>The CSIRO found that o</w:t>
          </w:r>
          <w:r w:rsidR="00AC6109" w:rsidRPr="004D2C53">
            <w:rPr>
              <w:rFonts w:eastAsia="Calibri" w:cs="Times New Roman"/>
            </w:rPr>
            <w:t>f the identified risks, drought-induced stress and mortality, heat stress limiting plant growth and contributing to mortality, and increased aridity/reduced soil water availability were the most commonly occurring risk factors. More research is needed on the potential impacts of pests and diseases, and changes to exposure to frost.</w:t>
          </w:r>
        </w:p>
        <w:p w14:paraId="0071022A" w14:textId="42D71D6B" w:rsidR="00C0656F" w:rsidRPr="004D2C53" w:rsidRDefault="00AC6109" w:rsidP="00AC6109">
          <w:pPr>
            <w:rPr>
              <w:rFonts w:eastAsia="Calibri" w:cs="Times New Roman"/>
            </w:rPr>
          </w:pPr>
          <w:r w:rsidRPr="004D2C53">
            <w:rPr>
              <w:rFonts w:eastAsia="Calibri" w:cs="Times New Roman"/>
            </w:rPr>
            <w:t xml:space="preserve">Among ERF activities, management of agricultural soils and </w:t>
          </w:r>
          <w:r w:rsidR="00511D09">
            <w:rPr>
              <w:rFonts w:eastAsia="Calibri" w:cs="Times New Roman"/>
            </w:rPr>
            <w:t xml:space="preserve">the </w:t>
          </w:r>
          <w:r w:rsidRPr="004D2C53">
            <w:rPr>
              <w:rFonts w:eastAsia="Calibri" w:cs="Times New Roman"/>
            </w:rPr>
            <w:t xml:space="preserve">planting of new forests were found to be most at risk, followed by savanna fire management, management of intertidal ecosystems and re-establishment of native forest cover. The Authority recommends prioritising research efforts </w:t>
          </w:r>
          <w:r w:rsidR="00511D09">
            <w:rPr>
              <w:rFonts w:eastAsia="Calibri" w:cs="Times New Roman"/>
            </w:rPr>
            <w:t>for</w:t>
          </w:r>
          <w:r w:rsidRPr="004D2C53">
            <w:rPr>
              <w:rFonts w:eastAsia="Calibri" w:cs="Times New Roman"/>
            </w:rPr>
            <w:t xml:space="preserve"> these sectors and activities, including to identify whether the relevant ERF methods can be adjusted to further alleviate exposure to carbon loss.</w:t>
          </w:r>
        </w:p>
        <w:p w14:paraId="22F73731" w14:textId="5A9DA502" w:rsidR="00AC6109" w:rsidRDefault="00AC6109" w:rsidP="00AC6109">
          <w:r w:rsidRPr="004D2C53">
            <w:rPr>
              <w:rFonts w:eastAsia="Calibri" w:cs="Times New Roman"/>
            </w:rPr>
            <w:t>The Government’s Climate Compass framework could be used to assess risks of underperformance against expected abatement at the project and portfolio levels</w:t>
          </w:r>
          <w:r>
            <w:rPr>
              <w:rFonts w:eastAsia="Calibri" w:cs="Times New Roman"/>
            </w:rPr>
            <w:t>, as well as more broadly in relation to method prioritisation, development and review</w:t>
          </w:r>
          <w:r w:rsidRPr="004D2C53">
            <w:rPr>
              <w:rFonts w:eastAsia="Calibri" w:cs="Times New Roman"/>
            </w:rPr>
            <w:t xml:space="preserve">. The </w:t>
          </w:r>
          <w:r>
            <w:rPr>
              <w:rFonts w:eastAsia="Calibri" w:cs="Times New Roman"/>
            </w:rPr>
            <w:t xml:space="preserve">ERF </w:t>
          </w:r>
          <w:r w:rsidR="00323B1F">
            <w:rPr>
              <w:rFonts w:eastAsia="Calibri" w:cs="Times New Roman"/>
            </w:rPr>
            <w:t xml:space="preserve">scheme </w:t>
          </w:r>
          <w:r>
            <w:rPr>
              <w:rFonts w:eastAsia="Calibri" w:cs="Times New Roman"/>
            </w:rPr>
            <w:t xml:space="preserve">has </w:t>
          </w:r>
          <w:r w:rsidRPr="004D2C53">
            <w:rPr>
              <w:rFonts w:eastAsia="Calibri" w:cs="Times New Roman"/>
            </w:rPr>
            <w:t>mechanisms to manage some risks, such as a ‘risk of reversal buffer’</w:t>
          </w:r>
          <w:r>
            <w:rPr>
              <w:rFonts w:eastAsia="Calibri" w:cs="Times New Roman"/>
            </w:rPr>
            <w:t xml:space="preserve"> and ‘</w:t>
          </w:r>
          <w:r w:rsidRPr="004D2C53">
            <w:rPr>
              <w:rFonts w:eastAsia="Calibri" w:cs="Times New Roman"/>
            </w:rPr>
            <w:t>permanence period discount</w:t>
          </w:r>
          <w:r>
            <w:rPr>
              <w:rFonts w:eastAsia="Calibri" w:cs="Times New Roman"/>
            </w:rPr>
            <w:t>’. These</w:t>
          </w:r>
          <w:r w:rsidRPr="004D2C53">
            <w:rPr>
              <w:rFonts w:eastAsia="Calibri" w:cs="Times New Roman"/>
            </w:rPr>
            <w:t xml:space="preserve"> should be reviewed to ensure they are </w:t>
          </w:r>
          <w:r>
            <w:rPr>
              <w:rFonts w:eastAsia="Calibri" w:cs="Times New Roman"/>
            </w:rPr>
            <w:t xml:space="preserve">aligned with the best available science and are appropriately calibrated, within each method, </w:t>
          </w:r>
          <w:r w:rsidRPr="004D2C53">
            <w:rPr>
              <w:rFonts w:eastAsia="Calibri" w:cs="Times New Roman"/>
            </w:rPr>
            <w:t xml:space="preserve">to guard against risk of carbon losses in land-based sequestration projects. </w:t>
          </w:r>
          <w:r w:rsidRPr="006E001B">
            <w:rPr>
              <w:rFonts w:eastAsia="Calibri" w:cs="Times New Roman"/>
            </w:rPr>
            <w:t xml:space="preserve">The Regulator </w:t>
          </w:r>
          <w:r>
            <w:rPr>
              <w:rFonts w:eastAsia="Calibri" w:cs="Times New Roman"/>
            </w:rPr>
            <w:t xml:space="preserve">can also play a role in </w:t>
          </w:r>
          <w:r w:rsidRPr="006E001B">
            <w:rPr>
              <w:rFonts w:eastAsia="Calibri" w:cs="Times New Roman"/>
            </w:rPr>
            <w:t>help</w:t>
          </w:r>
          <w:r>
            <w:rPr>
              <w:rFonts w:eastAsia="Calibri" w:cs="Times New Roman"/>
            </w:rPr>
            <w:t>ing</w:t>
          </w:r>
          <w:r w:rsidRPr="006E001B">
            <w:rPr>
              <w:rFonts w:eastAsia="Calibri" w:cs="Times New Roman"/>
            </w:rPr>
            <w:t xml:space="preserve"> project proponents to identify and manage risks</w:t>
          </w:r>
          <w:r>
            <w:rPr>
              <w:rFonts w:eastAsia="Calibri" w:cs="Times New Roman"/>
            </w:rPr>
            <w:t>.</w:t>
          </w:r>
        </w:p>
        <w:p w14:paraId="126162E6" w14:textId="0930A072" w:rsidR="00337393" w:rsidRDefault="00337393" w:rsidP="007C0B7B">
          <w:pPr>
            <w:contextualSpacing/>
          </w:pPr>
        </w:p>
        <w:p w14:paraId="0DA189D0" w14:textId="1B15FD4C" w:rsidR="00337393" w:rsidRDefault="00D66EFA" w:rsidP="007C0B7B">
          <w:pPr>
            <w:spacing w:line="259" w:lineRule="auto"/>
          </w:pPr>
          <w:r>
            <w:br w:type="page"/>
          </w:r>
        </w:p>
        <w:p w14:paraId="2803C0C5" w14:textId="77777777" w:rsidR="00580353" w:rsidRDefault="00CD7802" w:rsidP="00E947F1">
          <w:pPr>
            <w:pStyle w:val="Heading1"/>
            <w:ind w:left="0" w:firstLine="0"/>
            <w:rPr>
              <w:color w:val="0070AE" w:themeColor="accent2" w:themeTint="BF"/>
            </w:rPr>
          </w:pPr>
          <w:bookmarkStart w:id="286" w:name="_Toc52359218"/>
          <w:bookmarkStart w:id="287" w:name="_Toc52367251"/>
          <w:bookmarkStart w:id="288" w:name="_Toc52371591"/>
          <w:bookmarkStart w:id="289" w:name="_Toc52374739"/>
          <w:bookmarkStart w:id="290" w:name="_Toc52377277"/>
          <w:bookmarkStart w:id="291" w:name="_Toc52379199"/>
          <w:bookmarkStart w:id="292" w:name="_Toc52379554"/>
          <w:bookmarkStart w:id="293" w:name="_Toc52532764"/>
          <w:bookmarkStart w:id="294" w:name="_Toc52535659"/>
          <w:bookmarkStart w:id="295" w:name="_Toc52537477"/>
          <w:bookmarkStart w:id="296" w:name="_Toc52544040"/>
          <w:bookmarkStart w:id="297" w:name="_Toc52545644"/>
          <w:bookmarkStart w:id="298" w:name="_Toc52547876"/>
          <w:bookmarkStart w:id="299" w:name="_Toc52548565"/>
          <w:bookmarkStart w:id="300" w:name="_Toc52890857"/>
          <w:bookmarkStart w:id="301" w:name="_Toc52895060"/>
          <w:bookmarkStart w:id="302" w:name="_Toc52896584"/>
          <w:bookmarkStart w:id="303" w:name="_Toc52977761"/>
          <w:bookmarkStart w:id="304" w:name="_Toc53129447"/>
          <w:bookmarkStart w:id="305" w:name="_Toc44514559"/>
          <w:bookmarkStart w:id="306" w:name="_Toc45030338"/>
          <w:bookmarkStart w:id="307" w:name="_Toc48996295"/>
          <w:bookmarkStart w:id="308" w:name="_Toc49350817"/>
          <w:bookmarkStart w:id="309" w:name="_Toc49352797"/>
          <w:bookmarkStart w:id="310" w:name="_Toc49354173"/>
          <w:bookmarkStart w:id="311" w:name="_Toc49355499"/>
          <w:bookmarkStart w:id="312" w:name="_Toc49429257"/>
          <w:bookmarkStart w:id="313" w:name="_Toc49434014"/>
          <w:bookmarkStart w:id="314" w:name="_Toc49441007"/>
          <w:bookmarkStart w:id="315" w:name="_Toc49441197"/>
          <w:bookmarkStart w:id="316" w:name="_Toc49442200"/>
          <w:bookmarkStart w:id="317" w:name="_Toc49508929"/>
          <w:bookmarkStart w:id="318" w:name="_Toc49519739"/>
          <w:bookmarkStart w:id="319" w:name="_Toc49521454"/>
          <w:bookmarkStart w:id="320" w:name="_Toc49524526"/>
          <w:bookmarkStart w:id="321" w:name="_Toc49524664"/>
          <w:bookmarkStart w:id="322" w:name="_Toc49527133"/>
          <w:bookmarkStart w:id="323" w:name="_Toc49527971"/>
          <w:bookmarkStart w:id="324" w:name="_Toc49692123"/>
          <w:bookmarkStart w:id="325" w:name="_Toc49710496"/>
          <w:bookmarkStart w:id="326" w:name="_Toc49710668"/>
          <w:bookmarkStart w:id="327" w:name="_Toc49713221"/>
          <w:bookmarkStart w:id="328" w:name="_Toc49713423"/>
          <w:bookmarkStart w:id="329" w:name="_Toc49776361"/>
          <w:bookmarkStart w:id="330" w:name="_Toc49784920"/>
          <w:bookmarkStart w:id="331" w:name="_Toc49786246"/>
          <w:bookmarkStart w:id="332" w:name="_Toc49787295"/>
          <w:bookmarkStart w:id="333" w:name="_Toc49787350"/>
          <w:bookmarkStart w:id="334" w:name="_Toc49850664"/>
          <w:bookmarkStart w:id="335" w:name="_Toc49852906"/>
          <w:bookmarkStart w:id="336" w:name="_Toc49854323"/>
          <w:bookmarkStart w:id="337" w:name="_Toc49856919"/>
          <w:bookmarkStart w:id="338" w:name="_Toc49858235"/>
          <w:bookmarkStart w:id="339" w:name="_Toc49858290"/>
          <w:bookmarkStart w:id="340" w:name="_Toc49862992"/>
          <w:bookmarkStart w:id="341" w:name="_Toc49867715"/>
          <w:bookmarkStart w:id="342" w:name="_Toc49870551"/>
          <w:bookmarkStart w:id="343" w:name="_Toc49871294"/>
          <w:bookmarkStart w:id="344" w:name="_Toc49871974"/>
          <w:bookmarkStart w:id="345" w:name="_Toc49872527"/>
          <w:bookmarkStart w:id="346" w:name="_Toc50027739"/>
          <w:bookmarkStart w:id="347" w:name="_Toc50029433"/>
          <w:bookmarkStart w:id="348" w:name="_Toc50043867"/>
          <w:bookmarkStart w:id="349" w:name="_Toc50057718"/>
          <w:bookmarkStart w:id="350" w:name="_Toc50553595"/>
          <w:bookmarkStart w:id="351" w:name="_Toc50555358"/>
          <w:bookmarkStart w:id="352" w:name="_Toc50559818"/>
          <w:bookmarkStart w:id="353" w:name="_Toc50559871"/>
          <w:bookmarkStart w:id="354" w:name="_Toc50563805"/>
          <w:bookmarkStart w:id="355" w:name="_Toc50711358"/>
          <w:bookmarkStart w:id="356" w:name="_Toc50720940"/>
          <w:bookmarkStart w:id="357" w:name="_Toc50730664"/>
          <w:bookmarkStart w:id="358" w:name="_Toc50734890"/>
          <w:bookmarkStart w:id="359" w:name="_Toc50735493"/>
          <w:bookmarkStart w:id="360" w:name="_Toc50905512"/>
          <w:bookmarkStart w:id="361" w:name="_Toc51586997"/>
          <w:bookmarkStart w:id="362" w:name="_Toc51594857"/>
          <w:bookmarkStart w:id="363" w:name="_Toc51599460"/>
          <w:bookmarkStart w:id="364" w:name="_Toc51613496"/>
          <w:bookmarkStart w:id="365" w:name="_Toc51669607"/>
          <w:bookmarkStart w:id="366" w:name="_Toc51669702"/>
          <w:bookmarkStart w:id="367" w:name="_Toc51672851"/>
          <w:bookmarkStart w:id="368" w:name="_Toc51673901"/>
          <w:bookmarkStart w:id="369" w:name="_Toc51680718"/>
          <w:bookmarkStart w:id="370" w:name="_Toc51683247"/>
          <w:bookmarkStart w:id="371" w:name="_Toc51685983"/>
          <w:bookmarkStart w:id="372" w:name="_Toc51687721"/>
          <w:bookmarkStart w:id="373" w:name="_Toc51687865"/>
          <w:bookmarkStart w:id="374" w:name="_Toc51705743"/>
          <w:bookmarkStart w:id="375" w:name="_Toc51770689"/>
          <w:bookmarkStart w:id="376" w:name="_Toc51770875"/>
          <w:r w:rsidRPr="001C3076">
            <w:rPr>
              <w:color w:val="0070AE" w:themeColor="accent2" w:themeTint="BF"/>
            </w:rPr>
            <w:t>List of recommendations</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5C7F48C1" w14:textId="77777777" w:rsidR="003E782E" w:rsidRPr="003E782E" w:rsidRDefault="003E782E" w:rsidP="003E782E"/>
        <w:p w14:paraId="32F7B5F5" w14:textId="7C289EDD" w:rsidR="00E84DC0" w:rsidRDefault="00580353" w:rsidP="005D612B">
          <w:pPr>
            <w:rPr>
              <w:rFonts w:eastAsia="Calibri" w:cs="Times New Roman"/>
            </w:rPr>
          </w:pPr>
          <w:r>
            <w:rPr>
              <w:rFonts w:eastAsia="Calibri" w:cs="Times New Roman"/>
            </w:rPr>
            <w:t>T</w:t>
          </w:r>
          <w:r w:rsidRPr="006E001B">
            <w:rPr>
              <w:rFonts w:eastAsia="Calibri" w:cs="Times New Roman"/>
            </w:rPr>
            <w:t>h</w:t>
          </w:r>
          <w:r w:rsidR="00E84DC0">
            <w:rPr>
              <w:rFonts w:eastAsia="Calibri" w:cs="Times New Roman"/>
            </w:rPr>
            <w:t xml:space="preserve">e Climate Change Authority’s 2020 </w:t>
          </w:r>
          <w:r w:rsidR="0038209E">
            <w:rPr>
              <w:rFonts w:eastAsia="Calibri" w:cs="Times New Roman"/>
            </w:rPr>
            <w:t>R</w:t>
          </w:r>
          <w:r w:rsidR="00E84DC0">
            <w:rPr>
              <w:rFonts w:eastAsia="Calibri" w:cs="Times New Roman"/>
            </w:rPr>
            <w:t xml:space="preserve">eview of the Emissions Reduction Fund is building </w:t>
          </w:r>
          <w:r>
            <w:rPr>
              <w:rFonts w:eastAsia="Calibri" w:cs="Times New Roman"/>
            </w:rPr>
            <w:t>on</w:t>
          </w:r>
          <w:r w:rsidR="00E84DC0">
            <w:rPr>
              <w:rFonts w:eastAsia="Calibri" w:cs="Times New Roman"/>
            </w:rPr>
            <w:t>:</w:t>
          </w:r>
        </w:p>
        <w:p w14:paraId="3CB3FCCD" w14:textId="77777777" w:rsidR="00E84DC0" w:rsidRPr="005D612B" w:rsidRDefault="00580353" w:rsidP="00004274">
          <w:pPr>
            <w:pStyle w:val="ListParagraph"/>
            <w:numPr>
              <w:ilvl w:val="0"/>
              <w:numId w:val="43"/>
            </w:numPr>
          </w:pPr>
          <w:r w:rsidRPr="00E84DC0">
            <w:rPr>
              <w:rFonts w:eastAsia="Calibri" w:cs="Times New Roman"/>
            </w:rPr>
            <w:t xml:space="preserve">the Government’s response to the </w:t>
          </w:r>
          <w:r w:rsidRPr="00E84DC0">
            <w:rPr>
              <w:rFonts w:eastAsia="Calibri" w:cs="Times New Roman"/>
              <w:i/>
            </w:rPr>
            <w:t>Report of the Expert Panel examining additional sources of low cost abatement</w:t>
          </w:r>
          <w:r w:rsidRPr="00E84DC0">
            <w:rPr>
              <w:rFonts w:eastAsia="Calibri" w:cs="Times New Roman"/>
            </w:rPr>
            <w:t xml:space="preserve"> (the King Review), which contains many recommendations designed to lift the level of abatement activity under the ERF</w:t>
          </w:r>
        </w:p>
        <w:p w14:paraId="7DAE2EFC" w14:textId="6B9F5C95" w:rsidR="00E84DC0" w:rsidRPr="005D612B" w:rsidRDefault="00580353" w:rsidP="00004274">
          <w:pPr>
            <w:pStyle w:val="ListParagraph"/>
            <w:numPr>
              <w:ilvl w:val="0"/>
              <w:numId w:val="43"/>
            </w:numPr>
          </w:pPr>
          <w:r w:rsidRPr="00E84DC0">
            <w:rPr>
              <w:rFonts w:eastAsia="Calibri" w:cs="Times New Roman"/>
            </w:rPr>
            <w:t xml:space="preserve">the </w:t>
          </w:r>
          <w:r w:rsidR="00E84DC0" w:rsidRPr="00E84DC0">
            <w:rPr>
              <w:rFonts w:eastAsia="Calibri" w:cs="Times New Roman"/>
            </w:rPr>
            <w:t xml:space="preserve">Government’s first </w:t>
          </w:r>
          <w:r w:rsidRPr="00E84DC0">
            <w:rPr>
              <w:rFonts w:eastAsia="Calibri" w:cs="Times New Roman"/>
            </w:rPr>
            <w:t>Low Emissions Technology</w:t>
          </w:r>
          <w:r w:rsidR="00E84DC0">
            <w:rPr>
              <w:rFonts w:eastAsia="Calibri" w:cs="Times New Roman"/>
            </w:rPr>
            <w:t xml:space="preserve"> Statement</w:t>
          </w:r>
          <w:r w:rsidR="00E84DC0" w:rsidRPr="00E84DC0">
            <w:rPr>
              <w:rFonts w:eastAsia="Calibri" w:cs="Times New Roman"/>
            </w:rPr>
            <w:t>, which</w:t>
          </w:r>
          <w:r w:rsidRPr="00E84DC0">
            <w:rPr>
              <w:rFonts w:cs="Arial"/>
              <w:color w:val="333333"/>
              <w:shd w:val="clear" w:color="auto" w:fill="FFFFFF"/>
            </w:rPr>
            <w:t xml:space="preserve"> </w:t>
          </w:r>
          <w:r w:rsidR="00E84DC0" w:rsidRPr="00E842F8">
            <w:rPr>
              <w:rFonts w:eastAsia="Calibri" w:cs="Times New Roman"/>
            </w:rPr>
            <w:t xml:space="preserve">presents a vision of a prosperous Australia and </w:t>
          </w:r>
          <w:r w:rsidRPr="00E842F8">
            <w:rPr>
              <w:rFonts w:eastAsia="Calibri" w:cs="Times New Roman"/>
            </w:rPr>
            <w:t>focus</w:t>
          </w:r>
          <w:r w:rsidR="00E84DC0" w:rsidRPr="00E842F8">
            <w:rPr>
              <w:rFonts w:eastAsia="Calibri" w:cs="Times New Roman"/>
            </w:rPr>
            <w:t>es</w:t>
          </w:r>
          <w:r w:rsidRPr="00E842F8">
            <w:rPr>
              <w:rFonts w:eastAsia="Calibri" w:cs="Times New Roman"/>
            </w:rPr>
            <w:t xml:space="preserve"> government investment on new and emerging technologies</w:t>
          </w:r>
          <w:r w:rsidRPr="00E84DC0">
            <w:rPr>
              <w:rFonts w:eastAsia="Calibri" w:cs="Times New Roman"/>
            </w:rPr>
            <w:t xml:space="preserve"> </w:t>
          </w:r>
        </w:p>
        <w:p w14:paraId="785882C1" w14:textId="77777777" w:rsidR="00542704" w:rsidRPr="00542704" w:rsidRDefault="00E84DC0" w:rsidP="00A61E62">
          <w:pPr>
            <w:pStyle w:val="ListParagraph"/>
            <w:numPr>
              <w:ilvl w:val="0"/>
              <w:numId w:val="43"/>
            </w:numPr>
          </w:pPr>
          <w:r>
            <w:rPr>
              <w:rFonts w:eastAsia="Calibri" w:cs="Times New Roman"/>
            </w:rPr>
            <w:t>t</w:t>
          </w:r>
          <w:r w:rsidR="00580353" w:rsidRPr="00E84DC0">
            <w:rPr>
              <w:rFonts w:eastAsia="Calibri" w:cs="Times New Roman"/>
            </w:rPr>
            <w:t>he Authority</w:t>
          </w:r>
          <w:r>
            <w:rPr>
              <w:rFonts w:eastAsia="Calibri" w:cs="Times New Roman"/>
            </w:rPr>
            <w:t xml:space="preserve">’s </w:t>
          </w:r>
          <w:r w:rsidR="00580353" w:rsidRPr="00E84DC0">
            <w:rPr>
              <w:rFonts w:eastAsia="Calibri" w:cs="Times New Roman"/>
            </w:rPr>
            <w:t>recent research report</w:t>
          </w:r>
          <w:r w:rsidR="00CB099B">
            <w:rPr>
              <w:rFonts w:eastAsia="Calibri" w:cs="Times New Roman"/>
            </w:rPr>
            <w:t>s</w:t>
          </w:r>
          <w:r w:rsidR="00580353" w:rsidRPr="00E84DC0">
            <w:rPr>
              <w:rFonts w:eastAsia="Calibri" w:cs="Times New Roman"/>
            </w:rPr>
            <w:t xml:space="preserve">, </w:t>
          </w:r>
          <w:r w:rsidR="00580353" w:rsidRPr="00E84DC0">
            <w:rPr>
              <w:rFonts w:eastAsia="Calibri" w:cs="Times New Roman"/>
              <w:i/>
            </w:rPr>
            <w:t>Prospering in a low-emissions world: An updated climate policy toolkit for Australia</w:t>
          </w:r>
          <w:r w:rsidRPr="005D612B">
            <w:rPr>
              <w:rFonts w:eastAsia="Calibri" w:cs="Times New Roman"/>
            </w:rPr>
            <w:t>, which</w:t>
          </w:r>
          <w:r>
            <w:rPr>
              <w:rFonts w:cs="Arial"/>
              <w:color w:val="000000"/>
              <w:shd w:val="clear" w:color="auto" w:fill="FFFFFF"/>
            </w:rPr>
            <w:t xml:space="preserve"> sets out how Australia can further develop its policies to take advantage of the opportunities of a global low-emissions economy</w:t>
          </w:r>
          <w:r w:rsidR="00CB099B">
            <w:rPr>
              <w:rFonts w:cs="Arial"/>
              <w:color w:val="000000"/>
              <w:shd w:val="clear" w:color="auto" w:fill="FFFFFF"/>
            </w:rPr>
            <w:t xml:space="preserve"> </w:t>
          </w:r>
          <w:r w:rsidR="00CB099B">
            <w:rPr>
              <w:rFonts w:eastAsia="Calibri" w:cs="Times New Roman"/>
            </w:rPr>
            <w:t xml:space="preserve">and </w:t>
          </w:r>
          <w:hyperlink r:id="rId19" w:history="1">
            <w:r w:rsidR="00CB099B" w:rsidRPr="002A0090">
              <w:rPr>
                <w:rFonts w:eastAsia="Calibri" w:cs="Times New Roman"/>
                <w:i/>
              </w:rPr>
              <w:t>Economic recovery, resilience and prosperity after the coronavirus</w:t>
            </w:r>
          </w:hyperlink>
          <w:r w:rsidR="00CB099B">
            <w:rPr>
              <w:rFonts w:eastAsia="Calibri" w:cs="Times New Roman"/>
            </w:rPr>
            <w:t xml:space="preserve">, </w:t>
          </w:r>
          <w:r w:rsidR="00CB099B">
            <w:rPr>
              <w:rFonts w:cs="Arial"/>
              <w:color w:val="000000"/>
              <w:shd w:val="clear" w:color="auto" w:fill="FFFFFF"/>
            </w:rPr>
            <w:t>which identifies measures that could contribute to a ‘triple-win' economic stimulus package in response to the economic impacts of COVID-19</w:t>
          </w:r>
          <w:r>
            <w:rPr>
              <w:rFonts w:cs="Arial"/>
              <w:color w:val="000000"/>
              <w:shd w:val="clear" w:color="auto" w:fill="FFFFFF"/>
            </w:rPr>
            <w:t>.</w:t>
          </w:r>
        </w:p>
        <w:p w14:paraId="227D584A" w14:textId="74EC65A6" w:rsidR="00E3027E" w:rsidRPr="00580353" w:rsidRDefault="0080045D" w:rsidP="00542704">
          <w:pPr>
            <w:pStyle w:val="ListParagraph"/>
            <w:ind w:firstLine="0"/>
          </w:pPr>
        </w:p>
      </w:sdtContent>
    </w:sdt>
    <w:bookmarkEnd w:id="376" w:displacedByCustomXml="prev"/>
    <w:bookmarkEnd w:id="375" w:displacedByCustomXml="prev"/>
    <w:bookmarkEnd w:id="374" w:displacedByCustomXml="prev"/>
    <w:bookmarkEnd w:id="373" w:displacedByCustomXml="prev"/>
    <w:bookmarkEnd w:id="372" w:displacedByCustomXml="prev"/>
    <w:bookmarkEnd w:id="371" w:displacedByCustomXml="prev"/>
    <w:bookmarkEnd w:id="370" w:displacedByCustomXml="prev"/>
    <w:bookmarkEnd w:id="369" w:displacedByCustomXml="prev"/>
    <w:bookmarkEnd w:id="368" w:displacedByCustomXml="prev"/>
    <w:bookmarkEnd w:id="367" w:displacedByCustomXml="prev"/>
    <w:bookmarkEnd w:id="366" w:displacedByCustomXml="prev"/>
    <w:bookmarkEnd w:id="365" w:displacedByCustomXml="prev"/>
    <w:bookmarkEnd w:id="364" w:displacedByCustomXml="prev"/>
    <w:bookmarkEnd w:id="363" w:displacedByCustomXml="prev"/>
    <w:bookmarkEnd w:id="362" w:displacedByCustomXml="prev"/>
    <w:bookmarkEnd w:id="361" w:displacedByCustomXml="prev"/>
    <w:bookmarkEnd w:id="360" w:displacedByCustomXml="prev"/>
    <w:bookmarkEnd w:id="359" w:displacedByCustomXml="prev"/>
    <w:bookmarkEnd w:id="358" w:displacedByCustomXml="prev"/>
    <w:bookmarkEnd w:id="357" w:displacedByCustomXml="prev"/>
    <w:bookmarkEnd w:id="356" w:displacedByCustomXml="prev"/>
    <w:bookmarkEnd w:id="355" w:displacedByCustomXml="prev"/>
    <w:bookmarkEnd w:id="354" w:displacedByCustomXml="prev"/>
    <w:bookmarkEnd w:id="353" w:displacedByCustomXml="prev"/>
    <w:bookmarkEnd w:id="352" w:displacedByCustomXml="prev"/>
    <w:bookmarkEnd w:id="351" w:displacedByCustomXml="prev"/>
    <w:bookmarkEnd w:id="350" w:displacedByCustomXml="prev"/>
    <w:bookmarkEnd w:id="349" w:displacedByCustomXml="prev"/>
    <w:bookmarkEnd w:id="348" w:displacedByCustomXml="prev"/>
    <w:bookmarkEnd w:id="347" w:displacedByCustomXml="prev"/>
    <w:bookmarkEnd w:id="346" w:displacedByCustomXml="prev"/>
    <w:bookmarkEnd w:id="345" w:displacedByCustomXml="prev"/>
    <w:bookmarkEnd w:id="344" w:displacedByCustomXml="prev"/>
    <w:bookmarkEnd w:id="343" w:displacedByCustomXml="prev"/>
    <w:bookmarkEnd w:id="342" w:displacedByCustomXml="prev"/>
    <w:bookmarkEnd w:id="341" w:displacedByCustomXml="prev"/>
    <w:bookmarkEnd w:id="340" w:displacedByCustomXml="prev"/>
    <w:bookmarkEnd w:id="339" w:displacedByCustomXml="prev"/>
    <w:bookmarkEnd w:id="338" w:displacedByCustomXml="prev"/>
    <w:bookmarkEnd w:id="337" w:displacedByCustomXml="prev"/>
    <w:bookmarkEnd w:id="336" w:displacedByCustomXml="prev"/>
    <w:bookmarkEnd w:id="335" w:displacedByCustomXml="prev"/>
    <w:bookmarkEnd w:id="334" w:displacedByCustomXml="prev"/>
    <w:bookmarkEnd w:id="333" w:displacedByCustomXml="prev"/>
    <w:bookmarkEnd w:id="332" w:displacedByCustomXml="prev"/>
    <w:bookmarkEnd w:id="331" w:displacedByCustomXml="prev"/>
    <w:bookmarkEnd w:id="330" w:displacedByCustomXml="prev"/>
    <w:bookmarkEnd w:id="329" w:displacedByCustomXml="prev"/>
    <w:bookmarkEnd w:id="328" w:displacedByCustomXml="prev"/>
    <w:bookmarkEnd w:id="327" w:displacedByCustomXml="prev"/>
    <w:bookmarkEnd w:id="326" w:displacedByCustomXml="prev"/>
    <w:bookmarkEnd w:id="325" w:displacedByCustomXml="prev"/>
    <w:bookmarkEnd w:id="324" w:displacedByCustomXml="prev"/>
    <w:bookmarkEnd w:id="323" w:displacedByCustomXml="prev"/>
    <w:bookmarkEnd w:id="322" w:displacedByCustomXml="prev"/>
    <w:bookmarkEnd w:id="321" w:displacedByCustomXml="prev"/>
    <w:bookmarkEnd w:id="320" w:displacedByCustomXml="prev"/>
    <w:bookmarkEnd w:id="319" w:displacedByCustomXml="prev"/>
    <w:bookmarkEnd w:id="318" w:displacedByCustomXml="prev"/>
    <w:bookmarkEnd w:id="317" w:displacedByCustomXml="prev"/>
    <w:bookmarkEnd w:id="316" w:displacedByCustomXml="prev"/>
    <w:bookmarkEnd w:id="315" w:displacedByCustomXml="prev"/>
    <w:bookmarkEnd w:id="314" w:displacedByCustomXml="prev"/>
    <w:bookmarkEnd w:id="313" w:displacedByCustomXml="prev"/>
    <w:bookmarkEnd w:id="312" w:displacedByCustomXml="prev"/>
    <w:bookmarkEnd w:id="311" w:displacedByCustomXml="prev"/>
    <w:bookmarkEnd w:id="310" w:displacedByCustomXml="prev"/>
    <w:bookmarkEnd w:id="309" w:displacedByCustomXml="prev"/>
    <w:bookmarkEnd w:id="308" w:displacedByCustomXml="prev"/>
    <w:bookmarkEnd w:id="307" w:displacedByCustomXml="prev"/>
    <w:bookmarkEnd w:id="306" w:displacedByCustomXml="prev"/>
    <w:bookmarkEnd w:id="305" w:displacedByCustomXml="prev"/>
    <w:tbl>
      <w:tblPr>
        <w:tblStyle w:val="TableGrid2"/>
        <w:tblW w:w="9214" w:type="dxa"/>
        <w:tblBorders>
          <w:top w:val="single" w:sz="2" w:space="0" w:color="007BB7"/>
          <w:left w:val="none" w:sz="0" w:space="0" w:color="auto"/>
          <w:bottom w:val="single" w:sz="2" w:space="0" w:color="007BB7"/>
          <w:right w:val="none" w:sz="0" w:space="0" w:color="auto"/>
          <w:insideH w:val="single" w:sz="2" w:space="0" w:color="007BB7"/>
          <w:insideV w:val="none" w:sz="0" w:space="0" w:color="auto"/>
        </w:tblBorders>
        <w:tblCellMar>
          <w:top w:w="142" w:type="dxa"/>
          <w:left w:w="142" w:type="dxa"/>
          <w:bottom w:w="142" w:type="dxa"/>
          <w:right w:w="142" w:type="dxa"/>
        </w:tblCellMar>
        <w:tblLook w:val="04A0" w:firstRow="1" w:lastRow="0" w:firstColumn="1" w:lastColumn="0" w:noHBand="0" w:noVBand="1"/>
      </w:tblPr>
      <w:tblGrid>
        <w:gridCol w:w="9214"/>
      </w:tblGrid>
      <w:tr w:rsidR="00542704" w:rsidRPr="007B09DD" w14:paraId="34F6DFD5" w14:textId="77777777" w:rsidTr="00542704">
        <w:trPr>
          <w:trHeight w:hRule="exact" w:val="319"/>
        </w:trPr>
        <w:tc>
          <w:tcPr>
            <w:tcW w:w="9214" w:type="dxa"/>
            <w:shd w:val="clear" w:color="auto" w:fill="0070AE" w:themeFill="accent2" w:themeFillTint="BF"/>
            <w:tcMar>
              <w:top w:w="113" w:type="dxa"/>
              <w:bottom w:w="113" w:type="dxa"/>
            </w:tcMar>
          </w:tcPr>
          <w:p w14:paraId="1670AAEC" w14:textId="77777777" w:rsidR="00542704" w:rsidRPr="00C76E57" w:rsidRDefault="00542704" w:rsidP="00542704">
            <w:pPr>
              <w:rPr>
                <w:b/>
                <w:color w:val="FFFFFF" w:themeColor="background1"/>
              </w:rPr>
            </w:pPr>
            <w:r w:rsidRPr="00C76E57">
              <w:rPr>
                <w:b/>
                <w:color w:val="FFFFFF" w:themeColor="background1"/>
              </w:rPr>
              <w:t>Recommendations</w:t>
            </w:r>
          </w:p>
          <w:p w14:paraId="7B59EBC9" w14:textId="77777777" w:rsidR="00542704" w:rsidRDefault="00542704" w:rsidP="00542704"/>
          <w:p w14:paraId="43B765DF" w14:textId="77777777" w:rsidR="00542704" w:rsidRPr="004B0735" w:rsidRDefault="00542704" w:rsidP="00542704"/>
          <w:p w14:paraId="6DCBEC8F" w14:textId="77777777" w:rsidR="00542704" w:rsidRDefault="00542704" w:rsidP="00542704"/>
          <w:p w14:paraId="433F0DE7" w14:textId="77777777" w:rsidR="00542704" w:rsidRDefault="00542704" w:rsidP="00542704"/>
          <w:p w14:paraId="65053CBE" w14:textId="77777777" w:rsidR="00542704" w:rsidRPr="004B0735" w:rsidRDefault="00542704" w:rsidP="00542704"/>
          <w:p w14:paraId="14F83F76" w14:textId="77777777" w:rsidR="00542704" w:rsidRPr="004B0735" w:rsidRDefault="00542704" w:rsidP="00542704"/>
          <w:p w14:paraId="12A73DB4" w14:textId="77777777" w:rsidR="00542704" w:rsidRPr="004B0735" w:rsidRDefault="00542704" w:rsidP="00542704"/>
        </w:tc>
      </w:tr>
      <w:tr w:rsidR="00542704" w:rsidRPr="007B09DD" w14:paraId="58BE61A3" w14:textId="77777777" w:rsidTr="00542704">
        <w:trPr>
          <w:trHeight w:hRule="exact" w:val="595"/>
        </w:trPr>
        <w:tc>
          <w:tcPr>
            <w:tcW w:w="9214" w:type="dxa"/>
            <w:shd w:val="clear" w:color="auto" w:fill="0070AE" w:themeFill="accent2" w:themeFillTint="BF"/>
            <w:tcMar>
              <w:top w:w="113" w:type="dxa"/>
              <w:bottom w:w="113" w:type="dxa"/>
            </w:tcMar>
          </w:tcPr>
          <w:p w14:paraId="7DF5C61E" w14:textId="77777777" w:rsidR="00542704" w:rsidRDefault="00542704" w:rsidP="00542704">
            <w:r w:rsidRPr="00D41E1A">
              <w:rPr>
                <w:b/>
                <w:color w:val="FFFFFF" w:themeColor="background1"/>
              </w:rPr>
              <w:t>Chapter 4 The carbon credit market</w:t>
            </w:r>
          </w:p>
        </w:tc>
      </w:tr>
      <w:tr w:rsidR="00542704" w:rsidRPr="007B09DD" w14:paraId="23DE811A" w14:textId="77777777" w:rsidTr="00542704">
        <w:trPr>
          <w:trHeight w:hRule="exact" w:val="3294"/>
        </w:trPr>
        <w:tc>
          <w:tcPr>
            <w:tcW w:w="9214" w:type="dxa"/>
            <w:shd w:val="clear" w:color="auto" w:fill="DEDFDE"/>
            <w:tcMar>
              <w:top w:w="113" w:type="dxa"/>
              <w:bottom w:w="113" w:type="dxa"/>
            </w:tcMar>
          </w:tcPr>
          <w:p w14:paraId="1AB4840E" w14:textId="77777777" w:rsidR="00542704" w:rsidRDefault="00542704" w:rsidP="00542704">
            <w:pPr>
              <w:rPr>
                <w:rFonts w:eastAsia="Calibri" w:cs="Times New Roman"/>
                <w:b/>
              </w:rPr>
            </w:pPr>
            <w:r w:rsidRPr="00806C31">
              <w:rPr>
                <w:rFonts w:eastAsia="Calibri" w:cs="Times New Roman"/>
                <w:b/>
              </w:rPr>
              <w:t>Recommendation 1</w:t>
            </w:r>
          </w:p>
          <w:p w14:paraId="1A3ADEC3" w14:textId="77777777" w:rsidR="00542704" w:rsidRDefault="00542704" w:rsidP="00542704">
            <w:pPr>
              <w:rPr>
                <w:rFonts w:eastAsia="Calibri" w:cs="Times New Roman"/>
              </w:rPr>
            </w:pPr>
          </w:p>
          <w:p w14:paraId="5F8091DD" w14:textId="77777777" w:rsidR="00542704" w:rsidRPr="00E908B0" w:rsidRDefault="00542704" w:rsidP="00542704">
            <w:pPr>
              <w:rPr>
                <w:rFonts w:eastAsia="Calibri" w:cs="Arial"/>
                <w:szCs w:val="20"/>
              </w:rPr>
            </w:pPr>
            <w:r w:rsidRPr="00E908B0">
              <w:rPr>
                <w:rFonts w:eastAsia="Calibri" w:cs="Arial"/>
                <w:szCs w:val="20"/>
              </w:rPr>
              <w:t>To strengthen the market demand signal for ACCUs, the Government:</w:t>
            </w:r>
          </w:p>
          <w:p w14:paraId="6268BFDF" w14:textId="77777777" w:rsidR="00542704" w:rsidRPr="00E908B0" w:rsidRDefault="00542704" w:rsidP="00542704">
            <w:pPr>
              <w:rPr>
                <w:rFonts w:eastAsia="Calibri" w:cs="Arial"/>
                <w:szCs w:val="20"/>
              </w:rPr>
            </w:pPr>
          </w:p>
          <w:p w14:paraId="6795C020" w14:textId="77777777" w:rsidR="00542704" w:rsidRPr="00E908B0" w:rsidRDefault="00542704" w:rsidP="00542704">
            <w:pPr>
              <w:pStyle w:val="ListParagraph"/>
              <w:numPr>
                <w:ilvl w:val="0"/>
                <w:numId w:val="38"/>
              </w:numPr>
              <w:spacing w:after="160"/>
              <w:rPr>
                <w:rFonts w:eastAsia="Calibri" w:cs="Arial"/>
                <w:szCs w:val="20"/>
              </w:rPr>
            </w:pPr>
            <w:r w:rsidRPr="00E908B0">
              <w:rPr>
                <w:rFonts w:eastAsia="Calibri" w:cs="Arial"/>
                <w:szCs w:val="20"/>
              </w:rPr>
              <w:t>incorporate within its annual emissions projections an estimate of the total contribution the ERF is projected to make to emissions reductions to 2030 through all potential sources of demand for ACCUs (e.g. Government purchasing, state and territory programs, compliance and voluntary markets)</w:t>
            </w:r>
          </w:p>
          <w:p w14:paraId="76F87DF6" w14:textId="77777777" w:rsidR="00542704" w:rsidRPr="00E908B0" w:rsidRDefault="00542704" w:rsidP="00542704">
            <w:pPr>
              <w:pStyle w:val="ListParagraph"/>
              <w:numPr>
                <w:ilvl w:val="0"/>
                <w:numId w:val="38"/>
              </w:numPr>
              <w:spacing w:after="160"/>
              <w:rPr>
                <w:rFonts w:eastAsia="Calibri" w:cs="Arial"/>
                <w:szCs w:val="20"/>
              </w:rPr>
            </w:pPr>
            <w:r w:rsidRPr="00E908B0">
              <w:rPr>
                <w:rFonts w:eastAsia="Calibri" w:cs="Arial"/>
                <w:szCs w:val="20"/>
              </w:rPr>
              <w:t>publish an indicative range for annual Government purchases of ACCUs for four years ahead, to be updated each year</w:t>
            </w:r>
          </w:p>
          <w:p w14:paraId="36054D9D" w14:textId="77777777" w:rsidR="00542704" w:rsidRPr="00E908B0" w:rsidRDefault="00542704" w:rsidP="00542704">
            <w:pPr>
              <w:pStyle w:val="ListParagraph"/>
              <w:numPr>
                <w:ilvl w:val="0"/>
                <w:numId w:val="38"/>
              </w:numPr>
              <w:spacing w:after="160"/>
              <w:rPr>
                <w:rFonts w:eastAsia="Calibri" w:cs="Arial"/>
                <w:szCs w:val="20"/>
              </w:rPr>
            </w:pPr>
            <w:r w:rsidRPr="00E908B0">
              <w:rPr>
                <w:rFonts w:eastAsia="Calibri" w:cs="Arial"/>
                <w:szCs w:val="20"/>
              </w:rPr>
              <w:t>commit to maintaining announced aggregate funding levels for the ERF in rolling four year blocks.</w:t>
            </w:r>
          </w:p>
          <w:p w14:paraId="047F54A2" w14:textId="77777777" w:rsidR="00542704" w:rsidRPr="007B09DD" w:rsidRDefault="00542704" w:rsidP="00542704">
            <w:pPr>
              <w:spacing w:after="120" w:line="240" w:lineRule="exact"/>
              <w:rPr>
                <w:rFonts w:cs="Myriad Pro"/>
                <w:lang w:val="en-GB"/>
              </w:rPr>
            </w:pPr>
          </w:p>
        </w:tc>
      </w:tr>
      <w:tr w:rsidR="00542704" w:rsidRPr="007B09DD" w14:paraId="0CA43907" w14:textId="77777777" w:rsidTr="00542704">
        <w:trPr>
          <w:trHeight w:hRule="exact" w:val="6405"/>
        </w:trPr>
        <w:tc>
          <w:tcPr>
            <w:tcW w:w="9214" w:type="dxa"/>
            <w:shd w:val="clear" w:color="auto" w:fill="FFFFFF"/>
            <w:tcMar>
              <w:top w:w="113" w:type="dxa"/>
              <w:bottom w:w="113" w:type="dxa"/>
            </w:tcMar>
          </w:tcPr>
          <w:p w14:paraId="2A0B8967" w14:textId="77777777" w:rsidR="00542704" w:rsidRDefault="00542704" w:rsidP="00542704">
            <w:pPr>
              <w:rPr>
                <w:b/>
                <w:color w:val="000000"/>
                <w:szCs w:val="20"/>
              </w:rPr>
            </w:pPr>
            <w:r w:rsidRPr="00DF7FFD">
              <w:rPr>
                <w:b/>
                <w:color w:val="000000"/>
                <w:szCs w:val="20"/>
              </w:rPr>
              <w:t xml:space="preserve">Recommendation </w:t>
            </w:r>
            <w:r>
              <w:rPr>
                <w:b/>
                <w:color w:val="000000"/>
                <w:szCs w:val="20"/>
              </w:rPr>
              <w:t xml:space="preserve">2 </w:t>
            </w:r>
          </w:p>
          <w:p w14:paraId="17A30EC9" w14:textId="77777777" w:rsidR="00542704" w:rsidRDefault="00542704" w:rsidP="00542704">
            <w:pPr>
              <w:keepNext/>
              <w:rPr>
                <w:rFonts w:cs="Arial"/>
                <w:color w:val="000000"/>
                <w:sz w:val="18"/>
                <w:szCs w:val="18"/>
              </w:rPr>
            </w:pPr>
          </w:p>
          <w:p w14:paraId="657AEABE" w14:textId="77777777" w:rsidR="00542704" w:rsidRPr="00142F0B" w:rsidRDefault="00542704" w:rsidP="00542704">
            <w:pPr>
              <w:keepNext/>
              <w:rPr>
                <w:rFonts w:cs="Arial"/>
                <w:color w:val="000000"/>
                <w:szCs w:val="20"/>
              </w:rPr>
            </w:pPr>
            <w:r>
              <w:rPr>
                <w:rFonts w:cs="Arial"/>
                <w:color w:val="000000"/>
                <w:szCs w:val="20"/>
              </w:rPr>
              <w:t xml:space="preserve">To </w:t>
            </w:r>
            <w:r>
              <w:t>realise abatement opportunities in industrial facilities,</w:t>
            </w:r>
            <w:r>
              <w:rPr>
                <w:rFonts w:cs="Arial"/>
                <w:color w:val="000000"/>
                <w:szCs w:val="20"/>
              </w:rPr>
              <w:t xml:space="preserve">  leverage co-investment and avoid risks to the ACCU market, t</w:t>
            </w:r>
            <w:r w:rsidRPr="00142F0B">
              <w:rPr>
                <w:rFonts w:cs="Arial"/>
                <w:color w:val="000000"/>
                <w:szCs w:val="20"/>
              </w:rPr>
              <w:t xml:space="preserve">he Government’s </w:t>
            </w:r>
            <w:r w:rsidRPr="00142F0B">
              <w:rPr>
                <w:rFonts w:cs="Arial"/>
                <w:szCs w:val="20"/>
              </w:rPr>
              <w:t xml:space="preserve">low-emissions technology incentive scheme make </w:t>
            </w:r>
            <w:r>
              <w:rPr>
                <w:rFonts w:cs="Arial"/>
                <w:szCs w:val="20"/>
              </w:rPr>
              <w:t>Safeguard Mechanism Credit - concessional</w:t>
            </w:r>
            <w:r w:rsidRPr="00142F0B">
              <w:rPr>
                <w:rFonts w:cs="Arial"/>
                <w:szCs w:val="20"/>
              </w:rPr>
              <w:t xml:space="preserve"> loans</w:t>
            </w:r>
            <w:r>
              <w:rPr>
                <w:rFonts w:cs="Arial"/>
                <w:szCs w:val="20"/>
              </w:rPr>
              <w:t xml:space="preserve"> bundled with </w:t>
            </w:r>
            <w:r>
              <w:t>grants and tax incentives</w:t>
            </w:r>
            <w:r>
              <w:rPr>
                <w:rFonts w:cs="Arial"/>
                <w:szCs w:val="20"/>
              </w:rPr>
              <w:t xml:space="preserve"> - available</w:t>
            </w:r>
            <w:r w:rsidRPr="00142F0B">
              <w:rPr>
                <w:rFonts w:cs="Arial"/>
                <w:szCs w:val="20"/>
              </w:rPr>
              <w:t xml:space="preserve"> to Safeguard-covered facilities</w:t>
            </w:r>
            <w:r>
              <w:rPr>
                <w:rFonts w:cs="Arial"/>
                <w:szCs w:val="20"/>
              </w:rPr>
              <w:t xml:space="preserve"> undertaking</w:t>
            </w:r>
            <w:r w:rsidRPr="00142F0B">
              <w:rPr>
                <w:rFonts w:cs="Arial"/>
                <w:szCs w:val="20"/>
              </w:rPr>
              <w:t xml:space="preserve"> transformative</w:t>
            </w:r>
            <w:r>
              <w:rPr>
                <w:rFonts w:cs="Arial"/>
                <w:szCs w:val="20"/>
              </w:rPr>
              <w:t>, below-baseline</w:t>
            </w:r>
            <w:r w:rsidRPr="00142F0B">
              <w:rPr>
                <w:rFonts w:cs="Arial"/>
                <w:szCs w:val="20"/>
              </w:rPr>
              <w:t xml:space="preserve"> abatement projects. </w:t>
            </w:r>
          </w:p>
          <w:p w14:paraId="378C5DEE" w14:textId="77777777" w:rsidR="00542704" w:rsidRPr="00142F0B" w:rsidRDefault="00542704" w:rsidP="00542704">
            <w:pPr>
              <w:keepNext/>
              <w:rPr>
                <w:rFonts w:cs="Arial"/>
                <w:color w:val="000000"/>
                <w:szCs w:val="20"/>
              </w:rPr>
            </w:pPr>
          </w:p>
          <w:p w14:paraId="1EFC4450" w14:textId="77777777" w:rsidR="00542704" w:rsidRDefault="00542704" w:rsidP="00542704">
            <w:pPr>
              <w:keepNext/>
              <w:rPr>
                <w:rFonts w:cs="Arial"/>
                <w:color w:val="000000"/>
                <w:szCs w:val="20"/>
              </w:rPr>
            </w:pPr>
            <w:r w:rsidRPr="00142F0B">
              <w:rPr>
                <w:rFonts w:cs="Arial"/>
                <w:color w:val="000000"/>
                <w:szCs w:val="20"/>
              </w:rPr>
              <w:t xml:space="preserve">If designed as a carbon market mechanism, </w:t>
            </w:r>
            <w:r>
              <w:rPr>
                <w:rFonts w:cs="Arial"/>
                <w:color w:val="000000"/>
                <w:szCs w:val="20"/>
              </w:rPr>
              <w:t xml:space="preserve">and noting the King Review recommendation that the incentive scheme not be an offsets scheme, consideration be given to mitigating </w:t>
            </w:r>
            <w:r w:rsidRPr="009C157F">
              <w:rPr>
                <w:rFonts w:cs="Arial"/>
                <w:color w:val="000000"/>
                <w:szCs w:val="20"/>
              </w:rPr>
              <w:t>risks to the ACCU market by</w:t>
            </w:r>
            <w:r>
              <w:rPr>
                <w:rFonts w:cs="Arial"/>
                <w:color w:val="000000"/>
                <w:szCs w:val="20"/>
              </w:rPr>
              <w:t>:</w:t>
            </w:r>
          </w:p>
          <w:p w14:paraId="4ED5642A" w14:textId="77777777" w:rsidR="00542704" w:rsidRDefault="00542704" w:rsidP="00542704">
            <w:pPr>
              <w:pStyle w:val="ListParagraph"/>
              <w:keepNext/>
              <w:numPr>
                <w:ilvl w:val="0"/>
                <w:numId w:val="44"/>
              </w:numPr>
              <w:spacing w:after="160"/>
              <w:rPr>
                <w:rFonts w:ascii="Calibri" w:hAnsi="Calibri"/>
              </w:rPr>
            </w:pPr>
            <w:r>
              <w:rPr>
                <w:color w:val="000000"/>
              </w:rPr>
              <w:t>ensuring below-baseline carbon credits (SMCs) are:</w:t>
            </w:r>
          </w:p>
          <w:p w14:paraId="6B707473" w14:textId="77777777" w:rsidR="00542704" w:rsidRDefault="00542704" w:rsidP="00542704">
            <w:pPr>
              <w:pStyle w:val="ListParagraph"/>
              <w:keepNext/>
              <w:numPr>
                <w:ilvl w:val="0"/>
                <w:numId w:val="45"/>
              </w:numPr>
              <w:spacing w:after="160"/>
            </w:pPr>
            <w:r>
              <w:rPr>
                <w:color w:val="000000"/>
              </w:rPr>
              <w:t xml:space="preserve">allocated for emissions reductions that meet a ‘transformative project’ threshold, for example by setting crediting baselines well below compliance baselines </w:t>
            </w:r>
          </w:p>
          <w:p w14:paraId="54304DC5" w14:textId="77777777" w:rsidR="00542704" w:rsidRPr="00E77702" w:rsidRDefault="00542704" w:rsidP="00542704">
            <w:pPr>
              <w:pStyle w:val="ListParagraph"/>
              <w:keepNext/>
              <w:numPr>
                <w:ilvl w:val="0"/>
                <w:numId w:val="45"/>
              </w:numPr>
              <w:spacing w:after="160"/>
            </w:pPr>
            <w:r>
              <w:rPr>
                <w:color w:val="000000"/>
              </w:rPr>
              <w:t xml:space="preserve">saleable only to the Government and to entities under the Safeguard Mechanism for the purpose of </w:t>
            </w:r>
            <w:r w:rsidRPr="00E77702">
              <w:rPr>
                <w:color w:val="000000"/>
              </w:rPr>
              <w:t>complying with Safeguard obligations (and not otherwise fungible with ACCUs)</w:t>
            </w:r>
          </w:p>
          <w:p w14:paraId="5C247148" w14:textId="177438F3" w:rsidR="00542704" w:rsidRPr="00E77702" w:rsidRDefault="00542704" w:rsidP="00542704">
            <w:pPr>
              <w:pStyle w:val="ListParagraph"/>
              <w:keepNext/>
              <w:numPr>
                <w:ilvl w:val="0"/>
                <w:numId w:val="46"/>
              </w:numPr>
              <w:spacing w:after="160"/>
            </w:pPr>
            <w:r w:rsidRPr="00E77702">
              <w:rPr>
                <w:color w:val="000000"/>
              </w:rPr>
              <w:t>allowing banking of SMCs for use in future years only after an assessment of the outcomes of the initial pilot phase</w:t>
            </w:r>
          </w:p>
          <w:p w14:paraId="7D1AB483" w14:textId="77777777" w:rsidR="00542704" w:rsidRPr="0029361B" w:rsidRDefault="00542704" w:rsidP="00542704">
            <w:pPr>
              <w:pStyle w:val="ListParagraph"/>
              <w:keepNext/>
              <w:numPr>
                <w:ilvl w:val="0"/>
                <w:numId w:val="46"/>
              </w:numPr>
              <w:spacing w:after="160"/>
              <w:rPr>
                <w:szCs w:val="20"/>
              </w:rPr>
            </w:pPr>
            <w:r w:rsidRPr="00E77702">
              <w:rPr>
                <w:color w:val="000000"/>
              </w:rPr>
              <w:t>funding any Government purchase of SMCs separately from amounts already allocated to the CSF for the purchase of ACCUs</w:t>
            </w:r>
          </w:p>
          <w:p w14:paraId="048C123C" w14:textId="3785A72D" w:rsidR="00542704" w:rsidRPr="00150658" w:rsidRDefault="00542704" w:rsidP="00CC338E">
            <w:pPr>
              <w:pStyle w:val="ListParagraph"/>
              <w:keepNext/>
              <w:numPr>
                <w:ilvl w:val="0"/>
                <w:numId w:val="46"/>
              </w:numPr>
              <w:rPr>
                <w:rFonts w:cs="Myriad Pro"/>
                <w:lang w:val="en-GB"/>
              </w:rPr>
            </w:pPr>
            <w:r w:rsidRPr="0029361B">
              <w:rPr>
                <w:color w:val="000000"/>
              </w:rPr>
              <w:t>giving future consideration to implementing declining baselines with clear trajectories, to maintain demand for ACCUs and SMCs (for example, as technology evolves) and enhance co-investment in both schemes.</w:t>
            </w:r>
          </w:p>
        </w:tc>
      </w:tr>
      <w:tr w:rsidR="00542704" w:rsidRPr="007B09DD" w14:paraId="2DCA2DAA" w14:textId="77777777" w:rsidTr="00CC338E">
        <w:trPr>
          <w:trHeight w:hRule="exact" w:val="3164"/>
        </w:trPr>
        <w:tc>
          <w:tcPr>
            <w:tcW w:w="9214" w:type="dxa"/>
            <w:shd w:val="clear" w:color="auto" w:fill="DEDFDE"/>
            <w:tcMar>
              <w:top w:w="113" w:type="dxa"/>
              <w:bottom w:w="113" w:type="dxa"/>
            </w:tcMar>
          </w:tcPr>
          <w:p w14:paraId="132C81FC" w14:textId="77777777" w:rsidR="00542704" w:rsidRDefault="00542704" w:rsidP="00542704">
            <w:r w:rsidRPr="00657D37">
              <w:rPr>
                <w:b/>
              </w:rPr>
              <w:t>R</w:t>
            </w:r>
            <w:r>
              <w:rPr>
                <w:b/>
              </w:rPr>
              <w:t>ecommendation 3</w:t>
            </w:r>
            <w:r w:rsidRPr="00657D37">
              <w:t xml:space="preserve"> </w:t>
            </w:r>
          </w:p>
          <w:p w14:paraId="2D835C1E" w14:textId="77777777" w:rsidR="00542704" w:rsidRDefault="00542704" w:rsidP="00542704">
            <w:pPr>
              <w:rPr>
                <w:highlight w:val="yellow"/>
              </w:rPr>
            </w:pPr>
          </w:p>
          <w:p w14:paraId="2371ADE3" w14:textId="4F241FF3" w:rsidR="00542704" w:rsidRPr="00267156" w:rsidRDefault="00542704" w:rsidP="00542704">
            <w:pPr>
              <w:rPr>
                <w:color w:val="000000"/>
                <w:szCs w:val="20"/>
              </w:rPr>
            </w:pPr>
            <w:r>
              <w:t>To enhance private demand for ACCUs, c</w:t>
            </w:r>
            <w:r w:rsidRPr="00267156">
              <w:t xml:space="preserve">onsider ways to incentivise </w:t>
            </w:r>
            <w:r>
              <w:t xml:space="preserve">voluntary </w:t>
            </w:r>
            <w:r w:rsidRPr="00267156">
              <w:t>purchas</w:t>
            </w:r>
            <w:r>
              <w:t>ing, including</w:t>
            </w:r>
            <w:r w:rsidRPr="00267156">
              <w:t xml:space="preserve"> for use under </w:t>
            </w:r>
            <w:r w:rsidRPr="00267156">
              <w:rPr>
                <w:color w:val="000000"/>
                <w:szCs w:val="20"/>
              </w:rPr>
              <w:t>the Government’s voluntary carbon neutral scheme</w:t>
            </w:r>
            <w:r w:rsidR="00EE4342">
              <w:rPr>
                <w:color w:val="000000"/>
                <w:szCs w:val="20"/>
              </w:rPr>
              <w:t>,</w:t>
            </w:r>
            <w:r w:rsidRPr="00267156">
              <w:rPr>
                <w:color w:val="000000"/>
                <w:szCs w:val="20"/>
              </w:rPr>
              <w:t xml:space="preserve"> </w:t>
            </w:r>
            <w:r w:rsidRPr="00B71059">
              <w:rPr>
                <w:i/>
                <w:color w:val="000000"/>
                <w:szCs w:val="20"/>
              </w:rPr>
              <w:t>Climate Active</w:t>
            </w:r>
            <w:r>
              <w:rPr>
                <w:color w:val="000000"/>
                <w:szCs w:val="20"/>
              </w:rPr>
              <w:t>.</w:t>
            </w:r>
            <w:r w:rsidRPr="00267156">
              <w:rPr>
                <w:color w:val="000000"/>
                <w:szCs w:val="20"/>
              </w:rPr>
              <w:t xml:space="preserve"> For example</w:t>
            </w:r>
            <w:r>
              <w:rPr>
                <w:color w:val="000000"/>
                <w:szCs w:val="20"/>
              </w:rPr>
              <w:t>,</w:t>
            </w:r>
            <w:r w:rsidRPr="00267156">
              <w:rPr>
                <w:color w:val="000000"/>
                <w:szCs w:val="20"/>
              </w:rPr>
              <w:t xml:space="preserve"> in collaboration with industry representatives:</w:t>
            </w:r>
          </w:p>
          <w:p w14:paraId="5B289FC6" w14:textId="77777777" w:rsidR="00542704" w:rsidRPr="00267156" w:rsidRDefault="00542704" w:rsidP="00542704">
            <w:pPr>
              <w:rPr>
                <w:color w:val="000000"/>
                <w:szCs w:val="20"/>
              </w:rPr>
            </w:pPr>
          </w:p>
          <w:p w14:paraId="7EF52D72" w14:textId="56F4F104" w:rsidR="00542704" w:rsidRPr="00CC338E" w:rsidRDefault="00542704" w:rsidP="00542704">
            <w:pPr>
              <w:pStyle w:val="ListParagraph"/>
              <w:numPr>
                <w:ilvl w:val="0"/>
                <w:numId w:val="39"/>
              </w:numPr>
              <w:ind w:left="360"/>
            </w:pPr>
            <w:r w:rsidRPr="00267156">
              <w:t xml:space="preserve">develop a tiered labelling scheme similar to the Australian Made brand that would enable companies seeking to become carbon neutral to promote those offsets that were sourced from a) ACCUs or </w:t>
            </w:r>
            <w:r w:rsidR="00260256">
              <w:t>b</w:t>
            </w:r>
            <w:r w:rsidRPr="00267156">
              <w:t>) ACCUs with social/biodiversity co-benefits</w:t>
            </w:r>
          </w:p>
          <w:p w14:paraId="1EDD6075" w14:textId="77777777" w:rsidR="00542704" w:rsidRPr="00C76E57" w:rsidRDefault="00542704" w:rsidP="00542704">
            <w:pPr>
              <w:pStyle w:val="ListParagraph"/>
              <w:numPr>
                <w:ilvl w:val="0"/>
                <w:numId w:val="39"/>
              </w:numPr>
              <w:ind w:left="360"/>
              <w:rPr>
                <w:rFonts w:cs="Myriad Pro"/>
                <w:lang w:val="en-GB"/>
              </w:rPr>
            </w:pPr>
            <w:r w:rsidRPr="00C76E57">
              <w:t>establish annual awards that recognise companies that source for voluntary mitigation action the most carbon offsets in the form of ACCUs.</w:t>
            </w:r>
          </w:p>
        </w:tc>
      </w:tr>
      <w:tr w:rsidR="00542704" w:rsidRPr="007B09DD" w14:paraId="74BDAEB2" w14:textId="77777777" w:rsidTr="00542704">
        <w:trPr>
          <w:trHeight w:hRule="exact" w:val="1587"/>
        </w:trPr>
        <w:tc>
          <w:tcPr>
            <w:tcW w:w="9214" w:type="dxa"/>
            <w:shd w:val="clear" w:color="auto" w:fill="auto"/>
            <w:tcMar>
              <w:top w:w="113" w:type="dxa"/>
              <w:bottom w:w="113" w:type="dxa"/>
            </w:tcMar>
          </w:tcPr>
          <w:p w14:paraId="40469F56" w14:textId="77777777" w:rsidR="00542704" w:rsidRDefault="00542704" w:rsidP="00542704">
            <w:r w:rsidRPr="00657D37">
              <w:rPr>
                <w:b/>
              </w:rPr>
              <w:t>R</w:t>
            </w:r>
            <w:r>
              <w:rPr>
                <w:b/>
              </w:rPr>
              <w:t xml:space="preserve">ecommendation 4 </w:t>
            </w:r>
          </w:p>
          <w:p w14:paraId="705B7224" w14:textId="77777777" w:rsidR="00542704" w:rsidRDefault="00542704" w:rsidP="00542704"/>
          <w:p w14:paraId="7F36CF5A" w14:textId="77777777" w:rsidR="00542704" w:rsidRDefault="00542704" w:rsidP="00542704">
            <w:pPr>
              <w:spacing w:after="120" w:line="240" w:lineRule="exact"/>
              <w:rPr>
                <w:rFonts w:cs="Myriad Pro"/>
                <w:lang w:val="en-GB"/>
              </w:rPr>
            </w:pPr>
            <w:r w:rsidRPr="00B71059">
              <w:t>T</w:t>
            </w:r>
            <w:r>
              <w:t xml:space="preserve">o </w:t>
            </w:r>
            <w:r w:rsidRPr="00B71059">
              <w:t>facilitate innovative co-financing of ERF projects</w:t>
            </w:r>
            <w:r>
              <w:t>,</w:t>
            </w:r>
            <w:r w:rsidRPr="00B71059">
              <w:t xml:space="preserve"> particularly </w:t>
            </w:r>
            <w:r>
              <w:t xml:space="preserve">those with </w:t>
            </w:r>
            <w:r w:rsidRPr="00B71059">
              <w:t>high upfront costs</w:t>
            </w:r>
            <w:r>
              <w:t>, t</w:t>
            </w:r>
            <w:r w:rsidRPr="00B71059">
              <w:t>he Regulator, CEFC and ARENA collaborate to align the ERF with the broader suite of Commonwealth, state and territory government climate initiatives and the growing sustainable private finance market</w:t>
            </w:r>
            <w:r>
              <w:t>.</w:t>
            </w:r>
          </w:p>
        </w:tc>
      </w:tr>
      <w:tr w:rsidR="00542704" w:rsidRPr="007B09DD" w14:paraId="3E335ED7" w14:textId="77777777" w:rsidTr="00542704">
        <w:trPr>
          <w:trHeight w:hRule="exact" w:val="4985"/>
        </w:trPr>
        <w:tc>
          <w:tcPr>
            <w:tcW w:w="9214" w:type="dxa"/>
            <w:shd w:val="clear" w:color="auto" w:fill="DEDFDE"/>
            <w:tcMar>
              <w:top w:w="113" w:type="dxa"/>
              <w:bottom w:w="113" w:type="dxa"/>
            </w:tcMar>
          </w:tcPr>
          <w:p w14:paraId="2BE3DE5F" w14:textId="77777777" w:rsidR="00542704" w:rsidRDefault="00542704" w:rsidP="00542704">
            <w:pPr>
              <w:rPr>
                <w:rFonts w:eastAsia="Calibri" w:cs="Arial"/>
                <w:szCs w:val="20"/>
              </w:rPr>
            </w:pPr>
            <w:r w:rsidRPr="00657D37">
              <w:rPr>
                <w:b/>
              </w:rPr>
              <w:t>R</w:t>
            </w:r>
            <w:r>
              <w:rPr>
                <w:b/>
              </w:rPr>
              <w:t>ecommendation 5</w:t>
            </w:r>
          </w:p>
          <w:p w14:paraId="5FD6B827" w14:textId="77777777" w:rsidR="00542704" w:rsidRDefault="00542704" w:rsidP="00542704">
            <w:pPr>
              <w:contextualSpacing/>
              <w:rPr>
                <w:rFonts w:eastAsia="Calibri" w:cs="Arial"/>
                <w:szCs w:val="20"/>
              </w:rPr>
            </w:pPr>
          </w:p>
          <w:p w14:paraId="4B63A19C" w14:textId="77777777" w:rsidR="00542704" w:rsidRDefault="00542704" w:rsidP="00542704">
            <w:pPr>
              <w:rPr>
                <w:rFonts w:eastAsia="Calibri" w:cs="Arial"/>
                <w:szCs w:val="20"/>
              </w:rPr>
            </w:pPr>
            <w:r w:rsidRPr="006E6D85">
              <w:rPr>
                <w:rFonts w:eastAsia="Calibri" w:cs="Arial"/>
                <w:szCs w:val="20"/>
              </w:rPr>
              <w:t xml:space="preserve">To facilitate market certainty and encourage industry participation, publish a statement of priority </w:t>
            </w:r>
            <w:r>
              <w:rPr>
                <w:rFonts w:eastAsia="Calibri" w:cs="Arial"/>
                <w:szCs w:val="20"/>
              </w:rPr>
              <w:t xml:space="preserve">emissions reduction </w:t>
            </w:r>
            <w:r w:rsidRPr="006E6D85">
              <w:rPr>
                <w:rFonts w:eastAsia="Calibri" w:cs="Arial"/>
                <w:szCs w:val="20"/>
              </w:rPr>
              <w:t>activities for method development</w:t>
            </w:r>
            <w:r w:rsidRPr="00C126FA">
              <w:rPr>
                <w:rFonts w:eastAsia="Calibri" w:cs="Arial"/>
                <w:szCs w:val="20"/>
              </w:rPr>
              <w:t>,</w:t>
            </w:r>
            <w:r w:rsidRPr="006E6D85">
              <w:rPr>
                <w:rFonts w:eastAsia="Calibri" w:cs="Arial"/>
                <w:szCs w:val="20"/>
              </w:rPr>
              <w:t xml:space="preserve"> </w:t>
            </w:r>
            <w:r w:rsidRPr="00C126FA">
              <w:rPr>
                <w:rFonts w:eastAsia="Calibri" w:cs="Arial"/>
                <w:szCs w:val="20"/>
              </w:rPr>
              <w:t>in conjunction with the annual Low Emissions Technology Statement</w:t>
            </w:r>
            <w:r>
              <w:rPr>
                <w:rFonts w:eastAsia="Calibri" w:cs="Arial"/>
                <w:szCs w:val="20"/>
              </w:rPr>
              <w:t>.</w:t>
            </w:r>
          </w:p>
          <w:p w14:paraId="483BB7A9" w14:textId="77777777" w:rsidR="00542704" w:rsidRDefault="00542704" w:rsidP="00542704">
            <w:pPr>
              <w:rPr>
                <w:rFonts w:eastAsia="Calibri" w:cs="Arial"/>
                <w:szCs w:val="20"/>
              </w:rPr>
            </w:pPr>
          </w:p>
          <w:p w14:paraId="3601AE01" w14:textId="77777777" w:rsidR="00542704" w:rsidRPr="006E6D85" w:rsidRDefault="00542704" w:rsidP="00542704">
            <w:pPr>
              <w:rPr>
                <w:rFonts w:eastAsia="Calibri" w:cs="Arial"/>
                <w:szCs w:val="20"/>
              </w:rPr>
            </w:pPr>
            <w:r>
              <w:rPr>
                <w:rFonts w:eastAsia="Calibri" w:cs="Arial"/>
                <w:szCs w:val="20"/>
              </w:rPr>
              <w:t>For each prioritised activity, the statement should</w:t>
            </w:r>
            <w:r w:rsidRPr="00C126FA">
              <w:rPr>
                <w:rFonts w:eastAsia="Calibri" w:cs="Arial"/>
                <w:szCs w:val="20"/>
              </w:rPr>
              <w:t xml:space="preserve"> </w:t>
            </w:r>
            <w:r w:rsidRPr="006E6D85">
              <w:rPr>
                <w:rFonts w:eastAsia="Calibri" w:cs="Arial"/>
                <w:szCs w:val="20"/>
              </w:rPr>
              <w:t>referenc</w:t>
            </w:r>
            <w:r>
              <w:rPr>
                <w:rFonts w:eastAsia="Calibri" w:cs="Arial"/>
                <w:szCs w:val="20"/>
              </w:rPr>
              <w:t xml:space="preserve">e considerations for prioritising activities as set out in the published document </w:t>
            </w:r>
            <w:r w:rsidRPr="00CF0059">
              <w:rPr>
                <w:rFonts w:eastAsia="Calibri" w:cs="Arial"/>
                <w:i/>
                <w:szCs w:val="20"/>
              </w:rPr>
              <w:t>M</w:t>
            </w:r>
            <w:r>
              <w:rPr>
                <w:rFonts w:eastAsia="Calibri" w:cs="Arial"/>
                <w:i/>
                <w:szCs w:val="20"/>
              </w:rPr>
              <w:t>aking methods under the ERF</w:t>
            </w:r>
            <w:r>
              <w:rPr>
                <w:rFonts w:eastAsia="Calibri" w:cs="Arial"/>
                <w:szCs w:val="20"/>
              </w:rPr>
              <w:t>, namely</w:t>
            </w:r>
            <w:r w:rsidRPr="006E6D85">
              <w:rPr>
                <w:rFonts w:eastAsia="Calibri" w:cs="Arial"/>
                <w:szCs w:val="20"/>
              </w:rPr>
              <w:t xml:space="preserve">: </w:t>
            </w:r>
          </w:p>
          <w:p w14:paraId="797D2D82" w14:textId="77777777" w:rsidR="00542704" w:rsidRPr="006E6D85" w:rsidRDefault="00542704" w:rsidP="00542704">
            <w:pPr>
              <w:contextualSpacing/>
              <w:rPr>
                <w:rFonts w:eastAsia="Calibri" w:cs="Arial"/>
                <w:szCs w:val="20"/>
              </w:rPr>
            </w:pPr>
          </w:p>
          <w:p w14:paraId="5247C990" w14:textId="77777777" w:rsidR="00542704" w:rsidRPr="006E6D85" w:rsidRDefault="00542704" w:rsidP="00542704">
            <w:pPr>
              <w:numPr>
                <w:ilvl w:val="0"/>
                <w:numId w:val="17"/>
              </w:numPr>
              <w:contextualSpacing/>
              <w:rPr>
                <w:rFonts w:eastAsia="Calibri" w:cs="Arial"/>
                <w:szCs w:val="20"/>
              </w:rPr>
            </w:pPr>
            <w:r w:rsidRPr="006E6D85">
              <w:rPr>
                <w:rFonts w:eastAsia="Calibri" w:cs="Arial"/>
                <w:szCs w:val="20"/>
              </w:rPr>
              <w:t>potential uptake of the activity and likely volume of abatement</w:t>
            </w:r>
          </w:p>
          <w:p w14:paraId="270C8489" w14:textId="77777777" w:rsidR="00542704" w:rsidRPr="006E6D85" w:rsidRDefault="00542704" w:rsidP="00542704">
            <w:pPr>
              <w:numPr>
                <w:ilvl w:val="0"/>
                <w:numId w:val="17"/>
              </w:numPr>
              <w:contextualSpacing/>
              <w:rPr>
                <w:rFonts w:eastAsia="Calibri" w:cs="Arial"/>
                <w:szCs w:val="20"/>
              </w:rPr>
            </w:pPr>
            <w:r w:rsidRPr="006E6D85">
              <w:rPr>
                <w:rFonts w:eastAsia="Calibri" w:cs="Arial"/>
                <w:szCs w:val="20"/>
              </w:rPr>
              <w:t>whether the activity is technology proven and commercially ready</w:t>
            </w:r>
          </w:p>
          <w:p w14:paraId="264552D7" w14:textId="77777777" w:rsidR="00542704" w:rsidRPr="006E6D85" w:rsidRDefault="00542704" w:rsidP="00542704">
            <w:pPr>
              <w:numPr>
                <w:ilvl w:val="0"/>
                <w:numId w:val="17"/>
              </w:numPr>
              <w:contextualSpacing/>
              <w:rPr>
                <w:rFonts w:eastAsia="Calibri" w:cs="Arial"/>
                <w:szCs w:val="20"/>
              </w:rPr>
            </w:pPr>
            <w:r w:rsidRPr="006E6D85">
              <w:rPr>
                <w:rFonts w:eastAsia="Calibri" w:cs="Arial"/>
                <w:szCs w:val="20"/>
              </w:rPr>
              <w:t>whether emissions reductions could be estimated with a reasonable degree of certainty in a cost-effective way</w:t>
            </w:r>
          </w:p>
          <w:p w14:paraId="4C87B821" w14:textId="77777777" w:rsidR="00542704" w:rsidRPr="006E6D85" w:rsidRDefault="00542704" w:rsidP="00542704">
            <w:pPr>
              <w:numPr>
                <w:ilvl w:val="0"/>
                <w:numId w:val="17"/>
              </w:numPr>
              <w:contextualSpacing/>
              <w:rPr>
                <w:rFonts w:eastAsia="Calibri" w:cs="Arial"/>
                <w:szCs w:val="20"/>
              </w:rPr>
            </w:pPr>
            <w:r w:rsidRPr="006E6D85">
              <w:rPr>
                <w:rFonts w:eastAsia="Calibri" w:cs="Arial"/>
                <w:szCs w:val="20"/>
              </w:rPr>
              <w:t>whether the activity could have adverse social, environmental or economic impacts</w:t>
            </w:r>
          </w:p>
          <w:p w14:paraId="0DAFA268" w14:textId="77777777" w:rsidR="00542704" w:rsidRPr="006E6D85" w:rsidRDefault="00542704" w:rsidP="00542704">
            <w:pPr>
              <w:numPr>
                <w:ilvl w:val="0"/>
                <w:numId w:val="17"/>
              </w:numPr>
              <w:contextualSpacing/>
              <w:rPr>
                <w:rFonts w:eastAsia="Calibri" w:cs="Arial"/>
                <w:szCs w:val="20"/>
              </w:rPr>
            </w:pPr>
            <w:r w:rsidRPr="006E6D85">
              <w:rPr>
                <w:rFonts w:eastAsia="Calibri" w:cs="Arial"/>
                <w:szCs w:val="20"/>
              </w:rPr>
              <w:t>alternative ways to promote the activity more effectively and efficiently</w:t>
            </w:r>
          </w:p>
          <w:p w14:paraId="25F63026" w14:textId="77777777" w:rsidR="00542704" w:rsidRPr="006E6D85" w:rsidRDefault="00542704" w:rsidP="00542704"/>
          <w:p w14:paraId="70A1D667" w14:textId="77777777" w:rsidR="00542704" w:rsidRPr="00847897" w:rsidRDefault="00542704" w:rsidP="00542704">
            <w:r w:rsidRPr="006E6D85">
              <w:t xml:space="preserve">The publication of the statement of priorities be preceded by a formal </w:t>
            </w:r>
            <w:r>
              <w:t xml:space="preserve">consultation </w:t>
            </w:r>
            <w:r w:rsidRPr="006E6D85">
              <w:t xml:space="preserve">process for stakeholders to be able to recommend priority activities </w:t>
            </w:r>
            <w:r>
              <w:t>to the Minister</w:t>
            </w:r>
            <w:r w:rsidRPr="006E6D85">
              <w:t>.</w:t>
            </w:r>
          </w:p>
          <w:p w14:paraId="0BAB1AE4" w14:textId="77777777" w:rsidR="00542704" w:rsidRDefault="00542704" w:rsidP="00542704">
            <w:pPr>
              <w:spacing w:after="120" w:line="240" w:lineRule="exact"/>
              <w:rPr>
                <w:rFonts w:cs="Myriad Pro"/>
                <w:lang w:val="en-GB"/>
              </w:rPr>
            </w:pPr>
          </w:p>
        </w:tc>
      </w:tr>
      <w:tr w:rsidR="00542704" w:rsidRPr="007B09DD" w14:paraId="62594923" w14:textId="77777777" w:rsidTr="00542704">
        <w:trPr>
          <w:trHeight w:hRule="exact" w:val="1868"/>
        </w:trPr>
        <w:tc>
          <w:tcPr>
            <w:tcW w:w="9214" w:type="dxa"/>
            <w:shd w:val="clear" w:color="auto" w:fill="auto"/>
            <w:tcMar>
              <w:top w:w="113" w:type="dxa"/>
              <w:bottom w:w="113" w:type="dxa"/>
            </w:tcMar>
          </w:tcPr>
          <w:p w14:paraId="53CA38EB" w14:textId="77777777" w:rsidR="00542704" w:rsidRPr="00C23CAF" w:rsidRDefault="00542704" w:rsidP="00542704">
            <w:pPr>
              <w:spacing w:line="259" w:lineRule="auto"/>
              <w:rPr>
                <w:b/>
              </w:rPr>
            </w:pPr>
            <w:r w:rsidRPr="00C23CAF">
              <w:rPr>
                <w:b/>
              </w:rPr>
              <w:t xml:space="preserve">Recommendation </w:t>
            </w:r>
            <w:r>
              <w:rPr>
                <w:b/>
              </w:rPr>
              <w:t>6</w:t>
            </w:r>
          </w:p>
          <w:p w14:paraId="0FF66EE8" w14:textId="77777777" w:rsidR="00542704" w:rsidRDefault="00542704" w:rsidP="00542704">
            <w:pPr>
              <w:spacing w:line="259" w:lineRule="auto"/>
              <w:rPr>
                <w:b/>
              </w:rPr>
            </w:pPr>
          </w:p>
          <w:p w14:paraId="7C098475" w14:textId="77777777" w:rsidR="00542704" w:rsidRDefault="00542704" w:rsidP="00542704">
            <w:pPr>
              <w:pStyle w:val="CommentText"/>
            </w:pPr>
            <w:r>
              <w:t xml:space="preserve">To inform and enhance its actions </w:t>
            </w:r>
            <w:r w:rsidRPr="00150212">
              <w:t xml:space="preserve">to reduce transaction costs and streamline </w:t>
            </w:r>
            <w:r>
              <w:t xml:space="preserve">administrative </w:t>
            </w:r>
            <w:r w:rsidRPr="00150212">
              <w:t>processes</w:t>
            </w:r>
            <w:r>
              <w:t>, the Regulator undertake a benchmarking exercise and publish information on indicative administrative and operational costs involved in establishing and undertaking different types of ERF projects</w:t>
            </w:r>
            <w:r w:rsidRPr="006E6D85">
              <w:t>.</w:t>
            </w:r>
            <w:r>
              <w:t xml:space="preserve"> The benchmarking exercise should compare the transaction costs of projects under the ERF with those under other Government programs</w:t>
            </w:r>
            <w:r w:rsidRPr="006E6D85">
              <w:t>.</w:t>
            </w:r>
          </w:p>
          <w:p w14:paraId="142B75F7" w14:textId="77777777" w:rsidR="00542704" w:rsidRDefault="00542704" w:rsidP="00542704">
            <w:pPr>
              <w:spacing w:after="120" w:line="240" w:lineRule="exact"/>
              <w:rPr>
                <w:rFonts w:cs="Myriad Pro"/>
                <w:lang w:val="en-GB"/>
              </w:rPr>
            </w:pPr>
          </w:p>
        </w:tc>
      </w:tr>
      <w:tr w:rsidR="00542704" w:rsidRPr="007B09DD" w14:paraId="43E6A65C" w14:textId="77777777" w:rsidTr="00542704">
        <w:trPr>
          <w:trHeight w:hRule="exact" w:val="1394"/>
        </w:trPr>
        <w:tc>
          <w:tcPr>
            <w:tcW w:w="9214" w:type="dxa"/>
            <w:shd w:val="clear" w:color="auto" w:fill="D9D9D9" w:themeFill="background1" w:themeFillShade="D9"/>
            <w:tcMar>
              <w:top w:w="113" w:type="dxa"/>
              <w:bottom w:w="113" w:type="dxa"/>
            </w:tcMar>
          </w:tcPr>
          <w:p w14:paraId="1657BDB3" w14:textId="77777777" w:rsidR="00542704" w:rsidRPr="00C23CAF" w:rsidRDefault="00542704" w:rsidP="00542704">
            <w:pPr>
              <w:spacing w:line="259" w:lineRule="auto"/>
              <w:rPr>
                <w:b/>
              </w:rPr>
            </w:pPr>
            <w:r w:rsidRPr="00C23CAF">
              <w:rPr>
                <w:b/>
              </w:rPr>
              <w:t xml:space="preserve">Recommendation </w:t>
            </w:r>
            <w:r>
              <w:rPr>
                <w:b/>
              </w:rPr>
              <w:t>7</w:t>
            </w:r>
          </w:p>
          <w:p w14:paraId="3F154AC7" w14:textId="77777777" w:rsidR="00542704" w:rsidRPr="00C23CAF" w:rsidRDefault="00542704" w:rsidP="00542704">
            <w:pPr>
              <w:spacing w:line="259" w:lineRule="auto"/>
              <w:rPr>
                <w:b/>
              </w:rPr>
            </w:pPr>
          </w:p>
          <w:p w14:paraId="2EE28A76" w14:textId="6DCBF6CA" w:rsidR="00542704" w:rsidRPr="00C23CAF" w:rsidRDefault="00542704" w:rsidP="00542704">
            <w:pPr>
              <w:spacing w:line="259" w:lineRule="auto"/>
              <w:rPr>
                <w:b/>
              </w:rPr>
            </w:pPr>
            <w:r>
              <w:t>T</w:t>
            </w:r>
            <w:r w:rsidRPr="006E6D85">
              <w:t>o encourage greater participation in the ERF, the Regulator continue to explore ways to streamline ERF processes and reduce transaction costs for scheme participants</w:t>
            </w:r>
            <w:r>
              <w:t xml:space="preserve">, </w:t>
            </w:r>
            <w:r w:rsidRPr="006E6D85">
              <w:t xml:space="preserve">while </w:t>
            </w:r>
            <w:r>
              <w:t>continuing to uphold the Offsets Integrity Standards</w:t>
            </w:r>
            <w:r w:rsidR="00C3318D">
              <w:t>.</w:t>
            </w:r>
          </w:p>
        </w:tc>
      </w:tr>
      <w:tr w:rsidR="00542704" w:rsidRPr="007B09DD" w14:paraId="5C0F3854" w14:textId="77777777" w:rsidTr="00542704">
        <w:trPr>
          <w:trHeight w:hRule="exact" w:val="402"/>
        </w:trPr>
        <w:tc>
          <w:tcPr>
            <w:tcW w:w="9214" w:type="dxa"/>
            <w:shd w:val="clear" w:color="auto" w:fill="0070AE" w:themeFill="accent2" w:themeFillTint="BF"/>
            <w:tcMar>
              <w:top w:w="113" w:type="dxa"/>
              <w:bottom w:w="113" w:type="dxa"/>
            </w:tcMar>
          </w:tcPr>
          <w:p w14:paraId="0288FAEE" w14:textId="77777777" w:rsidR="00542704" w:rsidRPr="00C23CAF" w:rsidRDefault="00542704" w:rsidP="00542704">
            <w:pPr>
              <w:spacing w:line="259" w:lineRule="auto"/>
              <w:rPr>
                <w:b/>
              </w:rPr>
            </w:pPr>
            <w:r w:rsidRPr="00181E9F">
              <w:rPr>
                <w:b/>
                <w:color w:val="FFFFFF" w:themeColor="background1"/>
              </w:rPr>
              <w:t>Chapter 5 Maintaining integrity</w:t>
            </w:r>
          </w:p>
        </w:tc>
      </w:tr>
      <w:tr w:rsidR="00542704" w:rsidRPr="007B09DD" w14:paraId="73E80E56" w14:textId="77777777" w:rsidTr="00542704">
        <w:trPr>
          <w:trHeight w:hRule="exact" w:val="2528"/>
        </w:trPr>
        <w:tc>
          <w:tcPr>
            <w:tcW w:w="9214" w:type="dxa"/>
            <w:shd w:val="clear" w:color="auto" w:fill="FFFFFF" w:themeFill="background1"/>
            <w:tcMar>
              <w:top w:w="113" w:type="dxa"/>
              <w:bottom w:w="113" w:type="dxa"/>
            </w:tcMar>
          </w:tcPr>
          <w:p w14:paraId="4EF0CD60" w14:textId="77777777" w:rsidR="00542704" w:rsidRDefault="00542704" w:rsidP="00542704">
            <w:pPr>
              <w:rPr>
                <w:b/>
              </w:rPr>
            </w:pPr>
            <w:r w:rsidRPr="00657D37">
              <w:rPr>
                <w:b/>
              </w:rPr>
              <w:t>R</w:t>
            </w:r>
            <w:r>
              <w:rPr>
                <w:b/>
              </w:rPr>
              <w:t>ecommendation 8</w:t>
            </w:r>
          </w:p>
          <w:p w14:paraId="0703CB13" w14:textId="77777777" w:rsidR="00542704" w:rsidRDefault="00542704" w:rsidP="00542704">
            <w:pPr>
              <w:rPr>
                <w:b/>
              </w:rPr>
            </w:pPr>
          </w:p>
          <w:p w14:paraId="37923A4C" w14:textId="77777777" w:rsidR="00542704" w:rsidRDefault="00542704" w:rsidP="00542704">
            <w:r>
              <w:t>To maintain the reputation of Australia’s high integrity carbon offsets market, t</w:t>
            </w:r>
            <w:r w:rsidRPr="008E28A6">
              <w:t>he Offsets Integrity Standards remain unchanged</w:t>
            </w:r>
            <w:r>
              <w:t>.</w:t>
            </w:r>
          </w:p>
          <w:p w14:paraId="7FD33765" w14:textId="77777777" w:rsidR="00542704" w:rsidRDefault="00542704" w:rsidP="00542704"/>
          <w:p w14:paraId="650109F6" w14:textId="77777777" w:rsidR="00542704" w:rsidRPr="00C23CAF" w:rsidRDefault="00542704" w:rsidP="00542704">
            <w:pPr>
              <w:spacing w:line="259" w:lineRule="auto"/>
              <w:rPr>
                <w:b/>
              </w:rPr>
            </w:pPr>
            <w:r w:rsidRPr="00BD66C6">
              <w:t xml:space="preserve">To promote certainty and transparency on how the ERAC interprets the Offsets Integrity Standards, the ERAC reference the Information Paper: </w:t>
            </w:r>
            <w:r>
              <w:t>‘</w:t>
            </w:r>
            <w:r w:rsidRPr="005737A9">
              <w:rPr>
                <w:i/>
              </w:rPr>
              <w:t>Committee considerations for interpreting the Emissions Reduction Fund’s Offsets Integrity Standards</w:t>
            </w:r>
            <w:r>
              <w:rPr>
                <w:i/>
              </w:rPr>
              <w:t>’</w:t>
            </w:r>
            <w:r w:rsidRPr="00BD66C6">
              <w:t xml:space="preserve"> in its decisions and ensure it is readily accessible to stakeholders.</w:t>
            </w:r>
          </w:p>
        </w:tc>
      </w:tr>
      <w:tr w:rsidR="00542704" w:rsidRPr="007B09DD" w14:paraId="5A089D6E" w14:textId="77777777" w:rsidTr="00A20920">
        <w:trPr>
          <w:trHeight w:hRule="exact" w:val="1470"/>
        </w:trPr>
        <w:tc>
          <w:tcPr>
            <w:tcW w:w="9214" w:type="dxa"/>
            <w:shd w:val="clear" w:color="auto" w:fill="D9D9D9" w:themeFill="background1" w:themeFillShade="D9"/>
            <w:tcMar>
              <w:top w:w="113" w:type="dxa"/>
              <w:bottom w:w="113" w:type="dxa"/>
            </w:tcMar>
          </w:tcPr>
          <w:p w14:paraId="287AEFA1" w14:textId="77777777" w:rsidR="00542704" w:rsidRDefault="00542704" w:rsidP="00542704">
            <w:pPr>
              <w:tabs>
                <w:tab w:val="left" w:pos="3164"/>
              </w:tabs>
              <w:rPr>
                <w:b/>
              </w:rPr>
            </w:pPr>
            <w:r w:rsidRPr="00657D37">
              <w:rPr>
                <w:b/>
              </w:rPr>
              <w:t>R</w:t>
            </w:r>
            <w:r>
              <w:rPr>
                <w:b/>
              </w:rPr>
              <w:t>ecommendation 9</w:t>
            </w:r>
          </w:p>
          <w:p w14:paraId="0F47CD08" w14:textId="77777777" w:rsidR="00542704" w:rsidRDefault="00542704" w:rsidP="00542704">
            <w:pPr>
              <w:tabs>
                <w:tab w:val="left" w:pos="3164"/>
              </w:tabs>
            </w:pPr>
          </w:p>
          <w:p w14:paraId="509161B4" w14:textId="77777777" w:rsidR="00542704" w:rsidRDefault="00542704" w:rsidP="00542704">
            <w:r>
              <w:t xml:space="preserve">To </w:t>
            </w:r>
            <w:r w:rsidRPr="008E28A6">
              <w:t>enhance opportunities and flexibility for project proponents</w:t>
            </w:r>
            <w:r>
              <w:t>, t</w:t>
            </w:r>
            <w:r w:rsidRPr="008E28A6">
              <w:t xml:space="preserve">he </w:t>
            </w:r>
            <w:r>
              <w:t>‘</w:t>
            </w:r>
            <w:r w:rsidRPr="008E28A6">
              <w:t>newness requirement</w:t>
            </w:r>
            <w:r>
              <w:t>’</w:t>
            </w:r>
            <w:r w:rsidRPr="008E28A6">
              <w:t xml:space="preserve"> be amended to allow project activities to commence from the time of submission</w:t>
            </w:r>
            <w:r w:rsidRPr="7943B309">
              <w:rPr>
                <w:b/>
              </w:rPr>
              <w:t xml:space="preserve"> </w:t>
            </w:r>
            <w:r w:rsidRPr="008E28A6">
              <w:t xml:space="preserve">of a project application, rather than when the project is declared eligible. </w:t>
            </w:r>
          </w:p>
          <w:p w14:paraId="745E2043" w14:textId="77777777" w:rsidR="00542704" w:rsidRPr="00657D37" w:rsidRDefault="00542704" w:rsidP="00542704">
            <w:pPr>
              <w:rPr>
                <w:b/>
              </w:rPr>
            </w:pPr>
          </w:p>
        </w:tc>
      </w:tr>
      <w:tr w:rsidR="00542704" w:rsidRPr="007B09DD" w14:paraId="4C350EEE" w14:textId="77777777" w:rsidTr="00A20920">
        <w:trPr>
          <w:trHeight w:hRule="exact" w:val="1449"/>
        </w:trPr>
        <w:tc>
          <w:tcPr>
            <w:tcW w:w="9214" w:type="dxa"/>
            <w:shd w:val="clear" w:color="auto" w:fill="FFFFFF" w:themeFill="background1"/>
            <w:tcMar>
              <w:top w:w="113" w:type="dxa"/>
              <w:bottom w:w="113" w:type="dxa"/>
            </w:tcMar>
          </w:tcPr>
          <w:p w14:paraId="178C5ECE" w14:textId="77777777" w:rsidR="00542704" w:rsidRDefault="00542704" w:rsidP="00542704">
            <w:r w:rsidRPr="00657D37">
              <w:rPr>
                <w:b/>
              </w:rPr>
              <w:t>R</w:t>
            </w:r>
            <w:r>
              <w:rPr>
                <w:b/>
              </w:rPr>
              <w:t>ecommendation 10</w:t>
            </w:r>
          </w:p>
          <w:p w14:paraId="7F1DB024" w14:textId="77777777" w:rsidR="00542704" w:rsidRDefault="00542704" w:rsidP="00542704"/>
          <w:p w14:paraId="30FB54D5" w14:textId="77777777" w:rsidR="00542704" w:rsidRPr="008E28A6" w:rsidRDefault="00542704" w:rsidP="00542704">
            <w:r>
              <w:t>To allow greater scope for project planning</w:t>
            </w:r>
            <w:r w:rsidRPr="00C166CC">
              <w:t xml:space="preserve">, the Regulator identify within methods </w:t>
            </w:r>
            <w:r>
              <w:t xml:space="preserve">(under development or variation) </w:t>
            </w:r>
            <w:r w:rsidRPr="00C166CC">
              <w:t xml:space="preserve">any planning actions to be excluded from the </w:t>
            </w:r>
            <w:r>
              <w:t>‘</w:t>
            </w:r>
            <w:r w:rsidRPr="00C166CC">
              <w:t>newness requirement</w:t>
            </w:r>
            <w:r>
              <w:t>’</w:t>
            </w:r>
            <w:r w:rsidRPr="00C166CC">
              <w:t xml:space="preserve">, with the ERAC providing assurance that </w:t>
            </w:r>
            <w:r>
              <w:t>this</w:t>
            </w:r>
            <w:r w:rsidRPr="00C166CC">
              <w:t xml:space="preserve"> does </w:t>
            </w:r>
            <w:r>
              <w:t>not</w:t>
            </w:r>
            <w:r w:rsidRPr="00C166CC">
              <w:t xml:space="preserve"> jeopardise additionality</w:t>
            </w:r>
            <w:r w:rsidRPr="008E28A6">
              <w:t>.</w:t>
            </w:r>
          </w:p>
          <w:p w14:paraId="34F23DAE" w14:textId="77777777" w:rsidR="00542704" w:rsidRPr="00657D37" w:rsidRDefault="00542704" w:rsidP="00542704">
            <w:pPr>
              <w:rPr>
                <w:b/>
              </w:rPr>
            </w:pPr>
          </w:p>
        </w:tc>
      </w:tr>
      <w:tr w:rsidR="00542704" w:rsidRPr="007B09DD" w14:paraId="529616ED" w14:textId="77777777" w:rsidTr="00A20920">
        <w:trPr>
          <w:trHeight w:hRule="exact" w:val="1475"/>
        </w:trPr>
        <w:tc>
          <w:tcPr>
            <w:tcW w:w="9214" w:type="dxa"/>
            <w:shd w:val="clear" w:color="auto" w:fill="D9D9D9" w:themeFill="background1" w:themeFillShade="D9"/>
            <w:tcMar>
              <w:top w:w="113" w:type="dxa"/>
              <w:bottom w:w="113" w:type="dxa"/>
            </w:tcMar>
          </w:tcPr>
          <w:p w14:paraId="2A8AAEAF" w14:textId="77777777" w:rsidR="00542704" w:rsidRDefault="00542704" w:rsidP="00542704">
            <w:pPr>
              <w:rPr>
                <w:b/>
              </w:rPr>
            </w:pPr>
            <w:r w:rsidRPr="00657D37">
              <w:rPr>
                <w:b/>
              </w:rPr>
              <w:t>Recommendation 1</w:t>
            </w:r>
            <w:r>
              <w:rPr>
                <w:b/>
              </w:rPr>
              <w:t>1</w:t>
            </w:r>
          </w:p>
          <w:p w14:paraId="255C2A78" w14:textId="77777777" w:rsidR="00542704" w:rsidRDefault="00542704" w:rsidP="00542704"/>
          <w:p w14:paraId="5BD60E97" w14:textId="77777777" w:rsidR="00542704" w:rsidRPr="006D1800" w:rsidRDefault="00542704" w:rsidP="00542704">
            <w:pPr>
              <w:rPr>
                <w:rFonts w:cs="Arial"/>
                <w:sz w:val="18"/>
                <w:szCs w:val="18"/>
              </w:rPr>
            </w:pPr>
            <w:r>
              <w:rPr>
                <w:rFonts w:cs="Arial"/>
                <w:szCs w:val="20"/>
              </w:rPr>
              <w:t xml:space="preserve">To support </w:t>
            </w:r>
            <w:r w:rsidRPr="00244FC0">
              <w:rPr>
                <w:rFonts w:cs="Arial"/>
                <w:szCs w:val="20"/>
              </w:rPr>
              <w:t>potential ERF projects with high upfront costs</w:t>
            </w:r>
            <w:r>
              <w:rPr>
                <w:rFonts w:cs="Arial"/>
                <w:szCs w:val="20"/>
              </w:rPr>
              <w:t xml:space="preserve"> while upholding the integrity of the scheme,</w:t>
            </w:r>
            <w:r w:rsidRPr="00244FC0">
              <w:rPr>
                <w:rFonts w:cs="Arial"/>
                <w:szCs w:val="20"/>
              </w:rPr>
              <w:t xml:space="preserve"> </w:t>
            </w:r>
            <w:r>
              <w:rPr>
                <w:rFonts w:cs="Arial"/>
                <w:szCs w:val="20"/>
              </w:rPr>
              <w:t>t</w:t>
            </w:r>
            <w:r w:rsidRPr="00244FC0">
              <w:rPr>
                <w:rFonts w:cs="Arial"/>
                <w:szCs w:val="20"/>
              </w:rPr>
              <w:t xml:space="preserve">he Government explore </w:t>
            </w:r>
            <w:r>
              <w:rPr>
                <w:rFonts w:cs="Arial"/>
                <w:szCs w:val="20"/>
              </w:rPr>
              <w:t xml:space="preserve">innovative financing approaches </w:t>
            </w:r>
            <w:r w:rsidRPr="00244FC0">
              <w:rPr>
                <w:rFonts w:cs="Arial"/>
                <w:szCs w:val="20"/>
              </w:rPr>
              <w:t>on a method by method basis</w:t>
            </w:r>
            <w:r>
              <w:rPr>
                <w:rFonts w:cs="Arial"/>
                <w:szCs w:val="20"/>
              </w:rPr>
              <w:t>, for example concessional loans</w:t>
            </w:r>
            <w:r w:rsidRPr="00244FC0">
              <w:rPr>
                <w:rFonts w:cs="Arial"/>
                <w:szCs w:val="20"/>
              </w:rPr>
              <w:t xml:space="preserve"> (see also Recommendation 4)</w:t>
            </w:r>
            <w:r>
              <w:rPr>
                <w:rFonts w:cs="Arial"/>
                <w:szCs w:val="20"/>
              </w:rPr>
              <w:t>,</w:t>
            </w:r>
            <w:r w:rsidRPr="00244FC0">
              <w:rPr>
                <w:rFonts w:cs="Arial"/>
                <w:szCs w:val="20"/>
              </w:rPr>
              <w:t xml:space="preserve"> </w:t>
            </w:r>
            <w:r>
              <w:rPr>
                <w:rFonts w:cs="Arial"/>
                <w:szCs w:val="20"/>
              </w:rPr>
              <w:t xml:space="preserve">rather than using </w:t>
            </w:r>
            <w:r w:rsidRPr="00244FC0">
              <w:rPr>
                <w:rFonts w:cs="Arial"/>
                <w:szCs w:val="20"/>
              </w:rPr>
              <w:t xml:space="preserve">compressed crediting. </w:t>
            </w:r>
          </w:p>
          <w:p w14:paraId="3DFA9E42" w14:textId="77777777" w:rsidR="00542704" w:rsidRPr="00657D37" w:rsidRDefault="00542704" w:rsidP="00542704">
            <w:pPr>
              <w:rPr>
                <w:b/>
              </w:rPr>
            </w:pPr>
          </w:p>
        </w:tc>
      </w:tr>
      <w:tr w:rsidR="00542704" w:rsidRPr="007B09DD" w14:paraId="3CC7D3C7" w14:textId="77777777" w:rsidTr="00A20920">
        <w:trPr>
          <w:trHeight w:hRule="exact" w:val="423"/>
        </w:trPr>
        <w:tc>
          <w:tcPr>
            <w:tcW w:w="9214" w:type="dxa"/>
            <w:shd w:val="clear" w:color="auto" w:fill="0070AE" w:themeFill="accent2" w:themeFillTint="BF"/>
            <w:tcMar>
              <w:top w:w="113" w:type="dxa"/>
              <w:bottom w:w="113" w:type="dxa"/>
            </w:tcMar>
          </w:tcPr>
          <w:p w14:paraId="62FA70D7" w14:textId="77777777" w:rsidR="00542704" w:rsidRPr="00657D37" w:rsidRDefault="00542704" w:rsidP="00542704">
            <w:pPr>
              <w:rPr>
                <w:b/>
              </w:rPr>
            </w:pPr>
            <w:r w:rsidRPr="00181E9F">
              <w:rPr>
                <w:b/>
                <w:color w:val="FFFFFF" w:themeColor="background1"/>
              </w:rPr>
              <w:t>Chapter 6 Optimising governance for a mature Emissions Reduction Fund</w:t>
            </w:r>
          </w:p>
        </w:tc>
      </w:tr>
      <w:tr w:rsidR="00542704" w:rsidRPr="007B09DD" w14:paraId="0ADA56CE" w14:textId="77777777" w:rsidTr="00542704">
        <w:trPr>
          <w:trHeight w:hRule="exact" w:val="3062"/>
        </w:trPr>
        <w:tc>
          <w:tcPr>
            <w:tcW w:w="9214" w:type="dxa"/>
            <w:shd w:val="clear" w:color="auto" w:fill="FFFFFF" w:themeFill="background1"/>
            <w:tcMar>
              <w:top w:w="113" w:type="dxa"/>
              <w:bottom w:w="113" w:type="dxa"/>
            </w:tcMar>
          </w:tcPr>
          <w:p w14:paraId="591453CE" w14:textId="77777777" w:rsidR="00542704" w:rsidRDefault="00542704" w:rsidP="00542704">
            <w:pPr>
              <w:rPr>
                <w:b/>
              </w:rPr>
            </w:pPr>
            <w:r w:rsidRPr="00657D37">
              <w:rPr>
                <w:b/>
              </w:rPr>
              <w:t>Recommendation 1</w:t>
            </w:r>
            <w:r>
              <w:rPr>
                <w:b/>
              </w:rPr>
              <w:t>2</w:t>
            </w:r>
          </w:p>
          <w:p w14:paraId="7BDFEFDB" w14:textId="77777777" w:rsidR="00542704" w:rsidRDefault="00542704" w:rsidP="00542704">
            <w:pPr>
              <w:textAlignment w:val="baseline"/>
              <w:rPr>
                <w:rStyle w:val="normaltextrun1"/>
                <w:rFonts w:cs="Arial"/>
                <w:szCs w:val="20"/>
              </w:rPr>
            </w:pPr>
          </w:p>
          <w:p w14:paraId="5901A595" w14:textId="77777777" w:rsidR="00542704" w:rsidRPr="00244FC0" w:rsidRDefault="00542704" w:rsidP="00542704">
            <w:pPr>
              <w:textAlignment w:val="baseline"/>
              <w:rPr>
                <w:rFonts w:eastAsia="Calibri" w:cs="Arial"/>
                <w:szCs w:val="20"/>
              </w:rPr>
            </w:pPr>
            <w:r>
              <w:rPr>
                <w:rFonts w:eastAsia="Calibri" w:cs="Arial"/>
                <w:szCs w:val="20"/>
              </w:rPr>
              <w:t>T</w:t>
            </w:r>
            <w:r w:rsidRPr="00244FC0">
              <w:rPr>
                <w:rFonts w:eastAsia="Calibri" w:cs="Arial"/>
                <w:szCs w:val="20"/>
              </w:rPr>
              <w:t xml:space="preserve">o ensure </w:t>
            </w:r>
            <w:r>
              <w:rPr>
                <w:rFonts w:eastAsia="Calibri" w:cs="Arial"/>
                <w:szCs w:val="20"/>
              </w:rPr>
              <w:t>ongoing confidence in the administration</w:t>
            </w:r>
            <w:r w:rsidRPr="00244FC0">
              <w:rPr>
                <w:rFonts w:eastAsia="Calibri" w:cs="Arial"/>
                <w:szCs w:val="20"/>
              </w:rPr>
              <w:t xml:space="preserve"> of </w:t>
            </w:r>
            <w:r>
              <w:rPr>
                <w:rFonts w:eastAsia="Calibri" w:cs="Arial"/>
                <w:szCs w:val="20"/>
              </w:rPr>
              <w:t xml:space="preserve">the </w:t>
            </w:r>
            <w:r w:rsidRPr="00244FC0">
              <w:rPr>
                <w:rFonts w:eastAsia="Calibri" w:cs="Arial"/>
                <w:szCs w:val="20"/>
              </w:rPr>
              <w:t xml:space="preserve">ERF under </w:t>
            </w:r>
            <w:r>
              <w:rPr>
                <w:rFonts w:eastAsia="Calibri" w:cs="Arial"/>
                <w:szCs w:val="20"/>
              </w:rPr>
              <w:t xml:space="preserve">consolidated </w:t>
            </w:r>
            <w:r w:rsidRPr="00244FC0">
              <w:rPr>
                <w:rFonts w:eastAsia="Calibri" w:cs="Arial"/>
                <w:szCs w:val="20"/>
              </w:rPr>
              <w:t>responsibilit</w:t>
            </w:r>
            <w:r>
              <w:rPr>
                <w:rFonts w:eastAsia="Calibri" w:cs="Arial"/>
                <w:szCs w:val="20"/>
              </w:rPr>
              <w:t>ies,</w:t>
            </w:r>
            <w:r w:rsidRPr="00244FC0">
              <w:rPr>
                <w:rFonts w:eastAsia="Calibri" w:cs="Arial"/>
                <w:szCs w:val="20"/>
              </w:rPr>
              <w:t xml:space="preserve"> </w:t>
            </w:r>
            <w:r>
              <w:rPr>
                <w:rFonts w:eastAsia="Calibri" w:cs="Arial"/>
                <w:szCs w:val="20"/>
              </w:rPr>
              <w:t>t</w:t>
            </w:r>
            <w:r w:rsidRPr="00244FC0">
              <w:rPr>
                <w:rFonts w:eastAsia="Calibri" w:cs="Arial"/>
                <w:szCs w:val="20"/>
              </w:rPr>
              <w:t xml:space="preserve">he Regulator </w:t>
            </w:r>
            <w:r>
              <w:rPr>
                <w:rFonts w:eastAsia="Calibri" w:cs="Arial"/>
                <w:szCs w:val="20"/>
              </w:rPr>
              <w:t xml:space="preserve">build on its existing </w:t>
            </w:r>
            <w:r w:rsidRPr="00244FC0">
              <w:rPr>
                <w:rFonts w:eastAsia="Calibri" w:cs="Arial"/>
                <w:szCs w:val="20"/>
              </w:rPr>
              <w:t xml:space="preserve">probity </w:t>
            </w:r>
            <w:r>
              <w:rPr>
                <w:rFonts w:eastAsia="Calibri" w:cs="Arial"/>
                <w:szCs w:val="20"/>
              </w:rPr>
              <w:t xml:space="preserve">and governance </w:t>
            </w:r>
            <w:r w:rsidRPr="00244FC0">
              <w:rPr>
                <w:rFonts w:eastAsia="Calibri" w:cs="Arial"/>
                <w:szCs w:val="20"/>
              </w:rPr>
              <w:t>measures by:</w:t>
            </w:r>
          </w:p>
          <w:p w14:paraId="2F3A3D3E" w14:textId="77777777" w:rsidR="00542704" w:rsidRPr="00244FC0" w:rsidRDefault="00542704" w:rsidP="00542704">
            <w:pPr>
              <w:pStyle w:val="ListParagraph"/>
              <w:numPr>
                <w:ilvl w:val="0"/>
                <w:numId w:val="40"/>
              </w:numPr>
              <w:textAlignment w:val="baseline"/>
              <w:rPr>
                <w:rFonts w:eastAsia="Calibri" w:cs="Arial"/>
                <w:szCs w:val="20"/>
              </w:rPr>
            </w:pPr>
            <w:r>
              <w:rPr>
                <w:rFonts w:eastAsia="Calibri" w:cs="Arial"/>
                <w:szCs w:val="20"/>
              </w:rPr>
              <w:t>maintaining</w:t>
            </w:r>
            <w:r w:rsidRPr="00244FC0">
              <w:rPr>
                <w:rFonts w:eastAsia="Calibri" w:cs="Arial"/>
                <w:szCs w:val="20"/>
              </w:rPr>
              <w:t xml:space="preserve"> </w:t>
            </w:r>
            <w:r w:rsidRPr="00244FC0">
              <w:rPr>
                <w:rFonts w:cs="Arial"/>
                <w:szCs w:val="20"/>
              </w:rPr>
              <w:t>separate decision makers</w:t>
            </w:r>
            <w:r>
              <w:rPr>
                <w:rFonts w:cs="Arial"/>
                <w:szCs w:val="20"/>
              </w:rPr>
              <w:t>, including at senior executive level,</w:t>
            </w:r>
            <w:r w:rsidRPr="00244FC0">
              <w:rPr>
                <w:rFonts w:cs="Arial"/>
                <w:szCs w:val="20"/>
              </w:rPr>
              <w:t xml:space="preserve"> for each of </w:t>
            </w:r>
            <w:r>
              <w:rPr>
                <w:rFonts w:cs="Arial"/>
                <w:szCs w:val="20"/>
              </w:rPr>
              <w:t>its</w:t>
            </w:r>
            <w:r w:rsidRPr="00244FC0">
              <w:rPr>
                <w:rFonts w:cs="Arial"/>
                <w:szCs w:val="20"/>
              </w:rPr>
              <w:t xml:space="preserve"> key functions – method development and variation; compliance and enforcement; and crediting and purchasing of ACCUs</w:t>
            </w:r>
          </w:p>
          <w:p w14:paraId="684C2D84" w14:textId="77777777" w:rsidR="00542704" w:rsidRPr="00244FC0" w:rsidRDefault="00542704" w:rsidP="00542704">
            <w:pPr>
              <w:pStyle w:val="ListParagraph"/>
              <w:numPr>
                <w:ilvl w:val="0"/>
                <w:numId w:val="40"/>
              </w:numPr>
              <w:textAlignment w:val="baseline"/>
              <w:rPr>
                <w:rFonts w:eastAsia="Calibri" w:cs="Arial"/>
                <w:szCs w:val="20"/>
              </w:rPr>
            </w:pPr>
            <w:r w:rsidRPr="00244FC0">
              <w:rPr>
                <w:rFonts w:eastAsia="Calibri" w:cs="Arial"/>
                <w:szCs w:val="20"/>
              </w:rPr>
              <w:t xml:space="preserve">obtaining independent probity advice on the operation and separation of the key functions. </w:t>
            </w:r>
          </w:p>
          <w:p w14:paraId="4D7B116C" w14:textId="29FE663F" w:rsidR="00542704" w:rsidRPr="00A20920" w:rsidRDefault="00542704" w:rsidP="00A20920">
            <w:pPr>
              <w:tabs>
                <w:tab w:val="left" w:pos="3608"/>
              </w:tabs>
              <w:textAlignment w:val="baseline"/>
              <w:rPr>
                <w:rFonts w:eastAsia="Calibri" w:cs="Arial"/>
                <w:szCs w:val="20"/>
              </w:rPr>
            </w:pPr>
          </w:p>
          <w:p w14:paraId="0558285E" w14:textId="77777777" w:rsidR="00542704" w:rsidRPr="00244FC0" w:rsidRDefault="00542704" w:rsidP="00542704">
            <w:pPr>
              <w:rPr>
                <w:rStyle w:val="normaltextrun1"/>
                <w:rFonts w:cs="Arial"/>
                <w:szCs w:val="20"/>
              </w:rPr>
            </w:pPr>
            <w:r w:rsidRPr="00244FC0">
              <w:rPr>
                <w:rFonts w:eastAsia="Calibri" w:cs="Arial"/>
                <w:szCs w:val="20"/>
              </w:rPr>
              <w:t xml:space="preserve">The </w:t>
            </w:r>
            <w:r w:rsidRPr="00244FC0">
              <w:rPr>
                <w:rFonts w:cs="Arial"/>
                <w:szCs w:val="20"/>
              </w:rPr>
              <w:t xml:space="preserve">Australian National Audit Office undertake a performance audit </w:t>
            </w:r>
            <w:r w:rsidRPr="00244FC0" w:rsidDel="00A2110D">
              <w:rPr>
                <w:rFonts w:cs="Arial"/>
                <w:szCs w:val="20"/>
              </w:rPr>
              <w:t xml:space="preserve">after the first two years of </w:t>
            </w:r>
            <w:r w:rsidRPr="00244FC0">
              <w:rPr>
                <w:rFonts w:cs="Arial"/>
                <w:szCs w:val="20"/>
              </w:rPr>
              <w:t>the consolidation of functions within the Regulator.</w:t>
            </w:r>
            <w:r w:rsidRPr="00244FC0">
              <w:rPr>
                <w:rStyle w:val="normaltextrun1"/>
                <w:rFonts w:cs="Arial"/>
                <w:szCs w:val="20"/>
              </w:rPr>
              <w:t xml:space="preserve"> </w:t>
            </w:r>
          </w:p>
          <w:p w14:paraId="2211403E" w14:textId="77777777" w:rsidR="00542704" w:rsidRPr="00657D37" w:rsidRDefault="00542704" w:rsidP="00542704">
            <w:pPr>
              <w:rPr>
                <w:b/>
              </w:rPr>
            </w:pPr>
          </w:p>
        </w:tc>
      </w:tr>
      <w:tr w:rsidR="00542704" w:rsidRPr="007B09DD" w14:paraId="16AFFC0A" w14:textId="77777777" w:rsidTr="00542704">
        <w:trPr>
          <w:trHeight w:hRule="exact" w:val="4087"/>
        </w:trPr>
        <w:tc>
          <w:tcPr>
            <w:tcW w:w="9214" w:type="dxa"/>
            <w:shd w:val="clear" w:color="auto" w:fill="D9D9D9" w:themeFill="background1" w:themeFillShade="D9"/>
            <w:tcMar>
              <w:top w:w="113" w:type="dxa"/>
              <w:bottom w:w="113" w:type="dxa"/>
            </w:tcMar>
          </w:tcPr>
          <w:p w14:paraId="7540CCDD" w14:textId="77777777" w:rsidR="00542704" w:rsidRDefault="00542704" w:rsidP="00542704">
            <w:pPr>
              <w:textAlignment w:val="baseline"/>
              <w:rPr>
                <w:rStyle w:val="normaltextrun1"/>
                <w:rFonts w:cs="Arial"/>
                <w:szCs w:val="20"/>
              </w:rPr>
            </w:pPr>
            <w:r w:rsidRPr="00657D37">
              <w:rPr>
                <w:b/>
              </w:rPr>
              <w:t>Recommendation 1</w:t>
            </w:r>
            <w:r>
              <w:rPr>
                <w:b/>
              </w:rPr>
              <w:t>3</w:t>
            </w:r>
          </w:p>
          <w:p w14:paraId="520024AF" w14:textId="77777777" w:rsidR="00542704" w:rsidRDefault="00542704" w:rsidP="00542704">
            <w:pPr>
              <w:textAlignment w:val="baseline"/>
              <w:rPr>
                <w:rStyle w:val="normaltextrun1"/>
                <w:szCs w:val="20"/>
              </w:rPr>
            </w:pPr>
          </w:p>
          <w:p w14:paraId="6A8C24B7" w14:textId="77777777" w:rsidR="00542704" w:rsidRPr="00EF2C6B" w:rsidRDefault="00542704" w:rsidP="00542704">
            <w:pPr>
              <w:textAlignment w:val="baseline"/>
              <w:rPr>
                <w:rStyle w:val="normaltextrun1"/>
                <w:rFonts w:cs="Arial"/>
                <w:szCs w:val="20"/>
              </w:rPr>
            </w:pPr>
            <w:r w:rsidRPr="00EF2C6B">
              <w:rPr>
                <w:rStyle w:val="normaltextrun1"/>
                <w:rFonts w:cs="Arial"/>
                <w:szCs w:val="20"/>
              </w:rPr>
              <w:t xml:space="preserve">To give industry </w:t>
            </w:r>
            <w:r>
              <w:rPr>
                <w:rStyle w:val="normaltextrun1"/>
                <w:rFonts w:cs="Arial"/>
                <w:szCs w:val="20"/>
              </w:rPr>
              <w:t>a</w:t>
            </w:r>
            <w:r w:rsidRPr="00EF2C6B">
              <w:rPr>
                <w:rStyle w:val="normaltextrun1"/>
                <w:rFonts w:cs="Arial"/>
                <w:szCs w:val="20"/>
              </w:rPr>
              <w:t xml:space="preserve"> greater opportunity to </w:t>
            </w:r>
            <w:r>
              <w:rPr>
                <w:rStyle w:val="normaltextrun1"/>
                <w:rFonts w:cs="Arial"/>
                <w:szCs w:val="20"/>
              </w:rPr>
              <w:t>contribute to</w:t>
            </w:r>
            <w:r w:rsidRPr="00EF2C6B">
              <w:rPr>
                <w:rStyle w:val="normaltextrun1"/>
                <w:rFonts w:cs="Arial"/>
                <w:szCs w:val="20"/>
              </w:rPr>
              <w:t xml:space="preserve"> the development of new methods and increase transparency, the Government consider establishing a Steering Committee under a regulatory instrument to the CFI Act</w:t>
            </w:r>
            <w:r>
              <w:rPr>
                <w:rStyle w:val="normaltextrun1"/>
                <w:rFonts w:cs="Arial"/>
                <w:szCs w:val="20"/>
              </w:rPr>
              <w:t xml:space="preserve"> to oversee method development and variations</w:t>
            </w:r>
            <w:r w:rsidRPr="00EF2C6B">
              <w:rPr>
                <w:rStyle w:val="normaltextrun1"/>
                <w:rFonts w:cs="Arial"/>
                <w:szCs w:val="20"/>
              </w:rPr>
              <w:t xml:space="preserve">. </w:t>
            </w:r>
            <w:r>
              <w:rPr>
                <w:rStyle w:val="normaltextrun1"/>
                <w:rFonts w:cs="Arial"/>
                <w:szCs w:val="20"/>
              </w:rPr>
              <w:t>T</w:t>
            </w:r>
            <w:r w:rsidRPr="00EF2C6B">
              <w:rPr>
                <w:rStyle w:val="normaltextrun1"/>
                <w:rFonts w:cs="Arial"/>
                <w:szCs w:val="20"/>
              </w:rPr>
              <w:t xml:space="preserve">he Steering Committee </w:t>
            </w:r>
            <w:r>
              <w:rPr>
                <w:rStyle w:val="normaltextrun1"/>
                <w:rFonts w:cs="Arial"/>
                <w:szCs w:val="20"/>
              </w:rPr>
              <w:t xml:space="preserve">should </w:t>
            </w:r>
            <w:r w:rsidRPr="00EF2C6B">
              <w:rPr>
                <w:rStyle w:val="normaltextrun1"/>
                <w:rFonts w:cs="Arial"/>
                <w:szCs w:val="20"/>
              </w:rPr>
              <w:t xml:space="preserve">comprise representatives of the CSIRO, the Department (including from the National Greenhouse Gas Inventory team), the Regulator, the carbon industry, and as an observer, the ERAC. </w:t>
            </w:r>
          </w:p>
          <w:p w14:paraId="1D6963D6" w14:textId="77777777" w:rsidR="00542704" w:rsidRPr="00EF2C6B" w:rsidRDefault="00542704" w:rsidP="00542704">
            <w:pPr>
              <w:textAlignment w:val="baseline"/>
              <w:rPr>
                <w:rStyle w:val="normaltextrun1"/>
                <w:rFonts w:cs="Arial"/>
                <w:szCs w:val="20"/>
              </w:rPr>
            </w:pPr>
          </w:p>
          <w:p w14:paraId="6F27DD09" w14:textId="77777777" w:rsidR="00542704" w:rsidRDefault="00542704" w:rsidP="00542704">
            <w:pPr>
              <w:textAlignment w:val="baseline"/>
              <w:rPr>
                <w:rStyle w:val="normaltextrun1"/>
                <w:rFonts w:cs="Arial"/>
                <w:szCs w:val="20"/>
              </w:rPr>
            </w:pPr>
            <w:r>
              <w:rPr>
                <w:rStyle w:val="normaltextrun1"/>
                <w:rFonts w:cs="Arial"/>
                <w:szCs w:val="20"/>
              </w:rPr>
              <w:t>T</w:t>
            </w:r>
            <w:r w:rsidRPr="00EF2C6B">
              <w:rPr>
                <w:rStyle w:val="normaltextrun1"/>
                <w:rFonts w:cs="Arial"/>
                <w:szCs w:val="20"/>
              </w:rPr>
              <w:t>o enable relevant industry, scientific, carbon market, carbon sequestration and emissions avoidance experts to participate</w:t>
            </w:r>
            <w:r>
              <w:rPr>
                <w:rStyle w:val="normaltextrun1"/>
                <w:rFonts w:cs="Arial"/>
                <w:szCs w:val="20"/>
              </w:rPr>
              <w:t>, t</w:t>
            </w:r>
            <w:r w:rsidRPr="00EF2C6B">
              <w:rPr>
                <w:rStyle w:val="normaltextrun1"/>
                <w:rFonts w:cs="Arial"/>
                <w:szCs w:val="20"/>
              </w:rPr>
              <w:t>he Steering Committee conven</w:t>
            </w:r>
            <w:r>
              <w:rPr>
                <w:rStyle w:val="normaltextrun1"/>
                <w:rFonts w:cs="Arial"/>
                <w:szCs w:val="20"/>
              </w:rPr>
              <w:t>e</w:t>
            </w:r>
            <w:r w:rsidRPr="00EF2C6B">
              <w:rPr>
                <w:rStyle w:val="normaltextrun1"/>
                <w:rFonts w:cs="Arial"/>
                <w:szCs w:val="20"/>
              </w:rPr>
              <w:t xml:space="preserve"> working groups on a method specific basis. </w:t>
            </w:r>
          </w:p>
          <w:p w14:paraId="6757895E" w14:textId="77777777" w:rsidR="00542704" w:rsidRPr="00EF2C6B" w:rsidRDefault="00542704" w:rsidP="00542704">
            <w:pPr>
              <w:textAlignment w:val="baseline"/>
              <w:rPr>
                <w:rStyle w:val="normaltextrun1"/>
                <w:rFonts w:cs="Arial"/>
                <w:szCs w:val="20"/>
              </w:rPr>
            </w:pPr>
          </w:p>
          <w:p w14:paraId="243DD8F4" w14:textId="77777777" w:rsidR="00542704" w:rsidRPr="00EF2C6B" w:rsidRDefault="00542704" w:rsidP="00542704">
            <w:pPr>
              <w:textAlignment w:val="baseline"/>
              <w:rPr>
                <w:rStyle w:val="normaltextrun1"/>
                <w:rFonts w:cs="Arial"/>
                <w:szCs w:val="20"/>
              </w:rPr>
            </w:pPr>
            <w:r>
              <w:rPr>
                <w:rFonts w:eastAsia="Times New Roman"/>
                <w:lang w:eastAsia="en-AU"/>
              </w:rPr>
              <w:t>To</w:t>
            </w:r>
            <w:r>
              <w:rPr>
                <w:rFonts w:eastAsia="Times New Roman" w:cs="Arial"/>
                <w:szCs w:val="20"/>
                <w:lang w:eastAsia="en-AU"/>
              </w:rPr>
              <w:t xml:space="preserve"> strengthen industry participation,</w:t>
            </w:r>
            <w:r w:rsidRPr="00EF2C6B">
              <w:rPr>
                <w:rStyle w:val="normaltextrun1"/>
                <w:rFonts w:cs="Arial"/>
                <w:szCs w:val="20"/>
              </w:rPr>
              <w:t xml:space="preserve"> </w:t>
            </w:r>
            <w:r>
              <w:rPr>
                <w:rStyle w:val="normaltextrun1"/>
                <w:rFonts w:cs="Arial"/>
                <w:szCs w:val="20"/>
              </w:rPr>
              <w:t>t</w:t>
            </w:r>
            <w:r w:rsidRPr="00EF2C6B">
              <w:rPr>
                <w:rStyle w:val="normaltextrun1"/>
                <w:rFonts w:cs="Arial"/>
                <w:szCs w:val="20"/>
              </w:rPr>
              <w:t>he Committee develop and publish a stakeholder engagement plan.</w:t>
            </w:r>
          </w:p>
          <w:p w14:paraId="73B8E181" w14:textId="77777777" w:rsidR="00542704" w:rsidRPr="00657D37" w:rsidRDefault="00542704" w:rsidP="00542704">
            <w:pPr>
              <w:rPr>
                <w:b/>
              </w:rPr>
            </w:pPr>
          </w:p>
        </w:tc>
      </w:tr>
      <w:tr w:rsidR="00542704" w:rsidRPr="007B09DD" w14:paraId="255F2B9F" w14:textId="77777777" w:rsidTr="00542704">
        <w:trPr>
          <w:trHeight w:hRule="exact" w:val="1864"/>
        </w:trPr>
        <w:tc>
          <w:tcPr>
            <w:tcW w:w="9214" w:type="dxa"/>
            <w:shd w:val="clear" w:color="auto" w:fill="FFFFFF" w:themeFill="background1"/>
            <w:tcMar>
              <w:top w:w="113" w:type="dxa"/>
              <w:bottom w:w="113" w:type="dxa"/>
            </w:tcMar>
          </w:tcPr>
          <w:p w14:paraId="7864CDF1" w14:textId="77777777" w:rsidR="00542704" w:rsidRDefault="00542704" w:rsidP="00542704">
            <w:pPr>
              <w:textAlignment w:val="baseline"/>
              <w:rPr>
                <w:rStyle w:val="normaltextrun1"/>
                <w:rFonts w:cs="Arial"/>
                <w:szCs w:val="20"/>
              </w:rPr>
            </w:pPr>
            <w:r w:rsidRPr="00657D37">
              <w:rPr>
                <w:b/>
              </w:rPr>
              <w:t>Recommendation 1</w:t>
            </w:r>
            <w:r>
              <w:rPr>
                <w:b/>
              </w:rPr>
              <w:t>4</w:t>
            </w:r>
          </w:p>
          <w:p w14:paraId="4E3D8D3D" w14:textId="77777777" w:rsidR="00542704" w:rsidRPr="00875470" w:rsidRDefault="00542704" w:rsidP="00542704">
            <w:pPr>
              <w:textAlignment w:val="baseline"/>
              <w:rPr>
                <w:rStyle w:val="normaltextrun1"/>
                <w:rFonts w:cs="Arial"/>
                <w:szCs w:val="20"/>
              </w:rPr>
            </w:pPr>
          </w:p>
          <w:p w14:paraId="2A602C36" w14:textId="4B818512" w:rsidR="00542704" w:rsidRPr="00EF2C6B" w:rsidRDefault="00542704" w:rsidP="00542704">
            <w:pPr>
              <w:rPr>
                <w:rStyle w:val="normaltextrun1"/>
                <w:rFonts w:cs="Arial"/>
                <w:szCs w:val="20"/>
              </w:rPr>
            </w:pPr>
            <w:r>
              <w:rPr>
                <w:rFonts w:cs="Arial"/>
                <w:color w:val="000000"/>
                <w:szCs w:val="20"/>
              </w:rPr>
              <w:t xml:space="preserve">To </w:t>
            </w:r>
            <w:r w:rsidRPr="00EF2C6B">
              <w:rPr>
                <w:rFonts w:cs="Arial"/>
                <w:color w:val="000000"/>
                <w:szCs w:val="20"/>
              </w:rPr>
              <w:t xml:space="preserve">assist the ERAC to perform its functions and duties as set out in </w:t>
            </w:r>
            <w:r>
              <w:rPr>
                <w:rFonts w:cs="Arial"/>
                <w:color w:val="000000"/>
                <w:szCs w:val="20"/>
              </w:rPr>
              <w:t>the CFI Act</w:t>
            </w:r>
            <w:r>
              <w:rPr>
                <w:rFonts w:cs="Arial"/>
                <w:i/>
                <w:color w:val="000000"/>
                <w:szCs w:val="20"/>
              </w:rPr>
              <w:t>,</w:t>
            </w:r>
            <w:r w:rsidRPr="00EF2C6B">
              <w:rPr>
                <w:rFonts w:cs="Arial"/>
                <w:color w:val="000000"/>
                <w:szCs w:val="20"/>
              </w:rPr>
              <w:t xml:space="preserve"> </w:t>
            </w:r>
            <w:r>
              <w:rPr>
                <w:rStyle w:val="normaltextrun1"/>
                <w:rFonts w:cs="Arial"/>
                <w:szCs w:val="20"/>
              </w:rPr>
              <w:t>t</w:t>
            </w:r>
            <w:r w:rsidRPr="00EF2C6B">
              <w:rPr>
                <w:rStyle w:val="normaltextrun1"/>
                <w:rFonts w:cs="Arial"/>
                <w:szCs w:val="20"/>
              </w:rPr>
              <w:t>he Regulator establish a</w:t>
            </w:r>
            <w:r w:rsidR="00267222">
              <w:rPr>
                <w:rStyle w:val="normaltextrun1"/>
                <w:rFonts w:cs="Arial"/>
                <w:szCs w:val="20"/>
              </w:rPr>
              <w:t>n enhanced</w:t>
            </w:r>
            <w:r w:rsidRPr="00EF2C6B">
              <w:rPr>
                <w:rStyle w:val="normaltextrun1"/>
                <w:rFonts w:cs="Arial"/>
                <w:szCs w:val="20"/>
              </w:rPr>
              <w:t xml:space="preserve"> agreement with the ERAC </w:t>
            </w:r>
            <w:r w:rsidRPr="00EF2C6B">
              <w:rPr>
                <w:color w:val="000000"/>
                <w:szCs w:val="20"/>
              </w:rPr>
              <w:t>on the</w:t>
            </w:r>
            <w:r w:rsidRPr="00EF2C6B">
              <w:rPr>
                <w:rFonts w:cs="Arial"/>
                <w:color w:val="000000"/>
                <w:szCs w:val="20"/>
              </w:rPr>
              <w:t xml:space="preserve"> disclosure of requested information</w:t>
            </w:r>
            <w:r>
              <w:rPr>
                <w:rFonts w:cs="Arial"/>
                <w:color w:val="000000"/>
                <w:szCs w:val="20"/>
              </w:rPr>
              <w:t>,</w:t>
            </w:r>
            <w:r w:rsidRPr="00EF2C6B">
              <w:rPr>
                <w:rFonts w:cs="Arial"/>
                <w:color w:val="000000"/>
                <w:szCs w:val="20"/>
              </w:rPr>
              <w:t xml:space="preserve"> </w:t>
            </w:r>
            <w:r>
              <w:rPr>
                <w:rFonts w:cs="Arial"/>
                <w:color w:val="000000"/>
                <w:szCs w:val="20"/>
              </w:rPr>
              <w:t>including</w:t>
            </w:r>
            <w:r w:rsidRPr="00EF2C6B">
              <w:rPr>
                <w:rFonts w:cs="Arial"/>
                <w:color w:val="000000"/>
                <w:szCs w:val="20"/>
              </w:rPr>
              <w:t xml:space="preserve"> a timeline for provision of requested information and the manner in which to treat protected information</w:t>
            </w:r>
            <w:r w:rsidRPr="00EF2C6B">
              <w:rPr>
                <w:rStyle w:val="normaltextrun1"/>
                <w:rFonts w:cs="Arial"/>
                <w:szCs w:val="20"/>
              </w:rPr>
              <w:t>.</w:t>
            </w:r>
          </w:p>
          <w:p w14:paraId="468CDF4B" w14:textId="77777777" w:rsidR="00542704" w:rsidRPr="00657D37" w:rsidRDefault="00542704" w:rsidP="00542704">
            <w:pPr>
              <w:rPr>
                <w:b/>
              </w:rPr>
            </w:pPr>
          </w:p>
        </w:tc>
      </w:tr>
      <w:tr w:rsidR="00542704" w:rsidRPr="007B09DD" w14:paraId="4BFC6B7B" w14:textId="77777777" w:rsidTr="00542704">
        <w:trPr>
          <w:trHeight w:hRule="exact" w:val="1737"/>
        </w:trPr>
        <w:tc>
          <w:tcPr>
            <w:tcW w:w="9214" w:type="dxa"/>
            <w:shd w:val="clear" w:color="auto" w:fill="D9D9D9" w:themeFill="background1" w:themeFillShade="D9"/>
            <w:tcMar>
              <w:top w:w="113" w:type="dxa"/>
              <w:bottom w:w="113" w:type="dxa"/>
            </w:tcMar>
          </w:tcPr>
          <w:p w14:paraId="4F193167" w14:textId="77777777" w:rsidR="00542704" w:rsidRDefault="00542704" w:rsidP="00542704">
            <w:pPr>
              <w:rPr>
                <w:rFonts w:ascii="Calibri" w:eastAsia="Calibri" w:hAnsi="Calibri" w:cs="Times New Roman"/>
                <w:b/>
                <w:sz w:val="22"/>
              </w:rPr>
            </w:pPr>
            <w:r w:rsidRPr="00657D37">
              <w:rPr>
                <w:b/>
              </w:rPr>
              <w:t>Recommendation 1</w:t>
            </w:r>
            <w:r>
              <w:rPr>
                <w:b/>
              </w:rPr>
              <w:t>5</w:t>
            </w:r>
          </w:p>
          <w:p w14:paraId="14891091" w14:textId="77777777" w:rsidR="00542704" w:rsidRDefault="00542704" w:rsidP="00542704">
            <w:pPr>
              <w:rPr>
                <w:rFonts w:eastAsia="Calibri" w:cs="Arial"/>
                <w:szCs w:val="20"/>
              </w:rPr>
            </w:pPr>
          </w:p>
          <w:p w14:paraId="694D3D7A" w14:textId="77777777" w:rsidR="00542704" w:rsidRPr="008E28A6" w:rsidRDefault="00542704" w:rsidP="00542704">
            <w:r>
              <w:rPr>
                <w:rFonts w:eastAsia="Calibri" w:cs="Arial"/>
                <w:szCs w:val="20"/>
              </w:rPr>
              <w:t>T</w:t>
            </w:r>
            <w:r w:rsidRPr="00397A78">
              <w:rPr>
                <w:rFonts w:eastAsia="Calibri" w:cs="Arial"/>
                <w:szCs w:val="20"/>
              </w:rPr>
              <w:t xml:space="preserve">o </w:t>
            </w:r>
            <w:r>
              <w:rPr>
                <w:rFonts w:eastAsia="Calibri" w:cs="Arial"/>
                <w:szCs w:val="20"/>
              </w:rPr>
              <w:t>enable it to efficiently maintain the quality of ERF methods,</w:t>
            </w:r>
            <w:r w:rsidRPr="00657D37">
              <w:rPr>
                <w:rFonts w:eastAsia="Calibri" w:cs="Arial"/>
                <w:szCs w:val="20"/>
              </w:rPr>
              <w:t xml:space="preserve"> </w:t>
            </w:r>
            <w:r>
              <w:rPr>
                <w:rFonts w:eastAsia="Calibri" w:cs="Arial"/>
                <w:szCs w:val="20"/>
              </w:rPr>
              <w:t>t</w:t>
            </w:r>
            <w:r w:rsidRPr="00657D37">
              <w:rPr>
                <w:rFonts w:eastAsia="Calibri" w:cs="Arial"/>
                <w:szCs w:val="20"/>
              </w:rPr>
              <w:t>he ERAC develop a framework for prioritising its periodic method reviews</w:t>
            </w:r>
            <w:r>
              <w:rPr>
                <w:rFonts w:eastAsia="Calibri" w:cs="Arial"/>
                <w:szCs w:val="20"/>
              </w:rPr>
              <w:t>,</w:t>
            </w:r>
            <w:r w:rsidRPr="00657D37">
              <w:rPr>
                <w:rFonts w:eastAsia="Calibri" w:cs="Arial"/>
                <w:szCs w:val="20"/>
              </w:rPr>
              <w:t xml:space="preserve"> taking into account the current and likely future uptake of the method, the complexity of the method</w:t>
            </w:r>
            <w:r>
              <w:rPr>
                <w:rFonts w:eastAsia="Calibri" w:cs="Arial"/>
                <w:szCs w:val="20"/>
              </w:rPr>
              <w:t>,</w:t>
            </w:r>
            <w:r w:rsidRPr="00657D37">
              <w:rPr>
                <w:rFonts w:eastAsia="Calibri" w:cs="Arial"/>
                <w:szCs w:val="20"/>
              </w:rPr>
              <w:t xml:space="preserve"> the likelihood of breaches of compliance with the Offset</w:t>
            </w:r>
            <w:r>
              <w:rPr>
                <w:rFonts w:eastAsia="Calibri" w:cs="Arial"/>
                <w:szCs w:val="20"/>
              </w:rPr>
              <w:t>s</w:t>
            </w:r>
            <w:r w:rsidRPr="00657D37">
              <w:rPr>
                <w:rFonts w:eastAsia="Calibri" w:cs="Arial"/>
                <w:szCs w:val="20"/>
              </w:rPr>
              <w:t xml:space="preserve"> Integrity Standards</w:t>
            </w:r>
            <w:r>
              <w:rPr>
                <w:rFonts w:eastAsia="Calibri" w:cs="Arial"/>
                <w:szCs w:val="20"/>
              </w:rPr>
              <w:t xml:space="preserve"> and any relevant legislative rule changes</w:t>
            </w:r>
            <w:r w:rsidRPr="00657D37">
              <w:rPr>
                <w:rFonts w:eastAsia="Calibri" w:cs="Arial"/>
                <w:szCs w:val="20"/>
              </w:rPr>
              <w:t>.</w:t>
            </w:r>
          </w:p>
          <w:p w14:paraId="533C5101" w14:textId="77777777" w:rsidR="00542704" w:rsidRPr="00657D37" w:rsidRDefault="00542704" w:rsidP="00542704">
            <w:pPr>
              <w:rPr>
                <w:b/>
              </w:rPr>
            </w:pPr>
          </w:p>
        </w:tc>
      </w:tr>
      <w:tr w:rsidR="00542704" w:rsidRPr="007B09DD" w14:paraId="026A1B2C" w14:textId="77777777" w:rsidTr="00542704">
        <w:trPr>
          <w:trHeight w:hRule="exact" w:val="1451"/>
        </w:trPr>
        <w:tc>
          <w:tcPr>
            <w:tcW w:w="9214" w:type="dxa"/>
            <w:shd w:val="clear" w:color="auto" w:fill="FFFFFF" w:themeFill="background1"/>
            <w:tcMar>
              <w:top w:w="113" w:type="dxa"/>
              <w:bottom w:w="113" w:type="dxa"/>
            </w:tcMar>
          </w:tcPr>
          <w:p w14:paraId="2DB4188A" w14:textId="77777777" w:rsidR="00542704" w:rsidRDefault="00542704" w:rsidP="00542704">
            <w:pPr>
              <w:rPr>
                <w:rFonts w:eastAsia="Calibri" w:cs="Arial"/>
                <w:szCs w:val="20"/>
              </w:rPr>
            </w:pPr>
            <w:r w:rsidRPr="00657D37">
              <w:rPr>
                <w:b/>
              </w:rPr>
              <w:t>Recommendation 1</w:t>
            </w:r>
            <w:r>
              <w:rPr>
                <w:b/>
              </w:rPr>
              <w:t>6</w:t>
            </w:r>
          </w:p>
          <w:p w14:paraId="711E2B37" w14:textId="77777777" w:rsidR="00542704" w:rsidRDefault="00542704" w:rsidP="00542704">
            <w:pPr>
              <w:rPr>
                <w:rFonts w:eastAsia="Calibri" w:cs="Arial"/>
                <w:sz w:val="18"/>
                <w:szCs w:val="18"/>
              </w:rPr>
            </w:pPr>
          </w:p>
          <w:p w14:paraId="2D6CC8F4" w14:textId="77777777" w:rsidR="00542704" w:rsidRPr="00EF2C6B" w:rsidRDefault="00542704" w:rsidP="00542704">
            <w:pPr>
              <w:rPr>
                <w:rFonts w:eastAsia="Calibri" w:cs="Arial"/>
                <w:szCs w:val="20"/>
              </w:rPr>
            </w:pPr>
            <w:r>
              <w:rPr>
                <w:rFonts w:eastAsia="Calibri" w:cs="Arial"/>
                <w:szCs w:val="20"/>
              </w:rPr>
              <w:t>To enable crediting periods to be based on up-to-date information, t</w:t>
            </w:r>
            <w:r w:rsidRPr="00EF2C6B">
              <w:rPr>
                <w:rFonts w:eastAsia="Calibri" w:cs="Arial"/>
                <w:szCs w:val="20"/>
              </w:rPr>
              <w:t xml:space="preserve">he Government amend the CFI Act to </w:t>
            </w:r>
            <w:r>
              <w:rPr>
                <w:rFonts w:eastAsia="Calibri" w:cs="Arial"/>
                <w:szCs w:val="20"/>
              </w:rPr>
              <w:t>allow the Minister to extend a crediting period, based on advice from the ERAC, regardless of whether the ERAC had previously advised against an extension.</w:t>
            </w:r>
            <w:r w:rsidRPr="00EF2C6B">
              <w:rPr>
                <w:rFonts w:eastAsia="Calibri" w:cs="Arial"/>
                <w:szCs w:val="20"/>
              </w:rPr>
              <w:t xml:space="preserve"> </w:t>
            </w:r>
          </w:p>
          <w:p w14:paraId="416608BD" w14:textId="77777777" w:rsidR="00542704" w:rsidRPr="00657D37" w:rsidRDefault="00542704" w:rsidP="00542704">
            <w:pPr>
              <w:rPr>
                <w:b/>
              </w:rPr>
            </w:pPr>
          </w:p>
        </w:tc>
      </w:tr>
      <w:tr w:rsidR="00542704" w:rsidRPr="007B09DD" w14:paraId="599D2E9C" w14:textId="77777777" w:rsidTr="00542704">
        <w:trPr>
          <w:trHeight w:hRule="exact" w:val="1451"/>
        </w:trPr>
        <w:tc>
          <w:tcPr>
            <w:tcW w:w="9214" w:type="dxa"/>
            <w:shd w:val="clear" w:color="auto" w:fill="D9D9D9" w:themeFill="background1" w:themeFillShade="D9"/>
            <w:tcMar>
              <w:top w:w="113" w:type="dxa"/>
              <w:bottom w:w="113" w:type="dxa"/>
            </w:tcMar>
          </w:tcPr>
          <w:p w14:paraId="3BA118AA" w14:textId="77777777" w:rsidR="00542704" w:rsidRDefault="00542704" w:rsidP="00542704">
            <w:r w:rsidRPr="00657D37">
              <w:rPr>
                <w:b/>
              </w:rPr>
              <w:t>Recommendation 1</w:t>
            </w:r>
            <w:r>
              <w:rPr>
                <w:b/>
              </w:rPr>
              <w:t>7</w:t>
            </w:r>
          </w:p>
          <w:p w14:paraId="2E3BF5A6" w14:textId="77777777" w:rsidR="00542704" w:rsidRDefault="00542704" w:rsidP="00542704"/>
          <w:p w14:paraId="4D4B9B26" w14:textId="1FEA3AEF" w:rsidR="00542704" w:rsidRPr="005D0D12" w:rsidRDefault="00542704" w:rsidP="00542704">
            <w:r>
              <w:t>To align with best practice,</w:t>
            </w:r>
            <w:r w:rsidRPr="008E28A6">
              <w:t xml:space="preserve"> </w:t>
            </w:r>
            <w:r>
              <w:t>t</w:t>
            </w:r>
            <w:r w:rsidRPr="008E28A6">
              <w:t>he Government</w:t>
            </w:r>
            <w:r w:rsidR="005B4DA7">
              <w:t xml:space="preserve">, following a </w:t>
            </w:r>
            <w:r w:rsidR="005B4DA7" w:rsidRPr="008E28A6">
              <w:t>formal consultation process with Indigenous stakeholders</w:t>
            </w:r>
            <w:r w:rsidR="005B4DA7">
              <w:t>,</w:t>
            </w:r>
            <w:r w:rsidRPr="008E28A6">
              <w:t xml:space="preserve"> </w:t>
            </w:r>
            <w:r>
              <w:t xml:space="preserve">amend the CFI Act to </w:t>
            </w:r>
            <w:r w:rsidRPr="008E28A6">
              <w:t xml:space="preserve">ensure free, prior and informed consent from native title holders prior to the registration of </w:t>
            </w:r>
            <w:r w:rsidRPr="005D0D12">
              <w:t xml:space="preserve">area-based </w:t>
            </w:r>
            <w:r w:rsidRPr="008E28A6">
              <w:t>ERF projects on native title land</w:t>
            </w:r>
            <w:r w:rsidR="006440BC">
              <w:t>.</w:t>
            </w:r>
            <w:r w:rsidRPr="005D0D12">
              <w:t xml:space="preserve"> </w:t>
            </w:r>
          </w:p>
          <w:p w14:paraId="688BE355" w14:textId="77777777" w:rsidR="00542704" w:rsidRPr="00657D37" w:rsidRDefault="00542704" w:rsidP="00542704">
            <w:pPr>
              <w:rPr>
                <w:b/>
              </w:rPr>
            </w:pPr>
          </w:p>
        </w:tc>
      </w:tr>
      <w:tr w:rsidR="00542704" w:rsidRPr="007B09DD" w14:paraId="144CC059" w14:textId="77777777" w:rsidTr="00542704">
        <w:trPr>
          <w:trHeight w:hRule="exact" w:val="447"/>
        </w:trPr>
        <w:tc>
          <w:tcPr>
            <w:tcW w:w="9214" w:type="dxa"/>
            <w:shd w:val="clear" w:color="auto" w:fill="0070AE" w:themeFill="accent2" w:themeFillTint="BF"/>
            <w:tcMar>
              <w:top w:w="113" w:type="dxa"/>
              <w:bottom w:w="113" w:type="dxa"/>
            </w:tcMar>
          </w:tcPr>
          <w:p w14:paraId="7E1204BD" w14:textId="77777777" w:rsidR="00542704" w:rsidRPr="00657D37" w:rsidRDefault="00542704" w:rsidP="00542704">
            <w:pPr>
              <w:rPr>
                <w:b/>
              </w:rPr>
            </w:pPr>
            <w:r w:rsidRPr="00181E9F">
              <w:rPr>
                <w:b/>
                <w:color w:val="FFFFFF" w:themeColor="background1"/>
              </w:rPr>
              <w:t>Chapter 7 Method and tool variation risk sharing framework</w:t>
            </w:r>
          </w:p>
        </w:tc>
      </w:tr>
      <w:tr w:rsidR="00542704" w:rsidRPr="007B09DD" w14:paraId="06C6EC3B" w14:textId="77777777" w:rsidTr="00570347">
        <w:trPr>
          <w:trHeight w:hRule="exact" w:val="2881"/>
        </w:trPr>
        <w:tc>
          <w:tcPr>
            <w:tcW w:w="9214" w:type="dxa"/>
            <w:shd w:val="clear" w:color="auto" w:fill="FFFFFF" w:themeFill="background1"/>
            <w:tcMar>
              <w:top w:w="113" w:type="dxa"/>
              <w:bottom w:w="113" w:type="dxa"/>
            </w:tcMar>
          </w:tcPr>
          <w:p w14:paraId="5F7BC935" w14:textId="77777777" w:rsidR="00542704" w:rsidRDefault="00542704" w:rsidP="00542704">
            <w:pPr>
              <w:spacing w:after="160"/>
              <w:rPr>
                <w:b/>
              </w:rPr>
            </w:pPr>
            <w:r w:rsidRPr="00657D37">
              <w:rPr>
                <w:b/>
              </w:rPr>
              <w:t xml:space="preserve">Recommendation </w:t>
            </w:r>
            <w:r>
              <w:rPr>
                <w:b/>
              </w:rPr>
              <w:t>18</w:t>
            </w:r>
          </w:p>
          <w:p w14:paraId="2AE2DCE8" w14:textId="77777777" w:rsidR="00542704" w:rsidRPr="00114374" w:rsidRDefault="00542704" w:rsidP="00542704">
            <w:pPr>
              <w:spacing w:after="160"/>
              <w:rPr>
                <w:rFonts w:cs="Arial"/>
                <w:szCs w:val="20"/>
              </w:rPr>
            </w:pPr>
            <w:r>
              <w:rPr>
                <w:rFonts w:cs="Arial"/>
                <w:szCs w:val="20"/>
              </w:rPr>
              <w:t>T</w:t>
            </w:r>
            <w:r>
              <w:t>o deliver fair outcomes as changes to methods are implemented,</w:t>
            </w:r>
            <w:r>
              <w:rPr>
                <w:rFonts w:cs="Arial"/>
                <w:szCs w:val="20"/>
              </w:rPr>
              <w:t xml:space="preserve"> the Government’s ERF</w:t>
            </w:r>
            <w:r w:rsidRPr="00114374">
              <w:rPr>
                <w:rFonts w:cs="Arial"/>
                <w:szCs w:val="20"/>
              </w:rPr>
              <w:t xml:space="preserve"> risk sharing framework</w:t>
            </w:r>
            <w:r>
              <w:rPr>
                <w:rFonts w:cs="Arial"/>
                <w:szCs w:val="20"/>
              </w:rPr>
              <w:t xml:space="preserve"> (currently </w:t>
            </w:r>
            <w:r w:rsidRPr="00BE6A0C">
              <w:rPr>
                <w:rFonts w:cs="Arial"/>
                <w:szCs w:val="20"/>
              </w:rPr>
              <w:t>under development</w:t>
            </w:r>
            <w:r>
              <w:rPr>
                <w:rFonts w:cs="Arial"/>
                <w:szCs w:val="20"/>
              </w:rPr>
              <w:t>)</w:t>
            </w:r>
            <w:r w:rsidRPr="00BE6A0C">
              <w:rPr>
                <w:rFonts w:cs="Arial"/>
                <w:szCs w:val="20"/>
              </w:rPr>
              <w:t xml:space="preserve"> include </w:t>
            </w:r>
            <w:r>
              <w:rPr>
                <w:rFonts w:cs="Arial"/>
                <w:szCs w:val="20"/>
              </w:rPr>
              <w:t>guidance on</w:t>
            </w:r>
            <w:r w:rsidRPr="00114374">
              <w:rPr>
                <w:rFonts w:cs="Arial"/>
                <w:szCs w:val="20"/>
              </w:rPr>
              <w:t xml:space="preserve"> the circumstances under which:</w:t>
            </w:r>
          </w:p>
          <w:p w14:paraId="5C418446" w14:textId="77777777" w:rsidR="00542704" w:rsidRPr="00114374" w:rsidRDefault="00542704" w:rsidP="00542704">
            <w:pPr>
              <w:pStyle w:val="ListParagraph"/>
              <w:numPr>
                <w:ilvl w:val="0"/>
                <w:numId w:val="23"/>
              </w:numPr>
              <w:rPr>
                <w:rFonts w:cs="Arial"/>
                <w:szCs w:val="20"/>
              </w:rPr>
            </w:pPr>
            <w:r w:rsidRPr="00114374">
              <w:rPr>
                <w:rFonts w:cs="Arial"/>
                <w:szCs w:val="20"/>
              </w:rPr>
              <w:t xml:space="preserve">variations and changes (to methods, rules, tools and guidance material) will apply to existing activities </w:t>
            </w:r>
          </w:p>
          <w:p w14:paraId="587C6305" w14:textId="77777777" w:rsidR="00542704" w:rsidRPr="00114374" w:rsidRDefault="00542704" w:rsidP="00542704">
            <w:pPr>
              <w:pStyle w:val="ListParagraph"/>
              <w:numPr>
                <w:ilvl w:val="0"/>
                <w:numId w:val="23"/>
              </w:numPr>
              <w:rPr>
                <w:rFonts w:cs="Arial"/>
                <w:szCs w:val="20"/>
              </w:rPr>
            </w:pPr>
            <w:r w:rsidRPr="00114374">
              <w:rPr>
                <w:rFonts w:cs="Arial"/>
                <w:szCs w:val="20"/>
              </w:rPr>
              <w:t>support will be made available to mitigate negative impacts cause by amendments that affect existing projects</w:t>
            </w:r>
          </w:p>
          <w:p w14:paraId="36EF9EBE" w14:textId="77777777" w:rsidR="00542704" w:rsidRPr="00114374" w:rsidRDefault="00542704" w:rsidP="00542704">
            <w:pPr>
              <w:pStyle w:val="ListParagraph"/>
              <w:numPr>
                <w:ilvl w:val="0"/>
                <w:numId w:val="23"/>
              </w:numPr>
              <w:rPr>
                <w:rFonts w:cs="Arial"/>
                <w:szCs w:val="20"/>
              </w:rPr>
            </w:pPr>
            <w:r w:rsidRPr="00114374">
              <w:rPr>
                <w:rFonts w:cs="Arial"/>
                <w:szCs w:val="20"/>
              </w:rPr>
              <w:t xml:space="preserve">scheme participants will be required to transition to updated methods.  </w:t>
            </w:r>
          </w:p>
          <w:p w14:paraId="21A9B664" w14:textId="77777777" w:rsidR="00542704" w:rsidRPr="00657D37" w:rsidRDefault="00542704" w:rsidP="00542704">
            <w:pPr>
              <w:rPr>
                <w:b/>
              </w:rPr>
            </w:pPr>
          </w:p>
        </w:tc>
      </w:tr>
      <w:tr w:rsidR="00542704" w:rsidRPr="007B09DD" w14:paraId="643B2939" w14:textId="77777777" w:rsidTr="00CC338E">
        <w:trPr>
          <w:trHeight w:hRule="exact" w:val="380"/>
        </w:trPr>
        <w:tc>
          <w:tcPr>
            <w:tcW w:w="9214" w:type="dxa"/>
            <w:shd w:val="clear" w:color="auto" w:fill="0070AE" w:themeFill="accent2" w:themeFillTint="BF"/>
            <w:tcMar>
              <w:top w:w="113" w:type="dxa"/>
              <w:bottom w:w="113" w:type="dxa"/>
            </w:tcMar>
          </w:tcPr>
          <w:p w14:paraId="18613501" w14:textId="77777777" w:rsidR="00542704" w:rsidRPr="00657D37" w:rsidRDefault="00542704" w:rsidP="00542704">
            <w:pPr>
              <w:rPr>
                <w:b/>
              </w:rPr>
            </w:pPr>
            <w:r w:rsidRPr="00181E9F">
              <w:rPr>
                <w:b/>
                <w:color w:val="FFFFFF" w:themeColor="background1"/>
              </w:rPr>
              <w:t>Chapter 8 Risk of under-delivery of contracted abatement</w:t>
            </w:r>
          </w:p>
        </w:tc>
      </w:tr>
      <w:tr w:rsidR="00542704" w:rsidRPr="007B09DD" w14:paraId="794766D2" w14:textId="77777777" w:rsidTr="00570347">
        <w:trPr>
          <w:trHeight w:hRule="exact" w:val="2037"/>
        </w:trPr>
        <w:tc>
          <w:tcPr>
            <w:tcW w:w="9214" w:type="dxa"/>
            <w:shd w:val="clear" w:color="auto" w:fill="D9D9D9" w:themeFill="background1" w:themeFillShade="D9"/>
            <w:tcMar>
              <w:top w:w="113" w:type="dxa"/>
              <w:bottom w:w="113" w:type="dxa"/>
            </w:tcMar>
          </w:tcPr>
          <w:p w14:paraId="4CA962F2" w14:textId="77777777" w:rsidR="00542704" w:rsidRPr="0008619C" w:rsidRDefault="00542704" w:rsidP="00542704">
            <w:pPr>
              <w:rPr>
                <w:b/>
              </w:rPr>
            </w:pPr>
            <w:r w:rsidRPr="0008619C">
              <w:rPr>
                <w:b/>
              </w:rPr>
              <w:t xml:space="preserve">Recommendation </w:t>
            </w:r>
            <w:r>
              <w:rPr>
                <w:b/>
              </w:rPr>
              <w:t>19</w:t>
            </w:r>
          </w:p>
          <w:p w14:paraId="1945C5B1" w14:textId="77777777" w:rsidR="00542704" w:rsidRPr="0008619C" w:rsidRDefault="00542704" w:rsidP="00542704">
            <w:pPr>
              <w:rPr>
                <w:b/>
              </w:rPr>
            </w:pPr>
          </w:p>
          <w:p w14:paraId="23634013" w14:textId="49E38194" w:rsidR="00542704" w:rsidRPr="00B71059" w:rsidRDefault="00542704" w:rsidP="00542704">
            <w:r>
              <w:t>To encourage delivery on ERF contracts, t</w:t>
            </w:r>
            <w:r w:rsidRPr="004B14E0">
              <w:t xml:space="preserve">he standard contractual terms for </w:t>
            </w:r>
            <w:r>
              <w:t xml:space="preserve">future </w:t>
            </w:r>
            <w:r w:rsidRPr="004B14E0">
              <w:t>fixed</w:t>
            </w:r>
            <w:r>
              <w:t xml:space="preserve"> </w:t>
            </w:r>
            <w:r w:rsidRPr="004B14E0">
              <w:t>delivery contracts:</w:t>
            </w:r>
          </w:p>
          <w:p w14:paraId="319DE016" w14:textId="77777777" w:rsidR="00542704" w:rsidRPr="00B71059" w:rsidRDefault="00542704" w:rsidP="00542704">
            <w:pPr>
              <w:pStyle w:val="ListParagraph"/>
              <w:numPr>
                <w:ilvl w:val="0"/>
                <w:numId w:val="37"/>
              </w:numPr>
            </w:pPr>
            <w:r w:rsidRPr="00B71059">
              <w:t xml:space="preserve">apply commercial contractual damages where non-delivery was not </w:t>
            </w:r>
            <w:r>
              <w:t>a result</w:t>
            </w:r>
            <w:r w:rsidDel="00AF6D3E">
              <w:t xml:space="preserve"> of </w:t>
            </w:r>
            <w:r w:rsidRPr="00B71059">
              <w:rPr>
                <w:i/>
              </w:rPr>
              <w:t>force majeure</w:t>
            </w:r>
            <w:r w:rsidRPr="00F53D07">
              <w:t xml:space="preserve"> </w:t>
            </w:r>
          </w:p>
          <w:p w14:paraId="76536B47" w14:textId="7D49D15B" w:rsidR="00542704" w:rsidRPr="00A20920" w:rsidRDefault="00542704" w:rsidP="00542704">
            <w:pPr>
              <w:pStyle w:val="ListParagraph"/>
              <w:numPr>
                <w:ilvl w:val="0"/>
                <w:numId w:val="37"/>
              </w:numPr>
            </w:pPr>
            <w:r w:rsidRPr="00B71059">
              <w:rPr>
                <w:rFonts w:eastAsia="Calibri" w:cs="Arial"/>
                <w:szCs w:val="20"/>
              </w:rPr>
              <w:t>minimis</w:t>
            </w:r>
            <w:r w:rsidRPr="0075434B">
              <w:rPr>
                <w:rFonts w:eastAsia="Calibri" w:cs="Arial"/>
                <w:szCs w:val="20"/>
              </w:rPr>
              <w:t>e</w:t>
            </w:r>
            <w:r w:rsidRPr="004B14E0">
              <w:rPr>
                <w:rFonts w:eastAsia="Calibri" w:cs="Arial"/>
                <w:szCs w:val="20"/>
              </w:rPr>
              <w:t xml:space="preserve"> variations in delivery without cause.</w:t>
            </w:r>
          </w:p>
        </w:tc>
      </w:tr>
      <w:tr w:rsidR="00542704" w:rsidRPr="007B09DD" w14:paraId="24D061D5" w14:textId="77777777" w:rsidTr="00570347">
        <w:trPr>
          <w:trHeight w:hRule="exact" w:val="1470"/>
        </w:trPr>
        <w:tc>
          <w:tcPr>
            <w:tcW w:w="9214" w:type="dxa"/>
            <w:shd w:val="clear" w:color="auto" w:fill="FFFFFF" w:themeFill="background1"/>
            <w:tcMar>
              <w:top w:w="113" w:type="dxa"/>
              <w:bottom w:w="113" w:type="dxa"/>
            </w:tcMar>
          </w:tcPr>
          <w:p w14:paraId="43407303" w14:textId="77777777" w:rsidR="00542704" w:rsidRDefault="00542704" w:rsidP="00542704">
            <w:pPr>
              <w:rPr>
                <w:b/>
              </w:rPr>
            </w:pPr>
            <w:r>
              <w:rPr>
                <w:b/>
              </w:rPr>
              <w:t>Recommendation 20</w:t>
            </w:r>
          </w:p>
          <w:p w14:paraId="1A890326" w14:textId="77777777" w:rsidR="00542704" w:rsidRDefault="00542704" w:rsidP="00542704">
            <w:pPr>
              <w:rPr>
                <w:b/>
              </w:rPr>
            </w:pPr>
          </w:p>
          <w:p w14:paraId="154A801B" w14:textId="77777777" w:rsidR="00542704" w:rsidRDefault="00542704" w:rsidP="00542704">
            <w:pPr>
              <w:rPr>
                <w:b/>
              </w:rPr>
            </w:pPr>
            <w:r>
              <w:t xml:space="preserve">To incentivise new projects, the </w:t>
            </w:r>
            <w:r w:rsidRPr="00B71059">
              <w:t xml:space="preserve">Government </w:t>
            </w:r>
            <w:r>
              <w:t>adopt</w:t>
            </w:r>
            <w:r w:rsidRPr="00B71059">
              <w:t xml:space="preserve"> contract terms t</w:t>
            </w:r>
            <w:r>
              <w:t>hat</w:t>
            </w:r>
            <w:r w:rsidRPr="00B71059">
              <w:t xml:space="preserve"> </w:t>
            </w:r>
            <w:r>
              <w:t>ensure new</w:t>
            </w:r>
            <w:r w:rsidRPr="00B71059">
              <w:t xml:space="preserve"> </w:t>
            </w:r>
            <w:r>
              <w:t xml:space="preserve">fixed delivery </w:t>
            </w:r>
            <w:r w:rsidRPr="00B71059">
              <w:t>contract</w:t>
            </w:r>
            <w:r>
              <w:t>s</w:t>
            </w:r>
            <w:r w:rsidRPr="00F3391D">
              <w:t xml:space="preserve"> </w:t>
            </w:r>
            <w:r>
              <w:t>are filled</w:t>
            </w:r>
            <w:r w:rsidRPr="00B71059">
              <w:t xml:space="preserve"> </w:t>
            </w:r>
            <w:r>
              <w:t>predominantly</w:t>
            </w:r>
            <w:r w:rsidRPr="00B71059">
              <w:t xml:space="preserve"> </w:t>
            </w:r>
            <w:r>
              <w:t xml:space="preserve">using ACCUs </w:t>
            </w:r>
            <w:r w:rsidDel="006170FE">
              <w:t>from</w:t>
            </w:r>
            <w:r w:rsidRPr="00B71059">
              <w:t xml:space="preserve"> </w:t>
            </w:r>
            <w:r>
              <w:t>new ERF projects rather than projects that have already fulfilled ERF contracts (post-contract supply)</w:t>
            </w:r>
            <w:r>
              <w:rPr>
                <w:b/>
              </w:rPr>
              <w:t>.</w:t>
            </w:r>
          </w:p>
          <w:p w14:paraId="6621413B" w14:textId="77777777" w:rsidR="00542704" w:rsidRPr="00657D37" w:rsidRDefault="00542704" w:rsidP="00542704">
            <w:pPr>
              <w:rPr>
                <w:b/>
              </w:rPr>
            </w:pPr>
          </w:p>
        </w:tc>
      </w:tr>
    </w:tbl>
    <w:p w14:paraId="0849E145" w14:textId="77777777" w:rsidR="00165996" w:rsidRDefault="00165996"/>
    <w:p w14:paraId="13AEEA48" w14:textId="1553D09D" w:rsidR="00165996" w:rsidRDefault="00165996">
      <w:r>
        <w:br w:type="column"/>
      </w:r>
    </w:p>
    <w:tbl>
      <w:tblPr>
        <w:tblStyle w:val="TableGrid2"/>
        <w:tblW w:w="9214" w:type="dxa"/>
        <w:tblBorders>
          <w:top w:val="single" w:sz="2" w:space="0" w:color="007BB7"/>
          <w:left w:val="none" w:sz="0" w:space="0" w:color="auto"/>
          <w:bottom w:val="single" w:sz="2" w:space="0" w:color="007BB7"/>
          <w:right w:val="none" w:sz="0" w:space="0" w:color="auto"/>
          <w:insideH w:val="single" w:sz="2" w:space="0" w:color="007BB7"/>
          <w:insideV w:val="none" w:sz="0" w:space="0" w:color="auto"/>
        </w:tblBorders>
        <w:tblCellMar>
          <w:top w:w="142" w:type="dxa"/>
          <w:left w:w="142" w:type="dxa"/>
          <w:bottom w:w="142" w:type="dxa"/>
          <w:right w:w="142" w:type="dxa"/>
        </w:tblCellMar>
        <w:tblLook w:val="04A0" w:firstRow="1" w:lastRow="0" w:firstColumn="1" w:lastColumn="0" w:noHBand="0" w:noVBand="1"/>
      </w:tblPr>
      <w:tblGrid>
        <w:gridCol w:w="9214"/>
      </w:tblGrid>
      <w:tr w:rsidR="00542704" w:rsidRPr="007B09DD" w14:paraId="392FA54C" w14:textId="77777777" w:rsidTr="00542704">
        <w:trPr>
          <w:trHeight w:hRule="exact" w:val="455"/>
        </w:trPr>
        <w:tc>
          <w:tcPr>
            <w:tcW w:w="9214" w:type="dxa"/>
            <w:shd w:val="clear" w:color="auto" w:fill="0070AE" w:themeFill="accent2" w:themeFillTint="BF"/>
            <w:tcMar>
              <w:top w:w="113" w:type="dxa"/>
              <w:bottom w:w="113" w:type="dxa"/>
            </w:tcMar>
          </w:tcPr>
          <w:p w14:paraId="6945E358" w14:textId="2BA5D37B" w:rsidR="00542704" w:rsidRDefault="00542704" w:rsidP="00542704">
            <w:pPr>
              <w:rPr>
                <w:b/>
              </w:rPr>
            </w:pPr>
            <w:r w:rsidRPr="00181E9F">
              <w:rPr>
                <w:b/>
                <w:color w:val="FFFFFF" w:themeColor="background1"/>
              </w:rPr>
              <w:t>Chapter 9 Climate risks to carbon sequestration under the Emissions Reduction Fund</w:t>
            </w:r>
          </w:p>
        </w:tc>
      </w:tr>
      <w:tr w:rsidR="00542704" w:rsidRPr="007B09DD" w14:paraId="0CEA74D0" w14:textId="77777777" w:rsidTr="00570347">
        <w:trPr>
          <w:trHeight w:hRule="exact" w:val="2301"/>
        </w:trPr>
        <w:tc>
          <w:tcPr>
            <w:tcW w:w="9214" w:type="dxa"/>
            <w:shd w:val="clear" w:color="auto" w:fill="D9D9D9" w:themeFill="background1" w:themeFillShade="D9"/>
            <w:tcMar>
              <w:top w:w="113" w:type="dxa"/>
              <w:bottom w:w="113" w:type="dxa"/>
            </w:tcMar>
          </w:tcPr>
          <w:p w14:paraId="73E537E3" w14:textId="77777777" w:rsidR="00542704" w:rsidRDefault="00542704" w:rsidP="00542704">
            <w:pPr>
              <w:rPr>
                <w:szCs w:val="20"/>
              </w:rPr>
            </w:pPr>
            <w:r w:rsidRPr="00657D37">
              <w:rPr>
                <w:b/>
              </w:rPr>
              <w:t>R</w:t>
            </w:r>
            <w:r>
              <w:rPr>
                <w:b/>
              </w:rPr>
              <w:t>ecommendation 21</w:t>
            </w:r>
          </w:p>
          <w:p w14:paraId="3B9DF328" w14:textId="77777777" w:rsidR="00542704" w:rsidRDefault="00542704" w:rsidP="00542704">
            <w:pPr>
              <w:rPr>
                <w:szCs w:val="20"/>
              </w:rPr>
            </w:pPr>
          </w:p>
          <w:p w14:paraId="35860A64" w14:textId="77777777" w:rsidR="00542704" w:rsidRPr="008E28A6" w:rsidRDefault="00542704" w:rsidP="00542704">
            <w:pPr>
              <w:rPr>
                <w:szCs w:val="20"/>
              </w:rPr>
            </w:pPr>
            <w:r>
              <w:rPr>
                <w:szCs w:val="20"/>
              </w:rPr>
              <w:t>To enhance climate risk management, t</w:t>
            </w:r>
            <w:r w:rsidRPr="008E28A6">
              <w:rPr>
                <w:szCs w:val="20"/>
              </w:rPr>
              <w:t>he Department and the Regulator</w:t>
            </w:r>
            <w:r>
              <w:rPr>
                <w:szCs w:val="20"/>
              </w:rPr>
              <w:t>:</w:t>
            </w:r>
          </w:p>
          <w:p w14:paraId="72497564" w14:textId="77777777" w:rsidR="00542704" w:rsidRPr="008E28A6" w:rsidRDefault="00542704" w:rsidP="00542704">
            <w:pPr>
              <w:pStyle w:val="ListParagraph"/>
              <w:numPr>
                <w:ilvl w:val="0"/>
                <w:numId w:val="31"/>
              </w:numPr>
              <w:rPr>
                <w:szCs w:val="20"/>
              </w:rPr>
            </w:pPr>
            <w:r w:rsidRPr="008E28A6">
              <w:t>undertake climate risk assessment</w:t>
            </w:r>
            <w:r>
              <w:t>s</w:t>
            </w:r>
            <w:r w:rsidRPr="008E28A6">
              <w:t xml:space="preserve"> of the ERF scheme using an iterative climate risk management framework such as the Government’s Climate Compass framework. </w:t>
            </w:r>
          </w:p>
          <w:p w14:paraId="07298015" w14:textId="592D5983" w:rsidR="00542704" w:rsidRPr="008E28A6" w:rsidRDefault="00542704" w:rsidP="00542704">
            <w:pPr>
              <w:pStyle w:val="ListParagraph"/>
              <w:numPr>
                <w:ilvl w:val="0"/>
                <w:numId w:val="31"/>
              </w:numPr>
              <w:rPr>
                <w:szCs w:val="20"/>
              </w:rPr>
            </w:pPr>
            <w:r w:rsidRPr="008E28A6">
              <w:t>use the findings of th</w:t>
            </w:r>
            <w:r>
              <w:t>es</w:t>
            </w:r>
            <w:r w:rsidRPr="008E28A6">
              <w:t>e assessment</w:t>
            </w:r>
            <w:r>
              <w:t>s</w:t>
            </w:r>
            <w:r w:rsidRPr="008E28A6">
              <w:t xml:space="preserve"> and existing scientific information to prioritise investment in further data and research to help governments, scheme participants and businesses to understand and manage climate</w:t>
            </w:r>
            <w:r w:rsidR="00125A52">
              <w:t>-</w:t>
            </w:r>
            <w:r w:rsidRPr="008E28A6">
              <w:t>related risk.</w:t>
            </w:r>
          </w:p>
          <w:p w14:paraId="5E2357C1" w14:textId="77777777" w:rsidR="00542704" w:rsidRPr="00657D37" w:rsidRDefault="00542704" w:rsidP="00542704">
            <w:pPr>
              <w:rPr>
                <w:b/>
              </w:rPr>
            </w:pPr>
          </w:p>
        </w:tc>
      </w:tr>
      <w:tr w:rsidR="00542704" w:rsidRPr="007B09DD" w14:paraId="3D3E291A" w14:textId="77777777" w:rsidTr="00570347">
        <w:trPr>
          <w:trHeight w:hRule="exact" w:val="1718"/>
        </w:trPr>
        <w:tc>
          <w:tcPr>
            <w:tcW w:w="9214" w:type="dxa"/>
            <w:shd w:val="clear" w:color="auto" w:fill="FFFFFF" w:themeFill="background1"/>
            <w:tcMar>
              <w:top w:w="113" w:type="dxa"/>
              <w:bottom w:w="113" w:type="dxa"/>
            </w:tcMar>
          </w:tcPr>
          <w:p w14:paraId="1990000B" w14:textId="77777777" w:rsidR="00542704" w:rsidRDefault="00542704" w:rsidP="00542704">
            <w:pPr>
              <w:rPr>
                <w:szCs w:val="20"/>
              </w:rPr>
            </w:pPr>
            <w:r w:rsidRPr="00657D37">
              <w:rPr>
                <w:b/>
              </w:rPr>
              <w:t>R</w:t>
            </w:r>
            <w:r>
              <w:rPr>
                <w:b/>
              </w:rPr>
              <w:t>ecommendation 22</w:t>
            </w:r>
          </w:p>
          <w:p w14:paraId="445E6D7A" w14:textId="77777777" w:rsidR="00542704" w:rsidRDefault="00542704" w:rsidP="00542704">
            <w:pPr>
              <w:rPr>
                <w:szCs w:val="20"/>
              </w:rPr>
            </w:pPr>
          </w:p>
          <w:p w14:paraId="759AC619" w14:textId="77777777" w:rsidR="00542704" w:rsidRDefault="00542704" w:rsidP="00542704">
            <w:pPr>
              <w:rPr>
                <w:szCs w:val="20"/>
              </w:rPr>
            </w:pPr>
            <w:r>
              <w:rPr>
                <w:szCs w:val="20"/>
              </w:rPr>
              <w:t>To manage costs associated with climate risk, a</w:t>
            </w:r>
            <w:r w:rsidRPr="008E28A6">
              <w:rPr>
                <w:szCs w:val="20"/>
              </w:rPr>
              <w:t xml:space="preserve">ssess whether the current risk of reversal buffer and permanence period discount are appropriately calibrated for </w:t>
            </w:r>
            <w:r>
              <w:rPr>
                <w:szCs w:val="20"/>
              </w:rPr>
              <w:t>different</w:t>
            </w:r>
            <w:r w:rsidRPr="008E28A6">
              <w:rPr>
                <w:szCs w:val="20"/>
              </w:rPr>
              <w:t xml:space="preserve"> sequestration activities</w:t>
            </w:r>
            <w:r>
              <w:rPr>
                <w:szCs w:val="20"/>
              </w:rPr>
              <w:t xml:space="preserve"> and</w:t>
            </w:r>
            <w:r w:rsidRPr="008E28A6" w:rsidDel="00A458D4">
              <w:rPr>
                <w:szCs w:val="20"/>
              </w:rPr>
              <w:t xml:space="preserve"> </w:t>
            </w:r>
            <w:r w:rsidRPr="008E28A6">
              <w:rPr>
                <w:szCs w:val="20"/>
              </w:rPr>
              <w:t>regions</w:t>
            </w:r>
            <w:r>
              <w:rPr>
                <w:szCs w:val="20"/>
              </w:rPr>
              <w:t>,</w:t>
            </w:r>
            <w:r w:rsidRPr="008E28A6">
              <w:rPr>
                <w:szCs w:val="20"/>
              </w:rPr>
              <w:t xml:space="preserve"> and </w:t>
            </w:r>
            <w:r>
              <w:rPr>
                <w:szCs w:val="20"/>
              </w:rPr>
              <w:t>adjust them as the climate continues to change and understanding of climate impacts improves</w:t>
            </w:r>
            <w:r w:rsidRPr="008E28A6">
              <w:rPr>
                <w:szCs w:val="20"/>
              </w:rPr>
              <w:t>. Risk factors should include activity type, geographic location and climate conditions.</w:t>
            </w:r>
          </w:p>
          <w:p w14:paraId="4DAE92AF" w14:textId="77777777" w:rsidR="00542704" w:rsidRPr="00657D37" w:rsidRDefault="00542704" w:rsidP="00542704">
            <w:pPr>
              <w:rPr>
                <w:b/>
              </w:rPr>
            </w:pPr>
          </w:p>
        </w:tc>
      </w:tr>
      <w:tr w:rsidR="00542704" w:rsidRPr="007B09DD" w14:paraId="7E4F6E0A" w14:textId="77777777" w:rsidTr="00542704">
        <w:trPr>
          <w:trHeight w:hRule="exact" w:val="402"/>
        </w:trPr>
        <w:tc>
          <w:tcPr>
            <w:tcW w:w="9214" w:type="dxa"/>
            <w:shd w:val="clear" w:color="auto" w:fill="0070AE" w:themeFill="accent2" w:themeFillTint="BF"/>
            <w:tcMar>
              <w:top w:w="113" w:type="dxa"/>
              <w:bottom w:w="113" w:type="dxa"/>
            </w:tcMar>
          </w:tcPr>
          <w:p w14:paraId="14BBA902" w14:textId="77777777" w:rsidR="00542704" w:rsidRPr="00657D37" w:rsidRDefault="00542704" w:rsidP="00542704">
            <w:pPr>
              <w:rPr>
                <w:b/>
              </w:rPr>
            </w:pPr>
            <w:r w:rsidRPr="00181E9F">
              <w:rPr>
                <w:b/>
                <w:color w:val="FFFFFF" w:themeColor="background1"/>
              </w:rPr>
              <w:t>Chapter 10 Building a climate resilient and sustainable Emissions Reduction Fund</w:t>
            </w:r>
          </w:p>
        </w:tc>
      </w:tr>
      <w:tr w:rsidR="00542704" w:rsidRPr="007B09DD" w14:paraId="4480DC14" w14:textId="77777777" w:rsidTr="00570347">
        <w:trPr>
          <w:trHeight w:hRule="exact" w:val="2293"/>
        </w:trPr>
        <w:tc>
          <w:tcPr>
            <w:tcW w:w="9214" w:type="dxa"/>
            <w:shd w:val="clear" w:color="auto" w:fill="D9D9D9" w:themeFill="background1" w:themeFillShade="D9"/>
            <w:tcMar>
              <w:top w:w="113" w:type="dxa"/>
              <w:bottom w:w="113" w:type="dxa"/>
            </w:tcMar>
          </w:tcPr>
          <w:p w14:paraId="483D7E4D" w14:textId="77777777" w:rsidR="00542704" w:rsidRDefault="00542704" w:rsidP="00542704">
            <w:pPr>
              <w:rPr>
                <w:b/>
              </w:rPr>
            </w:pPr>
            <w:r w:rsidRPr="00657D37">
              <w:rPr>
                <w:b/>
              </w:rPr>
              <w:t>R</w:t>
            </w:r>
            <w:r>
              <w:rPr>
                <w:b/>
              </w:rPr>
              <w:t>ecommendation 23</w:t>
            </w:r>
          </w:p>
          <w:p w14:paraId="7A2335CC" w14:textId="77777777" w:rsidR="00542704" w:rsidRDefault="00542704" w:rsidP="00542704"/>
          <w:p w14:paraId="33D3CD8B" w14:textId="77777777" w:rsidR="00542704" w:rsidRDefault="00542704" w:rsidP="00542704">
            <w:r>
              <w:t>T</w:t>
            </w:r>
            <w:r w:rsidRPr="00B71059">
              <w:t xml:space="preserve">o </w:t>
            </w:r>
            <w:r>
              <w:t>encourage more participation in the ERF and</w:t>
            </w:r>
            <w:r w:rsidRPr="00B71059">
              <w:t xml:space="preserve"> best practice implementation of ERF projects</w:t>
            </w:r>
            <w:r>
              <w:t>, including climate resilience:</w:t>
            </w:r>
          </w:p>
          <w:p w14:paraId="5F811FD7" w14:textId="77777777" w:rsidR="00542704" w:rsidRDefault="00542704" w:rsidP="00542704">
            <w:pPr>
              <w:pStyle w:val="ListParagraph"/>
              <w:numPr>
                <w:ilvl w:val="0"/>
                <w:numId w:val="43"/>
              </w:numPr>
            </w:pPr>
            <w:r>
              <w:t>develop</w:t>
            </w:r>
            <w:r w:rsidRPr="00B71059">
              <w:t xml:space="preserve"> tailored, region</w:t>
            </w:r>
            <w:r>
              <w:t>-</w:t>
            </w:r>
            <w:r w:rsidRPr="00B71059">
              <w:t xml:space="preserve">specific outreach programs </w:t>
            </w:r>
            <w:r>
              <w:t>for the land and agricultural sectors</w:t>
            </w:r>
            <w:r w:rsidRPr="00084282">
              <w:t>,</w:t>
            </w:r>
            <w:r w:rsidRPr="00B71059">
              <w:t xml:space="preserve"> in co</w:t>
            </w:r>
            <w:r>
              <w:t xml:space="preserve">llaboration </w:t>
            </w:r>
            <w:r w:rsidRPr="00B71059">
              <w:t>with other Government programs, for example the Future Drought Fund</w:t>
            </w:r>
          </w:p>
          <w:p w14:paraId="77AF6CD8" w14:textId="77777777" w:rsidR="00542704" w:rsidRPr="00F6262C" w:rsidRDefault="00542704" w:rsidP="00542704">
            <w:pPr>
              <w:pStyle w:val="ListParagraph"/>
              <w:numPr>
                <w:ilvl w:val="0"/>
                <w:numId w:val="43"/>
              </w:numPr>
              <w:ind w:left="714" w:hanging="357"/>
            </w:pPr>
            <w:r>
              <w:t>p</w:t>
            </w:r>
            <w:r w:rsidRPr="00B71059">
              <w:t xml:space="preserve">ublish voluntary best practice guidance for ERF projects, </w:t>
            </w:r>
            <w:r>
              <w:t xml:space="preserve">including resilience, </w:t>
            </w:r>
            <w:r w:rsidRPr="00B71059">
              <w:t>noting that these would need to be method and region specific.</w:t>
            </w:r>
          </w:p>
          <w:p w14:paraId="1FEF9055" w14:textId="77777777" w:rsidR="00542704" w:rsidRPr="00657D37" w:rsidRDefault="00542704" w:rsidP="00542704">
            <w:pPr>
              <w:rPr>
                <w:b/>
              </w:rPr>
            </w:pPr>
          </w:p>
        </w:tc>
      </w:tr>
    </w:tbl>
    <w:p w14:paraId="302D3C85" w14:textId="77777777" w:rsidR="00542704" w:rsidRDefault="00542704"/>
    <w:p w14:paraId="227D5853" w14:textId="02531BFA" w:rsidR="00005123" w:rsidRDefault="00005123" w:rsidP="00542704">
      <w:pPr>
        <w:spacing w:line="259" w:lineRule="auto"/>
      </w:pPr>
      <w:r>
        <w:br w:type="page"/>
      </w:r>
    </w:p>
    <w:p w14:paraId="6B38EF43" w14:textId="5ACDD968" w:rsidR="00573159" w:rsidRPr="00570347" w:rsidRDefault="00E947F1" w:rsidP="00570347">
      <w:pPr>
        <w:pStyle w:val="Heading1"/>
        <w:ind w:left="0" w:firstLine="0"/>
        <w:rPr>
          <w:color w:val="0070AE" w:themeColor="accent2" w:themeTint="BF"/>
        </w:rPr>
      </w:pPr>
      <w:bookmarkStart w:id="377" w:name="_Toc497819447"/>
      <w:bookmarkStart w:id="378" w:name="_Toc498691513"/>
      <w:bookmarkStart w:id="379" w:name="_Toc499043694"/>
      <w:bookmarkStart w:id="380" w:name="_Toc499051720"/>
      <w:bookmarkStart w:id="381" w:name="_Toc500251070"/>
      <w:bookmarkStart w:id="382" w:name="_Toc500251345"/>
      <w:bookmarkStart w:id="383" w:name="_Toc500253942"/>
      <w:bookmarkStart w:id="384" w:name="_Toc500401449"/>
      <w:bookmarkStart w:id="385" w:name="_Toc500490934"/>
      <w:bookmarkStart w:id="386" w:name="_Toc500512876"/>
      <w:bookmarkStart w:id="387" w:name="_Toc500514131"/>
      <w:bookmarkStart w:id="388" w:name="_Toc500516188"/>
      <w:bookmarkStart w:id="389" w:name="_Toc44514562"/>
      <w:bookmarkStart w:id="390" w:name="_Toc45030341"/>
      <w:bookmarkStart w:id="391" w:name="_Toc48996296"/>
      <w:bookmarkStart w:id="392" w:name="_Toc49350818"/>
      <w:bookmarkStart w:id="393" w:name="_Toc49352798"/>
      <w:bookmarkStart w:id="394" w:name="_Toc49354174"/>
      <w:bookmarkStart w:id="395" w:name="_Toc49355500"/>
      <w:bookmarkStart w:id="396" w:name="_Toc49429258"/>
      <w:bookmarkStart w:id="397" w:name="_Toc49434015"/>
      <w:bookmarkStart w:id="398" w:name="_Toc49441008"/>
      <w:bookmarkStart w:id="399" w:name="_Toc49441198"/>
      <w:bookmarkStart w:id="400" w:name="_Toc49442201"/>
      <w:bookmarkStart w:id="401" w:name="_Toc49508930"/>
      <w:bookmarkStart w:id="402" w:name="_Toc49519740"/>
      <w:bookmarkStart w:id="403" w:name="_Toc49521455"/>
      <w:bookmarkStart w:id="404" w:name="_Toc49524527"/>
      <w:bookmarkStart w:id="405" w:name="_Toc49524665"/>
      <w:bookmarkStart w:id="406" w:name="_Toc49527134"/>
      <w:bookmarkStart w:id="407" w:name="_Toc49527972"/>
      <w:bookmarkStart w:id="408" w:name="_Toc49692124"/>
      <w:bookmarkStart w:id="409" w:name="_Toc49710497"/>
      <w:bookmarkStart w:id="410" w:name="_Toc49710669"/>
      <w:bookmarkStart w:id="411" w:name="_Toc49713222"/>
      <w:bookmarkStart w:id="412" w:name="_Toc49713424"/>
      <w:bookmarkStart w:id="413" w:name="_Toc49776362"/>
      <w:bookmarkStart w:id="414" w:name="_Toc49784921"/>
      <w:bookmarkStart w:id="415" w:name="_Toc49786247"/>
      <w:bookmarkStart w:id="416" w:name="_Toc49787296"/>
      <w:bookmarkStart w:id="417" w:name="_Toc49787351"/>
      <w:bookmarkStart w:id="418" w:name="_Toc49850665"/>
      <w:bookmarkStart w:id="419" w:name="_Toc49852907"/>
      <w:bookmarkStart w:id="420" w:name="_Toc49854324"/>
      <w:bookmarkStart w:id="421" w:name="_Toc49856920"/>
      <w:bookmarkStart w:id="422" w:name="_Toc49858236"/>
      <w:bookmarkStart w:id="423" w:name="_Toc49858291"/>
      <w:bookmarkStart w:id="424" w:name="_Toc49862993"/>
      <w:bookmarkStart w:id="425" w:name="_Toc49867716"/>
      <w:bookmarkStart w:id="426" w:name="_Toc49870552"/>
      <w:bookmarkStart w:id="427" w:name="_Toc49871295"/>
      <w:bookmarkStart w:id="428" w:name="_Toc49871975"/>
      <w:bookmarkStart w:id="429" w:name="_Toc49872528"/>
      <w:bookmarkStart w:id="430" w:name="_Toc50027740"/>
      <w:bookmarkStart w:id="431" w:name="_Toc50029434"/>
      <w:bookmarkStart w:id="432" w:name="_Toc50043868"/>
      <w:bookmarkStart w:id="433" w:name="_Toc50057719"/>
      <w:bookmarkStart w:id="434" w:name="_Toc50553596"/>
      <w:bookmarkStart w:id="435" w:name="_Toc50555359"/>
      <w:bookmarkStart w:id="436" w:name="_Toc50559819"/>
      <w:bookmarkStart w:id="437" w:name="_Toc50559872"/>
      <w:bookmarkStart w:id="438" w:name="_Toc50563806"/>
      <w:bookmarkStart w:id="439" w:name="_Toc50711359"/>
      <w:bookmarkStart w:id="440" w:name="_Toc50720941"/>
      <w:bookmarkStart w:id="441" w:name="_Toc50730665"/>
      <w:bookmarkStart w:id="442" w:name="_Toc50734891"/>
      <w:bookmarkStart w:id="443" w:name="_Toc50735494"/>
      <w:bookmarkStart w:id="444" w:name="_Toc50905513"/>
      <w:bookmarkStart w:id="445" w:name="_Toc51586998"/>
      <w:bookmarkStart w:id="446" w:name="_Toc51594858"/>
      <w:bookmarkStart w:id="447" w:name="_Toc51599461"/>
      <w:bookmarkStart w:id="448" w:name="_Toc51613497"/>
      <w:bookmarkStart w:id="449" w:name="_Toc51669608"/>
      <w:bookmarkStart w:id="450" w:name="_Toc51669703"/>
      <w:bookmarkStart w:id="451" w:name="_Toc51672852"/>
      <w:bookmarkStart w:id="452" w:name="_Toc51673902"/>
      <w:bookmarkStart w:id="453" w:name="_Toc51680719"/>
      <w:bookmarkStart w:id="454" w:name="_Toc51683248"/>
      <w:bookmarkStart w:id="455" w:name="_Toc51685984"/>
      <w:bookmarkStart w:id="456" w:name="_Toc51687722"/>
      <w:bookmarkStart w:id="457" w:name="_Toc51687866"/>
      <w:bookmarkStart w:id="458" w:name="_Toc51705744"/>
      <w:bookmarkStart w:id="459" w:name="_Toc51770690"/>
      <w:bookmarkStart w:id="460" w:name="_Toc51770876"/>
      <w:bookmarkStart w:id="461" w:name="_Toc52359219"/>
      <w:bookmarkStart w:id="462" w:name="_Toc52367252"/>
      <w:bookmarkStart w:id="463" w:name="_Toc52371592"/>
      <w:bookmarkStart w:id="464" w:name="_Toc52374740"/>
      <w:bookmarkStart w:id="465" w:name="_Toc52377278"/>
      <w:bookmarkStart w:id="466" w:name="_Toc52379200"/>
      <w:bookmarkStart w:id="467" w:name="_Toc52379555"/>
      <w:bookmarkStart w:id="468" w:name="_Toc52532765"/>
      <w:bookmarkStart w:id="469" w:name="_Toc52535660"/>
      <w:bookmarkStart w:id="470" w:name="_Toc52537478"/>
      <w:bookmarkStart w:id="471" w:name="_Toc52544041"/>
      <w:bookmarkStart w:id="472" w:name="_Toc52545645"/>
      <w:bookmarkStart w:id="473" w:name="_Toc52547877"/>
      <w:bookmarkStart w:id="474" w:name="_Toc52548566"/>
      <w:bookmarkStart w:id="475" w:name="_Toc52890858"/>
      <w:bookmarkStart w:id="476" w:name="_Toc52895061"/>
      <w:bookmarkStart w:id="477" w:name="_Toc52896585"/>
      <w:bookmarkStart w:id="478" w:name="_Toc52977762"/>
      <w:bookmarkStart w:id="479" w:name="_Toc53129448"/>
      <w:r w:rsidRPr="00573159">
        <w:rPr>
          <w:color w:val="0070AE" w:themeColor="accent2" w:themeTint="BF"/>
        </w:rPr>
        <w:t xml:space="preserve">Chapter 1: </w:t>
      </w:r>
      <w:r w:rsidR="00604040" w:rsidRPr="00573159">
        <w:rPr>
          <w:color w:val="0070AE" w:themeColor="accent2" w:themeTint="BF"/>
        </w:rPr>
        <w:t>Introduction</w:t>
      </w:r>
      <w:r w:rsidR="00005123" w:rsidRPr="00573159">
        <w:rPr>
          <w:color w:val="0070AE" w:themeColor="accent2" w:themeTint="BF"/>
        </w:rPr>
        <w:t xml:space="preserve"> </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0065452C" w:rsidRPr="00573159">
        <w:rPr>
          <w:color w:val="0070AE" w:themeColor="accent2" w:themeTint="BF"/>
        </w:rPr>
        <w:t>to this review</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0E9FC789" w14:textId="62C895C2" w:rsidR="00005123" w:rsidRPr="00573159" w:rsidRDefault="00005123" w:rsidP="00004274">
      <w:pPr>
        <w:pStyle w:val="Heading2"/>
        <w:numPr>
          <w:ilvl w:val="1"/>
          <w:numId w:val="48"/>
        </w:numPr>
        <w:rPr>
          <w:color w:val="0070AE" w:themeColor="accent2" w:themeTint="BF"/>
        </w:rPr>
      </w:pPr>
      <w:bookmarkStart w:id="480" w:name="_Toc497819448"/>
      <w:bookmarkStart w:id="481" w:name="_Toc498691514"/>
      <w:bookmarkStart w:id="482" w:name="_Toc499043695"/>
      <w:bookmarkStart w:id="483" w:name="_Toc499051721"/>
      <w:bookmarkStart w:id="484" w:name="_Toc500251071"/>
      <w:bookmarkStart w:id="485" w:name="_Toc500251346"/>
      <w:bookmarkStart w:id="486" w:name="_Toc500253943"/>
      <w:bookmarkStart w:id="487" w:name="_Toc500401450"/>
      <w:bookmarkStart w:id="488" w:name="_Toc500490935"/>
      <w:bookmarkStart w:id="489" w:name="_Toc500512877"/>
      <w:bookmarkStart w:id="490" w:name="_Toc500514132"/>
      <w:bookmarkStart w:id="491" w:name="_Toc500516189"/>
      <w:bookmarkStart w:id="492" w:name="_Toc44514563"/>
      <w:bookmarkStart w:id="493" w:name="_Toc45030342"/>
      <w:bookmarkStart w:id="494" w:name="_Toc48996297"/>
      <w:bookmarkStart w:id="495" w:name="_Toc49350819"/>
      <w:bookmarkStart w:id="496" w:name="_Toc49352799"/>
      <w:bookmarkStart w:id="497" w:name="_Toc49354175"/>
      <w:bookmarkStart w:id="498" w:name="_Toc49355501"/>
      <w:bookmarkStart w:id="499" w:name="_Toc49429259"/>
      <w:bookmarkStart w:id="500" w:name="_Toc49434016"/>
      <w:bookmarkStart w:id="501" w:name="_Toc49441009"/>
      <w:bookmarkStart w:id="502" w:name="_Toc49441199"/>
      <w:bookmarkStart w:id="503" w:name="_Toc49442202"/>
      <w:bookmarkStart w:id="504" w:name="_Toc49508931"/>
      <w:bookmarkStart w:id="505" w:name="_Toc49519741"/>
      <w:bookmarkStart w:id="506" w:name="_Toc49521456"/>
      <w:bookmarkStart w:id="507" w:name="_Toc49524528"/>
      <w:bookmarkStart w:id="508" w:name="_Toc49524666"/>
      <w:bookmarkStart w:id="509" w:name="_Toc49527135"/>
      <w:bookmarkStart w:id="510" w:name="_Toc49527973"/>
      <w:bookmarkStart w:id="511" w:name="_Toc49692125"/>
      <w:bookmarkStart w:id="512" w:name="_Toc49710498"/>
      <w:bookmarkStart w:id="513" w:name="_Toc49710670"/>
      <w:bookmarkStart w:id="514" w:name="_Toc49713223"/>
      <w:bookmarkStart w:id="515" w:name="_Toc49713425"/>
      <w:bookmarkStart w:id="516" w:name="_Toc49776363"/>
      <w:bookmarkStart w:id="517" w:name="_Toc49784922"/>
      <w:bookmarkStart w:id="518" w:name="_Toc49786248"/>
      <w:bookmarkStart w:id="519" w:name="_Toc49787297"/>
      <w:bookmarkStart w:id="520" w:name="_Toc49787352"/>
      <w:bookmarkStart w:id="521" w:name="_Toc49850666"/>
      <w:bookmarkStart w:id="522" w:name="_Toc49852908"/>
      <w:bookmarkStart w:id="523" w:name="_Toc49854325"/>
      <w:bookmarkStart w:id="524" w:name="_Toc49856921"/>
      <w:bookmarkStart w:id="525" w:name="_Toc49858237"/>
      <w:bookmarkStart w:id="526" w:name="_Toc49858292"/>
      <w:bookmarkStart w:id="527" w:name="_Toc49862994"/>
      <w:bookmarkStart w:id="528" w:name="_Toc49867717"/>
      <w:bookmarkStart w:id="529" w:name="_Toc49870553"/>
      <w:bookmarkStart w:id="530" w:name="_Toc49871296"/>
      <w:bookmarkStart w:id="531" w:name="_Toc49871976"/>
      <w:bookmarkStart w:id="532" w:name="_Toc49872529"/>
      <w:bookmarkStart w:id="533" w:name="_Toc50027741"/>
      <w:bookmarkStart w:id="534" w:name="_Toc50029435"/>
      <w:bookmarkStart w:id="535" w:name="_Toc50043869"/>
      <w:bookmarkStart w:id="536" w:name="_Toc50057720"/>
      <w:bookmarkStart w:id="537" w:name="_Toc50553597"/>
      <w:bookmarkStart w:id="538" w:name="_Toc50555360"/>
      <w:bookmarkStart w:id="539" w:name="_Toc50559820"/>
      <w:bookmarkStart w:id="540" w:name="_Toc50559873"/>
      <w:bookmarkStart w:id="541" w:name="_Toc50563807"/>
      <w:bookmarkStart w:id="542" w:name="_Toc50711360"/>
      <w:bookmarkStart w:id="543" w:name="_Toc50720942"/>
      <w:bookmarkStart w:id="544" w:name="_Toc50730666"/>
      <w:bookmarkStart w:id="545" w:name="_Toc50734892"/>
      <w:bookmarkStart w:id="546" w:name="_Toc50735495"/>
      <w:bookmarkStart w:id="547" w:name="_Toc50905514"/>
      <w:bookmarkStart w:id="548" w:name="_Toc51586999"/>
      <w:bookmarkStart w:id="549" w:name="_Toc51594859"/>
      <w:bookmarkStart w:id="550" w:name="_Toc51599462"/>
      <w:bookmarkStart w:id="551" w:name="_Toc51613498"/>
      <w:bookmarkStart w:id="552" w:name="_Toc51669609"/>
      <w:bookmarkStart w:id="553" w:name="_Toc51669704"/>
      <w:bookmarkStart w:id="554" w:name="_Toc51672853"/>
      <w:bookmarkStart w:id="555" w:name="_Toc51673903"/>
      <w:bookmarkStart w:id="556" w:name="_Toc51680720"/>
      <w:bookmarkStart w:id="557" w:name="_Toc51683249"/>
      <w:bookmarkStart w:id="558" w:name="_Toc51685985"/>
      <w:bookmarkStart w:id="559" w:name="_Toc51687723"/>
      <w:bookmarkStart w:id="560" w:name="_Toc51687867"/>
      <w:bookmarkStart w:id="561" w:name="_Toc51705745"/>
      <w:bookmarkStart w:id="562" w:name="_Toc51770691"/>
      <w:bookmarkStart w:id="563" w:name="_Toc51770877"/>
      <w:bookmarkStart w:id="564" w:name="_Toc52359220"/>
      <w:bookmarkStart w:id="565" w:name="_Toc52367253"/>
      <w:bookmarkStart w:id="566" w:name="_Toc52371593"/>
      <w:bookmarkStart w:id="567" w:name="_Toc52374741"/>
      <w:bookmarkStart w:id="568" w:name="_Toc52377279"/>
      <w:bookmarkStart w:id="569" w:name="_Toc52379201"/>
      <w:bookmarkStart w:id="570" w:name="_Toc52379556"/>
      <w:bookmarkStart w:id="571" w:name="_Toc52532766"/>
      <w:bookmarkStart w:id="572" w:name="_Toc52535661"/>
      <w:bookmarkStart w:id="573" w:name="_Toc52537479"/>
      <w:bookmarkStart w:id="574" w:name="_Toc52544042"/>
      <w:bookmarkStart w:id="575" w:name="_Toc52545646"/>
      <w:bookmarkStart w:id="576" w:name="_Toc52547878"/>
      <w:bookmarkStart w:id="577" w:name="_Toc52548567"/>
      <w:bookmarkStart w:id="578" w:name="_Toc52890859"/>
      <w:bookmarkStart w:id="579" w:name="_Toc52895062"/>
      <w:bookmarkStart w:id="580" w:name="_Toc52896586"/>
      <w:bookmarkStart w:id="581" w:name="_Toc52977763"/>
      <w:bookmarkStart w:id="582" w:name="_Toc53129449"/>
      <w:r w:rsidRPr="00573159">
        <w:rPr>
          <w:color w:val="0070AE" w:themeColor="accent2" w:themeTint="BF"/>
        </w:rPr>
        <w:t>About this review</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1C072123" w14:textId="712D8DB4" w:rsidR="009C7BD2" w:rsidRDefault="009C7BD2" w:rsidP="0028496A">
      <w:pPr>
        <w:shd w:val="clear" w:color="auto" w:fill="FFFFFF" w:themeFill="background1"/>
      </w:pPr>
      <w:r>
        <w:t xml:space="preserve">The Climate Change Authority is an independent statutory agency, established to provide expert, evidence-based advice on Australia’s climate change policy. </w:t>
      </w:r>
    </w:p>
    <w:p w14:paraId="324D4F50" w14:textId="6AD46A9E" w:rsidR="00866B4D" w:rsidRPr="008420C6" w:rsidRDefault="00866B4D" w:rsidP="00866B4D">
      <w:r w:rsidRPr="008420C6">
        <w:t xml:space="preserve">The Authority is required to review the Emissions Reduction Fund (ERF) every three years and previously reviewed the ERF in 2014 and 2017. The requirement to review the ERF is set out in the </w:t>
      </w:r>
      <w:r w:rsidRPr="00F952B9">
        <w:rPr>
          <w:i/>
        </w:rPr>
        <w:t>Carbon Credits (Carbon Farming Initiative) Act 2011</w:t>
      </w:r>
      <w:r w:rsidRPr="008420C6">
        <w:t xml:space="preserve"> (Cth) (CFI Act), which gives effect to the Emissions Reduction Fund. The CFI Act states that the Authority must conduct reviews of the </w:t>
      </w:r>
      <w:r>
        <w:t xml:space="preserve">operation of the </w:t>
      </w:r>
      <w:r w:rsidRPr="008420C6">
        <w:t xml:space="preserve">Act, regulations and other instruments under the Act, such as ERF methods. </w:t>
      </w:r>
    </w:p>
    <w:p w14:paraId="5AE86C9A" w14:textId="66EF6077" w:rsidR="00866B4D" w:rsidRPr="008420C6" w:rsidRDefault="00866B4D" w:rsidP="00866B4D">
      <w:r w:rsidRPr="008420C6">
        <w:t>The ERF has three elements: crediting emissions reductions</w:t>
      </w:r>
      <w:r w:rsidR="00547016">
        <w:t>;</w:t>
      </w:r>
      <w:r w:rsidRPr="008420C6">
        <w:t xml:space="preserve"> purchasing emissions reductions</w:t>
      </w:r>
      <w:r w:rsidR="00547016">
        <w:t>;</w:t>
      </w:r>
      <w:r w:rsidRPr="008420C6">
        <w:t xml:space="preserve"> and </w:t>
      </w:r>
      <w:r w:rsidR="003874D9">
        <w:t xml:space="preserve">the </w:t>
      </w:r>
      <w:r w:rsidR="00EF3364">
        <w:t>Safeguard Mechanism</w:t>
      </w:r>
      <w:r w:rsidRPr="008420C6">
        <w:t xml:space="preserve">. This review covers the crediting and purchasing aspects of the ERF. The </w:t>
      </w:r>
      <w:r w:rsidR="00EF3364">
        <w:t>Safeguard Mechanism</w:t>
      </w:r>
      <w:r>
        <w:t xml:space="preserve"> is covered by the </w:t>
      </w:r>
      <w:r w:rsidRPr="00F952B9">
        <w:rPr>
          <w:i/>
        </w:rPr>
        <w:t xml:space="preserve">National Greenhouse and Energy Reporting Act </w:t>
      </w:r>
      <w:r w:rsidR="00D21FB2" w:rsidRPr="00F952B9">
        <w:rPr>
          <w:i/>
        </w:rPr>
        <w:t>2007</w:t>
      </w:r>
      <w:r>
        <w:t xml:space="preserve"> and </w:t>
      </w:r>
      <w:r w:rsidRPr="008420C6">
        <w:t xml:space="preserve">was reviewed </w:t>
      </w:r>
      <w:r w:rsidR="00EA2F84">
        <w:t xml:space="preserve">by the Authority </w:t>
      </w:r>
      <w:r w:rsidRPr="008420C6">
        <w:t xml:space="preserve">in 2018 as part of the </w:t>
      </w:r>
      <w:r>
        <w:t>legislative requirements of that Act.</w:t>
      </w:r>
      <w:r w:rsidR="00FA4322">
        <w:t xml:space="preserve"> </w:t>
      </w:r>
      <w:r>
        <w:t xml:space="preserve">The </w:t>
      </w:r>
      <w:r w:rsidR="00EA2F84">
        <w:t xml:space="preserve">Authority will review the </w:t>
      </w:r>
      <w:r w:rsidR="00EF3364">
        <w:t>Safeguard Mechanism</w:t>
      </w:r>
      <w:r>
        <w:t xml:space="preserve"> </w:t>
      </w:r>
      <w:r w:rsidR="00EA2F84">
        <w:t>again</w:t>
      </w:r>
      <w:r w:rsidR="00547016">
        <w:t xml:space="preserve"> </w:t>
      </w:r>
      <w:r>
        <w:t>in 202</w:t>
      </w:r>
      <w:r w:rsidR="00D76A3B">
        <w:t>3</w:t>
      </w:r>
      <w:r w:rsidR="00FA4322">
        <w:t xml:space="preserve"> and therefore only </w:t>
      </w:r>
      <w:r w:rsidR="008C50C1">
        <w:t>examines</w:t>
      </w:r>
      <w:r w:rsidR="00FA4322">
        <w:t xml:space="preserve"> elements of the </w:t>
      </w:r>
      <w:r w:rsidR="00F64AF8">
        <w:t>S</w:t>
      </w:r>
      <w:r w:rsidR="00FA4322">
        <w:t xml:space="preserve">afeguard </w:t>
      </w:r>
      <w:r w:rsidR="00F64AF8">
        <w:t>M</w:t>
      </w:r>
      <w:r w:rsidR="00FA4322">
        <w:t xml:space="preserve">echanism </w:t>
      </w:r>
      <w:r w:rsidR="008C50C1">
        <w:t xml:space="preserve">in </w:t>
      </w:r>
      <w:r w:rsidR="00F64AF8">
        <w:t xml:space="preserve">this </w:t>
      </w:r>
      <w:r w:rsidR="008C50C1">
        <w:t xml:space="preserve">review </w:t>
      </w:r>
      <w:r w:rsidR="00FA4322">
        <w:t xml:space="preserve">insofar as they impact on the ERF. </w:t>
      </w:r>
    </w:p>
    <w:p w14:paraId="7CA63D86" w14:textId="3BCFD706" w:rsidR="001C3902" w:rsidRDefault="001C3902" w:rsidP="001C3902">
      <w:pPr>
        <w:rPr>
          <w:shd w:val="clear" w:color="auto" w:fill="FFFFFF" w:themeFill="background1"/>
        </w:rPr>
      </w:pPr>
      <w:r>
        <w:t>In 2017, the Authority conducted a detailed operational review of the ERF</w:t>
      </w:r>
      <w:r w:rsidRPr="002075EC">
        <w:t xml:space="preserve"> </w:t>
      </w:r>
      <w:r>
        <w:t>and</w:t>
      </w:r>
      <w:r w:rsidRPr="008420C6">
        <w:t xml:space="preserve"> generally </w:t>
      </w:r>
      <w:r>
        <w:t>found it to be</w:t>
      </w:r>
      <w:r w:rsidRPr="008420C6">
        <w:t xml:space="preserve"> </w:t>
      </w:r>
      <w:r>
        <w:t>performing well at the time</w:t>
      </w:r>
      <w:r w:rsidRPr="008420C6">
        <w:t>.</w:t>
      </w:r>
      <w:r>
        <w:t xml:space="preserve"> </w:t>
      </w:r>
      <w:r w:rsidRPr="008420C6">
        <w:t xml:space="preserve">This was due in </w:t>
      </w:r>
      <w:r>
        <w:t>a large</w:t>
      </w:r>
      <w:r w:rsidRPr="008420C6">
        <w:t xml:space="preserve"> part to </w:t>
      </w:r>
      <w:r>
        <w:t>the</w:t>
      </w:r>
      <w:r w:rsidRPr="008420C6">
        <w:t xml:space="preserve"> </w:t>
      </w:r>
      <w:r w:rsidR="003874D9">
        <w:t>scheme’s in-built</w:t>
      </w:r>
      <w:r w:rsidRPr="008420C6">
        <w:t xml:space="preserve"> mechanisms for ensuring environmental integrity and sound administration by the Clean Energy Regulator </w:t>
      </w:r>
      <w:r>
        <w:t>(</w:t>
      </w:r>
      <w:r w:rsidRPr="008420C6">
        <w:t>Regulator</w:t>
      </w:r>
      <w:r>
        <w:t>)</w:t>
      </w:r>
      <w:r w:rsidRPr="008420C6">
        <w:t>.</w:t>
      </w:r>
      <w:r>
        <w:t xml:space="preserve"> T</w:t>
      </w:r>
      <w:r w:rsidRPr="008420C6">
        <w:t xml:space="preserve">he Authority made 26 recommendations to further enhance </w:t>
      </w:r>
      <w:r>
        <w:t xml:space="preserve">and streamline </w:t>
      </w:r>
      <w:r w:rsidRPr="008420C6">
        <w:t>the ERF</w:t>
      </w:r>
      <w:r>
        <w:t xml:space="preserve">. </w:t>
      </w:r>
      <w:r w:rsidRPr="008420C6">
        <w:t xml:space="preserve">The Government accepted the majority of </w:t>
      </w:r>
      <w:r>
        <w:t xml:space="preserve">the Authority’s </w:t>
      </w:r>
      <w:r w:rsidRPr="008420C6">
        <w:t>recommendations</w:t>
      </w:r>
      <w:r>
        <w:t xml:space="preserve"> from that review </w:t>
      </w:r>
      <w:r w:rsidRPr="008420C6">
        <w:t xml:space="preserve">and has taken </w:t>
      </w:r>
      <w:r>
        <w:t>steps</w:t>
      </w:r>
      <w:r w:rsidRPr="008420C6">
        <w:t xml:space="preserve"> to enact them</w:t>
      </w:r>
      <w:r w:rsidR="003C59C1">
        <w:t xml:space="preserve"> (Appendix C</w:t>
      </w:r>
      <w:r>
        <w:t>)</w:t>
      </w:r>
      <w:r w:rsidRPr="008420C6">
        <w:t xml:space="preserve">. </w:t>
      </w:r>
      <w:r>
        <w:t xml:space="preserve">The </w:t>
      </w:r>
      <w:r w:rsidRPr="00082541">
        <w:rPr>
          <w:shd w:val="clear" w:color="auto" w:fill="FFFFFF" w:themeFill="background1"/>
        </w:rPr>
        <w:t xml:space="preserve">Authority </w:t>
      </w:r>
      <w:r>
        <w:rPr>
          <w:shd w:val="clear" w:color="auto" w:fill="FFFFFF" w:themeFill="background1"/>
        </w:rPr>
        <w:t>has n</w:t>
      </w:r>
      <w:r w:rsidRPr="00082541">
        <w:rPr>
          <w:shd w:val="clear" w:color="auto" w:fill="FFFFFF" w:themeFill="background1"/>
        </w:rPr>
        <w:t>ot revisit</w:t>
      </w:r>
      <w:r>
        <w:rPr>
          <w:shd w:val="clear" w:color="auto" w:fill="FFFFFF" w:themeFill="background1"/>
        </w:rPr>
        <w:t>ed</w:t>
      </w:r>
      <w:r w:rsidRPr="00082541">
        <w:rPr>
          <w:shd w:val="clear" w:color="auto" w:fill="FFFFFF" w:themeFill="background1"/>
        </w:rPr>
        <w:t xml:space="preserve"> </w:t>
      </w:r>
      <w:r>
        <w:rPr>
          <w:shd w:val="clear" w:color="auto" w:fill="FFFFFF" w:themeFill="background1"/>
        </w:rPr>
        <w:t xml:space="preserve">its recommendations from </w:t>
      </w:r>
      <w:r w:rsidRPr="00082541">
        <w:rPr>
          <w:shd w:val="clear" w:color="auto" w:fill="FFFFFF" w:themeFill="background1"/>
        </w:rPr>
        <w:t xml:space="preserve">2017 which are being addressed, unless there </w:t>
      </w:r>
      <w:r>
        <w:rPr>
          <w:shd w:val="clear" w:color="auto" w:fill="FFFFFF" w:themeFill="background1"/>
        </w:rPr>
        <w:t>is a particular need to do so</w:t>
      </w:r>
      <w:r w:rsidRPr="00082541">
        <w:rPr>
          <w:shd w:val="clear" w:color="auto" w:fill="FFFFFF" w:themeFill="background1"/>
        </w:rPr>
        <w:t>.</w:t>
      </w:r>
    </w:p>
    <w:p w14:paraId="7CB8847E" w14:textId="0AA0DD61" w:rsidR="00082541" w:rsidRDefault="00082541" w:rsidP="00082541">
      <w:pPr>
        <w:shd w:val="clear" w:color="auto" w:fill="FFFFFF" w:themeFill="background1"/>
      </w:pPr>
      <w:r>
        <w:t>I</w:t>
      </w:r>
      <w:r w:rsidR="00866B4D">
        <w:t xml:space="preserve">n this </w:t>
      </w:r>
      <w:r w:rsidRPr="005206CA">
        <w:t>review</w:t>
      </w:r>
      <w:r w:rsidR="00866B4D">
        <w:t>,</w:t>
      </w:r>
      <w:r w:rsidRPr="005206CA">
        <w:t xml:space="preserve"> the Authority has examined the </w:t>
      </w:r>
      <w:r>
        <w:t xml:space="preserve">performance of the ERF by considering the </w:t>
      </w:r>
      <w:r w:rsidRPr="005206CA">
        <w:t xml:space="preserve">extent to which the ERF is </w:t>
      </w:r>
      <w:r w:rsidR="00067FFE">
        <w:t>meeting its objectives to deliver emissions reductions</w:t>
      </w:r>
      <w:r w:rsidR="00C9515E">
        <w:t>. The Authority’s consultation and analysis has led to a focus on</w:t>
      </w:r>
      <w:r w:rsidDel="00C9515E">
        <w:t xml:space="preserve"> </w:t>
      </w:r>
      <w:r>
        <w:t>three</w:t>
      </w:r>
      <w:r w:rsidR="00C9515E">
        <w:t xml:space="preserve"> broad</w:t>
      </w:r>
      <w:r>
        <w:t xml:space="preserve"> themes:</w:t>
      </w:r>
    </w:p>
    <w:p w14:paraId="31AA2DE7" w14:textId="12D01196" w:rsidR="00C4422B" w:rsidRPr="00EE2909" w:rsidRDefault="00C4422B" w:rsidP="00DE7141">
      <w:pPr>
        <w:pStyle w:val="ListBullet"/>
        <w:numPr>
          <w:ilvl w:val="0"/>
          <w:numId w:val="6"/>
        </w:numPr>
      </w:pPr>
      <w:r w:rsidRPr="00EE2909">
        <w:t xml:space="preserve">increasing the ERF’s contribution to reducing Australia’s emissions, by bolstering </w:t>
      </w:r>
      <w:r w:rsidR="00D76801">
        <w:t xml:space="preserve">the </w:t>
      </w:r>
      <w:r w:rsidRPr="00EE2909">
        <w:t>demand for</w:t>
      </w:r>
      <w:r w:rsidR="00D76801">
        <w:t xml:space="preserve">, </w:t>
      </w:r>
      <w:r w:rsidRPr="00EE2909">
        <w:t xml:space="preserve"> and the supply of</w:t>
      </w:r>
      <w:r w:rsidR="00D76801">
        <w:t>,</w:t>
      </w:r>
      <w:r w:rsidRPr="00EE2909">
        <w:t xml:space="preserve"> Australian Carbon Credit Units</w:t>
      </w:r>
      <w:r w:rsidR="00EE4342">
        <w:t xml:space="preserve"> (ACCUs)</w:t>
      </w:r>
      <w:r w:rsidR="00D76801">
        <w:t>,</w:t>
      </w:r>
      <w:r w:rsidRPr="00EE2909">
        <w:t xml:space="preserve"> while maintaining </w:t>
      </w:r>
      <w:r w:rsidR="00D76801">
        <w:t xml:space="preserve">the scheme’s </w:t>
      </w:r>
      <w:r w:rsidRPr="00EE2909">
        <w:t>integrity</w:t>
      </w:r>
    </w:p>
    <w:p w14:paraId="2443405D" w14:textId="585979E0" w:rsidR="00C4422B" w:rsidRDefault="00C4422B" w:rsidP="00DE7141">
      <w:pPr>
        <w:pStyle w:val="ListBullet"/>
        <w:numPr>
          <w:ilvl w:val="0"/>
          <w:numId w:val="6"/>
        </w:numPr>
      </w:pPr>
      <w:r w:rsidRPr="00EE2909">
        <w:t xml:space="preserve">improving the operation of the scheme through enhancing the governance arrangements </w:t>
      </w:r>
      <w:bookmarkStart w:id="583" w:name="_Toc45030343"/>
      <w:bookmarkStart w:id="584" w:name="_Toc48996298"/>
      <w:bookmarkStart w:id="585" w:name="_Toc49350820"/>
      <w:bookmarkStart w:id="586" w:name="_Toc49352800"/>
      <w:bookmarkStart w:id="587" w:name="_Toc49354176"/>
      <w:bookmarkStart w:id="588" w:name="_Toc49355502"/>
      <w:bookmarkStart w:id="589" w:name="_Toc49429260"/>
      <w:bookmarkStart w:id="590" w:name="_Toc49434017"/>
      <w:bookmarkStart w:id="591" w:name="_Toc49441010"/>
      <w:bookmarkStart w:id="592" w:name="_Toc49441200"/>
      <w:bookmarkStart w:id="593" w:name="_Toc49442203"/>
      <w:bookmarkStart w:id="594" w:name="_Toc49508932"/>
      <w:bookmarkStart w:id="595" w:name="_Toc49519742"/>
      <w:bookmarkStart w:id="596" w:name="_Toc49521457"/>
      <w:bookmarkStart w:id="597" w:name="_Toc49524529"/>
      <w:bookmarkStart w:id="598" w:name="_Toc49524667"/>
      <w:bookmarkStart w:id="599" w:name="_Toc49527136"/>
      <w:bookmarkStart w:id="600" w:name="_Toc49527974"/>
      <w:bookmarkStart w:id="601" w:name="_Toc49692126"/>
      <w:bookmarkStart w:id="602" w:name="_Toc49710499"/>
      <w:bookmarkStart w:id="603" w:name="_Toc49710671"/>
      <w:bookmarkStart w:id="604" w:name="_Toc49713224"/>
      <w:bookmarkStart w:id="605" w:name="_Toc49713426"/>
      <w:bookmarkStart w:id="606" w:name="_Toc49776364"/>
      <w:bookmarkStart w:id="607" w:name="_Toc49784923"/>
      <w:bookmarkStart w:id="608" w:name="_Toc49786249"/>
      <w:bookmarkStart w:id="609" w:name="_Toc49787298"/>
      <w:bookmarkStart w:id="610" w:name="_Toc49787353"/>
      <w:bookmarkStart w:id="611" w:name="_Toc49850667"/>
      <w:bookmarkStart w:id="612" w:name="_Toc49852909"/>
      <w:bookmarkStart w:id="613" w:name="_Toc49854326"/>
      <w:bookmarkStart w:id="614" w:name="_Toc49856922"/>
      <w:bookmarkStart w:id="615" w:name="_Toc49858238"/>
      <w:bookmarkStart w:id="616" w:name="_Toc49858293"/>
      <w:bookmarkStart w:id="617" w:name="_Toc49862995"/>
      <w:bookmarkStart w:id="618" w:name="_Toc49867718"/>
      <w:bookmarkStart w:id="619" w:name="_Toc49870554"/>
      <w:bookmarkStart w:id="620" w:name="_Toc49871297"/>
      <w:bookmarkStart w:id="621" w:name="_Toc49871977"/>
      <w:bookmarkStart w:id="622" w:name="_Toc49872530"/>
      <w:bookmarkStart w:id="623" w:name="_Toc50027742"/>
      <w:bookmarkStart w:id="624" w:name="_Toc50029436"/>
      <w:bookmarkStart w:id="625" w:name="_Toc50043870"/>
      <w:bookmarkStart w:id="626" w:name="_Toc50057721"/>
    </w:p>
    <w:p w14:paraId="501A4F94" w14:textId="1A9B6F02" w:rsidR="00C9515E" w:rsidRDefault="00C9515E" w:rsidP="00DE7141">
      <w:pPr>
        <w:pStyle w:val="ListBullet"/>
        <w:numPr>
          <w:ilvl w:val="0"/>
          <w:numId w:val="6"/>
        </w:numPr>
      </w:pPr>
      <w:r w:rsidRPr="00EE2909">
        <w:t>proactively managing risk including climate-related risk</w:t>
      </w:r>
      <w:r w:rsidR="00F256CE">
        <w:t>.</w:t>
      </w:r>
    </w:p>
    <w:p w14:paraId="0711C120" w14:textId="443A18E6" w:rsidR="00A94106" w:rsidRPr="00573159" w:rsidRDefault="00F45CE0" w:rsidP="00004274">
      <w:pPr>
        <w:pStyle w:val="Heading2"/>
        <w:numPr>
          <w:ilvl w:val="1"/>
          <w:numId w:val="48"/>
        </w:numPr>
        <w:rPr>
          <w:color w:val="0070AE" w:themeColor="accent2" w:themeTint="BF"/>
        </w:rPr>
      </w:pPr>
      <w:bookmarkStart w:id="627" w:name="_Toc50553598"/>
      <w:bookmarkStart w:id="628" w:name="_Toc50555361"/>
      <w:bookmarkStart w:id="629" w:name="_Toc50559821"/>
      <w:bookmarkStart w:id="630" w:name="_Toc50559874"/>
      <w:bookmarkStart w:id="631" w:name="_Toc50563808"/>
      <w:bookmarkStart w:id="632" w:name="_Toc50711361"/>
      <w:bookmarkStart w:id="633" w:name="_Toc50720943"/>
      <w:bookmarkStart w:id="634" w:name="_Toc50730667"/>
      <w:bookmarkStart w:id="635" w:name="_Toc50734893"/>
      <w:bookmarkStart w:id="636" w:name="_Toc50735496"/>
      <w:bookmarkStart w:id="637" w:name="_Toc50905515"/>
      <w:bookmarkStart w:id="638" w:name="_Toc51587000"/>
      <w:bookmarkStart w:id="639" w:name="_Toc51594860"/>
      <w:bookmarkStart w:id="640" w:name="_Toc51599463"/>
      <w:bookmarkStart w:id="641" w:name="_Toc51613499"/>
      <w:bookmarkStart w:id="642" w:name="_Toc51669610"/>
      <w:bookmarkStart w:id="643" w:name="_Toc51669705"/>
      <w:bookmarkStart w:id="644" w:name="_Toc51672854"/>
      <w:bookmarkStart w:id="645" w:name="_Toc51673904"/>
      <w:bookmarkStart w:id="646" w:name="_Toc51680721"/>
      <w:bookmarkStart w:id="647" w:name="_Toc51683250"/>
      <w:bookmarkStart w:id="648" w:name="_Toc51685986"/>
      <w:bookmarkStart w:id="649" w:name="_Toc51687724"/>
      <w:bookmarkStart w:id="650" w:name="_Toc51687868"/>
      <w:bookmarkStart w:id="651" w:name="_Toc51705746"/>
      <w:bookmarkStart w:id="652" w:name="_Toc51770692"/>
      <w:bookmarkStart w:id="653" w:name="_Toc51770878"/>
      <w:bookmarkStart w:id="654" w:name="_Toc52359221"/>
      <w:bookmarkStart w:id="655" w:name="_Toc52367254"/>
      <w:bookmarkStart w:id="656" w:name="_Toc52371594"/>
      <w:bookmarkStart w:id="657" w:name="_Toc52374742"/>
      <w:bookmarkStart w:id="658" w:name="_Toc52377280"/>
      <w:bookmarkStart w:id="659" w:name="_Toc52379202"/>
      <w:bookmarkStart w:id="660" w:name="_Toc52379557"/>
      <w:bookmarkStart w:id="661" w:name="_Toc52532767"/>
      <w:bookmarkStart w:id="662" w:name="_Toc52535662"/>
      <w:bookmarkStart w:id="663" w:name="_Toc52537480"/>
      <w:bookmarkStart w:id="664" w:name="_Toc52544043"/>
      <w:bookmarkStart w:id="665" w:name="_Toc52545647"/>
      <w:bookmarkStart w:id="666" w:name="_Toc52547879"/>
      <w:bookmarkStart w:id="667" w:name="_Toc52548568"/>
      <w:bookmarkStart w:id="668" w:name="_Toc52890860"/>
      <w:bookmarkStart w:id="669" w:name="_Toc52895063"/>
      <w:bookmarkStart w:id="670" w:name="_Toc52896587"/>
      <w:bookmarkStart w:id="671" w:name="_Toc52977764"/>
      <w:bookmarkStart w:id="672" w:name="_Toc53129450"/>
      <w:r w:rsidRPr="00573159">
        <w:rPr>
          <w:color w:val="0070AE" w:themeColor="accent2" w:themeTint="BF"/>
        </w:rPr>
        <w:t>Interaction with other Government processes</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51F37EFC" w14:textId="7AA35008" w:rsidR="00E22891" w:rsidRDefault="002D116A" w:rsidP="00E22891">
      <w:r>
        <w:t xml:space="preserve">Between </w:t>
      </w:r>
      <w:r w:rsidR="00165BA2" w:rsidRPr="008420C6">
        <w:t>2017</w:t>
      </w:r>
      <w:r>
        <w:t xml:space="preserve"> and 2019</w:t>
      </w:r>
      <w:r w:rsidR="00165BA2" w:rsidRPr="008420C6">
        <w:t xml:space="preserve">, </w:t>
      </w:r>
      <w:r w:rsidR="00165BA2">
        <w:t>there ha</w:t>
      </w:r>
      <w:r>
        <w:t>d</w:t>
      </w:r>
      <w:r w:rsidR="00165BA2">
        <w:t xml:space="preserve"> been </w:t>
      </w:r>
      <w:r w:rsidR="00B16A16">
        <w:t xml:space="preserve">a </w:t>
      </w:r>
      <w:r w:rsidR="00165BA2">
        <w:t xml:space="preserve">noticeable reduction in the </w:t>
      </w:r>
      <w:r w:rsidR="001C3902">
        <w:t xml:space="preserve">amount of </w:t>
      </w:r>
      <w:r w:rsidR="00165BA2">
        <w:t xml:space="preserve">abatement added to the </w:t>
      </w:r>
      <w:r w:rsidR="007E034D">
        <w:t>Government’s</w:t>
      </w:r>
      <w:r w:rsidR="00165BA2" w:rsidRPr="008420C6">
        <w:t xml:space="preserve"> </w:t>
      </w:r>
      <w:r w:rsidR="004A04B0">
        <w:t xml:space="preserve">ERF </w:t>
      </w:r>
      <w:r w:rsidR="00165BA2" w:rsidRPr="008420C6">
        <w:t>contract portfolio</w:t>
      </w:r>
      <w:r w:rsidR="00B16A16">
        <w:t xml:space="preserve">. </w:t>
      </w:r>
      <w:r w:rsidR="0051709A">
        <w:t>The decline</w:t>
      </w:r>
      <w:r w:rsidR="00165BA2">
        <w:t xml:space="preserve"> </w:t>
      </w:r>
      <w:r>
        <w:rPr>
          <w:lang w:val="en-US"/>
        </w:rPr>
        <w:t>was</w:t>
      </w:r>
      <w:r w:rsidR="00B42FFB">
        <w:rPr>
          <w:lang w:val="en-US"/>
        </w:rPr>
        <w:t xml:space="preserve"> </w:t>
      </w:r>
      <w:r>
        <w:rPr>
          <w:lang w:val="en-US"/>
        </w:rPr>
        <w:t xml:space="preserve">likely </w:t>
      </w:r>
      <w:r w:rsidR="00B42FFB">
        <w:rPr>
          <w:lang w:val="en-US"/>
        </w:rPr>
        <w:t>due</w:t>
      </w:r>
      <w:r w:rsidR="00165BA2">
        <w:rPr>
          <w:lang w:val="en-US"/>
        </w:rPr>
        <w:t xml:space="preserve"> to </w:t>
      </w:r>
      <w:r w:rsidR="001E44F6">
        <w:rPr>
          <w:lang w:val="en-US"/>
        </w:rPr>
        <w:t xml:space="preserve">several </w:t>
      </w:r>
      <w:r w:rsidR="00165BA2">
        <w:rPr>
          <w:lang w:val="en-US"/>
        </w:rPr>
        <w:t>factors</w:t>
      </w:r>
      <w:r w:rsidR="001E44F6">
        <w:rPr>
          <w:lang w:val="en-US"/>
        </w:rPr>
        <w:t xml:space="preserve"> which </w:t>
      </w:r>
      <w:r w:rsidR="0051709A">
        <w:rPr>
          <w:lang w:val="en-US"/>
        </w:rPr>
        <w:t>are</w:t>
      </w:r>
      <w:r w:rsidR="001E44F6">
        <w:rPr>
          <w:lang w:val="en-US"/>
        </w:rPr>
        <w:t xml:space="preserve"> </w:t>
      </w:r>
      <w:r w:rsidR="00165BA2">
        <w:rPr>
          <w:lang w:val="en-US"/>
        </w:rPr>
        <w:t xml:space="preserve">discussed </w:t>
      </w:r>
      <w:r w:rsidR="00E45AA3">
        <w:rPr>
          <w:lang w:val="en-US"/>
        </w:rPr>
        <w:t>in</w:t>
      </w:r>
      <w:r w:rsidR="00165BA2">
        <w:rPr>
          <w:lang w:val="en-US"/>
        </w:rPr>
        <w:t xml:space="preserve"> this re</w:t>
      </w:r>
      <w:r w:rsidR="00CF3855">
        <w:rPr>
          <w:lang w:val="en-US"/>
        </w:rPr>
        <w:t>port</w:t>
      </w:r>
      <w:r w:rsidR="0051709A">
        <w:rPr>
          <w:lang w:val="en-US"/>
        </w:rPr>
        <w:t xml:space="preserve"> and are the subject of </w:t>
      </w:r>
      <w:r w:rsidR="00B42FFB">
        <w:rPr>
          <w:lang w:val="en-US"/>
        </w:rPr>
        <w:t>a number of recent</w:t>
      </w:r>
      <w:r w:rsidR="0051709A">
        <w:rPr>
          <w:lang w:val="en-US"/>
        </w:rPr>
        <w:t xml:space="preserve"> </w:t>
      </w:r>
      <w:r w:rsidR="0051709A">
        <w:t>Government processes</w:t>
      </w:r>
      <w:r w:rsidR="0051709A">
        <w:rPr>
          <w:lang w:val="en-US"/>
        </w:rPr>
        <w:t xml:space="preserve">, </w:t>
      </w:r>
      <w:r w:rsidR="0051709A">
        <w:t>m</w:t>
      </w:r>
      <w:r w:rsidR="00E22891">
        <w:t>ost notably</w:t>
      </w:r>
      <w:r w:rsidR="0051709A">
        <w:t xml:space="preserve"> an</w:t>
      </w:r>
      <w:r w:rsidR="00F45CE0">
        <w:t xml:space="preserve"> </w:t>
      </w:r>
      <w:r w:rsidR="00E22891">
        <w:t>Expert Panel</w:t>
      </w:r>
      <w:r w:rsidR="0051709A">
        <w:t xml:space="preserve"> commissioned to</w:t>
      </w:r>
      <w:r w:rsidR="00E22891">
        <w:t xml:space="preserve"> examin</w:t>
      </w:r>
      <w:r w:rsidR="0051709A">
        <w:t>e</w:t>
      </w:r>
      <w:r w:rsidR="00E22891">
        <w:t xml:space="preserve"> additional sources of low-cost abatement </w:t>
      </w:r>
      <w:r w:rsidR="00F45CE0">
        <w:t xml:space="preserve">(the </w:t>
      </w:r>
      <w:r w:rsidR="00545E7B">
        <w:t>King Review</w:t>
      </w:r>
      <w:r w:rsidR="00F45CE0">
        <w:t>)</w:t>
      </w:r>
      <w:r w:rsidR="0051709A">
        <w:t xml:space="preserve"> and a work program underway by the Regulator </w:t>
      </w:r>
      <w:r w:rsidR="0051709A" w:rsidRPr="008420C6">
        <w:t xml:space="preserve">to boost </w:t>
      </w:r>
      <w:r w:rsidR="009841F1">
        <w:t>participation in</w:t>
      </w:r>
      <w:r w:rsidR="0051709A" w:rsidRPr="008420C6">
        <w:t xml:space="preserve"> the ERF</w:t>
      </w:r>
      <w:r w:rsidR="00E22891">
        <w:t xml:space="preserve">. </w:t>
      </w:r>
    </w:p>
    <w:p w14:paraId="5EA2F2DB" w14:textId="64BF190F" w:rsidR="00E45AA3" w:rsidRPr="0089409D" w:rsidRDefault="00B42FFB" w:rsidP="00E45AA3">
      <w:r>
        <w:t xml:space="preserve">In </w:t>
      </w:r>
      <w:r w:rsidR="00EF603F">
        <w:t xml:space="preserve">May 2020, the </w:t>
      </w:r>
      <w:r w:rsidR="009841F1">
        <w:t>King Review</w:t>
      </w:r>
      <w:r w:rsidR="00E264CA">
        <w:t xml:space="preserve"> </w:t>
      </w:r>
      <w:r w:rsidR="00EF603F">
        <w:t>was released together with the Government’s response.</w:t>
      </w:r>
      <w:r w:rsidR="002D116A">
        <w:t xml:space="preserve"> T</w:t>
      </w:r>
      <w:r w:rsidR="00EF603F">
        <w:t xml:space="preserve">he </w:t>
      </w:r>
      <w:r w:rsidR="0083583A">
        <w:t>King Review</w:t>
      </w:r>
      <w:r w:rsidR="00EF603F">
        <w:t xml:space="preserve"> made 26 recommendations </w:t>
      </w:r>
      <w:r w:rsidR="00EC0B7A">
        <w:t xml:space="preserve">that covered improving the ERF, unlocking new technologies, and incentivising voluntary action. </w:t>
      </w:r>
      <w:r w:rsidR="00E45AA3">
        <w:t xml:space="preserve">Several </w:t>
      </w:r>
      <w:r w:rsidR="009841F1">
        <w:t>King Review</w:t>
      </w:r>
      <w:r w:rsidR="00E264CA">
        <w:t xml:space="preserve"> </w:t>
      </w:r>
      <w:r w:rsidR="00E45AA3">
        <w:t>recommendations are consistent with what the Authority has previously recommended</w:t>
      </w:r>
      <w:r w:rsidR="001C3902">
        <w:t xml:space="preserve"> on the ERF</w:t>
      </w:r>
      <w:r w:rsidR="0051709A">
        <w:t xml:space="preserve">, </w:t>
      </w:r>
      <w:r w:rsidR="00EA2F84">
        <w:t xml:space="preserve">as shown </w:t>
      </w:r>
      <w:r w:rsidR="00E45AA3">
        <w:t xml:space="preserve">in </w:t>
      </w:r>
      <w:r w:rsidR="00EA2F84">
        <w:t>Appendix </w:t>
      </w:r>
      <w:r w:rsidR="00EF61A5" w:rsidRPr="0078340A">
        <w:t>D</w:t>
      </w:r>
      <w:r w:rsidR="00E45AA3">
        <w:t>.</w:t>
      </w:r>
    </w:p>
    <w:p w14:paraId="67E995D7" w14:textId="65CD0A49" w:rsidR="00EF603F" w:rsidRPr="0089409D" w:rsidRDefault="00587EEA" w:rsidP="00EF603F">
      <w:r w:rsidRPr="008420C6">
        <w:t>In th</w:t>
      </w:r>
      <w:r w:rsidR="00E45AA3">
        <w:t>is</w:t>
      </w:r>
      <w:r>
        <w:t xml:space="preserve"> </w:t>
      </w:r>
      <w:r w:rsidRPr="008420C6">
        <w:t xml:space="preserve">review, </w:t>
      </w:r>
      <w:r w:rsidR="00E45AA3">
        <w:t>the Authority has</w:t>
      </w:r>
      <w:r>
        <w:t xml:space="preserve"> </w:t>
      </w:r>
      <w:r w:rsidR="002D116A">
        <w:t xml:space="preserve">mainly </w:t>
      </w:r>
      <w:r w:rsidRPr="008420C6">
        <w:t>focus</w:t>
      </w:r>
      <w:r>
        <w:t xml:space="preserve">sed </w:t>
      </w:r>
      <w:r w:rsidRPr="008420C6">
        <w:t xml:space="preserve">on issues </w:t>
      </w:r>
      <w:r w:rsidR="00E45AA3">
        <w:t xml:space="preserve">that are </w:t>
      </w:r>
      <w:r w:rsidRPr="008420C6">
        <w:t xml:space="preserve">not </w:t>
      </w:r>
      <w:r>
        <w:t xml:space="preserve">explicitly </w:t>
      </w:r>
      <w:r w:rsidR="00E45AA3">
        <w:t xml:space="preserve">being </w:t>
      </w:r>
      <w:r>
        <w:t xml:space="preserve">addressed </w:t>
      </w:r>
      <w:r w:rsidRPr="008420C6">
        <w:t>through other processes</w:t>
      </w:r>
      <w:r w:rsidR="0051709A">
        <w:t xml:space="preserve"> and </w:t>
      </w:r>
      <w:r w:rsidR="008449B5">
        <w:t xml:space="preserve">has not duplicated analysis done by the </w:t>
      </w:r>
      <w:r w:rsidR="009841F1">
        <w:t>King Review</w:t>
      </w:r>
      <w:r w:rsidR="00E264CA">
        <w:t xml:space="preserve"> </w:t>
      </w:r>
      <w:r w:rsidR="0051709A">
        <w:t>n</w:t>
      </w:r>
      <w:r w:rsidR="00E45AA3">
        <w:t>or</w:t>
      </w:r>
      <w:r w:rsidR="008449B5">
        <w:t xml:space="preserve"> comprehensively evaluated the </w:t>
      </w:r>
      <w:r w:rsidR="009841F1">
        <w:t>King Review</w:t>
      </w:r>
      <w:r w:rsidR="00E264CA">
        <w:t xml:space="preserve"> </w:t>
      </w:r>
      <w:r w:rsidR="008449B5">
        <w:t>recommendations</w:t>
      </w:r>
      <w:r w:rsidR="007F7AAD">
        <w:t xml:space="preserve">. </w:t>
      </w:r>
      <w:r w:rsidR="0051709A">
        <w:t xml:space="preserve">This review presents the </w:t>
      </w:r>
      <w:r w:rsidR="00EF603F">
        <w:t>Authority</w:t>
      </w:r>
      <w:r w:rsidR="0051709A">
        <w:t xml:space="preserve">’s views on the implementation of </w:t>
      </w:r>
      <w:r w:rsidR="009841F1">
        <w:t>some of the</w:t>
      </w:r>
      <w:r w:rsidR="0051709A">
        <w:t xml:space="preserve"> recommendations, especially where the Government has indicated further stakeholder consultation will be undertaken and/or the recommendations intersect with the key themes of this review or issues have been raised by stakeholders. </w:t>
      </w:r>
    </w:p>
    <w:p w14:paraId="40C42780" w14:textId="2B3A1FC5" w:rsidR="00000AC3" w:rsidRPr="00573159" w:rsidRDefault="00000AC3" w:rsidP="00004274">
      <w:pPr>
        <w:pStyle w:val="Heading2"/>
        <w:numPr>
          <w:ilvl w:val="1"/>
          <w:numId w:val="48"/>
        </w:numPr>
        <w:rPr>
          <w:color w:val="0070AE" w:themeColor="accent2" w:themeTint="BF"/>
        </w:rPr>
      </w:pPr>
      <w:bookmarkStart w:id="673" w:name="_Toc44514564"/>
      <w:bookmarkStart w:id="674" w:name="_Toc45030344"/>
      <w:bookmarkStart w:id="675" w:name="_Toc48996299"/>
      <w:bookmarkStart w:id="676" w:name="_Toc49350821"/>
      <w:bookmarkStart w:id="677" w:name="_Toc49352801"/>
      <w:bookmarkStart w:id="678" w:name="_Toc49354177"/>
      <w:bookmarkStart w:id="679" w:name="_Toc49355503"/>
      <w:bookmarkStart w:id="680" w:name="_Toc49429261"/>
      <w:bookmarkStart w:id="681" w:name="_Toc49434018"/>
      <w:bookmarkStart w:id="682" w:name="_Toc49441011"/>
      <w:bookmarkStart w:id="683" w:name="_Toc49441201"/>
      <w:bookmarkStart w:id="684" w:name="_Toc49442204"/>
      <w:bookmarkStart w:id="685" w:name="_Toc49508933"/>
      <w:bookmarkStart w:id="686" w:name="_Toc49519743"/>
      <w:bookmarkStart w:id="687" w:name="_Toc49521458"/>
      <w:bookmarkStart w:id="688" w:name="_Toc49524530"/>
      <w:bookmarkStart w:id="689" w:name="_Toc49524668"/>
      <w:bookmarkStart w:id="690" w:name="_Toc49527137"/>
      <w:bookmarkStart w:id="691" w:name="_Toc49527975"/>
      <w:bookmarkStart w:id="692" w:name="_Toc49692127"/>
      <w:bookmarkStart w:id="693" w:name="_Toc49710500"/>
      <w:bookmarkStart w:id="694" w:name="_Toc49710672"/>
      <w:bookmarkStart w:id="695" w:name="_Toc49713225"/>
      <w:bookmarkStart w:id="696" w:name="_Toc49713427"/>
      <w:bookmarkStart w:id="697" w:name="_Toc49776365"/>
      <w:bookmarkStart w:id="698" w:name="_Toc49784924"/>
      <w:bookmarkStart w:id="699" w:name="_Toc49786250"/>
      <w:bookmarkStart w:id="700" w:name="_Toc49787299"/>
      <w:bookmarkStart w:id="701" w:name="_Toc49787354"/>
      <w:bookmarkStart w:id="702" w:name="_Toc49850668"/>
      <w:bookmarkStart w:id="703" w:name="_Toc49852910"/>
      <w:bookmarkStart w:id="704" w:name="_Toc49854327"/>
      <w:bookmarkStart w:id="705" w:name="_Toc49856923"/>
      <w:bookmarkStart w:id="706" w:name="_Toc49858239"/>
      <w:bookmarkStart w:id="707" w:name="_Toc49858294"/>
      <w:bookmarkStart w:id="708" w:name="_Toc49862996"/>
      <w:bookmarkStart w:id="709" w:name="_Toc49867719"/>
      <w:bookmarkStart w:id="710" w:name="_Toc49870555"/>
      <w:bookmarkStart w:id="711" w:name="_Toc49871298"/>
      <w:bookmarkStart w:id="712" w:name="_Toc49871978"/>
      <w:bookmarkStart w:id="713" w:name="_Toc49872531"/>
      <w:bookmarkStart w:id="714" w:name="_Toc50027743"/>
      <w:bookmarkStart w:id="715" w:name="_Toc50029437"/>
      <w:bookmarkStart w:id="716" w:name="_Toc50043871"/>
      <w:bookmarkStart w:id="717" w:name="_Toc50057722"/>
      <w:bookmarkStart w:id="718" w:name="_Toc50553599"/>
      <w:bookmarkStart w:id="719" w:name="_Toc50555362"/>
      <w:bookmarkStart w:id="720" w:name="_Toc50559822"/>
      <w:bookmarkStart w:id="721" w:name="_Toc50559875"/>
      <w:bookmarkStart w:id="722" w:name="_Toc50563809"/>
      <w:bookmarkStart w:id="723" w:name="_Toc50711362"/>
      <w:bookmarkStart w:id="724" w:name="_Toc50720944"/>
      <w:bookmarkStart w:id="725" w:name="_Toc50730668"/>
      <w:bookmarkStart w:id="726" w:name="_Toc50734894"/>
      <w:bookmarkStart w:id="727" w:name="_Toc50735497"/>
      <w:bookmarkStart w:id="728" w:name="_Toc50905516"/>
      <w:bookmarkStart w:id="729" w:name="_Toc51587001"/>
      <w:bookmarkStart w:id="730" w:name="_Toc51594861"/>
      <w:bookmarkStart w:id="731" w:name="_Toc51599464"/>
      <w:bookmarkStart w:id="732" w:name="_Toc51613500"/>
      <w:bookmarkStart w:id="733" w:name="_Toc51669611"/>
      <w:bookmarkStart w:id="734" w:name="_Toc51669706"/>
      <w:bookmarkStart w:id="735" w:name="_Toc51672855"/>
      <w:bookmarkStart w:id="736" w:name="_Toc51673905"/>
      <w:bookmarkStart w:id="737" w:name="_Toc51680722"/>
      <w:bookmarkStart w:id="738" w:name="_Toc51683251"/>
      <w:bookmarkStart w:id="739" w:name="_Toc51685987"/>
      <w:bookmarkStart w:id="740" w:name="_Toc51687725"/>
      <w:bookmarkStart w:id="741" w:name="_Toc51687869"/>
      <w:bookmarkStart w:id="742" w:name="_Toc51705747"/>
      <w:bookmarkStart w:id="743" w:name="_Toc51770693"/>
      <w:bookmarkStart w:id="744" w:name="_Toc51770879"/>
      <w:bookmarkStart w:id="745" w:name="_Toc52359222"/>
      <w:bookmarkStart w:id="746" w:name="_Toc52367255"/>
      <w:bookmarkStart w:id="747" w:name="_Toc52371595"/>
      <w:bookmarkStart w:id="748" w:name="_Toc52374743"/>
      <w:bookmarkStart w:id="749" w:name="_Toc52377281"/>
      <w:bookmarkStart w:id="750" w:name="_Toc52379203"/>
      <w:bookmarkStart w:id="751" w:name="_Toc52379558"/>
      <w:bookmarkStart w:id="752" w:name="_Toc52532768"/>
      <w:bookmarkStart w:id="753" w:name="_Toc52535663"/>
      <w:bookmarkStart w:id="754" w:name="_Toc52537481"/>
      <w:bookmarkStart w:id="755" w:name="_Toc52544044"/>
      <w:bookmarkStart w:id="756" w:name="_Toc52545648"/>
      <w:bookmarkStart w:id="757" w:name="_Toc52547880"/>
      <w:bookmarkStart w:id="758" w:name="_Toc52548569"/>
      <w:bookmarkStart w:id="759" w:name="_Toc52890861"/>
      <w:bookmarkStart w:id="760" w:name="_Toc52895064"/>
      <w:bookmarkStart w:id="761" w:name="_Toc52896588"/>
      <w:bookmarkStart w:id="762" w:name="_Toc52977765"/>
      <w:bookmarkStart w:id="763" w:name="_Toc53129451"/>
      <w:r w:rsidRPr="00573159">
        <w:rPr>
          <w:color w:val="0070AE" w:themeColor="accent2" w:themeTint="BF"/>
        </w:rPr>
        <w:t>Principles for this review</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10B3440A" w14:textId="5931FD45" w:rsidR="00106C5C" w:rsidRDefault="00106C5C" w:rsidP="00106C5C">
      <w:r w:rsidRPr="00106C5C">
        <w:t xml:space="preserve">The </w:t>
      </w:r>
      <w:r w:rsidRPr="00F952B9">
        <w:rPr>
          <w:i/>
        </w:rPr>
        <w:t>Climate Change Authority Act 2011</w:t>
      </w:r>
      <w:r w:rsidRPr="00106C5C">
        <w:t xml:space="preserve"> (Cth) requires the Authority to have regard to the following principles when assessing the relative merits of emissions reduction policies:</w:t>
      </w:r>
    </w:p>
    <w:p w14:paraId="26B42AEC" w14:textId="4845EEC0" w:rsidR="00000AC3" w:rsidRPr="00106C5C" w:rsidRDefault="00000AC3" w:rsidP="00FE3F8C">
      <w:pPr>
        <w:pStyle w:val="ListBullet"/>
        <w:numPr>
          <w:ilvl w:val="0"/>
          <w:numId w:val="32"/>
        </w:numPr>
      </w:pPr>
      <w:r w:rsidRPr="00106C5C">
        <w:t>economic efficiency</w:t>
      </w:r>
    </w:p>
    <w:p w14:paraId="68DF5CF3" w14:textId="77777777" w:rsidR="00000AC3" w:rsidRPr="00102BD4" w:rsidRDefault="00000AC3" w:rsidP="00FE3F8C">
      <w:pPr>
        <w:pStyle w:val="ListBullet"/>
        <w:numPr>
          <w:ilvl w:val="0"/>
          <w:numId w:val="33"/>
        </w:numPr>
      </w:pPr>
      <w:r w:rsidRPr="00102BD4">
        <w:t>environmental effectiveness</w:t>
      </w:r>
    </w:p>
    <w:p w14:paraId="5BFDBF7A" w14:textId="77777777" w:rsidR="00000AC3" w:rsidRPr="00102BD4" w:rsidRDefault="00000AC3" w:rsidP="00FE3F8C">
      <w:pPr>
        <w:pStyle w:val="ListBullet"/>
        <w:numPr>
          <w:ilvl w:val="0"/>
          <w:numId w:val="33"/>
        </w:numPr>
      </w:pPr>
      <w:r w:rsidRPr="00102BD4">
        <w:t>equity</w:t>
      </w:r>
    </w:p>
    <w:p w14:paraId="30A7860F" w14:textId="77777777" w:rsidR="00000AC3" w:rsidRPr="00102BD4" w:rsidRDefault="00000AC3" w:rsidP="00FE3F8C">
      <w:pPr>
        <w:pStyle w:val="ListBullet"/>
        <w:numPr>
          <w:ilvl w:val="0"/>
          <w:numId w:val="33"/>
        </w:numPr>
      </w:pPr>
      <w:r w:rsidRPr="00102BD4">
        <w:t>the public interest</w:t>
      </w:r>
    </w:p>
    <w:p w14:paraId="25CEC604" w14:textId="77777777" w:rsidR="00000AC3" w:rsidRPr="00102BD4" w:rsidRDefault="00000AC3" w:rsidP="00FE3F8C">
      <w:pPr>
        <w:pStyle w:val="ListBullet"/>
        <w:numPr>
          <w:ilvl w:val="0"/>
          <w:numId w:val="33"/>
        </w:numPr>
      </w:pPr>
      <w:r w:rsidRPr="00102BD4">
        <w:t>the impact on households, business, workers and communities</w:t>
      </w:r>
    </w:p>
    <w:p w14:paraId="088F55C2" w14:textId="77777777" w:rsidR="00000AC3" w:rsidRPr="00102BD4" w:rsidRDefault="00000AC3" w:rsidP="00FE3F8C">
      <w:pPr>
        <w:pStyle w:val="ListBullet"/>
        <w:numPr>
          <w:ilvl w:val="0"/>
          <w:numId w:val="33"/>
        </w:numPr>
      </w:pPr>
      <w:r w:rsidRPr="00102BD4">
        <w:t xml:space="preserve">support for the development of an effective global response to climate change </w:t>
      </w:r>
    </w:p>
    <w:p w14:paraId="438A5988" w14:textId="47686E39" w:rsidR="00B534A1" w:rsidRDefault="00000AC3" w:rsidP="00FE3F8C">
      <w:pPr>
        <w:pStyle w:val="ListBullet"/>
        <w:numPr>
          <w:ilvl w:val="0"/>
          <w:numId w:val="33"/>
        </w:numPr>
      </w:pPr>
      <w:r w:rsidRPr="00102BD4">
        <w:t>consistency with Australia’s foreign policy and trade objectives.</w:t>
      </w:r>
    </w:p>
    <w:p w14:paraId="5952D644" w14:textId="5E43E3E2" w:rsidR="006E16C7" w:rsidRDefault="00EE393E" w:rsidP="009954DD">
      <w:pPr>
        <w:rPr>
          <w:bCs/>
        </w:rPr>
      </w:pPr>
      <w:r>
        <w:t>The</w:t>
      </w:r>
      <w:r w:rsidR="00337D73">
        <w:t>se</w:t>
      </w:r>
      <w:r>
        <w:t xml:space="preserve"> principles guid</w:t>
      </w:r>
      <w:r w:rsidR="00337D73">
        <w:t>e</w:t>
      </w:r>
      <w:r>
        <w:t xml:space="preserve"> this review of the ERF. </w:t>
      </w:r>
      <w:r w:rsidR="00801BA2">
        <w:t xml:space="preserve">Further </w:t>
      </w:r>
      <w:r w:rsidR="00801BA2" w:rsidRPr="00B32198">
        <w:t xml:space="preserve">desirable characteristics of emissions reduction policies </w:t>
      </w:r>
      <w:r w:rsidR="00801BA2">
        <w:t xml:space="preserve">were identified by the Authority in </w:t>
      </w:r>
      <w:r w:rsidR="00801BA2" w:rsidRPr="00145C5B">
        <w:t xml:space="preserve">its </w:t>
      </w:r>
      <w:r w:rsidR="0078340A">
        <w:t xml:space="preserve">recent </w:t>
      </w:r>
      <w:r w:rsidR="00801BA2" w:rsidRPr="00145C5B">
        <w:t xml:space="preserve">report </w:t>
      </w:r>
      <w:r w:rsidR="00801BA2" w:rsidRPr="00145C5B">
        <w:rPr>
          <w:i/>
        </w:rPr>
        <w:t>Prospering in a low-emissions world</w:t>
      </w:r>
      <w:r w:rsidR="0078340A">
        <w:rPr>
          <w:i/>
        </w:rPr>
        <w:t>: An updated climate policy toolkit for Australia</w:t>
      </w:r>
      <w:r w:rsidR="00DD3A8F" w:rsidRPr="00145C5B">
        <w:rPr>
          <w:i/>
        </w:rPr>
        <w:t xml:space="preserve"> </w:t>
      </w:r>
      <w:r w:rsidR="00DD3A8F" w:rsidRPr="00145C5B">
        <w:t>(</w:t>
      </w:r>
      <w:r w:rsidR="00DD3A8F" w:rsidRPr="00E30227">
        <w:t>CCA 2020</w:t>
      </w:r>
      <w:r w:rsidR="004F267E">
        <w:t>a</w:t>
      </w:r>
      <w:r w:rsidR="00DD3A8F" w:rsidRPr="00145C5B">
        <w:t>)</w:t>
      </w:r>
      <w:r w:rsidR="00801BA2" w:rsidRPr="00145C5B">
        <w:t xml:space="preserve">. </w:t>
      </w:r>
      <w:r w:rsidR="0078340A">
        <w:t>The following desirable</w:t>
      </w:r>
      <w:r w:rsidR="00DD3A8F" w:rsidRPr="00145C5B">
        <w:t xml:space="preserve"> c</w:t>
      </w:r>
      <w:r w:rsidR="009954DD" w:rsidRPr="00145C5B">
        <w:t xml:space="preserve">haracteristics </w:t>
      </w:r>
      <w:r w:rsidR="00DD3A8F" w:rsidRPr="00145C5B">
        <w:t xml:space="preserve">are </w:t>
      </w:r>
      <w:r w:rsidR="00801BA2" w:rsidRPr="00145C5B">
        <w:t>particular</w:t>
      </w:r>
      <w:r w:rsidR="00DD3A8F" w:rsidRPr="00145C5B">
        <w:t>ly</w:t>
      </w:r>
      <w:r w:rsidR="00801BA2" w:rsidRPr="00145C5B">
        <w:t xml:space="preserve"> relevan</w:t>
      </w:r>
      <w:r w:rsidR="00DD3A8F" w:rsidRPr="00145C5B">
        <w:t>t</w:t>
      </w:r>
      <w:r w:rsidR="00801BA2" w:rsidRPr="00145C5B">
        <w:t xml:space="preserve"> to</w:t>
      </w:r>
      <w:r w:rsidR="009954DD" w:rsidRPr="00145C5B">
        <w:t xml:space="preserve"> </w:t>
      </w:r>
      <w:r w:rsidR="009553AC">
        <w:t xml:space="preserve">this review - that </w:t>
      </w:r>
      <w:r w:rsidR="009954DD" w:rsidRPr="00145C5B">
        <w:t xml:space="preserve">the </w:t>
      </w:r>
      <w:r w:rsidR="00801BA2" w:rsidRPr="00145C5B">
        <w:t>ERF</w:t>
      </w:r>
      <w:r w:rsidR="006E16C7" w:rsidRPr="00145C5B">
        <w:t>:</w:t>
      </w:r>
    </w:p>
    <w:p w14:paraId="627A383C" w14:textId="6A8AD969" w:rsidR="006E16C7" w:rsidRDefault="009553AC" w:rsidP="00FE3F8C">
      <w:pPr>
        <w:pStyle w:val="ListBullet"/>
        <w:numPr>
          <w:ilvl w:val="0"/>
          <w:numId w:val="34"/>
        </w:numPr>
      </w:pPr>
      <w:r>
        <w:t xml:space="preserve">is </w:t>
      </w:r>
      <w:r w:rsidR="009954DD" w:rsidRPr="00145C5B">
        <w:t>c</w:t>
      </w:r>
      <w:r w:rsidR="00801BA2" w:rsidRPr="00B32198">
        <w:t>redibl</w:t>
      </w:r>
      <w:r w:rsidR="00801BA2">
        <w:t>e</w:t>
      </w:r>
      <w:r w:rsidR="00DD3A8F">
        <w:t>,</w:t>
      </w:r>
      <w:r w:rsidR="009954DD">
        <w:t xml:space="preserve"> dura</w:t>
      </w:r>
      <w:r w:rsidR="00801BA2" w:rsidRPr="00B32198">
        <w:t>b</w:t>
      </w:r>
      <w:r w:rsidR="009954DD">
        <w:t>le</w:t>
      </w:r>
      <w:r w:rsidR="00DD3A8F">
        <w:t xml:space="preserve"> and as simple as practical</w:t>
      </w:r>
      <w:r w:rsidR="009954DD">
        <w:t xml:space="preserve"> </w:t>
      </w:r>
    </w:p>
    <w:p w14:paraId="0879CD4B" w14:textId="3232D50D" w:rsidR="006E16C7" w:rsidRDefault="009553AC" w:rsidP="00FE3F8C">
      <w:pPr>
        <w:pStyle w:val="ListBullet"/>
        <w:numPr>
          <w:ilvl w:val="0"/>
          <w:numId w:val="34"/>
        </w:numPr>
      </w:pPr>
      <w:r>
        <w:t xml:space="preserve">is </w:t>
      </w:r>
      <w:r w:rsidR="009954DD">
        <w:t>c</w:t>
      </w:r>
      <w:r w:rsidR="00801BA2" w:rsidRPr="00B32198">
        <w:t>oheren</w:t>
      </w:r>
      <w:r w:rsidR="00801BA2">
        <w:t>t</w:t>
      </w:r>
      <w:r w:rsidR="00801BA2" w:rsidRPr="00B32198">
        <w:t xml:space="preserve"> with other policies</w:t>
      </w:r>
      <w:r w:rsidR="009954DD">
        <w:t xml:space="preserve"> </w:t>
      </w:r>
    </w:p>
    <w:p w14:paraId="4AD5AB09" w14:textId="74F79607" w:rsidR="00801BA2" w:rsidRPr="00B32198" w:rsidRDefault="009954DD" w:rsidP="00FE3F8C">
      <w:pPr>
        <w:pStyle w:val="ListBullet"/>
        <w:numPr>
          <w:ilvl w:val="0"/>
          <w:numId w:val="34"/>
        </w:numPr>
      </w:pPr>
      <w:r>
        <w:t>complement</w:t>
      </w:r>
      <w:r w:rsidR="009553AC">
        <w:t>s</w:t>
      </w:r>
      <w:r>
        <w:t xml:space="preserve"> a</w:t>
      </w:r>
      <w:r w:rsidR="00801BA2" w:rsidRPr="00B32198">
        <w:t>daptation</w:t>
      </w:r>
      <w:r>
        <w:t xml:space="preserve"> responses.</w:t>
      </w:r>
    </w:p>
    <w:p w14:paraId="3015CE61" w14:textId="4413D461" w:rsidR="006A3599" w:rsidRDefault="001C3902" w:rsidP="006A3599">
      <w:r>
        <w:t>T</w:t>
      </w:r>
      <w:r w:rsidR="00D1727D">
        <w:t xml:space="preserve">his is </w:t>
      </w:r>
      <w:r w:rsidR="00831FC3">
        <w:t xml:space="preserve">a </w:t>
      </w:r>
      <w:r w:rsidR="00D1727D">
        <w:t xml:space="preserve">review of the operation of the </w:t>
      </w:r>
      <w:r w:rsidR="00831FC3" w:rsidRPr="00F952B9">
        <w:rPr>
          <w:i/>
        </w:rPr>
        <w:t>Carbon Credits (Carbon Farming Initiative) Act 2011</w:t>
      </w:r>
      <w:r w:rsidR="00831FC3" w:rsidRPr="00831FC3">
        <w:t xml:space="preserve"> (Cth) </w:t>
      </w:r>
      <w:r w:rsidR="00302539">
        <w:t xml:space="preserve">and </w:t>
      </w:r>
      <w:r w:rsidR="00D1727D">
        <w:t xml:space="preserve">its subordinate </w:t>
      </w:r>
      <w:r w:rsidR="00302539">
        <w:t>legislation</w:t>
      </w:r>
      <w:r>
        <w:t>, which means t</w:t>
      </w:r>
      <w:r w:rsidR="00302539">
        <w:t xml:space="preserve">he </w:t>
      </w:r>
      <w:r w:rsidR="006A3599">
        <w:t xml:space="preserve">objects of the CFI Act </w:t>
      </w:r>
      <w:r w:rsidR="009553AC">
        <w:t xml:space="preserve">also </w:t>
      </w:r>
      <w:r w:rsidR="006A3599">
        <w:t xml:space="preserve">provide </w:t>
      </w:r>
      <w:r w:rsidR="00E51DDF">
        <w:t xml:space="preserve">guidance </w:t>
      </w:r>
      <w:r w:rsidR="006A3599">
        <w:t xml:space="preserve">for </w:t>
      </w:r>
      <w:r w:rsidR="009553AC">
        <w:t>the</w:t>
      </w:r>
      <w:r w:rsidR="006A3599">
        <w:t xml:space="preserve"> review. The objects are to:</w:t>
      </w:r>
    </w:p>
    <w:p w14:paraId="0C7FD8C4" w14:textId="0B154317" w:rsidR="006A3599" w:rsidRDefault="006A3599" w:rsidP="00FE3F8C">
      <w:pPr>
        <w:pStyle w:val="ListBullet"/>
        <w:numPr>
          <w:ilvl w:val="0"/>
          <w:numId w:val="35"/>
        </w:numPr>
      </w:pPr>
      <w:r>
        <w:t>remove greenhouse gases from the atmosphere, and avoid emissions of greenhouse</w:t>
      </w:r>
      <w:r w:rsidR="00302539">
        <w:t xml:space="preserve"> </w:t>
      </w:r>
      <w:r>
        <w:t>gases, in order to meet Australia’s obligations under international agreements</w:t>
      </w:r>
    </w:p>
    <w:p w14:paraId="1FAB928C" w14:textId="63AC7E08" w:rsidR="006A3599" w:rsidRDefault="006A3599" w:rsidP="00FE3F8C">
      <w:pPr>
        <w:pStyle w:val="ListBullet"/>
        <w:numPr>
          <w:ilvl w:val="0"/>
          <w:numId w:val="35"/>
        </w:numPr>
      </w:pPr>
      <w:r>
        <w:t xml:space="preserve">create incentives for people to carry on </w:t>
      </w:r>
      <w:r w:rsidR="00302539">
        <w:t xml:space="preserve">certain </w:t>
      </w:r>
      <w:r>
        <w:t>offset projects</w:t>
      </w:r>
    </w:p>
    <w:p w14:paraId="60BB63C7" w14:textId="77777777" w:rsidR="00302539" w:rsidRDefault="006A3599" w:rsidP="00FE3F8C">
      <w:pPr>
        <w:pStyle w:val="ListBullet"/>
        <w:numPr>
          <w:ilvl w:val="0"/>
          <w:numId w:val="35"/>
        </w:numPr>
      </w:pPr>
      <w:r>
        <w:t xml:space="preserve">increase emissions reductions in a way that </w:t>
      </w:r>
      <w:r w:rsidR="00302539">
        <w:t xml:space="preserve">is consistent with the </w:t>
      </w:r>
      <w:r>
        <w:t>protect</w:t>
      </w:r>
      <w:r w:rsidR="00302539">
        <w:t>ion of</w:t>
      </w:r>
      <w:r>
        <w:t xml:space="preserve"> Australia’s natural environment and</w:t>
      </w:r>
      <w:r w:rsidR="00302539">
        <w:t xml:space="preserve"> </w:t>
      </w:r>
      <w:r>
        <w:t>improves resilience to the effects of climate change</w:t>
      </w:r>
    </w:p>
    <w:p w14:paraId="14F53D7C" w14:textId="61AFBBD6" w:rsidR="00025A8D" w:rsidRPr="00102BD4" w:rsidRDefault="006A3599" w:rsidP="00CE6D7A">
      <w:pPr>
        <w:pStyle w:val="ListBullet"/>
        <w:numPr>
          <w:ilvl w:val="0"/>
          <w:numId w:val="35"/>
        </w:numPr>
      </w:pPr>
      <w:r>
        <w:t>authorise the purchase by the Commonwealth of units that represent emissions reductions.</w:t>
      </w:r>
    </w:p>
    <w:p w14:paraId="213495E2" w14:textId="1E98833F" w:rsidR="00005123" w:rsidRPr="00573159" w:rsidRDefault="00005123" w:rsidP="00004274">
      <w:pPr>
        <w:pStyle w:val="Heading2"/>
        <w:numPr>
          <w:ilvl w:val="1"/>
          <w:numId w:val="48"/>
        </w:numPr>
        <w:rPr>
          <w:color w:val="0070AE" w:themeColor="accent2" w:themeTint="BF"/>
        </w:rPr>
      </w:pPr>
      <w:bookmarkStart w:id="764" w:name="_Toc497819450"/>
      <w:bookmarkStart w:id="765" w:name="_Toc498691516"/>
      <w:bookmarkStart w:id="766" w:name="_Toc499043697"/>
      <w:bookmarkStart w:id="767" w:name="_Toc499051723"/>
      <w:bookmarkStart w:id="768" w:name="_Toc500251073"/>
      <w:bookmarkStart w:id="769" w:name="_Toc500251348"/>
      <w:bookmarkStart w:id="770" w:name="_Toc500253945"/>
      <w:bookmarkStart w:id="771" w:name="_Toc500401452"/>
      <w:bookmarkStart w:id="772" w:name="_Toc500490937"/>
      <w:bookmarkStart w:id="773" w:name="_Toc500512879"/>
      <w:bookmarkStart w:id="774" w:name="_Toc500514134"/>
      <w:bookmarkStart w:id="775" w:name="_Toc500516191"/>
      <w:bookmarkStart w:id="776" w:name="_Toc44514565"/>
      <w:bookmarkStart w:id="777" w:name="_Toc45030345"/>
      <w:bookmarkStart w:id="778" w:name="_Toc48996300"/>
      <w:bookmarkStart w:id="779" w:name="_Toc49350822"/>
      <w:bookmarkStart w:id="780" w:name="_Toc49352802"/>
      <w:bookmarkStart w:id="781" w:name="_Toc49354178"/>
      <w:bookmarkStart w:id="782" w:name="_Toc49355504"/>
      <w:bookmarkStart w:id="783" w:name="_Toc49429262"/>
      <w:bookmarkStart w:id="784" w:name="_Toc49434019"/>
      <w:bookmarkStart w:id="785" w:name="_Toc49441012"/>
      <w:bookmarkStart w:id="786" w:name="_Toc49441202"/>
      <w:bookmarkStart w:id="787" w:name="_Toc49442205"/>
      <w:bookmarkStart w:id="788" w:name="_Toc49508934"/>
      <w:bookmarkStart w:id="789" w:name="_Toc49519744"/>
      <w:bookmarkStart w:id="790" w:name="_Toc49521459"/>
      <w:bookmarkStart w:id="791" w:name="_Toc49524531"/>
      <w:bookmarkStart w:id="792" w:name="_Toc49524669"/>
      <w:bookmarkStart w:id="793" w:name="_Toc49527138"/>
      <w:bookmarkStart w:id="794" w:name="_Toc49527976"/>
      <w:bookmarkStart w:id="795" w:name="_Toc49692128"/>
      <w:bookmarkStart w:id="796" w:name="_Toc49710501"/>
      <w:bookmarkStart w:id="797" w:name="_Toc49710673"/>
      <w:bookmarkStart w:id="798" w:name="_Toc49713226"/>
      <w:bookmarkStart w:id="799" w:name="_Toc49713428"/>
      <w:bookmarkStart w:id="800" w:name="_Toc49776366"/>
      <w:bookmarkStart w:id="801" w:name="_Toc49784925"/>
      <w:bookmarkStart w:id="802" w:name="_Toc49786251"/>
      <w:bookmarkStart w:id="803" w:name="_Toc49787300"/>
      <w:bookmarkStart w:id="804" w:name="_Toc49787355"/>
      <w:bookmarkStart w:id="805" w:name="_Toc49850669"/>
      <w:bookmarkStart w:id="806" w:name="_Toc49852911"/>
      <w:bookmarkStart w:id="807" w:name="_Toc49854328"/>
      <w:bookmarkStart w:id="808" w:name="_Toc49856924"/>
      <w:bookmarkStart w:id="809" w:name="_Toc49858240"/>
      <w:bookmarkStart w:id="810" w:name="_Toc49858295"/>
      <w:bookmarkStart w:id="811" w:name="_Toc49862997"/>
      <w:bookmarkStart w:id="812" w:name="_Toc49867720"/>
      <w:bookmarkStart w:id="813" w:name="_Toc49870556"/>
      <w:bookmarkStart w:id="814" w:name="_Toc49871299"/>
      <w:bookmarkStart w:id="815" w:name="_Toc49871979"/>
      <w:bookmarkStart w:id="816" w:name="_Toc49872532"/>
      <w:bookmarkStart w:id="817" w:name="_Toc50027744"/>
      <w:bookmarkStart w:id="818" w:name="_Toc50029438"/>
      <w:bookmarkStart w:id="819" w:name="_Toc50043872"/>
      <w:bookmarkStart w:id="820" w:name="_Toc50057723"/>
      <w:bookmarkStart w:id="821" w:name="_Toc50553600"/>
      <w:bookmarkStart w:id="822" w:name="_Toc50555363"/>
      <w:bookmarkStart w:id="823" w:name="_Toc50559823"/>
      <w:bookmarkStart w:id="824" w:name="_Toc50559876"/>
      <w:bookmarkStart w:id="825" w:name="_Toc50563810"/>
      <w:bookmarkStart w:id="826" w:name="_Toc50711363"/>
      <w:bookmarkStart w:id="827" w:name="_Toc50720945"/>
      <w:bookmarkStart w:id="828" w:name="_Toc50730669"/>
      <w:bookmarkStart w:id="829" w:name="_Toc50734895"/>
      <w:bookmarkStart w:id="830" w:name="_Toc50735498"/>
      <w:bookmarkStart w:id="831" w:name="_Toc50905517"/>
      <w:bookmarkStart w:id="832" w:name="_Toc51587002"/>
      <w:bookmarkStart w:id="833" w:name="_Toc51594862"/>
      <w:bookmarkStart w:id="834" w:name="_Toc51599465"/>
      <w:bookmarkStart w:id="835" w:name="_Toc51613501"/>
      <w:bookmarkStart w:id="836" w:name="_Toc51669612"/>
      <w:bookmarkStart w:id="837" w:name="_Toc51669707"/>
      <w:bookmarkStart w:id="838" w:name="_Toc51672856"/>
      <w:bookmarkStart w:id="839" w:name="_Toc51673906"/>
      <w:bookmarkStart w:id="840" w:name="_Toc51680723"/>
      <w:bookmarkStart w:id="841" w:name="_Toc51683252"/>
      <w:bookmarkStart w:id="842" w:name="_Toc51685988"/>
      <w:bookmarkStart w:id="843" w:name="_Toc51687726"/>
      <w:bookmarkStart w:id="844" w:name="_Toc51687870"/>
      <w:bookmarkStart w:id="845" w:name="_Toc51705748"/>
      <w:bookmarkStart w:id="846" w:name="_Toc51770694"/>
      <w:bookmarkStart w:id="847" w:name="_Toc51770880"/>
      <w:bookmarkStart w:id="848" w:name="_Toc52359223"/>
      <w:bookmarkStart w:id="849" w:name="_Toc52367256"/>
      <w:bookmarkStart w:id="850" w:name="_Toc52371596"/>
      <w:bookmarkStart w:id="851" w:name="_Toc52374744"/>
      <w:bookmarkStart w:id="852" w:name="_Toc52377282"/>
      <w:bookmarkStart w:id="853" w:name="_Toc52379204"/>
      <w:bookmarkStart w:id="854" w:name="_Toc52379559"/>
      <w:bookmarkStart w:id="855" w:name="_Toc52532769"/>
      <w:bookmarkStart w:id="856" w:name="_Toc52535664"/>
      <w:bookmarkStart w:id="857" w:name="_Toc52537482"/>
      <w:bookmarkStart w:id="858" w:name="_Toc52544045"/>
      <w:bookmarkStart w:id="859" w:name="_Toc52545649"/>
      <w:bookmarkStart w:id="860" w:name="_Toc52547881"/>
      <w:bookmarkStart w:id="861" w:name="_Toc52548570"/>
      <w:bookmarkStart w:id="862" w:name="_Toc52890862"/>
      <w:bookmarkStart w:id="863" w:name="_Toc52895065"/>
      <w:bookmarkStart w:id="864" w:name="_Toc52896589"/>
      <w:bookmarkStart w:id="865" w:name="_Toc52977766"/>
      <w:bookmarkStart w:id="866" w:name="_Toc53129452"/>
      <w:r w:rsidRPr="00573159">
        <w:rPr>
          <w:color w:val="0070AE" w:themeColor="accent2" w:themeTint="BF"/>
        </w:rPr>
        <w:t>Public consultation</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6AEB10C0" w14:textId="518C8C12" w:rsidR="00F256CE" w:rsidRPr="005206CA" w:rsidRDefault="00005123" w:rsidP="0028496A">
      <w:pPr>
        <w:shd w:val="clear" w:color="auto" w:fill="FFFFFF" w:themeFill="background1"/>
      </w:pPr>
      <w:r w:rsidRPr="005206CA">
        <w:t xml:space="preserve">The Authority consulted widely as part of </w:t>
      </w:r>
      <w:r>
        <w:t>this</w:t>
      </w:r>
      <w:r w:rsidRPr="005206CA">
        <w:t xml:space="preserve"> review</w:t>
      </w:r>
      <w:r w:rsidR="00F256CE">
        <w:t xml:space="preserve"> and</w:t>
      </w:r>
      <w:r w:rsidRPr="005206CA">
        <w:t xml:space="preserve"> thanks all individuals and organisations that contributed, </w:t>
      </w:r>
      <w:r w:rsidR="002075EC">
        <w:t xml:space="preserve">especially given the </w:t>
      </w:r>
      <w:r w:rsidR="00130D30">
        <w:t>difficult</w:t>
      </w:r>
      <w:r w:rsidR="002075EC">
        <w:t>ies</w:t>
      </w:r>
      <w:r w:rsidR="00130D30">
        <w:t xml:space="preserve"> created by the C</w:t>
      </w:r>
      <w:r w:rsidR="00E51DDF">
        <w:t>OVID</w:t>
      </w:r>
      <w:r w:rsidR="00130D30">
        <w:t>-19 pandemic</w:t>
      </w:r>
      <w:r w:rsidRPr="005206CA">
        <w:t>.</w:t>
      </w:r>
      <w:r w:rsidR="00F256CE">
        <w:t xml:space="preserve"> </w:t>
      </w:r>
    </w:p>
    <w:p w14:paraId="6DA1A962" w14:textId="58DBE2E6" w:rsidR="004A75A3" w:rsidRDefault="00F256CE" w:rsidP="0028496A">
      <w:pPr>
        <w:shd w:val="clear" w:color="auto" w:fill="FFFFFF" w:themeFill="background1"/>
      </w:pPr>
      <w:r>
        <w:t>S</w:t>
      </w:r>
      <w:r w:rsidR="00005123" w:rsidRPr="005206CA">
        <w:t>takeholder</w:t>
      </w:r>
      <w:r w:rsidR="00025A8D">
        <w:t>s</w:t>
      </w:r>
      <w:r w:rsidR="00005123" w:rsidRPr="005206CA">
        <w:t xml:space="preserve"> </w:t>
      </w:r>
      <w:r>
        <w:t xml:space="preserve">contributed their </w:t>
      </w:r>
      <w:r w:rsidR="00005123" w:rsidRPr="005206CA">
        <w:t>views through roundtable discussions and individual meetings</w:t>
      </w:r>
      <w:r w:rsidR="004A75A3">
        <w:t xml:space="preserve"> held via teleconference and videoconference</w:t>
      </w:r>
      <w:r w:rsidR="00005123" w:rsidRPr="005206CA">
        <w:t xml:space="preserve">. </w:t>
      </w:r>
    </w:p>
    <w:p w14:paraId="75FCF0FE" w14:textId="640FDC4D" w:rsidR="00005123" w:rsidRPr="005206CA" w:rsidRDefault="00731847" w:rsidP="0028496A">
      <w:pPr>
        <w:shd w:val="clear" w:color="auto" w:fill="FFFFFF" w:themeFill="background1"/>
      </w:pPr>
      <w:r>
        <w:t>Fifty-one</w:t>
      </w:r>
      <w:permStart w:id="125442789" w:edGrp="everyone"/>
      <w:permEnd w:id="125442789"/>
      <w:r w:rsidR="00005123" w:rsidRPr="005206CA">
        <w:t xml:space="preserve"> submissions </w:t>
      </w:r>
      <w:r w:rsidR="00F256CE">
        <w:t xml:space="preserve">were received in response </w:t>
      </w:r>
      <w:r w:rsidR="00005123" w:rsidRPr="005206CA">
        <w:t>on the consultation paper</w:t>
      </w:r>
      <w:r w:rsidR="00005123" w:rsidRPr="005206CA" w:rsidDel="00F256CE">
        <w:t xml:space="preserve"> </w:t>
      </w:r>
      <w:r w:rsidR="00005123" w:rsidRPr="005206CA">
        <w:t>released in A</w:t>
      </w:r>
      <w:r w:rsidR="00130D30">
        <w:t>pril 2020</w:t>
      </w:r>
      <w:r w:rsidR="00005123" w:rsidRPr="005206CA">
        <w:t xml:space="preserve"> (Appendix </w:t>
      </w:r>
      <w:r w:rsidR="00CB411C">
        <w:t>A</w:t>
      </w:r>
      <w:r w:rsidR="00005123" w:rsidRPr="005206CA">
        <w:t>). Non-confidential submissions can be found on the Authority’s website at</w:t>
      </w:r>
      <w:r w:rsidR="001F4E83">
        <w:rPr>
          <w:color w:val="0000FF"/>
          <w:u w:val="single"/>
        </w:rPr>
        <w:t xml:space="preserve"> </w:t>
      </w:r>
      <w:hyperlink r:id="rId20" w:history="1">
        <w:r w:rsidR="00876D52" w:rsidRPr="00876D52">
          <w:rPr>
            <w:rStyle w:val="Hyperlink"/>
          </w:rPr>
          <w:t>https://www.climatechangeauthority.gov.au/public-consultation</w:t>
        </w:r>
      </w:hyperlink>
      <w:r w:rsidR="00876D52" w:rsidRPr="009F71AA">
        <w:rPr>
          <w:rStyle w:val="Hyperlink"/>
          <w:rFonts w:cs="Arial"/>
          <w:szCs w:val="20"/>
        </w:rPr>
        <w:t>.</w:t>
      </w:r>
      <w:r w:rsidR="00876D52">
        <w:t xml:space="preserve"> </w:t>
      </w:r>
    </w:p>
    <w:p w14:paraId="03B6347E" w14:textId="6221AEFC" w:rsidR="00005123" w:rsidRPr="005206CA" w:rsidRDefault="00005123" w:rsidP="0028496A">
      <w:pPr>
        <w:shd w:val="clear" w:color="auto" w:fill="FFFFFF" w:themeFill="background1"/>
      </w:pPr>
      <w:r w:rsidRPr="005206CA">
        <w:t xml:space="preserve">The Authority </w:t>
      </w:r>
      <w:r w:rsidR="00F256CE">
        <w:t>took account of earlier relevant</w:t>
      </w:r>
      <w:r w:rsidRPr="005206CA">
        <w:t xml:space="preserve"> consultation</w:t>
      </w:r>
      <w:r w:rsidR="00F256CE">
        <w:t xml:space="preserve">, including </w:t>
      </w:r>
      <w:r w:rsidRPr="005206CA">
        <w:t xml:space="preserve">submissions </w:t>
      </w:r>
      <w:r w:rsidR="00F256CE">
        <w:t>to</w:t>
      </w:r>
      <w:r w:rsidR="00B37C5E">
        <w:t xml:space="preserve"> its </w:t>
      </w:r>
      <w:r w:rsidR="004A75A3" w:rsidRPr="00F952B9">
        <w:rPr>
          <w:i/>
        </w:rPr>
        <w:t>Prospering in a low emissions world</w:t>
      </w:r>
      <w:r w:rsidR="00E45AA3" w:rsidRPr="00F952B9">
        <w:rPr>
          <w:i/>
        </w:rPr>
        <w:t xml:space="preserve"> </w:t>
      </w:r>
      <w:r w:rsidR="00E45AA3">
        <w:t>report, published in March 2020</w:t>
      </w:r>
      <w:r w:rsidR="00F256CE">
        <w:t>, and</w:t>
      </w:r>
      <w:r w:rsidR="0028496A">
        <w:t xml:space="preserve"> submissions </w:t>
      </w:r>
      <w:r w:rsidR="00BD0EE1">
        <w:t xml:space="preserve">made to the </w:t>
      </w:r>
      <w:r w:rsidR="009841F1">
        <w:t>King Review</w:t>
      </w:r>
      <w:r w:rsidR="00E264CA">
        <w:t xml:space="preserve"> </w:t>
      </w:r>
      <w:r w:rsidR="00B37C5E">
        <w:t xml:space="preserve">that are publicly available </w:t>
      </w:r>
      <w:r w:rsidR="00BD0EE1">
        <w:t xml:space="preserve">or </w:t>
      </w:r>
      <w:r w:rsidR="00B37C5E">
        <w:t xml:space="preserve">were </w:t>
      </w:r>
      <w:r w:rsidR="00BD0EE1">
        <w:t>provided to us by stakeholders.</w:t>
      </w:r>
    </w:p>
    <w:p w14:paraId="196D102C" w14:textId="77777777" w:rsidR="0000389E" w:rsidRDefault="0000389E" w:rsidP="005E2F85">
      <w:pPr>
        <w:spacing w:line="259" w:lineRule="auto"/>
        <w:rPr>
          <w:rFonts w:eastAsiaTheme="majorEastAsia" w:cstheme="majorBidi"/>
          <w:caps/>
          <w:color w:val="0C9FCD"/>
          <w:sz w:val="40"/>
          <w:szCs w:val="32"/>
        </w:rPr>
      </w:pPr>
      <w:bookmarkStart w:id="867" w:name="_Toc44514567"/>
      <w:r>
        <w:br w:type="page"/>
      </w:r>
    </w:p>
    <w:p w14:paraId="1E83E52E" w14:textId="4D0C02A0" w:rsidR="00573159" w:rsidRPr="00322782" w:rsidRDefault="00585367" w:rsidP="00322782">
      <w:pPr>
        <w:pStyle w:val="Heading1"/>
        <w:ind w:left="0" w:firstLine="0"/>
        <w:rPr>
          <w:color w:val="0070AE" w:themeColor="accent2" w:themeTint="BF"/>
        </w:rPr>
      </w:pPr>
      <w:bookmarkStart w:id="868" w:name="_Toc45030346"/>
      <w:bookmarkStart w:id="869" w:name="_Toc49519745"/>
      <w:bookmarkStart w:id="870" w:name="_Toc49521460"/>
      <w:bookmarkStart w:id="871" w:name="_Toc49524532"/>
      <w:bookmarkStart w:id="872" w:name="_Toc49524670"/>
      <w:bookmarkStart w:id="873" w:name="_Toc49527139"/>
      <w:bookmarkStart w:id="874" w:name="_Toc49527977"/>
      <w:bookmarkStart w:id="875" w:name="_Toc49692129"/>
      <w:bookmarkStart w:id="876" w:name="_Toc49710502"/>
      <w:bookmarkStart w:id="877" w:name="_Toc49710674"/>
      <w:bookmarkStart w:id="878" w:name="_Toc49713227"/>
      <w:bookmarkStart w:id="879" w:name="_Toc49713429"/>
      <w:bookmarkStart w:id="880" w:name="_Toc49776367"/>
      <w:bookmarkStart w:id="881" w:name="_Toc49784926"/>
      <w:bookmarkStart w:id="882" w:name="_Toc49786252"/>
      <w:bookmarkStart w:id="883" w:name="_Toc49787301"/>
      <w:bookmarkStart w:id="884" w:name="_Toc49787356"/>
      <w:bookmarkStart w:id="885" w:name="_Toc49850670"/>
      <w:bookmarkStart w:id="886" w:name="_Toc49852912"/>
      <w:bookmarkStart w:id="887" w:name="_Toc49854329"/>
      <w:bookmarkStart w:id="888" w:name="_Toc49856925"/>
      <w:bookmarkStart w:id="889" w:name="_Toc49858241"/>
      <w:bookmarkStart w:id="890" w:name="_Toc49858296"/>
      <w:bookmarkStart w:id="891" w:name="_Toc49862998"/>
      <w:bookmarkStart w:id="892" w:name="_Toc49867721"/>
      <w:bookmarkStart w:id="893" w:name="_Toc49870557"/>
      <w:bookmarkStart w:id="894" w:name="_Toc49871300"/>
      <w:bookmarkStart w:id="895" w:name="_Toc49871980"/>
      <w:bookmarkStart w:id="896" w:name="_Toc49872533"/>
      <w:bookmarkStart w:id="897" w:name="_Toc50027745"/>
      <w:bookmarkStart w:id="898" w:name="_Toc50029439"/>
      <w:bookmarkStart w:id="899" w:name="_Toc50043873"/>
      <w:bookmarkStart w:id="900" w:name="_Toc50057724"/>
      <w:bookmarkStart w:id="901" w:name="_Toc50553601"/>
      <w:bookmarkStart w:id="902" w:name="_Toc50555364"/>
      <w:bookmarkStart w:id="903" w:name="_Toc50559824"/>
      <w:bookmarkStart w:id="904" w:name="_Toc50559877"/>
      <w:bookmarkStart w:id="905" w:name="_Toc50563811"/>
      <w:bookmarkStart w:id="906" w:name="_Toc50711364"/>
      <w:bookmarkStart w:id="907" w:name="_Toc50720946"/>
      <w:bookmarkStart w:id="908" w:name="_Toc50730670"/>
      <w:bookmarkStart w:id="909" w:name="_Toc50734896"/>
      <w:bookmarkStart w:id="910" w:name="_Toc50735499"/>
      <w:bookmarkStart w:id="911" w:name="_Toc50905518"/>
      <w:bookmarkStart w:id="912" w:name="_Toc51587003"/>
      <w:bookmarkStart w:id="913" w:name="_Toc51594863"/>
      <w:bookmarkStart w:id="914" w:name="_Toc51599466"/>
      <w:bookmarkStart w:id="915" w:name="_Toc51613502"/>
      <w:bookmarkStart w:id="916" w:name="_Toc51669613"/>
      <w:bookmarkStart w:id="917" w:name="_Toc51669708"/>
      <w:bookmarkStart w:id="918" w:name="_Toc51672857"/>
      <w:bookmarkStart w:id="919" w:name="_Toc51673907"/>
      <w:bookmarkStart w:id="920" w:name="_Toc51680724"/>
      <w:bookmarkStart w:id="921" w:name="_Toc51683253"/>
      <w:bookmarkStart w:id="922" w:name="_Toc51685989"/>
      <w:bookmarkStart w:id="923" w:name="_Toc51687727"/>
      <w:bookmarkStart w:id="924" w:name="_Toc51687871"/>
      <w:bookmarkStart w:id="925" w:name="_Toc51705749"/>
      <w:bookmarkStart w:id="926" w:name="_Toc51770695"/>
      <w:bookmarkStart w:id="927" w:name="_Toc51770881"/>
      <w:bookmarkStart w:id="928" w:name="_Toc52359224"/>
      <w:bookmarkStart w:id="929" w:name="_Toc52367257"/>
      <w:bookmarkStart w:id="930" w:name="_Toc52371597"/>
      <w:bookmarkStart w:id="931" w:name="_Toc52374745"/>
      <w:bookmarkStart w:id="932" w:name="_Toc52377283"/>
      <w:bookmarkStart w:id="933" w:name="_Toc52379205"/>
      <w:bookmarkStart w:id="934" w:name="_Toc52379560"/>
      <w:bookmarkStart w:id="935" w:name="_Toc52532770"/>
      <w:bookmarkStart w:id="936" w:name="_Toc52535665"/>
      <w:bookmarkStart w:id="937" w:name="_Toc52537483"/>
      <w:bookmarkStart w:id="938" w:name="_Toc52544046"/>
      <w:bookmarkStart w:id="939" w:name="_Toc52545650"/>
      <w:bookmarkStart w:id="940" w:name="_Toc52547882"/>
      <w:bookmarkStart w:id="941" w:name="_Toc52548571"/>
      <w:bookmarkStart w:id="942" w:name="_Toc52890863"/>
      <w:bookmarkStart w:id="943" w:name="_Toc52895066"/>
      <w:bookmarkStart w:id="944" w:name="_Toc52896590"/>
      <w:bookmarkStart w:id="945" w:name="_Toc52977767"/>
      <w:bookmarkStart w:id="946" w:name="_Toc53129453"/>
      <w:bookmarkStart w:id="947" w:name="_Toc48996301"/>
      <w:bookmarkStart w:id="948" w:name="_Toc49350823"/>
      <w:bookmarkStart w:id="949" w:name="_Toc49352803"/>
      <w:bookmarkStart w:id="950" w:name="_Toc49354179"/>
      <w:bookmarkStart w:id="951" w:name="_Toc49355505"/>
      <w:bookmarkStart w:id="952" w:name="_Toc49429263"/>
      <w:bookmarkStart w:id="953" w:name="_Toc49434020"/>
      <w:bookmarkStart w:id="954" w:name="_Toc49441013"/>
      <w:bookmarkStart w:id="955" w:name="_Toc49441203"/>
      <w:bookmarkStart w:id="956" w:name="_Toc49442206"/>
      <w:bookmarkStart w:id="957" w:name="_Toc49508935"/>
      <w:r w:rsidRPr="00573159">
        <w:rPr>
          <w:color w:val="0070AE" w:themeColor="accent2" w:themeTint="BF"/>
        </w:rPr>
        <w:t>Ch</w:t>
      </w:r>
      <w:r w:rsidR="0046160C" w:rsidRPr="00573159">
        <w:rPr>
          <w:color w:val="0070AE" w:themeColor="accent2" w:themeTint="BF"/>
        </w:rPr>
        <w:t>apter 2:</w:t>
      </w:r>
      <w:r w:rsidRPr="00573159">
        <w:rPr>
          <w:color w:val="0070AE" w:themeColor="accent2" w:themeTint="BF"/>
        </w:rPr>
        <w:t xml:space="preserve"> </w:t>
      </w:r>
      <w:r w:rsidR="0065452C" w:rsidRPr="00573159">
        <w:rPr>
          <w:color w:val="0070AE" w:themeColor="accent2" w:themeTint="BF"/>
        </w:rPr>
        <w:t>O</w:t>
      </w:r>
      <w:r w:rsidR="00BB22A7" w:rsidRPr="00573159">
        <w:rPr>
          <w:color w:val="0070AE" w:themeColor="accent2" w:themeTint="BF"/>
        </w:rPr>
        <w:t xml:space="preserve">verview </w:t>
      </w:r>
      <w:r w:rsidR="00A30F77" w:rsidRPr="00573159">
        <w:rPr>
          <w:color w:val="0070AE" w:themeColor="accent2" w:themeTint="BF"/>
        </w:rPr>
        <w:t xml:space="preserve">of </w:t>
      </w:r>
      <w:r w:rsidR="004A0314" w:rsidRPr="00573159">
        <w:rPr>
          <w:color w:val="0070AE" w:themeColor="accent2" w:themeTint="BF"/>
        </w:rPr>
        <w:t xml:space="preserve">the </w:t>
      </w:r>
      <w:r w:rsidR="00A30F77" w:rsidRPr="00573159">
        <w:rPr>
          <w:color w:val="0070AE" w:themeColor="accent2" w:themeTint="BF"/>
        </w:rPr>
        <w:t>Emissions Reduction Fund</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rsidR="00B51ECE" w:rsidRPr="00573159">
        <w:rPr>
          <w:color w:val="0070AE" w:themeColor="accent2" w:themeTint="BF"/>
        </w:rPr>
        <w:t xml:space="preserve"> </w:t>
      </w:r>
      <w:bookmarkEnd w:id="947"/>
      <w:bookmarkEnd w:id="948"/>
      <w:bookmarkEnd w:id="949"/>
      <w:bookmarkEnd w:id="950"/>
      <w:bookmarkEnd w:id="951"/>
      <w:bookmarkEnd w:id="952"/>
      <w:bookmarkEnd w:id="953"/>
      <w:bookmarkEnd w:id="954"/>
      <w:bookmarkEnd w:id="955"/>
      <w:bookmarkEnd w:id="956"/>
      <w:bookmarkEnd w:id="957"/>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73AF" w:themeFill="accent6"/>
        <w:tblLayout w:type="fixed"/>
        <w:tblLook w:val="04A0" w:firstRow="1" w:lastRow="0" w:firstColumn="1" w:lastColumn="0" w:noHBand="0" w:noVBand="1"/>
      </w:tblPr>
      <w:tblGrid>
        <w:gridCol w:w="9741"/>
      </w:tblGrid>
      <w:tr w:rsidR="00F71DBD" w:rsidRPr="00B32198" w14:paraId="3F4FC165" w14:textId="77777777" w:rsidTr="00F71DBD">
        <w:tc>
          <w:tcPr>
            <w:tcW w:w="9741" w:type="dxa"/>
            <w:shd w:val="clear" w:color="auto" w:fill="B0E9FF" w:themeFill="text2" w:themeFillTint="33"/>
          </w:tcPr>
          <w:p w14:paraId="367BE5C9" w14:textId="25618A5E" w:rsidR="00A42BC7" w:rsidRDefault="00A42BC7" w:rsidP="00996B9D">
            <w:pPr>
              <w:pStyle w:val="BodyText"/>
            </w:pPr>
            <w:bookmarkStart w:id="958" w:name="_Toc497819451"/>
            <w:bookmarkStart w:id="959" w:name="_Toc498691517"/>
            <w:bookmarkStart w:id="960" w:name="_Toc499043698"/>
            <w:bookmarkStart w:id="961" w:name="_Toc499051724"/>
            <w:bookmarkStart w:id="962" w:name="_Toc500251074"/>
            <w:bookmarkStart w:id="963" w:name="_Toc500251349"/>
            <w:bookmarkStart w:id="964" w:name="_Toc500253946"/>
            <w:bookmarkStart w:id="965" w:name="_Toc500401453"/>
            <w:bookmarkStart w:id="966" w:name="_Toc500490938"/>
            <w:bookmarkStart w:id="967" w:name="_Toc500512880"/>
            <w:bookmarkStart w:id="968" w:name="_Toc500514135"/>
            <w:bookmarkStart w:id="969" w:name="_Toc500516192"/>
            <w:bookmarkStart w:id="970" w:name="_Toc44514566"/>
            <w:bookmarkStart w:id="971" w:name="_Toc45030347"/>
            <w:r>
              <w:t xml:space="preserve">The ERF is a voluntary scheme designed to incentivise a range of organisations and individuals to reduce their greenhouse gas emissions. </w:t>
            </w:r>
            <w:r w:rsidR="00913260">
              <w:t>T</w:t>
            </w:r>
            <w:r>
              <w:t xml:space="preserve">he </w:t>
            </w:r>
            <w:r w:rsidRPr="005A5214">
              <w:rPr>
                <w:i/>
              </w:rPr>
              <w:t>Carbon Credits (Carbon Farming Initiative) Act 2011</w:t>
            </w:r>
            <w:r>
              <w:t xml:space="preserve">, </w:t>
            </w:r>
            <w:r w:rsidR="00913260">
              <w:t xml:space="preserve">together with </w:t>
            </w:r>
            <w:r>
              <w:t xml:space="preserve">the </w:t>
            </w:r>
            <w:r w:rsidRPr="00207AE1">
              <w:rPr>
                <w:i/>
              </w:rPr>
              <w:t>Carbon Credits (Carbon Farming Initiative) Regulations 2011</w:t>
            </w:r>
            <w:r>
              <w:t xml:space="preserve"> and the </w:t>
            </w:r>
            <w:r w:rsidRPr="00207AE1">
              <w:rPr>
                <w:i/>
              </w:rPr>
              <w:t>Carbon Credits (Carbon Farming Initiative) Rule 2015</w:t>
            </w:r>
            <w:r w:rsidR="00913260">
              <w:t xml:space="preserve">, implements the </w:t>
            </w:r>
            <w:r w:rsidR="00913260" w:rsidRPr="00A42BC7">
              <w:t>crediting and purchasing elements of the ERF</w:t>
            </w:r>
            <w:r>
              <w:t>.</w:t>
            </w:r>
          </w:p>
          <w:p w14:paraId="3C3EB2E2" w14:textId="77777777" w:rsidR="00CA0B1B" w:rsidRDefault="00CA0B1B" w:rsidP="00996B9D">
            <w:pPr>
              <w:pStyle w:val="BodyText"/>
            </w:pPr>
          </w:p>
          <w:p w14:paraId="20444A83" w14:textId="5F34D45F" w:rsidR="00913260" w:rsidRDefault="00913260" w:rsidP="00996B9D">
            <w:pPr>
              <w:pStyle w:val="BodyText"/>
            </w:pPr>
            <w:r w:rsidRPr="00913260">
              <w:t>Under the crediting mechanism,</w:t>
            </w:r>
            <w:r>
              <w:t xml:space="preserve"> registered projects that comply with an approved ERF method can earn </w:t>
            </w:r>
            <w:r w:rsidR="00A42BC7">
              <w:t xml:space="preserve">Australian </w:t>
            </w:r>
            <w:r w:rsidR="00A5348B">
              <w:t>C</w:t>
            </w:r>
            <w:r w:rsidR="00A42BC7">
              <w:t xml:space="preserve">arbon </w:t>
            </w:r>
            <w:r w:rsidR="00A5348B">
              <w:t>C</w:t>
            </w:r>
            <w:r w:rsidR="00A42BC7">
              <w:t xml:space="preserve">redit </w:t>
            </w:r>
            <w:r w:rsidR="00A5348B">
              <w:t>U</w:t>
            </w:r>
            <w:r w:rsidR="00A42BC7">
              <w:t xml:space="preserve">nits (ACCUs) for emissions reductions. One ACCU is earned for each tonne of carbon dioxide equivalent </w:t>
            </w:r>
            <w:r>
              <w:t>stored or avoided by a project.</w:t>
            </w:r>
          </w:p>
          <w:p w14:paraId="342F9FED" w14:textId="77777777" w:rsidR="00CA0B1B" w:rsidRDefault="00CA0B1B" w:rsidP="00996B9D">
            <w:pPr>
              <w:pStyle w:val="BodyText"/>
            </w:pPr>
          </w:p>
          <w:p w14:paraId="479024EA" w14:textId="009440FD" w:rsidR="00C61725" w:rsidRDefault="00913260" w:rsidP="00996B9D">
            <w:pPr>
              <w:pStyle w:val="BodyText"/>
            </w:pPr>
            <w:r>
              <w:t xml:space="preserve">ACCUs can be sold to earn income. </w:t>
            </w:r>
            <w:r w:rsidRPr="00913260">
              <w:t>The Australian Government</w:t>
            </w:r>
            <w:r>
              <w:t>, through the Regulator,</w:t>
            </w:r>
            <w:r w:rsidRPr="00913260">
              <w:t xml:space="preserve"> purchase</w:t>
            </w:r>
            <w:r>
              <w:t>s</w:t>
            </w:r>
            <w:r w:rsidRPr="00913260">
              <w:t xml:space="preserve"> ACCUs </w:t>
            </w:r>
            <w:r>
              <w:t xml:space="preserve">from registered projects. </w:t>
            </w:r>
            <w:r w:rsidRPr="00913260">
              <w:t xml:space="preserve">To date, the Regulator has purchased ACCUs through </w:t>
            </w:r>
            <w:r w:rsidR="00FA4322">
              <w:t xml:space="preserve">reverse </w:t>
            </w:r>
            <w:r w:rsidRPr="00913260">
              <w:t>auctions</w:t>
            </w:r>
            <w:r>
              <w:t xml:space="preserve">. ACCUs can also be sold on the secondary market. </w:t>
            </w:r>
          </w:p>
          <w:p w14:paraId="693286EE" w14:textId="77777777" w:rsidR="00C61725" w:rsidRDefault="00C61725" w:rsidP="00996B9D">
            <w:pPr>
              <w:pStyle w:val="BodyText"/>
            </w:pPr>
          </w:p>
          <w:p w14:paraId="3346D46A" w14:textId="79F6C122" w:rsidR="00A42BC7" w:rsidRPr="00B32198" w:rsidRDefault="00C61725" w:rsidP="00996B9D">
            <w:pPr>
              <w:pStyle w:val="BodyText"/>
            </w:pPr>
            <w:r>
              <w:t xml:space="preserve">The </w:t>
            </w:r>
            <w:r w:rsidR="00EF3364">
              <w:t>Safeguard Mechanism</w:t>
            </w:r>
            <w:r>
              <w:t xml:space="preserve"> aims to set </w:t>
            </w:r>
            <w:r w:rsidRPr="005206CA">
              <w:t>regulatory limits</w:t>
            </w:r>
            <w:r>
              <w:t xml:space="preserve"> on high emitters so that emissions reductions secured through ERF crediting and purchasing</w:t>
            </w:r>
            <w:r w:rsidRPr="005206CA">
              <w:t xml:space="preserve"> are not offset by significant increases </w:t>
            </w:r>
            <w:r>
              <w:t xml:space="preserve">in emissions </w:t>
            </w:r>
            <w:r w:rsidRPr="005206CA">
              <w:t>above business</w:t>
            </w:r>
            <w:r>
              <w:t xml:space="preserve"> </w:t>
            </w:r>
            <w:r w:rsidRPr="005206CA">
              <w:t>as</w:t>
            </w:r>
            <w:r>
              <w:t xml:space="preserve"> </w:t>
            </w:r>
            <w:r w:rsidRPr="005206CA">
              <w:t xml:space="preserve">usual levels elsewhere in the economy. While </w:t>
            </w:r>
            <w:r>
              <w:t xml:space="preserve">it is </w:t>
            </w:r>
            <w:r w:rsidRPr="005206CA">
              <w:t xml:space="preserve">an element of the ERF, the </w:t>
            </w:r>
            <w:r w:rsidR="00EF3364">
              <w:t>Safeguard Mechanism</w:t>
            </w:r>
            <w:r>
              <w:t xml:space="preserve"> </w:t>
            </w:r>
            <w:r w:rsidRPr="005206CA">
              <w:t>functions largely as a separate scheme</w:t>
            </w:r>
            <w:r>
              <w:t>.</w:t>
            </w:r>
          </w:p>
        </w:tc>
      </w:tr>
    </w:tbl>
    <w:p w14:paraId="609D988D" w14:textId="77777777" w:rsidR="006A4D8A" w:rsidRPr="006A4D8A" w:rsidRDefault="006A4D8A" w:rsidP="006A4D8A"/>
    <w:p w14:paraId="7981FB04" w14:textId="2C9ED4F6" w:rsidR="00792F46" w:rsidRPr="00573159" w:rsidRDefault="00792F46" w:rsidP="00004274">
      <w:pPr>
        <w:pStyle w:val="Heading2"/>
        <w:numPr>
          <w:ilvl w:val="1"/>
          <w:numId w:val="49"/>
        </w:numPr>
        <w:rPr>
          <w:color w:val="0070AE" w:themeColor="accent2" w:themeTint="BF"/>
        </w:rPr>
      </w:pPr>
      <w:bookmarkStart w:id="972" w:name="_Toc48996302"/>
      <w:bookmarkStart w:id="973" w:name="_Toc49350824"/>
      <w:bookmarkStart w:id="974" w:name="_Toc49352804"/>
      <w:bookmarkStart w:id="975" w:name="_Toc49354180"/>
      <w:bookmarkStart w:id="976" w:name="_Toc49355506"/>
      <w:bookmarkStart w:id="977" w:name="_Toc49429264"/>
      <w:bookmarkStart w:id="978" w:name="_Toc49434021"/>
      <w:bookmarkStart w:id="979" w:name="_Toc49441014"/>
      <w:bookmarkStart w:id="980" w:name="_Toc49441204"/>
      <w:bookmarkStart w:id="981" w:name="_Toc49442207"/>
      <w:bookmarkStart w:id="982" w:name="_Toc49508936"/>
      <w:bookmarkStart w:id="983" w:name="_Toc49519746"/>
      <w:bookmarkStart w:id="984" w:name="_Toc49521461"/>
      <w:bookmarkStart w:id="985" w:name="_Toc49524533"/>
      <w:bookmarkStart w:id="986" w:name="_Toc49524671"/>
      <w:bookmarkStart w:id="987" w:name="_Toc49527140"/>
      <w:bookmarkStart w:id="988" w:name="_Toc49527978"/>
      <w:bookmarkStart w:id="989" w:name="_Toc49692130"/>
      <w:bookmarkStart w:id="990" w:name="_Toc49710503"/>
      <w:bookmarkStart w:id="991" w:name="_Toc49710675"/>
      <w:bookmarkStart w:id="992" w:name="_Toc49713228"/>
      <w:bookmarkStart w:id="993" w:name="_Toc49713430"/>
      <w:bookmarkStart w:id="994" w:name="_Toc49776368"/>
      <w:bookmarkStart w:id="995" w:name="_Toc49784927"/>
      <w:bookmarkStart w:id="996" w:name="_Toc49786253"/>
      <w:bookmarkStart w:id="997" w:name="_Toc49787302"/>
      <w:bookmarkStart w:id="998" w:name="_Toc49787357"/>
      <w:bookmarkStart w:id="999" w:name="_Toc49850671"/>
      <w:bookmarkStart w:id="1000" w:name="_Toc49852913"/>
      <w:bookmarkStart w:id="1001" w:name="_Toc49854330"/>
      <w:bookmarkStart w:id="1002" w:name="_Toc49856926"/>
      <w:bookmarkStart w:id="1003" w:name="_Toc49858242"/>
      <w:bookmarkStart w:id="1004" w:name="_Toc49858297"/>
      <w:bookmarkStart w:id="1005" w:name="_Toc49862999"/>
      <w:bookmarkStart w:id="1006" w:name="_Toc49867722"/>
      <w:bookmarkStart w:id="1007" w:name="_Toc49870558"/>
      <w:bookmarkStart w:id="1008" w:name="_Toc49871301"/>
      <w:bookmarkStart w:id="1009" w:name="_Toc49871981"/>
      <w:bookmarkStart w:id="1010" w:name="_Toc49872534"/>
      <w:bookmarkStart w:id="1011" w:name="_Toc50027746"/>
      <w:bookmarkStart w:id="1012" w:name="_Toc50029440"/>
      <w:bookmarkStart w:id="1013" w:name="_Toc50043874"/>
      <w:bookmarkStart w:id="1014" w:name="_Toc50057725"/>
      <w:bookmarkStart w:id="1015" w:name="_Toc50553602"/>
      <w:bookmarkStart w:id="1016" w:name="_Toc50555365"/>
      <w:bookmarkStart w:id="1017" w:name="_Toc50559825"/>
      <w:bookmarkStart w:id="1018" w:name="_Toc50559878"/>
      <w:bookmarkStart w:id="1019" w:name="_Toc50563812"/>
      <w:bookmarkStart w:id="1020" w:name="_Toc50711365"/>
      <w:bookmarkStart w:id="1021" w:name="_Toc50720947"/>
      <w:bookmarkStart w:id="1022" w:name="_Toc50730671"/>
      <w:bookmarkStart w:id="1023" w:name="_Toc50734897"/>
      <w:bookmarkStart w:id="1024" w:name="_Toc50735500"/>
      <w:bookmarkStart w:id="1025" w:name="_Toc50905519"/>
      <w:bookmarkStart w:id="1026" w:name="_Toc51587004"/>
      <w:bookmarkStart w:id="1027" w:name="_Toc51594864"/>
      <w:bookmarkStart w:id="1028" w:name="_Toc51599467"/>
      <w:bookmarkStart w:id="1029" w:name="_Toc51613503"/>
      <w:bookmarkStart w:id="1030" w:name="_Toc51669614"/>
      <w:bookmarkStart w:id="1031" w:name="_Toc51669709"/>
      <w:bookmarkStart w:id="1032" w:name="_Toc51672858"/>
      <w:bookmarkStart w:id="1033" w:name="_Toc51673908"/>
      <w:bookmarkStart w:id="1034" w:name="_Toc51680725"/>
      <w:bookmarkStart w:id="1035" w:name="_Toc51683254"/>
      <w:bookmarkStart w:id="1036" w:name="_Toc51685990"/>
      <w:bookmarkStart w:id="1037" w:name="_Toc51687728"/>
      <w:bookmarkStart w:id="1038" w:name="_Toc51687872"/>
      <w:bookmarkStart w:id="1039" w:name="_Toc51705750"/>
      <w:bookmarkStart w:id="1040" w:name="_Toc51770696"/>
      <w:bookmarkStart w:id="1041" w:name="_Toc51770882"/>
      <w:bookmarkStart w:id="1042" w:name="_Toc52359225"/>
      <w:bookmarkStart w:id="1043" w:name="_Toc52367258"/>
      <w:bookmarkStart w:id="1044" w:name="_Toc52371598"/>
      <w:bookmarkStart w:id="1045" w:name="_Toc52374746"/>
      <w:bookmarkStart w:id="1046" w:name="_Toc52377284"/>
      <w:bookmarkStart w:id="1047" w:name="_Toc52379206"/>
      <w:bookmarkStart w:id="1048" w:name="_Toc52379561"/>
      <w:bookmarkStart w:id="1049" w:name="_Toc52532771"/>
      <w:bookmarkStart w:id="1050" w:name="_Toc52535666"/>
      <w:bookmarkStart w:id="1051" w:name="_Toc52537484"/>
      <w:bookmarkStart w:id="1052" w:name="_Toc52544047"/>
      <w:bookmarkStart w:id="1053" w:name="_Toc52545651"/>
      <w:bookmarkStart w:id="1054" w:name="_Toc52547883"/>
      <w:bookmarkStart w:id="1055" w:name="_Toc52548572"/>
      <w:bookmarkStart w:id="1056" w:name="_Toc52890864"/>
      <w:bookmarkStart w:id="1057" w:name="_Toc52895067"/>
      <w:bookmarkStart w:id="1058" w:name="_Toc52896591"/>
      <w:bookmarkStart w:id="1059" w:name="_Toc52977768"/>
      <w:bookmarkStart w:id="1060" w:name="_Toc53129454"/>
      <w:r w:rsidRPr="00573159">
        <w:rPr>
          <w:color w:val="0070AE" w:themeColor="accent2" w:themeTint="BF"/>
        </w:rPr>
        <w:t xml:space="preserve">Overview of the Emissions Reduction </w:t>
      </w:r>
      <w:bookmarkEnd w:id="958"/>
      <w:bookmarkEnd w:id="959"/>
      <w:bookmarkEnd w:id="960"/>
      <w:bookmarkEnd w:id="961"/>
      <w:r w:rsidRPr="00573159">
        <w:rPr>
          <w:color w:val="0070AE" w:themeColor="accent2" w:themeTint="BF"/>
        </w:rPr>
        <w:t>Fund</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00BB22A7" w:rsidRPr="00573159">
        <w:rPr>
          <w:color w:val="0070AE" w:themeColor="accent2" w:themeTint="BF"/>
        </w:rPr>
        <w:t xml:space="preserve"> </w:t>
      </w:r>
    </w:p>
    <w:p w14:paraId="1E5C40B7" w14:textId="6D5ACFF8" w:rsidR="00442729" w:rsidRPr="00BB22A7" w:rsidRDefault="008E7018" w:rsidP="008E7018">
      <w:r w:rsidRPr="00BB22A7">
        <w:t>The ERF evolved from the Carbon Farming Initiative (CFI)—a voluntary offset</w:t>
      </w:r>
      <w:r w:rsidR="00914843">
        <w:t>s</w:t>
      </w:r>
      <w:r w:rsidRPr="00BB22A7">
        <w:t xml:space="preserve"> scheme designed to support compliance with the Australian Government’s Carbon Pricing </w:t>
      </w:r>
      <w:r w:rsidR="004A1949">
        <w:t>Mechanism</w:t>
      </w:r>
      <w:r w:rsidR="00A5348B">
        <w:t xml:space="preserve">. The CFI </w:t>
      </w:r>
      <w:r w:rsidRPr="00BB22A7">
        <w:t xml:space="preserve">operated between 2011 and 2014. Companies could </w:t>
      </w:r>
      <w:r w:rsidR="002D7500">
        <w:t xml:space="preserve">use offsets to </w:t>
      </w:r>
      <w:r w:rsidRPr="00BB22A7">
        <w:t xml:space="preserve">meet their obligations under the Carbon Pricing </w:t>
      </w:r>
      <w:r w:rsidR="004A1949">
        <w:t>Mechanism</w:t>
      </w:r>
      <w:r w:rsidRPr="00BB22A7">
        <w:t xml:space="preserve"> by purchasing ACCUs from the land sector and landfill projects under the CFI</w:t>
      </w:r>
      <w:r w:rsidR="00684804">
        <w:t xml:space="preserve"> (</w:t>
      </w:r>
      <w:r w:rsidR="00684804" w:rsidRPr="00E30227">
        <w:t>Parliament of Australia 2011</w:t>
      </w:r>
      <w:r w:rsidR="00684804">
        <w:t xml:space="preserve">; </w:t>
      </w:r>
      <w:r w:rsidR="00684804" w:rsidRPr="00E30227">
        <w:t>CER 2015</w:t>
      </w:r>
      <w:r w:rsidR="00BF7325">
        <w:t>a</w:t>
      </w:r>
      <w:r w:rsidR="00684804">
        <w:t>)</w:t>
      </w:r>
      <w:r w:rsidRPr="00BB22A7">
        <w:t xml:space="preserve">. </w:t>
      </w:r>
      <w:r w:rsidR="00FA205D">
        <w:t>An ACCU represents one tonne of carbon dioxide equivalent (tCO</w:t>
      </w:r>
      <w:r w:rsidR="00FA205D" w:rsidRPr="00BD0EE1">
        <w:rPr>
          <w:vertAlign w:val="subscript"/>
        </w:rPr>
        <w:t>2</w:t>
      </w:r>
      <w:r w:rsidR="00FA205D">
        <w:t>-e) stored or avoided by a project.</w:t>
      </w:r>
    </w:p>
    <w:p w14:paraId="1F8F74A7" w14:textId="34FCB2FF" w:rsidR="002D7DB1" w:rsidRDefault="008E7018" w:rsidP="00792F46">
      <w:r>
        <w:t xml:space="preserve">In </w:t>
      </w:r>
      <w:r w:rsidRPr="00A04586">
        <w:t xml:space="preserve">2014, </w:t>
      </w:r>
      <w:r w:rsidRPr="00BB22A7">
        <w:t xml:space="preserve">the Government repealed the Carbon Pricing </w:t>
      </w:r>
      <w:r w:rsidR="004A1949">
        <w:t>Mechanism</w:t>
      </w:r>
      <w:r w:rsidRPr="00BB22A7">
        <w:t xml:space="preserve"> and amended the CFI legislation to establish the ERF</w:t>
      </w:r>
      <w:r>
        <w:t xml:space="preserve">. </w:t>
      </w:r>
      <w:r w:rsidR="002D7DB1">
        <w:rPr>
          <w:lang w:val="en-US"/>
        </w:rPr>
        <w:t xml:space="preserve">The ERF credits greenhouse gas abatement that results from additional, project-level action. </w:t>
      </w:r>
      <w:r>
        <w:t xml:space="preserve">The biggest change to the scheme was </w:t>
      </w:r>
      <w:r w:rsidR="004A23CD">
        <w:t xml:space="preserve">the shift in emphasis away from </w:t>
      </w:r>
      <w:r>
        <w:t xml:space="preserve">private </w:t>
      </w:r>
      <w:r w:rsidRPr="00A04586">
        <w:t xml:space="preserve">purchasing </w:t>
      </w:r>
      <w:r w:rsidR="004A23CD">
        <w:t xml:space="preserve">of </w:t>
      </w:r>
      <w:r w:rsidR="009F71AA">
        <w:t xml:space="preserve">carbon </w:t>
      </w:r>
      <w:r w:rsidR="004A23CD">
        <w:t>credits</w:t>
      </w:r>
      <w:r>
        <w:t xml:space="preserve">. Instead demand would </w:t>
      </w:r>
      <w:r w:rsidR="00562D36">
        <w:t>primarily</w:t>
      </w:r>
      <w:r>
        <w:t xml:space="preserve"> come from</w:t>
      </w:r>
      <w:r w:rsidRPr="00A04586">
        <w:t xml:space="preserve"> </w:t>
      </w:r>
      <w:r>
        <w:t>the Government, which would purchase</w:t>
      </w:r>
      <w:r w:rsidRPr="00A04586">
        <w:t xml:space="preserve"> ACCUs </w:t>
      </w:r>
      <w:r>
        <w:t xml:space="preserve">via the ERF purchasing mechanism </w:t>
      </w:r>
      <w:r w:rsidRPr="00A04586">
        <w:t xml:space="preserve">to help </w:t>
      </w:r>
      <w:r>
        <w:t xml:space="preserve">Australia </w:t>
      </w:r>
      <w:r w:rsidRPr="00A04586">
        <w:t xml:space="preserve">meet </w:t>
      </w:r>
      <w:r>
        <w:t>its</w:t>
      </w:r>
      <w:r w:rsidRPr="00A04586">
        <w:t xml:space="preserve"> </w:t>
      </w:r>
      <w:r>
        <w:t>international commitments</w:t>
      </w:r>
      <w:r w:rsidR="00A5348B">
        <w:t>.</w:t>
      </w:r>
      <w:r>
        <w:t xml:space="preserve"> </w:t>
      </w:r>
    </w:p>
    <w:p w14:paraId="41831CF8" w14:textId="7BF83DCD" w:rsidR="008E7018" w:rsidRDefault="008E7018" w:rsidP="00792F46">
      <w:r>
        <w:t>The scheme was opened up to a wider range of activities to drive abatement across different sectors of the economy</w:t>
      </w:r>
      <w:r w:rsidR="002D7DB1">
        <w:t>.</w:t>
      </w:r>
      <w:r w:rsidR="002D7500">
        <w:t xml:space="preserve"> The Offsets Integrity S</w:t>
      </w:r>
      <w:r w:rsidR="002D7DB1">
        <w:t>tandards</w:t>
      </w:r>
      <w:r>
        <w:t xml:space="preserve"> of the CFI remained to ensure </w:t>
      </w:r>
      <w:r w:rsidR="002D7500">
        <w:t>the</w:t>
      </w:r>
      <w:r>
        <w:t xml:space="preserve"> Government purchased genuine and additional abatement.</w:t>
      </w:r>
    </w:p>
    <w:p w14:paraId="410B4B18" w14:textId="77777777" w:rsidR="00792F46" w:rsidRPr="00573159" w:rsidRDefault="00792F46" w:rsidP="00792F46">
      <w:pPr>
        <w:pStyle w:val="Heading3"/>
        <w:rPr>
          <w:i/>
          <w:color w:val="0070AE" w:themeColor="accent2" w:themeTint="BF"/>
        </w:rPr>
      </w:pPr>
      <w:r w:rsidRPr="00573159">
        <w:rPr>
          <w:i/>
          <w:color w:val="0070AE" w:themeColor="accent2" w:themeTint="BF"/>
        </w:rPr>
        <w:t>Crediting mechanism</w:t>
      </w:r>
    </w:p>
    <w:p w14:paraId="694CA9EA" w14:textId="5F5BD7B5" w:rsidR="00792F46" w:rsidRDefault="00792F46" w:rsidP="00792F46">
      <w:r w:rsidRPr="005206CA">
        <w:t>Under the crediting mechanism, the ERF</w:t>
      </w:r>
      <w:r w:rsidRPr="005206CA" w:rsidDel="00126DF6">
        <w:t xml:space="preserve"> </w:t>
      </w:r>
      <w:r>
        <w:t>issues</w:t>
      </w:r>
      <w:r w:rsidRPr="005206CA">
        <w:t xml:space="preserve"> ACCUs to businesses, organisations, local councils</w:t>
      </w:r>
      <w:r>
        <w:t xml:space="preserve"> and </w:t>
      </w:r>
      <w:r w:rsidRPr="005206CA">
        <w:t xml:space="preserve">individuals that successfully undertake an emissions reduction project registered with the </w:t>
      </w:r>
      <w:r w:rsidR="00FA205D">
        <w:t>Regulator</w:t>
      </w:r>
      <w:r w:rsidR="00C4422B">
        <w:t xml:space="preserve"> (Figure </w:t>
      </w:r>
      <w:r w:rsidR="00C4422B" w:rsidRPr="00DB336E">
        <w:t>2.1</w:t>
      </w:r>
      <w:r w:rsidR="00FA205D">
        <w:t>)</w:t>
      </w:r>
      <w:r w:rsidRPr="005206CA">
        <w:t>.</w:t>
      </w:r>
      <w:r>
        <w:t xml:space="preserve"> </w:t>
      </w:r>
    </w:p>
    <w:p w14:paraId="361E816D" w14:textId="636CD7BC" w:rsidR="005F16D5" w:rsidRDefault="005F16D5" w:rsidP="005F16D5">
      <w:r w:rsidRPr="005206CA">
        <w:t xml:space="preserve">There are currently </w:t>
      </w:r>
      <w:r w:rsidRPr="00DB336E">
        <w:t>34</w:t>
      </w:r>
      <w:r w:rsidRPr="005206CA">
        <w:t xml:space="preserve"> approved </w:t>
      </w:r>
      <w:bookmarkStart w:id="1061" w:name="_Toc44514568"/>
      <w:r w:rsidR="00B3694A" w:rsidRPr="005E2F85">
        <w:t>m</w:t>
      </w:r>
      <w:r w:rsidR="00CC471B" w:rsidRPr="005E2F85">
        <w:t>ethods</w:t>
      </w:r>
      <w:r w:rsidR="00B3694A">
        <w:t xml:space="preserve"> </w:t>
      </w:r>
      <w:r w:rsidRPr="005206CA">
        <w:t>under which projects can be registered</w:t>
      </w:r>
      <w:r w:rsidR="0060180B">
        <w:t xml:space="preserve"> (Appendix </w:t>
      </w:r>
      <w:r w:rsidR="00C4422B" w:rsidRPr="00DB336E">
        <w:t>E</w:t>
      </w:r>
      <w:r w:rsidR="0060180B">
        <w:t>)</w:t>
      </w:r>
      <w:r w:rsidR="00FA205D">
        <w:t>.</w:t>
      </w:r>
      <w:r w:rsidR="000C4B8D">
        <w:t xml:space="preserve"> There are methods </w:t>
      </w:r>
      <w:r w:rsidR="00C1473F">
        <w:t>for</w:t>
      </w:r>
      <w:r w:rsidR="000C4B8D">
        <w:t xml:space="preserve"> the following </w:t>
      </w:r>
      <w:r w:rsidR="00C1473F">
        <w:t>types of activities</w:t>
      </w:r>
      <w:r>
        <w:t>:</w:t>
      </w:r>
    </w:p>
    <w:p w14:paraId="3F1513BE" w14:textId="77777777" w:rsidR="005F16D5" w:rsidRDefault="005F16D5" w:rsidP="00FE3F8C">
      <w:pPr>
        <w:pStyle w:val="ListBullet"/>
        <w:numPr>
          <w:ilvl w:val="0"/>
          <w:numId w:val="35"/>
        </w:numPr>
      </w:pPr>
      <w:r w:rsidRPr="005206CA">
        <w:t xml:space="preserve">vegetation management </w:t>
      </w:r>
    </w:p>
    <w:p w14:paraId="5E432CB7" w14:textId="77777777" w:rsidR="005F16D5" w:rsidRDefault="005F16D5" w:rsidP="00FE3F8C">
      <w:pPr>
        <w:pStyle w:val="ListBullet"/>
        <w:numPr>
          <w:ilvl w:val="0"/>
          <w:numId w:val="35"/>
        </w:numPr>
      </w:pPr>
      <w:r w:rsidRPr="005206CA">
        <w:t>agriculture</w:t>
      </w:r>
    </w:p>
    <w:p w14:paraId="7A352436" w14:textId="1E96A46A" w:rsidR="005F16D5" w:rsidRDefault="005F16D5" w:rsidP="00FE3F8C">
      <w:pPr>
        <w:pStyle w:val="ListBullet"/>
        <w:numPr>
          <w:ilvl w:val="0"/>
          <w:numId w:val="35"/>
        </w:numPr>
      </w:pPr>
      <w:r w:rsidRPr="005206CA">
        <w:t>savanna fire</w:t>
      </w:r>
      <w:r>
        <w:t xml:space="preserve"> management</w:t>
      </w:r>
    </w:p>
    <w:p w14:paraId="67F8E222" w14:textId="77777777" w:rsidR="005F16D5" w:rsidRDefault="005F16D5" w:rsidP="00FE3F8C">
      <w:pPr>
        <w:pStyle w:val="ListBullet"/>
        <w:numPr>
          <w:ilvl w:val="0"/>
          <w:numId w:val="35"/>
        </w:numPr>
      </w:pPr>
      <w:r w:rsidRPr="005206CA">
        <w:t>waste and wastewater management</w:t>
      </w:r>
    </w:p>
    <w:p w14:paraId="1DA558FD" w14:textId="77777777" w:rsidR="005F16D5" w:rsidRDefault="005F16D5" w:rsidP="00FE3F8C">
      <w:pPr>
        <w:pStyle w:val="ListBullet"/>
        <w:numPr>
          <w:ilvl w:val="0"/>
          <w:numId w:val="35"/>
        </w:numPr>
      </w:pPr>
      <w:r w:rsidRPr="005206CA">
        <w:t>energy efficiency</w:t>
      </w:r>
    </w:p>
    <w:p w14:paraId="60A7560E" w14:textId="33CD388D" w:rsidR="005F16D5" w:rsidRDefault="00C1473F" w:rsidP="00FE3F8C">
      <w:pPr>
        <w:pStyle w:val="ListBullet"/>
        <w:numPr>
          <w:ilvl w:val="0"/>
          <w:numId w:val="35"/>
        </w:numPr>
      </w:pPr>
      <w:r>
        <w:t xml:space="preserve">industrial </w:t>
      </w:r>
      <w:r w:rsidR="005F16D5" w:rsidRPr="005206CA">
        <w:t>facilities</w:t>
      </w:r>
    </w:p>
    <w:p w14:paraId="426D231C" w14:textId="77777777" w:rsidR="005F16D5" w:rsidRDefault="005F16D5" w:rsidP="00FE3F8C">
      <w:pPr>
        <w:pStyle w:val="ListBullet"/>
        <w:numPr>
          <w:ilvl w:val="0"/>
          <w:numId w:val="35"/>
        </w:numPr>
      </w:pPr>
      <w:r w:rsidRPr="005206CA">
        <w:t>mining, oil and gas</w:t>
      </w:r>
    </w:p>
    <w:p w14:paraId="71C788C8" w14:textId="77777777" w:rsidR="005F16D5" w:rsidRDefault="005F16D5" w:rsidP="00FE3F8C">
      <w:pPr>
        <w:pStyle w:val="ListBullet"/>
        <w:numPr>
          <w:ilvl w:val="0"/>
          <w:numId w:val="35"/>
        </w:numPr>
      </w:pPr>
      <w:r w:rsidRPr="005206CA">
        <w:t>transpor</w:t>
      </w:r>
      <w:r>
        <w:t>t.</w:t>
      </w:r>
    </w:p>
    <w:p w14:paraId="1119D12D" w14:textId="773E2F27" w:rsidR="005F16D5" w:rsidRDefault="000C4B8D" w:rsidP="005F16D5">
      <w:r>
        <w:t>ERF methods specify the type of emissions avoidance or carbon storage activities</w:t>
      </w:r>
      <w:r>
        <w:rPr>
          <w:rStyle w:val="FootnoteReference"/>
        </w:rPr>
        <w:footnoteReference w:id="2"/>
      </w:r>
      <w:r>
        <w:t xml:space="preserve"> that need to be undertaken by an ERF project and lay</w:t>
      </w:r>
      <w:r w:rsidR="00437234">
        <w:t xml:space="preserve"> </w:t>
      </w:r>
      <w:r>
        <w:t xml:space="preserve">out the rules for estimating emissions reductions. </w:t>
      </w:r>
      <w:r w:rsidR="00C00BCD">
        <w:t xml:space="preserve">The methods </w:t>
      </w:r>
      <w:r w:rsidR="00FA4322">
        <w:t>have been</w:t>
      </w:r>
      <w:r w:rsidR="00C00BCD">
        <w:t xml:space="preserve"> developed </w:t>
      </w:r>
      <w:r w:rsidR="00DB336E">
        <w:t xml:space="preserve">on behalf of the Minister </w:t>
      </w:r>
      <w:r w:rsidR="00C00BCD">
        <w:t>by the Department of Industry, Science, Energy and Resources (the Department)</w:t>
      </w:r>
      <w:r w:rsidR="00DB336E">
        <w:t xml:space="preserve">. </w:t>
      </w:r>
      <w:r w:rsidR="00FA4322">
        <w:t>However, the function of method development has recently moved to the Clean Energy Regulator (Regulator)</w:t>
      </w:r>
      <w:r w:rsidR="00A10D68">
        <w:t xml:space="preserve"> </w:t>
      </w:r>
      <w:r w:rsidR="00A10D68">
        <w:rPr>
          <w:rFonts w:eastAsia="Times New Roman"/>
          <w:lang w:val="en-US"/>
        </w:rPr>
        <w:t>and the Department retains its role in advising the Minister on making and varying methods</w:t>
      </w:r>
      <w:r w:rsidR="00FA4322">
        <w:t xml:space="preserve"> (Chapter 6). </w:t>
      </w:r>
      <w:r w:rsidR="00DB336E">
        <w:t xml:space="preserve">The Minister then </w:t>
      </w:r>
      <w:r w:rsidR="00C00BCD">
        <w:t>approve</w:t>
      </w:r>
      <w:r w:rsidR="00DB336E">
        <w:t>s the method via a Ministerial determination, once the independent Emissions Reduction Assurance Committee (ERAC) confirms that the method complies with the</w:t>
      </w:r>
      <w:r w:rsidR="00C00BCD">
        <w:t xml:space="preserve"> </w:t>
      </w:r>
      <w:r w:rsidR="00C1473F">
        <w:t>legislated Offsets Integrity S</w:t>
      </w:r>
      <w:r w:rsidR="00570347">
        <w:t xml:space="preserve">tandards (Chapter 5: Maintaining Integrity). </w:t>
      </w:r>
      <w:r w:rsidR="005F16D5" w:rsidRPr="005206CA">
        <w:t xml:space="preserve">All methods under the ERF accredit emissions </w:t>
      </w:r>
      <w:r w:rsidR="00B77C0C">
        <w:t>avoidance</w:t>
      </w:r>
      <w:r w:rsidR="00B77C0C" w:rsidDel="004A1949">
        <w:t xml:space="preserve"> </w:t>
      </w:r>
      <w:r w:rsidR="005F16D5" w:rsidRPr="005206CA">
        <w:t xml:space="preserve">or carbon storage that can be used to meet Australia’s international emissions reduction commitments. </w:t>
      </w:r>
    </w:p>
    <w:p w14:paraId="598F179B" w14:textId="6B21D259" w:rsidR="00E1015E" w:rsidRDefault="00E1015E" w:rsidP="00E1015E">
      <w:r>
        <w:t xml:space="preserve">Projects must be registered </w:t>
      </w:r>
      <w:r w:rsidR="005E60BE">
        <w:t>with the Regulator</w:t>
      </w:r>
      <w:r>
        <w:t xml:space="preserve"> to </w:t>
      </w:r>
      <w:r w:rsidR="007D0C0A">
        <w:t xml:space="preserve">participate in the ERF and </w:t>
      </w:r>
      <w:r>
        <w:t>earn ACCUs</w:t>
      </w:r>
      <w:r w:rsidR="005E60BE">
        <w:t xml:space="preserve"> (</w:t>
      </w:r>
      <w:r w:rsidR="00AA7723">
        <w:t>F</w:t>
      </w:r>
      <w:r w:rsidR="005E60BE">
        <w:t>igure 2.1)</w:t>
      </w:r>
      <w:r>
        <w:t xml:space="preserve">. </w:t>
      </w:r>
      <w:r w:rsidR="00C00BCD">
        <w:t>T</w:t>
      </w:r>
      <w:r>
        <w:t>o be registered</w:t>
      </w:r>
      <w:r w:rsidR="00C00BCD">
        <w:t>,</w:t>
      </w:r>
      <w:r>
        <w:t xml:space="preserve"> </w:t>
      </w:r>
      <w:r w:rsidR="00C5726C">
        <w:t xml:space="preserve">a </w:t>
      </w:r>
      <w:r>
        <w:t xml:space="preserve">project must comply with </w:t>
      </w:r>
      <w:r w:rsidR="005E60BE">
        <w:t>the relevant legislative</w:t>
      </w:r>
      <w:r w:rsidR="007D0C0A">
        <w:t xml:space="preserve"> rules, including </w:t>
      </w:r>
      <w:r w:rsidR="00E632B1">
        <w:t xml:space="preserve">adhering to </w:t>
      </w:r>
      <w:r w:rsidR="007D0C0A">
        <w:t xml:space="preserve">the </w:t>
      </w:r>
      <w:r w:rsidR="00C5726C">
        <w:t xml:space="preserve">particular ERF </w:t>
      </w:r>
      <w:r>
        <w:t xml:space="preserve">method </w:t>
      </w:r>
      <w:r w:rsidR="00C5726C">
        <w:t xml:space="preserve">governing the </w:t>
      </w:r>
      <w:r w:rsidR="00E632B1">
        <w:t>activit</w:t>
      </w:r>
      <w:r w:rsidR="00C5726C">
        <w:t>y to be undertaken by the project</w:t>
      </w:r>
      <w:r w:rsidR="00C00BCD">
        <w:t xml:space="preserve">. Projects must also comply </w:t>
      </w:r>
      <w:r>
        <w:t xml:space="preserve">with relevant state planning and environment laws. </w:t>
      </w:r>
      <w:r w:rsidR="00C00BCD">
        <w:t>In addition, l</w:t>
      </w:r>
      <w:r>
        <w:t>and-based projects must receive consent from Eligible Interest Holders</w:t>
      </w:r>
      <w:r w:rsidR="007D0C0A">
        <w:t>, such as native title holders, governments (for projects on Crown land), and banks</w:t>
      </w:r>
      <w:r>
        <w:t xml:space="preserve">. Projects that are in the process of obtaining </w:t>
      </w:r>
      <w:r w:rsidR="007D0C0A">
        <w:t xml:space="preserve">Eligible Interest Holder </w:t>
      </w:r>
      <w:r>
        <w:t>consent are able to be conditionally registered</w:t>
      </w:r>
      <w:r w:rsidR="007D0C0A">
        <w:t>. If they subsequently fail to receive consent, then p</w:t>
      </w:r>
      <w:r>
        <w:t>roject</w:t>
      </w:r>
      <w:r w:rsidR="007D0C0A">
        <w:t xml:space="preserve"> registration is revoked</w:t>
      </w:r>
      <w:r w:rsidR="005E60BE">
        <w:t xml:space="preserve"> (Chapter 6)</w:t>
      </w:r>
      <w:r w:rsidR="007D0C0A">
        <w:t>.</w:t>
      </w:r>
      <w:r w:rsidR="00C00BCD">
        <w:t xml:space="preserve"> Registration can also be revoked if projects fail to meet other requirements. </w:t>
      </w:r>
    </w:p>
    <w:p w14:paraId="76C5584D" w14:textId="77777777" w:rsidR="00792F46" w:rsidRPr="00573159" w:rsidRDefault="00792F46" w:rsidP="00792F46">
      <w:pPr>
        <w:pStyle w:val="Heading3"/>
        <w:rPr>
          <w:i/>
          <w:color w:val="0070AE" w:themeColor="accent2" w:themeTint="BF"/>
        </w:rPr>
      </w:pPr>
      <w:r w:rsidRPr="00573159">
        <w:rPr>
          <w:i/>
          <w:color w:val="0070AE" w:themeColor="accent2" w:themeTint="BF"/>
        </w:rPr>
        <w:t>Purchasing mechanism</w:t>
      </w:r>
    </w:p>
    <w:p w14:paraId="0E6C7C96" w14:textId="104E1CE0" w:rsidR="00E548AB" w:rsidRDefault="0019099C" w:rsidP="00792F46">
      <w:r>
        <w:t xml:space="preserve">The second element of the ERF is the purchasing mechanism. </w:t>
      </w:r>
      <w:r w:rsidR="00792F46">
        <w:t>The Australian Government can purchase ACCUs from scheme participants who have registered an ERF project with the Regulator</w:t>
      </w:r>
      <w:r w:rsidR="00E548AB">
        <w:t>.</w:t>
      </w:r>
    </w:p>
    <w:p w14:paraId="24404B40" w14:textId="08AABF53" w:rsidR="00F95AAB" w:rsidRDefault="00112F6D" w:rsidP="00C7515B">
      <w:r>
        <w:t xml:space="preserve">To date, the Regulator has purchased ACCUs </w:t>
      </w:r>
      <w:r w:rsidR="0055302D">
        <w:t xml:space="preserve">by contracting abatement </w:t>
      </w:r>
      <w:r>
        <w:t xml:space="preserve">through </w:t>
      </w:r>
      <w:r w:rsidR="005A0A23">
        <w:t xml:space="preserve">reverse </w:t>
      </w:r>
      <w:r>
        <w:t xml:space="preserve">auctions, although it can also purchase </w:t>
      </w:r>
      <w:r w:rsidR="006007DC">
        <w:t>ACCUs</w:t>
      </w:r>
      <w:r>
        <w:t xml:space="preserve"> through other means that meet the principles in the Act. </w:t>
      </w:r>
      <w:r w:rsidR="007F7AAD">
        <w:t>For reverse a</w:t>
      </w:r>
      <w:r w:rsidR="005A0A23">
        <w:t>uction</w:t>
      </w:r>
      <w:r w:rsidR="007F7AAD">
        <w:t>s</w:t>
      </w:r>
      <w:r w:rsidR="005A0A23">
        <w:t xml:space="preserve"> participants submit </w:t>
      </w:r>
      <w:r w:rsidR="00BD6C3A">
        <w:t xml:space="preserve">a bid to </w:t>
      </w:r>
      <w:r w:rsidR="005A0A23">
        <w:t xml:space="preserve">the Regulator </w:t>
      </w:r>
      <w:r w:rsidR="00BD6C3A">
        <w:t xml:space="preserve">that includes </w:t>
      </w:r>
      <w:r w:rsidR="005A0A23">
        <w:t>the price and volume of ACCUs and the timeframes for delivery.</w:t>
      </w:r>
      <w:r w:rsidR="00BD6F71">
        <w:t xml:space="preserve"> A</w:t>
      </w:r>
      <w:r w:rsidR="005A0A23">
        <w:t xml:space="preserve"> bid</w:t>
      </w:r>
      <w:r w:rsidR="00BD6F71">
        <w:t>’s</w:t>
      </w:r>
      <w:r w:rsidR="005A0A23">
        <w:t xml:space="preserve"> </w:t>
      </w:r>
      <w:r w:rsidR="00BD6C3A">
        <w:t xml:space="preserve">success is based on its </w:t>
      </w:r>
      <w:r w:rsidR="005A0A23">
        <w:t>contribut</w:t>
      </w:r>
      <w:r w:rsidR="00BD6F71">
        <w:t>ion</w:t>
      </w:r>
      <w:r w:rsidR="005A0A23">
        <w:t xml:space="preserve"> to l</w:t>
      </w:r>
      <w:r w:rsidR="0082734E">
        <w:t>owest</w:t>
      </w:r>
      <w:r w:rsidR="005A0A23">
        <w:t xml:space="preserve"> cost abatement</w:t>
      </w:r>
      <w:r w:rsidR="00BD6F71">
        <w:t xml:space="preserve">, and successful bidders </w:t>
      </w:r>
      <w:r w:rsidR="0037295C">
        <w:t>receive</w:t>
      </w:r>
      <w:r w:rsidR="00BD6F71">
        <w:t xml:space="preserve"> the price they specify in their bid. </w:t>
      </w:r>
      <w:r>
        <w:t xml:space="preserve">The Regulator has held </w:t>
      </w:r>
      <w:r w:rsidR="0055302D" w:rsidRPr="002A1A94">
        <w:t>1</w:t>
      </w:r>
      <w:r w:rsidR="002A1A94" w:rsidRPr="002A1A94">
        <w:t>1</w:t>
      </w:r>
      <w:r>
        <w:t xml:space="preserve"> auctions since</w:t>
      </w:r>
      <w:r w:rsidR="00E548AB">
        <w:t xml:space="preserve"> it began</w:t>
      </w:r>
      <w:r>
        <w:t xml:space="preserve"> and </w:t>
      </w:r>
      <w:r w:rsidR="0055302D">
        <w:t>contracted</w:t>
      </w:r>
      <w:r>
        <w:t xml:space="preserve"> for </w:t>
      </w:r>
      <w:r w:rsidR="007F49EA" w:rsidRPr="00E30227">
        <w:t>approximately 200 million tonnes</w:t>
      </w:r>
      <w:r w:rsidR="007F49EA">
        <w:t xml:space="preserve"> of</w:t>
      </w:r>
      <w:r w:rsidDel="007F49EA">
        <w:t xml:space="preserve"> </w:t>
      </w:r>
      <w:r w:rsidR="0055302D">
        <w:t>abatement</w:t>
      </w:r>
      <w:r w:rsidR="00F416B2">
        <w:t xml:space="preserve"> (CER 2020</w:t>
      </w:r>
      <w:r w:rsidR="009A29B0">
        <w:t>a</w:t>
      </w:r>
      <w:r w:rsidR="00F416B2">
        <w:t>)</w:t>
      </w:r>
      <w:r w:rsidR="007F49EA">
        <w:t>.</w:t>
      </w:r>
      <w:r w:rsidR="0082734E" w:rsidRPr="00231119">
        <w:rPr>
          <w:highlight w:val="yellow"/>
        </w:rPr>
        <w:t xml:space="preserve"> </w:t>
      </w:r>
    </w:p>
    <w:p w14:paraId="28079719" w14:textId="01A58046" w:rsidR="00B21FBF" w:rsidRDefault="00C7515B" w:rsidP="00F95AAB">
      <w:r>
        <w:t xml:space="preserve">The Regulator </w:t>
      </w:r>
      <w:r w:rsidR="0037295C">
        <w:t xml:space="preserve">currently </w:t>
      </w:r>
      <w:r>
        <w:t xml:space="preserve">contracts with successful </w:t>
      </w:r>
      <w:r w:rsidR="0037295C">
        <w:t>a</w:t>
      </w:r>
      <w:r w:rsidR="00B77C0C">
        <w:t>u</w:t>
      </w:r>
      <w:r w:rsidR="0037295C">
        <w:t>ction bidders</w:t>
      </w:r>
      <w:r>
        <w:t xml:space="preserve"> </w:t>
      </w:r>
      <w:r w:rsidR="00F95AAB">
        <w:t>using two types of contract</w:t>
      </w:r>
      <w:r w:rsidR="0037295C">
        <w:t>s</w:t>
      </w:r>
      <w:r w:rsidR="00B77C0C">
        <w:t>: fixed delivery and optional delivery contracts</w:t>
      </w:r>
      <w:r>
        <w:t xml:space="preserve">. </w:t>
      </w:r>
      <w:r w:rsidR="00B77C0C">
        <w:t>F</w:t>
      </w:r>
      <w:r>
        <w:t>ixed delivery contract</w:t>
      </w:r>
      <w:r w:rsidR="00B77C0C">
        <w:t>s</w:t>
      </w:r>
      <w:r>
        <w:t xml:space="preserve"> ha</w:t>
      </w:r>
      <w:r w:rsidR="00B77C0C">
        <w:t>ve</w:t>
      </w:r>
      <w:r>
        <w:t xml:space="preserve"> been used for all </w:t>
      </w:r>
      <w:r w:rsidR="00C4422B" w:rsidRPr="00BA3A5D">
        <w:t>1</w:t>
      </w:r>
      <w:r w:rsidR="00BA3A5D" w:rsidRPr="00BA3A5D">
        <w:t>1</w:t>
      </w:r>
      <w:r>
        <w:t xml:space="preserve"> auctions</w:t>
      </w:r>
      <w:r w:rsidR="00BA3A5D">
        <w:t>.</w:t>
      </w:r>
      <w:r w:rsidR="00333E46">
        <w:t xml:space="preserve"> In March 2020, for </w:t>
      </w:r>
      <w:r w:rsidR="0039350C">
        <w:t>a</w:t>
      </w:r>
      <w:r w:rsidR="00333E46">
        <w:t>uction 10</w:t>
      </w:r>
      <w:r w:rsidR="00025A8D">
        <w:t>,</w:t>
      </w:r>
      <w:r w:rsidR="00333E46">
        <w:t xml:space="preserve"> an optional delivery contract was piloted. Following an evaluation of the pilot, this contract type was offered at </w:t>
      </w:r>
      <w:r w:rsidR="0039350C">
        <w:t>a</w:t>
      </w:r>
      <w:r w:rsidR="00333E46">
        <w:t>uction 11 in September 2020 and will be offered at future auctions</w:t>
      </w:r>
      <w:r w:rsidR="0037295C">
        <w:t xml:space="preserve">. The contract terms for the two types of contracts are set out in </w:t>
      </w:r>
      <w:r w:rsidR="004B0735">
        <w:t>Table</w:t>
      </w:r>
      <w:r>
        <w:t xml:space="preserve"> </w:t>
      </w:r>
      <w:r w:rsidR="0044018D" w:rsidRPr="00BA3A5D">
        <w:t>2.</w:t>
      </w:r>
      <w:r w:rsidR="00F345FF" w:rsidRPr="00BA3A5D">
        <w:t>1</w:t>
      </w:r>
      <w:r>
        <w:t>.</w:t>
      </w:r>
      <w:r w:rsidR="00F95AAB">
        <w:t xml:space="preserve"> </w:t>
      </w:r>
    </w:p>
    <w:p w14:paraId="44A6CF9C" w14:textId="1C6D55B8" w:rsidR="004B0735" w:rsidRPr="00573159" w:rsidRDefault="004B0735" w:rsidP="00CC338E">
      <w:pPr>
        <w:pStyle w:val="Table"/>
      </w:pPr>
      <w:bookmarkStart w:id="1062" w:name="_Toc53129512"/>
      <w:r w:rsidRPr="00573159">
        <w:t xml:space="preserve">Table </w:t>
      </w:r>
      <w:r w:rsidR="0044018D" w:rsidRPr="00573159">
        <w:t>2.</w:t>
      </w:r>
      <w:r w:rsidR="00570347">
        <w:t>1: Contract terms for f</w:t>
      </w:r>
      <w:r w:rsidRPr="00573159">
        <w:t>ixed delivery and optional delivery carbon abatement contracts</w:t>
      </w:r>
      <w:bookmarkEnd w:id="1062"/>
    </w:p>
    <w:tbl>
      <w:tblPr>
        <w:tblStyle w:val="TableGrid2"/>
        <w:tblW w:w="9214" w:type="dxa"/>
        <w:tblBorders>
          <w:top w:val="single" w:sz="2" w:space="0" w:color="007BB7"/>
          <w:left w:val="none" w:sz="0" w:space="0" w:color="auto"/>
          <w:bottom w:val="single" w:sz="2" w:space="0" w:color="007BB7"/>
          <w:right w:val="none" w:sz="0" w:space="0" w:color="auto"/>
          <w:insideH w:val="single" w:sz="2" w:space="0" w:color="007BB7"/>
          <w:insideV w:val="none" w:sz="0" w:space="0" w:color="auto"/>
        </w:tblBorders>
        <w:tblCellMar>
          <w:top w:w="142" w:type="dxa"/>
          <w:left w:w="142" w:type="dxa"/>
          <w:bottom w:w="142" w:type="dxa"/>
          <w:right w:w="142" w:type="dxa"/>
        </w:tblCellMar>
        <w:tblLook w:val="04A0" w:firstRow="1" w:lastRow="0" w:firstColumn="1" w:lastColumn="0" w:noHBand="0" w:noVBand="1"/>
      </w:tblPr>
      <w:tblGrid>
        <w:gridCol w:w="4398"/>
        <w:gridCol w:w="2408"/>
        <w:gridCol w:w="2408"/>
      </w:tblGrid>
      <w:tr w:rsidR="007B09DD" w:rsidRPr="007B09DD" w14:paraId="7DDB5DE2" w14:textId="77777777" w:rsidTr="00CC338E">
        <w:trPr>
          <w:trHeight w:hRule="exact" w:val="418"/>
        </w:trPr>
        <w:tc>
          <w:tcPr>
            <w:tcW w:w="6247" w:type="dxa"/>
            <w:shd w:val="clear" w:color="auto" w:fill="0070AE" w:themeFill="accent2" w:themeFillTint="BF"/>
            <w:tcMar>
              <w:top w:w="113" w:type="dxa"/>
              <w:bottom w:w="113" w:type="dxa"/>
            </w:tcMar>
          </w:tcPr>
          <w:p w14:paraId="7675ECDF" w14:textId="250D1C34" w:rsidR="007B09DD" w:rsidRPr="00804A56" w:rsidRDefault="004B0735" w:rsidP="00804A56">
            <w:pPr>
              <w:pStyle w:val="FigureTableHeader"/>
              <w:pBdr>
                <w:top w:val="none" w:sz="0" w:space="0" w:color="auto"/>
              </w:pBdr>
              <w:rPr>
                <w:rFonts w:eastAsiaTheme="minorHAnsi"/>
                <w:color w:val="FFFFFF" w:themeColor="background1"/>
                <w:lang w:val="en-AU"/>
              </w:rPr>
            </w:pPr>
            <w:bookmarkStart w:id="1063" w:name="_Toc49521462"/>
            <w:bookmarkStart w:id="1064" w:name="_Toc49524534"/>
            <w:bookmarkStart w:id="1065" w:name="_Toc49524672"/>
            <w:bookmarkStart w:id="1066" w:name="_Toc49527141"/>
            <w:bookmarkStart w:id="1067" w:name="_Toc49527979"/>
            <w:bookmarkStart w:id="1068" w:name="_Toc49692131"/>
            <w:bookmarkStart w:id="1069" w:name="_Toc49710504"/>
            <w:bookmarkStart w:id="1070" w:name="_Toc49710676"/>
            <w:bookmarkStart w:id="1071" w:name="_Toc49713229"/>
            <w:bookmarkStart w:id="1072" w:name="_Toc49713431"/>
            <w:bookmarkStart w:id="1073" w:name="_Toc49776369"/>
            <w:bookmarkStart w:id="1074" w:name="_Toc49784928"/>
            <w:bookmarkStart w:id="1075" w:name="_Toc49786254"/>
            <w:bookmarkStart w:id="1076" w:name="_Toc49787303"/>
            <w:bookmarkStart w:id="1077" w:name="_Toc49787358"/>
            <w:bookmarkStart w:id="1078" w:name="_Toc49850672"/>
            <w:bookmarkStart w:id="1079" w:name="_Toc49852914"/>
            <w:bookmarkStart w:id="1080" w:name="_Toc49854331"/>
            <w:bookmarkStart w:id="1081" w:name="_Toc49856927"/>
            <w:bookmarkStart w:id="1082" w:name="_Toc49858243"/>
            <w:bookmarkStart w:id="1083" w:name="_Toc49858298"/>
            <w:bookmarkStart w:id="1084" w:name="_Toc49863000"/>
            <w:bookmarkStart w:id="1085" w:name="_Toc49867723"/>
            <w:bookmarkStart w:id="1086" w:name="_Toc49870559"/>
            <w:bookmarkStart w:id="1087" w:name="_Toc49871302"/>
            <w:bookmarkStart w:id="1088" w:name="_Toc49871982"/>
            <w:bookmarkStart w:id="1089" w:name="_Toc49872535"/>
            <w:bookmarkStart w:id="1090" w:name="_Toc50027747"/>
            <w:bookmarkStart w:id="1091" w:name="_Toc50029441"/>
            <w:r w:rsidRPr="00804A56">
              <w:rPr>
                <w:rFonts w:eastAsiaTheme="minorHAnsi"/>
                <w:color w:val="FFFFFF" w:themeColor="background1"/>
                <w:lang w:val="en-AU"/>
              </w:rPr>
              <w:t>Contract Terms</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6436F570" w14:textId="77777777" w:rsidR="004B0735" w:rsidRDefault="004B0735" w:rsidP="004B0735"/>
          <w:p w14:paraId="2B72B6A3" w14:textId="77777777" w:rsidR="004B0735" w:rsidRDefault="004B0735" w:rsidP="004B0735"/>
          <w:p w14:paraId="6AD542BC" w14:textId="77777777" w:rsidR="004B0735" w:rsidRPr="004B0735" w:rsidRDefault="004B0735" w:rsidP="004B0735"/>
          <w:p w14:paraId="09DDACAA" w14:textId="77777777" w:rsidR="004B0735" w:rsidRDefault="004B0735" w:rsidP="004B0735"/>
          <w:p w14:paraId="1835AABC" w14:textId="77777777" w:rsidR="004B0735" w:rsidRDefault="004B0735" w:rsidP="004B0735"/>
          <w:p w14:paraId="5DE3B1E1" w14:textId="77777777" w:rsidR="004B0735" w:rsidRPr="004B0735" w:rsidRDefault="004B0735" w:rsidP="004B0735"/>
          <w:p w14:paraId="06DCDF5D" w14:textId="77777777" w:rsidR="004B0735" w:rsidRPr="004B0735" w:rsidRDefault="004B0735" w:rsidP="004B0735"/>
          <w:p w14:paraId="64A59AD4" w14:textId="2BB89BA6" w:rsidR="004B0735" w:rsidRPr="004B0735" w:rsidRDefault="004B0735" w:rsidP="004B0735"/>
        </w:tc>
        <w:tc>
          <w:tcPr>
            <w:tcW w:w="1141" w:type="dxa"/>
            <w:shd w:val="clear" w:color="auto" w:fill="0070AE" w:themeFill="accent2" w:themeFillTint="BF"/>
          </w:tcPr>
          <w:p w14:paraId="5051A7FE" w14:textId="2DE8F025" w:rsidR="007B09DD" w:rsidRPr="007B09DD" w:rsidRDefault="004B0735" w:rsidP="00804A56">
            <w:pPr>
              <w:pStyle w:val="FigureTableHeader"/>
              <w:pBdr>
                <w:top w:val="none" w:sz="0" w:space="0" w:color="auto"/>
              </w:pBdr>
              <w:rPr>
                <w:rFonts w:eastAsia="Times New Roman" w:cs="Times New Roman (Headings CS)"/>
                <w:b/>
                <w:bCs/>
                <w:color w:val="FFFFFF"/>
                <w:sz w:val="22"/>
                <w:lang w:val="en-GB"/>
              </w:rPr>
            </w:pPr>
            <w:bookmarkStart w:id="1092" w:name="_Toc49521463"/>
            <w:bookmarkStart w:id="1093" w:name="_Toc49524535"/>
            <w:bookmarkStart w:id="1094" w:name="_Toc49524673"/>
            <w:bookmarkStart w:id="1095" w:name="_Toc49527142"/>
            <w:bookmarkStart w:id="1096" w:name="_Toc49527980"/>
            <w:bookmarkStart w:id="1097" w:name="_Toc49692132"/>
            <w:bookmarkStart w:id="1098" w:name="_Toc49710505"/>
            <w:bookmarkStart w:id="1099" w:name="_Toc49710677"/>
            <w:bookmarkStart w:id="1100" w:name="_Toc49713230"/>
            <w:bookmarkStart w:id="1101" w:name="_Toc49713432"/>
            <w:bookmarkStart w:id="1102" w:name="_Toc49776370"/>
            <w:bookmarkStart w:id="1103" w:name="_Toc49784929"/>
            <w:bookmarkStart w:id="1104" w:name="_Toc49786255"/>
            <w:bookmarkStart w:id="1105" w:name="_Toc49787304"/>
            <w:bookmarkStart w:id="1106" w:name="_Toc49787359"/>
            <w:bookmarkStart w:id="1107" w:name="_Toc49850673"/>
            <w:bookmarkStart w:id="1108" w:name="_Toc49852915"/>
            <w:bookmarkStart w:id="1109" w:name="_Toc49854332"/>
            <w:bookmarkStart w:id="1110" w:name="_Toc49856928"/>
            <w:bookmarkStart w:id="1111" w:name="_Toc49858244"/>
            <w:bookmarkStart w:id="1112" w:name="_Toc49858299"/>
            <w:bookmarkStart w:id="1113" w:name="_Toc49863001"/>
            <w:bookmarkStart w:id="1114" w:name="_Toc49867724"/>
            <w:bookmarkStart w:id="1115" w:name="_Toc49870560"/>
            <w:bookmarkStart w:id="1116" w:name="_Toc49871303"/>
            <w:bookmarkStart w:id="1117" w:name="_Toc49871983"/>
            <w:bookmarkStart w:id="1118" w:name="_Toc49872536"/>
            <w:bookmarkStart w:id="1119" w:name="_Toc50027748"/>
            <w:bookmarkStart w:id="1120" w:name="_Toc50029442"/>
            <w:r w:rsidRPr="00804A56">
              <w:rPr>
                <w:rFonts w:eastAsiaTheme="minorHAnsi"/>
                <w:color w:val="FFFFFF" w:themeColor="background1"/>
                <w:lang w:val="en-AU"/>
              </w:rPr>
              <w:t>Fixed Delivery</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r>
              <w:rPr>
                <w:rFonts w:eastAsia="Times New Roman" w:cs="Times New Roman (Headings CS)"/>
                <w:b/>
                <w:bCs/>
                <w:color w:val="FFFFFF"/>
                <w:sz w:val="22"/>
                <w:lang w:val="en-GB"/>
              </w:rPr>
              <w:t xml:space="preserve"> </w:t>
            </w:r>
          </w:p>
        </w:tc>
        <w:tc>
          <w:tcPr>
            <w:tcW w:w="1826" w:type="dxa"/>
            <w:shd w:val="clear" w:color="auto" w:fill="0070AE" w:themeFill="accent2" w:themeFillTint="BF"/>
            <w:tcMar>
              <w:top w:w="113" w:type="dxa"/>
              <w:bottom w:w="113" w:type="dxa"/>
            </w:tcMar>
          </w:tcPr>
          <w:p w14:paraId="67A69CD4" w14:textId="7BB08B58" w:rsidR="007B09DD" w:rsidRPr="007B09DD" w:rsidRDefault="004B0735" w:rsidP="00804A56">
            <w:pPr>
              <w:pStyle w:val="FigureTableHeader"/>
              <w:pBdr>
                <w:top w:val="none" w:sz="0" w:space="0" w:color="auto"/>
              </w:pBdr>
              <w:rPr>
                <w:rFonts w:eastAsia="Times New Roman" w:cs="Times New Roman (Headings CS)"/>
                <w:b/>
                <w:bCs/>
                <w:color w:val="FFFFFF"/>
                <w:sz w:val="22"/>
                <w:lang w:val="en-GB"/>
              </w:rPr>
            </w:pPr>
            <w:bookmarkStart w:id="1121" w:name="_Toc49521464"/>
            <w:bookmarkStart w:id="1122" w:name="_Toc49524536"/>
            <w:bookmarkStart w:id="1123" w:name="_Toc49524674"/>
            <w:bookmarkStart w:id="1124" w:name="_Toc49527143"/>
            <w:bookmarkStart w:id="1125" w:name="_Toc49527981"/>
            <w:bookmarkStart w:id="1126" w:name="_Toc49692133"/>
            <w:bookmarkStart w:id="1127" w:name="_Toc49710506"/>
            <w:bookmarkStart w:id="1128" w:name="_Toc49710678"/>
            <w:bookmarkStart w:id="1129" w:name="_Toc49713231"/>
            <w:bookmarkStart w:id="1130" w:name="_Toc49713433"/>
            <w:bookmarkStart w:id="1131" w:name="_Toc49776371"/>
            <w:bookmarkStart w:id="1132" w:name="_Toc49784930"/>
            <w:bookmarkStart w:id="1133" w:name="_Toc49786256"/>
            <w:bookmarkStart w:id="1134" w:name="_Toc49787305"/>
            <w:bookmarkStart w:id="1135" w:name="_Toc49787360"/>
            <w:bookmarkStart w:id="1136" w:name="_Toc49850674"/>
            <w:bookmarkStart w:id="1137" w:name="_Toc49852916"/>
            <w:bookmarkStart w:id="1138" w:name="_Toc49854333"/>
            <w:bookmarkStart w:id="1139" w:name="_Toc49856929"/>
            <w:bookmarkStart w:id="1140" w:name="_Toc49858245"/>
            <w:bookmarkStart w:id="1141" w:name="_Toc49858300"/>
            <w:bookmarkStart w:id="1142" w:name="_Toc49863002"/>
            <w:bookmarkStart w:id="1143" w:name="_Toc49867725"/>
            <w:bookmarkStart w:id="1144" w:name="_Toc49870561"/>
            <w:bookmarkStart w:id="1145" w:name="_Toc49871304"/>
            <w:bookmarkStart w:id="1146" w:name="_Toc49871984"/>
            <w:bookmarkStart w:id="1147" w:name="_Toc49872537"/>
            <w:bookmarkStart w:id="1148" w:name="_Toc50027749"/>
            <w:bookmarkStart w:id="1149" w:name="_Toc50029443"/>
            <w:r w:rsidRPr="00804A56">
              <w:rPr>
                <w:rFonts w:eastAsiaTheme="minorHAnsi"/>
                <w:color w:val="FFFFFF" w:themeColor="background1"/>
                <w:lang w:val="en-AU"/>
              </w:rPr>
              <w:t>Optional Delivery</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tc>
      </w:tr>
      <w:tr w:rsidR="007B09DD" w:rsidRPr="007B09DD" w14:paraId="536CA0CD" w14:textId="77777777" w:rsidTr="004B0735">
        <w:trPr>
          <w:trHeight w:hRule="exact" w:val="486"/>
        </w:trPr>
        <w:tc>
          <w:tcPr>
            <w:tcW w:w="6247" w:type="dxa"/>
            <w:shd w:val="clear" w:color="auto" w:fill="DEDFDE"/>
            <w:tcMar>
              <w:top w:w="113" w:type="dxa"/>
              <w:bottom w:w="113" w:type="dxa"/>
            </w:tcMar>
          </w:tcPr>
          <w:p w14:paraId="63ADA461" w14:textId="0C42063C" w:rsidR="004B0735" w:rsidRPr="007B09DD" w:rsidRDefault="004B0735" w:rsidP="007B09DD">
            <w:pPr>
              <w:spacing w:after="120" w:line="240" w:lineRule="exact"/>
              <w:rPr>
                <w:rFonts w:cs="Myriad Pro"/>
                <w:lang w:val="en-GB"/>
              </w:rPr>
            </w:pPr>
            <w:r>
              <w:rPr>
                <w:rFonts w:cs="Myriad Pro"/>
                <w:lang w:val="en-GB"/>
              </w:rPr>
              <w:t xml:space="preserve">Multi-year </w:t>
            </w:r>
            <w:r w:rsidR="00BA3A5D">
              <w:rPr>
                <w:rFonts w:cs="Myriad Pro"/>
                <w:lang w:val="en-GB"/>
              </w:rPr>
              <w:t>c</w:t>
            </w:r>
            <w:r>
              <w:rPr>
                <w:rFonts w:cs="Myriad Pro"/>
                <w:lang w:val="en-GB"/>
              </w:rPr>
              <w:t>ontract</w:t>
            </w:r>
          </w:p>
        </w:tc>
        <w:tc>
          <w:tcPr>
            <w:tcW w:w="1141" w:type="dxa"/>
            <w:shd w:val="clear" w:color="auto" w:fill="DEDFDE"/>
          </w:tcPr>
          <w:p w14:paraId="296CEEDE" w14:textId="6948E73A" w:rsidR="007B09DD" w:rsidRPr="007B09DD" w:rsidRDefault="004B0735" w:rsidP="007B09DD">
            <w:pPr>
              <w:spacing w:after="120" w:line="240" w:lineRule="exact"/>
              <w:rPr>
                <w:rFonts w:cs="Myriad Pro"/>
                <w:sz w:val="24"/>
                <w:szCs w:val="24"/>
                <w:lang w:val="en-GB"/>
              </w:rPr>
            </w:pPr>
            <w:r w:rsidRPr="00E162C0">
              <w:rPr>
                <w:rFonts w:ascii="Segoe UI Symbol" w:hAnsi="Segoe UI Symbol" w:cs="Segoe UI Symbol"/>
                <w:color w:val="0070AE" w:themeColor="accent2" w:themeTint="BF"/>
                <w:sz w:val="24"/>
                <w:szCs w:val="24"/>
                <w:lang w:val="en"/>
              </w:rPr>
              <w:t>✅</w:t>
            </w:r>
          </w:p>
        </w:tc>
        <w:tc>
          <w:tcPr>
            <w:tcW w:w="1826" w:type="dxa"/>
            <w:shd w:val="clear" w:color="auto" w:fill="DEDFDE"/>
            <w:tcMar>
              <w:top w:w="113" w:type="dxa"/>
              <w:bottom w:w="113" w:type="dxa"/>
            </w:tcMar>
          </w:tcPr>
          <w:p w14:paraId="531478D7" w14:textId="47C1DA8D" w:rsidR="007B09DD" w:rsidRPr="007B09DD" w:rsidRDefault="004B0735" w:rsidP="007B09DD">
            <w:pPr>
              <w:spacing w:after="120" w:line="240" w:lineRule="exact"/>
              <w:rPr>
                <w:rFonts w:cs="Myriad Pro"/>
                <w:sz w:val="24"/>
                <w:szCs w:val="24"/>
                <w:lang w:val="en-GB"/>
              </w:rPr>
            </w:pPr>
            <w:r w:rsidRPr="00E162C0">
              <w:rPr>
                <w:rFonts w:ascii="Segoe UI Symbol" w:hAnsi="Segoe UI Symbol" w:cs="Segoe UI Symbol"/>
                <w:color w:val="0070AE" w:themeColor="accent2" w:themeTint="BF"/>
                <w:sz w:val="24"/>
                <w:szCs w:val="24"/>
                <w:lang w:val="en"/>
              </w:rPr>
              <w:t>✅</w:t>
            </w:r>
          </w:p>
        </w:tc>
      </w:tr>
      <w:tr w:rsidR="007B09DD" w:rsidRPr="007B09DD" w14:paraId="5BA25248" w14:textId="77777777" w:rsidTr="004B0735">
        <w:trPr>
          <w:trHeight w:hRule="exact" w:val="369"/>
        </w:trPr>
        <w:tc>
          <w:tcPr>
            <w:tcW w:w="6247" w:type="dxa"/>
            <w:shd w:val="clear" w:color="auto" w:fill="FFFFFF"/>
            <w:tcMar>
              <w:top w:w="113" w:type="dxa"/>
              <w:bottom w:w="113" w:type="dxa"/>
            </w:tcMar>
          </w:tcPr>
          <w:p w14:paraId="0961CA5E" w14:textId="5BF5ECAF" w:rsidR="007B09DD" w:rsidRPr="007B09DD" w:rsidRDefault="004B0735" w:rsidP="007B09DD">
            <w:pPr>
              <w:spacing w:after="120" w:line="240" w:lineRule="exact"/>
              <w:rPr>
                <w:rFonts w:cs="Myriad Pro"/>
                <w:lang w:val="en-GB"/>
              </w:rPr>
            </w:pPr>
            <w:r>
              <w:rPr>
                <w:rFonts w:cs="Myriad Pro"/>
                <w:lang w:val="en-GB"/>
              </w:rPr>
              <w:t xml:space="preserve">Fixed </w:t>
            </w:r>
            <w:r w:rsidR="00BA3A5D">
              <w:rPr>
                <w:rFonts w:cs="Myriad Pro"/>
                <w:lang w:val="en-GB"/>
              </w:rPr>
              <w:t>p</w:t>
            </w:r>
            <w:r>
              <w:rPr>
                <w:rFonts w:cs="Myriad Pro"/>
                <w:lang w:val="en-GB"/>
              </w:rPr>
              <w:t>rice</w:t>
            </w:r>
          </w:p>
        </w:tc>
        <w:tc>
          <w:tcPr>
            <w:tcW w:w="1141" w:type="dxa"/>
            <w:shd w:val="clear" w:color="auto" w:fill="FFFFFF"/>
          </w:tcPr>
          <w:p w14:paraId="165AAE0A" w14:textId="7D5BC213" w:rsidR="007B09DD" w:rsidRPr="007B09DD" w:rsidRDefault="004667C3" w:rsidP="007B09DD">
            <w:pPr>
              <w:spacing w:after="120" w:line="240" w:lineRule="exact"/>
              <w:rPr>
                <w:rFonts w:cs="Myriad Pro"/>
                <w:lang w:val="en-GB"/>
              </w:rPr>
            </w:pPr>
            <w:r w:rsidRPr="00E162C0">
              <w:rPr>
                <w:rFonts w:ascii="Segoe UI Symbol" w:hAnsi="Segoe UI Symbol" w:cs="Segoe UI Symbol"/>
                <w:color w:val="0070AE" w:themeColor="accent2" w:themeTint="BF"/>
                <w:sz w:val="24"/>
                <w:szCs w:val="24"/>
                <w:lang w:val="en"/>
              </w:rPr>
              <w:t>✅</w:t>
            </w:r>
          </w:p>
        </w:tc>
        <w:tc>
          <w:tcPr>
            <w:tcW w:w="1826" w:type="dxa"/>
            <w:shd w:val="clear" w:color="auto" w:fill="FFFFFF"/>
            <w:tcMar>
              <w:top w:w="113" w:type="dxa"/>
              <w:bottom w:w="113" w:type="dxa"/>
            </w:tcMar>
          </w:tcPr>
          <w:p w14:paraId="2FD363A4" w14:textId="3F5204AA" w:rsidR="007B09DD" w:rsidRPr="007B09DD" w:rsidRDefault="004667C3" w:rsidP="007B09DD">
            <w:pPr>
              <w:spacing w:after="120" w:line="240" w:lineRule="exact"/>
              <w:rPr>
                <w:rFonts w:cs="Myriad Pro"/>
                <w:lang w:val="en-GB"/>
              </w:rPr>
            </w:pPr>
            <w:r w:rsidRPr="00E162C0">
              <w:rPr>
                <w:rFonts w:ascii="Segoe UI Symbol" w:hAnsi="Segoe UI Symbol" w:cs="Segoe UI Symbol"/>
                <w:color w:val="0070AE" w:themeColor="accent2" w:themeTint="BF"/>
                <w:sz w:val="24"/>
                <w:szCs w:val="24"/>
                <w:lang w:val="en"/>
              </w:rPr>
              <w:t>✅</w:t>
            </w:r>
          </w:p>
        </w:tc>
      </w:tr>
      <w:tr w:rsidR="007B09DD" w:rsidRPr="007B09DD" w14:paraId="394F12EB" w14:textId="77777777" w:rsidTr="004B0735">
        <w:trPr>
          <w:trHeight w:hRule="exact" w:val="698"/>
        </w:trPr>
        <w:tc>
          <w:tcPr>
            <w:tcW w:w="6247" w:type="dxa"/>
            <w:shd w:val="clear" w:color="auto" w:fill="DEDFDE"/>
            <w:tcMar>
              <w:top w:w="113" w:type="dxa"/>
              <w:bottom w:w="113" w:type="dxa"/>
            </w:tcMar>
          </w:tcPr>
          <w:p w14:paraId="7D3B8DD6" w14:textId="00B461B7" w:rsidR="007B09DD" w:rsidRPr="007B09DD" w:rsidRDefault="004B0735" w:rsidP="007B09DD">
            <w:pPr>
              <w:spacing w:after="120" w:line="240" w:lineRule="exact"/>
              <w:rPr>
                <w:rFonts w:cs="Myriad Pro"/>
                <w:lang w:val="en-GB"/>
              </w:rPr>
            </w:pPr>
            <w:r>
              <w:rPr>
                <w:rFonts w:cs="Myriad Pro"/>
                <w:lang w:val="en-GB"/>
              </w:rPr>
              <w:t>Obligated to deliver ACCUs to the Regulator</w:t>
            </w:r>
          </w:p>
        </w:tc>
        <w:tc>
          <w:tcPr>
            <w:tcW w:w="1141" w:type="dxa"/>
            <w:shd w:val="clear" w:color="auto" w:fill="DEDFDE"/>
          </w:tcPr>
          <w:p w14:paraId="17D1DB6A" w14:textId="7D33EDAE" w:rsidR="007B09DD" w:rsidRPr="007B09DD" w:rsidRDefault="00B21FBF" w:rsidP="007B09DD">
            <w:pPr>
              <w:spacing w:after="120" w:line="240" w:lineRule="exact"/>
              <w:rPr>
                <w:rFonts w:cs="Myriad Pro"/>
                <w:lang w:val="en-GB"/>
              </w:rPr>
            </w:pPr>
            <w:r w:rsidRPr="00E162C0">
              <w:rPr>
                <w:rFonts w:ascii="Segoe UI Symbol" w:hAnsi="Segoe UI Symbol" w:cs="Segoe UI Symbol"/>
                <w:color w:val="0070AE" w:themeColor="accent2" w:themeTint="BF"/>
                <w:sz w:val="24"/>
                <w:szCs w:val="24"/>
                <w:lang w:val="en"/>
              </w:rPr>
              <w:t>✅</w:t>
            </w:r>
          </w:p>
        </w:tc>
        <w:tc>
          <w:tcPr>
            <w:tcW w:w="1826" w:type="dxa"/>
            <w:shd w:val="clear" w:color="auto" w:fill="DEDFDE"/>
            <w:tcMar>
              <w:top w:w="113" w:type="dxa"/>
              <w:bottom w:w="113" w:type="dxa"/>
            </w:tcMar>
          </w:tcPr>
          <w:p w14:paraId="68DB1F5D" w14:textId="472D5005" w:rsidR="007B09DD" w:rsidRPr="007B09DD" w:rsidRDefault="004667C3" w:rsidP="007B09DD">
            <w:pPr>
              <w:spacing w:after="120" w:line="240" w:lineRule="exact"/>
              <w:rPr>
                <w:rFonts w:cs="Myriad Pro"/>
                <w:lang w:val="en-GB"/>
              </w:rPr>
            </w:pPr>
            <w:r>
              <w:rPr>
                <w:rFonts w:cs="Myriad Pro"/>
                <w:lang w:val="en-GB"/>
              </w:rPr>
              <w:t>-</w:t>
            </w:r>
          </w:p>
        </w:tc>
      </w:tr>
      <w:tr w:rsidR="004B0735" w:rsidRPr="007B09DD" w14:paraId="53BE8E1C" w14:textId="77777777" w:rsidTr="004B0735">
        <w:trPr>
          <w:trHeight w:hRule="exact" w:val="698"/>
        </w:trPr>
        <w:tc>
          <w:tcPr>
            <w:tcW w:w="6247" w:type="dxa"/>
            <w:shd w:val="clear" w:color="auto" w:fill="DEDFDE"/>
            <w:tcMar>
              <w:top w:w="113" w:type="dxa"/>
              <w:bottom w:w="113" w:type="dxa"/>
            </w:tcMar>
          </w:tcPr>
          <w:p w14:paraId="292F6EC0" w14:textId="647A36E1" w:rsidR="004B0735" w:rsidRDefault="004B0735" w:rsidP="007B09DD">
            <w:pPr>
              <w:spacing w:after="120" w:line="240" w:lineRule="exact"/>
              <w:rPr>
                <w:rFonts w:cs="Myriad Pro"/>
                <w:lang w:val="en-GB"/>
              </w:rPr>
            </w:pPr>
            <w:r w:rsidRPr="00B21FBF">
              <w:rPr>
                <w:rFonts w:cs="Myriad Pro"/>
                <w:lang w:val="en-GB"/>
              </w:rPr>
              <w:t>Can deliver ACCUs derived from any ERF project</w:t>
            </w:r>
          </w:p>
        </w:tc>
        <w:tc>
          <w:tcPr>
            <w:tcW w:w="1141" w:type="dxa"/>
            <w:shd w:val="clear" w:color="auto" w:fill="DEDFDE"/>
          </w:tcPr>
          <w:p w14:paraId="1BB8834F" w14:textId="3A66211F" w:rsidR="004B0735" w:rsidRPr="007B09DD" w:rsidRDefault="00B21FBF" w:rsidP="007B09DD">
            <w:pPr>
              <w:spacing w:after="120" w:line="240" w:lineRule="exact"/>
              <w:rPr>
                <w:rFonts w:cs="Myriad Pro"/>
                <w:lang w:val="en-GB"/>
              </w:rPr>
            </w:pPr>
            <w:r w:rsidRPr="00E162C0">
              <w:rPr>
                <w:rFonts w:ascii="Segoe UI Symbol" w:hAnsi="Segoe UI Symbol" w:cs="Segoe UI Symbol"/>
                <w:color w:val="0070AE" w:themeColor="accent2" w:themeTint="BF"/>
                <w:sz w:val="24"/>
                <w:szCs w:val="24"/>
                <w:lang w:val="en"/>
              </w:rPr>
              <w:t>✅</w:t>
            </w:r>
          </w:p>
        </w:tc>
        <w:tc>
          <w:tcPr>
            <w:tcW w:w="1826" w:type="dxa"/>
            <w:shd w:val="clear" w:color="auto" w:fill="DEDFDE"/>
            <w:tcMar>
              <w:top w:w="113" w:type="dxa"/>
              <w:bottom w:w="113" w:type="dxa"/>
            </w:tcMar>
          </w:tcPr>
          <w:p w14:paraId="10923316" w14:textId="020B28DA" w:rsidR="004B0735" w:rsidRDefault="004667C3" w:rsidP="007B09DD">
            <w:pPr>
              <w:spacing w:after="120" w:line="240" w:lineRule="exact"/>
              <w:rPr>
                <w:rFonts w:cs="Myriad Pro"/>
                <w:lang w:val="en-GB"/>
              </w:rPr>
            </w:pPr>
            <w:r>
              <w:rPr>
                <w:rFonts w:cs="Myriad Pro"/>
                <w:lang w:val="en-GB"/>
              </w:rPr>
              <w:t>-</w:t>
            </w:r>
          </w:p>
        </w:tc>
      </w:tr>
      <w:tr w:rsidR="004B0735" w:rsidRPr="007B09DD" w14:paraId="15ADF32F" w14:textId="77777777" w:rsidTr="004B0735">
        <w:trPr>
          <w:trHeight w:hRule="exact" w:val="698"/>
        </w:trPr>
        <w:tc>
          <w:tcPr>
            <w:tcW w:w="6247" w:type="dxa"/>
            <w:shd w:val="clear" w:color="auto" w:fill="auto"/>
            <w:tcMar>
              <w:top w:w="113" w:type="dxa"/>
              <w:bottom w:w="113" w:type="dxa"/>
            </w:tcMar>
          </w:tcPr>
          <w:p w14:paraId="63FEC8E3" w14:textId="726E8D66" w:rsidR="004B0735" w:rsidRDefault="00B21FBF" w:rsidP="007B09DD">
            <w:pPr>
              <w:spacing w:after="120" w:line="240" w:lineRule="exact"/>
              <w:rPr>
                <w:rFonts w:cs="Myriad Pro"/>
                <w:lang w:val="en-GB"/>
              </w:rPr>
            </w:pPr>
            <w:r w:rsidRPr="00B21FBF">
              <w:rPr>
                <w:rFonts w:cs="Myriad Pro"/>
                <w:lang w:val="en-GB"/>
              </w:rPr>
              <w:t>Must deliver ACCUs from a single identified ERF project</w:t>
            </w:r>
          </w:p>
        </w:tc>
        <w:tc>
          <w:tcPr>
            <w:tcW w:w="1141" w:type="dxa"/>
            <w:shd w:val="clear" w:color="auto" w:fill="auto"/>
          </w:tcPr>
          <w:p w14:paraId="406D8DCC" w14:textId="12046791" w:rsidR="004B0735" w:rsidRPr="007B09DD" w:rsidRDefault="004667C3" w:rsidP="007B09DD">
            <w:pPr>
              <w:spacing w:after="120" w:line="240" w:lineRule="exact"/>
              <w:rPr>
                <w:rFonts w:cs="Myriad Pro"/>
                <w:lang w:val="en-GB"/>
              </w:rPr>
            </w:pPr>
            <w:r>
              <w:rPr>
                <w:rFonts w:cs="Myriad Pro"/>
                <w:lang w:val="en-GB"/>
              </w:rPr>
              <w:t>-</w:t>
            </w:r>
          </w:p>
        </w:tc>
        <w:tc>
          <w:tcPr>
            <w:tcW w:w="1826" w:type="dxa"/>
            <w:shd w:val="clear" w:color="auto" w:fill="auto"/>
            <w:tcMar>
              <w:top w:w="113" w:type="dxa"/>
              <w:bottom w:w="113" w:type="dxa"/>
            </w:tcMar>
          </w:tcPr>
          <w:p w14:paraId="45E5A313" w14:textId="7B117E6C" w:rsidR="004B0735" w:rsidRDefault="00B21FBF" w:rsidP="007B09DD">
            <w:pPr>
              <w:spacing w:after="120" w:line="240" w:lineRule="exact"/>
              <w:rPr>
                <w:rFonts w:cs="Myriad Pro"/>
                <w:lang w:val="en-GB"/>
              </w:rPr>
            </w:pPr>
            <w:r w:rsidRPr="00E162C0">
              <w:rPr>
                <w:rFonts w:ascii="Segoe UI Symbol" w:hAnsi="Segoe UI Symbol" w:cs="Segoe UI Symbol"/>
                <w:color w:val="0070AE" w:themeColor="accent2" w:themeTint="BF"/>
                <w:sz w:val="24"/>
                <w:szCs w:val="24"/>
                <w:lang w:val="en"/>
              </w:rPr>
              <w:t>✅</w:t>
            </w:r>
          </w:p>
        </w:tc>
      </w:tr>
      <w:tr w:rsidR="004B0735" w:rsidRPr="007B09DD" w14:paraId="54AAEA5A" w14:textId="77777777" w:rsidTr="004B0735">
        <w:trPr>
          <w:trHeight w:hRule="exact" w:val="698"/>
        </w:trPr>
        <w:tc>
          <w:tcPr>
            <w:tcW w:w="6247" w:type="dxa"/>
            <w:shd w:val="clear" w:color="auto" w:fill="DEDFDE"/>
            <w:tcMar>
              <w:top w:w="113" w:type="dxa"/>
              <w:bottom w:w="113" w:type="dxa"/>
            </w:tcMar>
          </w:tcPr>
          <w:p w14:paraId="03A5CF44" w14:textId="31981962" w:rsidR="004B0735" w:rsidRDefault="00B21FBF" w:rsidP="007B09DD">
            <w:pPr>
              <w:spacing w:after="120" w:line="240" w:lineRule="exact"/>
              <w:rPr>
                <w:rFonts w:cs="Myriad Pro"/>
                <w:lang w:val="en-GB"/>
              </w:rPr>
            </w:pPr>
            <w:r w:rsidRPr="00B21FBF">
              <w:rPr>
                <w:rFonts w:cs="Myriad Pro"/>
                <w:lang w:val="en-GB"/>
              </w:rPr>
              <w:t>Only available for ERF projects that are new or have not been previously contracted</w:t>
            </w:r>
          </w:p>
        </w:tc>
        <w:tc>
          <w:tcPr>
            <w:tcW w:w="1141" w:type="dxa"/>
            <w:shd w:val="clear" w:color="auto" w:fill="DEDFDE"/>
          </w:tcPr>
          <w:p w14:paraId="0B0D184E" w14:textId="3E846B43" w:rsidR="004B0735" w:rsidRPr="007B09DD" w:rsidRDefault="004667C3" w:rsidP="007B09DD">
            <w:pPr>
              <w:spacing w:after="120" w:line="240" w:lineRule="exact"/>
              <w:rPr>
                <w:rFonts w:cs="Myriad Pro"/>
                <w:lang w:val="en-GB"/>
              </w:rPr>
            </w:pPr>
            <w:r>
              <w:rPr>
                <w:rFonts w:cs="Myriad Pro"/>
                <w:lang w:val="en-GB"/>
              </w:rPr>
              <w:t>-</w:t>
            </w:r>
          </w:p>
        </w:tc>
        <w:tc>
          <w:tcPr>
            <w:tcW w:w="1826" w:type="dxa"/>
            <w:shd w:val="clear" w:color="auto" w:fill="DEDFDE"/>
            <w:tcMar>
              <w:top w:w="113" w:type="dxa"/>
              <w:bottom w:w="113" w:type="dxa"/>
            </w:tcMar>
          </w:tcPr>
          <w:p w14:paraId="106A2F72" w14:textId="692BDF1B" w:rsidR="004B0735" w:rsidRDefault="00B21FBF" w:rsidP="007B09DD">
            <w:pPr>
              <w:spacing w:after="120" w:line="240" w:lineRule="exact"/>
              <w:rPr>
                <w:rFonts w:cs="Myriad Pro"/>
                <w:lang w:val="en-GB"/>
              </w:rPr>
            </w:pPr>
            <w:r w:rsidRPr="00E162C0">
              <w:rPr>
                <w:rFonts w:ascii="Segoe UI Symbol" w:hAnsi="Segoe UI Symbol" w:cs="Segoe UI Symbol"/>
                <w:color w:val="0070AE" w:themeColor="accent2" w:themeTint="BF"/>
                <w:sz w:val="24"/>
                <w:szCs w:val="24"/>
                <w:lang w:val="en"/>
              </w:rPr>
              <w:t>✅</w:t>
            </w:r>
          </w:p>
        </w:tc>
      </w:tr>
      <w:tr w:rsidR="00B21FBF" w:rsidRPr="007B09DD" w14:paraId="2B1ACB61" w14:textId="77777777" w:rsidTr="00B21FBF">
        <w:trPr>
          <w:trHeight w:hRule="exact" w:val="698"/>
        </w:trPr>
        <w:tc>
          <w:tcPr>
            <w:tcW w:w="6247" w:type="dxa"/>
            <w:shd w:val="clear" w:color="auto" w:fill="auto"/>
            <w:tcMar>
              <w:top w:w="113" w:type="dxa"/>
              <w:bottom w:w="113" w:type="dxa"/>
            </w:tcMar>
          </w:tcPr>
          <w:p w14:paraId="060FF789" w14:textId="7E07169E" w:rsidR="00B21FBF" w:rsidRDefault="00B21FBF" w:rsidP="007B09DD">
            <w:pPr>
              <w:spacing w:after="120" w:line="240" w:lineRule="exact"/>
              <w:rPr>
                <w:rFonts w:cs="Myriad Pro"/>
                <w:lang w:val="en-GB"/>
              </w:rPr>
            </w:pPr>
            <w:r w:rsidRPr="00B21FBF">
              <w:rPr>
                <w:rFonts w:cs="Myriad Pro"/>
                <w:lang w:val="en-GB"/>
              </w:rPr>
              <w:t>Reduced total outstanding quantity where a scheduled delivery is not made</w:t>
            </w:r>
          </w:p>
        </w:tc>
        <w:tc>
          <w:tcPr>
            <w:tcW w:w="1141" w:type="dxa"/>
            <w:shd w:val="clear" w:color="auto" w:fill="auto"/>
          </w:tcPr>
          <w:p w14:paraId="2D980130" w14:textId="028587C8" w:rsidR="00B21FBF" w:rsidRPr="007B09DD" w:rsidRDefault="004667C3" w:rsidP="007B09DD">
            <w:pPr>
              <w:spacing w:after="120" w:line="240" w:lineRule="exact"/>
              <w:rPr>
                <w:rFonts w:cs="Myriad Pro"/>
                <w:lang w:val="en-GB"/>
              </w:rPr>
            </w:pPr>
            <w:r>
              <w:rPr>
                <w:rFonts w:cs="Myriad Pro"/>
                <w:lang w:val="en-GB"/>
              </w:rPr>
              <w:t>-</w:t>
            </w:r>
          </w:p>
        </w:tc>
        <w:tc>
          <w:tcPr>
            <w:tcW w:w="1826" w:type="dxa"/>
            <w:shd w:val="clear" w:color="auto" w:fill="auto"/>
            <w:tcMar>
              <w:top w:w="113" w:type="dxa"/>
              <w:bottom w:w="113" w:type="dxa"/>
            </w:tcMar>
          </w:tcPr>
          <w:p w14:paraId="3B724DAD" w14:textId="531B01F9" w:rsidR="00B21FBF" w:rsidRDefault="00B21FBF" w:rsidP="007B09DD">
            <w:pPr>
              <w:spacing w:after="120" w:line="240" w:lineRule="exact"/>
              <w:rPr>
                <w:rFonts w:cs="Myriad Pro"/>
                <w:lang w:val="en-GB"/>
              </w:rPr>
            </w:pPr>
            <w:r w:rsidRPr="00E162C0">
              <w:rPr>
                <w:rFonts w:ascii="Segoe UI Symbol" w:hAnsi="Segoe UI Symbol" w:cs="Segoe UI Symbol"/>
                <w:color w:val="0070AE" w:themeColor="accent2" w:themeTint="BF"/>
                <w:sz w:val="24"/>
                <w:szCs w:val="24"/>
                <w:lang w:val="en"/>
              </w:rPr>
              <w:t>✅</w:t>
            </w:r>
          </w:p>
        </w:tc>
      </w:tr>
      <w:tr w:rsidR="00B21FBF" w:rsidRPr="007B09DD" w14:paraId="308D005A" w14:textId="77777777" w:rsidTr="004B0735">
        <w:trPr>
          <w:trHeight w:hRule="exact" w:val="698"/>
        </w:trPr>
        <w:tc>
          <w:tcPr>
            <w:tcW w:w="6247" w:type="dxa"/>
            <w:shd w:val="clear" w:color="auto" w:fill="DEDFDE"/>
            <w:tcMar>
              <w:top w:w="113" w:type="dxa"/>
              <w:bottom w:w="113" w:type="dxa"/>
            </w:tcMar>
          </w:tcPr>
          <w:p w14:paraId="7443D8AD" w14:textId="1E2D9344" w:rsidR="00B21FBF" w:rsidRDefault="00B21FBF" w:rsidP="007B09DD">
            <w:pPr>
              <w:spacing w:after="120" w:line="240" w:lineRule="exact"/>
              <w:rPr>
                <w:rFonts w:cs="Myriad Pro"/>
                <w:lang w:val="en-GB"/>
              </w:rPr>
            </w:pPr>
            <w:r w:rsidRPr="00B21FBF">
              <w:rPr>
                <w:rFonts w:cs="Myriad Pro"/>
                <w:lang w:val="en-GB"/>
              </w:rPr>
              <w:t xml:space="preserve">Can have </w:t>
            </w:r>
            <w:r w:rsidR="00BA3A5D">
              <w:rPr>
                <w:rFonts w:cs="Myriad Pro"/>
                <w:lang w:val="en-GB"/>
              </w:rPr>
              <w:t>c</w:t>
            </w:r>
            <w:r w:rsidRPr="00B21FBF">
              <w:rPr>
                <w:rFonts w:cs="Myriad Pro"/>
                <w:lang w:val="en-GB"/>
              </w:rPr>
              <w:t xml:space="preserve">onditions </w:t>
            </w:r>
            <w:r w:rsidR="00BA3A5D">
              <w:rPr>
                <w:rFonts w:cs="Myriad Pro"/>
                <w:lang w:val="en-GB"/>
              </w:rPr>
              <w:t>p</w:t>
            </w:r>
            <w:r w:rsidRPr="00B21FBF">
              <w:rPr>
                <w:rFonts w:cs="Myriad Pro"/>
                <w:lang w:val="en-GB"/>
              </w:rPr>
              <w:t>recedent</w:t>
            </w:r>
          </w:p>
        </w:tc>
        <w:tc>
          <w:tcPr>
            <w:tcW w:w="1141" w:type="dxa"/>
            <w:shd w:val="clear" w:color="auto" w:fill="DEDFDE"/>
          </w:tcPr>
          <w:p w14:paraId="69DC5697" w14:textId="4E278E44" w:rsidR="00B21FBF" w:rsidRPr="007B09DD" w:rsidRDefault="00B21FBF" w:rsidP="007B09DD">
            <w:pPr>
              <w:spacing w:after="120" w:line="240" w:lineRule="exact"/>
              <w:rPr>
                <w:rFonts w:cs="Myriad Pro"/>
                <w:lang w:val="en-GB"/>
              </w:rPr>
            </w:pPr>
            <w:r w:rsidRPr="00E162C0">
              <w:rPr>
                <w:rFonts w:ascii="Segoe UI Symbol" w:hAnsi="Segoe UI Symbol" w:cs="Segoe UI Symbol"/>
                <w:color w:val="0070AE" w:themeColor="accent2" w:themeTint="BF"/>
                <w:sz w:val="24"/>
                <w:szCs w:val="24"/>
                <w:lang w:val="en"/>
              </w:rPr>
              <w:t>✅</w:t>
            </w:r>
          </w:p>
        </w:tc>
        <w:tc>
          <w:tcPr>
            <w:tcW w:w="1826" w:type="dxa"/>
            <w:shd w:val="clear" w:color="auto" w:fill="DEDFDE"/>
            <w:tcMar>
              <w:top w:w="113" w:type="dxa"/>
              <w:bottom w:w="113" w:type="dxa"/>
            </w:tcMar>
          </w:tcPr>
          <w:p w14:paraId="44F2C56F" w14:textId="132F7F6F" w:rsidR="00B21FBF" w:rsidRDefault="004667C3" w:rsidP="007B09DD">
            <w:pPr>
              <w:spacing w:after="120" w:line="240" w:lineRule="exact"/>
              <w:rPr>
                <w:rFonts w:cs="Myriad Pro"/>
                <w:lang w:val="en-GB"/>
              </w:rPr>
            </w:pPr>
            <w:r>
              <w:rPr>
                <w:rFonts w:cs="Myriad Pro"/>
                <w:lang w:val="en-GB"/>
              </w:rPr>
              <w:t>-</w:t>
            </w:r>
          </w:p>
        </w:tc>
      </w:tr>
      <w:tr w:rsidR="00B21FBF" w:rsidRPr="007B09DD" w14:paraId="794B1CE3" w14:textId="77777777" w:rsidTr="00B21FBF">
        <w:trPr>
          <w:trHeight w:hRule="exact" w:val="698"/>
        </w:trPr>
        <w:tc>
          <w:tcPr>
            <w:tcW w:w="6247" w:type="dxa"/>
            <w:shd w:val="clear" w:color="auto" w:fill="auto"/>
            <w:tcMar>
              <w:top w:w="113" w:type="dxa"/>
              <w:bottom w:w="113" w:type="dxa"/>
            </w:tcMar>
          </w:tcPr>
          <w:p w14:paraId="1C4116F0" w14:textId="7C5584FB" w:rsidR="00B21FBF" w:rsidRDefault="00B21FBF" w:rsidP="007B09DD">
            <w:pPr>
              <w:spacing w:after="120" w:line="240" w:lineRule="exact"/>
              <w:rPr>
                <w:rFonts w:cs="Myriad Pro"/>
                <w:lang w:val="en-GB"/>
              </w:rPr>
            </w:pPr>
            <w:r w:rsidRPr="00B21FBF">
              <w:rPr>
                <w:rFonts w:cs="Myriad Pro"/>
                <w:lang w:val="en-GB"/>
              </w:rPr>
              <w:t>Short term and immediate delivery</w:t>
            </w:r>
            <w:r w:rsidR="004443A6">
              <w:rPr>
                <w:rStyle w:val="FootnoteReference"/>
                <w:rFonts w:cs="Myriad Pro"/>
                <w:lang w:val="en-GB"/>
              </w:rPr>
              <w:footnoteReference w:id="3"/>
            </w:r>
          </w:p>
        </w:tc>
        <w:tc>
          <w:tcPr>
            <w:tcW w:w="1141" w:type="dxa"/>
            <w:shd w:val="clear" w:color="auto" w:fill="auto"/>
          </w:tcPr>
          <w:p w14:paraId="0819B601" w14:textId="5E899441" w:rsidR="00B21FBF" w:rsidRPr="007B09DD" w:rsidRDefault="00B21FBF" w:rsidP="007B09DD">
            <w:pPr>
              <w:spacing w:after="120" w:line="240" w:lineRule="exact"/>
              <w:rPr>
                <w:rFonts w:cs="Myriad Pro"/>
                <w:lang w:val="en-GB"/>
              </w:rPr>
            </w:pPr>
            <w:r w:rsidRPr="00E162C0">
              <w:rPr>
                <w:rFonts w:ascii="Segoe UI Symbol" w:hAnsi="Segoe UI Symbol" w:cs="Segoe UI Symbol"/>
                <w:color w:val="0070AE" w:themeColor="accent2" w:themeTint="BF"/>
                <w:sz w:val="24"/>
                <w:szCs w:val="24"/>
                <w:lang w:val="en"/>
              </w:rPr>
              <w:t>✅</w:t>
            </w:r>
          </w:p>
        </w:tc>
        <w:tc>
          <w:tcPr>
            <w:tcW w:w="1826" w:type="dxa"/>
            <w:shd w:val="clear" w:color="auto" w:fill="auto"/>
            <w:tcMar>
              <w:top w:w="113" w:type="dxa"/>
              <w:bottom w:w="113" w:type="dxa"/>
            </w:tcMar>
          </w:tcPr>
          <w:p w14:paraId="5D67FC68" w14:textId="13F19B90" w:rsidR="00B21FBF" w:rsidRDefault="00B21FBF" w:rsidP="007B09DD">
            <w:pPr>
              <w:spacing w:after="120" w:line="240" w:lineRule="exact"/>
              <w:rPr>
                <w:rFonts w:cs="Myriad Pro"/>
                <w:lang w:val="en-GB"/>
              </w:rPr>
            </w:pPr>
            <w:r w:rsidRPr="00E162C0">
              <w:rPr>
                <w:rFonts w:ascii="Segoe UI Symbol" w:hAnsi="Segoe UI Symbol" w:cs="Segoe UI Symbol"/>
                <w:color w:val="0070AE" w:themeColor="accent2" w:themeTint="BF"/>
                <w:sz w:val="24"/>
                <w:szCs w:val="24"/>
                <w:lang w:val="en"/>
              </w:rPr>
              <w:t>✅</w:t>
            </w:r>
          </w:p>
        </w:tc>
      </w:tr>
    </w:tbl>
    <w:p w14:paraId="78A637A2" w14:textId="559F888B" w:rsidR="00CB32E3" w:rsidRPr="00322782" w:rsidRDefault="00B21FBF" w:rsidP="007570CB">
      <w:pPr>
        <w:pStyle w:val="FigureHeader"/>
        <w:numPr>
          <w:ilvl w:val="0"/>
          <w:numId w:val="0"/>
        </w:numPr>
        <w:pBdr>
          <w:top w:val="dotted" w:sz="18" w:space="4" w:color="939598" w:themeColor="accent1"/>
        </w:pBdr>
        <w:rPr>
          <w:color w:val="auto"/>
          <w:sz w:val="17"/>
          <w:szCs w:val="17"/>
        </w:rPr>
      </w:pPr>
      <w:r w:rsidRPr="007718F5">
        <w:rPr>
          <w:b/>
          <w:color w:val="auto"/>
          <w:sz w:val="17"/>
          <w:szCs w:val="17"/>
        </w:rPr>
        <w:t>Source</w:t>
      </w:r>
      <w:r w:rsidRPr="007718F5">
        <w:rPr>
          <w:color w:val="auto"/>
          <w:sz w:val="17"/>
          <w:szCs w:val="17"/>
        </w:rPr>
        <w:t>: CER 2020</w:t>
      </w:r>
      <w:r w:rsidR="000B4DD0" w:rsidRPr="007718F5">
        <w:rPr>
          <w:color w:val="auto"/>
          <w:sz w:val="17"/>
          <w:szCs w:val="17"/>
        </w:rPr>
        <w:t>b</w:t>
      </w:r>
      <w:r w:rsidRPr="007718F5">
        <w:rPr>
          <w:color w:val="auto"/>
          <w:sz w:val="17"/>
          <w:szCs w:val="17"/>
        </w:rPr>
        <w:t xml:space="preserve"> </w:t>
      </w:r>
      <w:bookmarkStart w:id="1150" w:name="_Safeguard_mechanism"/>
      <w:bookmarkEnd w:id="1150"/>
    </w:p>
    <w:p w14:paraId="05CAA4AD" w14:textId="7282F3A9" w:rsidR="00792F46" w:rsidRPr="00573159" w:rsidRDefault="00792F46" w:rsidP="00792F46">
      <w:pPr>
        <w:pStyle w:val="Heading3"/>
        <w:rPr>
          <w:i/>
          <w:color w:val="0070AE" w:themeColor="accent2" w:themeTint="BF"/>
        </w:rPr>
      </w:pPr>
      <w:r w:rsidRPr="00573159" w:rsidDel="00EF3364">
        <w:rPr>
          <w:i/>
          <w:color w:val="0070AE" w:themeColor="accent2" w:themeTint="BF"/>
        </w:rPr>
        <w:t xml:space="preserve">Safeguard </w:t>
      </w:r>
      <w:r w:rsidR="00EF3364" w:rsidRPr="00573159">
        <w:rPr>
          <w:i/>
          <w:color w:val="0070AE" w:themeColor="accent2" w:themeTint="BF"/>
        </w:rPr>
        <w:t>Mechanism</w:t>
      </w:r>
    </w:p>
    <w:p w14:paraId="4A1C463B" w14:textId="1B15A80C" w:rsidR="00792F46" w:rsidRPr="005206CA" w:rsidRDefault="00792F46" w:rsidP="00792F46">
      <w:r w:rsidRPr="005206CA">
        <w:t xml:space="preserve">The </w:t>
      </w:r>
      <w:r w:rsidR="00EF3364">
        <w:t>Safeguard Mechanism</w:t>
      </w:r>
      <w:r w:rsidRPr="005206CA">
        <w:t xml:space="preserve"> is designed to ensure </w:t>
      </w:r>
      <w:r>
        <w:t xml:space="preserve">that </w:t>
      </w:r>
      <w:r w:rsidR="00E13199">
        <w:t xml:space="preserve">emissions reductions </w:t>
      </w:r>
      <w:r w:rsidR="005939C1">
        <w:t>secured through ERF crediting and purchasing</w:t>
      </w:r>
      <w:r w:rsidRPr="005206CA">
        <w:t xml:space="preserve"> are not offset by significant increases </w:t>
      </w:r>
      <w:r w:rsidR="005939C1">
        <w:t xml:space="preserve">in emissions </w:t>
      </w:r>
      <w:r w:rsidRPr="005206CA">
        <w:t>above business</w:t>
      </w:r>
      <w:r>
        <w:t xml:space="preserve"> </w:t>
      </w:r>
      <w:r w:rsidRPr="005206CA">
        <w:t>as</w:t>
      </w:r>
      <w:r>
        <w:t xml:space="preserve"> </w:t>
      </w:r>
      <w:r w:rsidRPr="005206CA">
        <w:t>usual levels elsewhere in the economy.</w:t>
      </w:r>
      <w:r>
        <w:t xml:space="preserve"> </w:t>
      </w:r>
      <w:r w:rsidR="00BD6C3A">
        <w:t xml:space="preserve">The mechanism </w:t>
      </w:r>
      <w:r w:rsidRPr="005206CA">
        <w:t xml:space="preserve">is established in the </w:t>
      </w:r>
      <w:r w:rsidRPr="00B77C0C">
        <w:rPr>
          <w:i/>
        </w:rPr>
        <w:t xml:space="preserve">National Greenhouse and Energy Reporting Act 2007 </w:t>
      </w:r>
      <w:r w:rsidRPr="00B77C0C">
        <w:t>(Cth) (NGER Act)</w:t>
      </w:r>
      <w:r>
        <w:t xml:space="preserve"> </w:t>
      </w:r>
      <w:r w:rsidRPr="005206CA">
        <w:t>and commenced on 1</w:t>
      </w:r>
      <w:r>
        <w:t> </w:t>
      </w:r>
      <w:r w:rsidRPr="005206CA">
        <w:t xml:space="preserve">July 2016. </w:t>
      </w:r>
    </w:p>
    <w:p w14:paraId="39BF26EA" w14:textId="2F0E53CD" w:rsidR="00792F46" w:rsidRDefault="00792F46" w:rsidP="00792F46">
      <w:r>
        <w:t xml:space="preserve">The </w:t>
      </w:r>
      <w:r w:rsidR="00EF3364">
        <w:t>Safeguard Mechanism</w:t>
      </w:r>
      <w:r>
        <w:t xml:space="preserve"> operates by setting b</w:t>
      </w:r>
      <w:r w:rsidRPr="005206CA">
        <w:t xml:space="preserve">aselines, or regulatory limits, for facilities that </w:t>
      </w:r>
      <w:r w:rsidR="003E0A0C">
        <w:t xml:space="preserve">directly </w:t>
      </w:r>
      <w:r w:rsidRPr="005206CA">
        <w:t>emit over 100,000 t CO</w:t>
      </w:r>
      <w:r w:rsidRPr="005206CA">
        <w:rPr>
          <w:vertAlign w:val="subscript"/>
        </w:rPr>
        <w:t>2</w:t>
      </w:r>
      <w:r w:rsidRPr="005206CA">
        <w:t xml:space="preserve">-e a year in the electricity generation, mining, oil, gas, manufacturing, transport, construction and waste sectors. If a facility’s </w:t>
      </w:r>
      <w:r w:rsidR="00A5348B">
        <w:t>direct</w:t>
      </w:r>
      <w:r w:rsidRPr="005206CA">
        <w:t xml:space="preserve"> emissions exceed its baseline, </w:t>
      </w:r>
      <w:r>
        <w:t>businesses a</w:t>
      </w:r>
      <w:r w:rsidRPr="005206CA">
        <w:t>re able to purchase ACCUs</w:t>
      </w:r>
      <w:r>
        <w:t xml:space="preserve"> generated by ERF projects</w:t>
      </w:r>
      <w:r w:rsidRPr="005206CA">
        <w:t xml:space="preserve"> to offset emissions above the baseline</w:t>
      </w:r>
      <w:r>
        <w:t xml:space="preserve">. They can also </w:t>
      </w:r>
      <w:r w:rsidR="00BC2BC2">
        <w:t xml:space="preserve">take steps to </w:t>
      </w:r>
      <w:r w:rsidRPr="005206CA">
        <w:t>reduce their emissions.</w:t>
      </w:r>
      <w:r>
        <w:t xml:space="preserve"> </w:t>
      </w:r>
    </w:p>
    <w:p w14:paraId="7544C4E8" w14:textId="463C95EA" w:rsidR="00792F46" w:rsidRDefault="00792F46" w:rsidP="00792F46">
      <w:r w:rsidRPr="00B32198">
        <w:t>In 201</w:t>
      </w:r>
      <w:r>
        <w:t>8</w:t>
      </w:r>
      <w:r w:rsidRPr="00B32198">
        <w:t>–1</w:t>
      </w:r>
      <w:r>
        <w:t>9</w:t>
      </w:r>
      <w:r w:rsidRPr="00B32198">
        <w:t xml:space="preserve">, the </w:t>
      </w:r>
      <w:r w:rsidR="004A1949">
        <w:t>S</w:t>
      </w:r>
      <w:r w:rsidR="004A1949" w:rsidRPr="00B32198">
        <w:t xml:space="preserve">afeguard </w:t>
      </w:r>
      <w:r w:rsidR="004A1949">
        <w:t xml:space="preserve">Mechanism </w:t>
      </w:r>
      <w:r w:rsidRPr="00B32198">
        <w:t>applied to 21</w:t>
      </w:r>
      <w:r>
        <w:t>0</w:t>
      </w:r>
      <w:r w:rsidRPr="00B32198">
        <w:t xml:space="preserve"> facilities</w:t>
      </w:r>
      <w:r w:rsidR="00BD7672">
        <w:rPr>
          <w:rStyle w:val="FootnoteReference"/>
        </w:rPr>
        <w:footnoteReference w:id="4"/>
      </w:r>
      <w:r w:rsidRPr="00B32198">
        <w:t xml:space="preserve"> and covered 1</w:t>
      </w:r>
      <w:r>
        <w:t>44</w:t>
      </w:r>
      <w:r w:rsidRPr="00B32198">
        <w:t xml:space="preserve"> Mt CO</w:t>
      </w:r>
      <w:r w:rsidRPr="00B32198">
        <w:rPr>
          <w:vertAlign w:val="subscript"/>
        </w:rPr>
        <w:t>2</w:t>
      </w:r>
      <w:r w:rsidRPr="00B32198">
        <w:t xml:space="preserve">-e of emissions. All facilities complied with their </w:t>
      </w:r>
      <w:r w:rsidR="004A1949">
        <w:t>S</w:t>
      </w:r>
      <w:r w:rsidR="004A1949" w:rsidRPr="00B32198">
        <w:t xml:space="preserve">afeguard </w:t>
      </w:r>
      <w:r w:rsidRPr="00B32198">
        <w:t xml:space="preserve">obligations, </w:t>
      </w:r>
      <w:r>
        <w:t xml:space="preserve">including through </w:t>
      </w:r>
      <w:r w:rsidRPr="00B32198">
        <w:t>facilities surrender</w:t>
      </w:r>
      <w:r>
        <w:t>ing</w:t>
      </w:r>
      <w:r w:rsidRPr="00B32198">
        <w:t xml:space="preserve"> ACCUs</w:t>
      </w:r>
      <w:r w:rsidR="004A1949">
        <w:t>,</w:t>
      </w:r>
      <w:r>
        <w:t xml:space="preserve"> representing</w:t>
      </w:r>
      <w:r w:rsidRPr="00B32198">
        <w:t xml:space="preserve"> 0.</w:t>
      </w:r>
      <w:r>
        <w:t>19</w:t>
      </w:r>
      <w:r w:rsidRPr="00B32198">
        <w:t> Mt CO</w:t>
      </w:r>
      <w:r w:rsidRPr="00B32198">
        <w:rPr>
          <w:vertAlign w:val="subscript"/>
        </w:rPr>
        <w:t>2</w:t>
      </w:r>
      <w:r w:rsidRPr="00B32198">
        <w:t>-e (CER 20</w:t>
      </w:r>
      <w:r>
        <w:t>20</w:t>
      </w:r>
      <w:r w:rsidR="005E2230">
        <w:t>c</w:t>
      </w:r>
      <w:r w:rsidRPr="00B32198">
        <w:t>).</w:t>
      </w:r>
    </w:p>
    <w:p w14:paraId="35CE489C" w14:textId="4D29D6DB" w:rsidR="00792F46" w:rsidRPr="00792F46" w:rsidRDefault="00792F46" w:rsidP="00792F46">
      <w:r w:rsidRPr="005206CA">
        <w:t xml:space="preserve">While </w:t>
      </w:r>
      <w:r>
        <w:t xml:space="preserve">it is </w:t>
      </w:r>
      <w:r w:rsidRPr="005206CA">
        <w:t xml:space="preserve">an element of the ERF, the </w:t>
      </w:r>
      <w:r w:rsidR="00EF3364">
        <w:t>Safeguard Mechanism</w:t>
      </w:r>
      <w:r>
        <w:t xml:space="preserve"> </w:t>
      </w:r>
      <w:r w:rsidRPr="005206CA">
        <w:t>functions largely as a separate scheme</w:t>
      </w:r>
      <w:r>
        <w:t xml:space="preserve">. It is not considered in this review except </w:t>
      </w:r>
      <w:r w:rsidR="00BC2BC2">
        <w:t>insofar as</w:t>
      </w:r>
      <w:r>
        <w:t xml:space="preserve"> it </w:t>
      </w:r>
      <w:r w:rsidR="0082734E">
        <w:t xml:space="preserve">plays </w:t>
      </w:r>
      <w:r w:rsidR="00BC2BC2">
        <w:t xml:space="preserve">a role </w:t>
      </w:r>
      <w:r w:rsidR="0082734E">
        <w:t>in generating demand for ACCUs</w:t>
      </w:r>
      <w:r w:rsidR="00C61725">
        <w:t>.</w:t>
      </w:r>
    </w:p>
    <w:p w14:paraId="2539D1EF" w14:textId="1995863F" w:rsidR="008A2D47" w:rsidRPr="00792F46" w:rsidRDefault="008A2D47" w:rsidP="00E60FF5">
      <w:pPr>
        <w:spacing w:line="259" w:lineRule="auto"/>
      </w:pPr>
      <w:r>
        <w:br w:type="page"/>
      </w:r>
    </w:p>
    <w:p w14:paraId="7100521A" w14:textId="77A0D104" w:rsidR="0037295C" w:rsidRPr="00573159" w:rsidRDefault="00C87182" w:rsidP="00CC338E">
      <w:pPr>
        <w:pStyle w:val="Figure"/>
      </w:pPr>
      <w:bookmarkStart w:id="1151" w:name="_Toc53130452"/>
      <w:r w:rsidRPr="00573159">
        <w:t xml:space="preserve">Figure </w:t>
      </w:r>
      <w:r w:rsidR="0044018D" w:rsidRPr="00573159">
        <w:t>2.</w:t>
      </w:r>
      <w:r w:rsidR="0037295C" w:rsidRPr="00573159">
        <w:t>1: Crediting and purchasing mechanisms under the ERF</w:t>
      </w:r>
      <w:bookmarkEnd w:id="1151"/>
    </w:p>
    <w:p w14:paraId="08A53282" w14:textId="7FA38DB0" w:rsidR="008A2D47" w:rsidRPr="00792F46" w:rsidRDefault="008A2D47" w:rsidP="00E60FF5">
      <w:pPr>
        <w:pStyle w:val="FigureTableHeader"/>
        <w:ind w:left="0" w:firstLine="0"/>
      </w:pPr>
      <w:r w:rsidRPr="008A2D47">
        <w:rPr>
          <w:caps w:val="0"/>
          <w:noProof/>
          <w:color w:val="auto"/>
          <w:lang w:eastAsia="en-AU"/>
        </w:rPr>
        <mc:AlternateContent>
          <mc:Choice Requires="wpg">
            <w:drawing>
              <wp:anchor distT="0" distB="0" distL="114300" distR="114300" simplePos="0" relativeHeight="251658244" behindDoc="0" locked="0" layoutInCell="1" allowOverlap="1" wp14:anchorId="71102C58" wp14:editId="30DC9BB3">
                <wp:simplePos x="0" y="0"/>
                <wp:positionH relativeFrom="column">
                  <wp:posOffset>7951</wp:posOffset>
                </wp:positionH>
                <wp:positionV relativeFrom="paragraph">
                  <wp:posOffset>136415</wp:posOffset>
                </wp:positionV>
                <wp:extent cx="5810250" cy="7529195"/>
                <wp:effectExtent l="0" t="0" r="0" b="0"/>
                <wp:wrapNone/>
                <wp:docPr id="1068683893" name="Group 1"/>
                <wp:cNvGraphicFramePr/>
                <a:graphic xmlns:a="http://schemas.openxmlformats.org/drawingml/2006/main">
                  <a:graphicData uri="http://schemas.microsoft.com/office/word/2010/wordprocessingGroup">
                    <wpg:wgp>
                      <wpg:cNvGrpSpPr/>
                      <wpg:grpSpPr>
                        <a:xfrm>
                          <a:off x="0" y="0"/>
                          <a:ext cx="5810250" cy="7529195"/>
                          <a:chOff x="0" y="0"/>
                          <a:chExt cx="5810520" cy="8665579"/>
                        </a:xfrm>
                      </wpg:grpSpPr>
                      <wps:wsp>
                        <wps:cNvPr id="1068683894" name="Rectangle 1068683894"/>
                        <wps:cNvSpPr/>
                        <wps:spPr>
                          <a:xfrm>
                            <a:off x="4042" y="5084898"/>
                            <a:ext cx="5806478" cy="1234067"/>
                          </a:xfrm>
                          <a:prstGeom prst="rect">
                            <a:avLst/>
                          </a:prstGeom>
                          <a:solidFill>
                            <a:srgbClr val="5B9BD5">
                              <a:lumMod val="75000"/>
                            </a:srgbClr>
                          </a:solidFill>
                          <a:ln w="12700" cap="flat" cmpd="sng" algn="ctr">
                            <a:noFill/>
                            <a:prstDash val="solid"/>
                            <a:miter lim="800000"/>
                          </a:ln>
                          <a:effectLst/>
                        </wps:spPr>
                        <wps:bodyPr rot="0" spcFirstLastPara="0" vert="horz" wrap="square" lIns="51435" tIns="25718" rIns="51435" bIns="25718" numCol="1" spcCol="0" rtlCol="0" fromWordArt="0" anchor="ctr" anchorCtr="0" forceAA="0" compatLnSpc="1">
                          <a:prstTxWarp prst="textNoShape">
                            <a:avLst/>
                          </a:prstTxWarp>
                          <a:noAutofit/>
                        </wps:bodyPr>
                      </wps:wsp>
                      <wps:wsp>
                        <wps:cNvPr id="1068683895" name="Rectangle 1068683895" descr="Figure 2.1 is a schematic, which shows the steps that make up the ERF crediting and purchasing mechanisms. These are method development, project registration, auction participation and crediting ACCUs." title="Figure 2.1: Crediting and purchasing mechanisms under the ERF"/>
                        <wps:cNvSpPr/>
                        <wps:spPr>
                          <a:xfrm>
                            <a:off x="1" y="0"/>
                            <a:ext cx="5806477" cy="1012055"/>
                          </a:xfrm>
                          <a:prstGeom prst="rect">
                            <a:avLst/>
                          </a:prstGeom>
                          <a:solidFill>
                            <a:srgbClr val="00B0F0"/>
                          </a:solidFill>
                          <a:ln w="12700" cap="flat" cmpd="sng" algn="ctr">
                            <a:noFill/>
                            <a:prstDash val="solid"/>
                            <a:miter lim="800000"/>
                          </a:ln>
                          <a:effectLst/>
                        </wps:spPr>
                        <wps:txbx>
                          <w:txbxContent>
                            <w:p w14:paraId="6DC39846" w14:textId="77777777" w:rsidR="00B06CBD" w:rsidRDefault="00B06CBD" w:rsidP="008A2D47">
                              <w:pPr>
                                <w:pStyle w:val="NormalWeb"/>
                                <w:spacing w:after="0"/>
                                <w:jc w:val="center"/>
                              </w:pPr>
                              <w:r>
                                <w:rPr>
                                  <w:rFonts w:asciiTheme="minorHAnsi" w:hAnsi="Calibri" w:cstheme="minorBidi"/>
                                  <w:b/>
                                  <w:bCs/>
                                  <w:color w:val="FFFFFF" w:themeColor="light1"/>
                                  <w:kern w:val="24"/>
                                  <w:sz w:val="28"/>
                                  <w:szCs w:val="28"/>
                                </w:rPr>
                                <w:t>Methods</w:t>
                              </w:r>
                            </w:p>
                            <w:p w14:paraId="03B5993D" w14:textId="7E817679" w:rsidR="00B06CBD" w:rsidRPr="00573159" w:rsidRDefault="00B06CBD" w:rsidP="008A2D47">
                              <w:pPr>
                                <w:pStyle w:val="NormalWeb"/>
                                <w:spacing w:after="0"/>
                                <w:jc w:val="center"/>
                                <w:rPr>
                                  <w:color w:val="0070AE" w:themeColor="accent2" w:themeTint="BF"/>
                                </w:rPr>
                              </w:pPr>
                              <w:r>
                                <w:rPr>
                                  <w:rFonts w:asciiTheme="minorHAnsi" w:hAnsi="Calibri" w:cstheme="minorBidi"/>
                                  <w:color w:val="FFFFFF" w:themeColor="light1"/>
                                  <w:kern w:val="24"/>
                                </w:rPr>
                                <w:t>Developed by the Regulator (previously the Department), assessed and reviewed by the Emissions Reduction Assurance Committee, and approved by the Minister responsible for emissions reductions</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068683896" name="Rectangle 1068683896"/>
                        <wps:cNvSpPr/>
                        <wps:spPr>
                          <a:xfrm>
                            <a:off x="0" y="1333471"/>
                            <a:ext cx="5806477" cy="816479"/>
                          </a:xfrm>
                          <a:prstGeom prst="rect">
                            <a:avLst/>
                          </a:prstGeom>
                          <a:solidFill>
                            <a:srgbClr val="00B0F0"/>
                          </a:solidFill>
                          <a:ln w="12700" cap="flat" cmpd="sng" algn="ctr">
                            <a:noFill/>
                            <a:prstDash val="solid"/>
                            <a:miter lim="800000"/>
                          </a:ln>
                          <a:effectLst/>
                        </wps:spPr>
                        <wps:txbx>
                          <w:txbxContent>
                            <w:p w14:paraId="68C46A89" w14:textId="0126E3D6" w:rsidR="00B06CBD" w:rsidRDefault="00B06CBD" w:rsidP="008A2D47">
                              <w:pPr>
                                <w:pStyle w:val="NormalWeb"/>
                                <w:spacing w:after="0"/>
                                <w:jc w:val="center"/>
                              </w:pPr>
                              <w:r>
                                <w:rPr>
                                  <w:rFonts w:asciiTheme="minorHAnsi" w:hAnsi="Calibri" w:cstheme="minorBidi"/>
                                  <w:b/>
                                  <w:bCs/>
                                  <w:color w:val="FFFFFF" w:themeColor="light1"/>
                                  <w:kern w:val="24"/>
                                  <w:sz w:val="28"/>
                                  <w:szCs w:val="28"/>
                                </w:rPr>
                                <w:t>Project registration</w:t>
                              </w:r>
                            </w:p>
                            <w:p w14:paraId="5237FE82" w14:textId="77777777" w:rsidR="00B06CBD" w:rsidRDefault="00B06CBD" w:rsidP="008A2D47">
                              <w:pPr>
                                <w:pStyle w:val="NormalWeb"/>
                                <w:spacing w:after="0"/>
                                <w:jc w:val="center"/>
                              </w:pPr>
                              <w:r>
                                <w:rPr>
                                  <w:rFonts w:asciiTheme="minorHAnsi" w:hAnsi="Calibri" w:cstheme="minorBidi"/>
                                  <w:color w:val="FFFFFF" w:themeColor="light1"/>
                                  <w:kern w:val="24"/>
                                </w:rPr>
                                <w:t xml:space="preserve">Participants register projects with the Regulator using an approved method. </w:t>
                              </w:r>
                            </w:p>
                            <w:p w14:paraId="492B9AEA" w14:textId="77777777" w:rsidR="00B06CBD" w:rsidRDefault="00B06CBD" w:rsidP="008A2D47">
                              <w:pPr>
                                <w:pStyle w:val="NormalWeb"/>
                                <w:spacing w:after="0"/>
                                <w:jc w:val="center"/>
                              </w:pPr>
                              <w:r>
                                <w:rPr>
                                  <w:rFonts w:asciiTheme="minorHAnsi" w:hAnsi="Calibri" w:cstheme="minorBidi"/>
                                  <w:color w:val="FFFFFF" w:themeColor="light1"/>
                                  <w:kern w:val="24"/>
                                </w:rPr>
                                <w:t>This enables ACCUs to be credited and participation in auctions</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068683897" name="Rectangle 1068683897"/>
                        <wps:cNvSpPr/>
                        <wps:spPr>
                          <a:xfrm>
                            <a:off x="4042" y="2467663"/>
                            <a:ext cx="1970453" cy="2617235"/>
                          </a:xfrm>
                          <a:prstGeom prst="rect">
                            <a:avLst/>
                          </a:prstGeom>
                          <a:solidFill>
                            <a:srgbClr val="5B9BD5">
                              <a:lumMod val="75000"/>
                            </a:srgbClr>
                          </a:solidFill>
                          <a:ln w="12700" cap="flat" cmpd="sng" algn="ctr">
                            <a:noFill/>
                            <a:prstDash val="solid"/>
                            <a:miter lim="800000"/>
                          </a:ln>
                          <a:effectLst/>
                        </wps:spPr>
                        <wps:txbx>
                          <w:txbxContent>
                            <w:p w14:paraId="28E2ED1C" w14:textId="77777777" w:rsidR="00B06CBD" w:rsidRDefault="00B06CBD" w:rsidP="008A2D47">
                              <w:pPr>
                                <w:pStyle w:val="NormalWeb"/>
                                <w:spacing w:after="0"/>
                                <w:jc w:val="center"/>
                              </w:pPr>
                              <w:r>
                                <w:rPr>
                                  <w:rFonts w:asciiTheme="minorHAnsi" w:hAnsi="Calibri" w:cstheme="minorBidi"/>
                                  <w:b/>
                                  <w:bCs/>
                                  <w:color w:val="FFFFFF" w:themeColor="light1"/>
                                  <w:kern w:val="24"/>
                                  <w:sz w:val="28"/>
                                  <w:szCs w:val="28"/>
                                </w:rPr>
                                <w:t>Crediting ACCUs</w:t>
                              </w:r>
                            </w:p>
                            <w:p w14:paraId="24AF0671" w14:textId="77777777" w:rsidR="00B06CBD" w:rsidRDefault="00B06CBD" w:rsidP="008A2D47">
                              <w:pPr>
                                <w:pStyle w:val="NormalWeb"/>
                                <w:spacing w:after="0"/>
                                <w:jc w:val="center"/>
                              </w:pPr>
                              <w:r>
                                <w:rPr>
                                  <w:rFonts w:asciiTheme="minorHAnsi" w:hAnsi="Calibri" w:cstheme="minorBidi"/>
                                  <w:color w:val="FFFFFF" w:themeColor="light1"/>
                                  <w:kern w:val="24"/>
                                </w:rPr>
                                <w:t>Registered projects are issued ACCUs for the carbon stored or avoided</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068683898" name="Rectangle 1068683898"/>
                        <wps:cNvSpPr/>
                        <wps:spPr>
                          <a:xfrm>
                            <a:off x="2104269" y="2471365"/>
                            <a:ext cx="3702207" cy="997645"/>
                          </a:xfrm>
                          <a:prstGeom prst="rect">
                            <a:avLst/>
                          </a:prstGeom>
                          <a:solidFill>
                            <a:srgbClr val="00B0F0"/>
                          </a:solidFill>
                          <a:ln w="12700" cap="flat" cmpd="sng" algn="ctr">
                            <a:noFill/>
                            <a:prstDash val="solid"/>
                            <a:miter lim="800000"/>
                          </a:ln>
                          <a:effectLst/>
                        </wps:spPr>
                        <wps:txbx>
                          <w:txbxContent>
                            <w:p w14:paraId="6996EA86" w14:textId="4BFF27E9" w:rsidR="00B06CBD" w:rsidRDefault="00B06CBD" w:rsidP="008A2D47">
                              <w:pPr>
                                <w:pStyle w:val="NormalWeb"/>
                                <w:spacing w:after="0"/>
                                <w:jc w:val="center"/>
                              </w:pPr>
                              <w:r>
                                <w:rPr>
                                  <w:rFonts w:asciiTheme="minorHAnsi" w:hAnsi="Calibri" w:cstheme="minorBidi"/>
                                  <w:b/>
                                  <w:bCs/>
                                  <w:color w:val="FFFFFF" w:themeColor="light1"/>
                                  <w:kern w:val="24"/>
                                  <w:sz w:val="28"/>
                                  <w:szCs w:val="28"/>
                                </w:rPr>
                                <w:t>Auction participation</w:t>
                              </w:r>
                            </w:p>
                            <w:p w14:paraId="5DB00FD6" w14:textId="77777777" w:rsidR="00B06CBD" w:rsidRDefault="00B06CBD" w:rsidP="008A2D47">
                              <w:pPr>
                                <w:pStyle w:val="NormalWeb"/>
                                <w:spacing w:after="0"/>
                                <w:jc w:val="center"/>
                              </w:pPr>
                              <w:r>
                                <w:rPr>
                                  <w:rFonts w:asciiTheme="minorHAnsi" w:hAnsi="Calibri" w:cstheme="minorBidi"/>
                                  <w:color w:val="FFFFFF" w:themeColor="light1"/>
                                  <w:kern w:val="24"/>
                                </w:rPr>
                                <w:t>ACCUs already earned and/or expected to be earned from registered projects are offered for sale to the Regulator</w:t>
                              </w:r>
                            </w:p>
                          </w:txbxContent>
                        </wps:txbx>
                        <wps:bodyPr rtlCol="0" anchor="ctr"/>
                      </wps:wsp>
                      <wps:wsp>
                        <wps:cNvPr id="1068683899" name="Flowchart: Terminator 1068683899"/>
                        <wps:cNvSpPr/>
                        <wps:spPr>
                          <a:xfrm>
                            <a:off x="2582639" y="3699468"/>
                            <a:ext cx="2750634" cy="483963"/>
                          </a:xfrm>
                          <a:prstGeom prst="flowChartTerminator">
                            <a:avLst/>
                          </a:prstGeom>
                          <a:solidFill>
                            <a:srgbClr val="00B0F0"/>
                          </a:solidFill>
                          <a:ln w="12700" cap="flat" cmpd="sng" algn="ctr">
                            <a:noFill/>
                            <a:prstDash val="solid"/>
                            <a:miter lim="800000"/>
                          </a:ln>
                          <a:effectLst/>
                        </wps:spPr>
                        <wps:txbx>
                          <w:txbxContent>
                            <w:p w14:paraId="465C79EE" w14:textId="77777777" w:rsidR="00B06CBD" w:rsidRDefault="00B06CBD" w:rsidP="008A2D47">
                              <w:pPr>
                                <w:pStyle w:val="NormalWeb"/>
                                <w:spacing w:after="0"/>
                                <w:jc w:val="center"/>
                              </w:pPr>
                              <w:r>
                                <w:rPr>
                                  <w:rFonts w:asciiTheme="minorHAnsi" w:hAnsi="Calibri" w:cstheme="minorBidi"/>
                                  <w:color w:val="FFFFFF" w:themeColor="light1"/>
                                  <w:kern w:val="24"/>
                                  <w:sz w:val="28"/>
                                  <w:szCs w:val="28"/>
                                </w:rPr>
                                <w:t>Success at auction</w:t>
                              </w:r>
                            </w:p>
                          </w:txbxContent>
                        </wps:txbx>
                        <wps:bodyPr rtlCol="0" anchor="ctr"/>
                      </wps:wsp>
                      <wps:wsp>
                        <wps:cNvPr id="1068683900" name="Rounded Rectangle 1068683900"/>
                        <wps:cNvSpPr/>
                        <wps:spPr>
                          <a:xfrm>
                            <a:off x="1110689" y="4603320"/>
                            <a:ext cx="542693" cy="402494"/>
                          </a:xfrm>
                          <a:prstGeom prst="roundRect">
                            <a:avLst/>
                          </a:prstGeom>
                          <a:solidFill>
                            <a:srgbClr val="00B0F0"/>
                          </a:solidFill>
                          <a:ln w="12700" cap="flat" cmpd="sng" algn="ctr">
                            <a:noFill/>
                            <a:prstDash val="solid"/>
                            <a:miter lim="800000"/>
                          </a:ln>
                          <a:effectLst/>
                        </wps:spPr>
                        <wps:txbx>
                          <w:txbxContent>
                            <w:p w14:paraId="64BE7C98" w14:textId="77777777" w:rsidR="00B06CBD" w:rsidRDefault="00B06CBD" w:rsidP="008A2D47">
                              <w:pPr>
                                <w:pStyle w:val="NormalWeb"/>
                                <w:spacing w:after="0"/>
                                <w:jc w:val="center"/>
                              </w:pPr>
                              <w:r>
                                <w:rPr>
                                  <w:rFonts w:asciiTheme="minorHAnsi" w:hAnsi="Calibri" w:cstheme="minorBidi"/>
                                  <w:color w:val="FFFFFF" w:themeColor="light1"/>
                                  <w:kern w:val="24"/>
                                  <w:sz w:val="28"/>
                                  <w:szCs w:val="28"/>
                                </w:rPr>
                                <w:t>No</w:t>
                              </w:r>
                            </w:p>
                          </w:txbxContent>
                        </wps:txbx>
                        <wps:bodyPr rtlCol="0" anchor="ctr"/>
                      </wps:wsp>
                      <wps:wsp>
                        <wps:cNvPr id="1068683901" name="Rounded Rectangle 1068683901"/>
                        <wps:cNvSpPr/>
                        <wps:spPr>
                          <a:xfrm>
                            <a:off x="3690340" y="4603320"/>
                            <a:ext cx="542693" cy="402494"/>
                          </a:xfrm>
                          <a:prstGeom prst="roundRect">
                            <a:avLst/>
                          </a:prstGeom>
                          <a:solidFill>
                            <a:srgbClr val="00B0F0"/>
                          </a:solidFill>
                          <a:ln w="12700" cap="flat" cmpd="sng" algn="ctr">
                            <a:noFill/>
                            <a:prstDash val="solid"/>
                            <a:miter lim="800000"/>
                          </a:ln>
                          <a:effectLst/>
                        </wps:spPr>
                        <wps:txbx>
                          <w:txbxContent>
                            <w:p w14:paraId="7ABECAF3" w14:textId="77777777" w:rsidR="00B06CBD" w:rsidRDefault="00B06CBD" w:rsidP="008A2D47">
                              <w:pPr>
                                <w:pStyle w:val="NormalWeb"/>
                                <w:spacing w:after="0"/>
                                <w:jc w:val="center"/>
                              </w:pPr>
                              <w:r>
                                <w:rPr>
                                  <w:rFonts w:asciiTheme="minorHAnsi" w:hAnsi="Calibri" w:cstheme="minorBidi"/>
                                  <w:color w:val="FFFFFF" w:themeColor="light1"/>
                                  <w:kern w:val="24"/>
                                  <w:sz w:val="28"/>
                                  <w:szCs w:val="28"/>
                                </w:rPr>
                                <w:t>Yes</w:t>
                              </w:r>
                            </w:p>
                          </w:txbxContent>
                        </wps:txbx>
                        <wps:bodyPr rtlCol="0" anchor="ctr"/>
                      </wps:wsp>
                      <wps:wsp>
                        <wps:cNvPr id="1068683902" name="Rectangle 1068683902"/>
                        <wps:cNvSpPr/>
                        <wps:spPr>
                          <a:xfrm>
                            <a:off x="583793" y="5353053"/>
                            <a:ext cx="1596483" cy="733192"/>
                          </a:xfrm>
                          <a:prstGeom prst="rect">
                            <a:avLst/>
                          </a:prstGeom>
                          <a:solidFill>
                            <a:srgbClr val="8EC152"/>
                          </a:solidFill>
                          <a:ln w="12700" cap="flat" cmpd="sng" algn="ctr">
                            <a:solidFill>
                              <a:srgbClr val="5B9BD5">
                                <a:shade val="50000"/>
                              </a:srgbClr>
                            </a:solidFill>
                            <a:prstDash val="solid"/>
                            <a:miter lim="800000"/>
                          </a:ln>
                          <a:effectLst/>
                        </wps:spPr>
                        <wps:txbx>
                          <w:txbxContent>
                            <w:p w14:paraId="047CD686" w14:textId="77777777" w:rsidR="00B06CBD" w:rsidRDefault="00B06CBD" w:rsidP="008A2D47">
                              <w:pPr>
                                <w:pStyle w:val="NormalWeb"/>
                                <w:spacing w:after="0"/>
                                <w:jc w:val="center"/>
                              </w:pPr>
                              <w:r>
                                <w:rPr>
                                  <w:rFonts w:asciiTheme="minorHAnsi" w:hAnsi="Calibri" w:cstheme="minorBidi"/>
                                  <w:color w:val="FFFFFF" w:themeColor="light1"/>
                                  <w:kern w:val="24"/>
                                  <w:sz w:val="28"/>
                                  <w:szCs w:val="28"/>
                                </w:rPr>
                                <w:t>Uncontracted ACCUs</w:t>
                              </w:r>
                            </w:p>
                          </w:txbxContent>
                        </wps:txbx>
                        <wps:bodyPr rtlCol="0" anchor="ctr"/>
                      </wps:wsp>
                      <wps:wsp>
                        <wps:cNvPr id="1068683903" name="Rectangle 1068683903"/>
                        <wps:cNvSpPr/>
                        <wps:spPr>
                          <a:xfrm>
                            <a:off x="3166954" y="5353053"/>
                            <a:ext cx="1596483" cy="733192"/>
                          </a:xfrm>
                          <a:prstGeom prst="rect">
                            <a:avLst/>
                          </a:prstGeom>
                          <a:solidFill>
                            <a:srgbClr val="8EC152"/>
                          </a:solidFill>
                          <a:ln w="12700" cap="flat" cmpd="sng" algn="ctr">
                            <a:solidFill>
                              <a:srgbClr val="5B9BD5">
                                <a:shade val="50000"/>
                              </a:srgbClr>
                            </a:solidFill>
                            <a:prstDash val="solid"/>
                            <a:miter lim="800000"/>
                          </a:ln>
                          <a:effectLst/>
                        </wps:spPr>
                        <wps:txbx>
                          <w:txbxContent>
                            <w:p w14:paraId="443E8B1A" w14:textId="77777777" w:rsidR="00B06CBD" w:rsidRDefault="00B06CBD" w:rsidP="008A2D47">
                              <w:pPr>
                                <w:pStyle w:val="NormalWeb"/>
                                <w:spacing w:after="0"/>
                                <w:jc w:val="center"/>
                              </w:pPr>
                              <w:r>
                                <w:rPr>
                                  <w:rFonts w:asciiTheme="minorHAnsi" w:hAnsi="Calibri" w:cstheme="minorBidi"/>
                                  <w:color w:val="FFFFFF" w:themeColor="light1"/>
                                  <w:kern w:val="24"/>
                                  <w:sz w:val="28"/>
                                  <w:szCs w:val="28"/>
                                </w:rPr>
                                <w:t>ACCUs contracted to the Regulator</w:t>
                              </w:r>
                            </w:p>
                          </w:txbxContent>
                        </wps:txbx>
                        <wps:bodyPr rtlCol="0" anchor="ctr"/>
                      </wps:wsp>
                      <wps:wsp>
                        <wps:cNvPr id="1068683904" name="Rectangle 1068683904"/>
                        <wps:cNvSpPr/>
                        <wps:spPr>
                          <a:xfrm>
                            <a:off x="3039637" y="7825799"/>
                            <a:ext cx="2293636" cy="839780"/>
                          </a:xfrm>
                          <a:prstGeom prst="rect">
                            <a:avLst/>
                          </a:prstGeom>
                          <a:solidFill>
                            <a:srgbClr val="00B0F0"/>
                          </a:solidFill>
                          <a:ln w="12700" cap="flat" cmpd="sng" algn="ctr">
                            <a:noFill/>
                            <a:prstDash val="solid"/>
                            <a:miter lim="800000"/>
                          </a:ln>
                          <a:effectLst/>
                        </wps:spPr>
                        <wps:txbx>
                          <w:txbxContent>
                            <w:p w14:paraId="2E6B35AB" w14:textId="77777777" w:rsidR="00B06CBD" w:rsidRDefault="00B06CBD" w:rsidP="008A2D47">
                              <w:pPr>
                                <w:pStyle w:val="NormalWeb"/>
                                <w:spacing w:after="0"/>
                                <w:jc w:val="center"/>
                              </w:pPr>
                              <w:r>
                                <w:rPr>
                                  <w:rFonts w:asciiTheme="minorHAnsi" w:hAnsi="Calibri" w:cstheme="minorBidi"/>
                                  <w:color w:val="FFFFFF" w:themeColor="light1"/>
                                  <w:kern w:val="24"/>
                                </w:rPr>
                                <w:t>ACCUs purchased by the Regulator</w:t>
                              </w:r>
                            </w:p>
                          </w:txbxContent>
                        </wps:txbx>
                        <wps:bodyPr rtlCol="0" anchor="ctr"/>
                      </wps:wsp>
                      <wps:wsp>
                        <wps:cNvPr id="1068683905" name="Straight Arrow Connector 1068683905"/>
                        <wps:cNvCnPr>
                          <a:stCxn id="1068683895" idx="2"/>
                          <a:endCxn id="1068683896" idx="0"/>
                        </wps:cNvCnPr>
                        <wps:spPr>
                          <a:xfrm flipH="1">
                            <a:off x="2903239" y="1012055"/>
                            <a:ext cx="1" cy="321416"/>
                          </a:xfrm>
                          <a:prstGeom prst="straightConnector1">
                            <a:avLst/>
                          </a:prstGeom>
                          <a:noFill/>
                          <a:ln w="6350" cap="flat" cmpd="sng" algn="ctr">
                            <a:solidFill>
                              <a:srgbClr val="002060"/>
                            </a:solidFill>
                            <a:prstDash val="solid"/>
                            <a:miter lim="800000"/>
                            <a:tailEnd type="triangle"/>
                          </a:ln>
                          <a:effectLst/>
                        </wps:spPr>
                        <wps:bodyPr/>
                      </wps:wsp>
                      <wps:wsp>
                        <wps:cNvPr id="1068683906" name="Elbow Connector 1068683906"/>
                        <wps:cNvCnPr>
                          <a:stCxn id="1068683896" idx="2"/>
                          <a:endCxn id="1068683898" idx="0"/>
                        </wps:cNvCnPr>
                        <wps:spPr>
                          <a:xfrm rot="16200000" flipH="1">
                            <a:off x="3268599" y="1784590"/>
                            <a:ext cx="321415" cy="1052134"/>
                          </a:xfrm>
                          <a:prstGeom prst="bentConnector3">
                            <a:avLst/>
                          </a:prstGeom>
                          <a:noFill/>
                          <a:ln w="6350" cap="flat" cmpd="sng" algn="ctr">
                            <a:solidFill>
                              <a:srgbClr val="002060"/>
                            </a:solidFill>
                            <a:prstDash val="solid"/>
                            <a:miter lim="800000"/>
                            <a:tailEnd type="triangle"/>
                          </a:ln>
                          <a:effectLst/>
                        </wps:spPr>
                        <wps:bodyPr/>
                      </wps:wsp>
                      <wps:wsp>
                        <wps:cNvPr id="1068683907" name="Elbow Connector 1068683907"/>
                        <wps:cNvCnPr>
                          <a:stCxn id="1068683896" idx="2"/>
                          <a:endCxn id="1068683897" idx="0"/>
                        </wps:cNvCnPr>
                        <wps:spPr>
                          <a:xfrm rot="5400000">
                            <a:off x="1787398" y="1351821"/>
                            <a:ext cx="317713" cy="1913970"/>
                          </a:xfrm>
                          <a:prstGeom prst="bentConnector3">
                            <a:avLst/>
                          </a:prstGeom>
                          <a:noFill/>
                          <a:ln w="6350" cap="flat" cmpd="sng" algn="ctr">
                            <a:solidFill>
                              <a:srgbClr val="002060"/>
                            </a:solidFill>
                            <a:prstDash val="solid"/>
                            <a:miter lim="800000"/>
                            <a:tailEnd type="triangle"/>
                          </a:ln>
                          <a:effectLst/>
                        </wps:spPr>
                        <wps:bodyPr/>
                      </wps:wsp>
                      <wps:wsp>
                        <wps:cNvPr id="1068683908" name="Straight Arrow Connector 1068683908"/>
                        <wps:cNvCnPr>
                          <a:stCxn id="1068683898" idx="2"/>
                          <a:endCxn id="1068683899" idx="0"/>
                        </wps:cNvCnPr>
                        <wps:spPr>
                          <a:xfrm>
                            <a:off x="3955373" y="3469010"/>
                            <a:ext cx="2583" cy="230458"/>
                          </a:xfrm>
                          <a:prstGeom prst="straightConnector1">
                            <a:avLst/>
                          </a:prstGeom>
                          <a:noFill/>
                          <a:ln w="6350" cap="flat" cmpd="sng" algn="ctr">
                            <a:solidFill>
                              <a:srgbClr val="002060"/>
                            </a:solidFill>
                            <a:prstDash val="solid"/>
                            <a:miter lim="800000"/>
                            <a:tailEnd type="triangle"/>
                          </a:ln>
                          <a:effectLst/>
                        </wps:spPr>
                        <wps:bodyPr/>
                      </wps:wsp>
                      <wps:wsp>
                        <wps:cNvPr id="1068683909" name="Elbow Connector 1068683909"/>
                        <wps:cNvCnPr>
                          <a:stCxn id="1068683899" idx="2"/>
                          <a:endCxn id="1068683900" idx="0"/>
                        </wps:cNvCnPr>
                        <wps:spPr>
                          <a:xfrm rot="5400000">
                            <a:off x="2460051" y="3105415"/>
                            <a:ext cx="419889" cy="2575921"/>
                          </a:xfrm>
                          <a:prstGeom prst="bentConnector3">
                            <a:avLst/>
                          </a:prstGeom>
                          <a:noFill/>
                          <a:ln w="6350" cap="flat" cmpd="sng" algn="ctr">
                            <a:solidFill>
                              <a:srgbClr val="002060"/>
                            </a:solidFill>
                            <a:prstDash val="solid"/>
                            <a:miter lim="800000"/>
                            <a:tailEnd type="triangle"/>
                          </a:ln>
                          <a:effectLst/>
                        </wps:spPr>
                        <wps:bodyPr/>
                      </wps:wsp>
                      <wps:wsp>
                        <wps:cNvPr id="1068683910" name="Straight Arrow Connector 1068683910"/>
                        <wps:cNvCnPr>
                          <a:stCxn id="1068683901" idx="2"/>
                          <a:endCxn id="1068683903" idx="0"/>
                        </wps:cNvCnPr>
                        <wps:spPr>
                          <a:xfrm>
                            <a:off x="3961687" y="5005814"/>
                            <a:ext cx="3509" cy="347239"/>
                          </a:xfrm>
                          <a:prstGeom prst="straightConnector1">
                            <a:avLst/>
                          </a:prstGeom>
                          <a:noFill/>
                          <a:ln w="6350" cap="flat" cmpd="sng" algn="ctr">
                            <a:solidFill>
                              <a:srgbClr val="002060"/>
                            </a:solidFill>
                            <a:prstDash val="solid"/>
                            <a:miter lim="800000"/>
                            <a:tailEnd type="triangle"/>
                          </a:ln>
                          <a:effectLst/>
                        </wps:spPr>
                        <wps:bodyPr/>
                      </wps:wsp>
                      <wps:wsp>
                        <wps:cNvPr id="1068683911" name="Straight Arrow Connector 1068683911"/>
                        <wps:cNvCnPr>
                          <a:stCxn id="1068683900" idx="2"/>
                          <a:endCxn id="1068683902" idx="0"/>
                        </wps:cNvCnPr>
                        <wps:spPr>
                          <a:xfrm>
                            <a:off x="1382035" y="5005814"/>
                            <a:ext cx="0" cy="347239"/>
                          </a:xfrm>
                          <a:prstGeom prst="straightConnector1">
                            <a:avLst/>
                          </a:prstGeom>
                          <a:noFill/>
                          <a:ln w="6350" cap="flat" cmpd="sng" algn="ctr">
                            <a:solidFill>
                              <a:srgbClr val="002060"/>
                            </a:solidFill>
                            <a:prstDash val="solid"/>
                            <a:miter lim="800000"/>
                            <a:tailEnd type="triangle"/>
                          </a:ln>
                          <a:effectLst/>
                        </wps:spPr>
                        <wps:bodyPr/>
                      </wps:wsp>
                      <wps:wsp>
                        <wps:cNvPr id="1068683912" name="Rectangle 1068683912"/>
                        <wps:cNvSpPr/>
                        <wps:spPr>
                          <a:xfrm>
                            <a:off x="244399" y="6668662"/>
                            <a:ext cx="2293636" cy="839780"/>
                          </a:xfrm>
                          <a:prstGeom prst="rect">
                            <a:avLst/>
                          </a:prstGeom>
                          <a:solidFill>
                            <a:srgbClr val="00B0F0"/>
                          </a:solidFill>
                          <a:ln w="12700" cap="flat" cmpd="sng" algn="ctr">
                            <a:noFill/>
                            <a:prstDash val="solid"/>
                            <a:miter lim="800000"/>
                          </a:ln>
                          <a:effectLst/>
                        </wps:spPr>
                        <wps:txbx>
                          <w:txbxContent>
                            <w:p w14:paraId="61F6B710" w14:textId="77777777" w:rsidR="00B06CBD" w:rsidRDefault="00B06CBD" w:rsidP="008A2D47">
                              <w:pPr>
                                <w:pStyle w:val="NormalWeb"/>
                                <w:spacing w:after="0"/>
                                <w:jc w:val="center"/>
                              </w:pPr>
                              <w:r>
                                <w:rPr>
                                  <w:rFonts w:asciiTheme="minorHAnsi" w:hAnsi="Calibri" w:cstheme="minorBidi"/>
                                  <w:color w:val="FFFFFF" w:themeColor="light1"/>
                                  <w:kern w:val="24"/>
                                </w:rPr>
                                <w:t>ACCUs available for purchase by other parties, voluntarily cancelled for carbon offsets</w:t>
                              </w:r>
                            </w:p>
                          </w:txbxContent>
                        </wps:txbx>
                        <wps:bodyPr rtlCol="0" anchor="ctr"/>
                      </wps:wsp>
                      <wps:wsp>
                        <wps:cNvPr id="1068683913" name="Straight Arrow Connector 1068683913"/>
                        <wps:cNvCnPr>
                          <a:stCxn id="1068683899" idx="2"/>
                          <a:endCxn id="1068683901" idx="0"/>
                        </wps:cNvCnPr>
                        <wps:spPr>
                          <a:xfrm>
                            <a:off x="3957956" y="4183430"/>
                            <a:ext cx="3731" cy="419889"/>
                          </a:xfrm>
                          <a:prstGeom prst="straightConnector1">
                            <a:avLst/>
                          </a:prstGeom>
                          <a:noFill/>
                          <a:ln w="6350" cap="flat" cmpd="sng" algn="ctr">
                            <a:solidFill>
                              <a:srgbClr val="002060"/>
                            </a:solidFill>
                            <a:prstDash val="solid"/>
                            <a:miter lim="800000"/>
                            <a:tailEnd type="triangle"/>
                          </a:ln>
                          <a:effectLst/>
                        </wps:spPr>
                        <wps:bodyPr/>
                      </wps:wsp>
                      <wps:wsp>
                        <wps:cNvPr id="1068683914" name="Straight Arrow Connector 1068683914"/>
                        <wps:cNvCnPr>
                          <a:stCxn id="1068683902" idx="2"/>
                          <a:endCxn id="1068683912" idx="0"/>
                        </wps:cNvCnPr>
                        <wps:spPr>
                          <a:xfrm>
                            <a:off x="1382035" y="6086245"/>
                            <a:ext cx="9182" cy="582417"/>
                          </a:xfrm>
                          <a:prstGeom prst="straightConnector1">
                            <a:avLst/>
                          </a:prstGeom>
                          <a:noFill/>
                          <a:ln w="6350" cap="flat" cmpd="sng" algn="ctr">
                            <a:solidFill>
                              <a:srgbClr val="002060"/>
                            </a:solidFill>
                            <a:prstDash val="solid"/>
                            <a:miter lim="800000"/>
                            <a:tailEnd type="triangle"/>
                          </a:ln>
                          <a:effectLst/>
                        </wps:spPr>
                        <wps:bodyPr/>
                      </wps:wsp>
                      <wps:wsp>
                        <wps:cNvPr id="1068683915" name="Rectangle 1068683915"/>
                        <wps:cNvSpPr/>
                        <wps:spPr>
                          <a:xfrm>
                            <a:off x="3001238" y="6699601"/>
                            <a:ext cx="963958" cy="839780"/>
                          </a:xfrm>
                          <a:prstGeom prst="rect">
                            <a:avLst/>
                          </a:prstGeom>
                          <a:solidFill>
                            <a:srgbClr val="00B0F0"/>
                          </a:solidFill>
                          <a:ln w="12700" cap="flat" cmpd="sng" algn="ctr">
                            <a:noFill/>
                            <a:prstDash val="solid"/>
                            <a:miter lim="800000"/>
                          </a:ln>
                          <a:effectLst/>
                        </wps:spPr>
                        <wps:txbx>
                          <w:txbxContent>
                            <w:p w14:paraId="50D9C7C3" w14:textId="582486E8" w:rsidR="00B06CBD" w:rsidRDefault="00B06CBD" w:rsidP="008A2D47">
                              <w:pPr>
                                <w:pStyle w:val="NormalWeb"/>
                                <w:spacing w:after="0"/>
                                <w:jc w:val="center"/>
                              </w:pPr>
                              <w:r>
                                <w:rPr>
                                  <w:rFonts w:asciiTheme="minorHAnsi" w:hAnsi="Calibri" w:cstheme="minorBidi"/>
                                  <w:color w:val="FFFFFF" w:themeColor="light1"/>
                                  <w:kern w:val="24"/>
                                  <w:sz w:val="28"/>
                                  <w:szCs w:val="28"/>
                                </w:rPr>
                                <w:t>Optional delivery contract</w:t>
                              </w:r>
                            </w:p>
                          </w:txbxContent>
                        </wps:txbx>
                        <wps:bodyPr rtlCol="0" anchor="ctr"/>
                      </wps:wsp>
                      <wps:wsp>
                        <wps:cNvPr id="1068683916" name="Rectangle 1068683916"/>
                        <wps:cNvSpPr/>
                        <wps:spPr>
                          <a:xfrm>
                            <a:off x="4428399" y="6668662"/>
                            <a:ext cx="963958" cy="839780"/>
                          </a:xfrm>
                          <a:prstGeom prst="rect">
                            <a:avLst/>
                          </a:prstGeom>
                          <a:solidFill>
                            <a:srgbClr val="00B0F0"/>
                          </a:solidFill>
                          <a:ln w="12700" cap="flat" cmpd="sng" algn="ctr">
                            <a:noFill/>
                            <a:prstDash val="solid"/>
                            <a:miter lim="800000"/>
                          </a:ln>
                          <a:effectLst/>
                        </wps:spPr>
                        <wps:txbx>
                          <w:txbxContent>
                            <w:p w14:paraId="4DD173B5" w14:textId="253464ED" w:rsidR="00B06CBD" w:rsidRDefault="00B06CBD" w:rsidP="008A2D47">
                              <w:pPr>
                                <w:pStyle w:val="NormalWeb"/>
                                <w:spacing w:after="0"/>
                                <w:jc w:val="center"/>
                              </w:pPr>
                              <w:r>
                                <w:rPr>
                                  <w:rFonts w:asciiTheme="minorHAnsi" w:hAnsi="Calibri" w:cstheme="minorBidi"/>
                                  <w:color w:val="FFFFFF" w:themeColor="light1"/>
                                  <w:kern w:val="24"/>
                                  <w:sz w:val="28"/>
                                  <w:szCs w:val="28"/>
                                </w:rPr>
                                <w:t>Fixed delivery contract</w:t>
                              </w:r>
                            </w:p>
                          </w:txbxContent>
                        </wps:txbx>
                        <wps:bodyPr rtlCol="0" anchor="ctr"/>
                      </wps:wsp>
                      <wps:wsp>
                        <wps:cNvPr id="1068683917" name="Straight Arrow Connector 1068683917"/>
                        <wps:cNvCnPr/>
                        <wps:spPr>
                          <a:xfrm>
                            <a:off x="4598037" y="6089077"/>
                            <a:ext cx="9182" cy="582417"/>
                          </a:xfrm>
                          <a:prstGeom prst="straightConnector1">
                            <a:avLst/>
                          </a:prstGeom>
                          <a:noFill/>
                          <a:ln w="6350" cap="flat" cmpd="sng" algn="ctr">
                            <a:solidFill>
                              <a:srgbClr val="002060"/>
                            </a:solidFill>
                            <a:prstDash val="solid"/>
                            <a:miter lim="800000"/>
                            <a:tailEnd type="triangle"/>
                          </a:ln>
                          <a:effectLst/>
                        </wps:spPr>
                        <wps:bodyPr/>
                      </wps:wsp>
                      <wps:wsp>
                        <wps:cNvPr id="1068683918" name="Straight Arrow Connector 1068683918"/>
                        <wps:cNvCnPr/>
                        <wps:spPr>
                          <a:xfrm>
                            <a:off x="3272399" y="6122243"/>
                            <a:ext cx="9182" cy="582417"/>
                          </a:xfrm>
                          <a:prstGeom prst="straightConnector1">
                            <a:avLst/>
                          </a:prstGeom>
                          <a:noFill/>
                          <a:ln w="6350" cap="flat" cmpd="sng" algn="ctr">
                            <a:solidFill>
                              <a:srgbClr val="002060"/>
                            </a:solidFill>
                            <a:prstDash val="solid"/>
                            <a:miter lim="800000"/>
                            <a:tailEnd type="triangle"/>
                          </a:ln>
                          <a:effectLst/>
                        </wps:spPr>
                        <wps:bodyPr/>
                      </wps:wsp>
                      <wps:wsp>
                        <wps:cNvPr id="1068683919" name="Straight Arrow Connector 1068683919"/>
                        <wps:cNvCnPr/>
                        <wps:spPr>
                          <a:xfrm>
                            <a:off x="3263217" y="7539381"/>
                            <a:ext cx="9182" cy="291477"/>
                          </a:xfrm>
                          <a:prstGeom prst="straightConnector1">
                            <a:avLst/>
                          </a:prstGeom>
                          <a:noFill/>
                          <a:ln w="6350" cap="flat" cmpd="sng" algn="ctr">
                            <a:solidFill>
                              <a:srgbClr val="002060"/>
                            </a:solidFill>
                            <a:prstDash val="solid"/>
                            <a:miter lim="800000"/>
                            <a:tailEnd type="triangle"/>
                          </a:ln>
                          <a:effectLst/>
                        </wps:spPr>
                        <wps:bodyPr/>
                      </wps:wsp>
                      <wps:wsp>
                        <wps:cNvPr id="1068683920" name="Straight Arrow Connector 1068683920"/>
                        <wps:cNvCnPr/>
                        <wps:spPr>
                          <a:xfrm>
                            <a:off x="4607219" y="7508442"/>
                            <a:ext cx="9182" cy="291477"/>
                          </a:xfrm>
                          <a:prstGeom prst="straightConnector1">
                            <a:avLst/>
                          </a:prstGeom>
                          <a:noFill/>
                          <a:ln w="6350" cap="flat" cmpd="sng" algn="ctr">
                            <a:solidFill>
                              <a:srgbClr val="002060"/>
                            </a:solidFill>
                            <a:prstDash val="solid"/>
                            <a:miter lim="800000"/>
                            <a:tailEnd type="triangle"/>
                          </a:ln>
                          <a:effectLst/>
                        </wps:spPr>
                        <wps:bodyPr/>
                      </wps:wsp>
                      <wps:wsp>
                        <wps:cNvPr id="1068683921" name="Straight Arrow Connector 1068683921"/>
                        <wps:cNvCnPr>
                          <a:stCxn id="1068683915" idx="1"/>
                        </wps:cNvCnPr>
                        <wps:spPr>
                          <a:xfrm flipH="1">
                            <a:off x="2582639" y="7119491"/>
                            <a:ext cx="418599" cy="0"/>
                          </a:xfrm>
                          <a:prstGeom prst="straightConnector1">
                            <a:avLst/>
                          </a:prstGeom>
                          <a:noFill/>
                          <a:ln w="6350" cap="flat" cmpd="sng" algn="ctr">
                            <a:solidFill>
                              <a:srgbClr val="002060"/>
                            </a:solidFill>
                            <a:prstDash val="solid"/>
                            <a:miter lim="800000"/>
                            <a:tailEnd type="triangle"/>
                          </a:ln>
                          <a:effectLst/>
                        </wps:spPr>
                        <wps:bodyPr/>
                      </wps:wsp>
                    </wpg:wgp>
                  </a:graphicData>
                </a:graphic>
                <wp14:sizeRelV relativeFrom="margin">
                  <wp14:pctHeight>0</wp14:pctHeight>
                </wp14:sizeRelV>
              </wp:anchor>
            </w:drawing>
          </mc:Choice>
          <mc:Fallback>
            <w:pict>
              <v:group w14:anchorId="71102C58" id="Group 1" o:spid="_x0000_s1027" style="position:absolute;margin-left:.65pt;margin-top:10.75pt;width:457.5pt;height:592.85pt;z-index:251658244;mso-height-relative:margin" coordsize="58105,8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">
                <v:rect id="Rectangle 1068683894" o:spid="_x0000_s1028" style="position:absolute;left:40;top:50848;width:58065;height:12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s2ccA&#10;AADjAAAADwAAAGRycy9kb3ducmV2LnhtbERPzWrCQBC+F/oOyxR6qxuNhjR1lVgRLNpDtXgestMk&#10;mJ0N2VXj27sFweN8/zOd96YRZ+pcbVnBcBCBIC6srrlU8LtfvaUgnEfW2FgmBVdyMJ89P00x0/bC&#10;P3Te+VKEEHYZKqi8bzMpXVGRQTewLXHg/mxn0IezK6Xu8BLCTSNHUZRIgzWHhgpb+qyoOO5ORoHf&#10;bPPmkE/i78XXYYjxcnm0tFfq9aXPP0B46v1DfHevdZgfJWmSxun7GP5/CgD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L7NnHAAAA4wAAAA8AAAAAAAAAAAAAAAAAmAIAAGRy&#10;cy9kb3ducmV2LnhtbFBLBQYAAAAABAAEAPUAAACMAwAAAAA=&#10;" fillcolor="#2e75b6" stroked="f" strokeweight="1pt">
                  <v:textbox inset="4.05pt,.71439mm,4.05pt,.71439mm"/>
                </v:rect>
                <v:rect id="Rectangle 1068683895" o:spid="_x0000_s1029" alt="Figure 2.1 is a schematic, which shows the steps that make up the ERF crediting and purchasing mechanisms. These are method development, project registration, auction participation and crediting ACCUs." style="position:absolute;width:58064;height:10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8PMcA&#10;AADjAAAADwAAAGRycy9kb3ducmV2LnhtbERPX2vCMBB/F/Ydwg32pqmrllqNMgaCMAbOKdK3oznb&#10;YnMpTab125uB4OP9/t9i1ZtGXKhztWUF41EEgriwuuZSwf53PUxBOI+ssbFMCm7kYLV8GSww0/bK&#10;P3TZ+VKEEHYZKqi8bzMpXVGRQTeyLXHgTrYz6MPZlVJ3eA3hppHvUZRIgzWHhgpb+qyoOO/+jIK8&#10;aOj7kE8na6uxvh038dc2j5V6e+0/5iA89f4pfrg3OsyPkjRJ43Q2hf+fAgB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NPDzHAAAA4wAAAA8AAAAAAAAAAAAAAAAAmAIAAGRy&#10;cy9kb3ducmV2LnhtbFBLBQYAAAAABAAEAPUAAACMAwAAAAA=&#10;" fillcolor="#00b0f0" stroked="f" strokeweight="1pt">
                  <v:textbox inset="4.05pt,.71439mm,4.05pt,.71439mm">
                    <w:txbxContent>
                      <w:p w14:paraId="6DC39846" w14:textId="77777777" w:rsidR="00B06CBD" w:rsidRDefault="00B06CBD" w:rsidP="008A2D47">
                        <w:pPr>
                          <w:pStyle w:val="NormalWeb"/>
                          <w:spacing w:after="0"/>
                          <w:jc w:val="center"/>
                        </w:pPr>
                        <w:r>
                          <w:rPr>
                            <w:rFonts w:asciiTheme="minorHAnsi" w:hAnsi="Calibri" w:cstheme="minorBidi"/>
                            <w:b/>
                            <w:bCs/>
                            <w:color w:val="FFFFFF" w:themeColor="light1"/>
                            <w:kern w:val="24"/>
                            <w:sz w:val="28"/>
                            <w:szCs w:val="28"/>
                          </w:rPr>
                          <w:t>Methods</w:t>
                        </w:r>
                      </w:p>
                      <w:p w14:paraId="03B5993D" w14:textId="7E817679" w:rsidR="00B06CBD" w:rsidRPr="00573159" w:rsidRDefault="00B06CBD" w:rsidP="008A2D47">
                        <w:pPr>
                          <w:pStyle w:val="NormalWeb"/>
                          <w:spacing w:after="0"/>
                          <w:jc w:val="center"/>
                          <w:rPr>
                            <w:color w:val="0070AE" w:themeColor="accent2" w:themeTint="BF"/>
                          </w:rPr>
                        </w:pPr>
                        <w:r>
                          <w:rPr>
                            <w:rFonts w:asciiTheme="minorHAnsi" w:hAnsi="Calibri" w:cstheme="minorBidi"/>
                            <w:color w:val="FFFFFF" w:themeColor="light1"/>
                            <w:kern w:val="24"/>
                          </w:rPr>
                          <w:t>Developed by the Regulator (previously the Department), assessed and reviewed by the Emissions Reduction Assurance Committee, and approved by the Minister responsible for emissions reductions</w:t>
                        </w:r>
                      </w:p>
                    </w:txbxContent>
                  </v:textbox>
                </v:rect>
                <v:rect id="Rectangle 1068683896" o:spid="_x0000_s1030" style="position:absolute;top:13334;width:58064;height:8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S8cA&#10;AADjAAAADwAAAGRycy9kb3ducmV2LnhtbERPS2vCQBC+F/oflhF6qxubNsToKqUgCEXwieQ2ZMck&#10;mJ0N2a3Gf+8KBY/zvWc6700jLtS52rKC0TACQVxYXXOpYL9bvKcgnEfW2FgmBTdyMJ+9vkwx0/bK&#10;G7psfSlCCLsMFVTet5mUrqjIoBvaljhwJ9sZ9OHsSqk7vIZw08iPKEqkwZpDQ4Ut/VRUnLd/RkFe&#10;NLQ65F+fC6uxvh2X8e86j5V6G/TfExCeev8U/7uXOsyPkjRJ43ScwOOnAI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fokvHAAAA4wAAAA8AAAAAAAAAAAAAAAAAmAIAAGRy&#10;cy9kb3ducmV2LnhtbFBLBQYAAAAABAAEAPUAAACMAwAAAAA=&#10;" fillcolor="#00b0f0" stroked="f" strokeweight="1pt">
                  <v:textbox inset="4.05pt,.71439mm,4.05pt,.71439mm">
                    <w:txbxContent>
                      <w:p w14:paraId="68C46A89" w14:textId="0126E3D6" w:rsidR="00B06CBD" w:rsidRDefault="00B06CBD" w:rsidP="008A2D47">
                        <w:pPr>
                          <w:pStyle w:val="NormalWeb"/>
                          <w:spacing w:after="0"/>
                          <w:jc w:val="center"/>
                        </w:pPr>
                        <w:r>
                          <w:rPr>
                            <w:rFonts w:asciiTheme="minorHAnsi" w:hAnsi="Calibri" w:cstheme="minorBidi"/>
                            <w:b/>
                            <w:bCs/>
                            <w:color w:val="FFFFFF" w:themeColor="light1"/>
                            <w:kern w:val="24"/>
                            <w:sz w:val="28"/>
                            <w:szCs w:val="28"/>
                          </w:rPr>
                          <w:t>Project registration</w:t>
                        </w:r>
                      </w:p>
                      <w:p w14:paraId="5237FE82" w14:textId="77777777" w:rsidR="00B06CBD" w:rsidRDefault="00B06CBD" w:rsidP="008A2D47">
                        <w:pPr>
                          <w:pStyle w:val="NormalWeb"/>
                          <w:spacing w:after="0"/>
                          <w:jc w:val="center"/>
                        </w:pPr>
                        <w:r>
                          <w:rPr>
                            <w:rFonts w:asciiTheme="minorHAnsi" w:hAnsi="Calibri" w:cstheme="minorBidi"/>
                            <w:color w:val="FFFFFF" w:themeColor="light1"/>
                            <w:kern w:val="24"/>
                          </w:rPr>
                          <w:t xml:space="preserve">Participants register projects with the Regulator using an approved method. </w:t>
                        </w:r>
                      </w:p>
                      <w:p w14:paraId="492B9AEA" w14:textId="77777777" w:rsidR="00B06CBD" w:rsidRDefault="00B06CBD" w:rsidP="008A2D47">
                        <w:pPr>
                          <w:pStyle w:val="NormalWeb"/>
                          <w:spacing w:after="0"/>
                          <w:jc w:val="center"/>
                        </w:pPr>
                        <w:r>
                          <w:rPr>
                            <w:rFonts w:asciiTheme="minorHAnsi" w:hAnsi="Calibri" w:cstheme="minorBidi"/>
                            <w:color w:val="FFFFFF" w:themeColor="light1"/>
                            <w:kern w:val="24"/>
                          </w:rPr>
                          <w:t>This enables ACCUs to be credited and participation in auctions</w:t>
                        </w:r>
                      </w:p>
                    </w:txbxContent>
                  </v:textbox>
                </v:rect>
                <v:rect id="Rectangle 1068683897" o:spid="_x0000_s1031" style="position:absolute;left:40;top:24676;width:19704;height:26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rscA&#10;AADjAAAADwAAAGRycy9kb3ducmV2LnhtbERPzWrCQBC+F/oOyxR6040GY5q6SqwIFu2hWjwP2WkS&#10;zM6G7Krx7d2C0ON8/zNb9KYRF+pcbVnBaBiBIC6srrlU8HNYD1IQziNrbCyTghs5WMyfn2aYaXvl&#10;b7rsfSlCCLsMFVTet5mUrqjIoBvaljhwv7Yz6MPZlVJ3eA3hppHjKEqkwZpDQ4UtfVRUnPZno8Bv&#10;d3lzzCfx1/LzOMJ4tTpZOij1+tLn7yA89f5f/HBvdJgfJWmSxunbFP5+CgD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Zcq7HAAAA4wAAAA8AAAAAAAAAAAAAAAAAmAIAAGRy&#10;cy9kb3ducmV2LnhtbFBLBQYAAAAABAAEAPUAAACMAwAAAAA=&#10;" fillcolor="#2e75b6" stroked="f" strokeweight="1pt">
                  <v:textbox inset="4.05pt,.71439mm,4.05pt,.71439mm">
                    <w:txbxContent>
                      <w:p w14:paraId="28E2ED1C" w14:textId="77777777" w:rsidR="00B06CBD" w:rsidRDefault="00B06CBD" w:rsidP="008A2D47">
                        <w:pPr>
                          <w:pStyle w:val="NormalWeb"/>
                          <w:spacing w:after="0"/>
                          <w:jc w:val="center"/>
                        </w:pPr>
                        <w:r>
                          <w:rPr>
                            <w:rFonts w:asciiTheme="minorHAnsi" w:hAnsi="Calibri" w:cstheme="minorBidi"/>
                            <w:b/>
                            <w:bCs/>
                            <w:color w:val="FFFFFF" w:themeColor="light1"/>
                            <w:kern w:val="24"/>
                            <w:sz w:val="28"/>
                            <w:szCs w:val="28"/>
                          </w:rPr>
                          <w:t>Crediting ACCUs</w:t>
                        </w:r>
                      </w:p>
                      <w:p w14:paraId="24AF0671" w14:textId="77777777" w:rsidR="00B06CBD" w:rsidRDefault="00B06CBD" w:rsidP="008A2D47">
                        <w:pPr>
                          <w:pStyle w:val="NormalWeb"/>
                          <w:spacing w:after="0"/>
                          <w:jc w:val="center"/>
                        </w:pPr>
                        <w:r>
                          <w:rPr>
                            <w:rFonts w:asciiTheme="minorHAnsi" w:hAnsi="Calibri" w:cstheme="minorBidi"/>
                            <w:color w:val="FFFFFF" w:themeColor="light1"/>
                            <w:kern w:val="24"/>
                          </w:rPr>
                          <w:t>Registered projects are issued ACCUs for the carbon stored or avoided</w:t>
                        </w:r>
                      </w:p>
                    </w:txbxContent>
                  </v:textbox>
                </v:rect>
                <v:rect id="Rectangle 1068683898" o:spid="_x0000_s1032" style="position:absolute;left:21042;top:24713;width:37022;height:9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SlcoA&#10;AADjAAAADwAAAGRycy9kb3ducmV2LnhtbESPQU/DMAyF70j8h8hI3FgCSFUpyya0CgkxOLBx4Gg1&#10;pi0kTpWErfDr8QGJo/2e3/u8XM/BqwOlPEa2cLkwoIi76EbuLbzu7y9qULkgO/SRycI3ZVivTk+W&#10;2Lh45Bc67EqvJIRzgxaGUqZG69wNFDAv4kQs2ntMAYuMqdcu4VHCg9dXxlQ64MjSMOBEm4G6z91X&#10;sNA+ev9T3toU9qZ93k603Tx9JGvPz+a7W1CF5vJv/rt+cIJvqrqqr+sbgZafZAF6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XEpXKAAAA4wAAAA8AAAAAAAAAAAAAAAAAmAIA&#10;AGRycy9kb3ducmV2LnhtbFBLBQYAAAAABAAEAPUAAACPAwAAAAA=&#10;" fillcolor="#00b0f0" stroked="f" strokeweight="1pt">
                  <v:textbox>
                    <w:txbxContent>
                      <w:p w14:paraId="6996EA86" w14:textId="4BFF27E9" w:rsidR="00B06CBD" w:rsidRDefault="00B06CBD" w:rsidP="008A2D47">
                        <w:pPr>
                          <w:pStyle w:val="NormalWeb"/>
                          <w:spacing w:after="0"/>
                          <w:jc w:val="center"/>
                        </w:pPr>
                        <w:r>
                          <w:rPr>
                            <w:rFonts w:asciiTheme="minorHAnsi" w:hAnsi="Calibri" w:cstheme="minorBidi"/>
                            <w:b/>
                            <w:bCs/>
                            <w:color w:val="FFFFFF" w:themeColor="light1"/>
                            <w:kern w:val="24"/>
                            <w:sz w:val="28"/>
                            <w:szCs w:val="28"/>
                          </w:rPr>
                          <w:t>Auction participation</w:t>
                        </w:r>
                      </w:p>
                      <w:p w14:paraId="5DB00FD6" w14:textId="77777777" w:rsidR="00B06CBD" w:rsidRDefault="00B06CBD" w:rsidP="008A2D47">
                        <w:pPr>
                          <w:pStyle w:val="NormalWeb"/>
                          <w:spacing w:after="0"/>
                          <w:jc w:val="center"/>
                        </w:pPr>
                        <w:r>
                          <w:rPr>
                            <w:rFonts w:asciiTheme="minorHAnsi" w:hAnsi="Calibri" w:cstheme="minorBidi"/>
                            <w:color w:val="FFFFFF" w:themeColor="light1"/>
                            <w:kern w:val="24"/>
                          </w:rPr>
                          <w:t>ACCUs already earned and/or expected to be earned from registered projects are offered for sale to the Regulator</w:t>
                        </w:r>
                      </w:p>
                    </w:txbxContent>
                  </v:textbox>
                </v:rect>
                <v:shapetype id="_x0000_t116" coordsize="21600,21600" o:spt="116" path="m3475,qx,10800,3475,21600l18125,21600qx21600,10800,18125,xe">
                  <v:stroke joinstyle="miter"/>
                  <v:path gradientshapeok="t" o:connecttype="rect" textboxrect="1018,3163,20582,18437"/>
                </v:shapetype>
                <v:shape id="Flowchart: Terminator 1068683899" o:spid="_x0000_s1033" type="#_x0000_t116" style="position:absolute;left:25826;top:36994;width:27506;height:4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m+MgA&#10;AADjAAAADwAAAGRycy9kb3ducmV2LnhtbERPzWrCQBC+C32HZQredNMIIaauIkpF6KkaYo/T7DQJ&#10;zc6G7NakPn23UPA43/+sNqNpxZV611hW8DSPQBCXVjdcKcjPL7MUhPPIGlvLpOCHHGzWD5MVZtoO&#10;/EbXk69ECGGXoYLa+y6T0pU1GXRz2xEH7tP2Bn04+0rqHocQbloZR1EiDTYcGmrsaFdT+XX6Ngpu&#10;8Wv8rodLnpu8aD72N1dsD6VS08dx+wzC0+jv4n/3UYf5UZIm6SJdLuHvpwC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Q2b4yAAAAOMAAAAPAAAAAAAAAAAAAAAAAJgCAABk&#10;cnMvZG93bnJldi54bWxQSwUGAAAAAAQABAD1AAAAjQMAAAAA&#10;" fillcolor="#00b0f0" stroked="f" strokeweight="1pt">
                  <v:textbox>
                    <w:txbxContent>
                      <w:p w14:paraId="465C79EE" w14:textId="77777777" w:rsidR="00B06CBD" w:rsidRDefault="00B06CBD" w:rsidP="008A2D47">
                        <w:pPr>
                          <w:pStyle w:val="NormalWeb"/>
                          <w:spacing w:after="0"/>
                          <w:jc w:val="center"/>
                        </w:pPr>
                        <w:r>
                          <w:rPr>
                            <w:rFonts w:asciiTheme="minorHAnsi" w:hAnsi="Calibri" w:cstheme="minorBidi"/>
                            <w:color w:val="FFFFFF" w:themeColor="light1"/>
                            <w:kern w:val="24"/>
                            <w:sz w:val="28"/>
                            <w:szCs w:val="28"/>
                          </w:rPr>
                          <w:t>Success at auction</w:t>
                        </w:r>
                      </w:p>
                    </w:txbxContent>
                  </v:textbox>
                </v:shape>
                <v:roundrect id="Rounded Rectangle 1068683900" o:spid="_x0000_s1034" style="position:absolute;left:11106;top:46033;width:5427;height:40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n8sA&#10;AADjAAAADwAAAGRycy9kb3ducmV2LnhtbESPQUvDQBCF74L/YRnBm93VShrTbosIgiAIbUV7HLLT&#10;JDQ7G3a3Tfz3zkHwODNv3nvfajP5Xl0opi6whfuZAUVcB9dxY+Fz/3pXgkoZ2WEfmCz8UILN+vpq&#10;hZULI2/pssuNEhNOFVpocx4qrVPdksc0CwOx3I4heswyxka7iKOY+14/GFNojx1LQosDvbRUn3Zn&#10;b6FZbL/LMD+c3x8X9eHDDePXKY7W3t5Mz0tQmab8L/77fnNS3xRlUc6fjFAIkyxAr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47yfywAAAOMAAAAPAAAAAAAAAAAAAAAAAJgC&#10;AABkcnMvZG93bnJldi54bWxQSwUGAAAAAAQABAD1AAAAkAMAAAAA&#10;" fillcolor="#00b0f0" stroked="f" strokeweight="1pt">
                  <v:stroke joinstyle="miter"/>
                  <v:textbox>
                    <w:txbxContent>
                      <w:p w14:paraId="64BE7C98" w14:textId="77777777" w:rsidR="00B06CBD" w:rsidRDefault="00B06CBD" w:rsidP="008A2D47">
                        <w:pPr>
                          <w:pStyle w:val="NormalWeb"/>
                          <w:spacing w:after="0"/>
                          <w:jc w:val="center"/>
                        </w:pPr>
                        <w:r>
                          <w:rPr>
                            <w:rFonts w:asciiTheme="minorHAnsi" w:hAnsi="Calibri" w:cstheme="minorBidi"/>
                            <w:color w:val="FFFFFF" w:themeColor="light1"/>
                            <w:kern w:val="24"/>
                            <w:sz w:val="28"/>
                            <w:szCs w:val="28"/>
                          </w:rPr>
                          <w:t>No</w:t>
                        </w:r>
                      </w:p>
                    </w:txbxContent>
                  </v:textbox>
                </v:roundrect>
                <v:roundrect id="Rounded Rectangle 1068683901" o:spid="_x0000_s1035" style="position:absolute;left:36903;top:46033;width:5427;height:40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8ZBMgA&#10;AADjAAAADwAAAGRycy9kb3ducmV2LnhtbERP3WvCMBB/H/g/hBN8m4lz1K4zigyEwWDgB5uPR3O2&#10;xeZSkmi7/34ZDHy83/ct14NtxY18aBxrmE0VCOLSmYYrDcfD9jEHESKywdYxafihAOvV6GGJhXE9&#10;7+i2j5VIIRwK1FDH2BVShrImi2HqOuLEnZ23GNPpK2k89inctvJJqUxabDg11NjRW03lZX+1GqrF&#10;7jt389P143lRnj5N139dfK/1ZDxsXkFEGuJd/O9+N2m+yvIsn7+oGfz9lAC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xkEyAAAAOMAAAAPAAAAAAAAAAAAAAAAAJgCAABk&#10;cnMvZG93bnJldi54bWxQSwUGAAAAAAQABAD1AAAAjQMAAAAA&#10;" fillcolor="#00b0f0" stroked="f" strokeweight="1pt">
                  <v:stroke joinstyle="miter"/>
                  <v:textbox>
                    <w:txbxContent>
                      <w:p w14:paraId="7ABECAF3" w14:textId="77777777" w:rsidR="00B06CBD" w:rsidRDefault="00B06CBD" w:rsidP="008A2D47">
                        <w:pPr>
                          <w:pStyle w:val="NormalWeb"/>
                          <w:spacing w:after="0"/>
                          <w:jc w:val="center"/>
                        </w:pPr>
                        <w:r>
                          <w:rPr>
                            <w:rFonts w:asciiTheme="minorHAnsi" w:hAnsi="Calibri" w:cstheme="minorBidi"/>
                            <w:color w:val="FFFFFF" w:themeColor="light1"/>
                            <w:kern w:val="24"/>
                            <w:sz w:val="28"/>
                            <w:szCs w:val="28"/>
                          </w:rPr>
                          <w:t>Yes</w:t>
                        </w:r>
                      </w:p>
                    </w:txbxContent>
                  </v:textbox>
                </v:roundrect>
                <v:rect id="Rectangle 1068683902" o:spid="_x0000_s1036" style="position:absolute;left:5837;top:53530;width:15965;height:7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VDscA&#10;AADjAAAADwAAAGRycy9kb3ducmV2LnhtbERPX2vCMBB/H+w7hBN8GZpMR2mrUYYw9G3TKfh4NGdb&#10;bS6lidp9+2Ug7PF+/2++7G0jbtT52rGG17ECQVw4U3OpYf/9MUpB+IBssHFMGn7Iw3Lx/DTH3Lg7&#10;b+m2C6WIIexz1FCF0OZS+qIii37sWuLInVxnMcSzK6Xp8B7DbSMnSiXSYs2xocKWVhUVl93Variu&#10;snXxlvH2fPBfdfmyP37aw1Hr4aB/n4EI1Id/8cO9MXG+StIknWZqAn8/R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PFQ7HAAAA4wAAAA8AAAAAAAAAAAAAAAAAmAIAAGRy&#10;cy9kb3ducmV2LnhtbFBLBQYAAAAABAAEAPUAAACMAwAAAAA=&#10;" fillcolor="#8ec152" strokecolor="#41719c" strokeweight="1pt">
                  <v:textbox>
                    <w:txbxContent>
                      <w:p w14:paraId="047CD686" w14:textId="77777777" w:rsidR="00B06CBD" w:rsidRDefault="00B06CBD" w:rsidP="008A2D47">
                        <w:pPr>
                          <w:pStyle w:val="NormalWeb"/>
                          <w:spacing w:after="0"/>
                          <w:jc w:val="center"/>
                        </w:pPr>
                        <w:r>
                          <w:rPr>
                            <w:rFonts w:asciiTheme="minorHAnsi" w:hAnsi="Calibri" w:cstheme="minorBidi"/>
                            <w:color w:val="FFFFFF" w:themeColor="light1"/>
                            <w:kern w:val="24"/>
                            <w:sz w:val="28"/>
                            <w:szCs w:val="28"/>
                          </w:rPr>
                          <w:t>Uncontracted ACCUs</w:t>
                        </w:r>
                      </w:p>
                    </w:txbxContent>
                  </v:textbox>
                </v:rect>
                <v:rect id="Rectangle 1068683903" o:spid="_x0000_s1037" style="position:absolute;left:31669;top:53530;width:15965;height:7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wlcgA&#10;AADjAAAADwAAAGRycy9kb3ducmV2LnhtbERPS2vCQBC+F/oflin0UnTXKiGJrlIEaW8+quBxyI5J&#10;bHY2ZFdN/31XEHqc7z2zRW8bcaXO1441jIYKBHHhTM2lhv33apCC8AHZYOOYNPySh8X8+WmGuXE3&#10;3tJ1F0oRQ9jnqKEKoc2l9EVFFv3QtcSRO7nOYohnV0rT4S2G20a+K5VIizXHhgpbWlZU/OwuVsNl&#10;mX0Wk4y354Pf1OXb/ri2h6PWry/9xxREoD78ix/uLxPnqyRN0nGmxnD/KQI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7CVyAAAAOMAAAAPAAAAAAAAAAAAAAAAAJgCAABk&#10;cnMvZG93bnJldi54bWxQSwUGAAAAAAQABAD1AAAAjQMAAAAA&#10;" fillcolor="#8ec152" strokecolor="#41719c" strokeweight="1pt">
                  <v:textbox>
                    <w:txbxContent>
                      <w:p w14:paraId="443E8B1A" w14:textId="77777777" w:rsidR="00B06CBD" w:rsidRDefault="00B06CBD" w:rsidP="008A2D47">
                        <w:pPr>
                          <w:pStyle w:val="NormalWeb"/>
                          <w:spacing w:after="0"/>
                          <w:jc w:val="center"/>
                        </w:pPr>
                        <w:r>
                          <w:rPr>
                            <w:rFonts w:asciiTheme="minorHAnsi" w:hAnsi="Calibri" w:cstheme="minorBidi"/>
                            <w:color w:val="FFFFFF" w:themeColor="light1"/>
                            <w:kern w:val="24"/>
                            <w:sz w:val="28"/>
                            <w:szCs w:val="28"/>
                          </w:rPr>
                          <w:t>ACCUs contracted to the Regulator</w:t>
                        </w:r>
                      </w:p>
                    </w:txbxContent>
                  </v:textbox>
                </v:rect>
                <v:rect id="Rectangle 1068683904" o:spid="_x0000_s1038" style="position:absolute;left:30396;top:78257;width:22936;height:8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isgA&#10;AADjAAAADwAAAGRycy9kb3ducmV2LnhtbERPS0sDMRC+C/0PYQRvNvHBsm6bltJFEKsHWw8eh810&#10;dzWZLElst/31RhA8zvee+XJ0VhwoxN6zhpupAkHceNNzq+F993hdgogJ2aD1TBpOFGG5mFzMsTL+&#10;yG902KZW5BCOFWroUhoqKWPTkcM49QNx5vY+OEz5DK00AY853Fl5q1QhHfacGzocaN1R87X9dhrq&#10;Z2vP6aMObqfq181Am/XLZ9D66nJczUAkGtO/+M/9ZPJ8VZRFefeg7uH3pwy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YKKyAAAAOMAAAAPAAAAAAAAAAAAAAAAAJgCAABk&#10;cnMvZG93bnJldi54bWxQSwUGAAAAAAQABAD1AAAAjQMAAAAA&#10;" fillcolor="#00b0f0" stroked="f" strokeweight="1pt">
                  <v:textbox>
                    <w:txbxContent>
                      <w:p w14:paraId="2E6B35AB" w14:textId="77777777" w:rsidR="00B06CBD" w:rsidRDefault="00B06CBD" w:rsidP="008A2D47">
                        <w:pPr>
                          <w:pStyle w:val="NormalWeb"/>
                          <w:spacing w:after="0"/>
                          <w:jc w:val="center"/>
                        </w:pPr>
                        <w:r>
                          <w:rPr>
                            <w:rFonts w:asciiTheme="minorHAnsi" w:hAnsi="Calibri" w:cstheme="minorBidi"/>
                            <w:color w:val="FFFFFF" w:themeColor="light1"/>
                            <w:kern w:val="24"/>
                          </w:rPr>
                          <w:t>ACCUs purchased by the Regulator</w:t>
                        </w:r>
                      </w:p>
                    </w:txbxContent>
                  </v:textbox>
                </v:rect>
                <v:shapetype id="_x0000_t32" coordsize="21600,21600" o:spt="32" o:oned="t" path="m,l21600,21600e" filled="f">
                  <v:path arrowok="t" fillok="f" o:connecttype="none"/>
                  <o:lock v:ext="edit" shapetype="t"/>
                </v:shapetype>
                <v:shape id="Straight Arrow Connector 1068683905" o:spid="_x0000_s1039" type="#_x0000_t32" style="position:absolute;left:29032;top:10120;width:0;height:32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GpjcgAAADjAAAADwAAAGRycy9kb3ducmV2LnhtbERP3WvCMBB/H+x/CDfwbSabWGo1yhg6&#10;xgbC/Hg/mrOtNpfaRNvtr1+EwR7v932zRW9rcaXWV441PA0VCOLcmYoLDbvt6jEF4QOywdoxafgm&#10;D4v5/d0MM+M6/qLrJhQihrDPUEMZQpNJ6fOSLPqha4gjd3CtxRDPtpCmxS6G21o+K5VIixXHhhIb&#10;ei0pP20uVoNU63O3/zifqvHq+HZcO/P5szRaDx76lymIQH34F/+5302cr5I0SUcTNYbbTxEA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0GpjcgAAADjAAAADwAAAAAA&#10;AAAAAAAAAAChAgAAZHJzL2Rvd25yZXYueG1sUEsFBgAAAAAEAAQA+QAAAJYDAAAAAA==&#10;" strokecolor="#00206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68683906" o:spid="_x0000_s1040" type="#_x0000_t34" style="position:absolute;left:32686;top:17845;width:3214;height:105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REf8YAAADjAAAADwAAAGRycy9kb3ducmV2LnhtbERP3WvCMBB/H+x/CDfY20ycEGo1igwE&#10;hU2Yn69Hc7bF5lKaTLv/fhEGPt7v+6bz3jXiSl2oPRsYDhQI4sLbmksD+93yLQMRIrLFxjMZ+KUA&#10;89nz0xRz62/8TddtLEUK4ZCjgSrGNpcyFBU5DAPfEifu7DuHMZ1dKW2HtxTuGvmulJYOa04NFbb0&#10;UVFx2f44Awtc2cPXSeuLlp/7jV+PjuvlyZjXl34xARGpjw/xv3tl03ylM52NxkrD/acE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kRH/GAAAA4wAAAA8AAAAAAAAA&#10;AAAAAAAAoQIAAGRycy9kb3ducmV2LnhtbFBLBQYAAAAABAAEAPkAAACUAwAAAAA=&#10;" strokecolor="#002060" strokeweight=".5pt">
                  <v:stroke endarrow="block"/>
                </v:shape>
                <v:shape id="Elbow Connector 1068683907" o:spid="_x0000_s1041" type="#_x0000_t34" style="position:absolute;left:17873;top:13518;width:3177;height:1914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2V8YAAADjAAAADwAAAGRycy9kb3ducmV2LnhtbERPX0vDMBB/F/wO4QRfxCU6iLUuGyoK&#10;+rhWttejOdtic6lNXKOf3ggDH+/3/1ab5AZxoCn0ng1cLRQI4sbbnlsDb/XzZQEiRGSLg2cy8E0B&#10;NuvTkxWW1s+8pUMVW5FDOJRooItxLKUMTUcOw8KPxJl795PDmM+plXbCOYe7QV4rpaXDnnNDhyM9&#10;dtR8VF/OAH7qebm7oH6/TU8Pr+lHV3WtjTk/S/d3ICKl+C8+ul9snq90oYvlrbqBv58yAH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ndlfGAAAA4wAAAA8AAAAAAAAA&#10;AAAAAAAAoQIAAGRycy9kb3ducmV2LnhtbFBLBQYAAAAABAAEAPkAAACUAwAAAAA=&#10;" strokecolor="#002060" strokeweight=".5pt">
                  <v:stroke endarrow="block"/>
                </v:shape>
                <v:shape id="Straight Arrow Connector 1068683908" o:spid="_x0000_s1042" type="#_x0000_t32" style="position:absolute;left:39553;top:34690;width:26;height:2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IB7QssAAADjAAAADwAA&#10;AAAAAAAAAAAAAAChAgAAZHJzL2Rvd25yZXYueG1sUEsFBgAAAAAEAAQA+QAAAJkDAAAAAA==&#10;" strokecolor="#002060" strokeweight=".5pt">
                  <v:stroke endarrow="block" joinstyle="miter"/>
                </v:shape>
                <v:shape id="Elbow Connector 1068683909" o:spid="_x0000_s1043" type="#_x0000_t34" style="position:absolute;left:24600;top:31054;width:4199;height:257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RHvsYAAADjAAAADwAAAGRycy9kb3ducmV2LnhtbERPX0vDMBB/F/wO4QRfxCU6CF23bKgo&#10;6ONaca9Hc7bF5lKbuEY/vREGPt7v/212yQ3iSFPoPRu4WSgQxI23PbcGXuun6wJEiMgWB89k4JsC&#10;7LbnZxssrZ95T8cqtiKHcCjRQBfjWEoZmo4choUfiTP37ieHMZ9TK+2Ecw53g7xVSkuHPeeGDkd6&#10;6Kj5qL6cAfzU8/LtivrDPj3ev6QfXdW1NubyIt2tQURK8V98cj/bPF/pQhfLlVrB308ZAL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0R77GAAAA4wAAAA8AAAAAAAAA&#10;AAAAAAAAoQIAAGRycy9kb3ducmV2LnhtbFBLBQYAAAAABAAEAPkAAACUAwAAAAA=&#10;" strokecolor="#002060" strokeweight=".5pt">
                  <v:stroke endarrow="block"/>
                </v:shape>
                <v:shape id="Straight Arrow Connector 1068683910" o:spid="_x0000_s1044" type="#_x0000_t32" style="position:absolute;left:39616;top:50058;width:35;height:3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y/hmcsAAADjAAAADwAA&#10;AAAAAAAAAAAAAAChAgAAZHJzL2Rvd25yZXYueG1sUEsFBgAAAAAEAAQA+QAAAJkDAAAAAA==&#10;" strokecolor="#002060" strokeweight=".5pt">
                  <v:stroke endarrow="block" joinstyle="miter"/>
                </v:shape>
                <v:shape id="Straight Arrow Connector 1068683911" o:spid="_x0000_s1045" type="#_x0000_t32" style="position:absolute;left:13820;top:50058;width:0;height:3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EAscAAADjAAAADwAAAGRycy9kb3ducmV2LnhtbERPzWrCQBC+F/oOyxS81U2ihDR1lVYU&#10;hZ7UCh6H7JiEZmdDdjXx7V2h4HG+/5ktBtOIK3WutqwgHkcgiAuray4V/B7W7xkI55E1NpZJwY0c&#10;LOavLzPMte15R9e9L0UIYZejgsr7NpfSFRUZdGPbEgfubDuDPpxdKXWHfQg3jUyiKJUGaw4NFba0&#10;rKj421+Mgv68mWyS753ktZ5eksOPWZ2ORqnR2/D1CcLT4J/if/dWh/lRmqXZ5COO4fFTAE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Y0QCxwAAAOMAAAAPAAAAAAAA&#10;AAAAAAAAAKECAABkcnMvZG93bnJldi54bWxQSwUGAAAAAAQABAD5AAAAlQMAAAAA&#10;" strokecolor="#002060" strokeweight=".5pt">
                  <v:stroke endarrow="block" joinstyle="miter"/>
                </v:shape>
                <v:rect id="Rectangle 1068683912" o:spid="_x0000_s1046" style="position:absolute;left:2443;top:66686;width:22937;height:8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0puMgA&#10;AADjAAAADwAAAGRycy9kb3ducmV2LnhtbERPzUoDMRC+C75DGMGbTVphWdempXQpiNVDWw8eh824&#10;uzaZLEnarj69EQSP8/3PfDk6K84UYu9Zw3SiQBA33vTcang7bO5KEDEhG7SeScMXRVgurq/mWBl/&#10;4R2d96kVOYRjhRq6lIZKyth05DBO/ECcuQ8fHKZ8hlaagJcc7qycKVVIhz3nhg4HWnfUHPcnp6F+&#10;tvY7vdfBHVT9uh1ou375DFrf3oyrRxCJxvQv/nM/mTxfFWVR3j9MZ/D7UwZ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Sm4yAAAAOMAAAAPAAAAAAAAAAAAAAAAAJgCAABk&#10;cnMvZG93bnJldi54bWxQSwUGAAAAAAQABAD1AAAAjQMAAAAA&#10;" fillcolor="#00b0f0" stroked="f" strokeweight="1pt">
                  <v:textbox>
                    <w:txbxContent>
                      <w:p w14:paraId="61F6B710" w14:textId="77777777" w:rsidR="00B06CBD" w:rsidRDefault="00B06CBD" w:rsidP="008A2D47">
                        <w:pPr>
                          <w:pStyle w:val="NormalWeb"/>
                          <w:spacing w:after="0"/>
                          <w:jc w:val="center"/>
                        </w:pPr>
                        <w:r>
                          <w:rPr>
                            <w:rFonts w:asciiTheme="minorHAnsi" w:hAnsi="Calibri" w:cstheme="minorBidi"/>
                            <w:color w:val="FFFFFF" w:themeColor="light1"/>
                            <w:kern w:val="24"/>
                          </w:rPr>
                          <w:t>ACCUs available for purchase by other parties, voluntarily cancelled for carbon offsets</w:t>
                        </w:r>
                      </w:p>
                    </w:txbxContent>
                  </v:textbox>
                </v:rect>
                <v:shape id="Straight Arrow Connector 1068683913" o:spid="_x0000_s1047" type="#_x0000_t32" style="position:absolute;left:39579;top:41834;width:37;height:4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7scAAADjAAAADwAAAGRycy9kb3ducmV2LnhtbERPzWrCQBC+F/oOyxS81Y2JhDR1lVYU&#10;hZ7UCh6H7JiEZmdDdjXx7V2h4HG+/5ktBtOIK3WutqxgMo5AEBdW11wq+D2s3zMQziNrbCyTghs5&#10;WMxfX2aYa9vzjq57X4oQwi5HBZX3bS6lKyoy6Ma2JQ7c2XYGfTi7UuoO+xBuGhlHUSoN1hwaKmxp&#10;WVHxt78YBf15k2zi753ktZ5e4sOPWZ2ORqnR2/D1CcLT4J/if/dWh/lRmqVZ8jFJ4PFTAE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uxwAAAOMAAAAPAAAAAAAA&#10;AAAAAAAAAKECAABkcnMvZG93bnJldi54bWxQSwUGAAAAAAQABAD5AAAAlQMAAAAA&#10;" strokecolor="#002060" strokeweight=".5pt">
                  <v:stroke endarrow="block" joinstyle="miter"/>
                </v:shape>
                <v:shape id="Straight Arrow Connector 1068683914" o:spid="_x0000_s1048" type="#_x0000_t32" style="position:absolute;left:13820;top:60862;width:92;height:5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nmscAAADjAAAADwAAAGRycy9kb3ducmV2LnhtbERPzWrCQBC+C77DMoI33RglxNRVbFEU&#10;elIr9DhkxySYnQ3Z1aRv3xUKPc73P6tNb2rxpNZVlhXMphEI4tzqigsFX5f9JAXhPLLG2jIp+CEH&#10;m/VwsMJM245P9Dz7QoQQdhkqKL1vMildXpJBN7UNceButjXow9kWUrfYhXBTyziKEmmw4tBQYkMf&#10;JeX388Mo6G6H+SF+P0ne68Ujvnya3ffVKDUe9ds3EJ56/y/+cx91mB8laZLOl7MFvH4KAM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FOeaxwAAAOMAAAAPAAAAAAAA&#10;AAAAAAAAAKECAABkcnMvZG93bnJldi54bWxQSwUGAAAAAAQABAD5AAAAlQMAAAAA&#10;" strokecolor="#002060" strokeweight=".5pt">
                  <v:stroke endarrow="block" joinstyle="miter"/>
                </v:shape>
                <v:rect id="Rectangle 1068683915" o:spid="_x0000_s1049" style="position:absolute;left:30012;top:66996;width:9639;height:8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xzMgA&#10;AADjAAAADwAAAGRycy9kb3ducmV2LnhtbERPzUoDMRC+C32HMII3m1RxWdempXQRxNpDWw8eh824&#10;u5pMliS2q09vBKHH+f5nvhydFUcKsfesYTZVIIgbb3puNbweHq9LEDEhG7SeScM3RVguJhdzrIw/&#10;8Y6O+9SKHMKxQg1dSkMlZWw6chinfiDO3LsPDlM+QytNwFMOd1beKFVIhz3nhg4HWnfUfO6/nIb6&#10;2dqf9FYHd1D1djPQZv3yEbS+uhxXDyASjeks/nc/mTxfFWVR3t7P7uDvpwy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LHMyAAAAOMAAAAPAAAAAAAAAAAAAAAAAJgCAABk&#10;cnMvZG93bnJldi54bWxQSwUGAAAAAAQABAD1AAAAjQMAAAAA&#10;" fillcolor="#00b0f0" stroked="f" strokeweight="1pt">
                  <v:textbox>
                    <w:txbxContent>
                      <w:p w14:paraId="50D9C7C3" w14:textId="582486E8" w:rsidR="00B06CBD" w:rsidRDefault="00B06CBD" w:rsidP="008A2D47">
                        <w:pPr>
                          <w:pStyle w:val="NormalWeb"/>
                          <w:spacing w:after="0"/>
                          <w:jc w:val="center"/>
                        </w:pPr>
                        <w:r>
                          <w:rPr>
                            <w:rFonts w:asciiTheme="minorHAnsi" w:hAnsi="Calibri" w:cstheme="minorBidi"/>
                            <w:color w:val="FFFFFF" w:themeColor="light1"/>
                            <w:kern w:val="24"/>
                            <w:sz w:val="28"/>
                            <w:szCs w:val="28"/>
                          </w:rPr>
                          <w:t>Optional delivery contract</w:t>
                        </w:r>
                      </w:p>
                    </w:txbxContent>
                  </v:textbox>
                </v:rect>
                <v:rect id="Rectangle 1068683916" o:spid="_x0000_s1050" style="position:absolute;left:44283;top:66686;width:9640;height:8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vu8gA&#10;AADjAAAADwAAAGRycy9kb3ducmV2LnhtbERPzUoDMRC+C32HMAVvNmmFZd02LaWLIFYPth48Dpvp&#10;7moyWZLYrj69EQSP8/3PajM6K84UYu9Zw3ymQBA33vTcang93t+UIGJCNmg9k4YvirBZT65WWBl/&#10;4Rc6H1IrcgjHCjV0KQ2VlLHpyGGc+YE4cycfHKZ8hlaagJcc7qxcKFVIhz3nhg4H2nXUfBw+nYb6&#10;0drv9FYHd1T1836g/e7pPWh9PR23SxCJxvQv/nM/mDxfFWVR3t7NC/j9KQM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ti+7yAAAAOMAAAAPAAAAAAAAAAAAAAAAAJgCAABk&#10;cnMvZG93bnJldi54bWxQSwUGAAAAAAQABAD1AAAAjQMAAAAA&#10;" fillcolor="#00b0f0" stroked="f" strokeweight="1pt">
                  <v:textbox>
                    <w:txbxContent>
                      <w:p w14:paraId="4DD173B5" w14:textId="253464ED" w:rsidR="00B06CBD" w:rsidRDefault="00B06CBD" w:rsidP="008A2D47">
                        <w:pPr>
                          <w:pStyle w:val="NormalWeb"/>
                          <w:spacing w:after="0"/>
                          <w:jc w:val="center"/>
                        </w:pPr>
                        <w:r>
                          <w:rPr>
                            <w:rFonts w:asciiTheme="minorHAnsi" w:hAnsi="Calibri" w:cstheme="minorBidi"/>
                            <w:color w:val="FFFFFF" w:themeColor="light1"/>
                            <w:kern w:val="24"/>
                            <w:sz w:val="28"/>
                            <w:szCs w:val="28"/>
                          </w:rPr>
                          <w:t>Fixed delivery contract</w:t>
                        </w:r>
                      </w:p>
                    </w:txbxContent>
                  </v:textbox>
                </v:rect>
                <v:shape id="Straight Arrow Connector 1068683917" o:spid="_x0000_s1051" type="#_x0000_t32" style="position:absolute;left:45980;top:60890;width:92;height:5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Z57ccAAADjAAAADwAAAGRycy9kb3ducmV2LnhtbERPzWrCQBC+F3yHZQRvdWMsaRpdxRbF&#10;gie1BY9DdkyC2dmQXU369q5Q8Djf/8yXvanFjVpXWVYwGUcgiHOrKy4U/Bw3rykI55E11pZJwR85&#10;WC4GL3PMtO14T7eDL0QIYZehgtL7JpPS5SUZdGPbEAfubFuDPpxtIXWLXQg3tYyjKJEGKw4NJTb0&#10;VVJ+OVyNgu68nW7jz73kjX67xsedWZ9+jVKjYb+agfDU+6f43/2tw/woSZN0+jF5h8dPAQC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xnntxwAAAOMAAAAPAAAAAAAA&#10;AAAAAAAAAKECAABkcnMvZG93bnJldi54bWxQSwUGAAAAAAQABAD5AAAAlQMAAAAA&#10;" strokecolor="#002060" strokeweight=".5pt">
                  <v:stroke endarrow="block" joinstyle="miter"/>
                </v:shape>
                <v:shape id="Straight Arrow Connector 1068683918" o:spid="_x0000_s1052" type="#_x0000_t32" style="position:absolute;left:32723;top:61222;width:92;height:5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Vntn8sAAADjAAAADwAA&#10;AAAAAAAAAAAAAAChAgAAZHJzL2Rvd25yZXYueG1sUEsFBgAAAAAEAAQA+QAAAJkDAAAAAA==&#10;" strokecolor="#002060" strokeweight=".5pt">
                  <v:stroke endarrow="block" joinstyle="miter"/>
                </v:shape>
                <v:shape id="Straight Arrow Connector 1068683919" o:spid="_x0000_s1053" type="#_x0000_t32" style="position:absolute;left:32632;top:75393;width:91;height:2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VIBMcAAADjAAAADwAAAGRycy9kb3ducmV2LnhtbERPzWrCQBC+F3yHZQRvdWOUEFNXUVEU&#10;elJb6HHIjklodjZkVxPf3hUKPc73P4tVb2pxp9ZVlhVMxhEI4tzqigsFX5f9ewrCeWSNtWVS8CAH&#10;q+XgbYGZth2f6H72hQgh7DJUUHrfZFK6vCSDbmwb4sBdbWvQh7MtpG6xC+GmlnEUJdJgxaGhxIa2&#10;JeW/55tR0F0P00O8OUne69ktvnya3c+3UWo07NcfIDz1/l/85z7qMD9K0iSdzidzeP0UAJDL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FUgExwAAAOMAAAAPAAAAAAAA&#10;AAAAAAAAAKECAABkcnMvZG93bnJldi54bWxQSwUGAAAAAAQABAD5AAAAlQMAAAAA&#10;" strokecolor="#002060" strokeweight=".5pt">
                  <v:stroke endarrow="block" joinstyle="miter"/>
                </v:shape>
                <v:shape id="Straight Arrow Connector 1068683920" o:spid="_x0000_s1054" type="#_x0000_t32" style="position:absolute;left:46072;top:75084;width:92;height:2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UMrJMsAAADjAAAADwAA&#10;AAAAAAAAAAAAAAChAgAAZHJzL2Rvd25yZXYueG1sUEsFBgAAAAAEAAQA+QAAAJkDAAAAAA==&#10;" strokecolor="#002060" strokeweight=".5pt">
                  <v:stroke endarrow="block" joinstyle="miter"/>
                </v:shape>
                <v:shape id="Straight Arrow Connector 1068683921" o:spid="_x0000_s1055" type="#_x0000_t32" style="position:absolute;left:25826;top:71194;width:41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z7sgAAADjAAAADwAAAGRycy9kb3ducmV2LnhtbERP3WvCMBB/H+x/CDfY20x0rNRqlCE6&#10;xgaCX+9Hc2urzaU2me38681gsMf7fd903ttaXKj1lWMNw4ECQZw7U3GhYb9bPaUgfEA2WDsmDT/k&#10;YT67v5tiZlzHG7psQyFiCPsMNZQhNJmUPi/Joh+4hjhyX661GOLZFtK02MVwW8uRUom0WHFsKLGh&#10;RUn5afttNUi1PneHj/Opelkd345rZz6vS6P140P/OgERqA//4j/3u4nzVZIm6fN4NITfnyIAc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8/z7sgAAADjAAAADwAAAAAA&#10;AAAAAAAAAAChAgAAZHJzL2Rvd25yZXYueG1sUEsFBgAAAAAEAAQA+QAAAJYDAAAAAA==&#10;" strokecolor="#002060" strokeweight=".5pt">
                  <v:stroke endarrow="block" joinstyle="miter"/>
                </v:shape>
              </v:group>
            </w:pict>
          </mc:Fallback>
        </mc:AlternateContent>
      </w:r>
    </w:p>
    <w:p w14:paraId="2C8DAC8C" w14:textId="41BF62D8" w:rsidR="00BA7953" w:rsidRDefault="00BA7953">
      <w:pPr>
        <w:spacing w:line="259" w:lineRule="auto"/>
      </w:pPr>
      <w:r>
        <w:br w:type="page"/>
      </w:r>
    </w:p>
    <w:p w14:paraId="27D6D972" w14:textId="497B3AB4" w:rsidR="00573159" w:rsidRPr="00322782" w:rsidRDefault="0065452C" w:rsidP="00322782">
      <w:pPr>
        <w:pStyle w:val="Heading1"/>
        <w:ind w:left="0" w:firstLine="0"/>
        <w:rPr>
          <w:color w:val="0070AE" w:themeColor="accent2" w:themeTint="BF"/>
        </w:rPr>
      </w:pPr>
      <w:bookmarkStart w:id="1152" w:name="_Toc48996303"/>
      <w:bookmarkStart w:id="1153" w:name="_Toc49350825"/>
      <w:bookmarkStart w:id="1154" w:name="_Toc49352805"/>
      <w:bookmarkStart w:id="1155" w:name="_Toc49354181"/>
      <w:bookmarkStart w:id="1156" w:name="_Toc49355507"/>
      <w:bookmarkStart w:id="1157" w:name="_Toc49429265"/>
      <w:bookmarkStart w:id="1158" w:name="_Toc49434022"/>
      <w:bookmarkStart w:id="1159" w:name="_Toc49441015"/>
      <w:bookmarkStart w:id="1160" w:name="_Toc49441205"/>
      <w:bookmarkStart w:id="1161" w:name="_Toc49442208"/>
      <w:bookmarkStart w:id="1162" w:name="_Toc49508937"/>
      <w:bookmarkStart w:id="1163" w:name="_Toc49519747"/>
      <w:bookmarkStart w:id="1164" w:name="_Toc49521465"/>
      <w:bookmarkStart w:id="1165" w:name="_Toc49524537"/>
      <w:bookmarkStart w:id="1166" w:name="_Toc49524675"/>
      <w:bookmarkStart w:id="1167" w:name="_Toc49527144"/>
      <w:bookmarkStart w:id="1168" w:name="_Toc49527982"/>
      <w:bookmarkStart w:id="1169" w:name="_Toc49692134"/>
      <w:bookmarkStart w:id="1170" w:name="_Toc49710507"/>
      <w:bookmarkStart w:id="1171" w:name="_Toc49710679"/>
      <w:bookmarkStart w:id="1172" w:name="_Toc49713232"/>
      <w:bookmarkStart w:id="1173" w:name="_Toc49713434"/>
      <w:bookmarkStart w:id="1174" w:name="_Toc49776372"/>
      <w:bookmarkStart w:id="1175" w:name="_Toc49784931"/>
      <w:bookmarkStart w:id="1176" w:name="_Toc49786257"/>
      <w:bookmarkStart w:id="1177" w:name="_Toc49787306"/>
      <w:bookmarkStart w:id="1178" w:name="_Toc49787361"/>
      <w:bookmarkStart w:id="1179" w:name="_Toc49850675"/>
      <w:bookmarkStart w:id="1180" w:name="_Toc49852917"/>
      <w:bookmarkStart w:id="1181" w:name="_Toc49854334"/>
      <w:bookmarkStart w:id="1182" w:name="_Toc49856930"/>
      <w:bookmarkStart w:id="1183" w:name="_Toc49858246"/>
      <w:bookmarkStart w:id="1184" w:name="_Toc49858301"/>
      <w:bookmarkStart w:id="1185" w:name="_Toc49863003"/>
      <w:bookmarkStart w:id="1186" w:name="_Toc49867726"/>
      <w:bookmarkStart w:id="1187" w:name="_Toc49870562"/>
      <w:bookmarkStart w:id="1188" w:name="_Toc49871305"/>
      <w:bookmarkStart w:id="1189" w:name="_Toc49871985"/>
      <w:bookmarkStart w:id="1190" w:name="_Toc49872538"/>
      <w:bookmarkStart w:id="1191" w:name="_Toc50027750"/>
      <w:bookmarkStart w:id="1192" w:name="_Toc50029444"/>
      <w:bookmarkStart w:id="1193" w:name="_Toc50043875"/>
      <w:bookmarkStart w:id="1194" w:name="_Toc50057726"/>
      <w:bookmarkStart w:id="1195" w:name="_Toc50553603"/>
      <w:bookmarkStart w:id="1196" w:name="_Toc50555366"/>
      <w:bookmarkStart w:id="1197" w:name="_Toc50559826"/>
      <w:bookmarkStart w:id="1198" w:name="_Toc50559879"/>
      <w:bookmarkStart w:id="1199" w:name="_Toc50563813"/>
      <w:bookmarkStart w:id="1200" w:name="_Toc50711366"/>
      <w:bookmarkStart w:id="1201" w:name="_Toc50720948"/>
      <w:bookmarkStart w:id="1202" w:name="_Toc50730672"/>
      <w:bookmarkStart w:id="1203" w:name="_Toc50734898"/>
      <w:bookmarkStart w:id="1204" w:name="_Toc50735501"/>
      <w:bookmarkStart w:id="1205" w:name="_Toc50905520"/>
      <w:bookmarkStart w:id="1206" w:name="_Toc51587005"/>
      <w:bookmarkStart w:id="1207" w:name="_Toc51594865"/>
      <w:bookmarkStart w:id="1208" w:name="_Toc51599468"/>
      <w:bookmarkStart w:id="1209" w:name="_Toc51613504"/>
      <w:bookmarkStart w:id="1210" w:name="_Toc51669615"/>
      <w:bookmarkStart w:id="1211" w:name="_Toc51669710"/>
      <w:bookmarkStart w:id="1212" w:name="_Toc51672859"/>
      <w:bookmarkStart w:id="1213" w:name="_Toc51673909"/>
      <w:bookmarkStart w:id="1214" w:name="_Toc51680726"/>
      <w:bookmarkStart w:id="1215" w:name="_Toc51683255"/>
      <w:bookmarkStart w:id="1216" w:name="_Toc51685991"/>
      <w:bookmarkStart w:id="1217" w:name="_Toc51687729"/>
      <w:bookmarkStart w:id="1218" w:name="_Toc51687873"/>
      <w:bookmarkStart w:id="1219" w:name="_Toc51705751"/>
      <w:bookmarkStart w:id="1220" w:name="_Toc51770697"/>
      <w:bookmarkStart w:id="1221" w:name="_Toc51770883"/>
      <w:bookmarkStart w:id="1222" w:name="_Toc52359226"/>
      <w:bookmarkStart w:id="1223" w:name="_Toc52367259"/>
      <w:bookmarkStart w:id="1224" w:name="_Toc52371599"/>
      <w:bookmarkStart w:id="1225" w:name="_Toc52374747"/>
      <w:bookmarkStart w:id="1226" w:name="_Toc52377285"/>
      <w:bookmarkStart w:id="1227" w:name="_Toc52379207"/>
      <w:bookmarkStart w:id="1228" w:name="_Toc52379562"/>
      <w:bookmarkStart w:id="1229" w:name="_Toc52532772"/>
      <w:bookmarkStart w:id="1230" w:name="_Toc52535667"/>
      <w:bookmarkStart w:id="1231" w:name="_Toc52537485"/>
      <w:bookmarkStart w:id="1232" w:name="_Toc52544048"/>
      <w:bookmarkStart w:id="1233" w:name="_Toc52545652"/>
      <w:bookmarkStart w:id="1234" w:name="_Toc52547884"/>
      <w:bookmarkStart w:id="1235" w:name="_Toc52548573"/>
      <w:bookmarkStart w:id="1236" w:name="_Toc52890865"/>
      <w:bookmarkStart w:id="1237" w:name="_Toc52895068"/>
      <w:bookmarkStart w:id="1238" w:name="_Toc52896592"/>
      <w:bookmarkStart w:id="1239" w:name="_Toc52977769"/>
      <w:bookmarkStart w:id="1240" w:name="_Toc53129455"/>
      <w:bookmarkStart w:id="1241" w:name="_Toc45030348"/>
      <w:r w:rsidRPr="00573159">
        <w:rPr>
          <w:color w:val="0070AE" w:themeColor="accent2" w:themeTint="BF"/>
        </w:rPr>
        <w:t>Chapter</w:t>
      </w:r>
      <w:r w:rsidR="00CE0059" w:rsidRPr="00573159">
        <w:rPr>
          <w:color w:val="0070AE" w:themeColor="accent2" w:themeTint="BF"/>
        </w:rPr>
        <w:t xml:space="preserve"> 3</w:t>
      </w:r>
      <w:r w:rsidRPr="00573159">
        <w:rPr>
          <w:color w:val="0070AE" w:themeColor="accent2" w:themeTint="BF"/>
        </w:rPr>
        <w:t xml:space="preserve">: </w:t>
      </w:r>
      <w:r w:rsidR="00BE5C80" w:rsidRPr="00573159">
        <w:rPr>
          <w:color w:val="0070AE" w:themeColor="accent2" w:themeTint="BF"/>
        </w:rPr>
        <w:t>P</w:t>
      </w:r>
      <w:r w:rsidR="00570347">
        <w:rPr>
          <w:color w:val="0070AE" w:themeColor="accent2" w:themeTint="BF"/>
        </w:rPr>
        <w:t>erformance of the Emissions Reduction F</w:t>
      </w:r>
      <w:r w:rsidRPr="00573159">
        <w:rPr>
          <w:color w:val="0070AE" w:themeColor="accent2" w:themeTint="BF"/>
        </w:rPr>
        <w:t>und</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73AF" w:themeFill="accent6"/>
        <w:tblLayout w:type="fixed"/>
        <w:tblLook w:val="04A0" w:firstRow="1" w:lastRow="0" w:firstColumn="1" w:lastColumn="0" w:noHBand="0" w:noVBand="1"/>
      </w:tblPr>
      <w:tblGrid>
        <w:gridCol w:w="9741"/>
      </w:tblGrid>
      <w:tr w:rsidR="00DE2FD3" w:rsidRPr="00B32198" w14:paraId="3EADA802" w14:textId="77777777" w:rsidTr="00DE2FD3">
        <w:tc>
          <w:tcPr>
            <w:tcW w:w="9741" w:type="dxa"/>
            <w:shd w:val="clear" w:color="auto" w:fill="B0E9FF" w:themeFill="text2" w:themeFillTint="33"/>
          </w:tcPr>
          <w:p w14:paraId="363840AD" w14:textId="16BD6425" w:rsidR="00DE2FD3" w:rsidRDefault="00641498" w:rsidP="00996B9D">
            <w:pPr>
              <w:pStyle w:val="BodyText"/>
            </w:pPr>
            <w:bookmarkStart w:id="1242" w:name="_Toc48996304"/>
            <w:bookmarkStart w:id="1243" w:name="_Toc49350826"/>
            <w:bookmarkStart w:id="1244" w:name="_Toc49352806"/>
            <w:bookmarkStart w:id="1245" w:name="_Toc49354182"/>
            <w:bookmarkStart w:id="1246" w:name="_Toc49355508"/>
            <w:bookmarkStart w:id="1247" w:name="_Toc49429266"/>
            <w:bookmarkStart w:id="1248" w:name="_Toc49434023"/>
            <w:bookmarkStart w:id="1249" w:name="_Toc49441016"/>
            <w:bookmarkStart w:id="1250" w:name="_Toc49441206"/>
            <w:bookmarkStart w:id="1251" w:name="_Toc49442209"/>
            <w:bookmarkStart w:id="1252" w:name="_Toc49508938"/>
            <w:bookmarkStart w:id="1253" w:name="_Toc49519748"/>
            <w:bookmarkStart w:id="1254" w:name="_Toc49521466"/>
            <w:bookmarkStart w:id="1255" w:name="_Toc49524538"/>
            <w:bookmarkStart w:id="1256" w:name="_Toc49524676"/>
            <w:bookmarkStart w:id="1257" w:name="_Toc49527145"/>
            <w:bookmarkStart w:id="1258" w:name="_Toc49527983"/>
            <w:bookmarkStart w:id="1259" w:name="_Toc49692135"/>
            <w:bookmarkStart w:id="1260" w:name="_Toc49710508"/>
            <w:bookmarkStart w:id="1261" w:name="_Toc49710680"/>
            <w:bookmarkStart w:id="1262" w:name="_Toc49713233"/>
            <w:bookmarkStart w:id="1263" w:name="_Toc49713435"/>
            <w:bookmarkStart w:id="1264" w:name="_Toc49776373"/>
            <w:bookmarkStart w:id="1265" w:name="_Toc49784932"/>
            <w:bookmarkStart w:id="1266" w:name="_Toc49786258"/>
            <w:bookmarkStart w:id="1267" w:name="_Toc49787307"/>
            <w:bookmarkStart w:id="1268" w:name="_Toc49787362"/>
            <w:bookmarkStart w:id="1269" w:name="_Toc49850676"/>
            <w:bookmarkStart w:id="1270" w:name="_Toc49852918"/>
            <w:bookmarkStart w:id="1271" w:name="_Toc49854335"/>
            <w:bookmarkStart w:id="1272" w:name="_Toc49856931"/>
            <w:bookmarkStart w:id="1273" w:name="_Toc49858247"/>
            <w:bookmarkStart w:id="1274" w:name="_Toc49858302"/>
            <w:bookmarkStart w:id="1275" w:name="_Toc49863004"/>
            <w:bookmarkStart w:id="1276" w:name="_Toc49867727"/>
            <w:bookmarkStart w:id="1277" w:name="_Toc49870563"/>
            <w:bookmarkStart w:id="1278" w:name="_Toc49871306"/>
            <w:bookmarkStart w:id="1279" w:name="_Toc49871986"/>
            <w:bookmarkStart w:id="1280" w:name="_Toc49872539"/>
            <w:r w:rsidRPr="00641498">
              <w:t xml:space="preserve">As of </w:t>
            </w:r>
            <w:r w:rsidR="005D3F29" w:rsidRPr="004826CD">
              <w:t xml:space="preserve">September </w:t>
            </w:r>
            <w:r w:rsidRPr="00334564">
              <w:t>2020</w:t>
            </w:r>
            <w:r w:rsidRPr="00641498">
              <w:t xml:space="preserve"> the Regulator had a portfolio of 4</w:t>
            </w:r>
            <w:r w:rsidR="005D3F29">
              <w:t>98</w:t>
            </w:r>
            <w:r w:rsidRPr="00641498">
              <w:t xml:space="preserve"> </w:t>
            </w:r>
            <w:r w:rsidR="00410A32">
              <w:t>carbon</w:t>
            </w:r>
            <w:r w:rsidRPr="00641498">
              <w:t xml:space="preserve"> abatement contracts to purchase </w:t>
            </w:r>
            <w:r w:rsidR="001253CE">
              <w:t xml:space="preserve">approximately </w:t>
            </w:r>
            <w:r w:rsidR="005D3F29">
              <w:t>200</w:t>
            </w:r>
            <w:r w:rsidRPr="00641498">
              <w:t xml:space="preserve"> million ACCUs at a committed cost of $2.</w:t>
            </w:r>
            <w:r w:rsidR="005D3F29">
              <w:t>4</w:t>
            </w:r>
            <w:r w:rsidRPr="00641498">
              <w:t xml:space="preserve"> billion (</w:t>
            </w:r>
            <w:r w:rsidRPr="00BE6F26">
              <w:t>CER 2020</w:t>
            </w:r>
            <w:r w:rsidR="002456B4">
              <w:t>d</w:t>
            </w:r>
            <w:r w:rsidRPr="00641498">
              <w:t>). Eighty-two per cent of total contracted abatement is attached to projects f</w:t>
            </w:r>
            <w:r w:rsidR="00744414">
              <w:t>rom vegetation, agriculture and</w:t>
            </w:r>
            <w:r w:rsidRPr="00641498">
              <w:t xml:space="preserve"> savanna burning</w:t>
            </w:r>
            <w:r w:rsidR="00C24B27">
              <w:t xml:space="preserve"> activities</w:t>
            </w:r>
            <w:r w:rsidRPr="00641498">
              <w:t xml:space="preserve">; </w:t>
            </w:r>
            <w:r w:rsidRPr="00A96E2B">
              <w:t>13</w:t>
            </w:r>
            <w:r w:rsidRPr="00641498">
              <w:t xml:space="preserve"> per cent is from landfill and waste; and </w:t>
            </w:r>
            <w:r w:rsidRPr="00E330EF">
              <w:t>5</w:t>
            </w:r>
            <w:r w:rsidRPr="00641498">
              <w:t xml:space="preserve"> per cent is from methods covering the rest of the economy</w:t>
            </w:r>
            <w:r w:rsidR="00DE2FD3" w:rsidRPr="00B32198">
              <w:t>.</w:t>
            </w:r>
          </w:p>
          <w:p w14:paraId="4A6D22C8" w14:textId="77777777" w:rsidR="00CA0B1B" w:rsidRDefault="00CA0B1B" w:rsidP="00996B9D">
            <w:pPr>
              <w:pStyle w:val="BodyText"/>
            </w:pPr>
          </w:p>
          <w:p w14:paraId="60CDBF4B" w14:textId="20A4A8CF" w:rsidR="00A96E2B" w:rsidRDefault="00641498" w:rsidP="00996B9D">
            <w:pPr>
              <w:pStyle w:val="BodyText"/>
            </w:pPr>
            <w:r w:rsidRPr="00641498">
              <w:t xml:space="preserve">There has been a </w:t>
            </w:r>
            <w:r w:rsidR="00410A32">
              <w:t>revival in the growth of the contract portfolio in 2020</w:t>
            </w:r>
            <w:r w:rsidR="004E739F">
              <w:t>.</w:t>
            </w:r>
            <w:r w:rsidR="00A1065D">
              <w:t xml:space="preserve"> </w:t>
            </w:r>
            <w:r w:rsidR="004E739F">
              <w:t>T</w:t>
            </w:r>
            <w:r w:rsidR="00410A32">
              <w:t>h</w:t>
            </w:r>
            <w:r w:rsidR="0048182F">
              <w:t>e</w:t>
            </w:r>
            <w:r w:rsidR="00410A32">
              <w:t xml:space="preserve"> Regulator </w:t>
            </w:r>
            <w:r w:rsidR="009F6495">
              <w:t xml:space="preserve">has </w:t>
            </w:r>
            <w:r w:rsidR="00410A32">
              <w:t>sign</w:t>
            </w:r>
            <w:r w:rsidR="0048182F">
              <w:t>ed</w:t>
            </w:r>
            <w:r w:rsidR="00744414">
              <w:t xml:space="preserve"> </w:t>
            </w:r>
            <w:r w:rsidR="00067CD5">
              <w:t>4</w:t>
            </w:r>
            <w:r w:rsidR="00744414">
              <w:t xml:space="preserve">7 contracts: </w:t>
            </w:r>
            <w:r w:rsidR="00067CD5">
              <w:t>3</w:t>
            </w:r>
            <w:r w:rsidR="00744414">
              <w:t>7 option</w:t>
            </w:r>
            <w:r w:rsidR="00E064A9">
              <w:t>al delivery</w:t>
            </w:r>
            <w:r w:rsidR="00744414">
              <w:t xml:space="preserve"> contracts</w:t>
            </w:r>
            <w:r w:rsidR="009F6495">
              <w:t xml:space="preserve"> for 7.7 million tonnes</w:t>
            </w:r>
            <w:r w:rsidR="00410A32">
              <w:t xml:space="preserve">, and </w:t>
            </w:r>
            <w:r w:rsidR="0048182F">
              <w:t xml:space="preserve">a further </w:t>
            </w:r>
            <w:r w:rsidR="004E739F">
              <w:t>one</w:t>
            </w:r>
            <w:r w:rsidR="0048182F">
              <w:t xml:space="preserve"> million</w:t>
            </w:r>
            <w:r w:rsidR="00744414">
              <w:t xml:space="preserve"> tonnes is contracted to the Government under 10 fixed</w:t>
            </w:r>
            <w:r w:rsidR="00B370A6">
              <w:t xml:space="preserve"> </w:t>
            </w:r>
            <w:r w:rsidR="00744414">
              <w:t>delivery contracts</w:t>
            </w:r>
            <w:r w:rsidR="0048182F">
              <w:t xml:space="preserve">. This followed a </w:t>
            </w:r>
            <w:r w:rsidRPr="00641498">
              <w:t xml:space="preserve">significant slowing in growth </w:t>
            </w:r>
            <w:r w:rsidR="00744414">
              <w:t xml:space="preserve">of contracted abatement </w:t>
            </w:r>
            <w:r w:rsidR="0039350C">
              <w:t>between 2017 and</w:t>
            </w:r>
            <w:r w:rsidR="0048182F">
              <w:t xml:space="preserve"> 2019.</w:t>
            </w:r>
            <w:r>
              <w:t xml:space="preserve"> </w:t>
            </w:r>
            <w:r w:rsidRPr="00641498">
              <w:t xml:space="preserve">Since </w:t>
            </w:r>
            <w:r w:rsidR="00A96E2B">
              <w:t xml:space="preserve">the </w:t>
            </w:r>
            <w:r w:rsidRPr="00641498">
              <w:t xml:space="preserve">2017 </w:t>
            </w:r>
            <w:r w:rsidR="00A96E2B">
              <w:t>ERF</w:t>
            </w:r>
            <w:r w:rsidR="00744414">
              <w:t xml:space="preserve"> review </w:t>
            </w:r>
            <w:r w:rsidR="00C16C17">
              <w:t xml:space="preserve">a net </w:t>
            </w:r>
            <w:r w:rsidR="0048182F">
              <w:t>16</w:t>
            </w:r>
            <w:r>
              <w:t> </w:t>
            </w:r>
            <w:r w:rsidRPr="00641498">
              <w:t xml:space="preserve">million </w:t>
            </w:r>
            <w:r w:rsidR="00C16C17">
              <w:t xml:space="preserve">tonnes of abatement (new contracts entered into less </w:t>
            </w:r>
            <w:r w:rsidR="00C16C17" w:rsidRPr="00641498">
              <w:t>newly</w:t>
            </w:r>
            <w:r w:rsidR="00C16C17">
              <w:t xml:space="preserve"> lapsed or terminated contracts)</w:t>
            </w:r>
            <w:r w:rsidR="00C16C17" w:rsidRPr="00641498">
              <w:t xml:space="preserve"> </w:t>
            </w:r>
            <w:r w:rsidRPr="00641498">
              <w:t>have been added to the Government’s portfolio</w:t>
            </w:r>
            <w:r>
              <w:t xml:space="preserve"> </w:t>
            </w:r>
            <w:r w:rsidRPr="00641498">
              <w:t>(</w:t>
            </w:r>
            <w:r w:rsidR="0048182F">
              <w:t>8</w:t>
            </w:r>
            <w:r>
              <w:t> </w:t>
            </w:r>
            <w:r w:rsidRPr="00641498">
              <w:t>per</w:t>
            </w:r>
            <w:r>
              <w:t> </w:t>
            </w:r>
            <w:r w:rsidRPr="00641498">
              <w:t>cent</w:t>
            </w:r>
            <w:r>
              <w:t xml:space="preserve"> of the total</w:t>
            </w:r>
            <w:r w:rsidRPr="00641498">
              <w:t>).</w:t>
            </w:r>
          </w:p>
          <w:p w14:paraId="0E735DDF" w14:textId="77777777" w:rsidR="00CA0B1B" w:rsidRDefault="00CA0B1B" w:rsidP="00996B9D">
            <w:pPr>
              <w:pStyle w:val="BodyText"/>
            </w:pPr>
          </w:p>
          <w:p w14:paraId="40D8226E" w14:textId="632B7F9A" w:rsidR="00641498" w:rsidRPr="00B32198" w:rsidRDefault="005E6455" w:rsidP="003C658C">
            <w:pPr>
              <w:pStyle w:val="BodyText"/>
            </w:pPr>
            <w:r>
              <w:t xml:space="preserve">Of the </w:t>
            </w:r>
            <w:r w:rsidR="0048182F">
              <w:t>200</w:t>
            </w:r>
            <w:r>
              <w:t xml:space="preserve"> million ACCUs committed under contract: 5</w:t>
            </w:r>
            <w:r w:rsidR="0048182F">
              <w:t>8.8</w:t>
            </w:r>
            <w:r>
              <w:t xml:space="preserve"> million tonnes (2</w:t>
            </w:r>
            <w:r w:rsidR="0048182F">
              <w:t>9</w:t>
            </w:r>
            <w:r>
              <w:t xml:space="preserve"> per cent) have been delivered and </w:t>
            </w:r>
            <w:r w:rsidR="0048182F">
              <w:t>141</w:t>
            </w:r>
            <w:r>
              <w:t xml:space="preserve"> million tonnes (7</w:t>
            </w:r>
            <w:r w:rsidR="0048182F">
              <w:t>1</w:t>
            </w:r>
            <w:r>
              <w:t xml:space="preserve"> per cent) are scheduled for delivery.</w:t>
            </w:r>
          </w:p>
        </w:tc>
      </w:tr>
    </w:tbl>
    <w:p w14:paraId="7E94F98C" w14:textId="77777777" w:rsidR="00573159" w:rsidRDefault="00573159" w:rsidP="00573159">
      <w:bookmarkStart w:id="1281" w:name="_Toc50027751"/>
      <w:bookmarkStart w:id="1282" w:name="_Toc50029445"/>
      <w:bookmarkStart w:id="1283" w:name="_Toc50043876"/>
      <w:bookmarkStart w:id="1284" w:name="_Toc50057727"/>
      <w:bookmarkStart w:id="1285" w:name="_Toc50553604"/>
      <w:bookmarkStart w:id="1286" w:name="_Toc50555367"/>
      <w:bookmarkStart w:id="1287" w:name="_Toc50559827"/>
      <w:bookmarkStart w:id="1288" w:name="_Toc50559880"/>
      <w:bookmarkStart w:id="1289" w:name="_Toc50563814"/>
      <w:bookmarkStart w:id="1290" w:name="_Toc50711367"/>
      <w:bookmarkStart w:id="1291" w:name="_Toc50720949"/>
      <w:bookmarkStart w:id="1292" w:name="_Toc50730673"/>
      <w:bookmarkStart w:id="1293" w:name="_Toc50734899"/>
      <w:bookmarkStart w:id="1294" w:name="_Toc50735502"/>
      <w:bookmarkStart w:id="1295" w:name="_Toc50905521"/>
      <w:bookmarkStart w:id="1296" w:name="_Toc51587006"/>
      <w:bookmarkStart w:id="1297" w:name="_Toc51594866"/>
      <w:bookmarkStart w:id="1298" w:name="_Toc51599469"/>
      <w:bookmarkStart w:id="1299" w:name="_Toc51613505"/>
      <w:bookmarkStart w:id="1300" w:name="_Toc51669616"/>
      <w:bookmarkStart w:id="1301" w:name="_Toc51669711"/>
      <w:bookmarkStart w:id="1302" w:name="_Toc51672860"/>
      <w:bookmarkStart w:id="1303" w:name="_Toc51673910"/>
      <w:bookmarkStart w:id="1304" w:name="_Toc51680727"/>
      <w:bookmarkStart w:id="1305" w:name="_Toc51683256"/>
      <w:bookmarkStart w:id="1306" w:name="_Toc51685992"/>
      <w:bookmarkStart w:id="1307" w:name="_Toc51687730"/>
      <w:bookmarkStart w:id="1308" w:name="_Toc51687874"/>
      <w:bookmarkStart w:id="1309" w:name="_Toc51705752"/>
      <w:bookmarkStart w:id="1310" w:name="_Toc51770698"/>
      <w:bookmarkStart w:id="1311" w:name="_Toc51770884"/>
      <w:bookmarkStart w:id="1312" w:name="_Toc52359227"/>
      <w:bookmarkStart w:id="1313" w:name="_Toc52367260"/>
      <w:bookmarkStart w:id="1314" w:name="_Toc52371600"/>
      <w:bookmarkStart w:id="1315" w:name="_Toc52374748"/>
      <w:bookmarkStart w:id="1316" w:name="_Toc52377286"/>
      <w:bookmarkStart w:id="1317" w:name="_Toc52379208"/>
      <w:bookmarkStart w:id="1318" w:name="_Toc52379563"/>
      <w:bookmarkStart w:id="1319" w:name="_Toc52532773"/>
      <w:bookmarkStart w:id="1320" w:name="_Toc52535668"/>
      <w:bookmarkStart w:id="1321" w:name="_Toc52537486"/>
      <w:bookmarkStart w:id="1322" w:name="_Toc52544049"/>
      <w:bookmarkStart w:id="1323" w:name="_Toc52545653"/>
      <w:bookmarkStart w:id="1324" w:name="_Toc52547885"/>
      <w:bookmarkStart w:id="1325" w:name="_Toc52548574"/>
    </w:p>
    <w:p w14:paraId="0120B17C" w14:textId="7A4F7839" w:rsidR="009E27E2" w:rsidRPr="000C4375" w:rsidRDefault="00CE0059" w:rsidP="00B30749">
      <w:pPr>
        <w:pStyle w:val="Heading2"/>
        <w:numPr>
          <w:ilvl w:val="1"/>
          <w:numId w:val="54"/>
        </w:numPr>
      </w:pPr>
      <w:r>
        <w:t xml:space="preserve"> </w:t>
      </w:r>
      <w:bookmarkStart w:id="1326" w:name="_Toc52890866"/>
      <w:bookmarkStart w:id="1327" w:name="_Toc52895069"/>
      <w:bookmarkStart w:id="1328" w:name="_Toc52896593"/>
      <w:bookmarkStart w:id="1329" w:name="_Toc52977770"/>
      <w:bookmarkStart w:id="1330" w:name="_Toc53129456"/>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002E29B0" w:rsidRPr="00573159">
        <w:rPr>
          <w:color w:val="0070AE" w:themeColor="accent2" w:themeTint="BF"/>
        </w:rPr>
        <w:t>Crediting abatement</w:t>
      </w:r>
      <w:bookmarkEnd w:id="1061"/>
      <w:bookmarkEnd w:id="1241"/>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5ABEFC12" w14:textId="0E8836A0" w:rsidR="00B92C08" w:rsidRPr="00573159" w:rsidRDefault="00B92C08" w:rsidP="00B92C08">
      <w:pPr>
        <w:pStyle w:val="Heading3"/>
        <w:rPr>
          <w:i/>
          <w:color w:val="0070AE" w:themeColor="accent2" w:themeTint="BF"/>
        </w:rPr>
      </w:pPr>
      <w:r w:rsidRPr="00573159">
        <w:rPr>
          <w:i/>
          <w:color w:val="0070AE" w:themeColor="accent2" w:themeTint="BF"/>
        </w:rPr>
        <w:t xml:space="preserve">Methods and </w:t>
      </w:r>
      <w:r w:rsidR="002E29B0" w:rsidRPr="00573159">
        <w:rPr>
          <w:i/>
          <w:color w:val="0070AE" w:themeColor="accent2" w:themeTint="BF"/>
        </w:rPr>
        <w:t xml:space="preserve">registration of </w:t>
      </w:r>
      <w:r w:rsidR="002F001D" w:rsidRPr="00573159">
        <w:rPr>
          <w:i/>
          <w:color w:val="0070AE" w:themeColor="accent2" w:themeTint="BF"/>
        </w:rPr>
        <w:t>ERF</w:t>
      </w:r>
      <w:r w:rsidR="006A62FA" w:rsidRPr="00573159">
        <w:rPr>
          <w:i/>
          <w:color w:val="0070AE" w:themeColor="accent2" w:themeTint="BF"/>
        </w:rPr>
        <w:t xml:space="preserve"> </w:t>
      </w:r>
      <w:r w:rsidRPr="00573159">
        <w:rPr>
          <w:i/>
          <w:color w:val="0070AE" w:themeColor="accent2" w:themeTint="BF"/>
        </w:rPr>
        <w:t>project</w:t>
      </w:r>
      <w:r w:rsidR="006A62FA" w:rsidRPr="00573159">
        <w:rPr>
          <w:i/>
          <w:color w:val="0070AE" w:themeColor="accent2" w:themeTint="BF"/>
        </w:rPr>
        <w:t>s</w:t>
      </w:r>
    </w:p>
    <w:p w14:paraId="73EB49DA" w14:textId="35F2F3A4" w:rsidR="00E1015E" w:rsidRDefault="00821A26" w:rsidP="00E1015E">
      <w:r>
        <w:t>A</w:t>
      </w:r>
      <w:r w:rsidR="00C128FD">
        <w:t xml:space="preserve">t </w:t>
      </w:r>
      <w:r w:rsidR="008B6EEE">
        <w:t>the</w:t>
      </w:r>
      <w:r w:rsidR="00C128FD">
        <w:t xml:space="preserve"> time of publication</w:t>
      </w:r>
      <w:r w:rsidR="00E1015E">
        <w:t>, p</w:t>
      </w:r>
      <w:r w:rsidR="00E1015E" w:rsidRPr="005206CA">
        <w:t xml:space="preserve">rojects </w:t>
      </w:r>
      <w:r w:rsidR="00E1015E">
        <w:t xml:space="preserve">are </w:t>
      </w:r>
      <w:r w:rsidR="00E1015E" w:rsidRPr="005206CA">
        <w:t xml:space="preserve">registered under </w:t>
      </w:r>
      <w:r w:rsidR="00E1015E" w:rsidRPr="0045715D">
        <w:t>27</w:t>
      </w:r>
      <w:r w:rsidR="00E1015E" w:rsidRPr="005206CA">
        <w:t xml:space="preserve"> </w:t>
      </w:r>
      <w:r w:rsidR="00C128FD">
        <w:t xml:space="preserve">of the 34 ERF </w:t>
      </w:r>
      <w:r w:rsidR="00E1015E">
        <w:t>me</w:t>
      </w:r>
      <w:r w:rsidR="00E1015E" w:rsidRPr="005206CA">
        <w:t xml:space="preserve">thods </w:t>
      </w:r>
      <w:r w:rsidR="00C24B27">
        <w:t>(table 3.1</w:t>
      </w:r>
      <w:r w:rsidR="00E1015E" w:rsidRPr="005206CA">
        <w:t>)</w:t>
      </w:r>
      <w:r w:rsidR="00B74B25">
        <w:t>.</w:t>
      </w:r>
      <w:r w:rsidR="00E1015E" w:rsidRPr="005206CA">
        <w:rPr>
          <w:rStyle w:val="FootnoteReference"/>
        </w:rPr>
        <w:footnoteReference w:id="5"/>
      </w:r>
      <w:r w:rsidR="00E1015E" w:rsidRPr="005206CA">
        <w:t xml:space="preserve"> </w:t>
      </w:r>
      <w:r w:rsidR="00E1015E">
        <w:t xml:space="preserve">Since the Authority’s 2017 review, </w:t>
      </w:r>
      <w:r w:rsidR="008171F1">
        <w:t xml:space="preserve">five </w:t>
      </w:r>
      <w:r w:rsidR="00E1015E">
        <w:t>new methods have been made</w:t>
      </w:r>
      <w:r w:rsidR="004D5023">
        <w:t xml:space="preserve"> and five have been revoked, leaving the overall number of methods available the same as in 2017 (</w:t>
      </w:r>
      <w:r w:rsidR="00DD7C69" w:rsidRPr="00463BB2">
        <w:t>DISER 2020</w:t>
      </w:r>
      <w:r w:rsidR="00A5331D" w:rsidRPr="00463BB2">
        <w:t>a</w:t>
      </w:r>
      <w:r w:rsidR="004D5023">
        <w:t xml:space="preserve">; </w:t>
      </w:r>
      <w:r w:rsidR="004D5023" w:rsidRPr="005E1241">
        <w:t>CCA 2017</w:t>
      </w:r>
      <w:r w:rsidR="00A10D2E" w:rsidRPr="005E1241">
        <w:t>a</w:t>
      </w:r>
      <w:r w:rsidR="004D5023">
        <w:t>)</w:t>
      </w:r>
      <w:r w:rsidR="00B74B25">
        <w:t>.</w:t>
      </w:r>
      <w:r w:rsidR="00694324" w:rsidRPr="00694324">
        <w:rPr>
          <w:rStyle w:val="FootnoteReference"/>
        </w:rPr>
        <w:t xml:space="preserve"> </w:t>
      </w:r>
      <w:r w:rsidR="00694324">
        <w:rPr>
          <w:rStyle w:val="FootnoteReference"/>
        </w:rPr>
        <w:footnoteReference w:id="6"/>
      </w:r>
      <w:r w:rsidR="004D5023">
        <w:t xml:space="preserve"> There has been a small expansion in the types of activities available under the ERF; although most new methods</w:t>
      </w:r>
      <w:r w:rsidR="0039350C">
        <w:t xml:space="preserve"> have</w:t>
      </w:r>
      <w:r w:rsidR="004D5023">
        <w:t xml:space="preserve"> update</w:t>
      </w:r>
      <w:r w:rsidR="0039350C">
        <w:t>d</w:t>
      </w:r>
      <w:r w:rsidR="004D5023">
        <w:t xml:space="preserve"> and replace</w:t>
      </w:r>
      <w:r w:rsidR="0039350C">
        <w:t>d</w:t>
      </w:r>
      <w:r w:rsidR="004D5023">
        <w:t xml:space="preserve"> previous similar methods. </w:t>
      </w:r>
      <w:r w:rsidR="00E1015E">
        <w:t xml:space="preserve"> </w:t>
      </w:r>
    </w:p>
    <w:p w14:paraId="341F957D" w14:textId="1FBDD66E" w:rsidR="00AE457F" w:rsidRDefault="00D80361" w:rsidP="00293B20">
      <w:r>
        <w:t xml:space="preserve">As of </w:t>
      </w:r>
      <w:r w:rsidR="00C036D4">
        <w:t>13</w:t>
      </w:r>
      <w:r>
        <w:t xml:space="preserve"> September 2020, t</w:t>
      </w:r>
      <w:r w:rsidR="00C81510">
        <w:t xml:space="preserve">here are </w:t>
      </w:r>
      <w:r w:rsidR="00C81510" w:rsidRPr="00E30227">
        <w:t>8</w:t>
      </w:r>
      <w:r w:rsidRPr="00E30227">
        <w:t>5</w:t>
      </w:r>
      <w:r w:rsidR="00C036D4" w:rsidRPr="00E30227">
        <w:t>5</w:t>
      </w:r>
      <w:r w:rsidR="00C81510" w:rsidRPr="00067CD5">
        <w:t xml:space="preserve"> projects registered under the ERF. </w:t>
      </w:r>
      <w:r w:rsidR="00E41C81" w:rsidRPr="00067CD5">
        <w:t xml:space="preserve">Since the Authority’s 2017 review, </w:t>
      </w:r>
      <w:r w:rsidR="00007B1F" w:rsidRPr="00E30227">
        <w:t>28</w:t>
      </w:r>
      <w:r w:rsidR="00067CD5" w:rsidRPr="00E30227">
        <w:t>5</w:t>
      </w:r>
      <w:r w:rsidR="00007B1F" w:rsidRPr="00067CD5">
        <w:t xml:space="preserve"> </w:t>
      </w:r>
      <w:r w:rsidR="00E41C81" w:rsidRPr="00067CD5">
        <w:t xml:space="preserve">new projects have been registered and </w:t>
      </w:r>
      <w:r w:rsidR="009C23F0" w:rsidRPr="00E30227">
        <w:t>11</w:t>
      </w:r>
      <w:r w:rsidR="00067CD5" w:rsidRPr="00E30227">
        <w:t>3</w:t>
      </w:r>
      <w:r w:rsidR="00E41C81">
        <w:t xml:space="preserve"> projects have been revoked, leading to a net increase of </w:t>
      </w:r>
      <w:r w:rsidRPr="00E30227">
        <w:t>17</w:t>
      </w:r>
      <w:r w:rsidR="004E1D21" w:rsidRPr="00E30227">
        <w:t>2</w:t>
      </w:r>
      <w:r>
        <w:t xml:space="preserve"> </w:t>
      </w:r>
      <w:r w:rsidR="00E41C81">
        <w:t xml:space="preserve">projects </w:t>
      </w:r>
      <w:r w:rsidR="00E774A4">
        <w:t>over the three year period</w:t>
      </w:r>
      <w:r w:rsidR="00B74B25">
        <w:t xml:space="preserve"> (Table </w:t>
      </w:r>
      <w:r w:rsidR="00B74B25" w:rsidRPr="00CD600B">
        <w:t>3.1</w:t>
      </w:r>
      <w:r w:rsidR="00B74B25">
        <w:t>).</w:t>
      </w:r>
      <w:r w:rsidR="00E774A4">
        <w:rPr>
          <w:rStyle w:val="FootnoteReference"/>
        </w:rPr>
        <w:footnoteReference w:id="7"/>
      </w:r>
      <w:r w:rsidR="00C81510">
        <w:t xml:space="preserve"> </w:t>
      </w:r>
    </w:p>
    <w:p w14:paraId="6674E7D8" w14:textId="77777777" w:rsidR="00453971" w:rsidRDefault="00453971" w:rsidP="00293B20"/>
    <w:p w14:paraId="46275FA4" w14:textId="3ECDFF48" w:rsidR="00453971" w:rsidRDefault="00453971" w:rsidP="00453971">
      <w:pPr>
        <w:spacing w:line="259" w:lineRule="auto"/>
      </w:pPr>
      <w:r>
        <w:br w:type="page"/>
      </w:r>
    </w:p>
    <w:p w14:paraId="1291123E" w14:textId="4CD87F33" w:rsidR="00811603" w:rsidRPr="00FB756E" w:rsidRDefault="00811603" w:rsidP="00CC338E">
      <w:pPr>
        <w:pStyle w:val="Table"/>
      </w:pPr>
      <w:bookmarkStart w:id="1331" w:name="_Ref499043878"/>
      <w:bookmarkStart w:id="1332" w:name="_Toc491872774"/>
      <w:bookmarkStart w:id="1333" w:name="_Toc494904847"/>
      <w:bookmarkStart w:id="1334" w:name="_Toc497819431"/>
      <w:bookmarkStart w:id="1335" w:name="_Toc498691493"/>
      <w:bookmarkStart w:id="1336" w:name="_Toc499051693"/>
      <w:bookmarkStart w:id="1337" w:name="_Ref500244344"/>
      <w:bookmarkStart w:id="1338" w:name="_Toc500251041"/>
      <w:bookmarkStart w:id="1339" w:name="_Toc500251316"/>
      <w:bookmarkStart w:id="1340" w:name="_Toc500253913"/>
      <w:bookmarkStart w:id="1341" w:name="_Toc500400116"/>
      <w:bookmarkStart w:id="1342" w:name="_Toc500490904"/>
      <w:bookmarkStart w:id="1343" w:name="_Toc500513620"/>
      <w:bookmarkStart w:id="1344" w:name="_Toc500516158"/>
      <w:bookmarkStart w:id="1345" w:name="_Toc53129513"/>
      <w:r w:rsidRPr="00FB756E">
        <w:t xml:space="preserve">Table </w:t>
      </w:r>
      <w:bookmarkEnd w:id="1331"/>
      <w:r w:rsidR="0044018D" w:rsidRPr="00FB756E">
        <w:t>3.1</w:t>
      </w:r>
      <w:r w:rsidRPr="00FB756E">
        <w:t xml:space="preserve">: Number of </w:t>
      </w:r>
      <w:r w:rsidR="00026A77" w:rsidRPr="00FB756E">
        <w:t xml:space="preserve">current </w:t>
      </w:r>
      <w:r w:rsidRPr="00FB756E">
        <w:t>ERF methods and registered projects</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tbl>
      <w:tblPr>
        <w:tblW w:w="8931" w:type="dxa"/>
        <w:tblLook w:val="04A0" w:firstRow="1" w:lastRow="0" w:firstColumn="1" w:lastColumn="0" w:noHBand="0" w:noVBand="1"/>
      </w:tblPr>
      <w:tblGrid>
        <w:gridCol w:w="1080"/>
        <w:gridCol w:w="2000"/>
        <w:gridCol w:w="2590"/>
        <w:gridCol w:w="3261"/>
      </w:tblGrid>
      <w:tr w:rsidR="0014757C" w:rsidRPr="0014757C" w14:paraId="43DA6DA1" w14:textId="77777777" w:rsidTr="00165996">
        <w:trPr>
          <w:trHeight w:val="250"/>
        </w:trPr>
        <w:tc>
          <w:tcPr>
            <w:tcW w:w="1080" w:type="dxa"/>
            <w:tcBorders>
              <w:top w:val="nil"/>
              <w:left w:val="nil"/>
              <w:bottom w:val="nil"/>
              <w:right w:val="nil"/>
            </w:tcBorders>
            <w:shd w:val="clear" w:color="auto" w:fill="309CC8"/>
            <w:vAlign w:val="center"/>
            <w:hideMark/>
          </w:tcPr>
          <w:p w14:paraId="35584906" w14:textId="77777777" w:rsidR="0014757C" w:rsidRPr="0014757C" w:rsidRDefault="0014757C">
            <w:pPr>
              <w:spacing w:line="240" w:lineRule="auto"/>
              <w:rPr>
                <w:rFonts w:eastAsia="Times New Roman" w:cs="Arial"/>
                <w:b/>
                <w:bCs/>
                <w:color w:val="FFFFFF"/>
                <w:sz w:val="16"/>
                <w:szCs w:val="16"/>
                <w:lang w:eastAsia="en-AU"/>
              </w:rPr>
            </w:pPr>
            <w:r w:rsidRPr="0014757C">
              <w:rPr>
                <w:rFonts w:eastAsia="Times New Roman" w:cs="Arial"/>
                <w:b/>
                <w:bCs/>
                <w:color w:val="FFFFFF"/>
                <w:sz w:val="16"/>
                <w:szCs w:val="16"/>
                <w:lang w:val="en-US" w:eastAsia="en-AU"/>
              </w:rPr>
              <w:t> </w:t>
            </w:r>
          </w:p>
        </w:tc>
        <w:tc>
          <w:tcPr>
            <w:tcW w:w="4590" w:type="dxa"/>
            <w:gridSpan w:val="2"/>
            <w:tcBorders>
              <w:top w:val="nil"/>
              <w:left w:val="nil"/>
              <w:bottom w:val="nil"/>
              <w:right w:val="dotted" w:sz="4" w:space="0" w:color="000000" w:themeColor="text1"/>
            </w:tcBorders>
            <w:shd w:val="clear" w:color="auto" w:fill="309CC8"/>
            <w:vAlign w:val="center"/>
            <w:hideMark/>
          </w:tcPr>
          <w:p w14:paraId="16F64732" w14:textId="77777777" w:rsidR="0014757C" w:rsidRPr="0014757C" w:rsidRDefault="0014757C" w:rsidP="0014757C">
            <w:pPr>
              <w:spacing w:after="0" w:line="240" w:lineRule="auto"/>
              <w:jc w:val="center"/>
              <w:rPr>
                <w:rFonts w:eastAsia="Times New Roman" w:cs="Arial"/>
                <w:b/>
                <w:bCs/>
                <w:color w:val="FFFFFF"/>
                <w:sz w:val="16"/>
                <w:szCs w:val="16"/>
                <w:lang w:eastAsia="en-AU"/>
              </w:rPr>
            </w:pPr>
            <w:r w:rsidRPr="0014757C">
              <w:rPr>
                <w:rFonts w:eastAsia="Times New Roman" w:cs="Arial"/>
                <w:b/>
                <w:bCs/>
                <w:color w:val="FFFFFF"/>
                <w:sz w:val="16"/>
                <w:szCs w:val="16"/>
                <w:lang w:val="en-US" w:eastAsia="en-AU"/>
              </w:rPr>
              <w:t>Methods*</w:t>
            </w:r>
          </w:p>
        </w:tc>
        <w:tc>
          <w:tcPr>
            <w:tcW w:w="3261" w:type="dxa"/>
            <w:tcBorders>
              <w:top w:val="nil"/>
              <w:left w:val="nil"/>
              <w:bottom w:val="nil"/>
              <w:right w:val="dotted" w:sz="4" w:space="0" w:color="000000" w:themeColor="text1"/>
            </w:tcBorders>
            <w:shd w:val="clear" w:color="auto" w:fill="309CC8"/>
          </w:tcPr>
          <w:p w14:paraId="67629B1C" w14:textId="33889AF8" w:rsidR="00B92C08" w:rsidRDefault="00B92C08" w:rsidP="0014757C">
            <w:pPr>
              <w:spacing w:after="0" w:line="240" w:lineRule="auto"/>
              <w:jc w:val="center"/>
              <w:rPr>
                <w:rFonts w:eastAsia="Times New Roman" w:cs="Arial"/>
                <w:b/>
                <w:bCs/>
                <w:color w:val="FFFFFF"/>
                <w:sz w:val="16"/>
                <w:szCs w:val="16"/>
                <w:lang w:val="en-US" w:eastAsia="en-AU"/>
              </w:rPr>
            </w:pPr>
            <w:r>
              <w:rPr>
                <w:rFonts w:eastAsia="Times New Roman" w:cs="Arial"/>
                <w:b/>
                <w:bCs/>
                <w:color w:val="FFFFFF"/>
                <w:sz w:val="16"/>
                <w:szCs w:val="16"/>
                <w:lang w:val="en-US" w:eastAsia="en-AU"/>
              </w:rPr>
              <w:t>Projects</w:t>
            </w:r>
          </w:p>
        </w:tc>
      </w:tr>
      <w:tr w:rsidR="0014757C" w:rsidRPr="0014757C" w14:paraId="7B8C2429" w14:textId="77777777" w:rsidTr="00165996">
        <w:trPr>
          <w:trHeight w:val="630"/>
        </w:trPr>
        <w:tc>
          <w:tcPr>
            <w:tcW w:w="1080" w:type="dxa"/>
            <w:tcBorders>
              <w:top w:val="nil"/>
              <w:left w:val="nil"/>
              <w:bottom w:val="nil"/>
              <w:right w:val="nil"/>
            </w:tcBorders>
            <w:shd w:val="clear" w:color="auto" w:fill="309CC8"/>
            <w:vAlign w:val="center"/>
            <w:hideMark/>
          </w:tcPr>
          <w:p w14:paraId="2DAC9295" w14:textId="2FB8BC6F" w:rsidR="0014757C" w:rsidRPr="0014757C" w:rsidRDefault="002E29B0" w:rsidP="0014757C">
            <w:pPr>
              <w:spacing w:after="0" w:line="240" w:lineRule="auto"/>
              <w:jc w:val="right"/>
              <w:rPr>
                <w:rFonts w:eastAsia="Times New Roman" w:cs="Arial"/>
                <w:b/>
                <w:bCs/>
                <w:color w:val="FFFFFF"/>
                <w:sz w:val="16"/>
                <w:szCs w:val="16"/>
                <w:lang w:eastAsia="en-AU"/>
              </w:rPr>
            </w:pPr>
            <w:r>
              <w:rPr>
                <w:rFonts w:eastAsia="Times New Roman" w:cs="Arial"/>
                <w:b/>
                <w:bCs/>
                <w:color w:val="FFFFFF"/>
                <w:sz w:val="16"/>
                <w:szCs w:val="16"/>
                <w:lang w:val="en-US" w:eastAsia="en-AU"/>
              </w:rPr>
              <w:t>Activities</w:t>
            </w:r>
          </w:p>
        </w:tc>
        <w:tc>
          <w:tcPr>
            <w:tcW w:w="2000" w:type="dxa"/>
            <w:tcBorders>
              <w:top w:val="nil"/>
              <w:left w:val="nil"/>
              <w:bottom w:val="nil"/>
              <w:right w:val="nil"/>
            </w:tcBorders>
            <w:shd w:val="clear" w:color="auto" w:fill="309CC8"/>
            <w:vAlign w:val="center"/>
            <w:hideMark/>
          </w:tcPr>
          <w:p w14:paraId="50801BF2" w14:textId="431912A3" w:rsidR="004F3431" w:rsidRPr="0014757C" w:rsidRDefault="0014757C" w:rsidP="00041E36">
            <w:pPr>
              <w:spacing w:after="0" w:line="240" w:lineRule="auto"/>
              <w:jc w:val="right"/>
              <w:rPr>
                <w:rFonts w:eastAsia="Times New Roman" w:cs="Arial"/>
                <w:b/>
                <w:bCs/>
                <w:color w:val="FFFFFF"/>
                <w:sz w:val="16"/>
                <w:szCs w:val="16"/>
                <w:lang w:eastAsia="en-AU"/>
              </w:rPr>
            </w:pPr>
            <w:r w:rsidRPr="0014757C">
              <w:rPr>
                <w:rFonts w:eastAsia="Times New Roman" w:cs="Arial"/>
                <w:b/>
                <w:bCs/>
                <w:color w:val="FFFFFF"/>
                <w:sz w:val="16"/>
                <w:szCs w:val="16"/>
                <w:lang w:val="en-US" w:eastAsia="en-AU"/>
              </w:rPr>
              <w:t>Number of methods</w:t>
            </w:r>
            <w:r w:rsidR="00CD47FC">
              <w:rPr>
                <w:rFonts w:eastAsia="Times New Roman" w:cs="Arial"/>
                <w:b/>
                <w:bCs/>
                <w:color w:val="FFFFFF"/>
                <w:sz w:val="16"/>
                <w:szCs w:val="16"/>
                <w:lang w:val="en-US" w:eastAsia="en-AU"/>
              </w:rPr>
              <w:t xml:space="preserve"> </w:t>
            </w:r>
          </w:p>
        </w:tc>
        <w:tc>
          <w:tcPr>
            <w:tcW w:w="2590" w:type="dxa"/>
            <w:tcBorders>
              <w:top w:val="nil"/>
              <w:left w:val="nil"/>
              <w:bottom w:val="nil"/>
              <w:right w:val="dotted" w:sz="4" w:space="0" w:color="auto"/>
            </w:tcBorders>
            <w:shd w:val="clear" w:color="auto" w:fill="309CC8"/>
            <w:vAlign w:val="center"/>
            <w:hideMark/>
          </w:tcPr>
          <w:p w14:paraId="5DBCE722" w14:textId="61951A07" w:rsidR="0014757C" w:rsidRPr="0014757C" w:rsidRDefault="0014757C" w:rsidP="00A555C0">
            <w:pPr>
              <w:spacing w:after="0" w:line="240" w:lineRule="auto"/>
              <w:jc w:val="right"/>
              <w:rPr>
                <w:rFonts w:eastAsia="Times New Roman" w:cs="Arial"/>
                <w:b/>
                <w:bCs/>
                <w:color w:val="FFFFFF"/>
                <w:sz w:val="16"/>
                <w:szCs w:val="16"/>
                <w:lang w:eastAsia="en-AU"/>
              </w:rPr>
            </w:pPr>
            <w:r w:rsidRPr="0014757C">
              <w:rPr>
                <w:rFonts w:eastAsia="Times New Roman" w:cs="Arial"/>
                <w:b/>
                <w:bCs/>
                <w:color w:val="FFFFFF"/>
                <w:sz w:val="16"/>
                <w:szCs w:val="16"/>
                <w:lang w:val="en-US" w:eastAsia="en-AU"/>
              </w:rPr>
              <w:t>Number</w:t>
            </w:r>
            <w:r w:rsidR="00A555C0">
              <w:rPr>
                <w:rFonts w:eastAsia="Times New Roman" w:cs="Arial"/>
                <w:b/>
                <w:bCs/>
                <w:color w:val="FFFFFF"/>
                <w:sz w:val="16"/>
                <w:szCs w:val="16"/>
                <w:lang w:val="en-US" w:eastAsia="en-AU"/>
              </w:rPr>
              <w:t xml:space="preserve"> of methods without registered ERF</w:t>
            </w:r>
            <w:r w:rsidRPr="0014757C">
              <w:rPr>
                <w:rFonts w:eastAsia="Times New Roman" w:cs="Arial"/>
                <w:b/>
                <w:bCs/>
                <w:color w:val="FFFFFF"/>
                <w:sz w:val="16"/>
                <w:szCs w:val="16"/>
                <w:lang w:val="en-US" w:eastAsia="en-AU"/>
              </w:rPr>
              <w:t xml:space="preserve"> projects</w:t>
            </w:r>
          </w:p>
        </w:tc>
        <w:tc>
          <w:tcPr>
            <w:tcW w:w="3261" w:type="dxa"/>
            <w:tcBorders>
              <w:top w:val="nil"/>
              <w:left w:val="nil"/>
              <w:bottom w:val="nil"/>
              <w:right w:val="nil"/>
            </w:tcBorders>
            <w:shd w:val="clear" w:color="auto" w:fill="309CC8"/>
            <w:vAlign w:val="center"/>
            <w:hideMark/>
          </w:tcPr>
          <w:p w14:paraId="239B6F72" w14:textId="77777777" w:rsidR="0014757C" w:rsidRDefault="0014757C" w:rsidP="0014757C">
            <w:pPr>
              <w:spacing w:after="0" w:line="240" w:lineRule="auto"/>
              <w:jc w:val="right"/>
              <w:rPr>
                <w:rFonts w:eastAsia="Times New Roman" w:cs="Arial"/>
                <w:b/>
                <w:bCs/>
                <w:color w:val="FFFFFF"/>
                <w:sz w:val="16"/>
                <w:szCs w:val="16"/>
                <w:lang w:val="en-US" w:eastAsia="en-AU"/>
              </w:rPr>
            </w:pPr>
            <w:r w:rsidRPr="0014757C">
              <w:rPr>
                <w:rFonts w:eastAsia="Times New Roman" w:cs="Arial"/>
                <w:b/>
                <w:bCs/>
                <w:color w:val="FFFFFF"/>
                <w:sz w:val="16"/>
                <w:szCs w:val="16"/>
                <w:lang w:val="en-US" w:eastAsia="en-AU"/>
              </w:rPr>
              <w:t>Number of registered projects</w:t>
            </w:r>
          </w:p>
          <w:p w14:paraId="32FBE37C" w14:textId="30ED50DD" w:rsidR="006860DF" w:rsidRPr="0014757C" w:rsidRDefault="006860DF" w:rsidP="00664478">
            <w:pPr>
              <w:spacing w:after="0" w:line="240" w:lineRule="auto"/>
              <w:jc w:val="right"/>
              <w:rPr>
                <w:rFonts w:eastAsia="Times New Roman" w:cs="Arial"/>
                <w:b/>
                <w:bCs/>
                <w:color w:val="FFFFFF"/>
                <w:sz w:val="16"/>
                <w:szCs w:val="16"/>
                <w:lang w:eastAsia="en-AU"/>
              </w:rPr>
            </w:pPr>
            <w:r>
              <w:rPr>
                <w:rFonts w:eastAsia="Times New Roman" w:cs="Arial"/>
                <w:b/>
                <w:bCs/>
                <w:color w:val="FFFFFF"/>
                <w:sz w:val="16"/>
                <w:szCs w:val="16"/>
                <w:lang w:val="en-US" w:eastAsia="en-AU"/>
              </w:rPr>
              <w:t>(</w:t>
            </w:r>
            <w:r w:rsidR="00041E36">
              <w:rPr>
                <w:rFonts w:eastAsia="Times New Roman" w:cs="Arial"/>
                <w:b/>
                <w:bCs/>
                <w:color w:val="FFFFFF"/>
                <w:sz w:val="16"/>
                <w:szCs w:val="16"/>
                <w:lang w:val="en-US" w:eastAsia="en-AU"/>
              </w:rPr>
              <w:t xml:space="preserve">net </w:t>
            </w:r>
            <w:r>
              <w:rPr>
                <w:rFonts w:eastAsia="Times New Roman" w:cs="Arial"/>
                <w:b/>
                <w:bCs/>
                <w:color w:val="FFFFFF"/>
                <w:sz w:val="16"/>
                <w:szCs w:val="16"/>
                <w:lang w:val="en-US" w:eastAsia="en-AU"/>
              </w:rPr>
              <w:t>change since 2017)</w:t>
            </w:r>
          </w:p>
        </w:tc>
      </w:tr>
      <w:tr w:rsidR="0014757C" w:rsidRPr="0014757C" w14:paraId="54969F42" w14:textId="77777777" w:rsidTr="00165996">
        <w:trPr>
          <w:trHeight w:val="250"/>
        </w:trPr>
        <w:tc>
          <w:tcPr>
            <w:tcW w:w="1080" w:type="dxa"/>
            <w:tcBorders>
              <w:top w:val="nil"/>
              <w:left w:val="nil"/>
              <w:bottom w:val="dotted" w:sz="4" w:space="0" w:color="auto"/>
              <w:right w:val="nil"/>
            </w:tcBorders>
            <w:shd w:val="clear" w:color="auto" w:fill="auto"/>
            <w:vAlign w:val="center"/>
            <w:hideMark/>
          </w:tcPr>
          <w:p w14:paraId="4A542697" w14:textId="77777777" w:rsidR="0014757C" w:rsidRPr="0014757C" w:rsidRDefault="0014757C" w:rsidP="0014757C">
            <w:pPr>
              <w:spacing w:after="0" w:line="240" w:lineRule="auto"/>
              <w:rPr>
                <w:rFonts w:eastAsia="Times New Roman" w:cs="Arial"/>
                <w:b/>
                <w:bCs/>
                <w:sz w:val="16"/>
                <w:szCs w:val="16"/>
                <w:lang w:eastAsia="en-AU"/>
              </w:rPr>
            </w:pPr>
            <w:r w:rsidRPr="0014757C">
              <w:rPr>
                <w:rFonts w:eastAsia="Times New Roman" w:cs="Arial"/>
                <w:b/>
                <w:bCs/>
                <w:sz w:val="16"/>
                <w:szCs w:val="16"/>
                <w:lang w:eastAsia="en-AU"/>
              </w:rPr>
              <w:t xml:space="preserve">Vegetation </w:t>
            </w:r>
          </w:p>
        </w:tc>
        <w:tc>
          <w:tcPr>
            <w:tcW w:w="2000" w:type="dxa"/>
            <w:tcBorders>
              <w:top w:val="nil"/>
              <w:left w:val="nil"/>
              <w:bottom w:val="dotted" w:sz="4" w:space="0" w:color="auto"/>
              <w:right w:val="nil"/>
            </w:tcBorders>
            <w:shd w:val="clear" w:color="auto" w:fill="auto"/>
            <w:vAlign w:val="center"/>
            <w:hideMark/>
          </w:tcPr>
          <w:p w14:paraId="195945B3" w14:textId="60DBFC6A" w:rsidR="0014757C" w:rsidRPr="0014757C" w:rsidRDefault="0014757C" w:rsidP="00041E36">
            <w:pPr>
              <w:spacing w:after="0" w:line="240" w:lineRule="auto"/>
              <w:jc w:val="right"/>
              <w:rPr>
                <w:rFonts w:eastAsia="Times New Roman" w:cs="Arial"/>
                <w:sz w:val="16"/>
                <w:szCs w:val="16"/>
                <w:lang w:eastAsia="en-AU"/>
              </w:rPr>
            </w:pPr>
            <w:r w:rsidRPr="0014757C">
              <w:rPr>
                <w:rFonts w:eastAsia="Times New Roman" w:cs="Arial"/>
                <w:sz w:val="16"/>
                <w:szCs w:val="16"/>
                <w:lang w:eastAsia="en-AU"/>
              </w:rPr>
              <w:t>9</w:t>
            </w:r>
          </w:p>
        </w:tc>
        <w:tc>
          <w:tcPr>
            <w:tcW w:w="2590" w:type="dxa"/>
            <w:tcBorders>
              <w:top w:val="nil"/>
              <w:left w:val="nil"/>
              <w:bottom w:val="dotted" w:sz="4" w:space="0" w:color="auto"/>
              <w:right w:val="dotted" w:sz="4" w:space="0" w:color="auto"/>
            </w:tcBorders>
            <w:shd w:val="clear" w:color="auto" w:fill="auto"/>
            <w:vAlign w:val="center"/>
            <w:hideMark/>
          </w:tcPr>
          <w:p w14:paraId="10D3AB83" w14:textId="2C5E50C2" w:rsidR="0014757C" w:rsidRPr="0014757C" w:rsidRDefault="0014757C" w:rsidP="007C294E">
            <w:pPr>
              <w:spacing w:after="0" w:line="240" w:lineRule="auto"/>
              <w:jc w:val="right"/>
              <w:rPr>
                <w:rFonts w:eastAsia="Times New Roman" w:cs="Arial"/>
                <w:sz w:val="16"/>
                <w:szCs w:val="16"/>
                <w:lang w:eastAsia="en-AU"/>
              </w:rPr>
            </w:pPr>
            <w:r w:rsidRPr="0014757C">
              <w:rPr>
                <w:rFonts w:eastAsia="Times New Roman" w:cs="Arial"/>
                <w:sz w:val="16"/>
                <w:szCs w:val="16"/>
                <w:lang w:eastAsia="en-AU"/>
              </w:rPr>
              <w:t>0</w:t>
            </w:r>
          </w:p>
        </w:tc>
        <w:tc>
          <w:tcPr>
            <w:tcW w:w="3261" w:type="dxa"/>
            <w:tcBorders>
              <w:top w:val="nil"/>
              <w:left w:val="nil"/>
              <w:bottom w:val="dotted" w:sz="4" w:space="0" w:color="auto"/>
              <w:right w:val="nil"/>
            </w:tcBorders>
            <w:shd w:val="clear" w:color="auto" w:fill="auto"/>
            <w:vAlign w:val="center"/>
            <w:hideMark/>
          </w:tcPr>
          <w:p w14:paraId="23677F02" w14:textId="3F3BF494" w:rsidR="0014757C" w:rsidRPr="0014757C" w:rsidRDefault="0014757C" w:rsidP="007C294E">
            <w:pPr>
              <w:spacing w:after="0" w:line="240" w:lineRule="auto"/>
              <w:jc w:val="right"/>
              <w:rPr>
                <w:rFonts w:eastAsia="Times New Roman" w:cs="Arial"/>
                <w:sz w:val="16"/>
                <w:szCs w:val="16"/>
                <w:lang w:eastAsia="en-AU"/>
              </w:rPr>
            </w:pPr>
            <w:r w:rsidRPr="0014757C">
              <w:rPr>
                <w:rFonts w:eastAsia="Times New Roman" w:cs="Arial"/>
                <w:sz w:val="16"/>
                <w:szCs w:val="16"/>
                <w:lang w:eastAsia="en-AU"/>
              </w:rPr>
              <w:t>4</w:t>
            </w:r>
            <w:r w:rsidR="006D4045">
              <w:rPr>
                <w:rFonts w:eastAsia="Times New Roman" w:cs="Arial"/>
                <w:sz w:val="16"/>
                <w:szCs w:val="16"/>
                <w:lang w:eastAsia="en-AU"/>
              </w:rPr>
              <w:t>94</w:t>
            </w:r>
            <w:r w:rsidR="006860DF">
              <w:rPr>
                <w:rFonts w:eastAsia="Times New Roman" w:cs="Arial"/>
                <w:sz w:val="16"/>
                <w:szCs w:val="16"/>
                <w:lang w:eastAsia="en-AU"/>
              </w:rPr>
              <w:t xml:space="preserve"> (</w:t>
            </w:r>
            <w:r w:rsidR="006D4045">
              <w:rPr>
                <w:rFonts w:eastAsia="Times New Roman" w:cs="Arial"/>
                <w:sz w:val="16"/>
                <w:szCs w:val="16"/>
                <w:lang w:eastAsia="en-AU"/>
              </w:rPr>
              <w:t>135</w:t>
            </w:r>
            <w:r w:rsidR="006860DF">
              <w:rPr>
                <w:rFonts w:eastAsia="Times New Roman" w:cs="Arial"/>
                <w:sz w:val="16"/>
                <w:szCs w:val="16"/>
                <w:lang w:eastAsia="en-AU"/>
              </w:rPr>
              <w:t>)</w:t>
            </w:r>
          </w:p>
        </w:tc>
      </w:tr>
      <w:tr w:rsidR="0014757C" w:rsidRPr="0014757C" w14:paraId="49ED2999" w14:textId="77777777" w:rsidTr="00165996">
        <w:trPr>
          <w:trHeight w:val="420"/>
        </w:trPr>
        <w:tc>
          <w:tcPr>
            <w:tcW w:w="1080" w:type="dxa"/>
            <w:tcBorders>
              <w:top w:val="nil"/>
              <w:left w:val="nil"/>
              <w:bottom w:val="dotted" w:sz="4" w:space="0" w:color="auto"/>
              <w:right w:val="nil"/>
            </w:tcBorders>
            <w:shd w:val="clear" w:color="auto" w:fill="auto"/>
            <w:vAlign w:val="center"/>
            <w:hideMark/>
          </w:tcPr>
          <w:p w14:paraId="3168858A" w14:textId="77777777" w:rsidR="0014757C" w:rsidRPr="0014757C" w:rsidRDefault="0014757C" w:rsidP="0014757C">
            <w:pPr>
              <w:spacing w:after="0" w:line="240" w:lineRule="auto"/>
              <w:rPr>
                <w:rFonts w:eastAsia="Times New Roman" w:cs="Arial"/>
                <w:b/>
                <w:bCs/>
                <w:sz w:val="16"/>
                <w:szCs w:val="16"/>
                <w:lang w:eastAsia="en-AU"/>
              </w:rPr>
            </w:pPr>
            <w:r w:rsidRPr="0014757C">
              <w:rPr>
                <w:rFonts w:eastAsia="Times New Roman" w:cs="Arial"/>
                <w:b/>
                <w:bCs/>
                <w:sz w:val="16"/>
                <w:szCs w:val="16"/>
                <w:lang w:eastAsia="en-AU"/>
              </w:rPr>
              <w:t>Waste and wastewater</w:t>
            </w:r>
          </w:p>
        </w:tc>
        <w:tc>
          <w:tcPr>
            <w:tcW w:w="2000" w:type="dxa"/>
            <w:tcBorders>
              <w:top w:val="nil"/>
              <w:left w:val="nil"/>
              <w:bottom w:val="dotted" w:sz="4" w:space="0" w:color="auto"/>
              <w:right w:val="nil"/>
            </w:tcBorders>
            <w:shd w:val="clear" w:color="auto" w:fill="auto"/>
            <w:vAlign w:val="center"/>
            <w:hideMark/>
          </w:tcPr>
          <w:p w14:paraId="11D7BB74" w14:textId="0643DF5A" w:rsidR="0014757C" w:rsidRPr="0014757C" w:rsidRDefault="0014757C" w:rsidP="00041E36">
            <w:pPr>
              <w:spacing w:after="0" w:line="240" w:lineRule="auto"/>
              <w:jc w:val="right"/>
              <w:rPr>
                <w:rFonts w:eastAsia="Times New Roman" w:cs="Arial"/>
                <w:sz w:val="16"/>
                <w:szCs w:val="16"/>
                <w:lang w:eastAsia="en-AU"/>
              </w:rPr>
            </w:pPr>
            <w:r w:rsidRPr="0014757C">
              <w:rPr>
                <w:rFonts w:eastAsia="Times New Roman" w:cs="Arial"/>
                <w:sz w:val="16"/>
                <w:szCs w:val="16"/>
                <w:lang w:eastAsia="en-AU"/>
              </w:rPr>
              <w:t>4</w:t>
            </w:r>
          </w:p>
        </w:tc>
        <w:tc>
          <w:tcPr>
            <w:tcW w:w="2590" w:type="dxa"/>
            <w:tcBorders>
              <w:top w:val="nil"/>
              <w:left w:val="nil"/>
              <w:bottom w:val="dotted" w:sz="4" w:space="0" w:color="auto"/>
              <w:right w:val="dotted" w:sz="4" w:space="0" w:color="auto"/>
            </w:tcBorders>
            <w:shd w:val="clear" w:color="auto" w:fill="auto"/>
            <w:vAlign w:val="center"/>
            <w:hideMark/>
          </w:tcPr>
          <w:p w14:paraId="1C3F0D16" w14:textId="0697E716" w:rsidR="0014757C" w:rsidRPr="0014757C" w:rsidRDefault="0014757C" w:rsidP="007C294E">
            <w:pPr>
              <w:spacing w:after="0" w:line="240" w:lineRule="auto"/>
              <w:jc w:val="right"/>
              <w:rPr>
                <w:rFonts w:eastAsia="Times New Roman" w:cs="Arial"/>
                <w:sz w:val="16"/>
                <w:szCs w:val="16"/>
                <w:lang w:eastAsia="en-AU"/>
              </w:rPr>
            </w:pPr>
            <w:r w:rsidRPr="0014757C">
              <w:rPr>
                <w:rFonts w:eastAsia="Times New Roman" w:cs="Arial"/>
                <w:sz w:val="16"/>
                <w:szCs w:val="16"/>
                <w:lang w:eastAsia="en-AU"/>
              </w:rPr>
              <w:t>0</w:t>
            </w:r>
          </w:p>
        </w:tc>
        <w:tc>
          <w:tcPr>
            <w:tcW w:w="3261" w:type="dxa"/>
            <w:tcBorders>
              <w:top w:val="nil"/>
              <w:left w:val="nil"/>
              <w:bottom w:val="dotted" w:sz="4" w:space="0" w:color="auto"/>
              <w:right w:val="nil"/>
            </w:tcBorders>
            <w:shd w:val="clear" w:color="auto" w:fill="auto"/>
            <w:vAlign w:val="center"/>
            <w:hideMark/>
          </w:tcPr>
          <w:p w14:paraId="39E5C475" w14:textId="672B4FED" w:rsidR="0014757C" w:rsidRPr="0014757C" w:rsidRDefault="0014757C" w:rsidP="007C294E">
            <w:pPr>
              <w:spacing w:after="0" w:line="240" w:lineRule="auto"/>
              <w:jc w:val="right"/>
              <w:rPr>
                <w:rFonts w:eastAsia="Times New Roman" w:cs="Arial"/>
                <w:sz w:val="16"/>
                <w:szCs w:val="16"/>
                <w:lang w:eastAsia="en-AU"/>
              </w:rPr>
            </w:pPr>
            <w:r w:rsidRPr="0014757C">
              <w:rPr>
                <w:rFonts w:eastAsia="Times New Roman" w:cs="Arial"/>
                <w:sz w:val="16"/>
                <w:szCs w:val="16"/>
                <w:lang w:eastAsia="en-AU"/>
              </w:rPr>
              <w:t>14</w:t>
            </w:r>
            <w:r w:rsidR="00F80012">
              <w:rPr>
                <w:rFonts w:eastAsia="Times New Roman" w:cs="Arial"/>
                <w:sz w:val="16"/>
                <w:szCs w:val="16"/>
                <w:lang w:eastAsia="en-AU"/>
              </w:rPr>
              <w:t>1</w:t>
            </w:r>
            <w:r w:rsidR="006860DF">
              <w:rPr>
                <w:rFonts w:eastAsia="Times New Roman" w:cs="Arial"/>
                <w:sz w:val="16"/>
                <w:szCs w:val="16"/>
                <w:lang w:eastAsia="en-AU"/>
              </w:rPr>
              <w:t xml:space="preserve"> (</w:t>
            </w:r>
            <w:r w:rsidR="00F80012">
              <w:rPr>
                <w:rFonts w:eastAsia="Times New Roman" w:cs="Arial"/>
                <w:sz w:val="16"/>
                <w:szCs w:val="16"/>
                <w:lang w:eastAsia="en-AU"/>
              </w:rPr>
              <w:t>7</w:t>
            </w:r>
            <w:r w:rsidR="006860DF">
              <w:rPr>
                <w:rFonts w:eastAsia="Times New Roman" w:cs="Arial"/>
                <w:sz w:val="16"/>
                <w:szCs w:val="16"/>
                <w:lang w:eastAsia="en-AU"/>
              </w:rPr>
              <w:t>)</w:t>
            </w:r>
          </w:p>
        </w:tc>
      </w:tr>
      <w:tr w:rsidR="0014757C" w:rsidRPr="0014757C" w14:paraId="10A873C3" w14:textId="77777777" w:rsidTr="00165996">
        <w:trPr>
          <w:trHeight w:val="250"/>
        </w:trPr>
        <w:tc>
          <w:tcPr>
            <w:tcW w:w="1080" w:type="dxa"/>
            <w:tcBorders>
              <w:top w:val="nil"/>
              <w:left w:val="nil"/>
              <w:bottom w:val="dotted" w:sz="4" w:space="0" w:color="auto"/>
              <w:right w:val="nil"/>
            </w:tcBorders>
            <w:shd w:val="clear" w:color="auto" w:fill="auto"/>
            <w:vAlign w:val="center"/>
            <w:hideMark/>
          </w:tcPr>
          <w:p w14:paraId="2A61B663" w14:textId="1FC59301" w:rsidR="0014757C" w:rsidRPr="0014757C" w:rsidRDefault="0014757C" w:rsidP="0014757C">
            <w:pPr>
              <w:spacing w:after="0" w:line="240" w:lineRule="auto"/>
              <w:rPr>
                <w:rFonts w:eastAsia="Times New Roman" w:cs="Arial"/>
                <w:b/>
                <w:bCs/>
                <w:sz w:val="16"/>
                <w:szCs w:val="16"/>
                <w:lang w:eastAsia="en-AU"/>
              </w:rPr>
            </w:pPr>
            <w:r w:rsidRPr="0014757C">
              <w:rPr>
                <w:rFonts w:eastAsia="Times New Roman" w:cs="Arial"/>
                <w:b/>
                <w:bCs/>
                <w:sz w:val="16"/>
                <w:szCs w:val="16"/>
                <w:lang w:eastAsia="en-AU"/>
              </w:rPr>
              <w:t>Agriculture</w:t>
            </w:r>
            <w:r w:rsidR="00DD7C69">
              <w:rPr>
                <w:rFonts w:eastAsia="Times New Roman" w:cs="Arial"/>
                <w:b/>
                <w:bCs/>
                <w:sz w:val="16"/>
                <w:szCs w:val="16"/>
                <w:lang w:eastAsia="en-AU"/>
              </w:rPr>
              <w:t xml:space="preserve"> (soil C)</w:t>
            </w:r>
          </w:p>
        </w:tc>
        <w:tc>
          <w:tcPr>
            <w:tcW w:w="2000" w:type="dxa"/>
            <w:tcBorders>
              <w:top w:val="nil"/>
              <w:left w:val="nil"/>
              <w:bottom w:val="dotted" w:sz="4" w:space="0" w:color="auto"/>
              <w:right w:val="nil"/>
            </w:tcBorders>
            <w:shd w:val="clear" w:color="auto" w:fill="auto"/>
            <w:vAlign w:val="center"/>
            <w:hideMark/>
          </w:tcPr>
          <w:p w14:paraId="019ECBB6" w14:textId="3F2BE1A7" w:rsidR="0014757C" w:rsidRPr="0014757C" w:rsidRDefault="00DD7C69" w:rsidP="00041E36">
            <w:pPr>
              <w:spacing w:after="0" w:line="240" w:lineRule="auto"/>
              <w:jc w:val="right"/>
              <w:rPr>
                <w:rFonts w:eastAsia="Times New Roman" w:cs="Arial"/>
                <w:sz w:val="16"/>
                <w:szCs w:val="16"/>
                <w:lang w:eastAsia="en-AU"/>
              </w:rPr>
            </w:pPr>
            <w:r>
              <w:rPr>
                <w:rFonts w:eastAsia="Times New Roman" w:cs="Arial"/>
                <w:sz w:val="16"/>
                <w:szCs w:val="16"/>
                <w:lang w:eastAsia="en-AU"/>
              </w:rPr>
              <w:t>2</w:t>
            </w:r>
          </w:p>
        </w:tc>
        <w:tc>
          <w:tcPr>
            <w:tcW w:w="2590" w:type="dxa"/>
            <w:tcBorders>
              <w:top w:val="nil"/>
              <w:left w:val="nil"/>
              <w:bottom w:val="dotted" w:sz="4" w:space="0" w:color="auto"/>
              <w:right w:val="dotted" w:sz="4" w:space="0" w:color="auto"/>
            </w:tcBorders>
            <w:shd w:val="clear" w:color="auto" w:fill="auto"/>
            <w:vAlign w:val="center"/>
            <w:hideMark/>
          </w:tcPr>
          <w:p w14:paraId="43F9AD21" w14:textId="67C891A0" w:rsidR="0014757C" w:rsidRPr="0014757C" w:rsidRDefault="00DD7C69" w:rsidP="007C294E">
            <w:pPr>
              <w:spacing w:after="0" w:line="240" w:lineRule="auto"/>
              <w:jc w:val="right"/>
              <w:rPr>
                <w:rFonts w:eastAsia="Times New Roman" w:cs="Arial"/>
                <w:sz w:val="16"/>
                <w:szCs w:val="16"/>
                <w:lang w:eastAsia="en-AU"/>
              </w:rPr>
            </w:pPr>
            <w:r>
              <w:rPr>
                <w:rFonts w:eastAsia="Times New Roman" w:cs="Arial"/>
                <w:sz w:val="16"/>
                <w:szCs w:val="16"/>
                <w:lang w:eastAsia="en-AU"/>
              </w:rPr>
              <w:t>1</w:t>
            </w:r>
          </w:p>
        </w:tc>
        <w:tc>
          <w:tcPr>
            <w:tcW w:w="3261" w:type="dxa"/>
            <w:tcBorders>
              <w:top w:val="nil"/>
              <w:left w:val="nil"/>
              <w:bottom w:val="dotted" w:sz="4" w:space="0" w:color="auto"/>
              <w:right w:val="nil"/>
            </w:tcBorders>
            <w:shd w:val="clear" w:color="auto" w:fill="auto"/>
            <w:vAlign w:val="center"/>
            <w:hideMark/>
          </w:tcPr>
          <w:p w14:paraId="5C73A4AD" w14:textId="0DD784F6" w:rsidR="0014757C" w:rsidRPr="0014757C" w:rsidRDefault="00F80012" w:rsidP="007C294E">
            <w:pPr>
              <w:spacing w:after="0" w:line="240" w:lineRule="auto"/>
              <w:jc w:val="right"/>
              <w:rPr>
                <w:rFonts w:eastAsia="Times New Roman" w:cs="Arial"/>
                <w:sz w:val="16"/>
                <w:szCs w:val="16"/>
                <w:lang w:eastAsia="en-AU"/>
              </w:rPr>
            </w:pPr>
            <w:r>
              <w:rPr>
                <w:rFonts w:eastAsia="Times New Roman" w:cs="Arial"/>
                <w:sz w:val="16"/>
                <w:szCs w:val="16"/>
                <w:lang w:eastAsia="en-AU"/>
              </w:rPr>
              <w:t>64</w:t>
            </w:r>
            <w:r w:rsidR="006860DF">
              <w:rPr>
                <w:rFonts w:eastAsia="Times New Roman" w:cs="Arial"/>
                <w:sz w:val="16"/>
                <w:szCs w:val="16"/>
                <w:lang w:eastAsia="en-AU"/>
              </w:rPr>
              <w:t xml:space="preserve"> (</w:t>
            </w:r>
            <w:r>
              <w:rPr>
                <w:rFonts w:eastAsia="Times New Roman" w:cs="Arial"/>
                <w:sz w:val="16"/>
                <w:szCs w:val="16"/>
                <w:lang w:eastAsia="en-AU"/>
              </w:rPr>
              <w:t>3</w:t>
            </w:r>
            <w:r w:rsidR="00067CD5">
              <w:rPr>
                <w:rFonts w:eastAsia="Times New Roman" w:cs="Arial"/>
                <w:sz w:val="16"/>
                <w:szCs w:val="16"/>
                <w:lang w:eastAsia="en-AU"/>
              </w:rPr>
              <w:t>6</w:t>
            </w:r>
            <w:r w:rsidR="006860DF">
              <w:rPr>
                <w:rFonts w:eastAsia="Times New Roman" w:cs="Arial"/>
                <w:sz w:val="16"/>
                <w:szCs w:val="16"/>
                <w:lang w:eastAsia="en-AU"/>
              </w:rPr>
              <w:t>)</w:t>
            </w:r>
          </w:p>
        </w:tc>
      </w:tr>
      <w:tr w:rsidR="00DD7C69" w:rsidRPr="0014757C" w14:paraId="79256DB2" w14:textId="77777777" w:rsidTr="00165996">
        <w:trPr>
          <w:trHeight w:val="250"/>
        </w:trPr>
        <w:tc>
          <w:tcPr>
            <w:tcW w:w="1080" w:type="dxa"/>
            <w:tcBorders>
              <w:top w:val="nil"/>
              <w:left w:val="nil"/>
              <w:bottom w:val="dotted" w:sz="4" w:space="0" w:color="auto"/>
              <w:right w:val="nil"/>
            </w:tcBorders>
            <w:shd w:val="clear" w:color="auto" w:fill="auto"/>
            <w:vAlign w:val="center"/>
          </w:tcPr>
          <w:p w14:paraId="5A7A0860" w14:textId="79A550B8" w:rsidR="00DD7C69" w:rsidRPr="0014757C" w:rsidRDefault="00DD7C69" w:rsidP="0014757C">
            <w:pPr>
              <w:spacing w:after="0" w:line="240" w:lineRule="auto"/>
              <w:rPr>
                <w:rFonts w:eastAsia="Times New Roman" w:cs="Arial"/>
                <w:b/>
                <w:bCs/>
                <w:sz w:val="16"/>
                <w:szCs w:val="16"/>
                <w:lang w:eastAsia="en-AU"/>
              </w:rPr>
            </w:pPr>
            <w:r w:rsidRPr="0014757C">
              <w:rPr>
                <w:rFonts w:eastAsia="Times New Roman" w:cs="Arial"/>
                <w:b/>
                <w:bCs/>
                <w:sz w:val="16"/>
                <w:szCs w:val="16"/>
                <w:lang w:eastAsia="en-AU"/>
              </w:rPr>
              <w:t>Agriculture</w:t>
            </w:r>
            <w:r>
              <w:rPr>
                <w:rFonts w:eastAsia="Times New Roman" w:cs="Arial"/>
                <w:b/>
                <w:bCs/>
                <w:sz w:val="16"/>
                <w:szCs w:val="16"/>
                <w:lang w:eastAsia="en-AU"/>
              </w:rPr>
              <w:t xml:space="preserve"> (other)</w:t>
            </w:r>
          </w:p>
        </w:tc>
        <w:tc>
          <w:tcPr>
            <w:tcW w:w="2000" w:type="dxa"/>
            <w:tcBorders>
              <w:top w:val="nil"/>
              <w:left w:val="nil"/>
              <w:bottom w:val="dotted" w:sz="4" w:space="0" w:color="auto"/>
              <w:right w:val="nil"/>
            </w:tcBorders>
            <w:shd w:val="clear" w:color="auto" w:fill="auto"/>
            <w:vAlign w:val="center"/>
          </w:tcPr>
          <w:p w14:paraId="16A04336" w14:textId="7B60E89E" w:rsidR="00DD7C69" w:rsidRPr="0014757C" w:rsidRDefault="00DD7C69" w:rsidP="00041E36">
            <w:pPr>
              <w:spacing w:after="0" w:line="240" w:lineRule="auto"/>
              <w:jc w:val="right"/>
              <w:rPr>
                <w:rFonts w:eastAsia="Times New Roman" w:cs="Arial"/>
                <w:sz w:val="16"/>
                <w:szCs w:val="16"/>
                <w:lang w:eastAsia="en-AU"/>
              </w:rPr>
            </w:pPr>
            <w:r>
              <w:rPr>
                <w:rFonts w:eastAsia="Times New Roman" w:cs="Arial"/>
                <w:sz w:val="16"/>
                <w:szCs w:val="16"/>
                <w:lang w:eastAsia="en-AU"/>
              </w:rPr>
              <w:t>5</w:t>
            </w:r>
          </w:p>
        </w:tc>
        <w:tc>
          <w:tcPr>
            <w:tcW w:w="2590" w:type="dxa"/>
            <w:tcBorders>
              <w:top w:val="nil"/>
              <w:left w:val="nil"/>
              <w:bottom w:val="dotted" w:sz="4" w:space="0" w:color="auto"/>
              <w:right w:val="dotted" w:sz="4" w:space="0" w:color="auto"/>
            </w:tcBorders>
            <w:shd w:val="clear" w:color="auto" w:fill="auto"/>
            <w:vAlign w:val="center"/>
          </w:tcPr>
          <w:p w14:paraId="1D3F3D85" w14:textId="4FF798F8" w:rsidR="00DD7C69" w:rsidRPr="0014757C" w:rsidRDefault="00DD7C69" w:rsidP="007C294E">
            <w:pPr>
              <w:spacing w:after="0" w:line="240" w:lineRule="auto"/>
              <w:jc w:val="right"/>
              <w:rPr>
                <w:rFonts w:eastAsia="Times New Roman" w:cs="Arial"/>
                <w:sz w:val="16"/>
                <w:szCs w:val="16"/>
                <w:lang w:eastAsia="en-AU"/>
              </w:rPr>
            </w:pPr>
            <w:r>
              <w:rPr>
                <w:rFonts w:eastAsia="Times New Roman" w:cs="Arial"/>
                <w:sz w:val="16"/>
                <w:szCs w:val="16"/>
                <w:lang w:eastAsia="en-AU"/>
              </w:rPr>
              <w:t>4</w:t>
            </w:r>
          </w:p>
        </w:tc>
        <w:tc>
          <w:tcPr>
            <w:tcW w:w="3261" w:type="dxa"/>
            <w:tcBorders>
              <w:top w:val="nil"/>
              <w:left w:val="nil"/>
              <w:bottom w:val="dotted" w:sz="4" w:space="0" w:color="auto"/>
              <w:right w:val="nil"/>
            </w:tcBorders>
            <w:shd w:val="clear" w:color="auto" w:fill="auto"/>
            <w:vAlign w:val="center"/>
          </w:tcPr>
          <w:p w14:paraId="1E27D50F" w14:textId="1ECBB564" w:rsidR="00DD7C69" w:rsidRPr="0014757C" w:rsidRDefault="00F80012" w:rsidP="007C294E">
            <w:pPr>
              <w:spacing w:after="0" w:line="240" w:lineRule="auto"/>
              <w:jc w:val="right"/>
              <w:rPr>
                <w:rFonts w:eastAsia="Times New Roman" w:cs="Arial"/>
                <w:sz w:val="16"/>
                <w:szCs w:val="16"/>
                <w:lang w:eastAsia="en-AU"/>
              </w:rPr>
            </w:pPr>
            <w:r>
              <w:rPr>
                <w:rFonts w:eastAsia="Times New Roman" w:cs="Arial"/>
                <w:sz w:val="16"/>
                <w:szCs w:val="16"/>
                <w:lang w:eastAsia="en-AU"/>
              </w:rPr>
              <w:t>20 (</w:t>
            </w:r>
            <w:r w:rsidR="00067CD5">
              <w:rPr>
                <w:rFonts w:eastAsia="Times New Roman" w:cs="Arial"/>
                <w:sz w:val="16"/>
                <w:szCs w:val="16"/>
                <w:lang w:eastAsia="en-AU"/>
              </w:rPr>
              <w:t>3</w:t>
            </w:r>
            <w:r>
              <w:rPr>
                <w:rFonts w:eastAsia="Times New Roman" w:cs="Arial"/>
                <w:sz w:val="16"/>
                <w:szCs w:val="16"/>
                <w:lang w:eastAsia="en-AU"/>
              </w:rPr>
              <w:t>)</w:t>
            </w:r>
          </w:p>
        </w:tc>
      </w:tr>
      <w:tr w:rsidR="0014757C" w:rsidRPr="0014757C" w14:paraId="39774548" w14:textId="77777777" w:rsidTr="00165996">
        <w:trPr>
          <w:trHeight w:val="420"/>
        </w:trPr>
        <w:tc>
          <w:tcPr>
            <w:tcW w:w="1080" w:type="dxa"/>
            <w:tcBorders>
              <w:top w:val="nil"/>
              <w:left w:val="nil"/>
              <w:bottom w:val="dotted" w:sz="4" w:space="0" w:color="auto"/>
              <w:right w:val="nil"/>
            </w:tcBorders>
            <w:shd w:val="clear" w:color="auto" w:fill="auto"/>
            <w:vAlign w:val="center"/>
            <w:hideMark/>
          </w:tcPr>
          <w:p w14:paraId="296DBC9C" w14:textId="77777777" w:rsidR="0014757C" w:rsidRPr="0014757C" w:rsidRDefault="0014757C" w:rsidP="0014757C">
            <w:pPr>
              <w:spacing w:after="0" w:line="240" w:lineRule="auto"/>
              <w:rPr>
                <w:rFonts w:eastAsia="Times New Roman" w:cs="Arial"/>
                <w:b/>
                <w:bCs/>
                <w:sz w:val="16"/>
                <w:szCs w:val="16"/>
                <w:lang w:eastAsia="en-AU"/>
              </w:rPr>
            </w:pPr>
            <w:r w:rsidRPr="0014757C">
              <w:rPr>
                <w:rFonts w:eastAsia="Times New Roman" w:cs="Arial"/>
                <w:b/>
                <w:bCs/>
                <w:sz w:val="16"/>
                <w:szCs w:val="16"/>
                <w:lang w:eastAsia="en-AU"/>
              </w:rPr>
              <w:t>Savanna burning</w:t>
            </w:r>
          </w:p>
        </w:tc>
        <w:tc>
          <w:tcPr>
            <w:tcW w:w="2000" w:type="dxa"/>
            <w:tcBorders>
              <w:top w:val="nil"/>
              <w:left w:val="nil"/>
              <w:bottom w:val="dotted" w:sz="4" w:space="0" w:color="auto"/>
              <w:right w:val="nil"/>
            </w:tcBorders>
            <w:shd w:val="clear" w:color="auto" w:fill="auto"/>
            <w:vAlign w:val="center"/>
            <w:hideMark/>
          </w:tcPr>
          <w:p w14:paraId="71E96C0F" w14:textId="0891BBB2" w:rsidR="0014757C" w:rsidRPr="0014757C" w:rsidRDefault="0014757C" w:rsidP="00041E36">
            <w:pPr>
              <w:spacing w:after="0" w:line="240" w:lineRule="auto"/>
              <w:jc w:val="right"/>
              <w:rPr>
                <w:rFonts w:eastAsia="Times New Roman" w:cs="Arial"/>
                <w:sz w:val="16"/>
                <w:szCs w:val="16"/>
                <w:lang w:eastAsia="en-AU"/>
              </w:rPr>
            </w:pPr>
            <w:r w:rsidRPr="0014757C">
              <w:rPr>
                <w:rFonts w:eastAsia="Times New Roman" w:cs="Arial"/>
                <w:sz w:val="16"/>
                <w:szCs w:val="16"/>
                <w:lang w:eastAsia="en-AU"/>
              </w:rPr>
              <w:t>2</w:t>
            </w:r>
          </w:p>
        </w:tc>
        <w:tc>
          <w:tcPr>
            <w:tcW w:w="2590" w:type="dxa"/>
            <w:tcBorders>
              <w:top w:val="nil"/>
              <w:left w:val="nil"/>
              <w:bottom w:val="dotted" w:sz="4" w:space="0" w:color="auto"/>
              <w:right w:val="dotted" w:sz="4" w:space="0" w:color="auto"/>
            </w:tcBorders>
            <w:shd w:val="clear" w:color="auto" w:fill="auto"/>
            <w:vAlign w:val="center"/>
            <w:hideMark/>
          </w:tcPr>
          <w:p w14:paraId="22E36EEA" w14:textId="65F0DBDD" w:rsidR="0014757C" w:rsidRPr="0014757C" w:rsidRDefault="0014757C" w:rsidP="007C294E">
            <w:pPr>
              <w:spacing w:after="0" w:line="240" w:lineRule="auto"/>
              <w:jc w:val="right"/>
              <w:rPr>
                <w:rFonts w:eastAsia="Times New Roman" w:cs="Arial"/>
                <w:sz w:val="16"/>
                <w:szCs w:val="16"/>
                <w:lang w:eastAsia="en-AU"/>
              </w:rPr>
            </w:pPr>
            <w:r w:rsidRPr="0014757C">
              <w:rPr>
                <w:rFonts w:eastAsia="Times New Roman" w:cs="Arial"/>
                <w:sz w:val="16"/>
                <w:szCs w:val="16"/>
                <w:lang w:eastAsia="en-AU"/>
              </w:rPr>
              <w:t>0</w:t>
            </w:r>
            <w:r w:rsidR="00915325">
              <w:rPr>
                <w:rFonts w:eastAsia="Times New Roman" w:cs="Arial"/>
                <w:sz w:val="16"/>
                <w:szCs w:val="16"/>
                <w:lang w:eastAsia="en-AU"/>
              </w:rPr>
              <w:t xml:space="preserve"> </w:t>
            </w:r>
          </w:p>
        </w:tc>
        <w:tc>
          <w:tcPr>
            <w:tcW w:w="3261" w:type="dxa"/>
            <w:tcBorders>
              <w:top w:val="nil"/>
              <w:left w:val="nil"/>
              <w:bottom w:val="dotted" w:sz="4" w:space="0" w:color="auto"/>
              <w:right w:val="nil"/>
            </w:tcBorders>
            <w:shd w:val="clear" w:color="auto" w:fill="auto"/>
            <w:vAlign w:val="center"/>
            <w:hideMark/>
          </w:tcPr>
          <w:p w14:paraId="0A22DD67" w14:textId="332EB37F" w:rsidR="0014757C" w:rsidRPr="0014757C" w:rsidRDefault="0014757C" w:rsidP="007C294E">
            <w:pPr>
              <w:spacing w:after="0" w:line="240" w:lineRule="auto"/>
              <w:jc w:val="right"/>
              <w:rPr>
                <w:rFonts w:eastAsia="Times New Roman" w:cs="Arial"/>
                <w:sz w:val="16"/>
                <w:szCs w:val="16"/>
                <w:lang w:eastAsia="en-AU"/>
              </w:rPr>
            </w:pPr>
            <w:r w:rsidRPr="0014757C">
              <w:rPr>
                <w:rFonts w:eastAsia="Times New Roman" w:cs="Arial"/>
                <w:sz w:val="16"/>
                <w:szCs w:val="16"/>
                <w:lang w:eastAsia="en-AU"/>
              </w:rPr>
              <w:t>76</w:t>
            </w:r>
            <w:r w:rsidR="006860DF">
              <w:rPr>
                <w:rFonts w:eastAsia="Times New Roman" w:cs="Arial"/>
                <w:sz w:val="16"/>
                <w:szCs w:val="16"/>
                <w:lang w:eastAsia="en-AU"/>
              </w:rPr>
              <w:t xml:space="preserve"> (4)</w:t>
            </w:r>
          </w:p>
        </w:tc>
      </w:tr>
      <w:tr w:rsidR="0014757C" w:rsidRPr="0014757C" w14:paraId="15D73D1B" w14:textId="77777777" w:rsidTr="00165996">
        <w:trPr>
          <w:trHeight w:val="420"/>
        </w:trPr>
        <w:tc>
          <w:tcPr>
            <w:tcW w:w="1080" w:type="dxa"/>
            <w:tcBorders>
              <w:top w:val="nil"/>
              <w:left w:val="nil"/>
              <w:bottom w:val="dotted" w:sz="4" w:space="0" w:color="auto"/>
              <w:right w:val="nil"/>
            </w:tcBorders>
            <w:shd w:val="clear" w:color="auto" w:fill="auto"/>
            <w:vAlign w:val="center"/>
            <w:hideMark/>
          </w:tcPr>
          <w:p w14:paraId="2FA9BE96" w14:textId="77777777" w:rsidR="0014757C" w:rsidRPr="0014757C" w:rsidRDefault="0014757C" w:rsidP="0014757C">
            <w:pPr>
              <w:spacing w:after="0" w:line="240" w:lineRule="auto"/>
              <w:rPr>
                <w:rFonts w:eastAsia="Times New Roman" w:cs="Arial"/>
                <w:b/>
                <w:bCs/>
                <w:sz w:val="16"/>
                <w:szCs w:val="16"/>
                <w:lang w:eastAsia="en-AU"/>
              </w:rPr>
            </w:pPr>
            <w:r w:rsidRPr="0014757C">
              <w:rPr>
                <w:rFonts w:eastAsia="Times New Roman" w:cs="Arial"/>
                <w:b/>
                <w:bCs/>
                <w:sz w:val="16"/>
                <w:szCs w:val="16"/>
                <w:lang w:eastAsia="en-AU"/>
              </w:rPr>
              <w:t xml:space="preserve">Industrial fugitives </w:t>
            </w:r>
          </w:p>
        </w:tc>
        <w:tc>
          <w:tcPr>
            <w:tcW w:w="2000" w:type="dxa"/>
            <w:tcBorders>
              <w:top w:val="nil"/>
              <w:left w:val="nil"/>
              <w:bottom w:val="dotted" w:sz="4" w:space="0" w:color="auto"/>
              <w:right w:val="nil"/>
            </w:tcBorders>
            <w:shd w:val="clear" w:color="auto" w:fill="auto"/>
            <w:vAlign w:val="center"/>
            <w:hideMark/>
          </w:tcPr>
          <w:p w14:paraId="1E015BC2" w14:textId="6DE35B4F" w:rsidR="0014757C" w:rsidRPr="0014757C" w:rsidRDefault="0014757C" w:rsidP="00041E36">
            <w:pPr>
              <w:spacing w:after="0" w:line="240" w:lineRule="auto"/>
              <w:jc w:val="right"/>
              <w:rPr>
                <w:rFonts w:eastAsia="Times New Roman" w:cs="Arial"/>
                <w:sz w:val="16"/>
                <w:szCs w:val="16"/>
                <w:lang w:eastAsia="en-AU"/>
              </w:rPr>
            </w:pPr>
            <w:r w:rsidRPr="0014757C">
              <w:rPr>
                <w:rFonts w:eastAsia="Times New Roman" w:cs="Arial"/>
                <w:sz w:val="16"/>
                <w:szCs w:val="16"/>
                <w:lang w:eastAsia="en-AU"/>
              </w:rPr>
              <w:t>2</w:t>
            </w:r>
          </w:p>
        </w:tc>
        <w:tc>
          <w:tcPr>
            <w:tcW w:w="2590" w:type="dxa"/>
            <w:tcBorders>
              <w:top w:val="nil"/>
              <w:left w:val="nil"/>
              <w:bottom w:val="dotted" w:sz="4" w:space="0" w:color="auto"/>
              <w:right w:val="dotted" w:sz="4" w:space="0" w:color="auto"/>
            </w:tcBorders>
            <w:shd w:val="clear" w:color="auto" w:fill="auto"/>
            <w:vAlign w:val="center"/>
            <w:hideMark/>
          </w:tcPr>
          <w:p w14:paraId="3529DE18" w14:textId="77777777" w:rsidR="0014757C" w:rsidRPr="0014757C" w:rsidRDefault="0014757C" w:rsidP="007C294E">
            <w:pPr>
              <w:spacing w:after="0" w:line="240" w:lineRule="auto"/>
              <w:jc w:val="right"/>
              <w:rPr>
                <w:rFonts w:eastAsia="Times New Roman" w:cs="Arial"/>
                <w:sz w:val="16"/>
                <w:szCs w:val="16"/>
                <w:lang w:eastAsia="en-AU"/>
              </w:rPr>
            </w:pPr>
            <w:r w:rsidRPr="0014757C">
              <w:rPr>
                <w:rFonts w:eastAsia="Times New Roman" w:cs="Arial"/>
                <w:sz w:val="16"/>
                <w:szCs w:val="16"/>
                <w:lang w:eastAsia="en-AU"/>
              </w:rPr>
              <w:t>1</w:t>
            </w:r>
          </w:p>
        </w:tc>
        <w:tc>
          <w:tcPr>
            <w:tcW w:w="3261" w:type="dxa"/>
            <w:tcBorders>
              <w:top w:val="nil"/>
              <w:left w:val="nil"/>
              <w:bottom w:val="dotted" w:sz="4" w:space="0" w:color="auto"/>
              <w:right w:val="nil"/>
            </w:tcBorders>
            <w:shd w:val="clear" w:color="auto" w:fill="auto"/>
            <w:vAlign w:val="center"/>
            <w:hideMark/>
          </w:tcPr>
          <w:p w14:paraId="223A1689" w14:textId="46A094C4" w:rsidR="0014757C" w:rsidRPr="0014757C" w:rsidRDefault="0014757C" w:rsidP="007C294E">
            <w:pPr>
              <w:spacing w:after="0" w:line="240" w:lineRule="auto"/>
              <w:jc w:val="right"/>
              <w:rPr>
                <w:rFonts w:eastAsia="Times New Roman" w:cs="Arial"/>
                <w:sz w:val="16"/>
                <w:szCs w:val="16"/>
                <w:lang w:eastAsia="en-AU"/>
              </w:rPr>
            </w:pPr>
            <w:r w:rsidRPr="0014757C">
              <w:rPr>
                <w:rFonts w:eastAsia="Times New Roman" w:cs="Arial"/>
                <w:sz w:val="16"/>
                <w:szCs w:val="16"/>
                <w:lang w:eastAsia="en-AU"/>
              </w:rPr>
              <w:t>9</w:t>
            </w:r>
            <w:r w:rsidR="006860DF">
              <w:rPr>
                <w:rFonts w:eastAsia="Times New Roman" w:cs="Arial"/>
                <w:sz w:val="16"/>
                <w:szCs w:val="16"/>
                <w:lang w:eastAsia="en-AU"/>
              </w:rPr>
              <w:t xml:space="preserve"> (</w:t>
            </w:r>
            <w:r w:rsidR="00045642">
              <w:rPr>
                <w:rFonts w:eastAsia="Times New Roman" w:cs="Arial"/>
                <w:sz w:val="16"/>
                <w:szCs w:val="16"/>
                <w:lang w:eastAsia="en-AU"/>
              </w:rPr>
              <w:t>-</w:t>
            </w:r>
            <w:r w:rsidR="006860DF">
              <w:rPr>
                <w:rFonts w:eastAsia="Times New Roman" w:cs="Arial"/>
                <w:sz w:val="16"/>
                <w:szCs w:val="16"/>
                <w:lang w:eastAsia="en-AU"/>
              </w:rPr>
              <w:t>5)</w:t>
            </w:r>
          </w:p>
        </w:tc>
      </w:tr>
      <w:tr w:rsidR="0014757C" w:rsidRPr="0014757C" w14:paraId="44438261" w14:textId="77777777" w:rsidTr="00165996">
        <w:trPr>
          <w:trHeight w:val="420"/>
        </w:trPr>
        <w:tc>
          <w:tcPr>
            <w:tcW w:w="1080" w:type="dxa"/>
            <w:tcBorders>
              <w:top w:val="nil"/>
              <w:left w:val="nil"/>
              <w:bottom w:val="dotted" w:sz="4" w:space="0" w:color="auto"/>
              <w:right w:val="nil"/>
            </w:tcBorders>
            <w:shd w:val="clear" w:color="auto" w:fill="auto"/>
            <w:vAlign w:val="center"/>
            <w:hideMark/>
          </w:tcPr>
          <w:p w14:paraId="7D4FF8EA" w14:textId="77777777" w:rsidR="0014757C" w:rsidRPr="0014757C" w:rsidRDefault="0014757C" w:rsidP="0014757C">
            <w:pPr>
              <w:spacing w:after="0" w:line="240" w:lineRule="auto"/>
              <w:rPr>
                <w:rFonts w:eastAsia="Times New Roman" w:cs="Arial"/>
                <w:b/>
                <w:bCs/>
                <w:sz w:val="16"/>
                <w:szCs w:val="16"/>
                <w:lang w:eastAsia="en-AU"/>
              </w:rPr>
            </w:pPr>
            <w:r w:rsidRPr="0014757C">
              <w:rPr>
                <w:rFonts w:eastAsia="Times New Roman" w:cs="Arial"/>
                <w:b/>
                <w:bCs/>
                <w:sz w:val="16"/>
                <w:szCs w:val="16"/>
                <w:lang w:eastAsia="en-AU"/>
              </w:rPr>
              <w:t>Energy efficiency</w:t>
            </w:r>
          </w:p>
        </w:tc>
        <w:tc>
          <w:tcPr>
            <w:tcW w:w="2000" w:type="dxa"/>
            <w:tcBorders>
              <w:top w:val="nil"/>
              <w:left w:val="nil"/>
              <w:bottom w:val="dotted" w:sz="4" w:space="0" w:color="auto"/>
              <w:right w:val="nil"/>
            </w:tcBorders>
            <w:shd w:val="clear" w:color="auto" w:fill="auto"/>
            <w:vAlign w:val="center"/>
            <w:hideMark/>
          </w:tcPr>
          <w:p w14:paraId="000D2D7C" w14:textId="7BFC9430" w:rsidR="0014757C" w:rsidRPr="0014757C" w:rsidRDefault="0014757C" w:rsidP="00041E36">
            <w:pPr>
              <w:spacing w:after="0" w:line="240" w:lineRule="auto"/>
              <w:jc w:val="right"/>
              <w:rPr>
                <w:rFonts w:eastAsia="Times New Roman" w:cs="Arial"/>
                <w:sz w:val="16"/>
                <w:szCs w:val="16"/>
                <w:lang w:eastAsia="en-AU"/>
              </w:rPr>
            </w:pPr>
            <w:r w:rsidRPr="0014757C">
              <w:rPr>
                <w:rFonts w:eastAsia="Times New Roman" w:cs="Arial"/>
                <w:sz w:val="16"/>
                <w:szCs w:val="16"/>
                <w:lang w:eastAsia="en-AU"/>
              </w:rPr>
              <w:t>7</w:t>
            </w:r>
          </w:p>
        </w:tc>
        <w:tc>
          <w:tcPr>
            <w:tcW w:w="2590" w:type="dxa"/>
            <w:tcBorders>
              <w:top w:val="nil"/>
              <w:left w:val="nil"/>
              <w:bottom w:val="dotted" w:sz="4" w:space="0" w:color="auto"/>
              <w:right w:val="dotted" w:sz="4" w:space="0" w:color="auto"/>
            </w:tcBorders>
            <w:shd w:val="clear" w:color="auto" w:fill="auto"/>
            <w:vAlign w:val="center"/>
            <w:hideMark/>
          </w:tcPr>
          <w:p w14:paraId="1496A6EC" w14:textId="77777777" w:rsidR="0014757C" w:rsidRPr="0014757C" w:rsidRDefault="0014757C" w:rsidP="007C294E">
            <w:pPr>
              <w:spacing w:after="0" w:line="240" w:lineRule="auto"/>
              <w:jc w:val="right"/>
              <w:rPr>
                <w:rFonts w:eastAsia="Times New Roman" w:cs="Arial"/>
                <w:sz w:val="16"/>
                <w:szCs w:val="16"/>
                <w:lang w:eastAsia="en-AU"/>
              </w:rPr>
            </w:pPr>
            <w:r w:rsidRPr="0014757C">
              <w:rPr>
                <w:rFonts w:eastAsia="Times New Roman" w:cs="Arial"/>
                <w:sz w:val="16"/>
                <w:szCs w:val="16"/>
                <w:lang w:eastAsia="en-AU"/>
              </w:rPr>
              <w:t>1</w:t>
            </w:r>
          </w:p>
        </w:tc>
        <w:tc>
          <w:tcPr>
            <w:tcW w:w="3261" w:type="dxa"/>
            <w:tcBorders>
              <w:top w:val="nil"/>
              <w:left w:val="nil"/>
              <w:bottom w:val="dotted" w:sz="4" w:space="0" w:color="auto"/>
              <w:right w:val="nil"/>
            </w:tcBorders>
            <w:shd w:val="clear" w:color="auto" w:fill="auto"/>
            <w:vAlign w:val="center"/>
            <w:hideMark/>
          </w:tcPr>
          <w:p w14:paraId="728E5A0A" w14:textId="3B5C3864" w:rsidR="0014757C" w:rsidRPr="0014757C" w:rsidRDefault="0014757C" w:rsidP="007C294E">
            <w:pPr>
              <w:spacing w:after="0" w:line="240" w:lineRule="auto"/>
              <w:jc w:val="right"/>
              <w:rPr>
                <w:rFonts w:eastAsia="Times New Roman" w:cs="Arial"/>
                <w:sz w:val="16"/>
                <w:szCs w:val="16"/>
                <w:lang w:eastAsia="en-AU"/>
              </w:rPr>
            </w:pPr>
            <w:r w:rsidRPr="0014757C">
              <w:rPr>
                <w:rFonts w:eastAsia="Times New Roman" w:cs="Arial"/>
                <w:sz w:val="16"/>
                <w:szCs w:val="16"/>
                <w:lang w:eastAsia="en-AU"/>
              </w:rPr>
              <w:t>4</w:t>
            </w:r>
            <w:r w:rsidR="00F80012">
              <w:rPr>
                <w:rFonts w:eastAsia="Times New Roman" w:cs="Arial"/>
                <w:sz w:val="16"/>
                <w:szCs w:val="16"/>
                <w:lang w:eastAsia="en-AU"/>
              </w:rPr>
              <w:t>4</w:t>
            </w:r>
            <w:r w:rsidR="006860DF">
              <w:rPr>
                <w:rFonts w:eastAsia="Times New Roman" w:cs="Arial"/>
                <w:sz w:val="16"/>
                <w:szCs w:val="16"/>
                <w:lang w:eastAsia="en-AU"/>
              </w:rPr>
              <w:t xml:space="preserve"> (</w:t>
            </w:r>
            <w:r w:rsidR="00045642">
              <w:rPr>
                <w:rFonts w:eastAsia="Times New Roman" w:cs="Arial"/>
                <w:sz w:val="16"/>
                <w:szCs w:val="16"/>
                <w:lang w:eastAsia="en-AU"/>
              </w:rPr>
              <w:t>-</w:t>
            </w:r>
            <w:r w:rsidR="00F80012">
              <w:rPr>
                <w:rFonts w:eastAsia="Times New Roman" w:cs="Arial"/>
                <w:sz w:val="16"/>
                <w:szCs w:val="16"/>
                <w:lang w:eastAsia="en-AU"/>
              </w:rPr>
              <w:t>7</w:t>
            </w:r>
            <w:r w:rsidR="006860DF">
              <w:rPr>
                <w:rFonts w:eastAsia="Times New Roman" w:cs="Arial"/>
                <w:sz w:val="16"/>
                <w:szCs w:val="16"/>
                <w:lang w:eastAsia="en-AU"/>
              </w:rPr>
              <w:t>)</w:t>
            </w:r>
          </w:p>
        </w:tc>
      </w:tr>
      <w:tr w:rsidR="0014757C" w:rsidRPr="0014757C" w14:paraId="45862AEF" w14:textId="77777777" w:rsidTr="00165996">
        <w:trPr>
          <w:trHeight w:val="250"/>
        </w:trPr>
        <w:tc>
          <w:tcPr>
            <w:tcW w:w="1080" w:type="dxa"/>
            <w:tcBorders>
              <w:top w:val="nil"/>
              <w:left w:val="nil"/>
              <w:bottom w:val="dotted" w:sz="4" w:space="0" w:color="auto"/>
              <w:right w:val="nil"/>
            </w:tcBorders>
            <w:shd w:val="clear" w:color="auto" w:fill="auto"/>
            <w:vAlign w:val="center"/>
            <w:hideMark/>
          </w:tcPr>
          <w:p w14:paraId="6CED9402" w14:textId="77777777" w:rsidR="0014757C" w:rsidRPr="0014757C" w:rsidRDefault="0014757C" w:rsidP="0014757C">
            <w:pPr>
              <w:spacing w:after="0" w:line="240" w:lineRule="auto"/>
              <w:rPr>
                <w:rFonts w:eastAsia="Times New Roman" w:cs="Arial"/>
                <w:b/>
                <w:bCs/>
                <w:sz w:val="16"/>
                <w:szCs w:val="16"/>
                <w:lang w:eastAsia="en-AU"/>
              </w:rPr>
            </w:pPr>
            <w:r w:rsidRPr="0014757C">
              <w:rPr>
                <w:rFonts w:eastAsia="Times New Roman" w:cs="Arial"/>
                <w:b/>
                <w:bCs/>
                <w:sz w:val="16"/>
                <w:szCs w:val="16"/>
                <w:lang w:eastAsia="en-AU"/>
              </w:rPr>
              <w:t>Transport</w:t>
            </w:r>
          </w:p>
        </w:tc>
        <w:tc>
          <w:tcPr>
            <w:tcW w:w="2000" w:type="dxa"/>
            <w:tcBorders>
              <w:top w:val="nil"/>
              <w:left w:val="nil"/>
              <w:bottom w:val="dotted" w:sz="4" w:space="0" w:color="auto"/>
              <w:right w:val="nil"/>
            </w:tcBorders>
            <w:shd w:val="clear" w:color="auto" w:fill="auto"/>
            <w:vAlign w:val="center"/>
            <w:hideMark/>
          </w:tcPr>
          <w:p w14:paraId="71540995" w14:textId="306FB645" w:rsidR="0014757C" w:rsidRPr="0014757C" w:rsidRDefault="0014757C" w:rsidP="00041E36">
            <w:pPr>
              <w:spacing w:after="0" w:line="240" w:lineRule="auto"/>
              <w:jc w:val="right"/>
              <w:rPr>
                <w:rFonts w:eastAsia="Times New Roman" w:cs="Arial"/>
                <w:sz w:val="16"/>
                <w:szCs w:val="16"/>
                <w:lang w:eastAsia="en-AU"/>
              </w:rPr>
            </w:pPr>
            <w:r w:rsidRPr="0014757C">
              <w:rPr>
                <w:rFonts w:eastAsia="Times New Roman" w:cs="Arial"/>
                <w:sz w:val="16"/>
                <w:szCs w:val="16"/>
                <w:lang w:eastAsia="en-AU"/>
              </w:rPr>
              <w:t>2</w:t>
            </w:r>
          </w:p>
        </w:tc>
        <w:tc>
          <w:tcPr>
            <w:tcW w:w="2590" w:type="dxa"/>
            <w:tcBorders>
              <w:top w:val="nil"/>
              <w:left w:val="nil"/>
              <w:bottom w:val="dotted" w:sz="4" w:space="0" w:color="auto"/>
              <w:right w:val="dotted" w:sz="4" w:space="0" w:color="auto"/>
            </w:tcBorders>
            <w:shd w:val="clear" w:color="auto" w:fill="auto"/>
            <w:vAlign w:val="center"/>
            <w:hideMark/>
          </w:tcPr>
          <w:p w14:paraId="400098E2" w14:textId="77777777" w:rsidR="0014757C" w:rsidRPr="0014757C" w:rsidRDefault="0014757C" w:rsidP="007C294E">
            <w:pPr>
              <w:spacing w:after="0" w:line="240" w:lineRule="auto"/>
              <w:jc w:val="right"/>
              <w:rPr>
                <w:rFonts w:eastAsia="Times New Roman" w:cs="Arial"/>
                <w:sz w:val="16"/>
                <w:szCs w:val="16"/>
                <w:lang w:eastAsia="en-AU"/>
              </w:rPr>
            </w:pPr>
            <w:r w:rsidRPr="0014757C">
              <w:rPr>
                <w:rFonts w:eastAsia="Times New Roman" w:cs="Arial"/>
                <w:sz w:val="16"/>
                <w:szCs w:val="16"/>
                <w:lang w:eastAsia="en-AU"/>
              </w:rPr>
              <w:t>0</w:t>
            </w:r>
          </w:p>
        </w:tc>
        <w:tc>
          <w:tcPr>
            <w:tcW w:w="3261" w:type="dxa"/>
            <w:tcBorders>
              <w:top w:val="nil"/>
              <w:left w:val="nil"/>
              <w:bottom w:val="dotted" w:sz="4" w:space="0" w:color="auto"/>
              <w:right w:val="nil"/>
            </w:tcBorders>
            <w:shd w:val="clear" w:color="auto" w:fill="auto"/>
            <w:vAlign w:val="center"/>
            <w:hideMark/>
          </w:tcPr>
          <w:p w14:paraId="71F5E466" w14:textId="344C2641" w:rsidR="0014757C" w:rsidRPr="0014757C" w:rsidRDefault="0014757C" w:rsidP="007C294E">
            <w:pPr>
              <w:spacing w:after="0" w:line="240" w:lineRule="auto"/>
              <w:jc w:val="right"/>
              <w:rPr>
                <w:rFonts w:eastAsia="Times New Roman" w:cs="Arial"/>
                <w:sz w:val="16"/>
                <w:szCs w:val="16"/>
                <w:lang w:eastAsia="en-AU"/>
              </w:rPr>
            </w:pPr>
            <w:r w:rsidRPr="0014757C">
              <w:rPr>
                <w:rFonts w:eastAsia="Times New Roman" w:cs="Arial"/>
                <w:sz w:val="16"/>
                <w:szCs w:val="16"/>
                <w:lang w:eastAsia="en-AU"/>
              </w:rPr>
              <w:t>5</w:t>
            </w:r>
            <w:r w:rsidR="006860DF">
              <w:rPr>
                <w:rFonts w:eastAsia="Times New Roman" w:cs="Arial"/>
                <w:sz w:val="16"/>
                <w:szCs w:val="16"/>
                <w:lang w:eastAsia="en-AU"/>
              </w:rPr>
              <w:t xml:space="preserve"> (-2)</w:t>
            </w:r>
          </w:p>
        </w:tc>
      </w:tr>
      <w:tr w:rsidR="0014757C" w:rsidRPr="0014757C" w14:paraId="04317D96" w14:textId="77777777" w:rsidTr="00165996">
        <w:trPr>
          <w:trHeight w:val="250"/>
        </w:trPr>
        <w:tc>
          <w:tcPr>
            <w:tcW w:w="1080" w:type="dxa"/>
            <w:tcBorders>
              <w:top w:val="nil"/>
              <w:left w:val="nil"/>
              <w:bottom w:val="dotted" w:sz="4" w:space="0" w:color="auto"/>
              <w:right w:val="nil"/>
            </w:tcBorders>
            <w:shd w:val="clear" w:color="auto" w:fill="auto"/>
            <w:vAlign w:val="center"/>
            <w:hideMark/>
          </w:tcPr>
          <w:p w14:paraId="4729F415" w14:textId="77777777" w:rsidR="0014757C" w:rsidRPr="0014757C" w:rsidRDefault="0014757C" w:rsidP="0014757C">
            <w:pPr>
              <w:spacing w:after="0" w:line="240" w:lineRule="auto"/>
              <w:rPr>
                <w:rFonts w:eastAsia="Times New Roman" w:cs="Arial"/>
                <w:b/>
                <w:bCs/>
                <w:sz w:val="16"/>
                <w:szCs w:val="16"/>
                <w:lang w:eastAsia="en-AU"/>
              </w:rPr>
            </w:pPr>
            <w:r w:rsidRPr="0014757C">
              <w:rPr>
                <w:rFonts w:eastAsia="Times New Roman" w:cs="Arial"/>
                <w:b/>
                <w:bCs/>
                <w:sz w:val="16"/>
                <w:szCs w:val="16"/>
                <w:lang w:eastAsia="en-AU"/>
              </w:rPr>
              <w:t>Facilities</w:t>
            </w:r>
          </w:p>
        </w:tc>
        <w:tc>
          <w:tcPr>
            <w:tcW w:w="2000" w:type="dxa"/>
            <w:tcBorders>
              <w:top w:val="nil"/>
              <w:left w:val="nil"/>
              <w:bottom w:val="dotted" w:sz="4" w:space="0" w:color="auto"/>
              <w:right w:val="nil"/>
            </w:tcBorders>
            <w:shd w:val="clear" w:color="auto" w:fill="auto"/>
            <w:vAlign w:val="center"/>
            <w:hideMark/>
          </w:tcPr>
          <w:p w14:paraId="2F85A617" w14:textId="7AB623C8" w:rsidR="0014757C" w:rsidRPr="0014757C" w:rsidRDefault="00515DF3" w:rsidP="00041E36">
            <w:pPr>
              <w:spacing w:after="0" w:line="240" w:lineRule="auto"/>
              <w:jc w:val="right"/>
              <w:rPr>
                <w:rFonts w:eastAsia="Times New Roman" w:cs="Arial"/>
                <w:sz w:val="16"/>
                <w:szCs w:val="16"/>
                <w:lang w:eastAsia="en-AU"/>
              </w:rPr>
            </w:pPr>
            <w:r>
              <w:rPr>
                <w:rFonts w:eastAsia="Times New Roman" w:cs="Arial"/>
                <w:sz w:val="16"/>
                <w:szCs w:val="16"/>
                <w:lang w:eastAsia="en-AU"/>
              </w:rPr>
              <w:t>1</w:t>
            </w:r>
          </w:p>
        </w:tc>
        <w:tc>
          <w:tcPr>
            <w:tcW w:w="2590" w:type="dxa"/>
            <w:tcBorders>
              <w:top w:val="nil"/>
              <w:left w:val="nil"/>
              <w:bottom w:val="dotted" w:sz="4" w:space="0" w:color="auto"/>
              <w:right w:val="dotted" w:sz="4" w:space="0" w:color="auto"/>
            </w:tcBorders>
            <w:shd w:val="clear" w:color="auto" w:fill="auto"/>
            <w:vAlign w:val="center"/>
            <w:hideMark/>
          </w:tcPr>
          <w:p w14:paraId="35419FBD" w14:textId="77777777" w:rsidR="0014757C" w:rsidRPr="0014757C" w:rsidRDefault="0014757C" w:rsidP="007C294E">
            <w:pPr>
              <w:spacing w:after="0" w:line="240" w:lineRule="auto"/>
              <w:jc w:val="right"/>
              <w:rPr>
                <w:rFonts w:eastAsia="Times New Roman" w:cs="Arial"/>
                <w:sz w:val="16"/>
                <w:szCs w:val="16"/>
                <w:lang w:eastAsia="en-AU"/>
              </w:rPr>
            </w:pPr>
            <w:bookmarkStart w:id="1346" w:name="RANGE!C10"/>
            <w:r w:rsidRPr="0014757C">
              <w:rPr>
                <w:rFonts w:eastAsia="Times New Roman" w:cs="Arial"/>
                <w:sz w:val="16"/>
                <w:szCs w:val="16"/>
                <w:lang w:eastAsia="en-AU"/>
              </w:rPr>
              <w:t>0</w:t>
            </w:r>
            <w:bookmarkEnd w:id="1346"/>
          </w:p>
        </w:tc>
        <w:tc>
          <w:tcPr>
            <w:tcW w:w="3261" w:type="dxa"/>
            <w:tcBorders>
              <w:top w:val="nil"/>
              <w:left w:val="nil"/>
              <w:bottom w:val="dotted" w:sz="4" w:space="0" w:color="auto"/>
              <w:right w:val="nil"/>
            </w:tcBorders>
            <w:shd w:val="clear" w:color="auto" w:fill="auto"/>
            <w:vAlign w:val="center"/>
            <w:hideMark/>
          </w:tcPr>
          <w:p w14:paraId="3199F844" w14:textId="384E5867" w:rsidR="0014757C" w:rsidRPr="0014757C" w:rsidRDefault="0014757C" w:rsidP="00112355">
            <w:pPr>
              <w:spacing w:after="0" w:line="240" w:lineRule="auto"/>
              <w:jc w:val="right"/>
              <w:rPr>
                <w:rFonts w:eastAsia="Times New Roman" w:cs="Arial"/>
                <w:sz w:val="16"/>
                <w:szCs w:val="16"/>
                <w:lang w:eastAsia="en-AU"/>
              </w:rPr>
            </w:pPr>
            <w:r w:rsidRPr="0014757C">
              <w:rPr>
                <w:rFonts w:eastAsia="Times New Roman" w:cs="Arial"/>
                <w:sz w:val="16"/>
                <w:szCs w:val="16"/>
                <w:lang w:eastAsia="en-AU"/>
              </w:rPr>
              <w:t>2</w:t>
            </w:r>
            <w:r w:rsidR="006860DF">
              <w:rPr>
                <w:rFonts w:eastAsia="Times New Roman" w:cs="Arial"/>
                <w:sz w:val="16"/>
                <w:szCs w:val="16"/>
                <w:lang w:eastAsia="en-AU"/>
              </w:rPr>
              <w:t xml:space="preserve"> (1)</w:t>
            </w:r>
          </w:p>
        </w:tc>
      </w:tr>
      <w:tr w:rsidR="0014757C" w:rsidRPr="0014757C" w14:paraId="7F48907C" w14:textId="77777777" w:rsidTr="00165996">
        <w:trPr>
          <w:trHeight w:val="250"/>
        </w:trPr>
        <w:tc>
          <w:tcPr>
            <w:tcW w:w="1080" w:type="dxa"/>
            <w:tcBorders>
              <w:top w:val="dotted" w:sz="4" w:space="0" w:color="auto"/>
              <w:left w:val="nil"/>
              <w:bottom w:val="single" w:sz="4" w:space="0" w:color="auto"/>
              <w:right w:val="nil"/>
            </w:tcBorders>
            <w:shd w:val="clear" w:color="auto" w:fill="auto"/>
            <w:vAlign w:val="center"/>
            <w:hideMark/>
          </w:tcPr>
          <w:p w14:paraId="79AB90F8" w14:textId="77777777" w:rsidR="0014757C" w:rsidRPr="0014757C" w:rsidRDefault="0014757C" w:rsidP="0014757C">
            <w:pPr>
              <w:spacing w:after="0" w:line="240" w:lineRule="auto"/>
              <w:rPr>
                <w:rFonts w:eastAsia="Times New Roman" w:cs="Arial"/>
                <w:b/>
                <w:bCs/>
                <w:sz w:val="16"/>
                <w:szCs w:val="16"/>
                <w:lang w:eastAsia="en-AU"/>
              </w:rPr>
            </w:pPr>
            <w:r w:rsidRPr="0014757C">
              <w:rPr>
                <w:rFonts w:eastAsia="Times New Roman" w:cs="Arial"/>
                <w:b/>
                <w:bCs/>
                <w:sz w:val="16"/>
                <w:szCs w:val="16"/>
                <w:lang w:eastAsia="en-AU"/>
              </w:rPr>
              <w:t>Total</w:t>
            </w:r>
          </w:p>
        </w:tc>
        <w:tc>
          <w:tcPr>
            <w:tcW w:w="2000" w:type="dxa"/>
            <w:tcBorders>
              <w:top w:val="dotted" w:sz="4" w:space="0" w:color="auto"/>
              <w:left w:val="nil"/>
              <w:bottom w:val="single" w:sz="4" w:space="0" w:color="auto"/>
              <w:right w:val="nil"/>
            </w:tcBorders>
            <w:shd w:val="clear" w:color="auto" w:fill="auto"/>
            <w:vAlign w:val="center"/>
            <w:hideMark/>
          </w:tcPr>
          <w:p w14:paraId="45E5841D" w14:textId="1092E53B" w:rsidR="0014757C" w:rsidRPr="0014757C" w:rsidRDefault="00515DF3" w:rsidP="00041E36">
            <w:pPr>
              <w:spacing w:after="0" w:line="240" w:lineRule="auto"/>
              <w:jc w:val="right"/>
              <w:rPr>
                <w:rFonts w:eastAsia="Times New Roman" w:cs="Arial"/>
                <w:b/>
                <w:bCs/>
                <w:sz w:val="16"/>
                <w:szCs w:val="16"/>
                <w:lang w:eastAsia="en-AU"/>
              </w:rPr>
            </w:pPr>
            <w:r>
              <w:rPr>
                <w:rFonts w:eastAsia="Times New Roman" w:cs="Arial"/>
                <w:b/>
                <w:bCs/>
                <w:sz w:val="16"/>
                <w:szCs w:val="16"/>
                <w:lang w:eastAsia="en-AU"/>
              </w:rPr>
              <w:t>34</w:t>
            </w:r>
          </w:p>
        </w:tc>
        <w:tc>
          <w:tcPr>
            <w:tcW w:w="2590" w:type="dxa"/>
            <w:tcBorders>
              <w:top w:val="dotted" w:sz="4" w:space="0" w:color="auto"/>
              <w:left w:val="nil"/>
              <w:bottom w:val="single" w:sz="4" w:space="0" w:color="auto"/>
              <w:right w:val="dotted" w:sz="4" w:space="0" w:color="auto"/>
            </w:tcBorders>
            <w:shd w:val="clear" w:color="auto" w:fill="auto"/>
            <w:vAlign w:val="center"/>
            <w:hideMark/>
          </w:tcPr>
          <w:p w14:paraId="110A167E" w14:textId="77777777" w:rsidR="0014757C" w:rsidRPr="0014757C" w:rsidRDefault="0014757C" w:rsidP="007C294E">
            <w:pPr>
              <w:spacing w:after="0" w:line="240" w:lineRule="auto"/>
              <w:jc w:val="right"/>
              <w:rPr>
                <w:rFonts w:eastAsia="Times New Roman" w:cs="Arial"/>
                <w:b/>
                <w:bCs/>
                <w:sz w:val="16"/>
                <w:szCs w:val="16"/>
                <w:lang w:eastAsia="en-AU"/>
              </w:rPr>
            </w:pPr>
            <w:r w:rsidRPr="0014757C">
              <w:rPr>
                <w:rFonts w:eastAsia="Times New Roman" w:cs="Arial"/>
                <w:b/>
                <w:bCs/>
                <w:sz w:val="16"/>
                <w:szCs w:val="16"/>
                <w:lang w:eastAsia="en-AU"/>
              </w:rPr>
              <w:t>7</w:t>
            </w:r>
          </w:p>
        </w:tc>
        <w:tc>
          <w:tcPr>
            <w:tcW w:w="3261" w:type="dxa"/>
            <w:tcBorders>
              <w:top w:val="dotted" w:sz="4" w:space="0" w:color="auto"/>
              <w:left w:val="nil"/>
              <w:bottom w:val="single" w:sz="4" w:space="0" w:color="auto"/>
              <w:right w:val="nil"/>
            </w:tcBorders>
            <w:shd w:val="clear" w:color="auto" w:fill="auto"/>
            <w:vAlign w:val="center"/>
            <w:hideMark/>
          </w:tcPr>
          <w:p w14:paraId="4B0D9DF7" w14:textId="39518C3B" w:rsidR="0014757C" w:rsidRPr="0014757C" w:rsidRDefault="0014757C" w:rsidP="000366FF">
            <w:pPr>
              <w:spacing w:after="0" w:line="240" w:lineRule="auto"/>
              <w:jc w:val="right"/>
              <w:rPr>
                <w:rFonts w:eastAsia="Times New Roman" w:cs="Arial"/>
                <w:b/>
                <w:bCs/>
                <w:sz w:val="16"/>
                <w:szCs w:val="16"/>
                <w:lang w:eastAsia="en-AU"/>
              </w:rPr>
            </w:pPr>
            <w:r w:rsidRPr="0014757C">
              <w:rPr>
                <w:rFonts w:eastAsia="Times New Roman" w:cs="Arial"/>
                <w:b/>
                <w:bCs/>
                <w:sz w:val="16"/>
                <w:szCs w:val="16"/>
                <w:lang w:eastAsia="en-AU"/>
              </w:rPr>
              <w:t>8</w:t>
            </w:r>
            <w:r w:rsidR="00F80012">
              <w:rPr>
                <w:rFonts w:eastAsia="Times New Roman" w:cs="Arial"/>
                <w:b/>
                <w:bCs/>
                <w:sz w:val="16"/>
                <w:szCs w:val="16"/>
                <w:lang w:eastAsia="en-AU"/>
              </w:rPr>
              <w:t>55</w:t>
            </w:r>
          </w:p>
        </w:tc>
      </w:tr>
    </w:tbl>
    <w:p w14:paraId="1C6BCA6F" w14:textId="420B1918" w:rsidR="00811603" w:rsidRDefault="00811603" w:rsidP="00580F24">
      <w:pPr>
        <w:pStyle w:val="Footnote"/>
      </w:pPr>
      <w:r w:rsidRPr="7943B309">
        <w:rPr>
          <w:b/>
        </w:rPr>
        <w:t>Note:</w:t>
      </w:r>
      <w:r w:rsidRPr="00580F24">
        <w:t xml:space="preserve"> Methods included in the first two columns of the table are those that are currently open to new projects. The last</w:t>
      </w:r>
      <w:r w:rsidRPr="005206CA">
        <w:t xml:space="preserve"> column include</w:t>
      </w:r>
      <w:r w:rsidR="00B92C08">
        <w:t>s</w:t>
      </w:r>
      <w:r w:rsidRPr="005206CA">
        <w:t xml:space="preserve"> projects for methods that are now closed to new projects, and exclude</w:t>
      </w:r>
      <w:r w:rsidR="00B92C08">
        <w:t>s</w:t>
      </w:r>
      <w:r w:rsidRPr="005206CA">
        <w:t xml:space="preserve"> projects that have been revoked.</w:t>
      </w:r>
      <w:r w:rsidR="00041E36">
        <w:t xml:space="preserve"> The numbers in brackets are net change compared to November 2017</w:t>
      </w:r>
      <w:r w:rsidR="004E739F">
        <w:t>,</w:t>
      </w:r>
      <w:r w:rsidR="00041E36">
        <w:t xml:space="preserve"> taking into account new projects and revoked projects. </w:t>
      </w:r>
      <w:r w:rsidRPr="001E734D">
        <w:t xml:space="preserve">Data as at </w:t>
      </w:r>
      <w:r w:rsidR="001C7572">
        <w:t>13 September</w:t>
      </w:r>
      <w:r w:rsidR="00F62E2C">
        <w:t xml:space="preserve"> 2</w:t>
      </w:r>
      <w:r>
        <w:t>0</w:t>
      </w:r>
      <w:r w:rsidR="00F62E2C">
        <w:t>20</w:t>
      </w:r>
      <w:r w:rsidRPr="001E734D">
        <w:t>.</w:t>
      </w:r>
    </w:p>
    <w:p w14:paraId="01C7D288" w14:textId="2E9334A1" w:rsidR="00811603" w:rsidRDefault="00811603" w:rsidP="00580F24">
      <w:pPr>
        <w:pStyle w:val="Footnote"/>
      </w:pPr>
      <w:r w:rsidRPr="7943B309">
        <w:rPr>
          <w:b/>
        </w:rPr>
        <w:t>Source:</w:t>
      </w:r>
      <w:r w:rsidRPr="005206CA">
        <w:t xml:space="preserve"> Climate </w:t>
      </w:r>
      <w:r w:rsidRPr="00580F24">
        <w:t>Change</w:t>
      </w:r>
      <w:r w:rsidRPr="005206CA">
        <w:t xml:space="preserve"> Authority based on </w:t>
      </w:r>
      <w:r w:rsidR="000B1F14" w:rsidRPr="007718F5">
        <w:rPr>
          <w:rFonts w:eastAsia="Times New Roman" w:cs="Arial"/>
          <w:color w:val="000000" w:themeColor="text1"/>
          <w:szCs w:val="20"/>
          <w:lang w:eastAsia="en-AU"/>
        </w:rPr>
        <w:t>CER</w:t>
      </w:r>
      <w:r w:rsidR="000B1F14" w:rsidRPr="00453486">
        <w:rPr>
          <w:rFonts w:eastAsia="Times New Roman" w:cs="Arial"/>
          <w:color w:val="000000" w:themeColor="text1"/>
          <w:szCs w:val="20"/>
          <w:lang w:eastAsia="en-AU"/>
        </w:rPr>
        <w:t xml:space="preserve"> 2020e</w:t>
      </w:r>
      <w:r w:rsidR="00E10266">
        <w:t xml:space="preserve">, </w:t>
      </w:r>
      <w:r w:rsidR="00E10266" w:rsidRPr="00463BB2">
        <w:t>DISER 2020a</w:t>
      </w:r>
      <w:r w:rsidR="0014757C">
        <w:t>.</w:t>
      </w:r>
      <w:r w:rsidR="005E76D2">
        <w:t xml:space="preserve"> Comparison is with Table 2 </w:t>
      </w:r>
      <w:r w:rsidR="005E76D2" w:rsidRPr="005E1241">
        <w:t>CCA 2017</w:t>
      </w:r>
      <w:r w:rsidR="00F73FBB" w:rsidRPr="005E1241">
        <w:t>a</w:t>
      </w:r>
      <w:r w:rsidR="005E76D2">
        <w:t>.</w:t>
      </w:r>
    </w:p>
    <w:p w14:paraId="77AD010F" w14:textId="77777777" w:rsidR="00026A77" w:rsidRDefault="00026A77" w:rsidP="00B27A13"/>
    <w:p w14:paraId="6E5A0832" w14:textId="02C212C4" w:rsidR="00165996" w:rsidRDefault="00B27A13" w:rsidP="00165996">
      <w:r>
        <w:t>In 2017 and 2018</w:t>
      </w:r>
      <w:r w:rsidR="004E739F">
        <w:t>,</w:t>
      </w:r>
      <w:r>
        <w:t xml:space="preserve"> project registration peaked in the lead up to an auction</w:t>
      </w:r>
      <w:r w:rsidR="00F70CA4">
        <w:t>, but this was</w:t>
      </w:r>
      <w:r>
        <w:t xml:space="preserve"> </w:t>
      </w:r>
      <w:r w:rsidR="00C24B27">
        <w:t>followed by a significant slowing of</w:t>
      </w:r>
      <w:r>
        <w:t xml:space="preserve"> the rate of project registration in 2019 (</w:t>
      </w:r>
      <w:r w:rsidRPr="00334564">
        <w:t xml:space="preserve">Figure </w:t>
      </w:r>
      <w:r w:rsidR="0044018D" w:rsidRPr="00A37231">
        <w:t>3.1</w:t>
      </w:r>
      <w:r>
        <w:t xml:space="preserve">). Project registration has risen </w:t>
      </w:r>
      <w:r w:rsidR="00927A7C">
        <w:t xml:space="preserve">again </w:t>
      </w:r>
      <w:r w:rsidR="00C16C17">
        <w:t>before the second auction in</w:t>
      </w:r>
      <w:r w:rsidR="00F70CA4">
        <w:t xml:space="preserve"> 20</w:t>
      </w:r>
      <w:r w:rsidR="00927A7C">
        <w:t>20</w:t>
      </w:r>
      <w:r w:rsidR="0099031F">
        <w:t>. This m</w:t>
      </w:r>
      <w:r>
        <w:t xml:space="preserve">ay reflect the higher average price offered for ACCUs at </w:t>
      </w:r>
      <w:r w:rsidR="0039350C">
        <w:t>a</w:t>
      </w:r>
      <w:r>
        <w:t xml:space="preserve">uction 10 </w:t>
      </w:r>
      <w:r w:rsidR="0099031F">
        <w:t xml:space="preserve">in </w:t>
      </w:r>
      <w:r w:rsidR="00F70CA4">
        <w:t>March 2020</w:t>
      </w:r>
      <w:r w:rsidR="00AA7723">
        <w:t>,</w:t>
      </w:r>
      <w:r w:rsidR="000A0F98">
        <w:t xml:space="preserve"> </w:t>
      </w:r>
      <w:r w:rsidR="00C16C17">
        <w:t>the introduction of option</w:t>
      </w:r>
      <w:r w:rsidR="00E064A9">
        <w:t>al delivery</w:t>
      </w:r>
      <w:r>
        <w:t xml:space="preserve"> contracts</w:t>
      </w:r>
      <w:r w:rsidR="00D40B90">
        <w:t xml:space="preserve"> and the recent introduction of upfront payments for soil carbon projects which has driven an increase in soil carbon project registrations</w:t>
      </w:r>
      <w:r w:rsidR="0099031F">
        <w:t>.</w:t>
      </w:r>
      <w:r w:rsidR="00D40B90">
        <w:t xml:space="preserve"> </w:t>
      </w:r>
      <w:r w:rsidR="0099031F">
        <w:t>Both of these developments were</w:t>
      </w:r>
      <w:r w:rsidR="00C16C17">
        <w:t xml:space="preserve"> welcomed by stakeholders</w:t>
      </w:r>
      <w:r>
        <w:t xml:space="preserve"> to this review (e.g. ICIN, EDL).</w:t>
      </w:r>
    </w:p>
    <w:p w14:paraId="1BBB3982" w14:textId="77777777" w:rsidR="007570CB" w:rsidRDefault="007570CB" w:rsidP="00165996"/>
    <w:p w14:paraId="2BA701D5" w14:textId="1DACB721" w:rsidR="00165996" w:rsidRDefault="00165996" w:rsidP="00165996">
      <w:pPr>
        <w:pStyle w:val="FigureTableHeader"/>
        <w:rPr>
          <w:rStyle w:val="FigureChar"/>
          <w:caps/>
        </w:rPr>
      </w:pPr>
      <w:bookmarkStart w:id="1347" w:name="_Toc53130453"/>
      <w:r w:rsidRPr="00275C90">
        <w:rPr>
          <w:rStyle w:val="FigureChar"/>
        </w:rPr>
        <w:t>Figure 3.1. ERF projects registered by month 1 Jan 2017 - 1 September 2020</w:t>
      </w:r>
      <w:bookmarkEnd w:id="1347"/>
      <w:r w:rsidRPr="00CC338E">
        <w:rPr>
          <w:rStyle w:val="FigureChar"/>
          <w:caps/>
        </w:rPr>
        <w:t xml:space="preserve"> </w:t>
      </w:r>
    </w:p>
    <w:p w14:paraId="5EBFB8EE" w14:textId="77777777" w:rsidR="001D5C9E" w:rsidRPr="00165996" w:rsidRDefault="001D5C9E" w:rsidP="00165996">
      <w:pPr>
        <w:pStyle w:val="FigureTableHeader"/>
        <w:rPr>
          <w:color w:val="0070AE" w:themeColor="accent2" w:themeTint="BF"/>
        </w:rPr>
      </w:pPr>
    </w:p>
    <w:p w14:paraId="523AC3F0" w14:textId="40FE1435" w:rsidR="00180660" w:rsidRDefault="001F713C" w:rsidP="00165996">
      <w:r>
        <w:rPr>
          <w:noProof/>
          <w:lang w:eastAsia="en-AU"/>
        </w:rPr>
        <w:drawing>
          <wp:inline distT="0" distB="0" distL="0" distR="0" wp14:anchorId="22E5FB1F" wp14:editId="05AD7167">
            <wp:extent cx="5999108" cy="3077928"/>
            <wp:effectExtent l="0" t="0" r="1905" b="8255"/>
            <wp:docPr id="5" name="Picture 5" descr="Figure 3.1 is a bar chart that shows the number of ERF projects registered between January 2017 and September 2020. The vertical axis is the number of projects and the horizontal axis is the month of registration. The chart also shows the month in which each of the 7 auctions were held over this time period. In general, registrations of new ERF projects peak in the month prior to an auction. Project registration was subdued through all of 2019 with 39 projects registered. Project registration increased in 2020 to 85 projects registered up to 1 September 2020. This volume of registration is similar to 2017 (96 projects registered) and 2018 (124 projects registered)." title="Figure 3.1. ERF projects registered by month 1 Jan 2017 - 1 Sept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249" cy="3088262"/>
                    </a:xfrm>
                    <a:prstGeom prst="rect">
                      <a:avLst/>
                    </a:prstGeom>
                    <a:noFill/>
                  </pic:spPr>
                </pic:pic>
              </a:graphicData>
            </a:graphic>
          </wp:inline>
        </w:drawing>
      </w:r>
    </w:p>
    <w:p w14:paraId="5B9CF698" w14:textId="4A3D3B3B" w:rsidR="006016CE" w:rsidRDefault="006016CE" w:rsidP="006016CE">
      <w:pPr>
        <w:pStyle w:val="Footnote"/>
        <w:tabs>
          <w:tab w:val="center" w:pos="4513"/>
        </w:tabs>
        <w:spacing w:after="0"/>
        <w:jc w:val="both"/>
      </w:pPr>
      <w:r w:rsidRPr="00334564">
        <w:rPr>
          <w:b/>
        </w:rPr>
        <w:t>Note:</w:t>
      </w:r>
      <w:r>
        <w:t xml:space="preserve"> </w:t>
      </w:r>
      <w:r w:rsidR="00275C90">
        <w:t>Figure 3.1 indicates auction months and projects with and without carbon abatement contracts (CAC</w:t>
      </w:r>
      <w:r w:rsidR="00E60FF5">
        <w:t>) excluding</w:t>
      </w:r>
      <w:r>
        <w:t xml:space="preserve"> lapsed/terminated contracts. </w:t>
      </w:r>
      <w:r w:rsidR="001A2BCB">
        <w:t>Three p</w:t>
      </w:r>
      <w:r>
        <w:t>rojects with both fixed and optional contracts are counted twice</w:t>
      </w:r>
      <w:r w:rsidR="00D24A74">
        <w:t xml:space="preserve"> – they are in June 2020 and March 2020.</w:t>
      </w:r>
    </w:p>
    <w:p w14:paraId="1F1FAE33" w14:textId="4D91D7CB" w:rsidR="00B27A13" w:rsidRDefault="00B27A13" w:rsidP="00B27A13">
      <w:pPr>
        <w:pStyle w:val="Footnote"/>
        <w:tabs>
          <w:tab w:val="center" w:pos="4513"/>
        </w:tabs>
        <w:spacing w:after="0"/>
        <w:jc w:val="both"/>
      </w:pPr>
      <w:r w:rsidRPr="7943B309">
        <w:rPr>
          <w:b/>
        </w:rPr>
        <w:t xml:space="preserve">Source: </w:t>
      </w:r>
      <w:r w:rsidRPr="009B374E">
        <w:t xml:space="preserve">MAG </w:t>
      </w:r>
      <w:r w:rsidR="00180660" w:rsidRPr="009B374E">
        <w:t>2020</w:t>
      </w:r>
      <w:r>
        <w:t>.</w:t>
      </w:r>
    </w:p>
    <w:p w14:paraId="663B7004" w14:textId="77777777" w:rsidR="00B27A13" w:rsidRDefault="00B27A13" w:rsidP="00B27A13">
      <w:pPr>
        <w:pStyle w:val="Footnote"/>
        <w:tabs>
          <w:tab w:val="center" w:pos="4513"/>
        </w:tabs>
        <w:spacing w:after="0"/>
        <w:jc w:val="both"/>
      </w:pPr>
    </w:p>
    <w:p w14:paraId="05E4F241" w14:textId="6CD0CD28" w:rsidR="00B92C08" w:rsidRPr="00FB756E" w:rsidRDefault="00D44D1C" w:rsidP="00B92C08">
      <w:pPr>
        <w:pStyle w:val="Heading3"/>
        <w:rPr>
          <w:i/>
          <w:color w:val="0070AE" w:themeColor="accent2" w:themeTint="BF"/>
        </w:rPr>
      </w:pPr>
      <w:r w:rsidRPr="00FB756E">
        <w:rPr>
          <w:i/>
          <w:color w:val="0070AE" w:themeColor="accent2" w:themeTint="BF"/>
        </w:rPr>
        <w:t>ACCUs</w:t>
      </w:r>
      <w:r w:rsidR="00B92C08" w:rsidRPr="00FB756E">
        <w:rPr>
          <w:i/>
          <w:color w:val="0070AE" w:themeColor="accent2" w:themeTint="BF"/>
        </w:rPr>
        <w:t xml:space="preserve"> </w:t>
      </w:r>
      <w:r w:rsidR="00C81510" w:rsidRPr="00FB756E">
        <w:rPr>
          <w:i/>
          <w:color w:val="0070AE" w:themeColor="accent2" w:themeTint="BF"/>
        </w:rPr>
        <w:t>issued to registered ERF projects</w:t>
      </w:r>
    </w:p>
    <w:p w14:paraId="6B5605D3" w14:textId="237119BC" w:rsidR="00C128FD" w:rsidRDefault="004F3F4B" w:rsidP="006B1956">
      <w:r w:rsidRPr="00334564">
        <w:t xml:space="preserve">As of </w:t>
      </w:r>
      <w:r w:rsidR="00F37EB5" w:rsidRPr="00A37231">
        <w:t xml:space="preserve">13 September </w:t>
      </w:r>
      <w:r w:rsidRPr="00A37231">
        <w:t>2020</w:t>
      </w:r>
      <w:r>
        <w:t xml:space="preserve">, </w:t>
      </w:r>
      <w:r w:rsidR="00F37EB5" w:rsidRPr="00E30227">
        <w:t>82.6</w:t>
      </w:r>
      <w:r>
        <w:t xml:space="preserve"> million ACCUs have been issued </w:t>
      </w:r>
      <w:r w:rsidR="0011040A">
        <w:t xml:space="preserve">to </w:t>
      </w:r>
      <w:r w:rsidR="00164ECB">
        <w:t xml:space="preserve">approximately </w:t>
      </w:r>
      <w:r w:rsidR="00164ECB" w:rsidRPr="00E30227">
        <w:t>60 per cent</w:t>
      </w:r>
      <w:r w:rsidR="00164ECB">
        <w:t xml:space="preserve"> of registered</w:t>
      </w:r>
      <w:r>
        <w:t xml:space="preserve"> projects</w:t>
      </w:r>
      <w:r w:rsidR="00B74B25">
        <w:t xml:space="preserve"> (</w:t>
      </w:r>
      <w:r w:rsidR="00B74B25" w:rsidRPr="00E30227">
        <w:t>499 projects</w:t>
      </w:r>
      <w:r w:rsidR="00B74B25">
        <w:t>).</w:t>
      </w:r>
      <w:r>
        <w:rPr>
          <w:rStyle w:val="FootnoteReference"/>
        </w:rPr>
        <w:footnoteReference w:id="8"/>
      </w:r>
      <w:r>
        <w:t xml:space="preserve"> </w:t>
      </w:r>
      <w:r w:rsidRPr="006A7E59">
        <w:t xml:space="preserve">The greatest volume of emissions reductions under the ERF comes from vegetation management, which accounts for </w:t>
      </w:r>
      <w:r w:rsidRPr="00E30227">
        <w:t>55 per cent</w:t>
      </w:r>
      <w:r w:rsidRPr="006A7E59">
        <w:t xml:space="preserve"> of ACCUs issued to ERF projects</w:t>
      </w:r>
      <w:r w:rsidR="00164ECB">
        <w:t>.</w:t>
      </w:r>
      <w:r w:rsidRPr="006A7E59">
        <w:t xml:space="preserve"> </w:t>
      </w:r>
      <w:r w:rsidR="008E5433">
        <w:t xml:space="preserve">Most </w:t>
      </w:r>
      <w:r w:rsidR="004E739F">
        <w:t>are</w:t>
      </w:r>
      <w:r w:rsidR="008E5433">
        <w:t xml:space="preserve"> from </w:t>
      </w:r>
      <w:r w:rsidRPr="006A7E59">
        <w:t xml:space="preserve">methods </w:t>
      </w:r>
      <w:r w:rsidR="008E5433">
        <w:t xml:space="preserve">that </w:t>
      </w:r>
      <w:r w:rsidRPr="006A7E59">
        <w:t xml:space="preserve">credit carbon storage from regrowth of vegetation </w:t>
      </w:r>
      <w:r w:rsidR="008E5433">
        <w:t xml:space="preserve">(human-induced regeneration) </w:t>
      </w:r>
      <w:r w:rsidRPr="006A7E59">
        <w:t>or from preventing land clearing</w:t>
      </w:r>
      <w:r w:rsidR="008E5433">
        <w:t xml:space="preserve"> (avoided deforestation)</w:t>
      </w:r>
      <w:r w:rsidRPr="006A7E59">
        <w:t xml:space="preserve">. Other </w:t>
      </w:r>
      <w:r w:rsidR="00164ECB">
        <w:t>activities</w:t>
      </w:r>
      <w:r w:rsidRPr="006A7E59">
        <w:t xml:space="preserve"> successful in driving down emissions include waste (</w:t>
      </w:r>
      <w:r w:rsidRPr="00E30227">
        <w:t>3</w:t>
      </w:r>
      <w:r w:rsidR="0011040A" w:rsidRPr="00E30227">
        <w:t>1</w:t>
      </w:r>
      <w:r w:rsidRPr="006A7E59">
        <w:t xml:space="preserve"> per cent</w:t>
      </w:r>
      <w:r w:rsidR="00D44D1C">
        <w:t xml:space="preserve"> of ACCUs issued</w:t>
      </w:r>
      <w:r w:rsidRPr="006A7E59">
        <w:t>) and savanna burning (</w:t>
      </w:r>
      <w:r w:rsidR="0011040A" w:rsidRPr="00E30227">
        <w:t>10</w:t>
      </w:r>
      <w:r w:rsidR="0011040A" w:rsidRPr="006A7E59">
        <w:t xml:space="preserve"> </w:t>
      </w:r>
      <w:r w:rsidRPr="006A7E59">
        <w:t>per cent</w:t>
      </w:r>
      <w:r w:rsidR="00D44D1C">
        <w:t xml:space="preserve"> of ACCUs issued</w:t>
      </w:r>
      <w:r w:rsidRPr="006A7E59">
        <w:t>).</w:t>
      </w:r>
      <w:r>
        <w:t xml:space="preserve"> </w:t>
      </w:r>
    </w:p>
    <w:p w14:paraId="134FBEB6" w14:textId="2319707E" w:rsidR="004F3F4B" w:rsidRDefault="004F3F4B" w:rsidP="006B1956">
      <w:r w:rsidRPr="00E72819">
        <w:t xml:space="preserve">There has been little uptake </w:t>
      </w:r>
      <w:r w:rsidR="00A07DA7">
        <w:t>or</w:t>
      </w:r>
      <w:r w:rsidR="00A07DA7" w:rsidRPr="00E72819">
        <w:t xml:space="preserve"> </w:t>
      </w:r>
      <w:r w:rsidR="00A07DA7">
        <w:t>crediting under</w:t>
      </w:r>
      <w:r w:rsidRPr="00E72819">
        <w:t xml:space="preserve"> methods relating to transport, industrial fugitives and energy efficiency</w:t>
      </w:r>
      <w:r w:rsidR="00A07DA7">
        <w:t>. C</w:t>
      </w:r>
      <w:r>
        <w:t xml:space="preserve">ombined, these </w:t>
      </w:r>
      <w:r w:rsidR="00164ECB">
        <w:t>activities</w:t>
      </w:r>
      <w:r>
        <w:t xml:space="preserve"> account for </w:t>
      </w:r>
      <w:r w:rsidR="009A34A1" w:rsidRPr="009A34A1">
        <w:t>less than</w:t>
      </w:r>
      <w:r w:rsidR="00164ECB">
        <w:t xml:space="preserve"> </w:t>
      </w:r>
      <w:r w:rsidR="00D27DF3" w:rsidRPr="00E30227">
        <w:t>3</w:t>
      </w:r>
      <w:r w:rsidR="00D27DF3">
        <w:t> </w:t>
      </w:r>
      <w:r>
        <w:t>per cent of ACCUs issued.</w:t>
      </w:r>
      <w:r w:rsidR="00AE6412">
        <w:t xml:space="preserve"> </w:t>
      </w:r>
      <w:r w:rsidR="008E5433">
        <w:t>S</w:t>
      </w:r>
      <w:r w:rsidR="00AE6412">
        <w:t xml:space="preserve">ince </w:t>
      </w:r>
      <w:r w:rsidR="007F352A">
        <w:t xml:space="preserve">the Authority reviewed the ERF in </w:t>
      </w:r>
      <w:r w:rsidR="00AE6412">
        <w:t xml:space="preserve">2017, there has been a </w:t>
      </w:r>
      <w:r w:rsidR="007F352A">
        <w:t xml:space="preserve">further </w:t>
      </w:r>
      <w:r w:rsidR="00AE6412">
        <w:t xml:space="preserve">concentration in the number of both registered and contracted ERF projects in vegetation </w:t>
      </w:r>
      <w:r w:rsidR="002F7C59">
        <w:t>activities</w:t>
      </w:r>
      <w:r w:rsidR="00F66678">
        <w:t xml:space="preserve"> (</w:t>
      </w:r>
      <w:r w:rsidR="00F66678" w:rsidRPr="005E1241">
        <w:t>CCA 2017</w:t>
      </w:r>
      <w:r w:rsidR="007B1647" w:rsidRPr="005E1241">
        <w:t>a</w:t>
      </w:r>
      <w:r w:rsidR="00D27DF3">
        <w:t xml:space="preserve">, </w:t>
      </w:r>
      <w:r w:rsidR="000B1F14" w:rsidRPr="00E30227">
        <w:rPr>
          <w:rFonts w:eastAsia="Times New Roman" w:cs="Arial"/>
          <w:color w:val="000000" w:themeColor="text1"/>
          <w:szCs w:val="20"/>
          <w:lang w:eastAsia="en-AU"/>
        </w:rPr>
        <w:t>CER 2020e</w:t>
      </w:r>
      <w:r w:rsidR="000A0F98">
        <w:t xml:space="preserve">, CER </w:t>
      </w:r>
      <w:r w:rsidR="006D366A">
        <w:t>2020a</w:t>
      </w:r>
      <w:r w:rsidR="00F66678">
        <w:t>)</w:t>
      </w:r>
      <w:r w:rsidR="00AE6412">
        <w:t>.</w:t>
      </w:r>
      <w:r w:rsidR="006B511C">
        <w:t xml:space="preserve"> </w:t>
      </w:r>
    </w:p>
    <w:p w14:paraId="02BD4C21" w14:textId="4D4363B2" w:rsidR="00A4458D" w:rsidRDefault="005B3219" w:rsidP="00BF15E5">
      <w:r>
        <w:t xml:space="preserve">The annual issuance of </w:t>
      </w:r>
      <w:r w:rsidR="00B95206">
        <w:t>ACCUs</w:t>
      </w:r>
      <w:r w:rsidR="00F92012">
        <w:t xml:space="preserve"> </w:t>
      </w:r>
      <w:r>
        <w:t>ha</w:t>
      </w:r>
      <w:r w:rsidR="0030117A">
        <w:t>s</w:t>
      </w:r>
      <w:r w:rsidR="00923792">
        <w:t xml:space="preserve"> </w:t>
      </w:r>
      <w:r w:rsidR="00DD4F77">
        <w:t xml:space="preserve">trended upwards </w:t>
      </w:r>
      <w:r w:rsidR="00731121">
        <w:t xml:space="preserve">from </w:t>
      </w:r>
      <w:r w:rsidR="00731121" w:rsidRPr="0003591A">
        <w:t>9</w:t>
      </w:r>
      <w:r w:rsidR="007F4890" w:rsidRPr="0003591A">
        <w:t>.</w:t>
      </w:r>
      <w:r w:rsidR="00C5026F">
        <w:t>3</w:t>
      </w:r>
      <w:r w:rsidR="007F4890">
        <w:t> </w:t>
      </w:r>
      <w:r w:rsidR="00731121">
        <w:t xml:space="preserve">million ACCUs in 2014-15 to </w:t>
      </w:r>
      <w:r w:rsidR="00923792">
        <w:t>1</w:t>
      </w:r>
      <w:r w:rsidR="00D17D12">
        <w:t>5.5</w:t>
      </w:r>
      <w:r w:rsidR="00913F14">
        <w:t> </w:t>
      </w:r>
      <w:r w:rsidR="00923792">
        <w:t>million ACCUs in 2019-20</w:t>
      </w:r>
      <w:r w:rsidR="00731121">
        <w:t xml:space="preserve"> (Figure </w:t>
      </w:r>
      <w:r w:rsidR="0044018D" w:rsidRPr="00CD600B">
        <w:t>3.</w:t>
      </w:r>
      <w:r w:rsidR="00731121">
        <w:t>2)</w:t>
      </w:r>
      <w:r w:rsidR="00B74B25">
        <w:t>.</w:t>
      </w:r>
      <w:r w:rsidR="00731121">
        <w:rPr>
          <w:rStyle w:val="FootnoteReference"/>
        </w:rPr>
        <w:footnoteReference w:id="9"/>
      </w:r>
      <w:r w:rsidR="00923792">
        <w:t xml:space="preserve"> This is the highest issuance since the ERF began. </w:t>
      </w:r>
      <w:r w:rsidR="006B511C">
        <w:t xml:space="preserve">The Regulator anticipates that for the 2020 calendar year </w:t>
      </w:r>
      <w:r w:rsidR="00F37EB5">
        <w:t xml:space="preserve">more than </w:t>
      </w:r>
      <w:r w:rsidR="006B511C">
        <w:t>16 million ACCUs will be issued (</w:t>
      </w:r>
      <w:r w:rsidR="00BF15E5" w:rsidRPr="00E30227">
        <w:t>CER 2020f</w:t>
      </w:r>
      <w:r w:rsidR="006B511C">
        <w:t>).</w:t>
      </w:r>
    </w:p>
    <w:p w14:paraId="46F42A7B" w14:textId="4DCB8FBE" w:rsidR="007570CB" w:rsidRDefault="007570CB" w:rsidP="00BF15E5"/>
    <w:p w14:paraId="6983D595" w14:textId="77777777" w:rsidR="007570CB" w:rsidRDefault="007570CB">
      <w:pPr>
        <w:spacing w:line="259" w:lineRule="auto"/>
      </w:pPr>
      <w:r>
        <w:br w:type="page"/>
      </w:r>
    </w:p>
    <w:p w14:paraId="284E9310" w14:textId="77777777" w:rsidR="007570CB" w:rsidRDefault="007570CB" w:rsidP="007570CB">
      <w:pPr>
        <w:pStyle w:val="Figure"/>
      </w:pPr>
      <w:bookmarkStart w:id="1348" w:name="_Toc53130454"/>
      <w:r w:rsidRPr="00FB756E">
        <w:t>Figure 3.2 Volume of ACCUs issued each year by method type</w:t>
      </w:r>
      <w:bookmarkEnd w:id="1348"/>
    </w:p>
    <w:p w14:paraId="3A595AA6" w14:textId="77777777" w:rsidR="001D5C9E" w:rsidRPr="00FB756E" w:rsidRDefault="001D5C9E" w:rsidP="007570CB">
      <w:pPr>
        <w:pStyle w:val="Figure"/>
      </w:pPr>
    </w:p>
    <w:p w14:paraId="42DA662F" w14:textId="718C0E75" w:rsidR="007570CB" w:rsidRDefault="007570CB" w:rsidP="00D44EB5">
      <w:pPr>
        <w:pStyle w:val="Footnote"/>
        <w:rPr>
          <w:b/>
        </w:rPr>
      </w:pPr>
      <w:r>
        <w:rPr>
          <w:b/>
          <w:noProof/>
          <w:lang w:eastAsia="en-AU"/>
        </w:rPr>
        <w:drawing>
          <wp:inline distT="0" distB="0" distL="0" distR="0" wp14:anchorId="2513804A" wp14:editId="4B821DD8">
            <wp:extent cx="5730875" cy="3871595"/>
            <wp:effectExtent l="0" t="0" r="3175" b="0"/>
            <wp:docPr id="10" name="Picture 10" descr="Figure 3.2 is a bar chart that shows the volume of ACCUs issued annually by method type, from 2014/15 up to 2020/21, with data included up to 18 September 2020. The vertical axis is the number of ACCUs issued in millions and the horizontal axis is the year. The method types are: vegetation, waste, savanna burning, industrial fugitives, energy efficiency, transport, agriculture other, and agriculture soil. More ACCUs have been issued to vegetation than other method types. The total number of ACCUs issued each year ranges between 9.3 million (in 2014/15) and 15.5 million (in 2019/20)." title="Figure 3.2 Volume of ACCUs issued each year by metho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871595"/>
                    </a:xfrm>
                    <a:prstGeom prst="rect">
                      <a:avLst/>
                    </a:prstGeom>
                    <a:noFill/>
                  </pic:spPr>
                </pic:pic>
              </a:graphicData>
            </a:graphic>
          </wp:inline>
        </w:drawing>
      </w:r>
    </w:p>
    <w:p w14:paraId="0043EBF0" w14:textId="77777777" w:rsidR="007570CB" w:rsidRDefault="007570CB" w:rsidP="00D44EB5">
      <w:pPr>
        <w:pStyle w:val="Footnote"/>
        <w:rPr>
          <w:b/>
        </w:rPr>
      </w:pPr>
    </w:p>
    <w:p w14:paraId="7F79E499" w14:textId="6B8F6ED7" w:rsidR="00D44EB5" w:rsidRDefault="00D44EB5" w:rsidP="00D44EB5">
      <w:pPr>
        <w:pStyle w:val="Footnote"/>
      </w:pPr>
      <w:r w:rsidRPr="7943B309">
        <w:rPr>
          <w:b/>
        </w:rPr>
        <w:t>Note:</w:t>
      </w:r>
      <w:r w:rsidRPr="00744414">
        <w:rPr>
          <w:b/>
        </w:rPr>
        <w:t xml:space="preserve"> </w:t>
      </w:r>
      <w:r>
        <w:t>Graph does not include relinquished units</w:t>
      </w:r>
      <w:r w:rsidR="00C5026F">
        <w:t xml:space="preserve"> or ACCUs issued under the Carbon Farming Initiative in years 2012/13 and 2013/14</w:t>
      </w:r>
      <w:r>
        <w:t xml:space="preserve">. </w:t>
      </w:r>
    </w:p>
    <w:p w14:paraId="7D19D736" w14:textId="687A4B9B" w:rsidR="007B1647" w:rsidRDefault="007B1647" w:rsidP="00D44EB5">
      <w:pPr>
        <w:pStyle w:val="Footnote"/>
      </w:pPr>
      <w:r w:rsidRPr="7943B309">
        <w:rPr>
          <w:b/>
        </w:rPr>
        <w:t>Source:</w:t>
      </w:r>
      <w:r>
        <w:t xml:space="preserve"> </w:t>
      </w:r>
      <w:r w:rsidR="000B1F14" w:rsidRPr="00453486">
        <w:rPr>
          <w:rFonts w:eastAsia="Times New Roman" w:cs="Arial"/>
          <w:color w:val="000000" w:themeColor="text1"/>
          <w:szCs w:val="20"/>
          <w:lang w:eastAsia="en-AU"/>
        </w:rPr>
        <w:t>CER 2020e</w:t>
      </w:r>
      <w:r>
        <w:t xml:space="preserve">. Data correct at </w:t>
      </w:r>
      <w:r w:rsidR="00D1029B">
        <w:t>18 September</w:t>
      </w:r>
      <w:r>
        <w:t xml:space="preserve"> 2020.</w:t>
      </w:r>
    </w:p>
    <w:p w14:paraId="5E1152FF" w14:textId="77777777" w:rsidR="00FB756E" w:rsidRDefault="00FB756E" w:rsidP="00D44EB5">
      <w:pPr>
        <w:pStyle w:val="Footnote"/>
      </w:pPr>
    </w:p>
    <w:p w14:paraId="4573D5AC" w14:textId="58A60759" w:rsidR="00CA006F" w:rsidRPr="00FB756E" w:rsidRDefault="00B27A13" w:rsidP="00B30749">
      <w:pPr>
        <w:pStyle w:val="Heading2"/>
        <w:numPr>
          <w:ilvl w:val="1"/>
          <w:numId w:val="54"/>
        </w:numPr>
        <w:rPr>
          <w:color w:val="0070AE" w:themeColor="accent2" w:themeTint="BF"/>
        </w:rPr>
      </w:pPr>
      <w:bookmarkStart w:id="1349" w:name="_Toc50553605"/>
      <w:bookmarkStart w:id="1350" w:name="_Toc50555368"/>
      <w:bookmarkStart w:id="1351" w:name="_Toc50559828"/>
      <w:bookmarkStart w:id="1352" w:name="_Toc50559881"/>
      <w:bookmarkStart w:id="1353" w:name="_Toc50563815"/>
      <w:bookmarkStart w:id="1354" w:name="_Toc50711368"/>
      <w:bookmarkStart w:id="1355" w:name="_Toc50730674"/>
      <w:bookmarkStart w:id="1356" w:name="_Toc50905522"/>
      <w:bookmarkStart w:id="1357" w:name="_Toc49692136"/>
      <w:bookmarkStart w:id="1358" w:name="_Toc49710509"/>
      <w:bookmarkStart w:id="1359" w:name="_Toc49710681"/>
      <w:bookmarkStart w:id="1360" w:name="_Toc49713234"/>
      <w:bookmarkStart w:id="1361" w:name="_Toc49713436"/>
      <w:bookmarkStart w:id="1362" w:name="_Toc49776374"/>
      <w:bookmarkStart w:id="1363" w:name="_Toc49784933"/>
      <w:bookmarkStart w:id="1364" w:name="_Toc49786259"/>
      <w:bookmarkStart w:id="1365" w:name="_Toc49787308"/>
      <w:bookmarkStart w:id="1366" w:name="_Toc49787363"/>
      <w:bookmarkStart w:id="1367" w:name="_Toc49850677"/>
      <w:bookmarkStart w:id="1368" w:name="_Toc49852919"/>
      <w:bookmarkStart w:id="1369" w:name="_Toc49854336"/>
      <w:bookmarkStart w:id="1370" w:name="_Toc49856932"/>
      <w:bookmarkStart w:id="1371" w:name="_Toc49858248"/>
      <w:bookmarkStart w:id="1372" w:name="_Toc49858303"/>
      <w:bookmarkStart w:id="1373" w:name="_Toc49863005"/>
      <w:bookmarkStart w:id="1374" w:name="_Toc49867728"/>
      <w:bookmarkStart w:id="1375" w:name="_Toc49870564"/>
      <w:bookmarkStart w:id="1376" w:name="_Toc49871307"/>
      <w:bookmarkStart w:id="1377" w:name="_Toc49871987"/>
      <w:bookmarkStart w:id="1378" w:name="_Toc49872540"/>
      <w:bookmarkStart w:id="1379" w:name="_Toc50027752"/>
      <w:bookmarkStart w:id="1380" w:name="_Toc50029446"/>
      <w:bookmarkStart w:id="1381" w:name="_Toc50043877"/>
      <w:bookmarkStart w:id="1382" w:name="_Toc50057728"/>
      <w:bookmarkStart w:id="1383" w:name="_Toc50720950"/>
      <w:bookmarkStart w:id="1384" w:name="_Toc50734900"/>
      <w:bookmarkStart w:id="1385" w:name="_Toc50735503"/>
      <w:bookmarkStart w:id="1386" w:name="_Toc51587007"/>
      <w:bookmarkStart w:id="1387" w:name="_Toc51594867"/>
      <w:bookmarkStart w:id="1388" w:name="_Toc51599470"/>
      <w:bookmarkStart w:id="1389" w:name="_Toc51613506"/>
      <w:bookmarkStart w:id="1390" w:name="_Toc51672861"/>
      <w:bookmarkStart w:id="1391" w:name="_Toc51673911"/>
      <w:bookmarkStart w:id="1392" w:name="_Toc51669617"/>
      <w:bookmarkStart w:id="1393" w:name="_Toc51669712"/>
      <w:bookmarkStart w:id="1394" w:name="_Toc51680728"/>
      <w:bookmarkStart w:id="1395" w:name="_Toc51683257"/>
      <w:bookmarkStart w:id="1396" w:name="_Toc51685993"/>
      <w:bookmarkStart w:id="1397" w:name="_Toc51687731"/>
      <w:bookmarkStart w:id="1398" w:name="_Toc51687875"/>
      <w:bookmarkStart w:id="1399" w:name="_Toc51705753"/>
      <w:bookmarkStart w:id="1400" w:name="_Toc51770699"/>
      <w:bookmarkStart w:id="1401" w:name="_Toc51770885"/>
      <w:bookmarkStart w:id="1402" w:name="_Toc52359228"/>
      <w:bookmarkStart w:id="1403" w:name="_Toc52367261"/>
      <w:bookmarkStart w:id="1404" w:name="_Toc52371601"/>
      <w:bookmarkStart w:id="1405" w:name="_Toc52374749"/>
      <w:bookmarkStart w:id="1406" w:name="_Toc52377287"/>
      <w:bookmarkStart w:id="1407" w:name="_Toc52379209"/>
      <w:bookmarkStart w:id="1408" w:name="_Toc52379564"/>
      <w:bookmarkStart w:id="1409" w:name="_Toc52532774"/>
      <w:bookmarkStart w:id="1410" w:name="_Toc52535669"/>
      <w:bookmarkStart w:id="1411" w:name="_Toc52537487"/>
      <w:bookmarkStart w:id="1412" w:name="_Toc52544050"/>
      <w:bookmarkStart w:id="1413" w:name="_Toc52545654"/>
      <w:bookmarkStart w:id="1414" w:name="_Toc52547886"/>
      <w:bookmarkStart w:id="1415" w:name="_Toc52548575"/>
      <w:bookmarkStart w:id="1416" w:name="_Toc52890867"/>
      <w:bookmarkStart w:id="1417" w:name="_Toc52895070"/>
      <w:bookmarkStart w:id="1418" w:name="_Toc52896594"/>
      <w:bookmarkStart w:id="1419" w:name="_Toc52977771"/>
      <w:bookmarkStart w:id="1420" w:name="_Toc53129457"/>
      <w:bookmarkStart w:id="1421" w:name="_Toc44514569"/>
      <w:bookmarkStart w:id="1422" w:name="_Toc45030349"/>
      <w:bookmarkStart w:id="1423" w:name="_Toc48996305"/>
      <w:bookmarkStart w:id="1424" w:name="_Toc49350827"/>
      <w:bookmarkStart w:id="1425" w:name="_Toc49352807"/>
      <w:bookmarkStart w:id="1426" w:name="_Toc49354183"/>
      <w:bookmarkStart w:id="1427" w:name="_Toc49355509"/>
      <w:bookmarkStart w:id="1428" w:name="_Toc49429267"/>
      <w:bookmarkStart w:id="1429" w:name="_Toc49434024"/>
      <w:bookmarkStart w:id="1430" w:name="_Toc49441017"/>
      <w:bookmarkStart w:id="1431" w:name="_Toc49441207"/>
      <w:bookmarkStart w:id="1432" w:name="_Toc49442210"/>
      <w:bookmarkStart w:id="1433" w:name="_Toc49508939"/>
      <w:bookmarkStart w:id="1434" w:name="_Toc49519749"/>
      <w:bookmarkStart w:id="1435" w:name="_Toc49521467"/>
      <w:bookmarkStart w:id="1436" w:name="_Toc49524539"/>
      <w:bookmarkStart w:id="1437" w:name="_Toc49524677"/>
      <w:bookmarkStart w:id="1438" w:name="_Toc49527146"/>
      <w:bookmarkStart w:id="1439" w:name="_Toc49527984"/>
      <w:bookmarkStart w:id="1440" w:name="_Toc44514570"/>
      <w:r w:rsidRPr="00FB756E">
        <w:rPr>
          <w:color w:val="0070AE" w:themeColor="accent2" w:themeTint="BF"/>
        </w:rPr>
        <w:t>Government purchasing</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r w:rsidRPr="00FB756E">
        <w:rPr>
          <w:color w:val="0070AE" w:themeColor="accent2" w:themeTint="BF"/>
        </w:rPr>
        <w:t xml:space="preserve"> </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7CE3A6BD" w14:textId="71319B47" w:rsidR="00557800" w:rsidRPr="00FB756E" w:rsidRDefault="00FA1324" w:rsidP="00557800">
      <w:pPr>
        <w:pStyle w:val="Heading3"/>
        <w:rPr>
          <w:i/>
          <w:color w:val="0070AE" w:themeColor="accent2" w:themeTint="BF"/>
        </w:rPr>
      </w:pPr>
      <w:r w:rsidRPr="00FB756E">
        <w:rPr>
          <w:i/>
          <w:color w:val="0070AE" w:themeColor="accent2" w:themeTint="BF"/>
        </w:rPr>
        <w:t xml:space="preserve">Government </w:t>
      </w:r>
      <w:r w:rsidR="00000812" w:rsidRPr="00FB756E">
        <w:rPr>
          <w:i/>
          <w:color w:val="0070AE" w:themeColor="accent2" w:themeTint="BF"/>
        </w:rPr>
        <w:t xml:space="preserve">abatement </w:t>
      </w:r>
      <w:r w:rsidR="00557800" w:rsidRPr="00FB756E">
        <w:rPr>
          <w:i/>
          <w:color w:val="0070AE" w:themeColor="accent2" w:themeTint="BF"/>
        </w:rPr>
        <w:t xml:space="preserve">contract portfolio </w:t>
      </w:r>
    </w:p>
    <w:p w14:paraId="26300BE9" w14:textId="4C47F6C2" w:rsidR="00E543EC" w:rsidRPr="00000812" w:rsidRDefault="00CA006F" w:rsidP="00000812">
      <w:pPr>
        <w:rPr>
          <w:lang w:val="en-US"/>
        </w:rPr>
      </w:pPr>
      <w:r w:rsidRPr="00744414">
        <w:rPr>
          <w:lang w:val="en-US"/>
        </w:rPr>
        <w:t xml:space="preserve">As of </w:t>
      </w:r>
      <w:r w:rsidR="00146E0C" w:rsidRPr="00744414">
        <w:rPr>
          <w:lang w:val="en-US"/>
        </w:rPr>
        <w:t xml:space="preserve">13 September </w:t>
      </w:r>
      <w:r w:rsidRPr="00744414">
        <w:rPr>
          <w:lang w:val="en-US"/>
        </w:rPr>
        <w:t>2020,</w:t>
      </w:r>
      <w:r>
        <w:rPr>
          <w:lang w:val="en-US"/>
        </w:rPr>
        <w:t xml:space="preserve"> f</w:t>
      </w:r>
      <w:r w:rsidRPr="00ED483C">
        <w:rPr>
          <w:lang w:val="en-US"/>
        </w:rPr>
        <w:t>ollowing auction</w:t>
      </w:r>
      <w:r w:rsidR="004E739F">
        <w:rPr>
          <w:lang w:val="en-US"/>
        </w:rPr>
        <w:t xml:space="preserve"> 11</w:t>
      </w:r>
      <w:r>
        <w:rPr>
          <w:lang w:val="en-US"/>
        </w:rPr>
        <w:t>,</w:t>
      </w:r>
      <w:r w:rsidRPr="00ED483C">
        <w:rPr>
          <w:lang w:val="en-US"/>
        </w:rPr>
        <w:t xml:space="preserve"> the Regulator had a portfolio of </w:t>
      </w:r>
      <w:r w:rsidRPr="00E30227">
        <w:rPr>
          <w:lang w:val="en-US"/>
        </w:rPr>
        <w:t>4</w:t>
      </w:r>
      <w:r w:rsidR="00F012F8" w:rsidRPr="00E30227">
        <w:rPr>
          <w:lang w:val="en-US"/>
        </w:rPr>
        <w:t>98</w:t>
      </w:r>
      <w:r w:rsidRPr="0017708A">
        <w:rPr>
          <w:lang w:val="en-US"/>
        </w:rPr>
        <w:t xml:space="preserve"> abatement contracts to purchase </w:t>
      </w:r>
      <w:r w:rsidR="00026A77">
        <w:rPr>
          <w:lang w:val="en-US"/>
        </w:rPr>
        <w:t xml:space="preserve">approximately </w:t>
      </w:r>
      <w:r w:rsidR="00F012F8" w:rsidRPr="00E30227">
        <w:rPr>
          <w:lang w:val="en-US"/>
        </w:rPr>
        <w:t>200</w:t>
      </w:r>
      <w:r w:rsidRPr="0017708A">
        <w:rPr>
          <w:lang w:val="en-US"/>
        </w:rPr>
        <w:t xml:space="preserve"> million ACCUs at a committed cost of </w:t>
      </w:r>
      <w:r w:rsidRPr="00E30227">
        <w:rPr>
          <w:lang w:val="en-US"/>
        </w:rPr>
        <w:t>$2.</w:t>
      </w:r>
      <w:r w:rsidR="00F012F8" w:rsidRPr="00E30227">
        <w:rPr>
          <w:lang w:val="en-US"/>
        </w:rPr>
        <w:t>4</w:t>
      </w:r>
      <w:r w:rsidRPr="0017708A">
        <w:rPr>
          <w:lang w:val="en-US"/>
        </w:rPr>
        <w:t xml:space="preserve"> billion</w:t>
      </w:r>
      <w:r>
        <w:rPr>
          <w:lang w:val="en-US"/>
        </w:rPr>
        <w:t xml:space="preserve"> </w:t>
      </w:r>
      <w:r w:rsidRPr="00ED483C">
        <w:rPr>
          <w:lang w:val="en-US"/>
        </w:rPr>
        <w:t>(</w:t>
      </w:r>
      <w:r w:rsidR="00996B9D" w:rsidRPr="00BE6F26">
        <w:t>CER 2020</w:t>
      </w:r>
      <w:r w:rsidR="00996B9D">
        <w:t>d</w:t>
      </w:r>
      <w:r w:rsidRPr="00ED483C">
        <w:rPr>
          <w:lang w:val="en-US"/>
        </w:rPr>
        <w:t>)</w:t>
      </w:r>
      <w:r w:rsidR="00A67B08" w:rsidRPr="00423DD4">
        <w:t xml:space="preserve">. </w:t>
      </w:r>
      <w:r w:rsidR="00052429" w:rsidRPr="00E30227">
        <w:rPr>
          <w:lang w:val="en-US"/>
        </w:rPr>
        <w:t>Eighty-two</w:t>
      </w:r>
      <w:r w:rsidR="00052429" w:rsidRPr="0017708A">
        <w:rPr>
          <w:lang w:val="en-US"/>
        </w:rPr>
        <w:t xml:space="preserve"> per cent of total contracted abatement is </w:t>
      </w:r>
      <w:r w:rsidR="00127C45" w:rsidRPr="0017708A">
        <w:rPr>
          <w:lang w:val="en-US"/>
        </w:rPr>
        <w:t xml:space="preserve">attached to projects from </w:t>
      </w:r>
      <w:r w:rsidR="00052429" w:rsidRPr="00814F78">
        <w:rPr>
          <w:lang w:val="en-US"/>
        </w:rPr>
        <w:t>vegetation, agriculture, savanna burning</w:t>
      </w:r>
      <w:r w:rsidR="008553F3" w:rsidRPr="00FA4322">
        <w:rPr>
          <w:lang w:val="en-US"/>
        </w:rPr>
        <w:t xml:space="preserve"> activities</w:t>
      </w:r>
      <w:r w:rsidR="00052429" w:rsidRPr="00FA4322">
        <w:rPr>
          <w:lang w:val="en-US"/>
        </w:rPr>
        <w:t xml:space="preserve">; </w:t>
      </w:r>
      <w:r w:rsidR="00052429" w:rsidRPr="00E30227">
        <w:rPr>
          <w:lang w:val="en-US"/>
        </w:rPr>
        <w:t>13</w:t>
      </w:r>
      <w:r w:rsidR="00052429" w:rsidRPr="0017708A">
        <w:rPr>
          <w:lang w:val="en-US"/>
        </w:rPr>
        <w:t xml:space="preserve"> per cent is from landfill and waste; and </w:t>
      </w:r>
      <w:r w:rsidR="00052429" w:rsidRPr="00E30227">
        <w:rPr>
          <w:lang w:val="en-US"/>
        </w:rPr>
        <w:t>5</w:t>
      </w:r>
      <w:r w:rsidR="00052429" w:rsidRPr="00634391">
        <w:rPr>
          <w:lang w:val="en-US"/>
        </w:rPr>
        <w:t xml:space="preserve"> per cent is from </w:t>
      </w:r>
      <w:r w:rsidR="00CF3651">
        <w:rPr>
          <w:lang w:val="en-US"/>
        </w:rPr>
        <w:t xml:space="preserve">methods covering the </w:t>
      </w:r>
      <w:r w:rsidR="00052429" w:rsidRPr="00634391">
        <w:rPr>
          <w:lang w:val="en-US"/>
        </w:rPr>
        <w:t>rest of the economy (</w:t>
      </w:r>
      <w:r w:rsidR="00052429" w:rsidRPr="00CD600B">
        <w:rPr>
          <w:lang w:val="en-US"/>
        </w:rPr>
        <w:t xml:space="preserve">Figure </w:t>
      </w:r>
      <w:r w:rsidR="0044018D" w:rsidRPr="00CD600B">
        <w:rPr>
          <w:lang w:val="en-US"/>
        </w:rPr>
        <w:t>3.3</w:t>
      </w:r>
      <w:r w:rsidR="004E739F">
        <w:rPr>
          <w:lang w:val="en-US"/>
        </w:rPr>
        <w:t>,</w:t>
      </w:r>
      <w:r w:rsidR="00052429">
        <w:rPr>
          <w:lang w:val="en-US"/>
        </w:rPr>
        <w:t xml:space="preserve"> </w:t>
      </w:r>
      <w:r w:rsidR="00052429" w:rsidRPr="00E30227">
        <w:rPr>
          <w:lang w:val="en-US"/>
        </w:rPr>
        <w:t>CER</w:t>
      </w:r>
      <w:r w:rsidR="00052429" w:rsidRPr="005B3CCC">
        <w:rPr>
          <w:lang w:val="en-US"/>
        </w:rPr>
        <w:t xml:space="preserve"> </w:t>
      </w:r>
      <w:r w:rsidR="009A34A1" w:rsidRPr="0082304A">
        <w:rPr>
          <w:lang w:val="en-US"/>
        </w:rPr>
        <w:t>20</w:t>
      </w:r>
      <w:r w:rsidR="0045385D" w:rsidRPr="00E30227">
        <w:rPr>
          <w:lang w:val="en-US"/>
        </w:rPr>
        <w:t>20a</w:t>
      </w:r>
      <w:r w:rsidR="00052429" w:rsidRPr="00634391">
        <w:rPr>
          <w:lang w:val="en-US"/>
        </w:rPr>
        <w:t>).</w:t>
      </w:r>
    </w:p>
    <w:p w14:paraId="1C45C31D" w14:textId="3B321162" w:rsidR="00E543EC" w:rsidRDefault="00B27A13" w:rsidP="00CC338E">
      <w:pPr>
        <w:pStyle w:val="Figure"/>
      </w:pPr>
      <w:bookmarkStart w:id="1441" w:name="_Toc53130455"/>
      <w:r w:rsidRPr="00FB756E">
        <w:t xml:space="preserve">Figure </w:t>
      </w:r>
      <w:r w:rsidR="0044018D" w:rsidRPr="00FB756E">
        <w:t>3.3</w:t>
      </w:r>
      <w:r w:rsidRPr="00FB756E">
        <w:t xml:space="preserve">. </w:t>
      </w:r>
      <w:r w:rsidR="00E543EC" w:rsidRPr="00FB756E">
        <w:t>Cumulative volume of contracted abatement by method type</w:t>
      </w:r>
      <w:bookmarkEnd w:id="1441"/>
    </w:p>
    <w:p w14:paraId="2316A413" w14:textId="77777777" w:rsidR="001D5C9E" w:rsidRPr="00FB756E" w:rsidRDefault="001D5C9E" w:rsidP="00CC338E">
      <w:pPr>
        <w:pStyle w:val="Figure"/>
      </w:pPr>
    </w:p>
    <w:p w14:paraId="0FB9444F" w14:textId="70BF0424" w:rsidR="00080C06" w:rsidRDefault="00D41505" w:rsidP="00E543EC">
      <w:pPr>
        <w:pStyle w:val="Footnote"/>
        <w:tabs>
          <w:tab w:val="left" w:pos="2000"/>
        </w:tabs>
        <w:rPr>
          <w:b/>
        </w:rPr>
      </w:pPr>
      <w:r>
        <w:rPr>
          <w:noProof/>
          <w:lang w:eastAsia="en-AU"/>
        </w:rPr>
        <w:drawing>
          <wp:inline distT="0" distB="0" distL="0" distR="0" wp14:anchorId="210FDEBA" wp14:editId="3B3DB07B">
            <wp:extent cx="5731510" cy="4270317"/>
            <wp:effectExtent l="0" t="0" r="2540" b="0"/>
            <wp:docPr id="18" name="Picture 18" descr="Figure 3.3 is a cumulative bar chart that shows the volume of contracted abatement from each of the 11 auctions by method type. The vertical axis is ACCUs contracted in millions and the horizontal axis is the auction number. The method types are: vegetation, waste, savanna burning, industrial fugitives, energy efficiency, transport, agriculture other, and agriculture soil. The volume of contracted abatement rose from 47 million in Auction 1 to 200 million in Action 11. Contracted abatement increased rapidly over the first 4 auctions and more slowly thereafter." title="Figure 3.3. Cumulative volume of contracted abatement by metho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270317"/>
                    </a:xfrm>
                    <a:prstGeom prst="rect">
                      <a:avLst/>
                    </a:prstGeom>
                    <a:noFill/>
                  </pic:spPr>
                </pic:pic>
              </a:graphicData>
            </a:graphic>
          </wp:inline>
        </w:drawing>
      </w:r>
    </w:p>
    <w:p w14:paraId="3B5ADE5E" w14:textId="6FA9AE96" w:rsidR="00E543EC" w:rsidRDefault="00E543EC" w:rsidP="00E543EC">
      <w:pPr>
        <w:pStyle w:val="Footnote"/>
        <w:tabs>
          <w:tab w:val="left" w:pos="2000"/>
        </w:tabs>
      </w:pPr>
      <w:r w:rsidRPr="7943B309">
        <w:rPr>
          <w:b/>
        </w:rPr>
        <w:t>Note:</w:t>
      </w:r>
      <w:r w:rsidRPr="008378FA">
        <w:t xml:space="preserve"> </w:t>
      </w:r>
      <w:r w:rsidR="003C6CBB" w:rsidRPr="003C6CBB">
        <w:t>Excludes lapsed/terminated contracts</w:t>
      </w:r>
      <w:r>
        <w:t>.</w:t>
      </w:r>
      <w:r w:rsidR="00C128FD">
        <w:t xml:space="preserve"> </w:t>
      </w:r>
      <w:r w:rsidR="008D3432">
        <w:t>Graph shows fixed and optional delivery</w:t>
      </w:r>
      <w:r w:rsidR="003C6CBB">
        <w:t xml:space="preserve"> contracts.</w:t>
      </w:r>
    </w:p>
    <w:p w14:paraId="281183C8" w14:textId="481FF84A" w:rsidR="00E543EC" w:rsidRDefault="00E543EC" w:rsidP="00E543EC">
      <w:pPr>
        <w:pStyle w:val="Footnote"/>
        <w:tabs>
          <w:tab w:val="left" w:pos="2000"/>
        </w:tabs>
        <w:rPr>
          <w:b/>
        </w:rPr>
      </w:pPr>
      <w:r w:rsidRPr="7943B309">
        <w:rPr>
          <w:b/>
        </w:rPr>
        <w:t>Source</w:t>
      </w:r>
      <w:r w:rsidRPr="00E51D00">
        <w:rPr>
          <w:b/>
        </w:rPr>
        <w:t xml:space="preserve">: </w:t>
      </w:r>
      <w:r w:rsidR="003C6CBB" w:rsidRPr="00E51D00">
        <w:t>MAG 2020</w:t>
      </w:r>
      <w:r w:rsidR="009A34A1">
        <w:t>, CER 2020</w:t>
      </w:r>
      <w:r w:rsidR="0082304A">
        <w:t>a</w:t>
      </w:r>
    </w:p>
    <w:p w14:paraId="476D5C94" w14:textId="77777777" w:rsidR="005E3B97" w:rsidRDefault="005E3B97" w:rsidP="00052429"/>
    <w:p w14:paraId="7178EFE0" w14:textId="2155A775" w:rsidR="00052429" w:rsidRDefault="00052429" w:rsidP="00052429">
      <w:r>
        <w:t xml:space="preserve">When the Authority reviewed the ERF in 2017, 189 million ACCUs had been contracted for purchase at an average price of $11.83 from the first </w:t>
      </w:r>
      <w:r w:rsidR="004E739F">
        <w:t>5</w:t>
      </w:r>
      <w:r>
        <w:t xml:space="preserve"> auctions held by the Regulator (</w:t>
      </w:r>
      <w:r w:rsidRPr="00CD600B">
        <w:t xml:space="preserve">Figure </w:t>
      </w:r>
      <w:r w:rsidR="0044018D" w:rsidRPr="00CD600B">
        <w:t>3.4</w:t>
      </w:r>
      <w:r w:rsidR="000577D4">
        <w:t xml:space="preserve">, </w:t>
      </w:r>
      <w:r w:rsidR="000577D4" w:rsidRPr="005E1241">
        <w:t>CCA 2017a</w:t>
      </w:r>
      <w:r>
        <w:t>). Of this,</w:t>
      </w:r>
      <w:r w:rsidR="00360BE8">
        <w:t xml:space="preserve"> nine </w:t>
      </w:r>
      <w:r>
        <w:t xml:space="preserve">contracts representing 5 million tonnes of abatement had lapsed, bringing the active portfolio </w:t>
      </w:r>
      <w:r w:rsidR="00FA1B2D">
        <w:t xml:space="preserve">in November 2017 </w:t>
      </w:r>
      <w:r>
        <w:t>to 184 million ACCUs</w:t>
      </w:r>
      <w:r w:rsidR="00A07DA7">
        <w:t xml:space="preserve"> (see Box 3.1</w:t>
      </w:r>
      <w:r w:rsidR="000E3278">
        <w:t xml:space="preserve">, </w:t>
      </w:r>
      <w:r w:rsidR="006D366A">
        <w:t>CER 2020a</w:t>
      </w:r>
      <w:r w:rsidR="009A34A1">
        <w:t>, CCA 2017a</w:t>
      </w:r>
      <w:r w:rsidR="00A07DA7">
        <w:t>)</w:t>
      </w:r>
      <w:r>
        <w:t>.</w:t>
      </w:r>
    </w:p>
    <w:p w14:paraId="574C473D" w14:textId="30BCF00A" w:rsidR="000E3278" w:rsidRDefault="009C2997" w:rsidP="00CC14D6">
      <w:r>
        <w:t>S</w:t>
      </w:r>
      <w:r w:rsidRPr="00D761B8">
        <w:t>ince the</w:t>
      </w:r>
      <w:r>
        <w:t xml:space="preserve"> Authority’s 2017 review, after considering new contracts entered into and newly lapsed or terminated contracts,</w:t>
      </w:r>
      <w:r w:rsidR="00C16C17">
        <w:t xml:space="preserve"> a further</w:t>
      </w:r>
      <w:r>
        <w:t xml:space="preserve"> </w:t>
      </w:r>
      <w:r w:rsidR="00CC14D6" w:rsidRPr="00E30227">
        <w:t>16</w:t>
      </w:r>
      <w:r w:rsidR="00CC14D6" w:rsidRPr="0017708A">
        <w:t xml:space="preserve"> </w:t>
      </w:r>
      <w:r w:rsidRPr="0017708A">
        <w:t>million ACCUs (tonnes of abatement) (</w:t>
      </w:r>
      <w:r w:rsidR="00CC14D6" w:rsidRPr="00E30227">
        <w:t>8</w:t>
      </w:r>
      <w:r w:rsidR="00C16C17" w:rsidRPr="0017708A">
        <w:t xml:space="preserve"> per cent) ha</w:t>
      </w:r>
      <w:r w:rsidR="007F7AAD">
        <w:t>ve</w:t>
      </w:r>
      <w:r w:rsidRPr="0017708A">
        <w:t xml:space="preserve"> been added to the Government’s </w:t>
      </w:r>
      <w:r w:rsidR="007F7AAD">
        <w:t xml:space="preserve">contract </w:t>
      </w:r>
      <w:r w:rsidRPr="0017708A">
        <w:t xml:space="preserve">portfolio. </w:t>
      </w:r>
      <w:r w:rsidR="000E3278" w:rsidRPr="00026A77">
        <w:t xml:space="preserve">Between December 2017 and September 2020, new Government contracts were entered into for </w:t>
      </w:r>
      <w:r w:rsidR="000E3278" w:rsidRPr="00E30227">
        <w:t>26.7</w:t>
      </w:r>
      <w:r w:rsidR="000E3278" w:rsidRPr="0017708A">
        <w:t xml:space="preserve"> million tonnes of abatement (auctions 6-11 inclusive) at an average price of </w:t>
      </w:r>
      <w:r w:rsidR="000E3278" w:rsidRPr="00E30227">
        <w:t>$1</w:t>
      </w:r>
      <w:r w:rsidR="00C332FD" w:rsidRPr="00E30227">
        <w:t>4</w:t>
      </w:r>
      <w:r w:rsidR="000E3278" w:rsidRPr="00E30227">
        <w:t>.</w:t>
      </w:r>
      <w:r w:rsidR="00C332FD" w:rsidRPr="00E30227">
        <w:t>1</w:t>
      </w:r>
      <w:r w:rsidR="00817A21">
        <w:t>9</w:t>
      </w:r>
      <w:r w:rsidR="000E3278" w:rsidRPr="00E30227">
        <w:t>.</w:t>
      </w:r>
      <w:r w:rsidR="000E3278" w:rsidRPr="0017708A">
        <w:t xml:space="preserve"> (Figure 3.4). At the same time, </w:t>
      </w:r>
      <w:r w:rsidR="000E3278" w:rsidRPr="00E30227">
        <w:t>22 contracts for 10.6 million</w:t>
      </w:r>
      <w:r w:rsidR="000E3278">
        <w:t xml:space="preserve"> ACCUs lapsed or were </w:t>
      </w:r>
      <w:r w:rsidR="000E3278" w:rsidRPr="004D028F">
        <w:t xml:space="preserve">terminated </w:t>
      </w:r>
      <w:r w:rsidR="000E3278">
        <w:t xml:space="preserve">(Box. </w:t>
      </w:r>
      <w:r w:rsidR="000E3278" w:rsidRPr="00CD600B">
        <w:t>3.1</w:t>
      </w:r>
      <w:r w:rsidR="000E3278">
        <w:t xml:space="preserve">, </w:t>
      </w:r>
      <w:r w:rsidR="006D366A">
        <w:t>CER 2020a</w:t>
      </w:r>
      <w:r w:rsidR="000E3278">
        <w:t>).</w:t>
      </w:r>
    </w:p>
    <w:p w14:paraId="788FCE83" w14:textId="1EAB8F9C" w:rsidR="005E3B97" w:rsidRDefault="00E52E41" w:rsidP="00BD0EAE">
      <w:r w:rsidRPr="00641498">
        <w:t xml:space="preserve">There has been a </w:t>
      </w:r>
      <w:r>
        <w:t xml:space="preserve">revival in the growth of the contract portfolio in 2020. The Regulator signed </w:t>
      </w:r>
      <w:r w:rsidR="00817A21">
        <w:t>4</w:t>
      </w:r>
      <w:r>
        <w:t>7 contracts in auctions 10 and 11</w:t>
      </w:r>
      <w:r w:rsidR="00CC338E">
        <w:t>:</w:t>
      </w:r>
      <w:r w:rsidR="0039350C">
        <w:t xml:space="preserve"> </w:t>
      </w:r>
      <w:r>
        <w:t xml:space="preserve">7.7 million tonnes were contract through </w:t>
      </w:r>
      <w:r w:rsidR="00817A21">
        <w:t>3</w:t>
      </w:r>
      <w:r>
        <w:t>7 option</w:t>
      </w:r>
      <w:r w:rsidR="00E064A9">
        <w:t>al delivery</w:t>
      </w:r>
      <w:r>
        <w:t xml:space="preserve"> contracts, and a further </w:t>
      </w:r>
      <w:r w:rsidR="004E739F">
        <w:t>one</w:t>
      </w:r>
      <w:r>
        <w:t xml:space="preserve"> million tonnes were contracted to the Government under 10 fixed</w:t>
      </w:r>
      <w:r w:rsidR="00B370A6">
        <w:t xml:space="preserve"> </w:t>
      </w:r>
      <w:r>
        <w:t xml:space="preserve">delivery contracts. </w:t>
      </w:r>
      <w:r w:rsidR="00CC14D6" w:rsidRPr="00CC14D6">
        <w:t>This followed a significant slowing in growth in 2019</w:t>
      </w:r>
      <w:r w:rsidR="00B57608">
        <w:t xml:space="preserve"> (Figure 3.3, </w:t>
      </w:r>
      <w:r w:rsidR="006D366A">
        <w:t>CER 2020a</w:t>
      </w:r>
      <w:r w:rsidR="00B57608">
        <w:t>)</w:t>
      </w:r>
      <w:r w:rsidR="00CC14D6" w:rsidRPr="00CC14D6">
        <w:t>.</w:t>
      </w:r>
    </w:p>
    <w:p w14:paraId="3C0E9F1A" w14:textId="77777777" w:rsidR="005E3B97" w:rsidRDefault="005E3B97">
      <w:pPr>
        <w:spacing w:line="259" w:lineRule="auto"/>
      </w:pPr>
      <w:r>
        <w:br w:type="page"/>
      </w:r>
    </w:p>
    <w:p w14:paraId="06AF07E3" w14:textId="2FE9EBFA" w:rsidR="005E3B97" w:rsidRDefault="005E3B97" w:rsidP="00BD0EAE"/>
    <w:p w14:paraId="3697EF26" w14:textId="03971B04" w:rsidR="005E3B97" w:rsidRPr="00FB756E" w:rsidRDefault="00BF56D2" w:rsidP="005E3B97">
      <w:pPr>
        <w:pStyle w:val="Figure"/>
      </w:pPr>
      <w:bookmarkStart w:id="1442" w:name="_Toc53130456"/>
      <w:r>
        <w:rPr>
          <w:b/>
          <w:noProof/>
          <w:lang w:eastAsia="en-AU"/>
        </w:rPr>
        <w:drawing>
          <wp:anchor distT="0" distB="0" distL="114300" distR="114300" simplePos="0" relativeHeight="251659272" behindDoc="0" locked="0" layoutInCell="1" allowOverlap="1" wp14:anchorId="691385F5" wp14:editId="57E077C9">
            <wp:simplePos x="0" y="0"/>
            <wp:positionH relativeFrom="margin">
              <wp:posOffset>-31115</wp:posOffset>
            </wp:positionH>
            <wp:positionV relativeFrom="paragraph">
              <wp:posOffset>190500</wp:posOffset>
            </wp:positionV>
            <wp:extent cx="5805170" cy="3059430"/>
            <wp:effectExtent l="0" t="0" r="5080" b="7620"/>
            <wp:wrapTopAndBottom/>
            <wp:docPr id="2" name="Picture 2" descr="Figure 3.4 is a bar chart that shows the volume of contracted abatement from each of the 11 auctions and a line chart that shows the average price of contracted abatement per ACCU for each auction. Auctions 1 to 9 offered contracts that required the fixed delivery abatement. Auctions 10 and 11 offered contracts for fixed delivery or optional delivery of abatement. The vertical axis is ACCUs contracted in millions and the horizontal axis is the auction number. The volume of fixed contracted abatement and average price is as follows: Auction 1 (47 million, $13.95), auction 2 (45 million, $12.25), auction 3, (46 million, $10.23), auction 4 (27 million, $10.69), auction 5 (9 million, $11.82), auction 6 (7.8 million, $13.08), auction 7 (6 million, $13.52), auction 8 (3 million, $13.87), auction 9 (0.06 million, $14.17), auction 10 (0.3 million $16.32), auction 11 (0.7 million, $15.53). The volume of optional contracted abatement and average price is as follows: Auction 10 (1.4 million, $16.11), auction 11 (6 million, $15.77). Figures are rounded to the nearest million unless otherwise specified." title="Figure 3.4. Auction results: Volume contracted abatement and average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5170" cy="3059430"/>
                    </a:xfrm>
                    <a:prstGeom prst="rect">
                      <a:avLst/>
                    </a:prstGeom>
                    <a:noFill/>
                  </pic:spPr>
                </pic:pic>
              </a:graphicData>
            </a:graphic>
            <wp14:sizeRelH relativeFrom="margin">
              <wp14:pctWidth>0</wp14:pctWidth>
            </wp14:sizeRelH>
            <wp14:sizeRelV relativeFrom="margin">
              <wp14:pctHeight>0</wp14:pctHeight>
            </wp14:sizeRelV>
          </wp:anchor>
        </w:drawing>
      </w:r>
      <w:r w:rsidR="005E3B97" w:rsidRPr="00FB756E">
        <w:t>Figure 3.4. Auction results: Volume contracted abatement and average price</w:t>
      </w:r>
      <w:bookmarkEnd w:id="1442"/>
    </w:p>
    <w:p w14:paraId="7E8A5E39" w14:textId="7D74C42E" w:rsidR="00BF56D2" w:rsidRDefault="00BF56D2" w:rsidP="00CA006F">
      <w:pPr>
        <w:pStyle w:val="Footnote"/>
        <w:tabs>
          <w:tab w:val="center" w:pos="4513"/>
        </w:tabs>
        <w:spacing w:after="0"/>
        <w:rPr>
          <w:b/>
        </w:rPr>
      </w:pPr>
    </w:p>
    <w:p w14:paraId="4F94514C" w14:textId="5D826AD7" w:rsidR="00CA006F" w:rsidRPr="005206CA" w:rsidRDefault="00CA006F" w:rsidP="00CA006F">
      <w:pPr>
        <w:pStyle w:val="Footnote"/>
        <w:tabs>
          <w:tab w:val="center" w:pos="4513"/>
        </w:tabs>
        <w:spacing w:after="0"/>
      </w:pPr>
      <w:r w:rsidRPr="7943B309">
        <w:rPr>
          <w:b/>
        </w:rPr>
        <w:t>Note</w:t>
      </w:r>
      <w:r w:rsidRPr="005206CA">
        <w:t>:</w:t>
      </w:r>
      <w:r>
        <w:t xml:space="preserve"> </w:t>
      </w:r>
      <w:r w:rsidR="000577D4" w:rsidRPr="000577D4">
        <w:t>Exclude lapsed/terminated contracts</w:t>
      </w:r>
      <w:r>
        <w:t>.</w:t>
      </w:r>
    </w:p>
    <w:p w14:paraId="5B082B12" w14:textId="0FF25023" w:rsidR="00CE460A" w:rsidRDefault="00CA006F" w:rsidP="00744414">
      <w:pPr>
        <w:pStyle w:val="Footnote"/>
        <w:spacing w:after="0"/>
        <w:rPr>
          <w:color w:val="1EAEFF" w:themeColor="accent2" w:themeTint="80"/>
        </w:rPr>
      </w:pPr>
      <w:r w:rsidRPr="7943B309">
        <w:rPr>
          <w:b/>
        </w:rPr>
        <w:t>Source</w:t>
      </w:r>
      <w:r w:rsidRPr="005206CA">
        <w:t xml:space="preserve">: </w:t>
      </w:r>
      <w:r w:rsidR="000577D4" w:rsidRPr="00602297">
        <w:t>MAG 2020</w:t>
      </w:r>
      <w:r w:rsidR="000577D4">
        <w:t>.</w:t>
      </w:r>
      <w:bookmarkStart w:id="1443" w:name="_Delivery"/>
      <w:bookmarkEnd w:id="1443"/>
    </w:p>
    <w:p w14:paraId="1CA43F5C" w14:textId="77777777" w:rsidR="00000812" w:rsidRPr="0044018D" w:rsidRDefault="00000812" w:rsidP="00CA006F">
      <w:pPr>
        <w:pStyle w:val="Footnote"/>
        <w:spacing w:after="0"/>
        <w:rPr>
          <w:color w:val="1EAEFF" w:themeColor="accent2" w:themeTint="80"/>
        </w:rPr>
      </w:pPr>
    </w:p>
    <w:p w14:paraId="67CCBEA5" w14:textId="470769CA" w:rsidR="005B1890" w:rsidRPr="00CC338E" w:rsidRDefault="008D6DDD" w:rsidP="00CC338E">
      <w:pPr>
        <w:pStyle w:val="Box"/>
      </w:pPr>
      <w:bookmarkStart w:id="1444" w:name="_Toc53129522"/>
      <w:r w:rsidRPr="00CC338E">
        <w:t>Box</w:t>
      </w:r>
      <w:r w:rsidR="00A67B08" w:rsidRPr="00CC338E">
        <w:t xml:space="preserve"> </w:t>
      </w:r>
      <w:r w:rsidR="0044018D" w:rsidRPr="00CC338E">
        <w:t>3.1</w:t>
      </w:r>
      <w:r w:rsidRPr="00CC338E">
        <w:t xml:space="preserve">. </w:t>
      </w:r>
      <w:r w:rsidR="005F5DDA" w:rsidRPr="00CC338E">
        <w:t>Lapsed or terminated</w:t>
      </w:r>
      <w:r w:rsidR="005B1890" w:rsidRPr="00CC338E">
        <w:t xml:space="preserve"> contracts</w:t>
      </w:r>
      <w:bookmarkEnd w:id="1444"/>
    </w:p>
    <w:p w14:paraId="056EDD23" w14:textId="44A613AD" w:rsidR="005B1890" w:rsidRDefault="0039350C" w:rsidP="00F10DA2">
      <w:pPr>
        <w:pBdr>
          <w:top w:val="single" w:sz="4" w:space="1" w:color="auto"/>
          <w:left w:val="single" w:sz="4" w:space="4" w:color="auto"/>
          <w:bottom w:val="single" w:sz="4" w:space="1" w:color="auto"/>
          <w:right w:val="single" w:sz="4" w:space="4" w:color="auto"/>
        </w:pBdr>
      </w:pPr>
      <w:r>
        <w:t>ERF c</w:t>
      </w:r>
      <w:r w:rsidR="005B1890">
        <w:t xml:space="preserve">ontracts may lapse or be terminated due to pre-conditions </w:t>
      </w:r>
      <w:r w:rsidR="004E739F">
        <w:t>to</w:t>
      </w:r>
      <w:r w:rsidR="005B1890">
        <w:t xml:space="preserve"> the contract not being met, such as </w:t>
      </w:r>
      <w:r w:rsidR="005B1890" w:rsidRPr="0016796A">
        <w:t xml:space="preserve">consent from banks or state governments </w:t>
      </w:r>
      <w:r w:rsidR="005B1890">
        <w:t xml:space="preserve">for </w:t>
      </w:r>
      <w:r w:rsidR="005B1890" w:rsidRPr="0016796A">
        <w:t>projects on pastoral leases or state land</w:t>
      </w:r>
      <w:r w:rsidR="005B1890">
        <w:t>. Other reasons contracts</w:t>
      </w:r>
      <w:r w:rsidR="00817A21">
        <w:t xml:space="preserve"> can be </w:t>
      </w:r>
      <w:r w:rsidR="005B1890">
        <w:t>terminated include f</w:t>
      </w:r>
      <w:r w:rsidR="005B1890" w:rsidRPr="004D028F">
        <w:t xml:space="preserve">orce majeure or </w:t>
      </w:r>
      <w:r w:rsidR="005B1890">
        <w:t>b</w:t>
      </w:r>
      <w:r w:rsidR="005B1890" w:rsidRPr="004D028F">
        <w:t>oth parties agreeing to terminate</w:t>
      </w:r>
      <w:r w:rsidR="005B1890">
        <w:t>. Most proponents ha</w:t>
      </w:r>
      <w:r w:rsidR="009A34A1">
        <w:t>ve</w:t>
      </w:r>
      <w:r w:rsidR="005B1890">
        <w:t xml:space="preserve"> up to 18 months to finalise the pre-conditions o</w:t>
      </w:r>
      <w:r w:rsidR="004E739F">
        <w:t>f</w:t>
      </w:r>
      <w:r w:rsidR="005B1890">
        <w:t xml:space="preserve"> their contract before </w:t>
      </w:r>
      <w:r w:rsidR="004E739F">
        <w:t>a</w:t>
      </w:r>
      <w:r w:rsidR="005B1890">
        <w:t xml:space="preserve"> contract </w:t>
      </w:r>
      <w:r w:rsidR="004E739F">
        <w:t>is</w:t>
      </w:r>
      <w:r w:rsidR="005B1890">
        <w:t xml:space="preserve"> revoked.</w:t>
      </w:r>
      <w:r w:rsidR="004F1253">
        <w:t xml:space="preserve"> </w:t>
      </w:r>
    </w:p>
    <w:p w14:paraId="58F4CA34" w14:textId="69E80A53" w:rsidR="00C128FD" w:rsidRDefault="00C128FD" w:rsidP="00F10DA2">
      <w:pPr>
        <w:pBdr>
          <w:top w:val="single" w:sz="4" w:space="1" w:color="auto"/>
          <w:left w:val="single" w:sz="4" w:space="4" w:color="auto"/>
          <w:bottom w:val="single" w:sz="4" w:space="1" w:color="auto"/>
          <w:right w:val="single" w:sz="4" w:space="4" w:color="auto"/>
        </w:pBdr>
      </w:pPr>
      <w:r>
        <w:t>Since 2014, 31 contracts have been revoked</w:t>
      </w:r>
      <w:r w:rsidRPr="004D028F">
        <w:t xml:space="preserve"> </w:t>
      </w:r>
      <w:r>
        <w:t>for 15.7 million ACCUs. These contracts</w:t>
      </w:r>
      <w:r w:rsidRPr="004D028F">
        <w:t xml:space="preserve"> include</w:t>
      </w:r>
      <w:r>
        <w:t xml:space="preserve">: two large contracts under the environmental plantings method representing 8 million ACCUs; seven contracts under the coal mine gas method representing 3 million ACCUs; 12 contracts under the </w:t>
      </w:r>
      <w:r w:rsidR="009A34A1">
        <w:t>native forest regeneration</w:t>
      </w:r>
      <w:r>
        <w:t xml:space="preserve"> methods representing </w:t>
      </w:r>
      <w:r w:rsidR="00067CD5">
        <w:t>3</w:t>
      </w:r>
      <w:r>
        <w:t>.</w:t>
      </w:r>
      <w:r w:rsidR="00067CD5">
        <w:t>3</w:t>
      </w:r>
      <w:r>
        <w:t xml:space="preserve"> million ACCUs and a range of smaller contracts across several methods. The revoked contracts were conditionally awarded over the period November 2015 to June 2018 (auctions 2-7). </w:t>
      </w:r>
    </w:p>
    <w:p w14:paraId="09263DD1" w14:textId="53C89719" w:rsidR="005B1890" w:rsidRPr="008378FA" w:rsidRDefault="005B1890" w:rsidP="00F10DA2">
      <w:pPr>
        <w:pBdr>
          <w:top w:val="single" w:sz="4" w:space="1" w:color="auto"/>
          <w:left w:val="single" w:sz="4" w:space="4" w:color="auto"/>
          <w:bottom w:val="single" w:sz="4" w:space="1" w:color="auto"/>
          <w:right w:val="single" w:sz="4" w:space="4" w:color="auto"/>
        </w:pBdr>
        <w:rPr>
          <w:b/>
        </w:rPr>
      </w:pPr>
      <w:r>
        <w:t xml:space="preserve">No credits were </w:t>
      </w:r>
      <w:r w:rsidR="00FB751E">
        <w:t>issued to</w:t>
      </w:r>
      <w:r>
        <w:t xml:space="preserve"> these projects and no funds were paid under the contracts. Using the average </w:t>
      </w:r>
      <w:r w:rsidR="00B57608">
        <w:t xml:space="preserve">auction 2-7 </w:t>
      </w:r>
      <w:r>
        <w:t>price of $1</w:t>
      </w:r>
      <w:r w:rsidR="00B57608">
        <w:t>1</w:t>
      </w:r>
      <w:r>
        <w:t>.</w:t>
      </w:r>
      <w:r w:rsidR="0016627A">
        <w:t>31</w:t>
      </w:r>
      <w:r>
        <w:t xml:space="preserve"> per tonne of abatement, the contracts would have been worth in the order of $1</w:t>
      </w:r>
      <w:r w:rsidR="0016627A">
        <w:t>78</w:t>
      </w:r>
      <w:r>
        <w:t> million</w:t>
      </w:r>
      <w:r w:rsidRPr="00D33F2A">
        <w:t xml:space="preserve"> </w:t>
      </w:r>
      <w:r>
        <w:t xml:space="preserve">and the </w:t>
      </w:r>
      <w:r w:rsidRPr="0016796A">
        <w:t xml:space="preserve">funding originally allocated to these contracts </w:t>
      </w:r>
      <w:r>
        <w:t xml:space="preserve">has </w:t>
      </w:r>
      <w:r w:rsidRPr="0016796A">
        <w:t>become available for</w:t>
      </w:r>
      <w:r w:rsidR="0039350C">
        <w:t xml:space="preserve"> new ERF contracts</w:t>
      </w:r>
      <w:r>
        <w:t>.</w:t>
      </w:r>
    </w:p>
    <w:p w14:paraId="61A78440" w14:textId="77777777" w:rsidR="005E3B97" w:rsidRDefault="005E3B97" w:rsidP="00FB756E">
      <w:pPr>
        <w:pStyle w:val="Footnote"/>
        <w:spacing w:after="0"/>
        <w:rPr>
          <w:i/>
          <w:color w:val="0070AE" w:themeColor="accent2" w:themeTint="BF"/>
        </w:rPr>
      </w:pPr>
    </w:p>
    <w:p w14:paraId="1EA41640" w14:textId="77777777" w:rsidR="005E3B97" w:rsidRDefault="005E3B97">
      <w:pPr>
        <w:spacing w:line="259" w:lineRule="auto"/>
        <w:rPr>
          <w:rFonts w:eastAsia="Calibri" w:cs="Times New Roman"/>
          <w:i/>
          <w:color w:val="0070AE" w:themeColor="accent2" w:themeTint="BF"/>
          <w:sz w:val="17"/>
          <w:szCs w:val="16"/>
        </w:rPr>
      </w:pPr>
      <w:r>
        <w:rPr>
          <w:i/>
          <w:color w:val="0070AE" w:themeColor="accent2" w:themeTint="BF"/>
        </w:rPr>
        <w:br w:type="page"/>
      </w:r>
    </w:p>
    <w:p w14:paraId="78E5F628" w14:textId="728976EB" w:rsidR="005E3B97" w:rsidRDefault="005E3B97" w:rsidP="00FB756E">
      <w:pPr>
        <w:pStyle w:val="Footnote"/>
        <w:spacing w:after="0"/>
        <w:rPr>
          <w:i/>
          <w:color w:val="0070AE" w:themeColor="accent2" w:themeTint="BF"/>
        </w:rPr>
      </w:pPr>
    </w:p>
    <w:p w14:paraId="0912C42C" w14:textId="1D08DFC7" w:rsidR="00FE20DB" w:rsidRPr="00FB756E" w:rsidRDefault="00CA006F" w:rsidP="007A0905">
      <w:pPr>
        <w:pStyle w:val="Heading3"/>
        <w:rPr>
          <w:i/>
          <w:color w:val="0070AE" w:themeColor="accent2" w:themeTint="BF"/>
        </w:rPr>
      </w:pPr>
      <w:r w:rsidRPr="00FB756E">
        <w:rPr>
          <w:i/>
          <w:color w:val="0070AE" w:themeColor="accent2" w:themeTint="BF"/>
        </w:rPr>
        <w:t>Delivery</w:t>
      </w:r>
      <w:r w:rsidR="0040235E" w:rsidRPr="00FB756E">
        <w:rPr>
          <w:i/>
          <w:color w:val="0070AE" w:themeColor="accent2" w:themeTint="BF"/>
        </w:rPr>
        <w:t xml:space="preserve"> of ACCUs</w:t>
      </w:r>
      <w:r w:rsidR="00112AA8" w:rsidRPr="00FB756E">
        <w:rPr>
          <w:i/>
          <w:color w:val="0070AE" w:themeColor="accent2" w:themeTint="BF"/>
        </w:rPr>
        <w:t xml:space="preserve"> under Government contracts</w:t>
      </w:r>
    </w:p>
    <w:p w14:paraId="2AAF3573" w14:textId="0EB00311" w:rsidR="00D73919" w:rsidRDefault="00D73919" w:rsidP="00D73919">
      <w:pPr>
        <w:spacing w:line="259" w:lineRule="auto"/>
      </w:pPr>
      <w:r>
        <w:t xml:space="preserve">Of the </w:t>
      </w:r>
      <w:r w:rsidR="008D2987" w:rsidRPr="00E30227">
        <w:t>200</w:t>
      </w:r>
      <w:r w:rsidRPr="00E30227">
        <w:t xml:space="preserve"> million </w:t>
      </w:r>
      <w:r>
        <w:t xml:space="preserve">ACCUs committed under </w:t>
      </w:r>
      <w:r w:rsidR="008D2987">
        <w:t>fixed</w:t>
      </w:r>
      <w:r w:rsidR="00B370A6">
        <w:t xml:space="preserve"> </w:t>
      </w:r>
      <w:r w:rsidR="00F045EC">
        <w:t>delivery and optional delivery</w:t>
      </w:r>
      <w:r w:rsidR="008D2987">
        <w:t xml:space="preserve"> </w:t>
      </w:r>
      <w:r>
        <w:t>contrac</w:t>
      </w:r>
      <w:r w:rsidR="00FB37EF">
        <w:t>t</w:t>
      </w:r>
      <w:r w:rsidR="008D2987">
        <w:t>s</w:t>
      </w:r>
      <w:r w:rsidR="00B9767B">
        <w:t>:</w:t>
      </w:r>
    </w:p>
    <w:p w14:paraId="2F4F803A" w14:textId="0BFFAB70" w:rsidR="00D73919" w:rsidRPr="00423DD4" w:rsidRDefault="00D73919" w:rsidP="001D5C9E">
      <w:pPr>
        <w:pStyle w:val="ListParagraph"/>
        <w:numPr>
          <w:ilvl w:val="0"/>
          <w:numId w:val="25"/>
        </w:numPr>
        <w:spacing w:line="259" w:lineRule="auto"/>
      </w:pPr>
      <w:r w:rsidRPr="00E30227">
        <w:t>5</w:t>
      </w:r>
      <w:r w:rsidR="007F7AAD">
        <w:t>9</w:t>
      </w:r>
      <w:r w:rsidRPr="00423DD4">
        <w:t xml:space="preserve"> million tonnes (</w:t>
      </w:r>
      <w:r w:rsidRPr="00E30227">
        <w:t>2</w:t>
      </w:r>
      <w:r w:rsidR="008D2987" w:rsidRPr="00E30227">
        <w:t>9</w:t>
      </w:r>
      <w:r w:rsidRPr="00423DD4">
        <w:t xml:space="preserve"> per cent), </w:t>
      </w:r>
      <w:r w:rsidR="00FB751E" w:rsidRPr="00423DD4">
        <w:t>ha</w:t>
      </w:r>
      <w:r w:rsidR="00FB751E">
        <w:t>ve</w:t>
      </w:r>
      <w:r w:rsidR="00FB751E" w:rsidRPr="00423DD4">
        <w:t xml:space="preserve"> </w:t>
      </w:r>
      <w:r w:rsidRPr="00423DD4">
        <w:t>been delivered</w:t>
      </w:r>
    </w:p>
    <w:p w14:paraId="4FC2F80B" w14:textId="1904D6B9" w:rsidR="00D73919" w:rsidRDefault="00D73919" w:rsidP="001D5C9E">
      <w:pPr>
        <w:pStyle w:val="ListParagraph"/>
        <w:numPr>
          <w:ilvl w:val="0"/>
          <w:numId w:val="25"/>
        </w:numPr>
        <w:spacing w:line="259" w:lineRule="auto"/>
      </w:pPr>
      <w:r w:rsidRPr="00E30227">
        <w:t>1</w:t>
      </w:r>
      <w:r w:rsidR="008D2987" w:rsidRPr="00E30227">
        <w:t>41</w:t>
      </w:r>
      <w:r w:rsidRPr="00423DD4">
        <w:t xml:space="preserve"> million tonnes </w:t>
      </w:r>
      <w:r w:rsidR="00E71EF7">
        <w:t>(</w:t>
      </w:r>
      <w:r w:rsidR="00E71EF7" w:rsidRPr="00E30227">
        <w:t>7</w:t>
      </w:r>
      <w:r w:rsidR="008D2987" w:rsidRPr="00E30227">
        <w:t>1</w:t>
      </w:r>
      <w:r w:rsidR="00E71EF7" w:rsidRPr="00E30227">
        <w:t xml:space="preserve"> per</w:t>
      </w:r>
      <w:r w:rsidR="00E71EF7">
        <w:t xml:space="preserve"> cent) </w:t>
      </w:r>
      <w:r w:rsidR="00FB751E">
        <w:t>are</w:t>
      </w:r>
      <w:r w:rsidR="00E71EF7">
        <w:t xml:space="preserve"> </w:t>
      </w:r>
      <w:r w:rsidRPr="00423DD4">
        <w:t>scheduled for delivery</w:t>
      </w:r>
      <w:r w:rsidR="00FB37EF">
        <w:t>.</w:t>
      </w:r>
    </w:p>
    <w:p w14:paraId="137C72BC" w14:textId="00EADA82" w:rsidR="007B6E37" w:rsidRPr="00D26397" w:rsidRDefault="00FB751E" w:rsidP="00FB37EF">
      <w:r w:rsidRPr="00E30227">
        <w:t>Seven</w:t>
      </w:r>
      <w:r w:rsidR="00FB37EF" w:rsidRPr="00E30227">
        <w:t xml:space="preserve"> per cent </w:t>
      </w:r>
      <w:r w:rsidR="008D2987" w:rsidRPr="00E30227">
        <w:t>(36 contracts</w:t>
      </w:r>
      <w:r w:rsidR="008D2987">
        <w:t>)</w:t>
      </w:r>
      <w:r w:rsidR="00FB37EF">
        <w:t xml:space="preserve"> of contracts have been fulfilled (</w:t>
      </w:r>
      <w:r w:rsidR="006D366A">
        <w:t>CER 2020a</w:t>
      </w:r>
      <w:r w:rsidR="008D2987">
        <w:t>).</w:t>
      </w:r>
    </w:p>
    <w:p w14:paraId="23C791D2" w14:textId="48C9B0B4" w:rsidR="0074107C" w:rsidRDefault="0074107C" w:rsidP="000A0F98">
      <w:pPr>
        <w:spacing w:before="240" w:line="259" w:lineRule="auto"/>
      </w:pPr>
      <w:r>
        <w:t xml:space="preserve">The greatest annual volume of ACCUs delivered under contracts to date was 11.6 million ACCUs in 2019. </w:t>
      </w:r>
      <w:r w:rsidRPr="00A65843">
        <w:t>The years 2021 through 202</w:t>
      </w:r>
      <w:r>
        <w:t>8</w:t>
      </w:r>
      <w:r w:rsidRPr="00A65843">
        <w:t xml:space="preserve"> are all years of </w:t>
      </w:r>
      <w:r>
        <w:t xml:space="preserve">higher expected </w:t>
      </w:r>
      <w:r w:rsidRPr="00A65843">
        <w:t xml:space="preserve">annual delivery for existing </w:t>
      </w:r>
      <w:r w:rsidR="0016627A">
        <w:t xml:space="preserve">fixed delivery </w:t>
      </w:r>
      <w:r w:rsidRPr="00A65843">
        <w:t>contracts (over 1</w:t>
      </w:r>
      <w:r>
        <w:t>2</w:t>
      </w:r>
      <w:r w:rsidRPr="00A65843">
        <w:t xml:space="preserve"> million ACCUs per year)</w:t>
      </w:r>
      <w:r>
        <w:t xml:space="preserve"> (</w:t>
      </w:r>
      <w:r w:rsidR="001C2F6E" w:rsidRPr="009B65DB">
        <w:t>CER 2020f</w:t>
      </w:r>
      <w:r w:rsidR="000A0F98">
        <w:t>)</w:t>
      </w:r>
      <w:r w:rsidRPr="00A65843">
        <w:t>.</w:t>
      </w:r>
    </w:p>
    <w:p w14:paraId="1517BDE8" w14:textId="4BDAEE62" w:rsidR="00FE20DB" w:rsidRDefault="00FE20DB" w:rsidP="007B6E37">
      <w:pPr>
        <w:spacing w:line="259" w:lineRule="auto"/>
      </w:pPr>
      <w:r w:rsidRPr="00A01745">
        <w:t xml:space="preserve">Figure </w:t>
      </w:r>
      <w:r w:rsidR="0044018D" w:rsidRPr="00A01745">
        <w:t>3.5</w:t>
      </w:r>
      <w:r>
        <w:t xml:space="preserve"> breaks down the </w:t>
      </w:r>
      <w:r w:rsidR="00E71EF7">
        <w:t xml:space="preserve">amount of contracted abatement that has been delivered by </w:t>
      </w:r>
      <w:r w:rsidR="00B049C0">
        <w:t xml:space="preserve">contract type, contract size and </w:t>
      </w:r>
      <w:r>
        <w:t>activity type</w:t>
      </w:r>
      <w:r w:rsidR="00B049C0">
        <w:t>. In total, the following has been delivered</w:t>
      </w:r>
      <w:r>
        <w:t>:</w:t>
      </w:r>
    </w:p>
    <w:p w14:paraId="7A56D16C" w14:textId="55F4E3DF" w:rsidR="00FE20DB" w:rsidRDefault="00E71EF7" w:rsidP="00FE3F8C">
      <w:pPr>
        <w:pStyle w:val="ListParagraph"/>
        <w:numPr>
          <w:ilvl w:val="0"/>
          <w:numId w:val="25"/>
        </w:numPr>
        <w:spacing w:line="259" w:lineRule="auto"/>
      </w:pPr>
      <w:r>
        <w:t>27 per cent of contracted abatement from</w:t>
      </w:r>
      <w:r w:rsidR="00052429">
        <w:t xml:space="preserve"> </w:t>
      </w:r>
      <w:r w:rsidR="000A7426">
        <w:t xml:space="preserve">vegetation projects </w:t>
      </w:r>
      <w:r w:rsidRPr="00E30227">
        <w:t>(</w:t>
      </w:r>
      <w:r w:rsidR="00177700" w:rsidRPr="00E30227">
        <w:t>36.9</w:t>
      </w:r>
      <w:r w:rsidR="000A7426">
        <w:t xml:space="preserve"> million ACCUs</w:t>
      </w:r>
      <w:r>
        <w:t>)</w:t>
      </w:r>
      <w:r w:rsidR="000A7426">
        <w:t xml:space="preserve"> </w:t>
      </w:r>
    </w:p>
    <w:p w14:paraId="2F46A89A" w14:textId="0D447C54" w:rsidR="00FE20DB" w:rsidRDefault="00177700" w:rsidP="00FE3F8C">
      <w:pPr>
        <w:pStyle w:val="ListParagraph"/>
        <w:numPr>
          <w:ilvl w:val="0"/>
          <w:numId w:val="25"/>
        </w:numPr>
        <w:spacing w:line="259" w:lineRule="auto"/>
      </w:pPr>
      <w:r w:rsidRPr="00177700">
        <w:t>6</w:t>
      </w:r>
      <w:r w:rsidR="00067CD5">
        <w:t>0</w:t>
      </w:r>
      <w:r w:rsidR="000A7426">
        <w:t xml:space="preserve"> per cent</w:t>
      </w:r>
      <w:r w:rsidR="00E71EF7">
        <w:t xml:space="preserve"> of contracted abatement</w:t>
      </w:r>
      <w:r w:rsidR="000A7426">
        <w:t xml:space="preserve"> from </w:t>
      </w:r>
      <w:r w:rsidR="00CA006F">
        <w:t xml:space="preserve">waste projects </w:t>
      </w:r>
      <w:r w:rsidR="00E71EF7">
        <w:t>(</w:t>
      </w:r>
      <w:r w:rsidR="000A7426" w:rsidRPr="00E30227">
        <w:t>1</w:t>
      </w:r>
      <w:r w:rsidRPr="00E30227">
        <w:t>5</w:t>
      </w:r>
      <w:r w:rsidR="000A7426" w:rsidRPr="00E30227">
        <w:t>.</w:t>
      </w:r>
      <w:r w:rsidRPr="00E30227">
        <w:t>4</w:t>
      </w:r>
      <w:r w:rsidR="000A7426">
        <w:t xml:space="preserve"> million ACCUs</w:t>
      </w:r>
      <w:r w:rsidR="00E71EF7">
        <w:t>)</w:t>
      </w:r>
      <w:r w:rsidR="000A7426">
        <w:t xml:space="preserve"> </w:t>
      </w:r>
    </w:p>
    <w:p w14:paraId="761D4BD4" w14:textId="4ABEE231" w:rsidR="00B049C0" w:rsidRPr="00177700" w:rsidRDefault="00E71EF7" w:rsidP="00FE3F8C">
      <w:pPr>
        <w:pStyle w:val="ListParagraph"/>
        <w:numPr>
          <w:ilvl w:val="0"/>
          <w:numId w:val="25"/>
        </w:numPr>
        <w:spacing w:line="259" w:lineRule="auto"/>
      </w:pPr>
      <w:r w:rsidRPr="00177700">
        <w:t>2</w:t>
      </w:r>
      <w:r w:rsidR="00177700" w:rsidRPr="00177700">
        <w:t>7</w:t>
      </w:r>
      <w:r w:rsidRPr="00177700">
        <w:t xml:space="preserve"> per cent of contracted abatement</w:t>
      </w:r>
      <w:r w:rsidR="000A7426" w:rsidRPr="00177700">
        <w:t xml:space="preserve"> from </w:t>
      </w:r>
      <w:r w:rsidR="00052429" w:rsidRPr="00177700">
        <w:t xml:space="preserve">savanna burning </w:t>
      </w:r>
      <w:r w:rsidRPr="00177700">
        <w:t>projects</w:t>
      </w:r>
      <w:r w:rsidR="000A7426" w:rsidRPr="00177700">
        <w:t xml:space="preserve"> </w:t>
      </w:r>
      <w:r w:rsidRPr="00177700">
        <w:t>(</w:t>
      </w:r>
      <w:r w:rsidR="00177700" w:rsidRPr="00E30227">
        <w:t>3.7</w:t>
      </w:r>
      <w:r w:rsidR="000A7426" w:rsidRPr="00177700">
        <w:t xml:space="preserve"> million ACCUs</w:t>
      </w:r>
      <w:r w:rsidRPr="00177700">
        <w:t>)</w:t>
      </w:r>
      <w:r w:rsidR="000A7426" w:rsidRPr="00177700">
        <w:t xml:space="preserve"> </w:t>
      </w:r>
    </w:p>
    <w:p w14:paraId="3EEA4AA2" w14:textId="4AB2ED38" w:rsidR="00315755" w:rsidRDefault="008F0050" w:rsidP="00E71EF7">
      <w:pPr>
        <w:spacing w:line="259" w:lineRule="auto"/>
      </w:pPr>
      <w:r w:rsidRPr="00A65843">
        <w:t>Contracts for vegetation</w:t>
      </w:r>
      <w:r w:rsidR="00F6524B" w:rsidRPr="00A65843">
        <w:t>, savanna and agriculture (soil</w:t>
      </w:r>
      <w:r w:rsidR="00A65843">
        <w:t xml:space="preserve"> carbon</w:t>
      </w:r>
      <w:r w:rsidR="00F6524B" w:rsidRPr="00A65843">
        <w:t>)</w:t>
      </w:r>
      <w:r w:rsidRPr="00A65843">
        <w:t xml:space="preserve"> </w:t>
      </w:r>
      <w:r w:rsidR="00FE48EF">
        <w:t xml:space="preserve">activities </w:t>
      </w:r>
      <w:r w:rsidRPr="00A65843">
        <w:t>are typically longer</w:t>
      </w:r>
      <w:r w:rsidR="00911707" w:rsidRPr="00A65843">
        <w:t xml:space="preserve"> (</w:t>
      </w:r>
      <w:r w:rsidR="0016627A">
        <w:t xml:space="preserve">up to </w:t>
      </w:r>
      <w:r w:rsidR="00911707" w:rsidRPr="00A65843">
        <w:t>10</w:t>
      </w:r>
      <w:r w:rsidR="00913F14">
        <w:t> </w:t>
      </w:r>
      <w:r w:rsidR="00911707" w:rsidRPr="00A65843">
        <w:t>years) than waste projects (</w:t>
      </w:r>
      <w:r w:rsidR="0016627A">
        <w:t xml:space="preserve">up to </w:t>
      </w:r>
      <w:r w:rsidR="00911707" w:rsidRPr="00A65843">
        <w:t>7 years)</w:t>
      </w:r>
      <w:r w:rsidR="004E5C7D" w:rsidRPr="00A65843">
        <w:t xml:space="preserve"> and there can be a lag before sequestration projects deliver credits</w:t>
      </w:r>
      <w:r w:rsidR="00DF142C">
        <w:t xml:space="preserve"> (</w:t>
      </w:r>
      <w:r w:rsidR="00DF142C" w:rsidRPr="00B526C9">
        <w:t>CER 2020</w:t>
      </w:r>
      <w:r w:rsidR="00663FAE">
        <w:t>g</w:t>
      </w:r>
      <w:r w:rsidR="00DF142C">
        <w:t>)</w:t>
      </w:r>
      <w:r w:rsidR="000A7426" w:rsidRPr="00A65843">
        <w:t xml:space="preserve">. </w:t>
      </w:r>
    </w:p>
    <w:p w14:paraId="785767D6" w14:textId="25D3CA34" w:rsidR="00EC2386" w:rsidRDefault="00EC2386" w:rsidP="00CA006F">
      <w:r>
        <w:t xml:space="preserve">Fixed delivery contracts can be and are being met using ACCUs purchased on the secondary market. </w:t>
      </w:r>
      <w:r w:rsidR="003137C9">
        <w:t>Contracts associated with s</w:t>
      </w:r>
      <w:r w:rsidR="004E0822">
        <w:t>oil carbon project</w:t>
      </w:r>
      <w:r w:rsidR="00D354E0">
        <w:t>s</w:t>
      </w:r>
      <w:r w:rsidR="004E0822">
        <w:t xml:space="preserve"> </w:t>
      </w:r>
      <w:r w:rsidR="00D354E0">
        <w:t>account for</w:t>
      </w:r>
      <w:r w:rsidR="004E0822">
        <w:t xml:space="preserve"> 93 per cent (13.</w:t>
      </w:r>
      <w:r w:rsidR="00CF00F5">
        <w:t>9</w:t>
      </w:r>
      <w:r w:rsidR="004E0822">
        <w:t xml:space="preserve"> million ACCUs) of the abatement </w:t>
      </w:r>
      <w:r w:rsidR="003137C9">
        <w:t xml:space="preserve">contracted </w:t>
      </w:r>
      <w:r w:rsidR="004E0822">
        <w:t>from the agriculture sector</w:t>
      </w:r>
      <w:r w:rsidR="00D354E0">
        <w:t xml:space="preserve">, however </w:t>
      </w:r>
      <w:r w:rsidR="00FA2A23">
        <w:t>only approximately 2</w:t>
      </w:r>
      <w:r w:rsidR="00CD600B">
        <w:t xml:space="preserve"> per cent</w:t>
      </w:r>
      <w:r w:rsidR="00FA2A23">
        <w:t xml:space="preserve"> (</w:t>
      </w:r>
      <w:r w:rsidR="00CF00F5">
        <w:t>335</w:t>
      </w:r>
      <w:r w:rsidR="00FA2A23">
        <w:t>,</w:t>
      </w:r>
      <w:r w:rsidR="00CF00F5">
        <w:t>129</w:t>
      </w:r>
      <w:r w:rsidR="00FA2A23">
        <w:t xml:space="preserve"> ACCUs) has been delivered </w:t>
      </w:r>
      <w:r w:rsidR="003137C9">
        <w:t>under these contracts</w:t>
      </w:r>
      <w:r w:rsidR="00D354E0">
        <w:t xml:space="preserve"> to date</w:t>
      </w:r>
      <w:r w:rsidR="003137C9">
        <w:t xml:space="preserve">, and </w:t>
      </w:r>
      <w:r w:rsidR="000E06C9">
        <w:t xml:space="preserve">almost all (if not all) of these ACCUs would have </w:t>
      </w:r>
      <w:r w:rsidR="003137C9">
        <w:t>come from the secondary market</w:t>
      </w:r>
      <w:r w:rsidR="0074107C">
        <w:t xml:space="preserve"> (</w:t>
      </w:r>
      <w:r w:rsidR="000B1F14" w:rsidRPr="00E30227">
        <w:rPr>
          <w:rFonts w:eastAsia="Times New Roman" w:cs="Arial"/>
          <w:color w:val="000000" w:themeColor="text1"/>
          <w:szCs w:val="20"/>
          <w:lang w:eastAsia="en-AU"/>
        </w:rPr>
        <w:t>CER 2020e</w:t>
      </w:r>
      <w:r w:rsidR="0074107C">
        <w:t>)</w:t>
      </w:r>
      <w:r w:rsidR="004E0822">
        <w:t>. This may be due to the r</w:t>
      </w:r>
      <w:r w:rsidR="00CA006F">
        <w:t>elatively recent registration</w:t>
      </w:r>
      <w:r w:rsidR="004E0822">
        <w:t xml:space="preserve"> (2015-2018)</w:t>
      </w:r>
      <w:r w:rsidR="00CA006F">
        <w:t xml:space="preserve"> of </w:t>
      </w:r>
      <w:r w:rsidR="004E0822">
        <w:t>these projects</w:t>
      </w:r>
      <w:r w:rsidR="00A65843">
        <w:t xml:space="preserve"> and the lag time involved before </w:t>
      </w:r>
      <w:r w:rsidR="00CA006F">
        <w:t>receiving ACCUs</w:t>
      </w:r>
      <w:r w:rsidR="00FA2A23">
        <w:t xml:space="preserve"> (up to five years)</w:t>
      </w:r>
      <w:r w:rsidR="00CA006F">
        <w:t>.</w:t>
      </w:r>
    </w:p>
    <w:p w14:paraId="6943F5A0" w14:textId="5C432AFC" w:rsidR="00EC2386" w:rsidRDefault="00EC2386" w:rsidP="00EC2386">
      <w:r>
        <w:t xml:space="preserve">Contracts associated with transport projects have delivered </w:t>
      </w:r>
      <w:r w:rsidRPr="00E30227">
        <w:t>364,261 ACCUs (30</w:t>
      </w:r>
      <w:r>
        <w:t xml:space="preserve"> per cent of the contracted commitment) as of 13 September 2020. However, only </w:t>
      </w:r>
      <w:r w:rsidRPr="00E30227">
        <w:t>46,671 ACCUs</w:t>
      </w:r>
      <w:r>
        <w:t xml:space="preserve"> have been issued to all ERF transport projects. Accordingly, at least </w:t>
      </w:r>
      <w:r w:rsidRPr="00E30227">
        <w:t>87</w:t>
      </w:r>
      <w:r>
        <w:t xml:space="preserve"> per cent of ACCUs used to meet the contractual obligations would have come from the secondary market</w:t>
      </w:r>
      <w:r w:rsidRPr="00D354E0">
        <w:t xml:space="preserve"> </w:t>
      </w:r>
      <w:r>
        <w:t>(</w:t>
      </w:r>
      <w:r w:rsidR="00331920" w:rsidRPr="009B65DB">
        <w:rPr>
          <w:rFonts w:eastAsia="Times New Roman" w:cs="Arial"/>
          <w:color w:val="000000" w:themeColor="text1"/>
          <w:szCs w:val="20"/>
          <w:lang w:eastAsia="en-AU"/>
        </w:rPr>
        <w:t>CER 2020</w:t>
      </w:r>
      <w:r w:rsidR="00E13605">
        <w:rPr>
          <w:rFonts w:eastAsia="Times New Roman" w:cs="Arial"/>
          <w:color w:val="000000" w:themeColor="text1"/>
          <w:szCs w:val="20"/>
          <w:lang w:eastAsia="en-AU"/>
        </w:rPr>
        <w:t>a,e</w:t>
      </w:r>
      <w:r>
        <w:t xml:space="preserve">). </w:t>
      </w:r>
    </w:p>
    <w:p w14:paraId="7380CE2F" w14:textId="74454FD0" w:rsidR="005E3B97" w:rsidRDefault="00EC2386" w:rsidP="00CA006F">
      <w:r>
        <w:t xml:space="preserve">Potential risks to the delivery of abatement under fixed Government contracts are discussed in </w:t>
      </w:r>
      <w:r w:rsidRPr="00CD600B">
        <w:t>Chapter 8.</w:t>
      </w:r>
    </w:p>
    <w:p w14:paraId="59BFAA5C" w14:textId="77777777" w:rsidR="005E3B97" w:rsidRDefault="005E3B97" w:rsidP="00CA006F"/>
    <w:p w14:paraId="16C9EA6B" w14:textId="30939D55" w:rsidR="005E3B97" w:rsidRDefault="005E3B97">
      <w:pPr>
        <w:spacing w:line="259" w:lineRule="auto"/>
      </w:pPr>
      <w:r>
        <w:br w:type="page"/>
      </w:r>
    </w:p>
    <w:p w14:paraId="2A078100" w14:textId="77777777" w:rsidR="005E3B97" w:rsidRDefault="005E3B97" w:rsidP="00CA006F"/>
    <w:p w14:paraId="3EAEFA28" w14:textId="7B197532" w:rsidR="005E3B97" w:rsidRPr="007718F5" w:rsidRDefault="00772E0F" w:rsidP="005E3B97">
      <w:pPr>
        <w:pStyle w:val="Figure"/>
        <w:ind w:left="0" w:firstLine="0"/>
      </w:pPr>
      <w:bookmarkStart w:id="1445" w:name="_Toc53130457"/>
      <w:r>
        <w:rPr>
          <w:noProof/>
          <w:lang w:eastAsia="en-AU"/>
        </w:rPr>
        <w:drawing>
          <wp:anchor distT="0" distB="0" distL="114300" distR="114300" simplePos="0" relativeHeight="251660296" behindDoc="0" locked="0" layoutInCell="1" allowOverlap="1" wp14:anchorId="2A2DC2C9" wp14:editId="0CDF1998">
            <wp:simplePos x="0" y="0"/>
            <wp:positionH relativeFrom="margin">
              <wp:align>right</wp:align>
            </wp:positionH>
            <wp:positionV relativeFrom="paragraph">
              <wp:posOffset>411331</wp:posOffset>
            </wp:positionV>
            <wp:extent cx="5731009" cy="3363402"/>
            <wp:effectExtent l="0" t="0" r="3175" b="8890"/>
            <wp:wrapTopAndBottom/>
            <wp:docPr id="21" name="Picture 21" descr="Figure 3.5 is a bar chart that shows the volume of contracted abatement by method type including the percentage of contracted abatement still to be delivered. The vertical axis is contracted abatement in millions of tonnes of carbon dioxide equivalent and the horizontal axis is method type. The volume of contracted abatement and percent still to be delivered by method type is: vegetation (136.1 million, 73%), waste (25.8 million, 40%), savanna burning (13.6 million, 73%), industrial fugitives (2.6 million, 80%), energy efficiency (5.5 million, 81%), transport (1.2 million, 70%), agriculture other (1.1 million, 54%) and agriculture soil (13.9 million, 98%)." title="Figure 3.5. Contracted abatement, showing abatement still to be delivered by metho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009" cy="3363402"/>
                    </a:xfrm>
                    <a:prstGeom prst="rect">
                      <a:avLst/>
                    </a:prstGeom>
                    <a:noFill/>
                  </pic:spPr>
                </pic:pic>
              </a:graphicData>
            </a:graphic>
          </wp:anchor>
        </w:drawing>
      </w:r>
      <w:r w:rsidR="005E3B97" w:rsidRPr="007718F5">
        <w:t xml:space="preserve">Figure 3.5. </w:t>
      </w:r>
      <w:r w:rsidR="005E3B97">
        <w:t>C</w:t>
      </w:r>
      <w:r w:rsidR="005E3B97" w:rsidRPr="007718F5">
        <w:t>ontracted abatement, showing abatement still to be delivered by method type</w:t>
      </w:r>
      <w:bookmarkEnd w:id="1445"/>
    </w:p>
    <w:p w14:paraId="4FF86D0E" w14:textId="11A8E446" w:rsidR="00CA006F" w:rsidRDefault="00CA006F" w:rsidP="00CA006F">
      <w:pPr>
        <w:spacing w:line="259" w:lineRule="auto"/>
      </w:pPr>
      <w:r w:rsidRPr="007718F5">
        <w:rPr>
          <w:b/>
          <w:sz w:val="17"/>
          <w:szCs w:val="17"/>
        </w:rPr>
        <w:t>Source:</w:t>
      </w:r>
      <w:r w:rsidRPr="007718F5">
        <w:rPr>
          <w:sz w:val="17"/>
          <w:szCs w:val="17"/>
        </w:rPr>
        <w:t xml:space="preserve"> Climate Change Authority based on </w:t>
      </w:r>
      <w:r w:rsidR="006D366A" w:rsidRPr="007718F5">
        <w:rPr>
          <w:sz w:val="17"/>
          <w:szCs w:val="17"/>
        </w:rPr>
        <w:t>CER 2020a</w:t>
      </w:r>
      <w:r w:rsidR="00A87416" w:rsidRPr="007718F5">
        <w:rPr>
          <w:sz w:val="17"/>
          <w:szCs w:val="17"/>
        </w:rPr>
        <w:t>,</w:t>
      </w:r>
      <w:r w:rsidR="006D366A" w:rsidRPr="007718F5">
        <w:rPr>
          <w:sz w:val="17"/>
          <w:szCs w:val="17"/>
        </w:rPr>
        <w:t>e</w:t>
      </w:r>
      <w:r w:rsidRPr="007718F5">
        <w:rPr>
          <w:sz w:val="17"/>
          <w:szCs w:val="17"/>
        </w:rPr>
        <w:t xml:space="preserve">. Data as at </w:t>
      </w:r>
      <w:r w:rsidR="00B049C0" w:rsidRPr="007718F5">
        <w:rPr>
          <w:sz w:val="17"/>
          <w:szCs w:val="17"/>
        </w:rPr>
        <w:t>18 September</w:t>
      </w:r>
      <w:r w:rsidRPr="007718F5">
        <w:rPr>
          <w:sz w:val="17"/>
          <w:szCs w:val="17"/>
        </w:rPr>
        <w:t xml:space="preserve"> 2020</w:t>
      </w:r>
      <w:r>
        <w:t xml:space="preserve">. </w:t>
      </w:r>
    </w:p>
    <w:p w14:paraId="494F410D" w14:textId="546EBF8D" w:rsidR="00C128FD" w:rsidRDefault="00C128FD" w:rsidP="00231119">
      <w:pPr>
        <w:spacing w:line="259" w:lineRule="auto"/>
      </w:pPr>
      <w:r>
        <w:br w:type="page"/>
      </w:r>
    </w:p>
    <w:p w14:paraId="3CC14751" w14:textId="4065488D" w:rsidR="006C2885" w:rsidRPr="00322782" w:rsidRDefault="00CE0059" w:rsidP="00322782">
      <w:pPr>
        <w:pStyle w:val="Heading1"/>
        <w:ind w:left="0" w:firstLine="0"/>
        <w:rPr>
          <w:color w:val="0070AE" w:themeColor="accent2" w:themeTint="BF"/>
        </w:rPr>
      </w:pPr>
      <w:bookmarkStart w:id="1446" w:name="_Toc49524540"/>
      <w:bookmarkStart w:id="1447" w:name="_Toc49524678"/>
      <w:bookmarkStart w:id="1448" w:name="_Toc49527147"/>
      <w:bookmarkStart w:id="1449" w:name="_Toc49527985"/>
      <w:bookmarkStart w:id="1450" w:name="_Toc49692137"/>
      <w:bookmarkStart w:id="1451" w:name="_Toc49710510"/>
      <w:bookmarkStart w:id="1452" w:name="_Toc49710682"/>
      <w:bookmarkStart w:id="1453" w:name="_Toc49713235"/>
      <w:bookmarkStart w:id="1454" w:name="_Toc49713437"/>
      <w:bookmarkStart w:id="1455" w:name="_Toc49776375"/>
      <w:bookmarkStart w:id="1456" w:name="_Toc49784934"/>
      <w:bookmarkStart w:id="1457" w:name="_Toc49786260"/>
      <w:bookmarkStart w:id="1458" w:name="_Toc49787309"/>
      <w:bookmarkStart w:id="1459" w:name="_Toc49787364"/>
      <w:bookmarkStart w:id="1460" w:name="_Toc49850678"/>
      <w:bookmarkStart w:id="1461" w:name="_Toc49852920"/>
      <w:bookmarkStart w:id="1462" w:name="_Toc49854337"/>
      <w:bookmarkStart w:id="1463" w:name="_Toc49856933"/>
      <w:bookmarkStart w:id="1464" w:name="_Toc49858249"/>
      <w:bookmarkStart w:id="1465" w:name="_Toc49858304"/>
      <w:bookmarkStart w:id="1466" w:name="_Toc49863006"/>
      <w:bookmarkStart w:id="1467" w:name="_Toc49867729"/>
      <w:bookmarkStart w:id="1468" w:name="_Toc49870565"/>
      <w:bookmarkStart w:id="1469" w:name="_Toc49871308"/>
      <w:bookmarkStart w:id="1470" w:name="_Toc49871988"/>
      <w:bookmarkStart w:id="1471" w:name="_Toc49872541"/>
      <w:bookmarkStart w:id="1472" w:name="_Toc50027753"/>
      <w:bookmarkStart w:id="1473" w:name="_Toc50029447"/>
      <w:bookmarkStart w:id="1474" w:name="_Toc50043878"/>
      <w:bookmarkStart w:id="1475" w:name="_Toc50057729"/>
      <w:bookmarkStart w:id="1476" w:name="_Toc50553606"/>
      <w:bookmarkStart w:id="1477" w:name="_Toc50555369"/>
      <w:bookmarkStart w:id="1478" w:name="_Toc50559829"/>
      <w:bookmarkStart w:id="1479" w:name="_Toc50559882"/>
      <w:bookmarkStart w:id="1480" w:name="_Toc50563816"/>
      <w:bookmarkStart w:id="1481" w:name="_Toc50711369"/>
      <w:bookmarkStart w:id="1482" w:name="_Toc50720951"/>
      <w:bookmarkStart w:id="1483" w:name="_Toc50730675"/>
      <w:bookmarkStart w:id="1484" w:name="_Toc50734901"/>
      <w:bookmarkStart w:id="1485" w:name="_Toc50735504"/>
      <w:bookmarkStart w:id="1486" w:name="_Toc50905523"/>
      <w:bookmarkStart w:id="1487" w:name="_Toc51587008"/>
      <w:bookmarkStart w:id="1488" w:name="_Toc51594868"/>
      <w:bookmarkStart w:id="1489" w:name="_Toc51599471"/>
      <w:bookmarkStart w:id="1490" w:name="_Toc51613507"/>
      <w:bookmarkStart w:id="1491" w:name="_Toc51669618"/>
      <w:bookmarkStart w:id="1492" w:name="_Toc51669713"/>
      <w:bookmarkStart w:id="1493" w:name="_Toc51672862"/>
      <w:bookmarkStart w:id="1494" w:name="_Toc51673912"/>
      <w:bookmarkStart w:id="1495" w:name="_Toc51680729"/>
      <w:bookmarkStart w:id="1496" w:name="_Toc51683258"/>
      <w:bookmarkStart w:id="1497" w:name="_Toc51685994"/>
      <w:bookmarkStart w:id="1498" w:name="_Toc51687732"/>
      <w:bookmarkStart w:id="1499" w:name="_Toc51687876"/>
      <w:bookmarkStart w:id="1500" w:name="_Toc51705754"/>
      <w:bookmarkStart w:id="1501" w:name="_Toc51770700"/>
      <w:bookmarkStart w:id="1502" w:name="_Toc51770886"/>
      <w:bookmarkStart w:id="1503" w:name="_Toc48996306"/>
      <w:bookmarkStart w:id="1504" w:name="_Toc49350828"/>
      <w:bookmarkStart w:id="1505" w:name="_Toc49352808"/>
      <w:bookmarkStart w:id="1506" w:name="_Toc49354184"/>
      <w:bookmarkStart w:id="1507" w:name="_Toc49355510"/>
      <w:bookmarkStart w:id="1508" w:name="_Toc49429268"/>
      <w:bookmarkStart w:id="1509" w:name="_Toc49434025"/>
      <w:bookmarkStart w:id="1510" w:name="_Toc49441018"/>
      <w:bookmarkStart w:id="1511" w:name="_Toc49441208"/>
      <w:bookmarkStart w:id="1512" w:name="_Toc49442211"/>
      <w:bookmarkStart w:id="1513" w:name="_Toc49508940"/>
      <w:bookmarkStart w:id="1514" w:name="_Toc49519750"/>
      <w:bookmarkStart w:id="1515" w:name="_Toc49521468"/>
      <w:bookmarkStart w:id="1516" w:name="_Toc52359229"/>
      <w:bookmarkStart w:id="1517" w:name="_Toc52367262"/>
      <w:bookmarkStart w:id="1518" w:name="_Toc52371602"/>
      <w:bookmarkStart w:id="1519" w:name="_Toc52374750"/>
      <w:bookmarkStart w:id="1520" w:name="_Toc52377288"/>
      <w:bookmarkStart w:id="1521" w:name="_Toc52379210"/>
      <w:bookmarkStart w:id="1522" w:name="_Toc52379565"/>
      <w:bookmarkStart w:id="1523" w:name="_Toc52532775"/>
      <w:bookmarkStart w:id="1524" w:name="_Toc52535670"/>
      <w:bookmarkStart w:id="1525" w:name="_Toc52537488"/>
      <w:bookmarkStart w:id="1526" w:name="_Toc52544051"/>
      <w:bookmarkStart w:id="1527" w:name="_Toc52545655"/>
      <w:bookmarkStart w:id="1528" w:name="_Toc52547887"/>
      <w:bookmarkStart w:id="1529" w:name="_Toc52548576"/>
      <w:bookmarkStart w:id="1530" w:name="_Toc52890868"/>
      <w:bookmarkStart w:id="1531" w:name="_Toc52895071"/>
      <w:bookmarkStart w:id="1532" w:name="_Toc52896595"/>
      <w:bookmarkStart w:id="1533" w:name="_Toc52977772"/>
      <w:bookmarkStart w:id="1534" w:name="_Toc53129458"/>
      <w:r w:rsidRPr="006C2885">
        <w:rPr>
          <w:color w:val="0070AE" w:themeColor="accent2" w:themeTint="BF"/>
        </w:rPr>
        <w:t>C</w:t>
      </w:r>
      <w:r w:rsidR="0099047B" w:rsidRPr="006C2885">
        <w:rPr>
          <w:color w:val="0070AE" w:themeColor="accent2" w:themeTint="BF"/>
        </w:rPr>
        <w:t>hap</w:t>
      </w:r>
      <w:r w:rsidR="001F5E00" w:rsidRPr="006C2885">
        <w:rPr>
          <w:color w:val="0070AE" w:themeColor="accent2" w:themeTint="BF"/>
        </w:rPr>
        <w:t>t</w:t>
      </w:r>
      <w:r w:rsidR="0099047B" w:rsidRPr="006C2885">
        <w:rPr>
          <w:color w:val="0070AE" w:themeColor="accent2" w:themeTint="BF"/>
        </w:rPr>
        <w:t>er</w:t>
      </w:r>
      <w:r w:rsidRPr="006C2885">
        <w:rPr>
          <w:color w:val="0070AE" w:themeColor="accent2" w:themeTint="BF"/>
        </w:rPr>
        <w:t xml:space="preserve"> 4</w:t>
      </w:r>
      <w:r w:rsidR="00C128FD" w:rsidRPr="006C2885">
        <w:rPr>
          <w:color w:val="0070AE" w:themeColor="accent2" w:themeTint="BF"/>
        </w:rPr>
        <w:t xml:space="preserve">: </w:t>
      </w:r>
      <w:r w:rsidR="00B166C9" w:rsidRPr="006C2885">
        <w:rPr>
          <w:color w:val="0070AE" w:themeColor="accent2" w:themeTint="BF"/>
        </w:rPr>
        <w:t>S</w:t>
      </w:r>
      <w:r w:rsidR="00511D09">
        <w:rPr>
          <w:color w:val="0070AE" w:themeColor="accent2" w:themeTint="BF"/>
        </w:rPr>
        <w:t>i</w:t>
      </w:r>
      <w:r w:rsidR="00B166C9" w:rsidRPr="006C2885">
        <w:rPr>
          <w:color w:val="0070AE" w:themeColor="accent2" w:themeTint="BF"/>
        </w:rPr>
        <w:t xml:space="preserve">gnalling demand for </w:t>
      </w:r>
      <w:r w:rsidR="00B35722" w:rsidRPr="006C2885">
        <w:rPr>
          <w:color w:val="0070AE" w:themeColor="accent2" w:themeTint="BF"/>
        </w:rPr>
        <w:t>e</w:t>
      </w:r>
      <w:r w:rsidR="00B50280" w:rsidRPr="006C2885">
        <w:rPr>
          <w:color w:val="0070AE" w:themeColor="accent2" w:themeTint="BF"/>
        </w:rPr>
        <w:t>m</w:t>
      </w:r>
      <w:r w:rsidR="00B166C9" w:rsidRPr="006C2885">
        <w:rPr>
          <w:color w:val="0070AE" w:themeColor="accent2" w:themeTint="BF"/>
        </w:rPr>
        <w:t xml:space="preserve">issions reductions and </w:t>
      </w:r>
      <w:r w:rsidR="00B35722" w:rsidRPr="006C2885">
        <w:rPr>
          <w:color w:val="0070AE" w:themeColor="accent2" w:themeTint="BF"/>
        </w:rPr>
        <w:t>boosting</w:t>
      </w:r>
      <w:r w:rsidR="00B166C9" w:rsidRPr="006C2885">
        <w:rPr>
          <w:color w:val="0070AE" w:themeColor="accent2" w:themeTint="BF"/>
        </w:rPr>
        <w:t xml:space="preserve"> supply</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73AF" w:themeFill="accent6"/>
        <w:tblLayout w:type="fixed"/>
        <w:tblLook w:val="04A0" w:firstRow="1" w:lastRow="0" w:firstColumn="1" w:lastColumn="0" w:noHBand="0" w:noVBand="1"/>
      </w:tblPr>
      <w:tblGrid>
        <w:gridCol w:w="9741"/>
      </w:tblGrid>
      <w:tr w:rsidR="00A529E1" w:rsidRPr="00B32198" w14:paraId="22AEE315" w14:textId="77777777" w:rsidTr="00A529E1">
        <w:tc>
          <w:tcPr>
            <w:tcW w:w="9741" w:type="dxa"/>
            <w:shd w:val="clear" w:color="auto" w:fill="B0E9FF" w:themeFill="text2" w:themeFillTint="33"/>
          </w:tcPr>
          <w:p w14:paraId="2A27C022" w14:textId="04AEE3B2" w:rsidR="00C94490" w:rsidRDefault="00E82D1A" w:rsidP="00996B9D">
            <w:pPr>
              <w:pStyle w:val="BodyText"/>
            </w:pPr>
            <w:r w:rsidRPr="00E82D1A">
              <w:t xml:space="preserve">The Australian Government </w:t>
            </w:r>
            <w:r>
              <w:t>accounts for most of the purchasing of emissions reduction</w:t>
            </w:r>
            <w:r w:rsidR="003C05EC">
              <w:t>s</w:t>
            </w:r>
            <w:r>
              <w:t xml:space="preserve"> </w:t>
            </w:r>
            <w:r w:rsidRPr="00E82D1A">
              <w:t>under the ERF</w:t>
            </w:r>
            <w:r>
              <w:t>. A</w:t>
            </w:r>
            <w:r w:rsidR="00913F14">
              <w:t> </w:t>
            </w:r>
            <w:r>
              <w:t xml:space="preserve">small amount of abatement is also purchased by </w:t>
            </w:r>
            <w:r w:rsidRPr="00E82D1A">
              <w:t xml:space="preserve">industrial emitters </w:t>
            </w:r>
            <w:r>
              <w:t xml:space="preserve">to acquit </w:t>
            </w:r>
            <w:r w:rsidRPr="00E82D1A">
              <w:t xml:space="preserve">liabilities under the Safeguard Mechanism, </w:t>
            </w:r>
            <w:r>
              <w:t xml:space="preserve">as well as </w:t>
            </w:r>
            <w:r w:rsidRPr="00E82D1A">
              <w:t xml:space="preserve">state and territory governments and </w:t>
            </w:r>
            <w:r>
              <w:t xml:space="preserve">businesses </w:t>
            </w:r>
            <w:r w:rsidRPr="00E82D1A">
              <w:t>voluntar</w:t>
            </w:r>
            <w:r w:rsidR="001A4201">
              <w:t>il</w:t>
            </w:r>
            <w:r w:rsidRPr="00E82D1A">
              <w:t>y purchasing</w:t>
            </w:r>
            <w:r>
              <w:t xml:space="preserve"> to offset their emissions</w:t>
            </w:r>
            <w:r w:rsidRPr="00E82D1A">
              <w:t>.</w:t>
            </w:r>
            <w:r>
              <w:t xml:space="preserve"> </w:t>
            </w:r>
          </w:p>
          <w:p w14:paraId="76779C09" w14:textId="77777777" w:rsidR="00E82D1A" w:rsidRPr="00E82D1A" w:rsidRDefault="00E82D1A" w:rsidP="00996B9D">
            <w:pPr>
              <w:pStyle w:val="BodyText"/>
            </w:pPr>
          </w:p>
          <w:p w14:paraId="474F5585" w14:textId="5BAD238E" w:rsidR="00183AFE" w:rsidRDefault="00E82D1A" w:rsidP="00996B9D">
            <w:pPr>
              <w:pStyle w:val="BodyText"/>
            </w:pPr>
            <w:r>
              <w:t xml:space="preserve">A </w:t>
            </w:r>
            <w:r w:rsidR="00183AFE">
              <w:t>slowdown in the amount of abatement contracted by the R</w:t>
            </w:r>
            <w:r w:rsidR="004F6CDB">
              <w:t>egulator</w:t>
            </w:r>
            <w:r w:rsidR="00183AFE">
              <w:t xml:space="preserve"> under the ERF over the three</w:t>
            </w:r>
            <w:r w:rsidR="007F7AAD">
              <w:t xml:space="preserve"> preceding auction 11,</w:t>
            </w:r>
            <w:r w:rsidR="00183AFE">
              <w:t xml:space="preserve"> </w:t>
            </w:r>
            <w:r w:rsidR="006A723C">
              <w:t xml:space="preserve">had </w:t>
            </w:r>
            <w:r w:rsidR="00183AFE">
              <w:t>likely been the result of several factors.</w:t>
            </w:r>
            <w:r w:rsidR="005A2BD2">
              <w:t xml:space="preserve"> </w:t>
            </w:r>
            <w:r w:rsidR="00183AFE">
              <w:t>S</w:t>
            </w:r>
            <w:r w:rsidR="003C658C">
              <w:t>ome s</w:t>
            </w:r>
            <w:r w:rsidR="00183AFE">
              <w:t xml:space="preserve">takeholders identified concerns about uncertainty over the Government’s intentions </w:t>
            </w:r>
            <w:r w:rsidR="00237B1B" w:rsidRPr="00C871D1">
              <w:t>regarding</w:t>
            </w:r>
            <w:r w:rsidR="00183AFE">
              <w:t xml:space="preserve"> the purchasing of ACCUs; the prices offered at ERF auctions; and low levels of </w:t>
            </w:r>
            <w:r w:rsidR="007766A5">
              <w:t xml:space="preserve">demand from </w:t>
            </w:r>
            <w:r w:rsidR="00183AFE">
              <w:t>compliance and voluntary market</w:t>
            </w:r>
            <w:r w:rsidR="007766A5">
              <w:t>s</w:t>
            </w:r>
            <w:r w:rsidR="002D116A">
              <w:t xml:space="preserve">. </w:t>
            </w:r>
            <w:r w:rsidR="00183AFE">
              <w:t>The Au</w:t>
            </w:r>
            <w:r w:rsidR="0033207B">
              <w:t>t</w:t>
            </w:r>
            <w:r w:rsidR="00183AFE">
              <w:t xml:space="preserve">hority has also heard about challenges potential ERF projects face in relation to obtaining finance, high costs </w:t>
            </w:r>
            <w:r w:rsidR="0033207B">
              <w:t xml:space="preserve">of participating in the scheme </w:t>
            </w:r>
            <w:r w:rsidR="00183AFE">
              <w:t xml:space="preserve">and the complexity </w:t>
            </w:r>
            <w:r w:rsidR="0033207B">
              <w:t xml:space="preserve">and (lack of) availability </w:t>
            </w:r>
            <w:r w:rsidR="00183AFE">
              <w:t>of ERF methods.</w:t>
            </w:r>
          </w:p>
          <w:p w14:paraId="663734CC" w14:textId="77777777" w:rsidR="005A2BD2" w:rsidRDefault="005A2BD2" w:rsidP="00996B9D">
            <w:pPr>
              <w:pStyle w:val="BodyText"/>
            </w:pPr>
          </w:p>
          <w:p w14:paraId="5CE39A9A" w14:textId="54999191" w:rsidR="00A529E1" w:rsidRPr="00B32198" w:rsidRDefault="000A2E2F" w:rsidP="00927624">
            <w:pPr>
              <w:pStyle w:val="BodyText"/>
            </w:pPr>
            <w:r>
              <w:t>However, t</w:t>
            </w:r>
            <w:r w:rsidR="00183AFE">
              <w:t xml:space="preserve">he ERF is </w:t>
            </w:r>
            <w:r w:rsidR="001155AC">
              <w:t xml:space="preserve">now </w:t>
            </w:r>
            <w:r w:rsidR="00183AFE">
              <w:t xml:space="preserve">well established and </w:t>
            </w:r>
            <w:r w:rsidR="001155AC">
              <w:t xml:space="preserve">ACCUs are </w:t>
            </w:r>
            <w:r w:rsidR="00183AFE">
              <w:t xml:space="preserve">highly regarded. </w:t>
            </w:r>
            <w:r w:rsidRPr="00E82D1A">
              <w:t xml:space="preserve">The latest auction results are a promising sign, with the introduction of optional delivery contracts </w:t>
            </w:r>
            <w:r w:rsidR="003C658C">
              <w:t xml:space="preserve">and upfront payments for soil carbon projects </w:t>
            </w:r>
            <w:r w:rsidR="00E82D1A">
              <w:t xml:space="preserve">having </w:t>
            </w:r>
            <w:r w:rsidRPr="00E82D1A">
              <w:t>be</w:t>
            </w:r>
            <w:r w:rsidR="00E82D1A">
              <w:t>e</w:t>
            </w:r>
            <w:r w:rsidRPr="00E82D1A">
              <w:t>n well received.</w:t>
            </w:r>
            <w:r w:rsidRPr="00C871D1">
              <w:rPr>
                <w:b/>
              </w:rPr>
              <w:t xml:space="preserve"> </w:t>
            </w:r>
            <w:r w:rsidR="00704CBC">
              <w:t xml:space="preserve">The Government has also recently announced significant additional funding for the Regulator to establish a new emissions reduction trading platform and to reduce the time it takes for ERF methods to be developed. </w:t>
            </w:r>
            <w:r w:rsidR="00183AFE">
              <w:t>The</w:t>
            </w:r>
            <w:r w:rsidR="00704CBC">
              <w:t xml:space="preserve"> scheme’s</w:t>
            </w:r>
            <w:r w:rsidR="001155AC">
              <w:t xml:space="preserve"> foundations can be built on to ensure</w:t>
            </w:r>
            <w:r w:rsidR="001155AC" w:rsidDel="00237B1B">
              <w:t xml:space="preserve"> </w:t>
            </w:r>
            <w:r w:rsidR="00183AFE">
              <w:t xml:space="preserve">Australian </w:t>
            </w:r>
            <w:r w:rsidR="00183AFE" w:rsidRPr="00C871D1">
              <w:t>industr</w:t>
            </w:r>
            <w:r w:rsidR="00237B1B" w:rsidRPr="00C871D1">
              <w:t>ies</w:t>
            </w:r>
            <w:r w:rsidR="00183AFE" w:rsidRPr="00C871D1">
              <w:t xml:space="preserve"> ha</w:t>
            </w:r>
            <w:r w:rsidR="00237B1B" w:rsidRPr="00C871D1">
              <w:t>ve</w:t>
            </w:r>
            <w:r w:rsidR="00183AFE">
              <w:t xml:space="preserve"> the flexibility to access </w:t>
            </w:r>
            <w:r w:rsidR="007C220A">
              <w:t xml:space="preserve">local </w:t>
            </w:r>
            <w:r w:rsidR="00183AFE">
              <w:t>carbon offsets as climate policy settings evolve</w:t>
            </w:r>
            <w:r w:rsidR="001155AC">
              <w:t>,</w:t>
            </w:r>
            <w:r w:rsidR="00183AFE">
              <w:t xml:space="preserve"> and to </w:t>
            </w:r>
            <w:r w:rsidR="001155AC">
              <w:t xml:space="preserve">position Australia to participate successfully </w:t>
            </w:r>
            <w:r w:rsidR="00183AFE">
              <w:t>as the global economy transitions to lower emissions</w:t>
            </w:r>
            <w:r w:rsidR="00A529E1">
              <w:t xml:space="preserve">. </w:t>
            </w:r>
          </w:p>
        </w:tc>
      </w:tr>
    </w:tbl>
    <w:p w14:paraId="68CA3E45" w14:textId="6B5D0A3C" w:rsidR="00087F91" w:rsidRDefault="00087F91" w:rsidP="00996B9D">
      <w:pPr>
        <w:pStyle w:val="BodyText"/>
      </w:pPr>
    </w:p>
    <w:p w14:paraId="0CAAD048" w14:textId="72694889" w:rsidR="00C4271C" w:rsidRPr="006C2885" w:rsidRDefault="00787223" w:rsidP="00FE3F8C">
      <w:pPr>
        <w:pStyle w:val="Heading2"/>
        <w:numPr>
          <w:ilvl w:val="1"/>
          <w:numId w:val="16"/>
        </w:numPr>
        <w:rPr>
          <w:color w:val="0070AE" w:themeColor="accent2" w:themeTint="BF"/>
        </w:rPr>
      </w:pPr>
      <w:bookmarkStart w:id="1535" w:name="_Toc49524541"/>
      <w:bookmarkStart w:id="1536" w:name="_Toc49524679"/>
      <w:bookmarkStart w:id="1537" w:name="_Toc49527148"/>
      <w:bookmarkStart w:id="1538" w:name="_Toc49527986"/>
      <w:bookmarkStart w:id="1539" w:name="_Toc49692138"/>
      <w:bookmarkStart w:id="1540" w:name="_Toc49710511"/>
      <w:bookmarkStart w:id="1541" w:name="_Toc49710683"/>
      <w:bookmarkStart w:id="1542" w:name="_Toc49713236"/>
      <w:bookmarkStart w:id="1543" w:name="_Toc49713438"/>
      <w:bookmarkStart w:id="1544" w:name="_Toc49776376"/>
      <w:bookmarkStart w:id="1545" w:name="_Toc49784935"/>
      <w:bookmarkStart w:id="1546" w:name="_Toc49786261"/>
      <w:bookmarkStart w:id="1547" w:name="_Toc49787310"/>
      <w:bookmarkStart w:id="1548" w:name="_Toc49787365"/>
      <w:bookmarkStart w:id="1549" w:name="_Toc49850679"/>
      <w:bookmarkStart w:id="1550" w:name="_Toc49852921"/>
      <w:bookmarkStart w:id="1551" w:name="_Toc49854338"/>
      <w:bookmarkStart w:id="1552" w:name="_Toc49856934"/>
      <w:bookmarkStart w:id="1553" w:name="_Toc49858250"/>
      <w:bookmarkStart w:id="1554" w:name="_Toc49858305"/>
      <w:bookmarkStart w:id="1555" w:name="_Toc49863007"/>
      <w:bookmarkStart w:id="1556" w:name="_Toc49867730"/>
      <w:bookmarkStart w:id="1557" w:name="_Toc49870566"/>
      <w:bookmarkStart w:id="1558" w:name="_Toc49871309"/>
      <w:bookmarkStart w:id="1559" w:name="_Toc49871989"/>
      <w:bookmarkStart w:id="1560" w:name="_Toc49872542"/>
      <w:bookmarkStart w:id="1561" w:name="_Toc50027754"/>
      <w:bookmarkStart w:id="1562" w:name="_Toc50029448"/>
      <w:bookmarkStart w:id="1563" w:name="_Toc50043879"/>
      <w:bookmarkStart w:id="1564" w:name="_Toc50057730"/>
      <w:bookmarkStart w:id="1565" w:name="_Toc50553607"/>
      <w:bookmarkStart w:id="1566" w:name="_Toc50555370"/>
      <w:bookmarkStart w:id="1567" w:name="_Toc50559830"/>
      <w:bookmarkStart w:id="1568" w:name="_Toc50559883"/>
      <w:bookmarkStart w:id="1569" w:name="_Toc50563817"/>
      <w:bookmarkStart w:id="1570" w:name="_Toc50711370"/>
      <w:bookmarkStart w:id="1571" w:name="_Toc50720952"/>
      <w:bookmarkStart w:id="1572" w:name="_Toc50730676"/>
      <w:bookmarkStart w:id="1573" w:name="_Toc50734902"/>
      <w:bookmarkStart w:id="1574" w:name="_Toc50735505"/>
      <w:bookmarkStart w:id="1575" w:name="_Toc50905524"/>
      <w:bookmarkStart w:id="1576" w:name="_Toc51587009"/>
      <w:bookmarkStart w:id="1577" w:name="_Toc51594869"/>
      <w:bookmarkStart w:id="1578" w:name="_Toc51599472"/>
      <w:bookmarkStart w:id="1579" w:name="_Toc51613508"/>
      <w:bookmarkStart w:id="1580" w:name="_Toc51669619"/>
      <w:bookmarkStart w:id="1581" w:name="_Toc51669714"/>
      <w:bookmarkStart w:id="1582" w:name="_Toc51672863"/>
      <w:bookmarkStart w:id="1583" w:name="_Toc51673913"/>
      <w:bookmarkStart w:id="1584" w:name="_Toc51680730"/>
      <w:bookmarkStart w:id="1585" w:name="_Toc51683259"/>
      <w:bookmarkStart w:id="1586" w:name="_Toc51685995"/>
      <w:bookmarkStart w:id="1587" w:name="_Toc51687733"/>
      <w:bookmarkStart w:id="1588" w:name="_Toc51687877"/>
      <w:bookmarkStart w:id="1589" w:name="_Toc51705755"/>
      <w:bookmarkStart w:id="1590" w:name="_Toc51770701"/>
      <w:bookmarkStart w:id="1591" w:name="_Toc51770887"/>
      <w:bookmarkStart w:id="1592" w:name="_Toc52359230"/>
      <w:bookmarkStart w:id="1593" w:name="_Toc52367263"/>
      <w:bookmarkStart w:id="1594" w:name="_Toc52371603"/>
      <w:bookmarkStart w:id="1595" w:name="_Toc52374751"/>
      <w:bookmarkStart w:id="1596" w:name="_Toc52377289"/>
      <w:bookmarkStart w:id="1597" w:name="_Toc52379211"/>
      <w:bookmarkStart w:id="1598" w:name="_Toc52379566"/>
      <w:bookmarkStart w:id="1599" w:name="_Toc52532776"/>
      <w:bookmarkStart w:id="1600" w:name="_Toc52535671"/>
      <w:bookmarkStart w:id="1601" w:name="_Toc52537489"/>
      <w:bookmarkStart w:id="1602" w:name="_Toc52544052"/>
      <w:bookmarkStart w:id="1603" w:name="_Toc52545656"/>
      <w:bookmarkStart w:id="1604" w:name="_Toc52547888"/>
      <w:bookmarkStart w:id="1605" w:name="_Toc52548577"/>
      <w:bookmarkStart w:id="1606" w:name="_Toc52890869"/>
      <w:bookmarkStart w:id="1607" w:name="_Toc52895072"/>
      <w:bookmarkStart w:id="1608" w:name="_Toc52896596"/>
      <w:bookmarkStart w:id="1609" w:name="_Toc52977773"/>
      <w:bookmarkStart w:id="1610" w:name="_Toc53129459"/>
      <w:r w:rsidRPr="006C2885">
        <w:rPr>
          <w:color w:val="0070AE" w:themeColor="accent2" w:themeTint="BF"/>
        </w:rPr>
        <w:t>D</w:t>
      </w:r>
      <w:r w:rsidR="00FB0999" w:rsidRPr="006C2885">
        <w:rPr>
          <w:color w:val="0070AE" w:themeColor="accent2" w:themeTint="BF"/>
        </w:rPr>
        <w:t>emand</w:t>
      </w:r>
      <w:r w:rsidR="0067787E" w:rsidRPr="006C2885">
        <w:rPr>
          <w:color w:val="0070AE" w:themeColor="accent2" w:themeTint="BF"/>
        </w:rPr>
        <w:t xml:space="preserve"> </w:t>
      </w:r>
      <w:r w:rsidRPr="006C2885">
        <w:rPr>
          <w:color w:val="0070AE" w:themeColor="accent2" w:themeTint="BF"/>
        </w:rPr>
        <w:t>for ACCUs</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14:paraId="41E00E5B" w14:textId="3BE5294C" w:rsidR="00994A05" w:rsidRDefault="00787223" w:rsidP="00996B9D">
      <w:pPr>
        <w:pStyle w:val="BodyText"/>
      </w:pPr>
      <w:r w:rsidRPr="00AB02E0">
        <w:t xml:space="preserve">The Australian Government is the primary purchaser of abatement under the ERF, with </w:t>
      </w:r>
      <w:r w:rsidR="00447612" w:rsidRPr="00E30227">
        <w:t>58.8</w:t>
      </w:r>
      <w:r w:rsidRPr="00AB02E0">
        <w:t xml:space="preserve"> million ACCUs delivered under contract to the Government </w:t>
      </w:r>
      <w:r w:rsidR="001635BD">
        <w:t xml:space="preserve">cumulatively to </w:t>
      </w:r>
      <w:r w:rsidRPr="00AB02E0">
        <w:t>20</w:t>
      </w:r>
      <w:r w:rsidR="00447612">
        <w:t>20 (</w:t>
      </w:r>
      <w:r w:rsidR="00510B84">
        <w:t>CER 2020a</w:t>
      </w:r>
      <w:r w:rsidR="00447612">
        <w:t>)</w:t>
      </w:r>
      <w:r w:rsidR="00297F2D">
        <w:t>. In 2019,</w:t>
      </w:r>
      <w:r w:rsidR="002C646F" w:rsidRPr="00AB02E0">
        <w:t xml:space="preserve"> </w:t>
      </w:r>
      <w:r w:rsidR="002C646F">
        <w:t>9</w:t>
      </w:r>
      <w:r w:rsidR="00E6238A">
        <w:t>5</w:t>
      </w:r>
      <w:r w:rsidR="00913F14">
        <w:t> </w:t>
      </w:r>
      <w:r w:rsidR="002C646F">
        <w:t xml:space="preserve">per cent </w:t>
      </w:r>
      <w:r w:rsidR="002C646F" w:rsidRPr="00AB02E0">
        <w:t xml:space="preserve">of </w:t>
      </w:r>
      <w:r w:rsidR="00297F2D">
        <w:t xml:space="preserve">all </w:t>
      </w:r>
      <w:r w:rsidR="002C646F" w:rsidRPr="00AB02E0">
        <w:t xml:space="preserve">ACCUs sold </w:t>
      </w:r>
      <w:r w:rsidR="00297F2D">
        <w:t>were purchased by the Government.</w:t>
      </w:r>
      <w:r w:rsidRPr="00AB02E0">
        <w:t xml:space="preserve"> Other minor sources of demand include a small number of industrial emitters who have liabilities under the </w:t>
      </w:r>
      <w:r w:rsidR="00EF3364" w:rsidRPr="00E330EF">
        <w:t>Safeguard</w:t>
      </w:r>
      <w:r w:rsidR="00EF3364">
        <w:t xml:space="preserve"> Mechanism</w:t>
      </w:r>
      <w:r w:rsidRPr="007977EF">
        <w:t>, state and territory governments</w:t>
      </w:r>
      <w:r w:rsidR="00292B14">
        <w:t>, other government initiatives like the Queensland Land Restoration Fund</w:t>
      </w:r>
      <w:r w:rsidRPr="007977EF">
        <w:t xml:space="preserve"> and </w:t>
      </w:r>
      <w:r w:rsidR="004F6CDB" w:rsidRPr="00302A89">
        <w:t>voluntary</w:t>
      </w:r>
      <w:r w:rsidRPr="009556F7">
        <w:t xml:space="preserve"> private sector purchasing. Notwithstanding the </w:t>
      </w:r>
      <w:r w:rsidR="0048603C">
        <w:t>significant additional funding announced by the Government in</w:t>
      </w:r>
      <w:r w:rsidRPr="009556F7">
        <w:t xml:space="preserve"> </w:t>
      </w:r>
      <w:r w:rsidR="005A2BD2" w:rsidRPr="009556F7">
        <w:t xml:space="preserve">2019 </w:t>
      </w:r>
      <w:r w:rsidR="0048603C">
        <w:t xml:space="preserve">for continued purchasing of ACCUs under </w:t>
      </w:r>
      <w:r w:rsidR="005A2BD2" w:rsidRPr="00C126FA">
        <w:t xml:space="preserve">the Climate Solutions Fund, </w:t>
      </w:r>
      <w:r w:rsidRPr="00C126FA">
        <w:t xml:space="preserve">future Government demand for ACCUs </w:t>
      </w:r>
      <w:r w:rsidR="005A2BD2" w:rsidRPr="00C126FA">
        <w:t>remains</w:t>
      </w:r>
      <w:r w:rsidRPr="00C126FA">
        <w:t xml:space="preserve"> uncertain. The lack of binding obligations on industry to reduce emissions means compliance market demand is likely to remain </w:t>
      </w:r>
      <w:r w:rsidR="0048603C">
        <w:t>subdued</w:t>
      </w:r>
      <w:r w:rsidR="005D2049" w:rsidRPr="00C126FA">
        <w:t>, although some state government</w:t>
      </w:r>
      <w:r w:rsidR="00D15C85" w:rsidRPr="00C126FA">
        <w:t xml:space="preserve"> </w:t>
      </w:r>
      <w:r w:rsidR="005A2BD2" w:rsidRPr="00C126FA">
        <w:t>measures</w:t>
      </w:r>
      <w:r w:rsidR="005D2049" w:rsidRPr="00C126FA">
        <w:t xml:space="preserve"> may see this change over coming years</w:t>
      </w:r>
      <w:r w:rsidRPr="00C126FA">
        <w:t xml:space="preserve">. Voluntary market demand is growing but likely to remain </w:t>
      </w:r>
      <w:r w:rsidR="005D2049" w:rsidRPr="00C126FA">
        <w:t xml:space="preserve">relatively </w:t>
      </w:r>
      <w:r w:rsidRPr="00C126FA">
        <w:t>low for some time to come.</w:t>
      </w:r>
    </w:p>
    <w:p w14:paraId="641E1DC7" w14:textId="1F2F096D" w:rsidR="00787223" w:rsidRPr="00787223" w:rsidRDefault="00787223" w:rsidP="00996B9D">
      <w:pPr>
        <w:pStyle w:val="BodyText"/>
      </w:pPr>
    </w:p>
    <w:p w14:paraId="6AEBAC05" w14:textId="7F56224C" w:rsidR="0000581A" w:rsidRPr="006C2885" w:rsidRDefault="0000581A" w:rsidP="0000581A">
      <w:pPr>
        <w:pStyle w:val="Heading3"/>
        <w:rPr>
          <w:i/>
          <w:color w:val="0070AE" w:themeColor="accent2" w:themeTint="BF"/>
        </w:rPr>
      </w:pPr>
      <w:r w:rsidRPr="006C2885">
        <w:rPr>
          <w:i/>
          <w:color w:val="0070AE" w:themeColor="accent2" w:themeTint="BF"/>
        </w:rPr>
        <w:t>Certainty of demand</w:t>
      </w:r>
      <w:r w:rsidR="00994A05" w:rsidRPr="006C2885">
        <w:rPr>
          <w:i/>
          <w:color w:val="0070AE" w:themeColor="accent2" w:themeTint="BF"/>
        </w:rPr>
        <w:t xml:space="preserve"> </w:t>
      </w:r>
      <w:r w:rsidR="007F7AAD">
        <w:rPr>
          <w:i/>
          <w:color w:val="0070AE" w:themeColor="accent2" w:themeTint="BF"/>
        </w:rPr>
        <w:t>for</w:t>
      </w:r>
      <w:r w:rsidR="00994A05" w:rsidRPr="006C2885">
        <w:rPr>
          <w:i/>
          <w:color w:val="0070AE" w:themeColor="accent2" w:themeTint="BF"/>
        </w:rPr>
        <w:t xml:space="preserve"> </w:t>
      </w:r>
      <w:r w:rsidR="000C6E74" w:rsidRPr="006C2885">
        <w:rPr>
          <w:i/>
          <w:color w:val="0070AE" w:themeColor="accent2" w:themeTint="BF"/>
        </w:rPr>
        <w:t>leas</w:t>
      </w:r>
      <w:r w:rsidR="0039350C">
        <w:rPr>
          <w:i/>
          <w:color w:val="0070AE" w:themeColor="accent2" w:themeTint="BF"/>
        </w:rPr>
        <w:t>t</w:t>
      </w:r>
      <w:r w:rsidR="00994A05" w:rsidRPr="006C2885">
        <w:rPr>
          <w:i/>
          <w:color w:val="0070AE" w:themeColor="accent2" w:themeTint="BF"/>
        </w:rPr>
        <w:t xml:space="preserve"> cost abatement</w:t>
      </w:r>
    </w:p>
    <w:p w14:paraId="32383E63" w14:textId="750CE731" w:rsidR="00994A05" w:rsidRPr="009E65DE" w:rsidRDefault="00994A05" w:rsidP="00994A05">
      <w:r>
        <w:t xml:space="preserve">Government purchasing of carbon abatement is legislated by Part 2A of the CFI Act and Part 2A of the </w:t>
      </w:r>
      <w:r w:rsidRPr="00844A1D">
        <w:rPr>
          <w:i/>
        </w:rPr>
        <w:t>Carbon Credits (Carbon Farming Initiative) Rule 2015</w:t>
      </w:r>
      <w:r>
        <w:t xml:space="preserve">. The Act enables the Regulator to purchase ACCUs. In doing so, the Regulator must have regard to purchasing principles set out in the Act and the purpose of which is explained as follows: </w:t>
      </w:r>
      <w:r w:rsidRPr="007A0905">
        <w:rPr>
          <w:i/>
        </w:rPr>
        <w:t>‘The principles require the Regulator to, among other matters, design the purchasing process to deliver value for money, maximise abatement, minimise administrative costs and ensure the integrity of the purchasing process’</w:t>
      </w:r>
      <w:r w:rsidR="007C220A">
        <w:rPr>
          <w:i/>
        </w:rPr>
        <w:t xml:space="preserve"> </w:t>
      </w:r>
      <w:r w:rsidRPr="004D5319">
        <w:t>(</w:t>
      </w:r>
      <w:r w:rsidR="00A7417C" w:rsidRPr="00370433">
        <w:t>Explanatory Memorandum to the Carbon Farming Initiative Amendment Bill 2014</w:t>
      </w:r>
      <w:r>
        <w:t xml:space="preserve">). </w:t>
      </w:r>
    </w:p>
    <w:p w14:paraId="264CC52C" w14:textId="00CF1564" w:rsidR="00763378" w:rsidRDefault="00994A05" w:rsidP="00994A05">
      <w:r>
        <w:t xml:space="preserve">The legislation and principles require the Regulator to purchase carbon abatement at the least cost and maximise abatement. </w:t>
      </w:r>
      <w:r w:rsidR="00763378">
        <w:t>As the scheme matures and technology evolves, new and improved methodologies as well as policy innovations could deliver new sources of low cost abatement. However, a</w:t>
      </w:r>
      <w:r>
        <w:t xml:space="preserve">s </w:t>
      </w:r>
      <w:r w:rsidR="00763378">
        <w:t xml:space="preserve">the available </w:t>
      </w:r>
      <w:r>
        <w:t xml:space="preserve">low-cost opportunities </w:t>
      </w:r>
      <w:r w:rsidR="00763378">
        <w:t xml:space="preserve">under the scheme </w:t>
      </w:r>
      <w:r>
        <w:t>are exhausted, accessing abatement will require a move up ‘the cost curve’ and a willingness to purchase more expensive abatement.</w:t>
      </w:r>
      <w:r w:rsidRPr="002571E1">
        <w:t xml:space="preserve"> </w:t>
      </w:r>
    </w:p>
    <w:p w14:paraId="32BE26D2" w14:textId="56D114BD" w:rsidR="00994A05" w:rsidRDefault="00994A05" w:rsidP="00994A05">
      <w:r>
        <w:t>To date, Government purchases of ACCUs have been carried out by the Regulator through reverse auctions</w:t>
      </w:r>
      <w:r w:rsidR="0048603C">
        <w:t xml:space="preserve">. In </w:t>
      </w:r>
      <w:r>
        <w:t>2016 the Regulator did sound out the market in a bid to source</w:t>
      </w:r>
      <w:r w:rsidR="0048603C">
        <w:t xml:space="preserve"> </w:t>
      </w:r>
      <w:r>
        <w:t>abatement</w:t>
      </w:r>
      <w:r w:rsidR="0048603C">
        <w:t xml:space="preserve"> directly</w:t>
      </w:r>
      <w:r>
        <w:t xml:space="preserve">, but this did not result in </w:t>
      </w:r>
      <w:r w:rsidR="00BE4198">
        <w:t xml:space="preserve">any </w:t>
      </w:r>
      <w:r>
        <w:t>purchase</w:t>
      </w:r>
      <w:r w:rsidR="00BE4198">
        <w:t>s</w:t>
      </w:r>
      <w:r>
        <w:t>. For reverse auctions, bids are submitted to the Regulator to sell ACCUs through either a fixed</w:t>
      </w:r>
      <w:r w:rsidDel="000C5B35">
        <w:t xml:space="preserve"> </w:t>
      </w:r>
      <w:r>
        <w:t>or</w:t>
      </w:r>
      <w:r w:rsidR="00BE4198">
        <w:t xml:space="preserve">, </w:t>
      </w:r>
      <w:r w:rsidR="005C4FC6">
        <w:t>beginning in 2020, an</w:t>
      </w:r>
      <w:r>
        <w:t xml:space="preserve"> option</w:t>
      </w:r>
      <w:r w:rsidR="000C5B35">
        <w:t>al delivery</w:t>
      </w:r>
      <w:r>
        <w:t xml:space="preserve"> contract </w:t>
      </w:r>
      <w:r w:rsidRPr="00173C3F">
        <w:t>(Table 2.1, Chapter 2).</w:t>
      </w:r>
      <w:r>
        <w:t xml:space="preserve"> Bids to sell ACCUs must meet auction qualification and registration requirements (</w:t>
      </w:r>
      <w:r w:rsidRPr="004023BC">
        <w:t>CER 2020</w:t>
      </w:r>
      <w:r w:rsidR="000B4DD0">
        <w:t>b</w:t>
      </w:r>
      <w:r>
        <w:t xml:space="preserve">). Once a bid has met these requirements, all ACCUs offered for purchase are treated equally and ranked on price. The </w:t>
      </w:r>
      <w:r w:rsidRPr="00340C59">
        <w:t>Regulator accepts auction bids up to the point that, in the sole discretion of the Regulator, the combination of bid price and volume offers the best balance between the principles of purchasing at the lowest cost and securing the highest volume</w:t>
      </w:r>
      <w:r>
        <w:t xml:space="preserve"> (</w:t>
      </w:r>
      <w:r w:rsidR="002020E2" w:rsidRPr="004023BC">
        <w:t>CER 2020</w:t>
      </w:r>
      <w:r w:rsidR="002020E2">
        <w:t>b</w:t>
      </w:r>
      <w:r>
        <w:t>)</w:t>
      </w:r>
      <w:r w:rsidR="0038598F">
        <w:t>.</w:t>
      </w:r>
    </w:p>
    <w:p w14:paraId="43E40B5F" w14:textId="183AE3D5" w:rsidR="00994A05" w:rsidRDefault="00994A05" w:rsidP="00994A05">
      <w:r>
        <w:t>Stakeholders have told us that the price the Government has been willing to pay for ACCUs has been too low to incentivise large new supplies of ACCUs to come forward</w:t>
      </w:r>
      <w:r w:rsidRPr="00BC45F0">
        <w:rPr>
          <w:bCs/>
        </w:rPr>
        <w:t xml:space="preserve"> </w:t>
      </w:r>
      <w:r w:rsidRPr="00E42D77">
        <w:rPr>
          <w:rStyle w:val="Strong"/>
          <w:b w:val="0"/>
        </w:rPr>
        <w:t>(</w:t>
      </w:r>
      <w:r w:rsidRPr="00093D5B">
        <w:rPr>
          <w:rFonts w:cs="Arial"/>
        </w:rPr>
        <w:t xml:space="preserve">Foresters of Australia, Jemena, ACF, ICIN, Carbon Neutral, Australian Energy Council). </w:t>
      </w:r>
      <w:r>
        <w:t>A 2019 AgriFutures report</w:t>
      </w:r>
      <w:r w:rsidR="0039350C">
        <w:t>,</w:t>
      </w:r>
      <w:r>
        <w:t xml:space="preserve"> </w:t>
      </w:r>
      <w:r w:rsidRPr="7943B309">
        <w:rPr>
          <w:i/>
        </w:rPr>
        <w:t>Improving Carbon Markets to increase farmer participation</w:t>
      </w:r>
      <w:r w:rsidR="0039350C">
        <w:rPr>
          <w:i/>
        </w:rPr>
        <w:t>,</w:t>
      </w:r>
      <w:r>
        <w:t xml:space="preserve"> reported that the biggest barrier to farmer uptake was the low carbon price. </w:t>
      </w:r>
      <w:r w:rsidR="003A41F6">
        <w:t xml:space="preserve">The higher average prices offered in 2020 (auction 10 and 11) and the introduction of upfront payments for soil carbon projects have assisted in boosting </w:t>
      </w:r>
      <w:r w:rsidR="00930FFA">
        <w:t xml:space="preserve">the </w:t>
      </w:r>
      <w:r w:rsidR="003A41F6">
        <w:t xml:space="preserve">supply of projects. </w:t>
      </w:r>
    </w:p>
    <w:p w14:paraId="1E95277C" w14:textId="0FA1B5B9" w:rsidR="00994A05" w:rsidRDefault="0016775E" w:rsidP="00994A05">
      <w:r>
        <w:t xml:space="preserve">In 2019 the scheme recorded the lowest volume of contracted abatement since its inception. </w:t>
      </w:r>
      <w:r w:rsidR="00EB05F4">
        <w:t>V</w:t>
      </w:r>
      <w:r>
        <w:t xml:space="preserve">olumes have increased in the two auctions held in 2020, in conjunction with a moderate increase in the price the Regulator has been prepared to pay. </w:t>
      </w:r>
      <w:r w:rsidR="00994A05">
        <w:t xml:space="preserve">In </w:t>
      </w:r>
      <w:r w:rsidR="0039350C">
        <w:t>a</w:t>
      </w:r>
      <w:r w:rsidR="00994A05">
        <w:t>uction 10 (March 2020), the average weighted price of $16.14 was a 1</w:t>
      </w:r>
      <w:r w:rsidR="003A41F6">
        <w:t>4</w:t>
      </w:r>
      <w:r w:rsidR="00994A05">
        <w:t xml:space="preserve"> per cent increase on the previous highest average auction price. Stakeholders told us they were encouraged by the higher price. New project registrations were higher leading up to </w:t>
      </w:r>
      <w:r w:rsidR="0039350C">
        <w:t>a</w:t>
      </w:r>
      <w:r w:rsidR="00994A05">
        <w:t xml:space="preserve">uction 11 in September 2020, and </w:t>
      </w:r>
      <w:r w:rsidR="003A41F6">
        <w:t xml:space="preserve">significantly </w:t>
      </w:r>
      <w:r w:rsidR="00994A05">
        <w:t>more projects have been registered in 2020 than in 2019 (</w:t>
      </w:r>
      <w:r w:rsidR="00994A05" w:rsidRPr="005E02E2">
        <w:t>Figure 3.</w:t>
      </w:r>
      <w:r w:rsidR="003A41F6">
        <w:t>4</w:t>
      </w:r>
      <w:r w:rsidR="00994A05" w:rsidRPr="005E02E2">
        <w:t>).</w:t>
      </w:r>
      <w:r w:rsidR="00994A05">
        <w:t xml:space="preserve"> </w:t>
      </w:r>
      <w:r w:rsidR="00135F1F">
        <w:t>The results of auction 11 achieved an average weighted price of $15.74 (</w:t>
      </w:r>
      <w:r w:rsidR="00996B9D" w:rsidRPr="00BE6F26">
        <w:t>CER 2020</w:t>
      </w:r>
      <w:r w:rsidR="00996B9D">
        <w:t>d</w:t>
      </w:r>
      <w:r w:rsidR="00135F1F">
        <w:t xml:space="preserve">). </w:t>
      </w:r>
      <w:r w:rsidR="00994A05">
        <w:t xml:space="preserve"> </w:t>
      </w:r>
    </w:p>
    <w:p w14:paraId="051A1688" w14:textId="6468D434" w:rsidR="00FE2BF7" w:rsidRPr="00C126FA" w:rsidRDefault="00994A05" w:rsidP="00996B9D">
      <w:pPr>
        <w:pStyle w:val="BodyText"/>
      </w:pPr>
      <w:r w:rsidRPr="00AB02E0">
        <w:t xml:space="preserve">However, </w:t>
      </w:r>
      <w:r w:rsidR="0016775E" w:rsidRPr="00AB02E0">
        <w:t>uncertainty and lack of transparency concerning</w:t>
      </w:r>
      <w:r w:rsidR="0016775E" w:rsidRPr="007977EF">
        <w:t xml:space="preserve"> the Government’s </w:t>
      </w:r>
      <w:r w:rsidR="0016775E" w:rsidRPr="00302A89">
        <w:t xml:space="preserve">funding allocation process </w:t>
      </w:r>
      <w:r w:rsidR="0016775E" w:rsidRPr="009556F7">
        <w:t xml:space="preserve">appears to be affecting market confidence </w:t>
      </w:r>
      <w:r w:rsidR="0016775E">
        <w:t>given its status</w:t>
      </w:r>
      <w:r w:rsidRPr="00AB02E0">
        <w:t xml:space="preserve"> a</w:t>
      </w:r>
      <w:r w:rsidR="00FE2BF7" w:rsidRPr="00AB02E0">
        <w:t xml:space="preserve">s the dominant purchaser of ACCUs </w:t>
      </w:r>
      <w:r w:rsidR="0000581A" w:rsidRPr="009556F7">
        <w:t>(AGL Energy</w:t>
      </w:r>
      <w:r w:rsidR="0000581A" w:rsidRPr="00C126FA">
        <w:t xml:space="preserve">, </w:t>
      </w:r>
      <w:r w:rsidR="00A93520" w:rsidRPr="00C126FA">
        <w:t xml:space="preserve">Biome5 submissions, </w:t>
      </w:r>
      <w:r w:rsidR="00A93520" w:rsidRPr="004953CF">
        <w:t>Macintosh et al. 2019</w:t>
      </w:r>
      <w:r w:rsidR="0000581A" w:rsidRPr="00C126FA">
        <w:t xml:space="preserve">). </w:t>
      </w:r>
    </w:p>
    <w:p w14:paraId="7216ADD1" w14:textId="77777777" w:rsidR="005E0C37" w:rsidRPr="00C126FA" w:rsidRDefault="005E0C37" w:rsidP="00996B9D">
      <w:pPr>
        <w:pStyle w:val="BodyText"/>
      </w:pPr>
    </w:p>
    <w:p w14:paraId="3C0B9ABD" w14:textId="4CB8E0FF" w:rsidR="0000581A" w:rsidRPr="00C126FA" w:rsidRDefault="0000581A" w:rsidP="00996B9D">
      <w:pPr>
        <w:pStyle w:val="BodyText"/>
      </w:pPr>
      <w:r w:rsidRPr="00C126FA">
        <w:rPr>
          <w:lang w:val="en-US"/>
        </w:rPr>
        <w:t xml:space="preserve">Of the $2.55 billion the Government made available </w:t>
      </w:r>
      <w:r w:rsidR="005A2BD2" w:rsidRPr="00C126FA">
        <w:rPr>
          <w:lang w:val="en-US"/>
        </w:rPr>
        <w:t xml:space="preserve">for the ERF </w:t>
      </w:r>
      <w:r w:rsidRPr="00C126FA">
        <w:rPr>
          <w:lang w:val="en-US"/>
        </w:rPr>
        <w:t xml:space="preserve">in 2014, </w:t>
      </w:r>
      <w:r w:rsidR="00E30227">
        <w:rPr>
          <w:lang w:val="en-US"/>
        </w:rPr>
        <w:t xml:space="preserve">approximately </w:t>
      </w:r>
      <w:r w:rsidRPr="00E30227">
        <w:rPr>
          <w:lang w:val="en-US"/>
        </w:rPr>
        <w:t>$</w:t>
      </w:r>
      <w:r w:rsidR="00E30227">
        <w:rPr>
          <w:lang w:val="en-US"/>
        </w:rPr>
        <w:t>150</w:t>
      </w:r>
      <w:r w:rsidR="000501D8" w:rsidRPr="00E30227">
        <w:rPr>
          <w:lang w:val="en-US"/>
        </w:rPr>
        <w:t xml:space="preserve"> million remains after the 11</w:t>
      </w:r>
      <w:r w:rsidR="000501D8" w:rsidRPr="00E30227">
        <w:rPr>
          <w:vertAlign w:val="superscript"/>
          <w:lang w:val="en-US"/>
        </w:rPr>
        <w:t>th</w:t>
      </w:r>
      <w:r w:rsidR="000501D8" w:rsidRPr="00E30227">
        <w:rPr>
          <w:lang w:val="en-US"/>
        </w:rPr>
        <w:t xml:space="preserve"> auction</w:t>
      </w:r>
      <w:r w:rsidRPr="00E30227">
        <w:rPr>
          <w:lang w:val="en-US"/>
        </w:rPr>
        <w:t xml:space="preserve"> (</w:t>
      </w:r>
      <w:r w:rsidR="00996B9D" w:rsidRPr="00BE6F26">
        <w:t>CER 2020</w:t>
      </w:r>
      <w:r w:rsidR="00996B9D">
        <w:t>d</w:t>
      </w:r>
      <w:r w:rsidR="00E30227">
        <w:t>, CER pers com</w:t>
      </w:r>
      <w:r w:rsidR="005B4DA7">
        <w:t>m.</w:t>
      </w:r>
      <w:r w:rsidR="000148A5">
        <w:t xml:space="preserve"> 2020</w:t>
      </w:r>
      <w:r w:rsidRPr="00E30227">
        <w:rPr>
          <w:lang w:val="en-US"/>
        </w:rPr>
        <w:t>).</w:t>
      </w:r>
      <w:r w:rsidRPr="00C126FA">
        <w:rPr>
          <w:lang w:val="en-US"/>
        </w:rPr>
        <w:t xml:space="preserve"> </w:t>
      </w:r>
      <w:r w:rsidRPr="00C126FA">
        <w:t xml:space="preserve">The Climate Solutions Fund was announced in February 2019 “to carry forward the work of the Government’s Emissions Reduction Fund … with an additional $2 billion investment over the next ten years” </w:t>
      </w:r>
      <w:r w:rsidR="003A3950" w:rsidRPr="00C126FA">
        <w:t>(</w:t>
      </w:r>
      <w:r w:rsidR="003A3950" w:rsidRPr="00E30227">
        <w:t>Morrison</w:t>
      </w:r>
      <w:r w:rsidR="000F4ADE" w:rsidRPr="00E30227">
        <w:t xml:space="preserve"> S</w:t>
      </w:r>
      <w:r w:rsidR="003A3950" w:rsidRPr="00E30227">
        <w:t xml:space="preserve"> 2019</w:t>
      </w:r>
      <w:r w:rsidR="003A3950" w:rsidRPr="00C126FA">
        <w:t xml:space="preserve">). </w:t>
      </w:r>
      <w:r w:rsidRPr="00C126FA">
        <w:t>Of that, $189.1 million is to be provided over the four years from 20</w:t>
      </w:r>
      <w:r w:rsidR="003F5BA2" w:rsidRPr="00C126FA">
        <w:t>19-</w:t>
      </w:r>
      <w:r w:rsidRPr="00C126FA">
        <w:t>20 to 2022-23</w:t>
      </w:r>
      <w:r w:rsidR="003F5BA2" w:rsidRPr="00C126FA">
        <w:t xml:space="preserve"> for ‘investments in low-cost abatement currently underway through the ERF’ (</w:t>
      </w:r>
      <w:r w:rsidR="003F5BA2" w:rsidRPr="00E30227">
        <w:t>Australian Government 2019</w:t>
      </w:r>
      <w:r w:rsidR="00F94A3A">
        <w:t>a</w:t>
      </w:r>
      <w:r w:rsidR="003F5BA2" w:rsidRPr="00C126FA">
        <w:t>)</w:t>
      </w:r>
      <w:r w:rsidRPr="00C126FA">
        <w:t>. In 2020-21 an initial $16.</w:t>
      </w:r>
      <w:r w:rsidR="00A01390" w:rsidRPr="00C126FA">
        <w:t>6</w:t>
      </w:r>
      <w:r w:rsidR="00A01390">
        <w:t> </w:t>
      </w:r>
      <w:r w:rsidRPr="00C126FA">
        <w:t>million of these funds has been allocated to the Regulator, with $14.7 million available for investment in low cost abatement</w:t>
      </w:r>
      <w:r w:rsidR="00C035B5" w:rsidRPr="00C126FA">
        <w:t xml:space="preserve"> </w:t>
      </w:r>
      <w:r w:rsidR="00C035B5" w:rsidRPr="00360F54">
        <w:t>(</w:t>
      </w:r>
      <w:r w:rsidR="00C035B5" w:rsidRPr="00E30227">
        <w:t>Australian Government 2019</w:t>
      </w:r>
      <w:r w:rsidR="00F94A3A">
        <w:t>b</w:t>
      </w:r>
      <w:r w:rsidR="00C035B5" w:rsidRPr="00C126FA">
        <w:t>).</w:t>
      </w:r>
      <w:r w:rsidR="00F0695A" w:rsidRPr="00C126FA">
        <w:t xml:space="preserve"> </w:t>
      </w:r>
    </w:p>
    <w:p w14:paraId="3F40DDB5" w14:textId="77777777" w:rsidR="00EA55F1" w:rsidRPr="00311583" w:rsidRDefault="00EA55F1" w:rsidP="00996B9D">
      <w:pPr>
        <w:pStyle w:val="BodyText"/>
      </w:pPr>
    </w:p>
    <w:p w14:paraId="243C0C38" w14:textId="130B9EFA" w:rsidR="0000581A" w:rsidRDefault="0000581A" w:rsidP="0000581A">
      <w:r>
        <w:t xml:space="preserve">In January 2020, the Commonwealth Government entered into a Memorandum of Understanding with the </w:t>
      </w:r>
      <w:r w:rsidR="00600B21">
        <w:t>Government</w:t>
      </w:r>
      <w:r>
        <w:t xml:space="preserve"> of New South Wales </w:t>
      </w:r>
      <w:r w:rsidR="00115C8E">
        <w:t>primarily concerning energy policy</w:t>
      </w:r>
      <w:r w:rsidR="00A01390">
        <w:t>,</w:t>
      </w:r>
      <w:r w:rsidR="00115C8E">
        <w:t xml:space="preserve"> but </w:t>
      </w:r>
      <w:r>
        <w:t xml:space="preserve">which </w:t>
      </w:r>
      <w:r w:rsidR="00115C8E">
        <w:t>also</w:t>
      </w:r>
      <w:r>
        <w:t xml:space="preserve"> allocat</w:t>
      </w:r>
      <w:r w:rsidR="00A01390">
        <w:t>ed</w:t>
      </w:r>
      <w:r>
        <w:t xml:space="preserve"> $450 million of the Climate Solutions Fund to NSW-based projects that support </w:t>
      </w:r>
      <w:r w:rsidRPr="005B2EAA">
        <w:t>businesses, farmers and land managers to take practical, low cost abatement actions</w:t>
      </w:r>
      <w:r>
        <w:t xml:space="preserve"> (</w:t>
      </w:r>
      <w:r w:rsidRPr="00E30227">
        <w:t>Energy NSW 2020</w:t>
      </w:r>
      <w:r>
        <w:t xml:space="preserve">). The extent to which these will be ERF projects is unclear. The Authority understands that </w:t>
      </w:r>
      <w:r w:rsidR="00A62B21">
        <w:t xml:space="preserve">the Commonwealth is negotiating </w:t>
      </w:r>
      <w:r w:rsidR="00A01390">
        <w:t>similar</w:t>
      </w:r>
      <w:r w:rsidR="00115C8E">
        <w:t xml:space="preserve"> agreements with other states</w:t>
      </w:r>
      <w:r w:rsidR="00D41505">
        <w:t>,</w:t>
      </w:r>
      <w:r w:rsidR="00115C8E">
        <w:t xml:space="preserve"> but the details remain to be seen.</w:t>
      </w:r>
      <w:r w:rsidR="007E124A" w:rsidRPr="007E124A">
        <w:t xml:space="preserve"> </w:t>
      </w:r>
      <w:r w:rsidR="007E124A">
        <w:t xml:space="preserve">The Government has also recently announced that $95.4 million of the Climate Solutions Fund will be directed to a Technology Co-Investment Fund that was recommended in the King Review </w:t>
      </w:r>
      <w:r w:rsidR="007E124A" w:rsidRPr="00E30227">
        <w:t>(Taylor</w:t>
      </w:r>
      <w:r w:rsidR="008577F6" w:rsidRPr="00E30227">
        <w:t xml:space="preserve"> A</w:t>
      </w:r>
      <w:r w:rsidR="007E124A" w:rsidRPr="00E30227">
        <w:t xml:space="preserve"> 2020</w:t>
      </w:r>
      <w:r w:rsidR="007E124A">
        <w:t xml:space="preserve">). While these announcements are welcome, </w:t>
      </w:r>
      <w:r w:rsidR="00115C8E">
        <w:t xml:space="preserve">such </w:t>
      </w:r>
      <w:r w:rsidR="007E124A">
        <w:t>reallocation of funds to other abatement activities creates uncertainty around the future demand for ACCUs from Government purchasing.</w:t>
      </w:r>
    </w:p>
    <w:p w14:paraId="3AD080F4" w14:textId="70ADCE90" w:rsidR="007A0905" w:rsidRPr="003C0484" w:rsidRDefault="0000581A" w:rsidP="007A0905">
      <w:r w:rsidRPr="00020DD5">
        <w:t>A number of peak bodies and organisations asked for a bolder direction to be set by Government</w:t>
      </w:r>
      <w:r>
        <w:t xml:space="preserve"> through</w:t>
      </w:r>
      <w:r w:rsidRPr="00020DD5">
        <w:t xml:space="preserve"> </w:t>
      </w:r>
      <w:r>
        <w:t>focussing on v</w:t>
      </w:r>
      <w:r w:rsidRPr="00020DD5">
        <w:t xml:space="preserve">olume </w:t>
      </w:r>
      <w:r>
        <w:t>(</w:t>
      </w:r>
      <w:r>
        <w:rPr>
          <w:rFonts w:cs="Arial"/>
        </w:rPr>
        <w:t>AGL Energy Ltd, ACF, Austral</w:t>
      </w:r>
      <w:r w:rsidR="007A0905">
        <w:rPr>
          <w:rFonts w:cs="Arial"/>
        </w:rPr>
        <w:t>ian Energy Council). AGL stated:</w:t>
      </w:r>
      <w:r w:rsidR="007A0905" w:rsidRPr="007A0905">
        <w:rPr>
          <w:b/>
          <w:bCs/>
        </w:rPr>
        <w:t xml:space="preserve"> </w:t>
      </w:r>
      <w:r w:rsidR="00CB1557">
        <w:rPr>
          <w:b/>
          <w:bCs/>
        </w:rPr>
        <w:t>‘</w:t>
      </w:r>
      <w:r w:rsidR="007A0905" w:rsidRPr="007A0905">
        <w:rPr>
          <w:rStyle w:val="Strong"/>
          <w:b w:val="0"/>
          <w:bCs w:val="0"/>
          <w:i/>
        </w:rPr>
        <w:t>In the near term, setting annual ERF volume targets linked to Australia’s Paris commitments would be one way to improve confidence in the market (demand) trajectory and encourage wider project registrations</w:t>
      </w:r>
      <w:r w:rsidR="00CB1557">
        <w:rPr>
          <w:rStyle w:val="Strong"/>
          <w:b w:val="0"/>
          <w:bCs w:val="0"/>
        </w:rPr>
        <w:t>’</w:t>
      </w:r>
      <w:r w:rsidR="007A0905">
        <w:rPr>
          <w:rStyle w:val="Strong"/>
          <w:b w:val="0"/>
          <w:bCs w:val="0"/>
        </w:rPr>
        <w:t xml:space="preserve"> (AGL submission</w:t>
      </w:r>
      <w:r w:rsidR="007E4A3D">
        <w:rPr>
          <w:rStyle w:val="Strong"/>
          <w:b w:val="0"/>
          <w:bCs w:val="0"/>
        </w:rPr>
        <w:t xml:space="preserve"> p.1</w:t>
      </w:r>
      <w:r w:rsidR="007A0905" w:rsidRPr="003C0484">
        <w:rPr>
          <w:rStyle w:val="Strong"/>
          <w:b w:val="0"/>
          <w:bCs w:val="0"/>
        </w:rPr>
        <w:t xml:space="preserve">). </w:t>
      </w:r>
      <w:r w:rsidR="006F7DED" w:rsidRPr="0002422E">
        <w:rPr>
          <w:rStyle w:val="Strong"/>
          <w:b w:val="0"/>
        </w:rPr>
        <w:t xml:space="preserve">The CMI notes the importance of a clear demand signal to incentivise uptake outside of the auction contracting process (CMI </w:t>
      </w:r>
      <w:r w:rsidR="00763DF9">
        <w:rPr>
          <w:rStyle w:val="Strong"/>
          <w:b w:val="0"/>
        </w:rPr>
        <w:t>submission</w:t>
      </w:r>
      <w:r w:rsidR="006F7DED" w:rsidRPr="0002422E">
        <w:rPr>
          <w:rStyle w:val="Strong"/>
          <w:b w:val="0"/>
        </w:rPr>
        <w:t>).</w:t>
      </w:r>
    </w:p>
    <w:p w14:paraId="36FF803C" w14:textId="7911611F" w:rsidR="00A01390" w:rsidRPr="0002422E" w:rsidRDefault="00A01390" w:rsidP="0000581A">
      <w:r w:rsidRPr="0002422E">
        <w:t>The Authority considers there are some relatively straightforward steps the Government could take to provide a more transparent and strengthened demand signal to the market</w:t>
      </w:r>
      <w:r w:rsidR="00D919D4" w:rsidRPr="0002422E">
        <w:t>,</w:t>
      </w:r>
      <w:r w:rsidRPr="0002422E">
        <w:t xml:space="preserve"> </w:t>
      </w:r>
      <w:r w:rsidR="00D919D4" w:rsidRPr="0002422E">
        <w:t xml:space="preserve">leveraging existing emissions projections and budgetary processes and </w:t>
      </w:r>
      <w:r w:rsidRPr="0002422E">
        <w:t>without compromising the pursuit of least-cost abatement.</w:t>
      </w:r>
    </w:p>
    <w:p w14:paraId="180B9D5D" w14:textId="4FA4B65A" w:rsidR="00994A05" w:rsidRPr="003C0484" w:rsidRDefault="001C3B78" w:rsidP="0000581A">
      <w:pPr>
        <w:rPr>
          <w:rStyle w:val="Strong"/>
          <w:b w:val="0"/>
          <w:bCs w:val="0"/>
        </w:rPr>
      </w:pPr>
      <w:r w:rsidRPr="0002422E">
        <w:t xml:space="preserve">Including </w:t>
      </w:r>
      <w:r w:rsidR="006F7DED" w:rsidRPr="0002422E">
        <w:t xml:space="preserve">in the Government’s annual emissions projections </w:t>
      </w:r>
      <w:r w:rsidRPr="0002422E">
        <w:t xml:space="preserve">an estimate of the ERF’s overall contribution to the achievement of </w:t>
      </w:r>
      <w:r w:rsidR="00A01390" w:rsidRPr="0002422E">
        <w:t>Australia</w:t>
      </w:r>
      <w:r w:rsidRPr="0002422E">
        <w:t xml:space="preserve">’s 2030 emissions reduction target – not just from </w:t>
      </w:r>
      <w:r w:rsidRPr="00526AF0">
        <w:t>Government</w:t>
      </w:r>
      <w:r w:rsidRPr="0002422E">
        <w:t xml:space="preserve"> purchasing but </w:t>
      </w:r>
      <w:r w:rsidR="003C0484">
        <w:t xml:space="preserve">also from </w:t>
      </w:r>
      <w:r w:rsidR="003C0484" w:rsidRPr="003C0484">
        <w:t xml:space="preserve">state and territory programs, </w:t>
      </w:r>
      <w:r w:rsidR="003C0484">
        <w:t xml:space="preserve">Safeguard Mechanism </w:t>
      </w:r>
      <w:r w:rsidR="003C0484" w:rsidRPr="003C0484">
        <w:t>compliance and voluntary market</w:t>
      </w:r>
      <w:r w:rsidR="003C0484">
        <w:t xml:space="preserve"> purchases </w:t>
      </w:r>
      <w:r w:rsidRPr="0002422E">
        <w:t>– would provide a s</w:t>
      </w:r>
      <w:r w:rsidR="00D919D4" w:rsidRPr="0002422E">
        <w:t>ense</w:t>
      </w:r>
      <w:r w:rsidRPr="0002422E">
        <w:t xml:space="preserve"> to the market of the </w:t>
      </w:r>
      <w:r w:rsidR="006F7DED" w:rsidRPr="0002422E">
        <w:t xml:space="preserve">medium-term </w:t>
      </w:r>
      <w:r w:rsidRPr="0002422E">
        <w:t xml:space="preserve">opportunities </w:t>
      </w:r>
      <w:r w:rsidR="00D919D4" w:rsidRPr="0002422E">
        <w:t>under</w:t>
      </w:r>
      <w:r w:rsidRPr="0002422E">
        <w:t xml:space="preserve"> the ERF. </w:t>
      </w:r>
      <w:r w:rsidR="006F7DED" w:rsidRPr="00526AF0">
        <w:t>A</w:t>
      </w:r>
      <w:r w:rsidR="006F7DED" w:rsidRPr="0002422E">
        <w:t xml:space="preserve"> stronger short-term demand signal could be communicated by the Government through the p</w:t>
      </w:r>
      <w:r w:rsidRPr="0002422E">
        <w:t>ublication</w:t>
      </w:r>
      <w:r w:rsidR="00DA7452" w:rsidRPr="0002422E">
        <w:t>,</w:t>
      </w:r>
      <w:r w:rsidRPr="0002422E">
        <w:t xml:space="preserve"> </w:t>
      </w:r>
      <w:r w:rsidR="006F7DED" w:rsidRPr="0002422E">
        <w:t>several years ahead</w:t>
      </w:r>
      <w:r w:rsidR="00DA7452" w:rsidRPr="0002422E">
        <w:t>,</w:t>
      </w:r>
      <w:r w:rsidR="006F7DED" w:rsidRPr="0002422E">
        <w:t xml:space="preserve"> of </w:t>
      </w:r>
      <w:r w:rsidRPr="0002422E">
        <w:t>a</w:t>
      </w:r>
      <w:r w:rsidR="00D919D4" w:rsidRPr="0002422E">
        <w:t xml:space="preserve">n </w:t>
      </w:r>
      <w:r w:rsidRPr="0002422E">
        <w:t xml:space="preserve">indicative range for </w:t>
      </w:r>
      <w:r w:rsidR="00D919D4" w:rsidRPr="0002422E">
        <w:t xml:space="preserve">the Government’s </w:t>
      </w:r>
      <w:r w:rsidRPr="0002422E">
        <w:t>annual purchas</w:t>
      </w:r>
      <w:r w:rsidR="00D919D4" w:rsidRPr="0002422E">
        <w:t>es of ACCUs</w:t>
      </w:r>
      <w:r w:rsidR="006F7DED" w:rsidRPr="0002422E">
        <w:t xml:space="preserve">. </w:t>
      </w:r>
      <w:r w:rsidR="006F7DED" w:rsidRPr="00526AF0">
        <w:t xml:space="preserve">This would </w:t>
      </w:r>
      <w:r w:rsidR="00D919D4" w:rsidRPr="00526AF0">
        <w:t>assist the market</w:t>
      </w:r>
      <w:r w:rsidR="006F7DED" w:rsidRPr="00526AF0">
        <w:t xml:space="preserve"> </w:t>
      </w:r>
      <w:r w:rsidR="00F5308D">
        <w:t xml:space="preserve">in </w:t>
      </w:r>
      <w:r w:rsidR="006F7DED" w:rsidRPr="00526AF0">
        <w:t>plan</w:t>
      </w:r>
      <w:r w:rsidR="00F5308D">
        <w:t>ning</w:t>
      </w:r>
      <w:r w:rsidR="006F7DED" w:rsidRPr="00526AF0">
        <w:t xml:space="preserve"> to meet the demand for ACCUs</w:t>
      </w:r>
      <w:r w:rsidR="0032258F" w:rsidRPr="00526AF0">
        <w:t>, particularly while the Government remains the dominant purchaser</w:t>
      </w:r>
      <w:r w:rsidR="00FE2BF7" w:rsidRPr="003C0484">
        <w:t>.</w:t>
      </w:r>
      <w:r w:rsidR="00E42D77" w:rsidRPr="002F39FA">
        <w:rPr>
          <w:rStyle w:val="Strong"/>
          <w:b w:val="0"/>
        </w:rPr>
        <w:t xml:space="preserve"> </w:t>
      </w:r>
      <w:r w:rsidR="003C0484" w:rsidRPr="00526AF0">
        <w:rPr>
          <w:rStyle w:val="Strong"/>
          <w:b w:val="0"/>
        </w:rPr>
        <w:t>T</w:t>
      </w:r>
      <w:r w:rsidR="00F87BAB" w:rsidRPr="00526AF0">
        <w:rPr>
          <w:rStyle w:val="Strong"/>
          <w:b w:val="0"/>
        </w:rPr>
        <w:t>o</w:t>
      </w:r>
      <w:r w:rsidR="00F87BAB" w:rsidRPr="0002422E">
        <w:rPr>
          <w:rStyle w:val="Strong"/>
          <w:b w:val="0"/>
        </w:rPr>
        <w:t xml:space="preserve"> </w:t>
      </w:r>
      <w:r w:rsidR="00BB163E" w:rsidRPr="0002422E">
        <w:rPr>
          <w:rStyle w:val="Strong"/>
          <w:b w:val="0"/>
        </w:rPr>
        <w:t xml:space="preserve">help </w:t>
      </w:r>
      <w:r w:rsidR="00F87BAB" w:rsidRPr="0002422E">
        <w:rPr>
          <w:rStyle w:val="Strong"/>
          <w:b w:val="0"/>
        </w:rPr>
        <w:t>overcome the uncertainty around ongoing funding levels for the ERF, within its overall budget allocation to the ERF the Government could make a firm policy commitment to leav</w:t>
      </w:r>
      <w:r w:rsidR="00545849" w:rsidRPr="0002422E">
        <w:rPr>
          <w:rStyle w:val="Strong"/>
          <w:b w:val="0"/>
        </w:rPr>
        <w:t>e</w:t>
      </w:r>
      <w:r w:rsidR="00F87BAB" w:rsidRPr="0002422E">
        <w:rPr>
          <w:rStyle w:val="Strong"/>
          <w:b w:val="0"/>
        </w:rPr>
        <w:t xml:space="preserve"> untouched </w:t>
      </w:r>
      <w:r w:rsidR="00545849" w:rsidRPr="0002422E">
        <w:rPr>
          <w:rStyle w:val="Strong"/>
          <w:b w:val="0"/>
        </w:rPr>
        <w:t xml:space="preserve">ERF funding in four year </w:t>
      </w:r>
      <w:r w:rsidR="00BB163E" w:rsidRPr="0002422E">
        <w:rPr>
          <w:rStyle w:val="Strong"/>
          <w:b w:val="0"/>
        </w:rPr>
        <w:t xml:space="preserve">rolling </w:t>
      </w:r>
      <w:r w:rsidR="00545849" w:rsidRPr="00526AF0">
        <w:rPr>
          <w:rStyle w:val="Strong"/>
          <w:b w:val="0"/>
        </w:rPr>
        <w:t>blocks</w:t>
      </w:r>
      <w:r w:rsidR="00BB163E" w:rsidRPr="0002422E">
        <w:rPr>
          <w:rStyle w:val="Strong"/>
          <w:b w:val="0"/>
        </w:rPr>
        <w:t xml:space="preserve"> – while retaining flexibility for the Regulator </w:t>
      </w:r>
      <w:r w:rsidR="003C0484">
        <w:rPr>
          <w:rStyle w:val="Strong"/>
          <w:b w:val="0"/>
        </w:rPr>
        <w:t xml:space="preserve">to </w:t>
      </w:r>
      <w:r w:rsidR="00BB163E" w:rsidRPr="0002422E">
        <w:rPr>
          <w:rStyle w:val="Strong"/>
          <w:b w:val="0"/>
        </w:rPr>
        <w:t>vary the amount it commits to ACCU purchases each year in response to market conditions.</w:t>
      </w:r>
    </w:p>
    <w:p w14:paraId="2D48BE95" w14:textId="73A756CD" w:rsidR="00E330EF" w:rsidRDefault="00E330EF" w:rsidP="00E330EF"/>
    <w:tbl>
      <w:tblPr>
        <w:tblStyle w:val="TableGrid"/>
        <w:tblW w:w="0" w:type="auto"/>
        <w:tblLook w:val="04A0" w:firstRow="1" w:lastRow="0" w:firstColumn="1" w:lastColumn="0" w:noHBand="0" w:noVBand="1"/>
      </w:tblPr>
      <w:tblGrid>
        <w:gridCol w:w="9016"/>
      </w:tblGrid>
      <w:tr w:rsidR="00E330EF" w14:paraId="6F128096" w14:textId="77777777" w:rsidTr="00E330EF">
        <w:tc>
          <w:tcPr>
            <w:tcW w:w="9016" w:type="dxa"/>
          </w:tcPr>
          <w:p w14:paraId="15FFD4F0" w14:textId="6E1F5566" w:rsidR="00E330EF" w:rsidRPr="00E330EF" w:rsidRDefault="00E330EF" w:rsidP="00996B9D">
            <w:pPr>
              <w:pStyle w:val="BodyText"/>
            </w:pPr>
          </w:p>
          <w:p w14:paraId="5E0482EB" w14:textId="77777777" w:rsidR="00E330EF" w:rsidRPr="00E330EF" w:rsidRDefault="00E330EF" w:rsidP="00E330EF">
            <w:pPr>
              <w:rPr>
                <w:rFonts w:eastAsia="Calibri" w:cs="Times New Roman"/>
                <w:b/>
              </w:rPr>
            </w:pPr>
            <w:r w:rsidRPr="00E330EF">
              <w:rPr>
                <w:rFonts w:eastAsia="Calibri" w:cs="Times New Roman"/>
                <w:b/>
              </w:rPr>
              <w:t>Recommendation 1</w:t>
            </w:r>
          </w:p>
          <w:p w14:paraId="21635B48" w14:textId="77777777" w:rsidR="009E11F5" w:rsidRDefault="009E11F5" w:rsidP="00E908B0">
            <w:pPr>
              <w:rPr>
                <w:rFonts w:eastAsia="Calibri" w:cs="Arial"/>
                <w:b/>
                <w:szCs w:val="20"/>
              </w:rPr>
            </w:pPr>
          </w:p>
          <w:p w14:paraId="175D530D" w14:textId="77777777" w:rsidR="00D16410" w:rsidRPr="00D4477B" w:rsidRDefault="00D16410" w:rsidP="00D16410">
            <w:pPr>
              <w:rPr>
                <w:rFonts w:eastAsia="Calibri" w:cs="Arial"/>
                <w:b/>
                <w:szCs w:val="20"/>
              </w:rPr>
            </w:pPr>
            <w:r w:rsidRPr="00D4477B">
              <w:rPr>
                <w:rFonts w:eastAsia="Calibri" w:cs="Arial"/>
                <w:b/>
                <w:szCs w:val="20"/>
              </w:rPr>
              <w:t>To strengthen the market demand signal for ACCUs, the Government:</w:t>
            </w:r>
          </w:p>
          <w:p w14:paraId="7247DDD4" w14:textId="77777777" w:rsidR="00D16410" w:rsidRPr="00D4477B" w:rsidRDefault="00D16410" w:rsidP="00D16410">
            <w:pPr>
              <w:rPr>
                <w:rFonts w:eastAsia="Calibri" w:cs="Arial"/>
                <w:b/>
                <w:szCs w:val="20"/>
              </w:rPr>
            </w:pPr>
          </w:p>
          <w:p w14:paraId="4A16127D" w14:textId="77777777" w:rsidR="00D16410" w:rsidRPr="00D4477B" w:rsidRDefault="00D16410" w:rsidP="00004274">
            <w:pPr>
              <w:pStyle w:val="ListParagraph"/>
              <w:numPr>
                <w:ilvl w:val="0"/>
                <w:numId w:val="38"/>
              </w:numPr>
              <w:spacing w:after="160"/>
              <w:rPr>
                <w:rFonts w:eastAsia="Calibri" w:cs="Arial"/>
                <w:b/>
                <w:szCs w:val="20"/>
              </w:rPr>
            </w:pPr>
            <w:r w:rsidRPr="00D4477B">
              <w:rPr>
                <w:rFonts w:eastAsia="Calibri" w:cs="Arial"/>
                <w:b/>
                <w:szCs w:val="20"/>
              </w:rPr>
              <w:t>incorporate within its annual emissions projections an estimate of the total contribution the ERF is projected to make to emissions reductions to 2030 through all potential sources of demand for ACCUs (e.g. Government purchasing, state and territory programs, compliance and voluntary markets)</w:t>
            </w:r>
          </w:p>
          <w:p w14:paraId="4BD024A5" w14:textId="77777777" w:rsidR="00D16410" w:rsidRPr="00D4477B" w:rsidRDefault="00D16410" w:rsidP="00004274">
            <w:pPr>
              <w:pStyle w:val="ListParagraph"/>
              <w:numPr>
                <w:ilvl w:val="0"/>
                <w:numId w:val="38"/>
              </w:numPr>
              <w:spacing w:after="160"/>
              <w:rPr>
                <w:rFonts w:eastAsia="Calibri" w:cs="Arial"/>
                <w:b/>
                <w:szCs w:val="20"/>
              </w:rPr>
            </w:pPr>
            <w:r w:rsidRPr="00D4477B">
              <w:rPr>
                <w:rFonts w:eastAsia="Calibri" w:cs="Arial"/>
                <w:b/>
                <w:szCs w:val="20"/>
              </w:rPr>
              <w:t>publish an indicative range for annual Government purchases of ACCUs for four years ahead, to be updated each year</w:t>
            </w:r>
          </w:p>
          <w:p w14:paraId="329A9352" w14:textId="2D36ED6A" w:rsidR="00E330EF" w:rsidRPr="0068006E" w:rsidRDefault="00D16410" w:rsidP="0068006E">
            <w:pPr>
              <w:pStyle w:val="ListParagraph"/>
              <w:numPr>
                <w:ilvl w:val="0"/>
                <w:numId w:val="38"/>
              </w:numPr>
              <w:spacing w:after="160"/>
              <w:rPr>
                <w:rFonts w:eastAsia="Calibri" w:cs="Arial"/>
                <w:b/>
                <w:szCs w:val="20"/>
              </w:rPr>
            </w:pPr>
            <w:r w:rsidRPr="00D4477B">
              <w:rPr>
                <w:rFonts w:eastAsia="Calibri" w:cs="Arial"/>
                <w:b/>
                <w:szCs w:val="20"/>
              </w:rPr>
              <w:t>commit to maintaining announced aggregate funding levels for the ERF in rolling four year blocks</w:t>
            </w:r>
            <w:r w:rsidRPr="00E30227">
              <w:rPr>
                <w:rFonts w:eastAsia="Calibri" w:cs="Arial"/>
                <w:b/>
                <w:szCs w:val="20"/>
              </w:rPr>
              <w:t>.</w:t>
            </w:r>
          </w:p>
        </w:tc>
      </w:tr>
    </w:tbl>
    <w:p w14:paraId="55213092" w14:textId="77777777" w:rsidR="00322782" w:rsidRDefault="00322782" w:rsidP="00FC1CD3"/>
    <w:p w14:paraId="1B241E10" w14:textId="2C50BC29" w:rsidR="00322782" w:rsidRDefault="00322782" w:rsidP="00322782">
      <w:pPr>
        <w:spacing w:line="259" w:lineRule="auto"/>
      </w:pPr>
      <w:r>
        <w:br w:type="page"/>
      </w:r>
    </w:p>
    <w:p w14:paraId="019FB5AD" w14:textId="4E133F90" w:rsidR="0000581A" w:rsidRPr="0068006E" w:rsidRDefault="00EB5749" w:rsidP="00FE3F8C">
      <w:pPr>
        <w:pStyle w:val="Heading2"/>
        <w:numPr>
          <w:ilvl w:val="1"/>
          <w:numId w:val="16"/>
        </w:numPr>
        <w:rPr>
          <w:color w:val="0070AE" w:themeColor="accent2" w:themeTint="BF"/>
        </w:rPr>
      </w:pPr>
      <w:bookmarkStart w:id="1611" w:name="_Toc49508942"/>
      <w:bookmarkStart w:id="1612" w:name="_Toc49519752"/>
      <w:bookmarkStart w:id="1613" w:name="_Toc49521470"/>
      <w:bookmarkStart w:id="1614" w:name="_Toc49524542"/>
      <w:bookmarkStart w:id="1615" w:name="_Toc49524680"/>
      <w:bookmarkStart w:id="1616" w:name="_Toc49527149"/>
      <w:bookmarkStart w:id="1617" w:name="_Toc49527987"/>
      <w:bookmarkStart w:id="1618" w:name="_Toc49692139"/>
      <w:bookmarkStart w:id="1619" w:name="_Toc49710512"/>
      <w:bookmarkStart w:id="1620" w:name="_Toc49710684"/>
      <w:bookmarkStart w:id="1621" w:name="_Toc49713237"/>
      <w:bookmarkStart w:id="1622" w:name="_Toc49713439"/>
      <w:bookmarkStart w:id="1623" w:name="_Toc49776377"/>
      <w:bookmarkStart w:id="1624" w:name="_Toc49784936"/>
      <w:bookmarkStart w:id="1625" w:name="_Toc49786262"/>
      <w:bookmarkStart w:id="1626" w:name="_Toc49787311"/>
      <w:bookmarkStart w:id="1627" w:name="_Toc49787366"/>
      <w:bookmarkStart w:id="1628" w:name="_Toc49850680"/>
      <w:bookmarkStart w:id="1629" w:name="_Toc49852922"/>
      <w:bookmarkStart w:id="1630" w:name="_Toc49854339"/>
      <w:bookmarkStart w:id="1631" w:name="_Toc49856935"/>
      <w:bookmarkStart w:id="1632" w:name="_Toc49858251"/>
      <w:bookmarkStart w:id="1633" w:name="_Toc49858306"/>
      <w:bookmarkStart w:id="1634" w:name="_Toc49863008"/>
      <w:bookmarkStart w:id="1635" w:name="_Toc49867731"/>
      <w:bookmarkStart w:id="1636" w:name="_Toc49870567"/>
      <w:bookmarkStart w:id="1637" w:name="_Toc49871310"/>
      <w:bookmarkStart w:id="1638" w:name="_Toc49871990"/>
      <w:bookmarkStart w:id="1639" w:name="_Toc49872543"/>
      <w:bookmarkStart w:id="1640" w:name="_Toc50027755"/>
      <w:bookmarkStart w:id="1641" w:name="_Toc50029449"/>
      <w:bookmarkStart w:id="1642" w:name="_Toc50043880"/>
      <w:bookmarkStart w:id="1643" w:name="_Toc50057731"/>
      <w:bookmarkStart w:id="1644" w:name="_Toc50553608"/>
      <w:bookmarkStart w:id="1645" w:name="_Toc50555371"/>
      <w:bookmarkStart w:id="1646" w:name="_Toc50559831"/>
      <w:bookmarkStart w:id="1647" w:name="_Toc50559884"/>
      <w:bookmarkStart w:id="1648" w:name="_Toc50563818"/>
      <w:bookmarkStart w:id="1649" w:name="_Toc50711371"/>
      <w:bookmarkStart w:id="1650" w:name="_Toc50720953"/>
      <w:bookmarkStart w:id="1651" w:name="_Toc50730677"/>
      <w:bookmarkStart w:id="1652" w:name="_Toc50734903"/>
      <w:bookmarkStart w:id="1653" w:name="_Toc50735506"/>
      <w:bookmarkStart w:id="1654" w:name="_Toc50905525"/>
      <w:bookmarkStart w:id="1655" w:name="_Toc51587010"/>
      <w:bookmarkStart w:id="1656" w:name="_Toc51594870"/>
      <w:bookmarkStart w:id="1657" w:name="_Toc51599473"/>
      <w:bookmarkStart w:id="1658" w:name="_Toc51613509"/>
      <w:bookmarkStart w:id="1659" w:name="_Toc51669620"/>
      <w:bookmarkStart w:id="1660" w:name="_Toc51669715"/>
      <w:bookmarkStart w:id="1661" w:name="_Toc51672864"/>
      <w:bookmarkStart w:id="1662" w:name="_Toc51673914"/>
      <w:bookmarkStart w:id="1663" w:name="_Toc51680731"/>
      <w:bookmarkStart w:id="1664" w:name="_Toc51683260"/>
      <w:bookmarkStart w:id="1665" w:name="_Toc51685996"/>
      <w:bookmarkStart w:id="1666" w:name="_Toc51687734"/>
      <w:bookmarkStart w:id="1667" w:name="_Toc51687878"/>
      <w:bookmarkStart w:id="1668" w:name="_Toc51705756"/>
      <w:bookmarkStart w:id="1669" w:name="_Toc51770702"/>
      <w:bookmarkStart w:id="1670" w:name="_Toc51770888"/>
      <w:bookmarkStart w:id="1671" w:name="_Toc52359231"/>
      <w:bookmarkStart w:id="1672" w:name="_Toc52367264"/>
      <w:bookmarkStart w:id="1673" w:name="_Toc52371604"/>
      <w:bookmarkStart w:id="1674" w:name="_Toc52374752"/>
      <w:bookmarkStart w:id="1675" w:name="_Toc52377290"/>
      <w:bookmarkStart w:id="1676" w:name="_Toc52379212"/>
      <w:bookmarkStart w:id="1677" w:name="_Toc52379567"/>
      <w:bookmarkStart w:id="1678" w:name="_Toc52532777"/>
      <w:bookmarkStart w:id="1679" w:name="_Toc52535672"/>
      <w:bookmarkStart w:id="1680" w:name="_Toc52537490"/>
      <w:bookmarkStart w:id="1681" w:name="_Toc52544053"/>
      <w:bookmarkStart w:id="1682" w:name="_Toc52545657"/>
      <w:bookmarkStart w:id="1683" w:name="_Toc52547889"/>
      <w:bookmarkStart w:id="1684" w:name="_Toc52548578"/>
      <w:bookmarkStart w:id="1685" w:name="_Toc52890870"/>
      <w:bookmarkStart w:id="1686" w:name="_Toc52895073"/>
      <w:bookmarkStart w:id="1687" w:name="_Toc52896597"/>
      <w:bookmarkStart w:id="1688" w:name="_Toc52977774"/>
      <w:bookmarkStart w:id="1689" w:name="_Toc53129460"/>
      <w:r w:rsidRPr="0068006E">
        <w:rPr>
          <w:color w:val="0070AE" w:themeColor="accent2" w:themeTint="BF"/>
        </w:rPr>
        <w:t>C</w:t>
      </w:r>
      <w:bookmarkEnd w:id="1611"/>
      <w:bookmarkEnd w:id="1612"/>
      <w:bookmarkEnd w:id="1613"/>
      <w:r w:rsidRPr="0068006E">
        <w:rPr>
          <w:color w:val="0070AE" w:themeColor="accent2" w:themeTint="BF"/>
        </w:rPr>
        <w:t>ompliance market</w:t>
      </w:r>
      <w:r w:rsidR="0000581A" w:rsidRPr="0068006E">
        <w:rPr>
          <w:color w:val="0070AE" w:themeColor="accent2" w:themeTint="BF"/>
        </w:rPr>
        <w:t xml:space="preserve"> demand</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72012F06" w14:textId="07529BAE" w:rsidR="00F70BC1" w:rsidRDefault="00087F91" w:rsidP="00F67173">
      <w:r>
        <w:t xml:space="preserve">The </w:t>
      </w:r>
      <w:r w:rsidR="00EF3364">
        <w:t>Safeguard Mechanism</w:t>
      </w:r>
      <w:r w:rsidR="00B64D81">
        <w:t xml:space="preserve"> </w:t>
      </w:r>
      <w:r>
        <w:t>is</w:t>
      </w:r>
      <w:r w:rsidR="00F70BC1">
        <w:t xml:space="preserve"> currently </w:t>
      </w:r>
      <w:r>
        <w:t xml:space="preserve">the </w:t>
      </w:r>
      <w:r w:rsidR="00122828">
        <w:t>primary</w:t>
      </w:r>
      <w:r w:rsidRPr="00F67173">
        <w:t xml:space="preserve"> </w:t>
      </w:r>
      <w:r w:rsidR="00122828">
        <w:t xml:space="preserve">mechanism for </w:t>
      </w:r>
      <w:r w:rsidR="00F70BC1">
        <w:t>compliance market demand for ACCUs</w:t>
      </w:r>
      <w:r w:rsidR="00B54869">
        <w:t xml:space="preserve"> (see below)</w:t>
      </w:r>
      <w:r w:rsidR="00F70BC1">
        <w:t xml:space="preserve">. </w:t>
      </w:r>
    </w:p>
    <w:p w14:paraId="393EDCEE" w14:textId="53E75C18" w:rsidR="007A0905" w:rsidRPr="007103A8" w:rsidRDefault="00122828" w:rsidP="00A06393">
      <w:r>
        <w:t>However, r</w:t>
      </w:r>
      <w:r w:rsidR="00087F91" w:rsidRPr="0029049E">
        <w:t>egulatory requirements</w:t>
      </w:r>
      <w:r w:rsidR="00087F91">
        <w:t>, such as those linked to development approvals, could create a significant market for ACCUs going forward. For example, t</w:t>
      </w:r>
      <w:r w:rsidR="00087F91" w:rsidRPr="0029049E">
        <w:t>he Western Australian Environment Protection Authority</w:t>
      </w:r>
      <w:r w:rsidR="00087F91">
        <w:t xml:space="preserve">’s </w:t>
      </w:r>
      <w:r w:rsidR="00087F91" w:rsidRPr="0029049E">
        <w:t>guidelines on how it will consider greenhouse gas emissions in the environmental impact assessment process for development proposals</w:t>
      </w:r>
      <w:r w:rsidR="00087F91">
        <w:t xml:space="preserve"> </w:t>
      </w:r>
      <w:r w:rsidR="00087F91" w:rsidRPr="0029049E">
        <w:t xml:space="preserve">allow for offsetting of emissions </w:t>
      </w:r>
      <w:r w:rsidR="00087F91">
        <w:t>with</w:t>
      </w:r>
      <w:r w:rsidR="00087F91" w:rsidRPr="0029049E">
        <w:t xml:space="preserve"> ACCUs and some other </w:t>
      </w:r>
      <w:r w:rsidR="00087F91">
        <w:t xml:space="preserve">carbon </w:t>
      </w:r>
      <w:r w:rsidR="00087F91" w:rsidRPr="0029049E">
        <w:t>units (</w:t>
      </w:r>
      <w:r w:rsidR="00087F91" w:rsidRPr="00EB0A58">
        <w:t>WA EPA 2020</w:t>
      </w:r>
      <w:r w:rsidR="00087F91" w:rsidRPr="0029049E">
        <w:t xml:space="preserve">). </w:t>
      </w:r>
      <w:r w:rsidR="00087F91">
        <w:t>The guidelines state that proposals exceeding 100,000 tonnes CO</w:t>
      </w:r>
      <w:r w:rsidR="00087F91" w:rsidRPr="00E330EF">
        <w:rPr>
          <w:vertAlign w:val="subscript"/>
        </w:rPr>
        <w:t>2</w:t>
      </w:r>
      <w:r w:rsidR="00087F91">
        <w:t xml:space="preserve">-e (scope 1 emissions) annually will be required to establish a plan to avoid, reduce and offset emissions towards the aspiration of net zero emissions by 2050 </w:t>
      </w:r>
      <w:r w:rsidR="000501D8">
        <w:t>(</w:t>
      </w:r>
      <w:r w:rsidR="000501D8" w:rsidRPr="00EB0A58">
        <w:t>WA EPA 2020</w:t>
      </w:r>
      <w:r w:rsidR="000501D8">
        <w:t xml:space="preserve">). </w:t>
      </w:r>
    </w:p>
    <w:p w14:paraId="1AEDBB1E" w14:textId="23B31F03" w:rsidR="0000581A" w:rsidRPr="0068006E" w:rsidRDefault="0000581A" w:rsidP="0000581A">
      <w:pPr>
        <w:pStyle w:val="Heading3"/>
        <w:rPr>
          <w:i/>
          <w:color w:val="0070AE" w:themeColor="accent2" w:themeTint="BF"/>
        </w:rPr>
      </w:pPr>
      <w:r w:rsidRPr="0068006E">
        <w:rPr>
          <w:i/>
          <w:color w:val="0070AE" w:themeColor="accent2" w:themeTint="BF"/>
        </w:rPr>
        <w:t xml:space="preserve">The </w:t>
      </w:r>
      <w:r w:rsidR="00EF3364" w:rsidRPr="0068006E">
        <w:rPr>
          <w:i/>
          <w:color w:val="0070AE" w:themeColor="accent2" w:themeTint="BF"/>
        </w:rPr>
        <w:t>Safeguard Mechanism</w:t>
      </w:r>
      <w:r w:rsidRPr="0068006E">
        <w:rPr>
          <w:i/>
          <w:color w:val="0070AE" w:themeColor="accent2" w:themeTint="BF"/>
        </w:rPr>
        <w:t xml:space="preserve"> and below-baseline crediting</w:t>
      </w:r>
    </w:p>
    <w:p w14:paraId="2D30415F" w14:textId="3F14FC03" w:rsidR="0000581A" w:rsidRDefault="0000581A" w:rsidP="0000581A">
      <w:r>
        <w:t xml:space="preserve">Under the </w:t>
      </w:r>
      <w:r w:rsidR="00EF3364">
        <w:t>Safeguard Mechanism</w:t>
      </w:r>
      <w:r>
        <w:t>, f</w:t>
      </w:r>
      <w:r w:rsidRPr="005206CA">
        <w:t xml:space="preserve">acilities that exceed their prescribed emissions baselines </w:t>
      </w:r>
      <w:r>
        <w:t xml:space="preserve">can use </w:t>
      </w:r>
      <w:r w:rsidRPr="005206CA">
        <w:t>ACCUs</w:t>
      </w:r>
      <w:r>
        <w:t xml:space="preserve"> to offset their emissions.</w:t>
      </w:r>
      <w:r w:rsidRPr="005206CA">
        <w:t xml:space="preserve"> </w:t>
      </w:r>
      <w:r>
        <w:t xml:space="preserve">The </w:t>
      </w:r>
      <w:r w:rsidR="00EF3364">
        <w:t>Safeguard Mechanism</w:t>
      </w:r>
      <w:r w:rsidR="00B64D81">
        <w:t xml:space="preserve"> </w:t>
      </w:r>
      <w:r>
        <w:t xml:space="preserve">has generated </w:t>
      </w:r>
      <w:r w:rsidR="00AF196D">
        <w:t xml:space="preserve">a small amount of </w:t>
      </w:r>
      <w:r w:rsidR="00D83049">
        <w:t xml:space="preserve">regulatory </w:t>
      </w:r>
      <w:r>
        <w:t>demand for ACCUs</w:t>
      </w:r>
      <w:r w:rsidR="00AF196D">
        <w:t xml:space="preserve"> which has </w:t>
      </w:r>
      <w:r>
        <w:t>declin</w:t>
      </w:r>
      <w:r w:rsidR="00AF196D">
        <w:t>ed</w:t>
      </w:r>
      <w:r>
        <w:t xml:space="preserve"> over the three years it has operated. In 2016-17,</w:t>
      </w:r>
      <w:r w:rsidDel="00B26BEC">
        <w:t xml:space="preserve"> </w:t>
      </w:r>
      <w:r w:rsidR="0033020B">
        <w:t>379,792</w:t>
      </w:r>
      <w:r>
        <w:t xml:space="preserve"> ACCUs were surrendered to meet </w:t>
      </w:r>
      <w:r w:rsidR="00EF3364">
        <w:t xml:space="preserve">Safeguard </w:t>
      </w:r>
      <w:r>
        <w:t xml:space="preserve">obligations, whereas in 2018-19 only </w:t>
      </w:r>
      <w:r w:rsidR="0033020B">
        <w:t>58,731</w:t>
      </w:r>
      <w:r w:rsidR="00913F14">
        <w:t> </w:t>
      </w:r>
      <w:r>
        <w:t>ACCUs were surrendered</w:t>
      </w:r>
      <w:r w:rsidR="00B74B25">
        <w:t>.</w:t>
      </w:r>
      <w:r w:rsidR="0033020B">
        <w:rPr>
          <w:rStyle w:val="FootnoteReference"/>
        </w:rPr>
        <w:footnoteReference w:id="10"/>
      </w:r>
      <w:r>
        <w:t xml:space="preserve"> This is in part because facilities are able to use multi-year monitoring periods to </w:t>
      </w:r>
      <w:r w:rsidR="00D83049">
        <w:t xml:space="preserve">allow additional time to </w:t>
      </w:r>
      <w:r>
        <w:t xml:space="preserve">comply with their prescribed baselines. </w:t>
      </w:r>
    </w:p>
    <w:p w14:paraId="6BEF5B7A" w14:textId="0A81052F" w:rsidR="001F2051" w:rsidRDefault="0000581A" w:rsidP="0000581A">
      <w:r w:rsidRPr="00B32198">
        <w:t>From 2020–21 onwards, in general, baselines will be determined on the emissions intensity of production</w:t>
      </w:r>
      <w:r>
        <w:t xml:space="preserve">, </w:t>
      </w:r>
      <w:r w:rsidRPr="002515E1">
        <w:t>although</w:t>
      </w:r>
      <w:r>
        <w:t xml:space="preserve"> </w:t>
      </w:r>
      <w:r w:rsidRPr="002515E1">
        <w:t>to help manage the administrative disruption to businesses due to C</w:t>
      </w:r>
      <w:r w:rsidR="00BD7A53">
        <w:t>OVID</w:t>
      </w:r>
      <w:r w:rsidRPr="002515E1">
        <w:t>-19</w:t>
      </w:r>
      <w:r>
        <w:t>,</w:t>
      </w:r>
      <w:r w:rsidRPr="002515E1">
        <w:t xml:space="preserve"> entities </w:t>
      </w:r>
      <w:r>
        <w:t xml:space="preserve">are being </w:t>
      </w:r>
      <w:r w:rsidRPr="002515E1">
        <w:t>given a further year to apply</w:t>
      </w:r>
      <w:r>
        <w:t xml:space="preserve"> for these baselines</w:t>
      </w:r>
      <w:r w:rsidRPr="002515E1">
        <w:t xml:space="preserve"> (</w:t>
      </w:r>
      <w:r w:rsidRPr="006F0B10">
        <w:t>CER n.d.</w:t>
      </w:r>
      <w:r w:rsidR="00B011F7">
        <w:t>a</w:t>
      </w:r>
      <w:r w:rsidRPr="002515E1">
        <w:t>).</w:t>
      </w:r>
      <w:r>
        <w:t xml:space="preserve"> These baselines will not generate demand for ACCUs unless an entity’s production becomes more emissions intensive</w:t>
      </w:r>
      <w:r w:rsidR="003478B7">
        <w:t xml:space="preserve"> and exceeds its baseline</w:t>
      </w:r>
      <w:r>
        <w:t xml:space="preserve"> </w:t>
      </w:r>
      <w:r w:rsidRPr="00E30227">
        <w:t>(CER 2020</w:t>
      </w:r>
      <w:r w:rsidR="00663FAE">
        <w:t>h</w:t>
      </w:r>
      <w:r w:rsidRPr="00E30227">
        <w:t>).</w:t>
      </w:r>
    </w:p>
    <w:p w14:paraId="784BDADC" w14:textId="4B080440" w:rsidR="00EF3364" w:rsidRPr="0085112B" w:rsidRDefault="00EF3364" w:rsidP="00EF3364">
      <w:pPr>
        <w:rPr>
          <w:lang w:val="en-US"/>
        </w:rPr>
      </w:pPr>
      <w:r>
        <w:t xml:space="preserve">In the </w:t>
      </w:r>
      <w:r w:rsidRPr="7943B309">
        <w:rPr>
          <w:i/>
        </w:rPr>
        <w:t>Prospering in a low-emissions world</w:t>
      </w:r>
      <w:r>
        <w:t xml:space="preserve"> report, the Authority recommended an enhanced Safeguard Mechanism</w:t>
      </w:r>
      <w:r w:rsidR="007D7778">
        <w:t xml:space="preserve"> to incentivise industrial abatement </w:t>
      </w:r>
      <w:r w:rsidR="00CF6592">
        <w:t>with</w:t>
      </w:r>
      <w:r w:rsidR="007D7778">
        <w:t xml:space="preserve"> declining emissions baselines and</w:t>
      </w:r>
      <w:r w:rsidR="00CF6592">
        <w:t>, once baselines are binding,</w:t>
      </w:r>
      <w:r w:rsidR="007D7778">
        <w:t xml:space="preserve"> </w:t>
      </w:r>
      <w:r w:rsidR="004B345B">
        <w:t>crediting</w:t>
      </w:r>
      <w:r w:rsidR="007D7778">
        <w:t xml:space="preserve"> </w:t>
      </w:r>
      <w:r w:rsidR="00CF6592">
        <w:t xml:space="preserve">of </w:t>
      </w:r>
      <w:r w:rsidR="007D7778">
        <w:t>over-achievement</w:t>
      </w:r>
      <w:r w:rsidR="004B345B">
        <w:t xml:space="preserve"> for use </w:t>
      </w:r>
      <w:r w:rsidR="00CF6592" w:rsidRPr="00B32198">
        <w:t>against safeguard liabilities</w:t>
      </w:r>
      <w:r w:rsidR="007D7778">
        <w:t>.</w:t>
      </w:r>
      <w:r w:rsidR="004B345B" w:rsidDel="007D7778">
        <w:t xml:space="preserve"> </w:t>
      </w:r>
      <w:r w:rsidR="00CF6592">
        <w:t>C</w:t>
      </w:r>
      <w:r w:rsidR="004B345B" w:rsidRPr="00B32198">
        <w:t xml:space="preserve">rediting of over-achievement against safeguard baselines </w:t>
      </w:r>
      <w:r w:rsidR="00CF6592">
        <w:t xml:space="preserve">would not require further additionality tests but </w:t>
      </w:r>
      <w:r w:rsidR="004B345B" w:rsidRPr="00B32198">
        <w:t>should be recognised through a new form of tradeable unit</w:t>
      </w:r>
      <w:r w:rsidR="00CF6592">
        <w:t xml:space="preserve"> </w:t>
      </w:r>
      <w:r w:rsidR="00CF6592" w:rsidRPr="00B32198">
        <w:t>eligible for use</w:t>
      </w:r>
      <w:r w:rsidR="00CF6592">
        <w:t xml:space="preserve"> within the scheme to preserve the integrity of the ACCU market</w:t>
      </w:r>
      <w:r w:rsidR="004B345B">
        <w:t>.</w:t>
      </w:r>
    </w:p>
    <w:p w14:paraId="11182B54" w14:textId="41F8F882" w:rsidR="00EF3364" w:rsidRDefault="00EF3364" w:rsidP="00EF3364">
      <w:r>
        <w:t>The Authority also recommended that Government purchasing should continue until an enhanced Safeguard Mechanism</w:t>
      </w:r>
      <w:r w:rsidR="00CF6592">
        <w:t xml:space="preserve"> with declining baselines</w:t>
      </w:r>
      <w:r>
        <w:t xml:space="preserve"> provides a strong source of demand for ACCUs (</w:t>
      </w:r>
      <w:r w:rsidR="004F267E" w:rsidRPr="009B65DB">
        <w:t>CCA</w:t>
      </w:r>
      <w:r w:rsidR="00913F14">
        <w:t> </w:t>
      </w:r>
      <w:r w:rsidR="004F267E" w:rsidRPr="009B65DB">
        <w:t>2020</w:t>
      </w:r>
      <w:r w:rsidR="004F267E">
        <w:t>a</w:t>
      </w:r>
      <w:r>
        <w:t>). This approach aims to foster a deeper and more certain market for ACCUs generated via the ERF.</w:t>
      </w:r>
    </w:p>
    <w:p w14:paraId="47CC070B" w14:textId="30DAE047" w:rsidR="00AF6D07" w:rsidRDefault="0000581A" w:rsidP="00AF6D07">
      <w:r>
        <w:t>In order to help realise abatement opportunities in industrial facilities that are not being accessed by the ERF, t</w:t>
      </w:r>
      <w:r w:rsidRPr="001B78E2">
        <w:t xml:space="preserve">he </w:t>
      </w:r>
      <w:r w:rsidR="00545E7B">
        <w:t xml:space="preserve">King </w:t>
      </w:r>
      <w:r w:rsidR="009841F1">
        <w:t>Review</w:t>
      </w:r>
      <w:r w:rsidRPr="001B78E2">
        <w:t xml:space="preserve"> has recommended</w:t>
      </w:r>
      <w:r w:rsidR="00AF6D07">
        <w:t xml:space="preserve"> a ‘below-baseline crediting arrangement’ for large facilities using the Safeguard Mechanism architecture. T</w:t>
      </w:r>
      <w:r w:rsidRPr="001B78E2">
        <w:t xml:space="preserve">he Government has agreed to establish a </w:t>
      </w:r>
      <w:r w:rsidR="00BE7C67">
        <w:t>low-emissions technology deployment incentive scheme</w:t>
      </w:r>
      <w:r w:rsidR="00BE7C67" w:rsidRPr="001B78E2">
        <w:t xml:space="preserve"> </w:t>
      </w:r>
      <w:r w:rsidR="00AF6D07">
        <w:t>to reduce emissions from Safeguard-covered facilities (</w:t>
      </w:r>
      <w:r w:rsidR="006A15D5" w:rsidRPr="003700D1">
        <w:t xml:space="preserve">Australian Government </w:t>
      </w:r>
      <w:r w:rsidR="006A15D5" w:rsidRPr="00E30227">
        <w:t>2020a</w:t>
      </w:r>
      <w:r w:rsidR="006A15D5">
        <w:t>)</w:t>
      </w:r>
      <w:r w:rsidR="00AF6D07">
        <w:t>.</w:t>
      </w:r>
    </w:p>
    <w:p w14:paraId="0E08A255" w14:textId="11EBF3FB" w:rsidR="002365A4" w:rsidRDefault="002365A4" w:rsidP="002365A4">
      <w:r>
        <w:t>The design of the low-emissions technology deployment incentive scheme is at an early stage. A key design parameter of the King Review’s recommendation is that the arrangement would not be an offsets scheme. However, the King Review recommended that Safeguard Mechanism Credits (SMCs) be provided to facilities who reduce their emissions below their Safeguard baselines, and SMCs could then be purchased and used to meet compliance obligations under the Safeguard Mechanism (</w:t>
      </w:r>
      <w:r w:rsidR="00081CD9" w:rsidRPr="009B65DB">
        <w:t>Australian Government 2020a</w:t>
      </w:r>
      <w:r w:rsidRPr="004C06B8">
        <w:t>).</w:t>
      </w:r>
      <w:r>
        <w:t xml:space="preserve"> Stakeholders raised concerns that such a market-based model could </w:t>
      </w:r>
      <w:r w:rsidRPr="009E7E38">
        <w:t xml:space="preserve">further reduce demand </w:t>
      </w:r>
      <w:r>
        <w:t>for ACCUs</w:t>
      </w:r>
      <w:r w:rsidRPr="009E7E38">
        <w:t xml:space="preserve"> </w:t>
      </w:r>
      <w:r>
        <w:t>from Safeguard entities, unless baselines also decline to increase demand and co-investment</w:t>
      </w:r>
      <w:r w:rsidR="00D535A5">
        <w:t xml:space="preserve"> (CMI, Australia Institute, ICIN, Australian Conservation Council</w:t>
      </w:r>
      <w:r w:rsidR="002A4D36">
        <w:t xml:space="preserve">). </w:t>
      </w:r>
    </w:p>
    <w:p w14:paraId="18F656C9" w14:textId="7CF47B6D" w:rsidR="004F6A72" w:rsidRDefault="001F2051" w:rsidP="00C94490">
      <w:r>
        <w:t>The King Review noted that, for industrial facilities, ‘the most viable abatement opportunities involve the early replacement and/or upgrading of industrial or energy-related equipment’ (</w:t>
      </w:r>
      <w:r w:rsidR="00077CC7" w:rsidRPr="00764422">
        <w:t xml:space="preserve">Australian Government </w:t>
      </w:r>
      <w:r w:rsidR="00077CC7" w:rsidRPr="009C394A">
        <w:rPr>
          <w:rFonts w:eastAsia="Times New Roman" w:cs="Arial"/>
          <w:szCs w:val="20"/>
          <w:lang w:eastAsia="en-AU"/>
        </w:rPr>
        <w:t>2020</w:t>
      </w:r>
      <w:r w:rsidR="00077CC7">
        <w:rPr>
          <w:rFonts w:eastAsia="Times New Roman" w:cs="Arial"/>
          <w:szCs w:val="20"/>
          <w:lang w:eastAsia="en-AU"/>
        </w:rPr>
        <w:t>b</w:t>
      </w:r>
      <w:r>
        <w:t xml:space="preserve">). </w:t>
      </w:r>
      <w:r w:rsidR="00721A41">
        <w:t xml:space="preserve">The Authority supports the objectives of the King Review to </w:t>
      </w:r>
      <w:r w:rsidR="00721A41">
        <w:rPr>
          <w:rFonts w:cs="Arial"/>
          <w:color w:val="000000"/>
          <w:szCs w:val="20"/>
        </w:rPr>
        <w:t xml:space="preserve">incentivise </w:t>
      </w:r>
      <w:r w:rsidR="00B94590">
        <w:rPr>
          <w:rFonts w:cs="Arial"/>
          <w:color w:val="000000"/>
          <w:szCs w:val="20"/>
        </w:rPr>
        <w:t>S</w:t>
      </w:r>
      <w:r w:rsidR="00721A41">
        <w:rPr>
          <w:rFonts w:cs="Arial"/>
          <w:color w:val="000000"/>
          <w:szCs w:val="20"/>
        </w:rPr>
        <w:t>afeguard covered facilities to undertake transformative projects below current baselines in a manner that attracts co-investment, and</w:t>
      </w:r>
      <w:r w:rsidR="004F6A72">
        <w:t xml:space="preserve"> </w:t>
      </w:r>
      <w:r w:rsidR="0098038D">
        <w:t xml:space="preserve">is of the view </w:t>
      </w:r>
      <w:r w:rsidR="004F6A72">
        <w:t xml:space="preserve">that </w:t>
      </w:r>
      <w:r w:rsidR="00A67B9C">
        <w:t xml:space="preserve">in the absence of declining and binding baselines </w:t>
      </w:r>
      <w:r w:rsidR="004F6A72">
        <w:t xml:space="preserve">an offsets scheme is not a suitable mechanism to incentivise the deployment of transformative technology under the </w:t>
      </w:r>
      <w:r w:rsidR="00EF3364">
        <w:t>Safeguard Mechanism</w:t>
      </w:r>
      <w:r w:rsidR="004F6A72">
        <w:t xml:space="preserve"> for several reasons. The high capital costs of such projects</w:t>
      </w:r>
      <w:r w:rsidR="00F5308D">
        <w:t>,</w:t>
      </w:r>
      <w:r>
        <w:t xml:space="preserve"> </w:t>
      </w:r>
      <w:r w:rsidR="00721A41">
        <w:t>transaction costs</w:t>
      </w:r>
      <w:r w:rsidR="001467EF">
        <w:t>, attracting co-investment</w:t>
      </w:r>
      <w:r w:rsidR="00721A41">
        <w:t xml:space="preserve"> </w:t>
      </w:r>
      <w:r>
        <w:t>and risks to Australia’s ACCU market</w:t>
      </w:r>
      <w:r w:rsidR="004F6A72">
        <w:t xml:space="preserve"> </w:t>
      </w:r>
      <w:r w:rsidR="00044711">
        <w:t xml:space="preserve">present </w:t>
      </w:r>
      <w:r w:rsidR="004F6A72">
        <w:t>significant design challenges</w:t>
      </w:r>
      <w:r>
        <w:t>.</w:t>
      </w:r>
    </w:p>
    <w:p w14:paraId="3D0FD54C" w14:textId="7A4A460C" w:rsidR="004F6A72" w:rsidRDefault="004F6A72" w:rsidP="00C94490">
      <w:r>
        <w:t>Alternative mechanisms could achieve the same objectives with less complexity, at lower administrative costs and with fewer risks. For example, to maximise co-investment, the Government could make low interest rate loans available to large facilities undertaking transformative</w:t>
      </w:r>
      <w:r w:rsidR="006935AF">
        <w:t>, below-baseline</w:t>
      </w:r>
      <w:r>
        <w:t xml:space="preserve"> abatement projects. </w:t>
      </w:r>
      <w:r w:rsidR="002365A4">
        <w:t>Concessional loans could also be bundled with grants</w:t>
      </w:r>
      <w:r w:rsidR="00721A41">
        <w:t xml:space="preserve"> and tax incentives</w:t>
      </w:r>
      <w:r w:rsidR="002365A4">
        <w:t xml:space="preserve"> where appropriate.</w:t>
      </w:r>
      <w:r w:rsidR="00721A41" w:rsidRPr="00721A41">
        <w:rPr>
          <w:rFonts w:cs="Arial"/>
          <w:color w:val="000000"/>
          <w:szCs w:val="20"/>
        </w:rPr>
        <w:t xml:space="preserve"> </w:t>
      </w:r>
    </w:p>
    <w:p w14:paraId="189B6F00" w14:textId="6675069C" w:rsidR="00B64D81" w:rsidRDefault="00B64D81" w:rsidP="00C94490">
      <w:r w:rsidDel="004F6A72">
        <w:t xml:space="preserve">If </w:t>
      </w:r>
      <w:r>
        <w:t xml:space="preserve">not carefully designed, </w:t>
      </w:r>
      <w:r w:rsidR="004F6A72">
        <w:t xml:space="preserve">new carbon-related financial instruments such as SMCs </w:t>
      </w:r>
      <w:r>
        <w:t>could undermine the strong reputation of Australia’s high integrity carbon offsets market</w:t>
      </w:r>
      <w:r w:rsidR="005D633B">
        <w:t>, which is</w:t>
      </w:r>
      <w:r>
        <w:t xml:space="preserve"> founded on the ERF’s integrity standards, including additionality</w:t>
      </w:r>
      <w:r w:rsidR="005D633B">
        <w:t>,</w:t>
      </w:r>
      <w:r>
        <w:t xml:space="preserve"> and the measurement, reporting and verification system that ensures ACCUs represent a tonne of genuine abatement. In contrast, </w:t>
      </w:r>
      <w:r w:rsidR="004F6A72">
        <w:t xml:space="preserve">as </w:t>
      </w:r>
      <w:r>
        <w:t>SMC</w:t>
      </w:r>
      <w:r w:rsidR="004F6A72">
        <w:t xml:space="preserve"> unit</w:t>
      </w:r>
      <w:r>
        <w:t xml:space="preserve">s </w:t>
      </w:r>
      <w:r w:rsidR="003D3D7D" w:rsidRPr="007B6996">
        <w:t xml:space="preserve">are not likely to be </w:t>
      </w:r>
      <w:r w:rsidR="003D3D7D">
        <w:t>subject to the same integrity criteria as ACCUs,</w:t>
      </w:r>
      <w:r w:rsidR="003D3D7D" w:rsidRPr="00EF3364">
        <w:t xml:space="preserve"> </w:t>
      </w:r>
      <w:r w:rsidR="007F7AAD">
        <w:t xml:space="preserve">or </w:t>
      </w:r>
      <w:r w:rsidR="009D6854">
        <w:t xml:space="preserve">meet </w:t>
      </w:r>
      <w:r w:rsidR="00E25EBC">
        <w:t xml:space="preserve">the same </w:t>
      </w:r>
      <w:r w:rsidR="009D6854">
        <w:t>international standards</w:t>
      </w:r>
      <w:r w:rsidR="003D3D7D">
        <w:t xml:space="preserve"> for carbon units</w:t>
      </w:r>
      <w:r w:rsidR="007C220A">
        <w:t>.</w:t>
      </w:r>
      <w:r w:rsidR="003D3D7D" w:rsidDel="003D3D7D">
        <w:t xml:space="preserve"> </w:t>
      </w:r>
    </w:p>
    <w:p w14:paraId="5290C420" w14:textId="7BB8DF78" w:rsidR="00B64D81" w:rsidRDefault="004F6A72" w:rsidP="0000581A">
      <w:r>
        <w:t xml:space="preserve">If SMC units are </w:t>
      </w:r>
      <w:r w:rsidR="004946E0">
        <w:t xml:space="preserve">to be a feature of the low-emissions technology deployment incentive scheme, lesson from global experience with the design of </w:t>
      </w:r>
      <w:r w:rsidR="00B64D81">
        <w:t>market</w:t>
      </w:r>
      <w:r w:rsidR="00F5308D">
        <w:t>-</w:t>
      </w:r>
      <w:r w:rsidR="00B64D81">
        <w:t>based instruments</w:t>
      </w:r>
      <w:r w:rsidR="004946E0">
        <w:t xml:space="preserve"> could inform the design of the scheme</w:t>
      </w:r>
      <w:r w:rsidR="00B64D81">
        <w:t xml:space="preserve">. For example, </w:t>
      </w:r>
      <w:r w:rsidR="00AF4C78">
        <w:t xml:space="preserve">banking </w:t>
      </w:r>
      <w:r w:rsidR="00B64D81">
        <w:t>of credits for use in the future should be considered after an initial pilot period to ensure the market is not flooded</w:t>
      </w:r>
      <w:r w:rsidR="003D3D7D">
        <w:t xml:space="preserve"> with units</w:t>
      </w:r>
      <w:r w:rsidR="00B64D81">
        <w:t xml:space="preserve"> in an early stage. Similarly, a</w:t>
      </w:r>
      <w:r w:rsidR="00AF4C78">
        <w:t xml:space="preserve"> </w:t>
      </w:r>
      <w:r w:rsidR="009D6854">
        <w:rPr>
          <w:color w:val="000000"/>
          <w:szCs w:val="20"/>
        </w:rPr>
        <w:t xml:space="preserve">‘transformative project’ threshold, </w:t>
      </w:r>
      <w:r w:rsidR="004946E0">
        <w:rPr>
          <w:color w:val="000000"/>
          <w:szCs w:val="20"/>
        </w:rPr>
        <w:t>determined</w:t>
      </w:r>
      <w:r w:rsidR="009D6854">
        <w:rPr>
          <w:color w:val="000000"/>
          <w:szCs w:val="20"/>
        </w:rPr>
        <w:t xml:space="preserve"> by setting crediting baselines well below compliance baselines,</w:t>
      </w:r>
      <w:r w:rsidR="009D6854">
        <w:t xml:space="preserve"> </w:t>
      </w:r>
      <w:r w:rsidR="00B64D81">
        <w:t xml:space="preserve">could be used as the basis for rewarding leaders in </w:t>
      </w:r>
      <w:r w:rsidR="009D6854">
        <w:t xml:space="preserve">transformative </w:t>
      </w:r>
      <w:r w:rsidR="00B64D81">
        <w:t>low-emissions technology deployment</w:t>
      </w:r>
      <w:r w:rsidR="00AF4C78">
        <w:t xml:space="preserve">. </w:t>
      </w:r>
      <w:r w:rsidR="00B64D81" w:rsidRPr="007B6996">
        <w:t xml:space="preserve">In order to maintain the high integrity of </w:t>
      </w:r>
      <w:r w:rsidR="00995E3C" w:rsidRPr="007B6996">
        <w:t>ACCU</w:t>
      </w:r>
      <w:r w:rsidR="00995E3C">
        <w:t>s</w:t>
      </w:r>
      <w:r w:rsidR="00B64D81" w:rsidRPr="007B6996">
        <w:t xml:space="preserve">, </w:t>
      </w:r>
      <w:r w:rsidR="00BC59AA">
        <w:t xml:space="preserve">the Government could ensure that </w:t>
      </w:r>
      <w:r w:rsidR="00B64D81" w:rsidRPr="007B6996">
        <w:t>SMC</w:t>
      </w:r>
      <w:r>
        <w:t xml:space="preserve"> unit</w:t>
      </w:r>
      <w:r w:rsidR="00B64D81" w:rsidRPr="007B6996">
        <w:t xml:space="preserve">s </w:t>
      </w:r>
      <w:r w:rsidR="00BC59AA">
        <w:t xml:space="preserve">are classed separately from, and not fungible with, </w:t>
      </w:r>
      <w:r w:rsidR="00B64D81">
        <w:t>ACCUs</w:t>
      </w:r>
      <w:r w:rsidR="00BC59AA">
        <w:t xml:space="preserve">, and also </w:t>
      </w:r>
      <w:r w:rsidR="00B64D81" w:rsidRPr="007B6996">
        <w:t>not be trad</w:t>
      </w:r>
      <w:r w:rsidR="0065314C">
        <w:t>able</w:t>
      </w:r>
      <w:r w:rsidR="00B64D81" w:rsidRPr="007B6996">
        <w:t xml:space="preserve"> in the market outside of the </w:t>
      </w:r>
      <w:r w:rsidR="00EF3364">
        <w:t>Safeguard Mechanism</w:t>
      </w:r>
      <w:r w:rsidR="00E25EBC">
        <w:t xml:space="preserve"> and Government purchasing</w:t>
      </w:r>
      <w:r w:rsidR="00B64D81" w:rsidRPr="007B6996">
        <w:t>.</w:t>
      </w:r>
    </w:p>
    <w:p w14:paraId="5320CC93" w14:textId="75B6DE3A" w:rsidR="0000581A" w:rsidRPr="0085112B" w:rsidRDefault="0000581A" w:rsidP="0000581A">
      <w:r w:rsidRPr="0085112B">
        <w:t xml:space="preserve">The Minister has indicated that the Government is not considering reducing baselines under the </w:t>
      </w:r>
      <w:r w:rsidR="00EF3364">
        <w:t>Safeguard Mechanism</w:t>
      </w:r>
      <w:r w:rsidRPr="0085112B">
        <w:t>, and that it should rather continue to operate as a ‘safety net’ to ensure industry does not significantly increase emissions</w:t>
      </w:r>
      <w:r w:rsidR="003517C5">
        <w:t>.</w:t>
      </w:r>
      <w:r w:rsidRPr="0085112B" w:rsidDel="003517C5">
        <w:t xml:space="preserve"> </w:t>
      </w:r>
      <w:r w:rsidRPr="0085112B">
        <w:t>However, since the scheme has been operating, entities have been able to increase their emissions</w:t>
      </w:r>
      <w:r w:rsidR="00AF2154">
        <w:t xml:space="preserve"> in absolute terms</w:t>
      </w:r>
      <w:r w:rsidRPr="0085112B">
        <w:t xml:space="preserve">, leading some industry stakeholders </w:t>
      </w:r>
      <w:r w:rsidR="005168A3">
        <w:t xml:space="preserve">to </w:t>
      </w:r>
      <w:r w:rsidRPr="0085112B">
        <w:t xml:space="preserve">question the overall purpose of the </w:t>
      </w:r>
      <w:r w:rsidR="00EF3364">
        <w:t>Safeguard Mechanism</w:t>
      </w:r>
      <w:r>
        <w:t xml:space="preserve"> </w:t>
      </w:r>
      <w:r w:rsidRPr="00677E66">
        <w:t>(</w:t>
      </w:r>
      <w:r w:rsidR="00346072" w:rsidRPr="00677E66">
        <w:t>ICIN</w:t>
      </w:r>
      <w:r w:rsidR="00460BE8" w:rsidRPr="00677E66">
        <w:t>,</w:t>
      </w:r>
      <w:r w:rsidR="00346072" w:rsidRPr="00677E66">
        <w:t xml:space="preserve"> </w:t>
      </w:r>
      <w:r w:rsidR="00DE4431" w:rsidRPr="00677E66">
        <w:t>Australia Institute</w:t>
      </w:r>
      <w:r w:rsidRPr="00677E66">
        <w:t>).</w:t>
      </w:r>
      <w:r>
        <w:t xml:space="preserve"> </w:t>
      </w:r>
      <w:r w:rsidRPr="0085112B">
        <w:t>If below</w:t>
      </w:r>
      <w:r w:rsidR="002D4C7F">
        <w:t>-</w:t>
      </w:r>
      <w:r w:rsidRPr="0085112B">
        <w:t xml:space="preserve">baseline crediting is implemented without declining baselines, </w:t>
      </w:r>
      <w:r w:rsidR="004946E0">
        <w:t xml:space="preserve">there is </w:t>
      </w:r>
      <w:r w:rsidR="003D3D7D">
        <w:t>some</w:t>
      </w:r>
      <w:r w:rsidR="004946E0">
        <w:t xml:space="preserve"> risk </w:t>
      </w:r>
      <w:r w:rsidRPr="0085112B">
        <w:t xml:space="preserve">the new </w:t>
      </w:r>
      <w:r>
        <w:t>SMCs</w:t>
      </w:r>
      <w:r w:rsidR="004946E0">
        <w:t xml:space="preserve"> could</w:t>
      </w:r>
      <w:r w:rsidRPr="0085112B">
        <w:t xml:space="preserve"> undermine </w:t>
      </w:r>
      <w:r w:rsidR="004946E0">
        <w:t xml:space="preserve">what are already low levels of </w:t>
      </w:r>
      <w:r w:rsidRPr="0085112B">
        <w:t xml:space="preserve">private demand for ACCUs. </w:t>
      </w:r>
    </w:p>
    <w:p w14:paraId="1AE4FFD1" w14:textId="78BCF6C4" w:rsidR="003478B7" w:rsidRPr="0068006E" w:rsidRDefault="0000581A" w:rsidP="0068006E">
      <w:r w:rsidRPr="0085112B">
        <w:t xml:space="preserve">The </w:t>
      </w:r>
      <w:r w:rsidR="00545E7B">
        <w:t>King</w:t>
      </w:r>
      <w:r w:rsidR="009841F1">
        <w:t xml:space="preserve"> Review</w:t>
      </w:r>
      <w:r w:rsidRPr="0085112B">
        <w:t xml:space="preserve"> recommend</w:t>
      </w:r>
      <w:r w:rsidR="003A5C3D">
        <w:t>ed</w:t>
      </w:r>
      <w:r w:rsidRPr="0085112B">
        <w:t xml:space="preserve"> that</w:t>
      </w:r>
      <w:r w:rsidR="003A5C3D">
        <w:t>,</w:t>
      </w:r>
      <w:r w:rsidRPr="0085112B">
        <w:t xml:space="preserve"> in addition to SMCs being used to meet compliance obligations under the </w:t>
      </w:r>
      <w:r w:rsidR="00EF3364">
        <w:t>Safeguard Mechanism</w:t>
      </w:r>
      <w:r w:rsidRPr="0085112B">
        <w:t xml:space="preserve"> or purchased by the private sector, SMCs could be purchased by the Government through a new arrangement under the Climate Solutions Fund. This </w:t>
      </w:r>
      <w:r w:rsidR="00FC46EF">
        <w:t>risks adding to un</w:t>
      </w:r>
      <w:r w:rsidRPr="0085112B">
        <w:t>certainty in the market on the Government demand for ACCUs.</w:t>
      </w:r>
      <w:r w:rsidR="002C4370">
        <w:t xml:space="preserve"> </w:t>
      </w:r>
    </w:p>
    <w:p w14:paraId="6331AC99" w14:textId="483BBF26" w:rsidR="002C4370" w:rsidRDefault="002C4370" w:rsidP="0068006E">
      <w:pPr>
        <w:spacing w:line="259" w:lineRule="auto"/>
      </w:pPr>
    </w:p>
    <w:p w14:paraId="23C6B51F" w14:textId="77777777" w:rsidR="006F2EE4" w:rsidRDefault="006F2EE4" w:rsidP="0068006E">
      <w:pPr>
        <w:spacing w:line="259" w:lineRule="auto"/>
      </w:pPr>
    </w:p>
    <w:tbl>
      <w:tblPr>
        <w:tblStyle w:val="TableGrid"/>
        <w:tblW w:w="0" w:type="auto"/>
        <w:tblLook w:val="04A0" w:firstRow="1" w:lastRow="0" w:firstColumn="1" w:lastColumn="0" w:noHBand="0" w:noVBand="1"/>
      </w:tblPr>
      <w:tblGrid>
        <w:gridCol w:w="9016"/>
      </w:tblGrid>
      <w:tr w:rsidR="00E330EF" w14:paraId="4BA7CBCD" w14:textId="77777777" w:rsidTr="00E330EF">
        <w:tc>
          <w:tcPr>
            <w:tcW w:w="9016" w:type="dxa"/>
          </w:tcPr>
          <w:p w14:paraId="3B729785" w14:textId="77777777" w:rsidR="00E330EF" w:rsidRDefault="00E330EF" w:rsidP="00E330EF">
            <w:pPr>
              <w:rPr>
                <w:b/>
                <w:color w:val="000000"/>
                <w:szCs w:val="20"/>
              </w:rPr>
            </w:pPr>
            <w:r w:rsidRPr="00DF7FFD">
              <w:rPr>
                <w:b/>
                <w:color w:val="000000"/>
                <w:szCs w:val="20"/>
              </w:rPr>
              <w:t xml:space="preserve">Recommendation </w:t>
            </w:r>
            <w:r>
              <w:rPr>
                <w:b/>
                <w:color w:val="000000"/>
                <w:szCs w:val="20"/>
              </w:rPr>
              <w:t xml:space="preserve">2 </w:t>
            </w:r>
          </w:p>
          <w:p w14:paraId="0662CF46" w14:textId="77777777" w:rsidR="00E330EF" w:rsidRPr="00E30227" w:rsidRDefault="00E330EF" w:rsidP="00D16410">
            <w:pPr>
              <w:keepNext/>
              <w:rPr>
                <w:b/>
              </w:rPr>
            </w:pPr>
          </w:p>
          <w:p w14:paraId="3AF2A87F" w14:textId="297F299E" w:rsidR="00D16410" w:rsidRPr="00E30227" w:rsidRDefault="00D16410" w:rsidP="00D16410">
            <w:pPr>
              <w:keepNext/>
              <w:rPr>
                <w:rFonts w:cs="Arial"/>
                <w:b/>
                <w:color w:val="000000"/>
                <w:szCs w:val="20"/>
              </w:rPr>
            </w:pPr>
            <w:r w:rsidRPr="00E30227">
              <w:rPr>
                <w:rFonts w:cs="Arial"/>
                <w:b/>
                <w:color w:val="000000"/>
                <w:szCs w:val="20"/>
              </w:rPr>
              <w:t xml:space="preserve">To </w:t>
            </w:r>
            <w:r w:rsidRPr="00E30227">
              <w:rPr>
                <w:b/>
              </w:rPr>
              <w:t>realise abatement opportunities in industrial facilities,</w:t>
            </w:r>
            <w:r w:rsidRPr="00E30227">
              <w:rPr>
                <w:rFonts w:cs="Arial"/>
                <w:b/>
                <w:color w:val="000000"/>
                <w:szCs w:val="20"/>
              </w:rPr>
              <w:t xml:space="preserve"> leverage co-investment and avoid risks to the ACCU market, the Government’s </w:t>
            </w:r>
            <w:r w:rsidRPr="00E30227">
              <w:rPr>
                <w:rFonts w:cs="Arial"/>
                <w:b/>
                <w:szCs w:val="20"/>
              </w:rPr>
              <w:t xml:space="preserve">low-emissions technology incentive scheme make Safeguard Mechanism Credit - concessional loans bundled with </w:t>
            </w:r>
            <w:r w:rsidRPr="00E30227">
              <w:rPr>
                <w:b/>
              </w:rPr>
              <w:t>grants and tax incentives</w:t>
            </w:r>
            <w:r w:rsidRPr="00E30227">
              <w:rPr>
                <w:rFonts w:cs="Arial"/>
                <w:b/>
                <w:szCs w:val="20"/>
              </w:rPr>
              <w:t xml:space="preserve"> - available to Safeguard-covered facilities undertaking transformative, below-baseline abatement projects. </w:t>
            </w:r>
          </w:p>
          <w:p w14:paraId="0A36D1ED" w14:textId="77777777" w:rsidR="00D16410" w:rsidRPr="00D4477B" w:rsidRDefault="00D16410" w:rsidP="00D16410">
            <w:pPr>
              <w:keepNext/>
              <w:rPr>
                <w:rFonts w:cs="Arial"/>
                <w:b/>
                <w:color w:val="000000"/>
                <w:szCs w:val="20"/>
              </w:rPr>
            </w:pPr>
          </w:p>
          <w:p w14:paraId="74203701" w14:textId="419DD50C" w:rsidR="00D16410" w:rsidRPr="00D4477B" w:rsidRDefault="00D16410" w:rsidP="00D16410">
            <w:pPr>
              <w:keepNext/>
              <w:rPr>
                <w:rFonts w:cs="Arial"/>
                <w:b/>
                <w:color w:val="000000"/>
                <w:szCs w:val="20"/>
              </w:rPr>
            </w:pPr>
            <w:r w:rsidRPr="00D4477B">
              <w:rPr>
                <w:rFonts w:cs="Arial"/>
                <w:b/>
                <w:color w:val="000000"/>
                <w:szCs w:val="20"/>
              </w:rPr>
              <w:t xml:space="preserve">If designed as a carbon market mechanism, and noting the King Review recommendation that the incentive scheme not be an offsets scheme, </w:t>
            </w:r>
            <w:r w:rsidR="001D10CD" w:rsidRPr="001D10CD">
              <w:rPr>
                <w:rFonts w:cs="Arial"/>
                <w:b/>
                <w:color w:val="000000"/>
                <w:szCs w:val="20"/>
              </w:rPr>
              <w:t xml:space="preserve">consideration be given to mitigating </w:t>
            </w:r>
            <w:r w:rsidRPr="00D4477B">
              <w:rPr>
                <w:rFonts w:cs="Arial"/>
                <w:b/>
                <w:color w:val="000000"/>
                <w:szCs w:val="20"/>
              </w:rPr>
              <w:t>risks to the ACCU market by</w:t>
            </w:r>
            <w:r w:rsidR="00F5308D">
              <w:rPr>
                <w:rFonts w:cs="Arial"/>
                <w:b/>
                <w:color w:val="000000"/>
                <w:szCs w:val="20"/>
              </w:rPr>
              <w:t>:</w:t>
            </w:r>
          </w:p>
          <w:p w14:paraId="12EB0D43" w14:textId="77777777" w:rsidR="00D16410" w:rsidRPr="00D4477B" w:rsidRDefault="00D16410" w:rsidP="00004274">
            <w:pPr>
              <w:pStyle w:val="ListParagraph"/>
              <w:keepNext/>
              <w:numPr>
                <w:ilvl w:val="0"/>
                <w:numId w:val="44"/>
              </w:numPr>
              <w:spacing w:after="160"/>
              <w:rPr>
                <w:rFonts w:ascii="Calibri" w:hAnsi="Calibri"/>
                <w:b/>
              </w:rPr>
            </w:pPr>
            <w:r w:rsidRPr="00D4477B">
              <w:rPr>
                <w:b/>
                <w:color w:val="000000"/>
              </w:rPr>
              <w:t>ensuring below-baseline carbon credits (SMCs) are:</w:t>
            </w:r>
          </w:p>
          <w:p w14:paraId="5E688C65" w14:textId="77777777" w:rsidR="00D16410" w:rsidRPr="00D4477B" w:rsidRDefault="00D16410" w:rsidP="00004274">
            <w:pPr>
              <w:pStyle w:val="ListParagraph"/>
              <w:keepNext/>
              <w:numPr>
                <w:ilvl w:val="0"/>
                <w:numId w:val="45"/>
              </w:numPr>
              <w:spacing w:after="160"/>
              <w:rPr>
                <w:b/>
              </w:rPr>
            </w:pPr>
            <w:r w:rsidRPr="00D4477B">
              <w:rPr>
                <w:b/>
                <w:color w:val="000000"/>
              </w:rPr>
              <w:t xml:space="preserve">allocated for emissions reductions that meet a ‘transformative project’ threshold, for example by setting crediting baselines well below compliance baselines </w:t>
            </w:r>
          </w:p>
          <w:p w14:paraId="6BDEDC59" w14:textId="77777777" w:rsidR="00D16410" w:rsidRPr="00D4477B" w:rsidRDefault="00D16410" w:rsidP="00004274">
            <w:pPr>
              <w:pStyle w:val="ListParagraph"/>
              <w:keepNext/>
              <w:numPr>
                <w:ilvl w:val="0"/>
                <w:numId w:val="45"/>
              </w:numPr>
              <w:spacing w:after="160"/>
              <w:rPr>
                <w:b/>
              </w:rPr>
            </w:pPr>
            <w:r w:rsidRPr="00D4477B">
              <w:rPr>
                <w:b/>
                <w:color w:val="000000"/>
              </w:rPr>
              <w:t>saleable only to the Government and to entities under the Safeguard Mechanism for the purpose of complying with Safeguard obligations (and not otherwise fungible with ACCUs)</w:t>
            </w:r>
          </w:p>
          <w:p w14:paraId="5FB8447B" w14:textId="5F0304A6" w:rsidR="00D16410" w:rsidRPr="00E30227" w:rsidRDefault="00D16410" w:rsidP="00004274">
            <w:pPr>
              <w:pStyle w:val="ListParagraph"/>
              <w:keepNext/>
              <w:numPr>
                <w:ilvl w:val="0"/>
                <w:numId w:val="46"/>
              </w:numPr>
              <w:spacing w:after="160"/>
              <w:rPr>
                <w:b/>
              </w:rPr>
            </w:pPr>
            <w:r w:rsidRPr="00E30227">
              <w:rPr>
                <w:b/>
                <w:color w:val="000000"/>
              </w:rPr>
              <w:t>allowing banking of SMCs for use in future years only after an assessment of the outcomes of the initial pilot phase</w:t>
            </w:r>
          </w:p>
          <w:p w14:paraId="3B281028" w14:textId="77777777" w:rsidR="00D16410" w:rsidRPr="0029361B" w:rsidRDefault="00D16410" w:rsidP="00004274">
            <w:pPr>
              <w:pStyle w:val="ListParagraph"/>
              <w:keepNext/>
              <w:numPr>
                <w:ilvl w:val="0"/>
                <w:numId w:val="46"/>
              </w:numPr>
              <w:spacing w:after="160"/>
              <w:rPr>
                <w:b/>
                <w:szCs w:val="20"/>
              </w:rPr>
            </w:pPr>
            <w:r w:rsidRPr="00D4477B">
              <w:rPr>
                <w:b/>
                <w:color w:val="000000"/>
              </w:rPr>
              <w:t>funding any Government purchase of SMCs separately from amounts already allocated to the CSF for the purchase of ACCUs</w:t>
            </w:r>
          </w:p>
          <w:p w14:paraId="37B591D1" w14:textId="464B1E4C" w:rsidR="00D16410" w:rsidRDefault="00D16410" w:rsidP="00F94E82">
            <w:pPr>
              <w:pStyle w:val="ListParagraph"/>
              <w:keepNext/>
              <w:numPr>
                <w:ilvl w:val="0"/>
                <w:numId w:val="46"/>
              </w:numPr>
            </w:pPr>
            <w:r w:rsidRPr="0029361B">
              <w:rPr>
                <w:b/>
                <w:color w:val="000000"/>
              </w:rPr>
              <w:t>giving future consid</w:t>
            </w:r>
            <w:r w:rsidRPr="00487F05">
              <w:rPr>
                <w:b/>
                <w:color w:val="000000"/>
              </w:rPr>
              <w:t>eration to implementing declining baselines with clear trajectories, to maintain demand for ACCUs and SMCs (for example, as technology evolves) and enhance co-investment in both schemes</w:t>
            </w:r>
            <w:r w:rsidRPr="00487F05">
              <w:rPr>
                <w:color w:val="000000"/>
              </w:rPr>
              <w:t>.</w:t>
            </w:r>
          </w:p>
        </w:tc>
      </w:tr>
    </w:tbl>
    <w:p w14:paraId="7F0B2F0B" w14:textId="77777777" w:rsidR="0000581A" w:rsidRDefault="0000581A" w:rsidP="0000581A"/>
    <w:p w14:paraId="6B18C14A" w14:textId="77777777" w:rsidR="0000581A" w:rsidRPr="0068006E" w:rsidRDefault="0000581A" w:rsidP="00B35722">
      <w:pPr>
        <w:pStyle w:val="Heading2"/>
        <w:numPr>
          <w:ilvl w:val="1"/>
          <w:numId w:val="16"/>
        </w:numPr>
        <w:rPr>
          <w:color w:val="0070AE" w:themeColor="accent2" w:themeTint="BF"/>
        </w:rPr>
      </w:pPr>
      <w:bookmarkStart w:id="1690" w:name="_Toc49692140"/>
      <w:bookmarkStart w:id="1691" w:name="_Toc49710513"/>
      <w:bookmarkStart w:id="1692" w:name="_Toc49710685"/>
      <w:bookmarkStart w:id="1693" w:name="_Toc49713238"/>
      <w:bookmarkStart w:id="1694" w:name="_Toc49713440"/>
      <w:bookmarkStart w:id="1695" w:name="_Toc49776378"/>
      <w:bookmarkStart w:id="1696" w:name="_Toc49784937"/>
      <w:bookmarkStart w:id="1697" w:name="_Toc49786263"/>
      <w:bookmarkStart w:id="1698" w:name="_Toc49787312"/>
      <w:bookmarkStart w:id="1699" w:name="_Toc49787367"/>
      <w:bookmarkStart w:id="1700" w:name="_Toc49850681"/>
      <w:bookmarkStart w:id="1701" w:name="_Toc49852923"/>
      <w:bookmarkStart w:id="1702" w:name="_Toc49854340"/>
      <w:bookmarkStart w:id="1703" w:name="_Toc49856936"/>
      <w:bookmarkStart w:id="1704" w:name="_Toc49858252"/>
      <w:bookmarkStart w:id="1705" w:name="_Toc49858307"/>
      <w:bookmarkStart w:id="1706" w:name="_Toc49863009"/>
      <w:bookmarkStart w:id="1707" w:name="_Toc49867732"/>
      <w:bookmarkStart w:id="1708" w:name="_Toc49870568"/>
      <w:bookmarkStart w:id="1709" w:name="_Toc49871311"/>
      <w:bookmarkStart w:id="1710" w:name="_Toc49871991"/>
      <w:bookmarkStart w:id="1711" w:name="_Toc49872544"/>
      <w:bookmarkStart w:id="1712" w:name="_Toc50027756"/>
      <w:bookmarkStart w:id="1713" w:name="_Toc50029450"/>
      <w:bookmarkStart w:id="1714" w:name="_Toc50043881"/>
      <w:bookmarkStart w:id="1715" w:name="_Toc50057732"/>
      <w:bookmarkStart w:id="1716" w:name="_Toc50553609"/>
      <w:bookmarkStart w:id="1717" w:name="_Toc50555372"/>
      <w:bookmarkStart w:id="1718" w:name="_Toc50559832"/>
      <w:bookmarkStart w:id="1719" w:name="_Toc50559885"/>
      <w:bookmarkStart w:id="1720" w:name="_Toc50563819"/>
      <w:bookmarkStart w:id="1721" w:name="_Toc50711372"/>
      <w:bookmarkStart w:id="1722" w:name="_Toc50720954"/>
      <w:bookmarkStart w:id="1723" w:name="_Toc50730678"/>
      <w:bookmarkStart w:id="1724" w:name="_Toc50734904"/>
      <w:bookmarkStart w:id="1725" w:name="_Toc50735507"/>
      <w:bookmarkStart w:id="1726" w:name="_Toc50905526"/>
      <w:bookmarkStart w:id="1727" w:name="_Toc51587011"/>
      <w:bookmarkStart w:id="1728" w:name="_Toc51594871"/>
      <w:bookmarkStart w:id="1729" w:name="_Toc51599474"/>
      <w:bookmarkStart w:id="1730" w:name="_Toc51613510"/>
      <w:bookmarkStart w:id="1731" w:name="_Toc51669621"/>
      <w:bookmarkStart w:id="1732" w:name="_Toc51669716"/>
      <w:bookmarkStart w:id="1733" w:name="_Toc51672865"/>
      <w:bookmarkStart w:id="1734" w:name="_Toc51673915"/>
      <w:bookmarkStart w:id="1735" w:name="_Toc51680732"/>
      <w:bookmarkStart w:id="1736" w:name="_Toc51683261"/>
      <w:bookmarkStart w:id="1737" w:name="_Toc51685997"/>
      <w:bookmarkStart w:id="1738" w:name="_Toc51687735"/>
      <w:bookmarkStart w:id="1739" w:name="_Toc51687879"/>
      <w:bookmarkStart w:id="1740" w:name="_Toc51705757"/>
      <w:bookmarkStart w:id="1741" w:name="_Toc51770703"/>
      <w:bookmarkStart w:id="1742" w:name="_Toc51770889"/>
      <w:bookmarkStart w:id="1743" w:name="_Toc52359232"/>
      <w:bookmarkStart w:id="1744" w:name="_Toc52367265"/>
      <w:bookmarkStart w:id="1745" w:name="_Toc52371605"/>
      <w:bookmarkStart w:id="1746" w:name="_Toc52374753"/>
      <w:bookmarkStart w:id="1747" w:name="_Toc52377291"/>
      <w:bookmarkStart w:id="1748" w:name="_Toc52379213"/>
      <w:bookmarkStart w:id="1749" w:name="_Toc52379568"/>
      <w:bookmarkStart w:id="1750" w:name="_Toc52532778"/>
      <w:bookmarkStart w:id="1751" w:name="_Toc52535673"/>
      <w:bookmarkStart w:id="1752" w:name="_Toc52537491"/>
      <w:bookmarkStart w:id="1753" w:name="_Toc52544054"/>
      <w:bookmarkStart w:id="1754" w:name="_Toc52545658"/>
      <w:bookmarkStart w:id="1755" w:name="_Toc52547890"/>
      <w:bookmarkStart w:id="1756" w:name="_Toc52548579"/>
      <w:bookmarkStart w:id="1757" w:name="_Toc52890871"/>
      <w:bookmarkStart w:id="1758" w:name="_Toc52895074"/>
      <w:bookmarkStart w:id="1759" w:name="_Toc52896598"/>
      <w:bookmarkStart w:id="1760" w:name="_Toc52977775"/>
      <w:bookmarkStart w:id="1761" w:name="_Toc53129461"/>
      <w:r w:rsidRPr="0068006E">
        <w:rPr>
          <w:color w:val="0070AE" w:themeColor="accent2" w:themeTint="BF"/>
        </w:rPr>
        <w:t>Voluntary market demand</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2FBC1D4F" w14:textId="24D81400" w:rsidR="0000581A" w:rsidRDefault="0000581A" w:rsidP="00996B9D">
      <w:pPr>
        <w:pStyle w:val="BodyText"/>
      </w:pPr>
      <w:r w:rsidRPr="002F04E5">
        <w:t>Businesses are increasingly managing their emissions profile on a voluntary basis and purchasing offsets, but the voluntary market for ACCUs is still very small</w:t>
      </w:r>
      <w:r w:rsidRPr="00D21C9A">
        <w:t>. The ERF scheme is not well understood and</w:t>
      </w:r>
      <w:r w:rsidRPr="002F04E5">
        <w:t xml:space="preserve"> many private entities currently have little or no interaction with the scheme.</w:t>
      </w:r>
      <w:r w:rsidRPr="002F04E5">
        <w:rPr>
          <w:rFonts w:cstheme="minorHAnsi"/>
          <w:color w:val="333132"/>
          <w:shd w:val="clear" w:color="auto" w:fill="FFFFFF"/>
        </w:rPr>
        <w:t xml:space="preserve"> </w:t>
      </w:r>
      <w:r w:rsidRPr="002F04E5">
        <w:t xml:space="preserve">Voluntary buyers and state and territory entities purchased approximately half a million ACCUs in 2019. </w:t>
      </w:r>
      <w:r w:rsidR="00AF2154">
        <w:t xml:space="preserve">The Government’s </w:t>
      </w:r>
      <w:r w:rsidRPr="002F04E5">
        <w:t>Climate Active</w:t>
      </w:r>
      <w:r w:rsidR="00AF2154">
        <w:t xml:space="preserve"> program</w:t>
      </w:r>
      <w:r w:rsidRPr="002F04E5">
        <w:t xml:space="preserve">, which issues carbon neutral certifications, was the biggest </w:t>
      </w:r>
      <w:r w:rsidR="00EA4B2E">
        <w:t xml:space="preserve">source of demand in the </w:t>
      </w:r>
      <w:r w:rsidRPr="002F04E5">
        <w:t xml:space="preserve">voluntary market for ACCUs at 215,475 ACCUs (Figure </w:t>
      </w:r>
      <w:r w:rsidR="0044018D" w:rsidRPr="002F04E5">
        <w:t>4.1</w:t>
      </w:r>
      <w:r w:rsidRPr="002F04E5">
        <w:t>). While voluntary markets are growing, they represented less than 5 per cent of the demand for ACCUs in 2019 (</w:t>
      </w:r>
      <w:r w:rsidRPr="00694856">
        <w:t>CER 2020</w:t>
      </w:r>
      <w:r w:rsidR="002031A7">
        <w:t>i</w:t>
      </w:r>
      <w:r w:rsidRPr="002F04E5">
        <w:t>)</w:t>
      </w:r>
      <w:r w:rsidR="000C5B45" w:rsidRPr="002F04E5">
        <w:t>.</w:t>
      </w:r>
    </w:p>
    <w:p w14:paraId="459BA843" w14:textId="77777777" w:rsidR="007C220A" w:rsidRPr="002F04E5" w:rsidRDefault="007C220A" w:rsidP="00996B9D">
      <w:pPr>
        <w:pStyle w:val="BodyText"/>
      </w:pPr>
    </w:p>
    <w:p w14:paraId="71FD69E7" w14:textId="2EA4F7A9" w:rsidR="00E37757" w:rsidRDefault="00E37757" w:rsidP="00E37757">
      <w:pPr>
        <w:tabs>
          <w:tab w:val="left" w:pos="7995"/>
        </w:tabs>
        <w:spacing w:line="259" w:lineRule="auto"/>
      </w:pPr>
      <w:r>
        <w:t>Over the longer</w:t>
      </w:r>
      <w:r w:rsidR="00BD7A53">
        <w:t xml:space="preserve"> </w:t>
      </w:r>
      <w:r>
        <w:t xml:space="preserve">term, voluntary demand for carbon offsets is likely to increase as companies respond to </w:t>
      </w:r>
      <w:r w:rsidR="00B2438F">
        <w:t xml:space="preserve">rising </w:t>
      </w:r>
      <w:r>
        <w:t xml:space="preserve">consumer and shareholder </w:t>
      </w:r>
      <w:r w:rsidR="00B2438F">
        <w:t>calls</w:t>
      </w:r>
      <w:r w:rsidRPr="00005FBB">
        <w:t xml:space="preserve"> </w:t>
      </w:r>
      <w:r w:rsidR="00B2438F">
        <w:t xml:space="preserve">for </w:t>
      </w:r>
      <w:r w:rsidR="000C5B45">
        <w:t>entities</w:t>
      </w:r>
      <w:r w:rsidRPr="00005FBB">
        <w:t xml:space="preserve"> </w:t>
      </w:r>
      <w:r>
        <w:t xml:space="preserve">to manage emissions and </w:t>
      </w:r>
      <w:r w:rsidR="00B2438F">
        <w:t>address</w:t>
      </w:r>
      <w:r>
        <w:t xml:space="preserve"> climate risks (</w:t>
      </w:r>
      <w:r w:rsidR="004F267E" w:rsidRPr="009B65DB">
        <w:t>CCA 2020</w:t>
      </w:r>
      <w:r w:rsidR="004F267E">
        <w:t>a</w:t>
      </w:r>
      <w:r>
        <w:t>).</w:t>
      </w:r>
      <w:r w:rsidR="00503B15">
        <w:t xml:space="preserve"> Even as they f</w:t>
      </w:r>
      <w:r w:rsidR="00503B15">
        <w:rPr>
          <w:rFonts w:eastAsia="Times New Roman"/>
        </w:rPr>
        <w:t xml:space="preserve">aced </w:t>
      </w:r>
      <w:r w:rsidR="00455F9E">
        <w:rPr>
          <w:rFonts w:eastAsia="Times New Roman"/>
        </w:rPr>
        <w:t xml:space="preserve">the </w:t>
      </w:r>
      <w:r w:rsidR="00503B15">
        <w:rPr>
          <w:rFonts w:eastAsia="Times New Roman"/>
        </w:rPr>
        <w:t xml:space="preserve">immediate challenges of the COVID-19 pandemic, </w:t>
      </w:r>
      <w:r w:rsidR="00503B15">
        <w:t xml:space="preserve">stakeholders spoke to the Authority about their ongoing </w:t>
      </w:r>
      <w:r w:rsidR="00503B15">
        <w:rPr>
          <w:rFonts w:eastAsia="Times New Roman"/>
        </w:rPr>
        <w:t>focus on the long term challenges and opportunities of the world moving to net zero emissions (</w:t>
      </w:r>
      <w:r w:rsidR="00503B15" w:rsidRPr="0022419A">
        <w:rPr>
          <w:rFonts w:eastAsia="Times New Roman"/>
        </w:rPr>
        <w:t>CCA 2020b</w:t>
      </w:r>
      <w:r w:rsidR="00503B15">
        <w:rPr>
          <w:rFonts w:eastAsia="Times New Roman"/>
        </w:rPr>
        <w:t xml:space="preserve">). </w:t>
      </w:r>
      <w:r>
        <w:t>However, the voluntary market appears to be contracting in 2020 due to the C</w:t>
      </w:r>
      <w:r w:rsidR="00BD7A53">
        <w:t>OVID</w:t>
      </w:r>
      <w:r>
        <w:t>-19-related economic downturn, particularly in the aviation sector</w:t>
      </w:r>
      <w:r w:rsidR="00E82695">
        <w:t xml:space="preserve"> (</w:t>
      </w:r>
      <w:r w:rsidR="00911AC1" w:rsidRPr="009B65DB">
        <w:t>CER 2020f</w:t>
      </w:r>
      <w:r w:rsidR="00E82695">
        <w:t>)</w:t>
      </w:r>
      <w:r>
        <w:t xml:space="preserve">. The decline has already affected </w:t>
      </w:r>
      <w:r w:rsidR="00810EBB">
        <w:t xml:space="preserve">ERF </w:t>
      </w:r>
      <w:r>
        <w:t>projects that usually sell to the voluntary market, especially savanna burning and vegetation projects</w:t>
      </w:r>
      <w:r w:rsidR="002D7C0B">
        <w:t xml:space="preserve"> (ICIN submission)</w:t>
      </w:r>
      <w:r>
        <w:t>.</w:t>
      </w:r>
    </w:p>
    <w:p w14:paraId="44D65295" w14:textId="680E886B" w:rsidR="00E37757" w:rsidRDefault="00E37757" w:rsidP="00E37757">
      <w:pPr>
        <w:tabs>
          <w:tab w:val="left" w:pos="7995"/>
        </w:tabs>
        <w:spacing w:line="259" w:lineRule="auto"/>
      </w:pPr>
      <w:r>
        <w:t xml:space="preserve">Voluntary demand for ACCUs is also tempered by the availability of cheaper international offset units. In 2019, </w:t>
      </w:r>
      <w:r w:rsidRPr="007C7A3D">
        <w:t xml:space="preserve">ACCUs represented </w:t>
      </w:r>
      <w:r>
        <w:t xml:space="preserve">just </w:t>
      </w:r>
      <w:r w:rsidR="00BD7A53">
        <w:t>6</w:t>
      </w:r>
      <w:r w:rsidRPr="007C7A3D">
        <w:t xml:space="preserve"> per cent of </w:t>
      </w:r>
      <w:r>
        <w:t xml:space="preserve">3.96 million </w:t>
      </w:r>
      <w:r w:rsidRPr="007C7A3D">
        <w:t xml:space="preserve">offsets </w:t>
      </w:r>
      <w:r>
        <w:t>contributing to</w:t>
      </w:r>
      <w:r w:rsidRPr="007C7A3D">
        <w:t xml:space="preserve"> Climate Active certifications</w:t>
      </w:r>
      <w:r>
        <w:t>;</w:t>
      </w:r>
      <w:r w:rsidRPr="007C7A3D">
        <w:t xml:space="preserve"> </w:t>
      </w:r>
      <w:r>
        <w:t xml:space="preserve">the remaining 94 per cent of </w:t>
      </w:r>
      <w:r w:rsidRPr="007C7A3D">
        <w:t>offsets were other units.</w:t>
      </w:r>
      <w:r w:rsidR="000E49C6">
        <w:t xml:space="preserve"> The integrity of ACCUs, </w:t>
      </w:r>
      <w:r w:rsidR="007C220A">
        <w:t xml:space="preserve">Australian provenance </w:t>
      </w:r>
      <w:r w:rsidR="000E49C6">
        <w:t xml:space="preserve">and co-benefits associated with the projects, make it a premium product and the Authority recommends upholding the integrity of </w:t>
      </w:r>
      <w:r w:rsidR="00101209">
        <w:t>ACCUs</w:t>
      </w:r>
      <w:r w:rsidR="000E49C6">
        <w:t xml:space="preserve"> (Chapter 5).</w:t>
      </w:r>
    </w:p>
    <w:p w14:paraId="390C4D36" w14:textId="4EF00AA2" w:rsidR="00AF2154" w:rsidRPr="00F94E82" w:rsidRDefault="005235DD" w:rsidP="00AF2154">
      <w:r w:rsidRPr="00C07051">
        <w:t>Mainstreaming the carbon offset</w:t>
      </w:r>
      <w:r w:rsidR="00191F3A">
        <w:t>s</w:t>
      </w:r>
      <w:r w:rsidRPr="00C07051">
        <w:t xml:space="preserve"> market </w:t>
      </w:r>
      <w:r>
        <w:t xml:space="preserve">and encouraging greater investment </w:t>
      </w:r>
      <w:r w:rsidRPr="00C07051">
        <w:t>will also help facilitate voluntary private sector demand.</w:t>
      </w:r>
      <w:r>
        <w:t xml:space="preserve"> </w:t>
      </w:r>
      <w:r w:rsidR="00E37757">
        <w:t>In 2017 the Authority recommended more information be made public to support the secondary market</w:t>
      </w:r>
      <w:r w:rsidR="00BA1591">
        <w:t xml:space="preserve"> (</w:t>
      </w:r>
      <w:r w:rsidR="00BA1591" w:rsidRPr="005E1241">
        <w:t>CCA 2017</w:t>
      </w:r>
      <w:r w:rsidR="002E646C" w:rsidRPr="005E1241">
        <w:t>a</w:t>
      </w:r>
      <w:r w:rsidR="00BA1591">
        <w:t>)</w:t>
      </w:r>
      <w:r w:rsidR="00E37757">
        <w:t xml:space="preserve">. Since December 2019, the Regulator has published quarterly market reports that provide information on ACCUs and on renewable energy certificates and have increased market information and transparency. </w:t>
      </w:r>
      <w:r w:rsidR="00840DB3" w:rsidRPr="00840DB3">
        <w:t xml:space="preserve">To </w:t>
      </w:r>
      <w:r w:rsidR="00840DB3">
        <w:t xml:space="preserve">further </w:t>
      </w:r>
      <w:r w:rsidR="00840DB3" w:rsidRPr="00840DB3">
        <w:t xml:space="preserve">improve the transparency of the secondary market, the Australian Industry Greenhouse Network (AIGN) has asked for more supply-side information such as an improved supply-side registry of ACCUs </w:t>
      </w:r>
      <w:r w:rsidR="00BD7A53">
        <w:t>“</w:t>
      </w:r>
      <w:r w:rsidR="00840DB3" w:rsidRPr="00840DB3">
        <w:t>to support market growth and price discovery</w:t>
      </w:r>
      <w:r w:rsidR="00BD7A53">
        <w:t>”</w:t>
      </w:r>
      <w:r w:rsidR="00840DB3" w:rsidRPr="00840DB3">
        <w:t xml:space="preserve"> (AIGN submission</w:t>
      </w:r>
      <w:r w:rsidR="007E4A3D">
        <w:t xml:space="preserve"> p.4</w:t>
      </w:r>
      <w:r w:rsidR="00840DB3" w:rsidRPr="00840DB3">
        <w:t>).</w:t>
      </w:r>
      <w:r w:rsidR="00840DB3">
        <w:t xml:space="preserve"> The </w:t>
      </w:r>
      <w:r w:rsidR="009841F1">
        <w:t>King Review</w:t>
      </w:r>
      <w:r w:rsidR="00840DB3">
        <w:t xml:space="preserve"> recommended</w:t>
      </w:r>
      <w:r w:rsidR="00E82677">
        <w:t xml:space="preserve">, and Government supported, work towards supporting a vibrant </w:t>
      </w:r>
      <w:r w:rsidR="00840DB3">
        <w:t>market</w:t>
      </w:r>
      <w:r w:rsidR="00E82677">
        <w:t xml:space="preserve"> for ACCUs, including the emergence of exchange-traded markets (</w:t>
      </w:r>
      <w:r w:rsidR="00077CC7" w:rsidRPr="00764422">
        <w:t xml:space="preserve">Australian Government </w:t>
      </w:r>
      <w:r w:rsidR="00077CC7" w:rsidRPr="009C394A">
        <w:rPr>
          <w:rFonts w:eastAsia="Times New Roman" w:cs="Arial"/>
          <w:szCs w:val="20"/>
          <w:lang w:eastAsia="en-AU"/>
        </w:rPr>
        <w:t>2020</w:t>
      </w:r>
      <w:r w:rsidR="00DC7BF8">
        <w:rPr>
          <w:rFonts w:eastAsia="Times New Roman" w:cs="Arial"/>
          <w:szCs w:val="20"/>
          <w:lang w:eastAsia="en-AU"/>
        </w:rPr>
        <w:t>a,b</w:t>
      </w:r>
      <w:r w:rsidR="00E82677">
        <w:t>).</w:t>
      </w:r>
      <w:r w:rsidR="00AF2154">
        <w:t xml:space="preserve">The Government has since announced funding </w:t>
      </w:r>
      <w:r w:rsidR="00AF2154">
        <w:rPr>
          <w:lang w:val="en-US"/>
        </w:rPr>
        <w:t xml:space="preserve">to establish an exchange platform for emissions reduction units to lower the costs to business of buying  ACCUs.  It is estimated that the reduction in transaction costs faced by business buying and selling ACCUs using an exchange platform could be in the order of $100 million over the period to 2030 (Taylor </w:t>
      </w:r>
      <w:r w:rsidR="00CC5149">
        <w:rPr>
          <w:lang w:val="en-US"/>
        </w:rPr>
        <w:t xml:space="preserve">A </w:t>
      </w:r>
      <w:r w:rsidR="00AF2154">
        <w:rPr>
          <w:lang w:val="en-US"/>
        </w:rPr>
        <w:t xml:space="preserve">2020a). </w:t>
      </w:r>
    </w:p>
    <w:p w14:paraId="13FC3EB1" w14:textId="79E66BE0" w:rsidR="0000581A" w:rsidRPr="00E60FF5" w:rsidRDefault="00AF2154" w:rsidP="0000581A">
      <w:r>
        <w:t xml:space="preserve"> </w:t>
      </w:r>
      <w:r w:rsidR="0000581A" w:rsidRPr="0029049E">
        <w:t xml:space="preserve">In 2019, state and territory </w:t>
      </w:r>
      <w:r w:rsidR="0000581A">
        <w:t>government</w:t>
      </w:r>
      <w:r w:rsidR="005235DD">
        <w:t>s</w:t>
      </w:r>
      <w:r w:rsidR="0000581A">
        <w:t xml:space="preserve"> </w:t>
      </w:r>
      <w:r w:rsidR="000C5B45">
        <w:t>demanded</w:t>
      </w:r>
      <w:r w:rsidR="00191F3A">
        <w:t xml:space="preserve"> </w:t>
      </w:r>
      <w:r w:rsidR="0000581A" w:rsidRPr="0029049E">
        <w:t>138,627 ACCUs, mostly to offset emissions from fleet vehicles, state-owned desalination plants and to meet some state-owned company commitments (</w:t>
      </w:r>
      <w:r w:rsidR="002031A7" w:rsidRPr="00694856">
        <w:t>CER 2020</w:t>
      </w:r>
      <w:r w:rsidR="002031A7">
        <w:t>i</w:t>
      </w:r>
      <w:r w:rsidR="0000581A" w:rsidRPr="0029049E">
        <w:t>).</w:t>
      </w:r>
      <w:r w:rsidR="0000581A">
        <w:t xml:space="preserve"> Given the state-based commitments </w:t>
      </w:r>
      <w:r w:rsidR="00191F3A">
        <w:t xml:space="preserve">to </w:t>
      </w:r>
      <w:r w:rsidR="0000581A">
        <w:t xml:space="preserve">net-zero emissions, </w:t>
      </w:r>
      <w:r w:rsidR="00F70BC1">
        <w:t>states and territories may adopt compliance market mechanisms, further increasing</w:t>
      </w:r>
      <w:r w:rsidR="0000581A">
        <w:t xml:space="preserve"> demand </w:t>
      </w:r>
      <w:r w:rsidR="00F70BC1">
        <w:t>for ACCUs</w:t>
      </w:r>
      <w:r w:rsidR="0000581A">
        <w:t xml:space="preserve">. </w:t>
      </w:r>
    </w:p>
    <w:p w14:paraId="4EFDB92F" w14:textId="2C83347B" w:rsidR="0000581A" w:rsidRDefault="0044018D" w:rsidP="00F94E82">
      <w:pPr>
        <w:pStyle w:val="Figure"/>
      </w:pPr>
      <w:bookmarkStart w:id="1762" w:name="_Toc53130458"/>
      <w:r w:rsidRPr="0068006E">
        <w:t xml:space="preserve">Figure 4.1 </w:t>
      </w:r>
      <w:r w:rsidR="0000581A" w:rsidRPr="0068006E">
        <w:t>Voluntary, state and territory government demand for ACCUs</w:t>
      </w:r>
      <w:bookmarkEnd w:id="1762"/>
      <w:r w:rsidR="0000581A" w:rsidRPr="0068006E">
        <w:t xml:space="preserve"> </w:t>
      </w:r>
    </w:p>
    <w:p w14:paraId="2A8E3490" w14:textId="77777777" w:rsidR="003A0A58" w:rsidRPr="0068006E" w:rsidRDefault="003A0A58" w:rsidP="00F94E82">
      <w:pPr>
        <w:pStyle w:val="Figure"/>
      </w:pPr>
    </w:p>
    <w:p w14:paraId="28E0E996" w14:textId="4F9A2131" w:rsidR="0068006E" w:rsidRDefault="005F21C6" w:rsidP="002B21D6">
      <w:pPr>
        <w:pStyle w:val="FootnoteText"/>
      </w:pPr>
      <w:r w:rsidRPr="00761DEA">
        <w:rPr>
          <w:b/>
          <w:noProof/>
          <w:lang w:eastAsia="en-AU"/>
        </w:rPr>
        <w:drawing>
          <wp:anchor distT="0" distB="0" distL="114300" distR="114300" simplePos="0" relativeHeight="251661320" behindDoc="0" locked="0" layoutInCell="1" allowOverlap="1" wp14:anchorId="3BF8C2E9" wp14:editId="4C58ECF9">
            <wp:simplePos x="0" y="0"/>
            <wp:positionH relativeFrom="margin">
              <wp:align>right</wp:align>
            </wp:positionH>
            <wp:positionV relativeFrom="paragraph">
              <wp:posOffset>972</wp:posOffset>
            </wp:positionV>
            <wp:extent cx="5731510" cy="3782060"/>
            <wp:effectExtent l="0" t="0" r="2540" b="8890"/>
            <wp:wrapTopAndBottom/>
            <wp:docPr id="6" name="Chart 6" descr="Figure 4.1 is a bar chart that shows the demand for ACCUs per quarter from the voluntary sector and state and territory governments from quarter 1 2018 to quarter 1 2020. Excluding demand from desalination, demand grew in 2019 (448,923 ACCUs) relative to 2018 (316,561 ACCUs). Overall, the highest demand was from the Climate Active Carbon Neutral standard with 488,711 ACCUs of demand over the time period." title="Figure 4.1 Voluntary, state and territory government demand for ACCU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2B21D6" w:rsidRPr="00761DEA">
        <w:rPr>
          <w:b/>
        </w:rPr>
        <w:t>Source</w:t>
      </w:r>
      <w:r w:rsidR="002B21D6">
        <w:t>:</w:t>
      </w:r>
      <w:r w:rsidR="00761DEA">
        <w:t xml:space="preserve"> CER 2020p.</w:t>
      </w:r>
    </w:p>
    <w:p w14:paraId="0440A557" w14:textId="0D90A072" w:rsidR="0034111C" w:rsidRPr="0068006E" w:rsidRDefault="0034111C" w:rsidP="00FE3F8C">
      <w:pPr>
        <w:pStyle w:val="Heading2"/>
        <w:numPr>
          <w:ilvl w:val="1"/>
          <w:numId w:val="16"/>
        </w:numPr>
        <w:rPr>
          <w:color w:val="0070AE" w:themeColor="accent2" w:themeTint="BF"/>
        </w:rPr>
      </w:pPr>
      <w:bookmarkStart w:id="1763" w:name="_Toc49524543"/>
      <w:bookmarkStart w:id="1764" w:name="_Toc49524681"/>
      <w:bookmarkStart w:id="1765" w:name="_Toc49527150"/>
      <w:bookmarkStart w:id="1766" w:name="_Toc49527988"/>
      <w:bookmarkStart w:id="1767" w:name="_Toc49692141"/>
      <w:bookmarkStart w:id="1768" w:name="_Toc49710514"/>
      <w:bookmarkStart w:id="1769" w:name="_Toc49710686"/>
      <w:bookmarkStart w:id="1770" w:name="_Toc49713239"/>
      <w:bookmarkStart w:id="1771" w:name="_Toc49713441"/>
      <w:bookmarkStart w:id="1772" w:name="_Toc49776379"/>
      <w:bookmarkStart w:id="1773" w:name="_Toc49784938"/>
      <w:bookmarkStart w:id="1774" w:name="_Toc49786264"/>
      <w:bookmarkStart w:id="1775" w:name="_Toc49787313"/>
      <w:bookmarkStart w:id="1776" w:name="_Toc49787368"/>
      <w:bookmarkStart w:id="1777" w:name="_Toc49850682"/>
      <w:bookmarkStart w:id="1778" w:name="_Toc49852924"/>
      <w:bookmarkStart w:id="1779" w:name="_Toc49854341"/>
      <w:bookmarkStart w:id="1780" w:name="_Toc49856937"/>
      <w:bookmarkStart w:id="1781" w:name="_Toc49858253"/>
      <w:bookmarkStart w:id="1782" w:name="_Toc49858308"/>
      <w:bookmarkStart w:id="1783" w:name="_Toc49863010"/>
      <w:bookmarkStart w:id="1784" w:name="_Toc49867733"/>
      <w:bookmarkStart w:id="1785" w:name="_Toc49870569"/>
      <w:bookmarkStart w:id="1786" w:name="_Toc49871312"/>
      <w:bookmarkStart w:id="1787" w:name="_Toc49871992"/>
      <w:bookmarkStart w:id="1788" w:name="_Toc49872545"/>
      <w:bookmarkStart w:id="1789" w:name="_Toc50027757"/>
      <w:bookmarkStart w:id="1790" w:name="_Toc50029451"/>
      <w:bookmarkStart w:id="1791" w:name="_Toc50043882"/>
      <w:bookmarkStart w:id="1792" w:name="_Toc50057733"/>
      <w:bookmarkStart w:id="1793" w:name="_Toc50553610"/>
      <w:bookmarkStart w:id="1794" w:name="_Toc50555373"/>
      <w:bookmarkStart w:id="1795" w:name="_Toc50559833"/>
      <w:bookmarkStart w:id="1796" w:name="_Toc50559886"/>
      <w:bookmarkStart w:id="1797" w:name="_Toc50563820"/>
      <w:bookmarkStart w:id="1798" w:name="_Toc50711373"/>
      <w:bookmarkStart w:id="1799" w:name="_Toc50720955"/>
      <w:bookmarkStart w:id="1800" w:name="_Toc50730679"/>
      <w:bookmarkStart w:id="1801" w:name="_Toc50734905"/>
      <w:bookmarkStart w:id="1802" w:name="_Toc50735508"/>
      <w:bookmarkStart w:id="1803" w:name="_Toc50905527"/>
      <w:bookmarkStart w:id="1804" w:name="_Toc51587012"/>
      <w:bookmarkStart w:id="1805" w:name="_Toc51594872"/>
      <w:bookmarkStart w:id="1806" w:name="_Toc51599475"/>
      <w:bookmarkStart w:id="1807" w:name="_Toc51613511"/>
      <w:bookmarkStart w:id="1808" w:name="_Toc51669622"/>
      <w:bookmarkStart w:id="1809" w:name="_Toc51669717"/>
      <w:bookmarkStart w:id="1810" w:name="_Toc51672866"/>
      <w:bookmarkStart w:id="1811" w:name="_Toc51673916"/>
      <w:bookmarkStart w:id="1812" w:name="_Toc51680733"/>
      <w:bookmarkStart w:id="1813" w:name="_Toc51683262"/>
      <w:bookmarkStart w:id="1814" w:name="_Toc51685998"/>
      <w:bookmarkStart w:id="1815" w:name="_Toc51687736"/>
      <w:bookmarkStart w:id="1816" w:name="_Toc51687880"/>
      <w:bookmarkStart w:id="1817" w:name="_Toc51705758"/>
      <w:bookmarkStart w:id="1818" w:name="_Toc51770704"/>
      <w:bookmarkStart w:id="1819" w:name="_Toc51770890"/>
      <w:bookmarkStart w:id="1820" w:name="_Toc52359233"/>
      <w:bookmarkStart w:id="1821" w:name="_Toc52367266"/>
      <w:bookmarkStart w:id="1822" w:name="_Toc52371606"/>
      <w:bookmarkStart w:id="1823" w:name="_Toc52374754"/>
      <w:bookmarkStart w:id="1824" w:name="_Toc52377292"/>
      <w:bookmarkStart w:id="1825" w:name="_Toc52379214"/>
      <w:bookmarkStart w:id="1826" w:name="_Toc52379569"/>
      <w:bookmarkStart w:id="1827" w:name="_Toc52532779"/>
      <w:bookmarkStart w:id="1828" w:name="_Toc52535674"/>
      <w:bookmarkStart w:id="1829" w:name="_Toc52537492"/>
      <w:bookmarkStart w:id="1830" w:name="_Toc52544055"/>
      <w:bookmarkStart w:id="1831" w:name="_Toc52545659"/>
      <w:bookmarkStart w:id="1832" w:name="_Toc52547891"/>
      <w:bookmarkStart w:id="1833" w:name="_Toc52548580"/>
      <w:bookmarkStart w:id="1834" w:name="_Toc52890872"/>
      <w:bookmarkStart w:id="1835" w:name="_Toc52895075"/>
      <w:bookmarkStart w:id="1836" w:name="_Toc52896599"/>
      <w:bookmarkStart w:id="1837" w:name="_Toc52977776"/>
      <w:bookmarkStart w:id="1838" w:name="_Toc53129462"/>
      <w:r w:rsidRPr="0068006E">
        <w:rPr>
          <w:color w:val="0070AE" w:themeColor="accent2" w:themeTint="BF"/>
        </w:rPr>
        <w:t>Innovative financing</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14:paraId="3DFFE894" w14:textId="3815790A" w:rsidR="0000581A" w:rsidRPr="0068006E" w:rsidRDefault="0000581A" w:rsidP="0034111C">
      <w:pPr>
        <w:pStyle w:val="Heading3"/>
        <w:rPr>
          <w:i/>
          <w:color w:val="0070AE" w:themeColor="accent2" w:themeTint="BF"/>
        </w:rPr>
      </w:pPr>
      <w:r w:rsidRPr="0068006E">
        <w:rPr>
          <w:i/>
          <w:color w:val="0070AE" w:themeColor="accent2" w:themeTint="BF"/>
        </w:rPr>
        <w:t xml:space="preserve">Co-financing </w:t>
      </w:r>
      <w:r w:rsidR="0034111C" w:rsidRPr="0068006E">
        <w:rPr>
          <w:i/>
          <w:color w:val="0070AE" w:themeColor="accent2" w:themeTint="BF"/>
        </w:rPr>
        <w:t>co-benefits</w:t>
      </w:r>
    </w:p>
    <w:p w14:paraId="6AD061A8" w14:textId="432A55A3" w:rsidR="000D3182" w:rsidRDefault="00FC3050" w:rsidP="00C5429E">
      <w:pPr>
        <w:tabs>
          <w:tab w:val="left" w:pos="2760"/>
        </w:tabs>
      </w:pPr>
      <w:r>
        <w:t xml:space="preserve">There is </w:t>
      </w:r>
      <w:r w:rsidR="000D3182">
        <w:t xml:space="preserve">increasing </w:t>
      </w:r>
      <w:r>
        <w:t xml:space="preserve">interest </w:t>
      </w:r>
      <w:r w:rsidR="00094E56">
        <w:t xml:space="preserve">from both the private and government sectors </w:t>
      </w:r>
      <w:r w:rsidR="000D3182">
        <w:t xml:space="preserve">in investing in ERF projects with environmental, social and cultural co-benefits (CMI 2017, </w:t>
      </w:r>
      <w:r w:rsidR="004F267E" w:rsidRPr="009B65DB">
        <w:t>CCA 2020</w:t>
      </w:r>
      <w:r w:rsidR="004F267E">
        <w:t>a</w:t>
      </w:r>
      <w:r w:rsidR="000D3182">
        <w:t xml:space="preserve">). </w:t>
      </w:r>
      <w:r w:rsidR="00094E56">
        <w:t>I</w:t>
      </w:r>
      <w:r>
        <w:t>nvest</w:t>
      </w:r>
      <w:r w:rsidR="00094E56">
        <w:t>ors</w:t>
      </w:r>
      <w:r>
        <w:t xml:space="preserve"> </w:t>
      </w:r>
      <w:r w:rsidR="00094E56">
        <w:t xml:space="preserve">in </w:t>
      </w:r>
      <w:r>
        <w:t>co-benefits</w:t>
      </w:r>
      <w:r w:rsidR="000D3182">
        <w:t xml:space="preserve"> pay a premium </w:t>
      </w:r>
      <w:r w:rsidR="00135710">
        <w:t xml:space="preserve">price </w:t>
      </w:r>
      <w:r w:rsidR="000D3182">
        <w:t xml:space="preserve">for ACCUs from projects </w:t>
      </w:r>
      <w:r>
        <w:t>with co-benefits</w:t>
      </w:r>
      <w:r w:rsidR="000D3182">
        <w:t xml:space="preserve"> or </w:t>
      </w:r>
      <w:r w:rsidR="00135710">
        <w:t xml:space="preserve">make a separate payment (e.g. </w:t>
      </w:r>
      <w:r w:rsidR="000D3182">
        <w:t xml:space="preserve">through </w:t>
      </w:r>
      <w:r>
        <w:t xml:space="preserve">funding from </w:t>
      </w:r>
      <w:r w:rsidR="00135710">
        <w:t>another</w:t>
      </w:r>
      <w:r>
        <w:t xml:space="preserve"> </w:t>
      </w:r>
      <w:r w:rsidR="000D3182">
        <w:t xml:space="preserve">government </w:t>
      </w:r>
      <w:r>
        <w:t>program</w:t>
      </w:r>
      <w:r w:rsidR="00135710">
        <w:t>)</w:t>
      </w:r>
      <w:r>
        <w:t xml:space="preserve"> for the co-benefit </w:t>
      </w:r>
      <w:r w:rsidR="00135710">
        <w:t>attached to an ACCU</w:t>
      </w:r>
      <w:r w:rsidR="000D3182">
        <w:t xml:space="preserve">. </w:t>
      </w:r>
      <w:r w:rsidR="00E40B5F">
        <w:t>T</w:t>
      </w:r>
      <w:r>
        <w:t xml:space="preserve">he </w:t>
      </w:r>
      <w:r w:rsidR="000D3182">
        <w:t>market for co-benefits</w:t>
      </w:r>
      <w:r>
        <w:t xml:space="preserve"> is not yet well-defined or developed. However there are several co-benefit models emerging, for example</w:t>
      </w:r>
      <w:r w:rsidR="000D3182">
        <w:t xml:space="preserve"> Reef Credit</w:t>
      </w:r>
      <w:r>
        <w:t>s</w:t>
      </w:r>
      <w:r w:rsidR="000D3182">
        <w:t xml:space="preserve"> (for improving reef water quality)</w:t>
      </w:r>
      <w:r>
        <w:t>, which</w:t>
      </w:r>
      <w:r w:rsidR="000D3182">
        <w:t xml:space="preserve"> </w:t>
      </w:r>
      <w:r w:rsidR="000C5B45">
        <w:t>are</w:t>
      </w:r>
      <w:r>
        <w:t xml:space="preserve"> currently being piloted</w:t>
      </w:r>
      <w:r w:rsidR="000D3182">
        <w:t xml:space="preserve"> and could </w:t>
      </w:r>
      <w:r w:rsidR="000C5B45">
        <w:t xml:space="preserve">be </w:t>
      </w:r>
      <w:r w:rsidR="000D3182">
        <w:t>linked with an ERF project (</w:t>
      </w:r>
      <w:r w:rsidR="000D3182" w:rsidRPr="00EA257E">
        <w:t>Reef Credit n.d</w:t>
      </w:r>
      <w:r w:rsidR="00EA257E">
        <w:t>.</w:t>
      </w:r>
      <w:r w:rsidR="0040176F" w:rsidRPr="00EA257E">
        <w:t>,</w:t>
      </w:r>
      <w:r w:rsidR="000D3182">
        <w:t xml:space="preserve"> </w:t>
      </w:r>
      <w:r w:rsidR="000D3182" w:rsidRPr="00C73146">
        <w:t>GBRF n.d</w:t>
      </w:r>
      <w:r w:rsidR="00C73146">
        <w:t>.</w:t>
      </w:r>
      <w:r w:rsidR="000D3182">
        <w:t>).</w:t>
      </w:r>
    </w:p>
    <w:p w14:paraId="573F50FB" w14:textId="7A161EB3" w:rsidR="000D3182" w:rsidRDefault="000D3182" w:rsidP="002F04E5">
      <w:pPr>
        <w:tabs>
          <w:tab w:val="left" w:pos="2760"/>
        </w:tabs>
      </w:pPr>
      <w:r>
        <w:t xml:space="preserve">Credits from savanna burning projects in northern Australia often attract a premium. ALFA noted that the </w:t>
      </w:r>
      <w:r w:rsidR="00BD7A53">
        <w:t>“</w:t>
      </w:r>
      <w:r w:rsidRPr="00781FA7">
        <w:t>credits produced by Aboriginal projects are highly valued and currently sell well in the voluntary market</w:t>
      </w:r>
      <w:r w:rsidR="00BD7A53">
        <w:t>”</w:t>
      </w:r>
      <w:r>
        <w:t xml:space="preserve"> (ALFA p. 9). ICIN and members noted in their submission that revenue from ERF projects </w:t>
      </w:r>
      <w:r w:rsidRPr="00962B16">
        <w:t xml:space="preserve">“is invested into </w:t>
      </w:r>
      <w:r>
        <w:t>loc</w:t>
      </w:r>
      <w:r w:rsidRPr="00962B16">
        <w:t>al communities as directed by Traditional Owners, including into programs supporting land management, protection of sacred sights, community education, intergenerational exchange of traditional knowledge, cultural exchanges, training and research”</w:t>
      </w:r>
      <w:r>
        <w:t xml:space="preserve"> (ICIN and members p. 2).</w:t>
      </w:r>
      <w:r w:rsidR="000C5B45" w:rsidRPr="000C5B45">
        <w:t xml:space="preserve"> </w:t>
      </w:r>
      <w:r w:rsidR="000C5B45">
        <w:t>To support this market, the Aboriginal Carbon Foundation has developed a framework for verifying the co-benefits associated with savanna burning projects</w:t>
      </w:r>
    </w:p>
    <w:p w14:paraId="6C259C92" w14:textId="2081B30B" w:rsidR="00C04CDE" w:rsidRPr="0068789C" w:rsidRDefault="00C04CDE" w:rsidP="002F04E5">
      <w:pPr>
        <w:tabs>
          <w:tab w:val="left" w:pos="2760"/>
        </w:tabs>
      </w:pPr>
      <w:r>
        <w:t xml:space="preserve">The </w:t>
      </w:r>
      <w:r w:rsidR="009841F1">
        <w:t>King Review</w:t>
      </w:r>
      <w:r>
        <w:t xml:space="preserve"> supported greater recognition of co-benefits and recommended the Regulator </w:t>
      </w:r>
      <w:r w:rsidRPr="002F04E5">
        <w:t>“accelerate its efforts to… support private quality branding of co-benefits associated with different abatement</w:t>
      </w:r>
      <w:r w:rsidRPr="001115FA">
        <w:rPr>
          <w:i/>
        </w:rPr>
        <w:t xml:space="preserve"> </w:t>
      </w:r>
      <w:r w:rsidRPr="00E330EF">
        <w:t>units</w:t>
      </w:r>
      <w:r w:rsidRPr="001115FA">
        <w:rPr>
          <w:i/>
        </w:rPr>
        <w:t xml:space="preserve">” </w:t>
      </w:r>
      <w:r>
        <w:t>(</w:t>
      </w:r>
      <w:r w:rsidR="00ED4610" w:rsidRPr="00764422">
        <w:t xml:space="preserve">Australian Government </w:t>
      </w:r>
      <w:r w:rsidR="00ED4610" w:rsidRPr="009C394A">
        <w:rPr>
          <w:rFonts w:eastAsia="Times New Roman" w:cs="Arial"/>
          <w:szCs w:val="20"/>
          <w:lang w:eastAsia="en-AU"/>
        </w:rPr>
        <w:t>2020</w:t>
      </w:r>
      <w:r w:rsidR="00ED4610">
        <w:rPr>
          <w:rFonts w:eastAsia="Times New Roman" w:cs="Arial"/>
          <w:szCs w:val="20"/>
          <w:lang w:eastAsia="en-AU"/>
        </w:rPr>
        <w:t>b</w:t>
      </w:r>
      <w:r w:rsidR="001B5487" w:rsidRPr="00764422" w:rsidDel="001B5487">
        <w:t xml:space="preserve"> </w:t>
      </w:r>
      <w:r w:rsidRPr="000D3182">
        <w:t>p.1</w:t>
      </w:r>
      <w:r w:rsidR="000D3182" w:rsidRPr="000D3182">
        <w:t>).</w:t>
      </w:r>
      <w:r>
        <w:t xml:space="preserve"> This has now been realised and account </w:t>
      </w:r>
      <w:r w:rsidRPr="0068789C">
        <w:t>holders are able to identify the origin or provenance of ACCUs in the national registry</w:t>
      </w:r>
      <w:r w:rsidR="00191F3A">
        <w:t>,</w:t>
      </w:r>
      <w:r>
        <w:t xml:space="preserve"> allow</w:t>
      </w:r>
      <w:r w:rsidR="00E40B5F">
        <w:t>ing</w:t>
      </w:r>
      <w:r>
        <w:t xml:space="preserve"> buyers to </w:t>
      </w:r>
      <w:r w:rsidRPr="0068789C">
        <w:t xml:space="preserve">verify that </w:t>
      </w:r>
      <w:r>
        <w:t xml:space="preserve">the </w:t>
      </w:r>
      <w:r w:rsidRPr="0068789C">
        <w:t xml:space="preserve">ACCUs purchased match </w:t>
      </w:r>
      <w:r>
        <w:t xml:space="preserve">their </w:t>
      </w:r>
      <w:r w:rsidRPr="0068789C">
        <w:t>requirements</w:t>
      </w:r>
      <w:r>
        <w:t xml:space="preserve"> (including </w:t>
      </w:r>
      <w:r w:rsidRPr="0068789C">
        <w:t>co-benefits, location and project proponent</w:t>
      </w:r>
      <w:r>
        <w:t xml:space="preserve">) and </w:t>
      </w:r>
      <w:r w:rsidRPr="0068789C">
        <w:t>increas</w:t>
      </w:r>
      <w:r w:rsidR="00E40B5F">
        <w:t>ing market</w:t>
      </w:r>
      <w:r w:rsidRPr="0068789C">
        <w:t xml:space="preserve"> transparency.</w:t>
      </w:r>
      <w:r w:rsidR="00F14FFE">
        <w:t xml:space="preserve"> The Authority welcomes this development. </w:t>
      </w:r>
    </w:p>
    <w:p w14:paraId="79F46E38" w14:textId="66091E97" w:rsidR="00C04CDE" w:rsidRDefault="002E1D3E" w:rsidP="002E1D3E">
      <w:pPr>
        <w:rPr>
          <w:rFonts w:cs="Arial"/>
        </w:rPr>
      </w:pPr>
      <w:r>
        <w:rPr>
          <w:rFonts w:cs="Arial"/>
        </w:rPr>
        <w:t xml:space="preserve">Stakeholder submissions proposed allowing </w:t>
      </w:r>
      <w:r w:rsidR="0012470F">
        <w:rPr>
          <w:rFonts w:cs="Arial"/>
        </w:rPr>
        <w:t xml:space="preserve">Government </w:t>
      </w:r>
      <w:r>
        <w:rPr>
          <w:rFonts w:cs="Arial"/>
        </w:rPr>
        <w:t>purchasing based on a broader range of values to further open up the market. Suggestions included purchasing based on Total Economic Value (Foresters of Australia); tailoring auctions to reach multiple sectors (Australian Sustainable Built Environment, Bioenergy Australia, Jemena Gas Networks); and purchasing ACCUs with multiple benefits (Bioenergy Australia, Foresters of Australia, Trust for Nature</w:t>
      </w:r>
      <w:r w:rsidR="003D1499">
        <w:rPr>
          <w:rFonts w:cs="Arial"/>
        </w:rPr>
        <w:t>, Carbon Neutral</w:t>
      </w:r>
      <w:r>
        <w:rPr>
          <w:rFonts w:cs="Arial"/>
        </w:rPr>
        <w:t xml:space="preserve">). </w:t>
      </w:r>
    </w:p>
    <w:p w14:paraId="31354AD0" w14:textId="77777777" w:rsidR="002E1D3E" w:rsidRDefault="00C04CDE" w:rsidP="000D3182">
      <w:pPr>
        <w:rPr>
          <w:rFonts w:cs="Arial"/>
        </w:rPr>
      </w:pPr>
      <w:r>
        <w:rPr>
          <w:rFonts w:cs="Arial"/>
        </w:rPr>
        <w:t>The lack of recognition of co-benefits in Government purchasing means that ERF projects with high overall value can miss out on Government support unless they are supported by complementary programs</w:t>
      </w:r>
      <w:r w:rsidR="000D3182">
        <w:rPr>
          <w:rFonts w:cs="Arial"/>
        </w:rPr>
        <w:t xml:space="preserve"> or funding</w:t>
      </w:r>
      <w:r>
        <w:rPr>
          <w:rFonts w:cs="Arial"/>
        </w:rPr>
        <w:t>:</w:t>
      </w:r>
    </w:p>
    <w:p w14:paraId="6483D9C3" w14:textId="3362C3EE" w:rsidR="00B537B2" w:rsidRDefault="00CB1557" w:rsidP="00B537B2">
      <w:pPr>
        <w:ind w:left="720"/>
      </w:pPr>
      <w:r>
        <w:rPr>
          <w:i/>
        </w:rPr>
        <w:t>‘</w:t>
      </w:r>
      <w:r w:rsidR="00B537B2" w:rsidRPr="00DA24E2">
        <w:rPr>
          <w:i/>
        </w:rPr>
        <w:t>The current policy of least cost abatement purchasing principles has no way of recognising and valuing multiple benefits, and in particular, the co-benefits associated with Indigenous participation in the carbon industry</w:t>
      </w:r>
      <w:r w:rsidR="00267222">
        <w:rPr>
          <w:i/>
        </w:rPr>
        <w:t>’</w:t>
      </w:r>
      <w:r w:rsidR="00A6620B">
        <w:t xml:space="preserve"> </w:t>
      </w:r>
      <w:r w:rsidR="00B537B2" w:rsidRPr="00F94E82">
        <w:rPr>
          <w:i/>
        </w:rPr>
        <w:t>(ALFA p.9).</w:t>
      </w:r>
      <w:r w:rsidR="00B537B2">
        <w:t xml:space="preserve"> </w:t>
      </w:r>
    </w:p>
    <w:p w14:paraId="6605FFA4" w14:textId="191960C8" w:rsidR="000D3182" w:rsidRDefault="000D3182" w:rsidP="000D3182">
      <w:r>
        <w:t>T</w:t>
      </w:r>
      <w:r w:rsidRPr="0029049E">
        <w:t xml:space="preserve">he $500 million Queensland Land Restoration Fund </w:t>
      </w:r>
      <w:r>
        <w:t xml:space="preserve">is </w:t>
      </w:r>
      <w:r w:rsidR="00B061C1">
        <w:t>supporting</w:t>
      </w:r>
      <w:r>
        <w:t xml:space="preserve"> ERF projects that deliver </w:t>
      </w:r>
      <w:r w:rsidRPr="0029049E">
        <w:t xml:space="preserve">co-benefits </w:t>
      </w:r>
      <w:r>
        <w:t xml:space="preserve">as well as abatement. </w:t>
      </w:r>
      <w:r w:rsidR="00B061C1">
        <w:t>It is unlikely that these same</w:t>
      </w:r>
      <w:r>
        <w:t xml:space="preserve"> projects </w:t>
      </w:r>
      <w:r w:rsidRPr="0029049E">
        <w:t xml:space="preserve">would have been competitive </w:t>
      </w:r>
      <w:r>
        <w:t xml:space="preserve">under the ERF </w:t>
      </w:r>
      <w:r w:rsidR="00B061C1">
        <w:t xml:space="preserve">based on the cost of carbon alone </w:t>
      </w:r>
      <w:r w:rsidRPr="001F47A9">
        <w:t xml:space="preserve">(Queensland Government </w:t>
      </w:r>
      <w:r w:rsidR="00FC3050" w:rsidRPr="001F47A9">
        <w:t>n.d</w:t>
      </w:r>
      <w:r w:rsidR="00E60FF5">
        <w:t>.</w:t>
      </w:r>
      <w:r w:rsidR="00FC3050" w:rsidRPr="00D554E6">
        <w:t>)</w:t>
      </w:r>
      <w:r w:rsidR="00191F3A">
        <w:t>.</w:t>
      </w:r>
      <w:r>
        <w:t xml:space="preserve"> Th</w:t>
      </w:r>
      <w:r w:rsidR="00B061C1">
        <w:t>e Land Restoration Fund</w:t>
      </w:r>
      <w:r>
        <w:t xml:space="preserve"> will diversify the types of projects that contribute to ERF abatement</w:t>
      </w:r>
      <w:r w:rsidR="00B061C1">
        <w:t>,</w:t>
      </w:r>
      <w:r>
        <w:t xml:space="preserve"> and the high-quality land management interventions can </w:t>
      </w:r>
      <w:r w:rsidR="000C5B45">
        <w:t>also</w:t>
      </w:r>
      <w:r>
        <w:t xml:space="preserve"> assist </w:t>
      </w:r>
      <w:r w:rsidR="00B061C1">
        <w:t>to build</w:t>
      </w:r>
      <w:r>
        <w:t xml:space="preserve"> climate resilience </w:t>
      </w:r>
      <w:r w:rsidR="00B061C1">
        <w:t xml:space="preserve">that is important to maintaining abatement </w:t>
      </w:r>
      <w:r>
        <w:t>(</w:t>
      </w:r>
      <w:r w:rsidRPr="002F04E5">
        <w:t>Chapter 10</w:t>
      </w:r>
      <w:r w:rsidR="002055F2">
        <w:t xml:space="preserve">, </w:t>
      </w:r>
      <w:r w:rsidR="002055F2" w:rsidRPr="00590039">
        <w:t>Queensland Government 2020a</w:t>
      </w:r>
      <w:r w:rsidRPr="002F04E5">
        <w:t>).</w:t>
      </w:r>
    </w:p>
    <w:p w14:paraId="40CC08C5" w14:textId="0396AACE" w:rsidR="00B061C1" w:rsidRDefault="00B061C1" w:rsidP="002F04E5">
      <w:r>
        <w:t>The A</w:t>
      </w:r>
      <w:r w:rsidRPr="00B32198">
        <w:t xml:space="preserve">uthority </w:t>
      </w:r>
      <w:r>
        <w:t xml:space="preserve">has previously </w:t>
      </w:r>
      <w:r w:rsidRPr="00B32198">
        <w:t>recommended better coordination of policies on emissions reductions, enhanced natural resource management outcomes and on-farm profitability, starting with the development of best-practice guidance and followed by the establishment of a community of practice</w:t>
      </w:r>
      <w:r w:rsidR="003B3AF8">
        <w:t xml:space="preserve"> </w:t>
      </w:r>
      <w:r w:rsidR="001C514A">
        <w:t>(</w:t>
      </w:r>
      <w:r w:rsidRPr="00AC04B7">
        <w:t>CCA 2018</w:t>
      </w:r>
      <w:r>
        <w:t xml:space="preserve">, </w:t>
      </w:r>
      <w:r w:rsidRPr="00AC04B7">
        <w:t>2020</w:t>
      </w:r>
      <w:r w:rsidR="00E75B3A">
        <w:t>a</w:t>
      </w:r>
      <w:r>
        <w:t xml:space="preserve">). </w:t>
      </w:r>
      <w:r w:rsidR="00F14FFE">
        <w:t>The aim</w:t>
      </w:r>
      <w:r w:rsidR="00A84DC0">
        <w:t xml:space="preserve"> of this </w:t>
      </w:r>
      <w:r w:rsidR="00F14FFE">
        <w:t>is to support government funding to achieve better overall value from government investment in land-sector actions.</w:t>
      </w:r>
      <w:r w:rsidR="001C514A">
        <w:t xml:space="preserve"> </w:t>
      </w:r>
    </w:p>
    <w:p w14:paraId="4FAD4811" w14:textId="15E4B9FF" w:rsidR="003B3AF8" w:rsidRDefault="003B3AF8" w:rsidP="002F04E5">
      <w:r>
        <w:t xml:space="preserve">Government programs could also be used to harness greater private sector involvement in the market. Climate Active is the biggest single source of voluntary market demand. The Australian Government could build on this </w:t>
      </w:r>
      <w:r w:rsidR="004C00B5">
        <w:t xml:space="preserve">source of demand </w:t>
      </w:r>
      <w:r>
        <w:t xml:space="preserve">by offering additional recognition to companies and products that </w:t>
      </w:r>
      <w:r w:rsidR="00191F3A">
        <w:t>use</w:t>
      </w:r>
      <w:r>
        <w:t xml:space="preserve"> ACCUs to meet their offset requirements, rather than only purchasing offsets generated overseas.</w:t>
      </w:r>
      <w:r w:rsidR="00EA4B2E">
        <w:t xml:space="preserve"> </w:t>
      </w:r>
      <w:r w:rsidR="00F52B56">
        <w:t>This could be assessed based on the use of ACCUs</w:t>
      </w:r>
      <w:r w:rsidR="00EA4B2E">
        <w:t xml:space="preserve"> as a proportion of a company’s total offsets and grouped into company size, so as not to favour companies with smaller carbon footprints where the burden </w:t>
      </w:r>
      <w:r w:rsidR="005B0A38">
        <w:t>of</w:t>
      </w:r>
      <w:r w:rsidR="00EA4B2E">
        <w:t xml:space="preserve"> purchas</w:t>
      </w:r>
      <w:r w:rsidR="005B0A38">
        <w:t>ing</w:t>
      </w:r>
      <w:r w:rsidR="00EA4B2E">
        <w:t xml:space="preserve"> offsets is less costly and so larger companies with bigger budgets are not unduly favoured. Recognition</w:t>
      </w:r>
      <w:r>
        <w:t xml:space="preserve"> could take the form of </w:t>
      </w:r>
      <w:r w:rsidR="00CB1557">
        <w:t>‘</w:t>
      </w:r>
      <w:r>
        <w:t xml:space="preserve">Australian </w:t>
      </w:r>
      <w:r w:rsidR="00191F3A">
        <w:t>Made</w:t>
      </w:r>
      <w:r w:rsidR="00CB1557">
        <w:t>’</w:t>
      </w:r>
      <w:r>
        <w:t xml:space="preserve"> style </w:t>
      </w:r>
      <w:r w:rsidR="004C00B5">
        <w:t xml:space="preserve">Climate Active </w:t>
      </w:r>
      <w:r>
        <w:t>badging</w:t>
      </w:r>
      <w:r w:rsidR="002B3442">
        <w:t xml:space="preserve"> or other incentives and could be rolled out in collaboration with industry representatives</w:t>
      </w:r>
      <w:r>
        <w:t xml:space="preserve">. There would be the possibility to extend </w:t>
      </w:r>
      <w:r w:rsidR="002B3442">
        <w:t xml:space="preserve">these incentives </w:t>
      </w:r>
      <w:r>
        <w:t xml:space="preserve">in the future to also recognise co-benefits. </w:t>
      </w:r>
    </w:p>
    <w:p w14:paraId="549B3960" w14:textId="77777777" w:rsidR="00C85396" w:rsidRDefault="00C85396" w:rsidP="002F04E5"/>
    <w:tbl>
      <w:tblPr>
        <w:tblStyle w:val="TableGrid"/>
        <w:tblW w:w="0" w:type="auto"/>
        <w:tblLook w:val="04A0" w:firstRow="1" w:lastRow="0" w:firstColumn="1" w:lastColumn="0" w:noHBand="0" w:noVBand="1"/>
      </w:tblPr>
      <w:tblGrid>
        <w:gridCol w:w="9016"/>
      </w:tblGrid>
      <w:tr w:rsidR="00E330EF" w14:paraId="167A549D" w14:textId="77777777" w:rsidTr="00E330EF">
        <w:tc>
          <w:tcPr>
            <w:tcW w:w="9016" w:type="dxa"/>
          </w:tcPr>
          <w:p w14:paraId="7974962D" w14:textId="77777777" w:rsidR="00E330EF" w:rsidRDefault="00E330EF" w:rsidP="00E330EF">
            <w:r w:rsidRPr="00657D37">
              <w:rPr>
                <w:b/>
              </w:rPr>
              <w:t>R</w:t>
            </w:r>
            <w:r>
              <w:rPr>
                <w:b/>
              </w:rPr>
              <w:t>ecommendation 3</w:t>
            </w:r>
            <w:r w:rsidRPr="00657D37">
              <w:t xml:space="preserve"> </w:t>
            </w:r>
          </w:p>
          <w:p w14:paraId="08B23789" w14:textId="77777777" w:rsidR="00E330EF" w:rsidRDefault="00E330EF" w:rsidP="00E330EF">
            <w:pPr>
              <w:rPr>
                <w:highlight w:val="yellow"/>
              </w:rPr>
            </w:pPr>
          </w:p>
          <w:p w14:paraId="639C606D" w14:textId="77777777" w:rsidR="00175CFE" w:rsidRPr="00175CFE" w:rsidRDefault="00175CFE" w:rsidP="00175CFE">
            <w:pPr>
              <w:rPr>
                <w:b/>
                <w:color w:val="000000"/>
                <w:szCs w:val="20"/>
              </w:rPr>
            </w:pPr>
            <w:r w:rsidRPr="00175CFE">
              <w:rPr>
                <w:b/>
              </w:rPr>
              <w:t>To enhance private demand for ACCUs, consider</w:t>
            </w:r>
            <w:r w:rsidR="00E330EF" w:rsidRPr="00E330EF">
              <w:rPr>
                <w:b/>
              </w:rPr>
              <w:t xml:space="preserve"> ways to incentivise voluntary purchasing, including for use under </w:t>
            </w:r>
            <w:r w:rsidR="00E330EF" w:rsidRPr="00E330EF">
              <w:rPr>
                <w:b/>
                <w:color w:val="000000"/>
                <w:szCs w:val="20"/>
              </w:rPr>
              <w:t xml:space="preserve">the Government’s voluntary carbon neutral scheme </w:t>
            </w:r>
            <w:r w:rsidR="00E330EF" w:rsidRPr="00E330EF">
              <w:rPr>
                <w:b/>
                <w:i/>
                <w:color w:val="000000"/>
                <w:szCs w:val="20"/>
              </w:rPr>
              <w:t>Climate Active</w:t>
            </w:r>
            <w:r w:rsidR="00E330EF" w:rsidRPr="00E330EF">
              <w:rPr>
                <w:b/>
                <w:color w:val="000000"/>
                <w:szCs w:val="20"/>
              </w:rPr>
              <w:t>. For example, in collaboration with industry representatives:</w:t>
            </w:r>
          </w:p>
          <w:p w14:paraId="012C252C" w14:textId="77777777" w:rsidR="00175CFE" w:rsidRPr="00175CFE" w:rsidRDefault="00175CFE" w:rsidP="00175CFE">
            <w:pPr>
              <w:rPr>
                <w:b/>
                <w:color w:val="000000"/>
                <w:szCs w:val="20"/>
              </w:rPr>
            </w:pPr>
          </w:p>
          <w:p w14:paraId="159AA7DC" w14:textId="5A6E0D8C" w:rsidR="00175CFE" w:rsidRPr="00175CFE" w:rsidRDefault="00175CFE" w:rsidP="00004274">
            <w:pPr>
              <w:pStyle w:val="ListParagraph"/>
              <w:numPr>
                <w:ilvl w:val="0"/>
                <w:numId w:val="39"/>
              </w:numPr>
              <w:ind w:left="360"/>
              <w:rPr>
                <w:b/>
              </w:rPr>
            </w:pPr>
            <w:r w:rsidRPr="00175CFE">
              <w:rPr>
                <w:b/>
              </w:rPr>
              <w:t xml:space="preserve">develop a tiered labelling scheme similar to the Australian Made brand that would enable companies seeking to become carbon neutral to promote those offsets that were sourced from a) ACCUs or </w:t>
            </w:r>
            <w:r w:rsidR="00260256">
              <w:rPr>
                <w:b/>
              </w:rPr>
              <w:t>b</w:t>
            </w:r>
            <w:r w:rsidRPr="00175CFE">
              <w:rPr>
                <w:b/>
              </w:rPr>
              <w:t>) ACCUs with social/biodiversity co-benefits</w:t>
            </w:r>
          </w:p>
          <w:p w14:paraId="6926501A" w14:textId="298183D2" w:rsidR="00175CFE" w:rsidRPr="00175CFE" w:rsidRDefault="00175CFE" w:rsidP="00175CFE">
            <w:pPr>
              <w:tabs>
                <w:tab w:val="left" w:pos="3015"/>
              </w:tabs>
              <w:rPr>
                <w:b/>
              </w:rPr>
            </w:pPr>
            <w:r w:rsidRPr="00175CFE">
              <w:rPr>
                <w:b/>
              </w:rPr>
              <w:tab/>
            </w:r>
          </w:p>
          <w:p w14:paraId="1B869E79" w14:textId="5ABBD321" w:rsidR="00E330EF" w:rsidRDefault="00175CFE" w:rsidP="000E435F">
            <w:pPr>
              <w:pStyle w:val="ListParagraph"/>
              <w:numPr>
                <w:ilvl w:val="0"/>
                <w:numId w:val="39"/>
              </w:numPr>
              <w:ind w:left="360"/>
            </w:pPr>
            <w:r w:rsidRPr="000E435F">
              <w:rPr>
                <w:b/>
              </w:rPr>
              <w:t xml:space="preserve">establish annual awards that recognise companies that source for voluntary mitigation action the most carbon offsets in the form of ACCUs. </w:t>
            </w:r>
          </w:p>
        </w:tc>
      </w:tr>
    </w:tbl>
    <w:p w14:paraId="7B975372" w14:textId="77777777" w:rsidR="00067B72" w:rsidRPr="00000812" w:rsidRDefault="00067B72" w:rsidP="00996B9D">
      <w:pPr>
        <w:pStyle w:val="BodyText"/>
      </w:pPr>
    </w:p>
    <w:p w14:paraId="642593A5" w14:textId="77777777" w:rsidR="0000581A" w:rsidRPr="0068006E" w:rsidRDefault="0000581A" w:rsidP="0000581A">
      <w:pPr>
        <w:pStyle w:val="Heading3"/>
        <w:rPr>
          <w:color w:val="0070AE" w:themeColor="accent2" w:themeTint="BF"/>
        </w:rPr>
      </w:pPr>
      <w:r w:rsidRPr="0068006E">
        <w:rPr>
          <w:i/>
          <w:color w:val="0070AE" w:themeColor="accent2" w:themeTint="BF"/>
        </w:rPr>
        <w:t>Aligning carbon credits with the broader market</w:t>
      </w:r>
      <w:r w:rsidRPr="0068006E">
        <w:rPr>
          <w:color w:val="0070AE" w:themeColor="accent2" w:themeTint="BF"/>
        </w:rPr>
        <w:t xml:space="preserve"> </w:t>
      </w:r>
      <w:r w:rsidRPr="0068006E">
        <w:rPr>
          <w:color w:val="0070AE" w:themeColor="accent2" w:themeTint="BF"/>
        </w:rPr>
        <w:tab/>
      </w:r>
    </w:p>
    <w:p w14:paraId="654EC37B" w14:textId="7BA6EE56" w:rsidR="00E37757" w:rsidRDefault="00E37757" w:rsidP="0000581A">
      <w:r>
        <w:t>Accessing financ</w:t>
      </w:r>
      <w:r w:rsidR="007D1FBC">
        <w:t>e</w:t>
      </w:r>
      <w:r>
        <w:t xml:space="preserve"> has been a barrier to </w:t>
      </w:r>
      <w:r w:rsidR="007D1FBC">
        <w:t xml:space="preserve">ERF </w:t>
      </w:r>
      <w:r>
        <w:t>projects</w:t>
      </w:r>
      <w:r w:rsidR="004E68E7">
        <w:t xml:space="preserve">, particularly where projects </w:t>
      </w:r>
      <w:r w:rsidR="00CC5149">
        <w:t>involve</w:t>
      </w:r>
      <w:r w:rsidR="004E68E7">
        <w:t xml:space="preserve"> high upfront costs. The </w:t>
      </w:r>
      <w:r w:rsidR="009841F1">
        <w:t>King Review</w:t>
      </w:r>
      <w:r w:rsidR="004E68E7">
        <w:t xml:space="preserve"> considered this issue and recommended issuing ACCUs ahead of when abatement occurs (compressed crediting) in some circumstances. This </w:t>
      </w:r>
      <w:r w:rsidR="009841F1">
        <w:t>King Review</w:t>
      </w:r>
      <w:r w:rsidR="004E68E7">
        <w:t xml:space="preserve"> recommendation is considered by the Authority in Chapter 5. </w:t>
      </w:r>
    </w:p>
    <w:p w14:paraId="2F69FC27" w14:textId="4E124810" w:rsidR="00BB58EA" w:rsidRDefault="0000581A" w:rsidP="0000581A">
      <w:r w:rsidRPr="00B32198">
        <w:t xml:space="preserve">The </w:t>
      </w:r>
      <w:r>
        <w:t xml:space="preserve">Authority has previously highlighted the proven success of the </w:t>
      </w:r>
      <w:r w:rsidRPr="00B32198">
        <w:t xml:space="preserve">Clean Energy Finance Corporation (CEFC) in overcoming barriers to the flow of private finance into cutting-edge renewable energy, low-emissions </w:t>
      </w:r>
      <w:r>
        <w:t>and energy efficiency projects. The CEFC</w:t>
      </w:r>
      <w:r w:rsidRPr="00F94BF3">
        <w:t xml:space="preserve"> works closely with ARENA to bring low emissions technologies that are ready for commercialisation to market</w:t>
      </w:r>
      <w:r w:rsidR="00BB58EA">
        <w:t xml:space="preserve">. A good example </w:t>
      </w:r>
      <w:r w:rsidR="007410DC">
        <w:t>of the potential complementarity of the CEFC and ARENA</w:t>
      </w:r>
      <w:r w:rsidR="00BB58EA">
        <w:t xml:space="preserve"> is the recently announced Technology Co-Investment Fund recommended by the King Review, which will deploy $95.4 million through ARENA to support businesses in the agriculture, manufacturing, industrial and transport sectors to adopt new technologies that increase productivity and reduce emissions</w:t>
      </w:r>
      <w:r w:rsidR="00A8561E">
        <w:t xml:space="preserve"> (Taylor A 2020)</w:t>
      </w:r>
      <w:r w:rsidR="00BB58EA">
        <w:t xml:space="preserve">. </w:t>
      </w:r>
    </w:p>
    <w:p w14:paraId="109E032D" w14:textId="4578B09E" w:rsidR="0000581A" w:rsidRDefault="00BB58EA" w:rsidP="0000581A">
      <w:r>
        <w:t>The CEFC would be well placed to work</w:t>
      </w:r>
      <w:r w:rsidR="007410DC">
        <w:t xml:space="preserve"> with ARENA</w:t>
      </w:r>
      <w:r w:rsidR="00923971">
        <w:t xml:space="preserve"> and the Regulator</w:t>
      </w:r>
      <w:r w:rsidR="007410DC">
        <w:t xml:space="preserve"> to commercialise these activities over time through</w:t>
      </w:r>
      <w:r w:rsidR="007410DC" w:rsidRPr="00F94BF3">
        <w:t xml:space="preserve"> </w:t>
      </w:r>
      <w:r w:rsidR="005B0A38">
        <w:t>the creation of</w:t>
      </w:r>
      <w:r w:rsidR="0000581A" w:rsidRPr="00F94BF3">
        <w:t xml:space="preserve"> new investment pathways using standard and innovative financial mechanisms like concessional debt, equity and blended finance mechanisms</w:t>
      </w:r>
      <w:r w:rsidR="00BD1A39" w:rsidDel="00191F3A">
        <w:t>.</w:t>
      </w:r>
      <w:r w:rsidR="0000581A" w:rsidRPr="00F94BF3">
        <w:t xml:space="preserve"> CEFC funding unlocks the supply of low emissions activities and catalyses private sector participation and co-investment. Because of the CEFC</w:t>
      </w:r>
      <w:r w:rsidR="00CC5149">
        <w:t>’</w:t>
      </w:r>
      <w:r w:rsidR="0000581A" w:rsidRPr="00F94BF3">
        <w:t>s investment mandate and market reach, it is strongly aligned with the supply of new abatement across the economy and is well integrated in the private finance and investment market.</w:t>
      </w:r>
      <w:r w:rsidR="000E435F">
        <w:t xml:space="preserve"> In </w:t>
      </w:r>
      <w:r w:rsidR="000E435F" w:rsidRPr="000E435F">
        <w:rPr>
          <w:i/>
        </w:rPr>
        <w:t>Prospering in a low-emissions world</w:t>
      </w:r>
      <w:r w:rsidR="000E435F">
        <w:t xml:space="preserve">, the Authority recommended expanding the remit of the CEFC to allow it to invest in emissions reductions technologies in all sectors to help overcome barriers to finance (CCA 2020a). The Authority welcomes the recent Government announcement to expand the low emissions investment mandate of both the CEFC and ARENA </w:t>
      </w:r>
      <w:r w:rsidR="006104F3">
        <w:t xml:space="preserve">to new technologies in all economic sectors </w:t>
      </w:r>
      <w:r w:rsidR="000E435F">
        <w:t>and sees this as an opportunity to facilitate innovative co-financing of ERF projects (Morrison S Taylor A 2020).</w:t>
      </w:r>
    </w:p>
    <w:p w14:paraId="59AC94B6" w14:textId="26DF7E8B" w:rsidR="002738B7" w:rsidRDefault="0000581A" w:rsidP="0000581A">
      <w:r w:rsidRPr="00F94BF3">
        <w:t>Currently the ERF operates as a stand-alone offsets scheme with demand primarily coming from Government purchasing.</w:t>
      </w:r>
      <w:r w:rsidRPr="00A849E9">
        <w:rPr>
          <w:rFonts w:cstheme="minorHAnsi"/>
          <w:color w:val="333132"/>
          <w:shd w:val="clear" w:color="auto" w:fill="FFFFFF"/>
        </w:rPr>
        <w:t xml:space="preserve"> </w:t>
      </w:r>
      <w:r>
        <w:t xml:space="preserve">Aligning CEFC investment activities with prospective ERF projects would harmonise emissions mitigation investment </w:t>
      </w:r>
      <w:r w:rsidR="002738B7">
        <w:t>across the economy</w:t>
      </w:r>
      <w:r>
        <w:t>.</w:t>
      </w:r>
      <w:r w:rsidR="002738B7">
        <w:t xml:space="preserve"> </w:t>
      </w:r>
      <w:r w:rsidRPr="00583A38">
        <w:t xml:space="preserve">The CEFC is </w:t>
      </w:r>
      <w:r w:rsidR="002738B7">
        <w:t>well positioned</w:t>
      </w:r>
      <w:r w:rsidRPr="00583A38">
        <w:t xml:space="preserve"> to attract participation and possibly co-investment from the private sector</w:t>
      </w:r>
      <w:r w:rsidR="00BD1A39">
        <w:t xml:space="preserve"> and to offer </w:t>
      </w:r>
      <w:r w:rsidR="00BA6C24">
        <w:t>new ways to support potential ERF projects with high upfront costs</w:t>
      </w:r>
      <w:r w:rsidR="000E435F">
        <w:t xml:space="preserve">, particularly those with high up-front costs. </w:t>
      </w:r>
    </w:p>
    <w:p w14:paraId="460A6FA9" w14:textId="208EA0F3" w:rsidR="0000581A" w:rsidRPr="00F30BD0" w:rsidRDefault="002738B7" w:rsidP="0000581A">
      <w:r>
        <w:t>Stakeholders have highlighted the finance sector’s lack of awareness and understanding of the ERF as another barrier to projects. Some have asked for information to be provided to regional bank branches whose approval is often crucial for financing the project</w:t>
      </w:r>
      <w:r w:rsidR="00923971">
        <w:t xml:space="preserve">. </w:t>
      </w:r>
      <w:r w:rsidR="0000581A" w:rsidRPr="00583A38">
        <w:t xml:space="preserve">Financial institutions do not </w:t>
      </w:r>
      <w:r w:rsidR="00666621">
        <w:t xml:space="preserve">always </w:t>
      </w:r>
      <w:r w:rsidR="0000581A" w:rsidRPr="00583A38">
        <w:t>interact with the ERF scheme on a meaningful level and are often wary of the scheme</w:t>
      </w:r>
      <w:r w:rsidR="005B0A38">
        <w:t>,</w:t>
      </w:r>
      <w:r w:rsidR="0000581A" w:rsidRPr="00583A38">
        <w:t xml:space="preserve"> viewing ERF contracts as a liability rather than a source of potential income for project proponents</w:t>
      </w:r>
      <w:r w:rsidR="00666621">
        <w:t xml:space="preserve"> </w:t>
      </w:r>
      <w:r w:rsidR="00666621" w:rsidRPr="003D5543">
        <w:t>(</w:t>
      </w:r>
      <w:r w:rsidR="00666621" w:rsidRPr="00E30227">
        <w:t>Macintosh et al. 2019</w:t>
      </w:r>
      <w:r w:rsidR="00666621" w:rsidRPr="008777B5">
        <w:t>)</w:t>
      </w:r>
      <w:r w:rsidR="0000581A" w:rsidRPr="008777B5">
        <w:t>.</w:t>
      </w:r>
      <w:r w:rsidR="0000581A" w:rsidRPr="00583A38">
        <w:t xml:space="preserve"> </w:t>
      </w:r>
    </w:p>
    <w:p w14:paraId="196A7838" w14:textId="68349AF0" w:rsidR="0000581A" w:rsidRPr="008F2E6B" w:rsidRDefault="0000581A" w:rsidP="0000581A">
      <w:r w:rsidRPr="00BC45F0">
        <w:t>The CEFC could enable better socialisation of ACCUs with banks and other financial institutions and provides options for innovation, such as upfront funding via concessional or income contingent loans, potential for more sophisticated contracts and blended financing options. This will in turn drive more supply and lower the overall cost of abatement.</w:t>
      </w:r>
      <w:r w:rsidRPr="00A849E9">
        <w:rPr>
          <w:rFonts w:cstheme="minorHAnsi"/>
          <w:color w:val="333132"/>
          <w:shd w:val="clear" w:color="auto" w:fill="FFFFFF"/>
        </w:rPr>
        <w:t xml:space="preserve"> </w:t>
      </w:r>
      <w:r>
        <w:t xml:space="preserve">New financing approaches are favoured by </w:t>
      </w:r>
      <w:r w:rsidR="009F386B">
        <w:t xml:space="preserve">some </w:t>
      </w:r>
      <w:r>
        <w:t>stakeholders. For example, Bioenergy Australia</w:t>
      </w:r>
      <w:r w:rsidR="0005094A">
        <w:t>’s</w:t>
      </w:r>
      <w:r>
        <w:t xml:space="preserve"> submission favour</w:t>
      </w:r>
      <w:r w:rsidR="0005094A">
        <w:t>s</w:t>
      </w:r>
      <w:r>
        <w:t xml:space="preserve"> upfront Government funding to help establish ERF projects with high capital costs and long-term benefits. This may be a better incentive </w:t>
      </w:r>
      <w:r w:rsidR="00DC310B">
        <w:t>than</w:t>
      </w:r>
      <w:r>
        <w:t xml:space="preserve"> manipulating the issuance of ACCUs to credit abatement before it </w:t>
      </w:r>
      <w:r w:rsidRPr="00BB58EA">
        <w:t>occurs (Chapter 5).</w:t>
      </w:r>
    </w:p>
    <w:p w14:paraId="44D412F1" w14:textId="4528DAA1" w:rsidR="0036326C" w:rsidDel="0036326C" w:rsidRDefault="0000581A" w:rsidP="0036326C">
      <w:r>
        <w:t>Industry stakeholders also asked for Government purchasing to create a market for diversified and transformative projects (Bioenergy Australia, Jemena Gas Network</w:t>
      </w:r>
      <w:r w:rsidRPr="00BB58EA">
        <w:t>, AFPA).</w:t>
      </w:r>
      <w:r>
        <w:t xml:space="preserve"> Although these projects are higher cost in the short-term, they drive long-term value and demonstrate technology pathways for achieving future mitigation of emissions (Jemena Gas Network). </w:t>
      </w:r>
      <w:r w:rsidR="0036326C">
        <w:t xml:space="preserve">Woodside suggested private sector collaboration with ERF auctions, including through being able to purchase ACCUs at or above the auction price ceiling using the same process (Woodside submission). </w:t>
      </w:r>
    </w:p>
    <w:p w14:paraId="67FA7F9D" w14:textId="77777777" w:rsidR="00C85396" w:rsidDel="0036326C" w:rsidRDefault="00C85396" w:rsidP="0036326C">
      <w:pPr>
        <w:rPr>
          <w:b/>
        </w:rPr>
      </w:pPr>
    </w:p>
    <w:tbl>
      <w:tblPr>
        <w:tblStyle w:val="TableGrid"/>
        <w:tblW w:w="0" w:type="auto"/>
        <w:tblLook w:val="04A0" w:firstRow="1" w:lastRow="0" w:firstColumn="1" w:lastColumn="0" w:noHBand="0" w:noVBand="1"/>
      </w:tblPr>
      <w:tblGrid>
        <w:gridCol w:w="9016"/>
      </w:tblGrid>
      <w:tr w:rsidR="00E330EF" w14:paraId="340FC561" w14:textId="77777777" w:rsidTr="00E330EF">
        <w:tc>
          <w:tcPr>
            <w:tcW w:w="9016" w:type="dxa"/>
          </w:tcPr>
          <w:p w14:paraId="57538122" w14:textId="77777777" w:rsidR="00E330EF" w:rsidRDefault="00E330EF" w:rsidP="00E330EF">
            <w:r w:rsidRPr="00657D37">
              <w:rPr>
                <w:b/>
              </w:rPr>
              <w:t>R</w:t>
            </w:r>
            <w:r>
              <w:rPr>
                <w:b/>
              </w:rPr>
              <w:t xml:space="preserve">ecommendation 4 </w:t>
            </w:r>
          </w:p>
          <w:p w14:paraId="398DDE1A" w14:textId="77777777" w:rsidR="00E330EF" w:rsidRDefault="00E330EF" w:rsidP="00E330EF"/>
          <w:p w14:paraId="1B7D6170" w14:textId="3EE7FA04" w:rsidR="00E330EF" w:rsidRDefault="00C9067D" w:rsidP="003513EB">
            <w:pPr>
              <w:rPr>
                <w:b/>
              </w:rPr>
            </w:pPr>
            <w:r w:rsidRPr="00E30227">
              <w:rPr>
                <w:b/>
              </w:rPr>
              <w:t xml:space="preserve">To facilitate innovative co-financing of ERF projects, particularly those with high upfront costs, </w:t>
            </w:r>
            <w:r w:rsidRPr="00443235">
              <w:rPr>
                <w:b/>
              </w:rPr>
              <w:t>the</w:t>
            </w:r>
            <w:r w:rsidRPr="00E330EF">
              <w:rPr>
                <w:b/>
              </w:rPr>
              <w:t xml:space="preserve"> Regulator, CEFC and ARENA collaborate to align the ERF with the broader suite of Commonwealth, state and territory government climate initiatives and the growing sustainable private finance market</w:t>
            </w:r>
            <w:r>
              <w:rPr>
                <w:b/>
              </w:rPr>
              <w:t xml:space="preserve">. </w:t>
            </w:r>
          </w:p>
        </w:tc>
      </w:tr>
    </w:tbl>
    <w:p w14:paraId="7341F86E" w14:textId="16E77CBF" w:rsidR="00E029E3" w:rsidRPr="00E029E3" w:rsidRDefault="00E029E3" w:rsidP="00E330EF">
      <w:pPr>
        <w:rPr>
          <w:b/>
        </w:rPr>
      </w:pPr>
      <w:r w:rsidRPr="00E330EF">
        <w:rPr>
          <w:b/>
        </w:rPr>
        <w:t xml:space="preserve"> </w:t>
      </w:r>
    </w:p>
    <w:p w14:paraId="7B854230" w14:textId="376E1D53" w:rsidR="00416618" w:rsidRPr="0068006E" w:rsidRDefault="00416618" w:rsidP="00416618">
      <w:pPr>
        <w:pStyle w:val="Heading3"/>
        <w:rPr>
          <w:i/>
          <w:color w:val="0070AE" w:themeColor="accent2" w:themeTint="BF"/>
        </w:rPr>
      </w:pPr>
      <w:r w:rsidRPr="0068006E">
        <w:rPr>
          <w:i/>
          <w:color w:val="0070AE" w:themeColor="accent2" w:themeTint="BF"/>
        </w:rPr>
        <w:t>Prioritising methods that maximise abatement</w:t>
      </w:r>
    </w:p>
    <w:p w14:paraId="0C074F2E" w14:textId="3D8CE2E0" w:rsidR="008C7676" w:rsidRDefault="007977EF" w:rsidP="00E330EF">
      <w:pPr>
        <w:spacing w:line="259" w:lineRule="auto"/>
        <w:contextualSpacing/>
        <w:rPr>
          <w:lang w:val="en-US"/>
        </w:rPr>
      </w:pPr>
      <w:r>
        <w:t>The type</w:t>
      </w:r>
      <w:r w:rsidR="005B0A38">
        <w:t>s</w:t>
      </w:r>
      <w:r>
        <w:t xml:space="preserve"> of a</w:t>
      </w:r>
      <w:r w:rsidR="007E64DB" w:rsidRPr="005864C0">
        <w:t xml:space="preserve">batement </w:t>
      </w:r>
      <w:r>
        <w:t>activities</w:t>
      </w:r>
      <w:r w:rsidR="007E64DB" w:rsidRPr="005864C0">
        <w:t xml:space="preserve"> under the ERF are limited by the method</w:t>
      </w:r>
      <w:r>
        <w:t>s</w:t>
      </w:r>
      <w:r w:rsidR="007E64DB" w:rsidRPr="005864C0">
        <w:t xml:space="preserve"> available. </w:t>
      </w:r>
      <w:r w:rsidR="007E64DB" w:rsidRPr="006A08E8">
        <w:t>There are</w:t>
      </w:r>
      <w:r w:rsidR="007E64DB">
        <w:t xml:space="preserve"> </w:t>
      </w:r>
      <w:r w:rsidR="005B0A38">
        <w:t xml:space="preserve">currently </w:t>
      </w:r>
      <w:r w:rsidR="007E64DB" w:rsidRPr="006A08E8">
        <w:t>34</w:t>
      </w:r>
      <w:r w:rsidR="007E64DB" w:rsidRPr="005864C0">
        <w:t xml:space="preserve"> method</w:t>
      </w:r>
      <w:r>
        <w:t>s</w:t>
      </w:r>
      <w:r w:rsidR="007E64DB" w:rsidRPr="005864C0">
        <w:t xml:space="preserve">, but </w:t>
      </w:r>
      <w:r w:rsidR="007E64DB" w:rsidRPr="006A08E8">
        <w:t xml:space="preserve">projects are registered under </w:t>
      </w:r>
      <w:r w:rsidR="007E64DB" w:rsidRPr="005864C0">
        <w:t xml:space="preserve">only </w:t>
      </w:r>
      <w:r w:rsidR="007E64DB" w:rsidRPr="006A08E8">
        <w:t>27</w:t>
      </w:r>
      <w:r w:rsidR="005B0A38">
        <w:t xml:space="preserve"> of them</w:t>
      </w:r>
      <w:r w:rsidR="007E64DB" w:rsidRPr="006A08E8">
        <w:t>.</w:t>
      </w:r>
      <w:r w:rsidR="007E64DB" w:rsidRPr="005864C0">
        <w:t xml:space="preserve"> </w:t>
      </w:r>
      <w:r w:rsidR="009F386B">
        <w:t>Some s</w:t>
      </w:r>
      <w:r w:rsidR="00416618" w:rsidRPr="00F30BD0">
        <w:t xml:space="preserve">takeholders have </w:t>
      </w:r>
      <w:r w:rsidR="00716C6B">
        <w:t>said</w:t>
      </w:r>
      <w:r w:rsidR="00416618" w:rsidRPr="00F30BD0">
        <w:t xml:space="preserve"> </w:t>
      </w:r>
      <w:r w:rsidR="00416618" w:rsidRPr="00F30BD0">
        <w:rPr>
          <w:lang w:val="en-US"/>
        </w:rPr>
        <w:t xml:space="preserve">that </w:t>
      </w:r>
      <w:r w:rsidR="00716C6B">
        <w:rPr>
          <w:lang w:val="en-US"/>
        </w:rPr>
        <w:t xml:space="preserve">ERF methods are not </w:t>
      </w:r>
      <w:r w:rsidR="00416618" w:rsidRPr="00F30BD0">
        <w:rPr>
          <w:lang w:val="en-US"/>
        </w:rPr>
        <w:t xml:space="preserve">the most efficient or effective mechanism to incentivise </w:t>
      </w:r>
      <w:r w:rsidR="00716C6B">
        <w:rPr>
          <w:lang w:val="en-US"/>
        </w:rPr>
        <w:t>some</w:t>
      </w:r>
      <w:r w:rsidR="00716C6B" w:rsidRPr="00F30BD0">
        <w:rPr>
          <w:lang w:val="en-US"/>
        </w:rPr>
        <w:t xml:space="preserve"> activit</w:t>
      </w:r>
      <w:r w:rsidR="00716C6B">
        <w:rPr>
          <w:lang w:val="en-US"/>
        </w:rPr>
        <w:t>ies</w:t>
      </w:r>
      <w:r w:rsidR="00416618">
        <w:rPr>
          <w:lang w:val="en-US"/>
        </w:rPr>
        <w:t>,</w:t>
      </w:r>
      <w:r w:rsidR="00416618" w:rsidRPr="00F30BD0">
        <w:rPr>
          <w:lang w:val="en-US"/>
        </w:rPr>
        <w:t xml:space="preserve"> </w:t>
      </w:r>
      <w:r w:rsidR="00416618">
        <w:rPr>
          <w:lang w:val="en-US"/>
        </w:rPr>
        <w:t xml:space="preserve">particularly </w:t>
      </w:r>
      <w:r w:rsidR="00416618" w:rsidRPr="00697D71">
        <w:t xml:space="preserve">for large-scale </w:t>
      </w:r>
      <w:r w:rsidR="00416618">
        <w:t xml:space="preserve">abatement from the </w:t>
      </w:r>
      <w:r w:rsidR="00416618" w:rsidRPr="00697D71">
        <w:t xml:space="preserve">industrial and resources </w:t>
      </w:r>
      <w:r w:rsidR="00416618">
        <w:t>sectors and to drive energy efficiency activities in the built environment sector</w:t>
      </w:r>
      <w:r w:rsidR="00416618" w:rsidRPr="00F30BD0">
        <w:rPr>
          <w:lang w:val="en-US"/>
        </w:rPr>
        <w:t xml:space="preserve"> (Environmental Peak Bodies</w:t>
      </w:r>
      <w:r w:rsidR="00416618">
        <w:rPr>
          <w:lang w:val="en-US"/>
        </w:rPr>
        <w:t>, AIGN</w:t>
      </w:r>
      <w:r w:rsidR="00E330EF">
        <w:rPr>
          <w:lang w:val="en-US"/>
        </w:rPr>
        <w:t>).</w:t>
      </w:r>
      <w:r w:rsidR="00416618" w:rsidRPr="00F30BD0">
        <w:rPr>
          <w:lang w:val="en-US"/>
        </w:rPr>
        <w:t xml:space="preserve"> For example, </w:t>
      </w:r>
      <w:r w:rsidR="008C7676">
        <w:rPr>
          <w:lang w:val="en-US"/>
        </w:rPr>
        <w:t>a joint</w:t>
      </w:r>
      <w:r w:rsidR="00416618" w:rsidRPr="00F30BD0">
        <w:rPr>
          <w:lang w:val="en-US"/>
        </w:rPr>
        <w:t xml:space="preserve"> submission from </w:t>
      </w:r>
      <w:r w:rsidR="008C7676">
        <w:rPr>
          <w:lang w:val="en-US"/>
        </w:rPr>
        <w:t>b</w:t>
      </w:r>
      <w:r w:rsidR="00416618" w:rsidRPr="00F30BD0">
        <w:rPr>
          <w:lang w:val="en-US"/>
        </w:rPr>
        <w:t xml:space="preserve">uilt </w:t>
      </w:r>
      <w:r w:rsidR="008C7676">
        <w:rPr>
          <w:lang w:val="en-US"/>
        </w:rPr>
        <w:t>e</w:t>
      </w:r>
      <w:r w:rsidR="00416618" w:rsidRPr="00F30BD0">
        <w:rPr>
          <w:lang w:val="en-US"/>
        </w:rPr>
        <w:t xml:space="preserve">nvironment </w:t>
      </w:r>
      <w:r w:rsidR="008C7676">
        <w:rPr>
          <w:lang w:val="en-US"/>
        </w:rPr>
        <w:t>p</w:t>
      </w:r>
      <w:r w:rsidR="00416618" w:rsidRPr="00F30BD0">
        <w:rPr>
          <w:lang w:val="en-US"/>
        </w:rPr>
        <w:t xml:space="preserve">eak </w:t>
      </w:r>
      <w:r w:rsidR="008C7676">
        <w:rPr>
          <w:lang w:val="en-US"/>
        </w:rPr>
        <w:t>b</w:t>
      </w:r>
      <w:r w:rsidR="00416618" w:rsidRPr="00F30BD0">
        <w:rPr>
          <w:lang w:val="en-US"/>
        </w:rPr>
        <w:t>odies</w:t>
      </w:r>
      <w:r w:rsidR="008C7676">
        <w:rPr>
          <w:lang w:val="en-US"/>
        </w:rPr>
        <w:t xml:space="preserve">, including the Australian Sustainable </w:t>
      </w:r>
      <w:r w:rsidR="00416618" w:rsidRPr="00F30BD0">
        <w:rPr>
          <w:lang w:val="en-US"/>
        </w:rPr>
        <w:t xml:space="preserve">Built Environment </w:t>
      </w:r>
      <w:r w:rsidR="008C7676">
        <w:rPr>
          <w:lang w:val="en-US"/>
        </w:rPr>
        <w:t>Council and the Green Building Council of Australia,</w:t>
      </w:r>
      <w:r w:rsidR="00416618" w:rsidRPr="00F30BD0">
        <w:rPr>
          <w:lang w:val="en-US"/>
        </w:rPr>
        <w:t xml:space="preserve"> states that the ERF </w:t>
      </w:r>
      <w:r w:rsidR="008C7676">
        <w:rPr>
          <w:lang w:val="en-US"/>
        </w:rPr>
        <w:t xml:space="preserve">has </w:t>
      </w:r>
      <w:r w:rsidR="00416618" w:rsidRPr="00F30BD0">
        <w:rPr>
          <w:lang w:val="en-US"/>
        </w:rPr>
        <w:t>not drive</w:t>
      </w:r>
      <w:r w:rsidR="008C7676">
        <w:rPr>
          <w:lang w:val="en-US"/>
        </w:rPr>
        <w:t>n</w:t>
      </w:r>
      <w:r w:rsidR="00416618" w:rsidRPr="00F30BD0">
        <w:rPr>
          <w:lang w:val="en-US"/>
        </w:rPr>
        <w:t xml:space="preserve"> abatement in buildings</w:t>
      </w:r>
      <w:r w:rsidR="000321BF">
        <w:rPr>
          <w:lang w:val="en-US"/>
        </w:rPr>
        <w:t>. The submission</w:t>
      </w:r>
      <w:r w:rsidR="008C7676">
        <w:rPr>
          <w:lang w:val="en-US"/>
        </w:rPr>
        <w:t xml:space="preserve"> identif</w:t>
      </w:r>
      <w:r w:rsidR="000321BF">
        <w:rPr>
          <w:lang w:val="en-US"/>
        </w:rPr>
        <w:t>ies</w:t>
      </w:r>
      <w:r w:rsidR="008C7676">
        <w:rPr>
          <w:lang w:val="en-US"/>
        </w:rPr>
        <w:t xml:space="preserve"> the following as barriers to abatement opportunities </w:t>
      </w:r>
      <w:r w:rsidR="000321BF">
        <w:rPr>
          <w:lang w:val="en-US"/>
        </w:rPr>
        <w:t>with</w:t>
      </w:r>
      <w:r w:rsidR="008C7676">
        <w:rPr>
          <w:lang w:val="en-US"/>
        </w:rPr>
        <w:t>in the</w:t>
      </w:r>
      <w:r w:rsidR="000321BF">
        <w:rPr>
          <w:lang w:val="en-US"/>
        </w:rPr>
        <w:t xml:space="preserve"> building</w:t>
      </w:r>
      <w:r w:rsidR="008C7676">
        <w:rPr>
          <w:lang w:val="en-US"/>
        </w:rPr>
        <w:t xml:space="preserve"> sector: </w:t>
      </w:r>
    </w:p>
    <w:p w14:paraId="4D7D2A92" w14:textId="60E88AD5" w:rsidR="008C7676" w:rsidRPr="007977EF" w:rsidRDefault="008C7676" w:rsidP="0068006E">
      <w:pPr>
        <w:pStyle w:val="ListParagraph"/>
        <w:numPr>
          <w:ilvl w:val="0"/>
          <w:numId w:val="36"/>
        </w:numPr>
      </w:pPr>
      <w:r>
        <w:rPr>
          <w:lang w:val="en-US"/>
        </w:rPr>
        <w:t xml:space="preserve">minimum bid sizes of 2000 tonnes of annual emissions savings </w:t>
      </w:r>
    </w:p>
    <w:p w14:paraId="35C6BD5B" w14:textId="383989B3" w:rsidR="008C7676" w:rsidRPr="007977EF" w:rsidRDefault="008C7676" w:rsidP="00FE3F8C">
      <w:pPr>
        <w:pStyle w:val="ListParagraph"/>
        <w:numPr>
          <w:ilvl w:val="0"/>
          <w:numId w:val="36"/>
        </w:numPr>
      </w:pPr>
      <w:r>
        <w:rPr>
          <w:lang w:val="en-US"/>
        </w:rPr>
        <w:t>major time-lags between auctions and transaction costs</w:t>
      </w:r>
    </w:p>
    <w:p w14:paraId="0B38076E" w14:textId="2AE5D7FA" w:rsidR="008C7676" w:rsidRPr="007977EF" w:rsidRDefault="008C7676" w:rsidP="00FE3F8C">
      <w:pPr>
        <w:pStyle w:val="ListParagraph"/>
        <w:numPr>
          <w:ilvl w:val="0"/>
          <w:numId w:val="36"/>
        </w:numPr>
      </w:pPr>
      <w:r>
        <w:rPr>
          <w:lang w:val="en-US"/>
        </w:rPr>
        <w:t>high transaction costs to prepare and aggregate bids and uncertainty about the price for abatement (p. 4).</w:t>
      </w:r>
    </w:p>
    <w:p w14:paraId="0679B5DD" w14:textId="147F813D" w:rsidR="00EB4C0E" w:rsidRDefault="00FF22E4" w:rsidP="00416618">
      <w:pPr>
        <w:rPr>
          <w:lang w:val="en-US"/>
        </w:rPr>
      </w:pPr>
      <w:r>
        <w:t xml:space="preserve">The use of optional </w:t>
      </w:r>
      <w:r w:rsidR="00CC5149">
        <w:t xml:space="preserve">delivery </w:t>
      </w:r>
      <w:r>
        <w:t>contracts may help de-risk price uncertainty.</w:t>
      </w:r>
      <w:r>
        <w:rPr>
          <w:lang w:val="en-US"/>
        </w:rPr>
        <w:t xml:space="preserve"> </w:t>
      </w:r>
      <w:r w:rsidR="00EB4C0E">
        <w:rPr>
          <w:lang w:val="en-US"/>
        </w:rPr>
        <w:t xml:space="preserve">The </w:t>
      </w:r>
      <w:r w:rsidR="009841F1">
        <w:rPr>
          <w:lang w:val="en-US"/>
        </w:rPr>
        <w:t>King Review</w:t>
      </w:r>
      <w:r w:rsidR="00EB4C0E">
        <w:rPr>
          <w:lang w:val="en-US"/>
        </w:rPr>
        <w:t xml:space="preserve"> has also stated that the design features of the ERF as an offsets scheme make it difficult for certain activities to participate, however, rather than changing the fundamental design features of the ERF, other policy mechanisms should be used for those activities not well suited to the scheme (</w:t>
      </w:r>
      <w:r w:rsidR="00ED4610" w:rsidRPr="00764422">
        <w:t xml:space="preserve">Australian Government </w:t>
      </w:r>
      <w:r w:rsidR="00ED4610" w:rsidRPr="009C394A">
        <w:rPr>
          <w:rFonts w:eastAsia="Times New Roman" w:cs="Arial"/>
          <w:szCs w:val="20"/>
          <w:lang w:eastAsia="en-AU"/>
        </w:rPr>
        <w:t>2020</w:t>
      </w:r>
      <w:r w:rsidR="00ED4610">
        <w:rPr>
          <w:rFonts w:eastAsia="Times New Roman" w:cs="Arial"/>
          <w:szCs w:val="20"/>
          <w:lang w:eastAsia="en-AU"/>
        </w:rPr>
        <w:t>b</w:t>
      </w:r>
      <w:r w:rsidR="00EB4C0E" w:rsidRPr="00764422">
        <w:rPr>
          <w:lang w:val="en-US"/>
        </w:rPr>
        <w:t>).</w:t>
      </w:r>
      <w:r w:rsidR="00C836BA">
        <w:rPr>
          <w:lang w:val="en-US"/>
        </w:rPr>
        <w:t xml:space="preserve"> The Authority agrees that other instruments are more suitable than an offsets scheme in many cases</w:t>
      </w:r>
      <w:r w:rsidR="00D37400">
        <w:rPr>
          <w:lang w:val="en-US"/>
        </w:rPr>
        <w:t xml:space="preserve"> and welcomes the Government’s recent announcement of a </w:t>
      </w:r>
      <w:r w:rsidR="00D37400" w:rsidRPr="00D37400">
        <w:rPr>
          <w:lang w:val="en-US"/>
        </w:rPr>
        <w:t xml:space="preserve">new $95.4 million Technology Co-Investment Fund </w:t>
      </w:r>
      <w:r w:rsidR="00D37400">
        <w:rPr>
          <w:lang w:val="en-US"/>
        </w:rPr>
        <w:t>to s</w:t>
      </w:r>
      <w:r w:rsidR="00D37400" w:rsidRPr="00D37400">
        <w:rPr>
          <w:lang w:val="en-US"/>
        </w:rPr>
        <w:t>upport businesses in the agriculture, manufacturing, industrial and transport sectors to adopt technologies that increase productivity and reduce emissions</w:t>
      </w:r>
      <w:r w:rsidR="00D37400">
        <w:rPr>
          <w:lang w:val="en-US"/>
        </w:rPr>
        <w:t xml:space="preserve"> (</w:t>
      </w:r>
      <w:r w:rsidR="000C1527">
        <w:rPr>
          <w:lang w:val="en-US"/>
        </w:rPr>
        <w:t>Morrison S, Taylor A 2020)</w:t>
      </w:r>
      <w:r w:rsidR="00D37400">
        <w:rPr>
          <w:lang w:val="en-US"/>
        </w:rPr>
        <w:t>).</w:t>
      </w:r>
    </w:p>
    <w:p w14:paraId="0978AEAE" w14:textId="360DB98E" w:rsidR="00EB4C0E" w:rsidRDefault="00EB4C0E" w:rsidP="00416618">
      <w:pPr>
        <w:rPr>
          <w:lang w:val="en-US"/>
        </w:rPr>
      </w:pPr>
      <w:r>
        <w:rPr>
          <w:lang w:val="en-US"/>
        </w:rPr>
        <w:t>Input from industry on what activities could work well under the ERF</w:t>
      </w:r>
      <w:r w:rsidR="00191F3A">
        <w:rPr>
          <w:lang w:val="en-US"/>
        </w:rPr>
        <w:t>,</w:t>
      </w:r>
      <w:r>
        <w:rPr>
          <w:lang w:val="en-US"/>
        </w:rPr>
        <w:t xml:space="preserve"> and greater certainty on how methods are identified for </w:t>
      </w:r>
      <w:r w:rsidDel="00191F3A">
        <w:rPr>
          <w:lang w:val="en-US"/>
        </w:rPr>
        <w:t>prioritisation</w:t>
      </w:r>
      <w:r w:rsidR="00191F3A">
        <w:rPr>
          <w:lang w:val="en-US"/>
        </w:rPr>
        <w:t>,</w:t>
      </w:r>
      <w:r>
        <w:rPr>
          <w:lang w:val="en-US"/>
        </w:rPr>
        <w:t xml:space="preserve"> would encourage greater participation and the realisation of better low-cost abatement opportunities.</w:t>
      </w:r>
    </w:p>
    <w:p w14:paraId="0DA012F2" w14:textId="2D0346DA" w:rsidR="00416618" w:rsidRDefault="00416618" w:rsidP="00416618">
      <w:pPr>
        <w:rPr>
          <w:lang w:val="en-US"/>
        </w:rPr>
      </w:pPr>
      <w:r>
        <w:t>International experience and practice indicates that offsets schemes are only well suited to a small number of activities predominantly in the land and agricultural sectors (</w:t>
      </w:r>
      <w:r w:rsidRPr="00D824B0">
        <w:t>World Bank</w:t>
      </w:r>
      <w:r w:rsidR="00FB665F" w:rsidRPr="00D824B0">
        <w:t xml:space="preserve"> 2020</w:t>
      </w:r>
      <w:r>
        <w:t xml:space="preserve">). </w:t>
      </w:r>
      <w:r w:rsidRPr="00F30BD0">
        <w:t xml:space="preserve">The Authority </w:t>
      </w:r>
      <w:r>
        <w:t xml:space="preserve">has recommended </w:t>
      </w:r>
      <w:r w:rsidRPr="00F30BD0">
        <w:t xml:space="preserve">that the ERF retain </w:t>
      </w:r>
      <w:r w:rsidR="00EB4C0E">
        <w:t>its</w:t>
      </w:r>
      <w:r w:rsidR="00EB4C0E" w:rsidRPr="00F30BD0">
        <w:t xml:space="preserve"> </w:t>
      </w:r>
      <w:r w:rsidRPr="00F30BD0">
        <w:t>focus on the land and agriculture sector</w:t>
      </w:r>
      <w:r w:rsidR="00191F3A">
        <w:t>s</w:t>
      </w:r>
      <w:r w:rsidR="00EB4C0E">
        <w:t xml:space="preserve">. Projects in these sectors can also </w:t>
      </w:r>
      <w:r w:rsidRPr="00F30BD0">
        <w:t>deliver on the third objective of the CFI Act</w:t>
      </w:r>
      <w:r w:rsidR="005B0A38">
        <w:t>:</w:t>
      </w:r>
      <w:r w:rsidR="00CC5149">
        <w:t xml:space="preserve"> </w:t>
      </w:r>
      <w:r w:rsidRPr="00F30BD0">
        <w:t xml:space="preserve">to protect the environment and increase climate resilience. </w:t>
      </w:r>
      <w:r w:rsidRPr="00F30BD0">
        <w:rPr>
          <w:lang w:val="en-US"/>
        </w:rPr>
        <w:t>Several stakeholders have said that the ERF should remain focused on generating offsets in the agriculture and land sectors and look to enhance co-benefits (</w:t>
      </w:r>
      <w:r w:rsidRPr="000D079B">
        <w:rPr>
          <w:lang w:val="en-US"/>
        </w:rPr>
        <w:t>Greening Australia, NRM Regions Australia, ACF</w:t>
      </w:r>
      <w:r w:rsidRPr="00F30BD0">
        <w:rPr>
          <w:lang w:val="en-US"/>
        </w:rPr>
        <w:t>).</w:t>
      </w:r>
      <w:r w:rsidR="00EB4C0E" w:rsidDel="00EB4C0E">
        <w:rPr>
          <w:lang w:val="en-US"/>
        </w:rPr>
        <w:t xml:space="preserve"> </w:t>
      </w:r>
    </w:p>
    <w:p w14:paraId="0FA5CE98" w14:textId="70617414" w:rsidR="00555C0F" w:rsidRDefault="00416618" w:rsidP="00416618">
      <w:r w:rsidRPr="00402EB5">
        <w:t xml:space="preserve">The </w:t>
      </w:r>
      <w:r w:rsidR="009841F1">
        <w:t>King Review</w:t>
      </w:r>
      <w:r w:rsidRPr="00402EB5">
        <w:t xml:space="preserve"> recommended the Government publish a formal policy governing the prioritisation and development of ERF methods in order to provide stakeholders with greater confidence about method development processes and the opportunities for consultation. The Government agreed with</w:t>
      </w:r>
      <w:r w:rsidR="00555C0F">
        <w:t xml:space="preserve"> and the Authority supports this </w:t>
      </w:r>
      <w:r w:rsidR="003478B7">
        <w:t>recommendation</w:t>
      </w:r>
      <w:r w:rsidR="00555C0F">
        <w:t xml:space="preserve">. </w:t>
      </w:r>
    </w:p>
    <w:p w14:paraId="33640B58" w14:textId="565A2006" w:rsidR="002C4370" w:rsidRDefault="00555C0F" w:rsidP="00416618">
      <w:r>
        <w:t xml:space="preserve">The Department </w:t>
      </w:r>
      <w:r w:rsidR="004E70A0">
        <w:t>has</w:t>
      </w:r>
      <w:r>
        <w:t xml:space="preserve"> already </w:t>
      </w:r>
      <w:r w:rsidR="000D079B">
        <w:t xml:space="preserve">published </w:t>
      </w:r>
      <w:r w:rsidR="004E70A0">
        <w:t xml:space="preserve">on its website an </w:t>
      </w:r>
      <w:r w:rsidR="00302A89">
        <w:t>information document</w:t>
      </w:r>
      <w:r w:rsidR="00FD1ED7">
        <w:t>,</w:t>
      </w:r>
      <w:r w:rsidR="00302A89">
        <w:t xml:space="preserve"> </w:t>
      </w:r>
      <w:r w:rsidR="005B0A38">
        <w:rPr>
          <w:i/>
        </w:rPr>
        <w:t>M</w:t>
      </w:r>
      <w:r w:rsidR="00E11455">
        <w:rPr>
          <w:i/>
        </w:rPr>
        <w:t>aking methods</w:t>
      </w:r>
      <w:r w:rsidR="00302A89" w:rsidRPr="009556F7">
        <w:rPr>
          <w:i/>
        </w:rPr>
        <w:t xml:space="preserve"> under the Emissions Reduction Fund</w:t>
      </w:r>
      <w:r w:rsidR="00FD1ED7">
        <w:t>,</w:t>
      </w:r>
      <w:r w:rsidR="00416618" w:rsidRPr="00402EB5" w:rsidDel="00302A89">
        <w:t xml:space="preserve"> </w:t>
      </w:r>
      <w:r w:rsidR="004E70A0">
        <w:t>which</w:t>
      </w:r>
      <w:r w:rsidR="000D079B">
        <w:t xml:space="preserve"> </w:t>
      </w:r>
      <w:r w:rsidR="00CD0181" w:rsidRPr="007977EF">
        <w:t>set</w:t>
      </w:r>
      <w:r w:rsidR="004E70A0">
        <w:t>s out the factors</w:t>
      </w:r>
      <w:r w:rsidR="00CD0181">
        <w:t xml:space="preserve"> </w:t>
      </w:r>
      <w:r w:rsidR="00CD0181" w:rsidRPr="007977EF">
        <w:t>the Minister considers when determining priority activities for method development</w:t>
      </w:r>
      <w:r w:rsidR="00302A89">
        <w:t xml:space="preserve"> (</w:t>
      </w:r>
      <w:r w:rsidR="00302A89" w:rsidRPr="00495B0A">
        <w:t>Australian Government n.d</w:t>
      </w:r>
      <w:r w:rsidR="00495B0A">
        <w:t>.</w:t>
      </w:r>
      <w:r w:rsidR="00302A89">
        <w:t>).</w:t>
      </w:r>
      <w:r w:rsidR="00215ABF" w:rsidRPr="007E5B3A">
        <w:t xml:space="preserve"> </w:t>
      </w:r>
      <w:r w:rsidR="00DB1E98">
        <w:t>This was published in response to the Authority’s 2017 review</w:t>
      </w:r>
      <w:r w:rsidR="00150212">
        <w:t xml:space="preserve"> recommendations</w:t>
      </w:r>
      <w:r w:rsidR="00DB1E98">
        <w:t xml:space="preserve">. </w:t>
      </w:r>
      <w:r w:rsidR="00215ABF">
        <w:t>A Ministeri</w:t>
      </w:r>
      <w:r w:rsidR="00CD0181">
        <w:t>al statement of priorities that</w:t>
      </w:r>
      <w:r w:rsidR="00215ABF">
        <w:t xml:space="preserve"> references the </w:t>
      </w:r>
      <w:r w:rsidR="009556F7">
        <w:t>Ministerial considerations set out in the</w:t>
      </w:r>
      <w:r>
        <w:t xml:space="preserve"> current</w:t>
      </w:r>
      <w:r w:rsidR="009556F7">
        <w:t xml:space="preserve"> information document </w:t>
      </w:r>
      <w:r w:rsidR="00215ABF">
        <w:t xml:space="preserve">could provide greater clarity for stakeholders. </w:t>
      </w:r>
      <w:r w:rsidR="00CD0181" w:rsidRPr="00402EB5">
        <w:t xml:space="preserve">The </w:t>
      </w:r>
      <w:r w:rsidR="00CD0181">
        <w:t xml:space="preserve">statement of priorities </w:t>
      </w:r>
      <w:r w:rsidR="00CD0181" w:rsidRPr="00402EB5">
        <w:t>could</w:t>
      </w:r>
      <w:r w:rsidR="00CD0181">
        <w:t xml:space="preserve"> be published </w:t>
      </w:r>
      <w:r w:rsidR="009556F7">
        <w:t xml:space="preserve">in conjunction with the annual Low </w:t>
      </w:r>
      <w:r w:rsidR="00191F3A">
        <w:t>E</w:t>
      </w:r>
      <w:r w:rsidR="009556F7">
        <w:t xml:space="preserve">missions Technology Statement </w:t>
      </w:r>
      <w:r w:rsidR="00CD0181">
        <w:t>and</w:t>
      </w:r>
      <w:r w:rsidR="00CD0181" w:rsidRPr="00402EB5">
        <w:t xml:space="preserve"> </w:t>
      </w:r>
      <w:r w:rsidR="00CD0181">
        <w:t xml:space="preserve">be preceded by a </w:t>
      </w:r>
      <w:r w:rsidR="00CD0181" w:rsidRPr="00402EB5">
        <w:t xml:space="preserve">formal process </w:t>
      </w:r>
      <w:r w:rsidR="00191F3A" w:rsidRPr="00402EB5">
        <w:t>with an opportunity for consultation</w:t>
      </w:r>
      <w:r w:rsidR="00191F3A">
        <w:t>,</w:t>
      </w:r>
      <w:r w:rsidR="00191F3A" w:rsidRPr="00402EB5" w:rsidDel="00191F3A">
        <w:t xml:space="preserve"> </w:t>
      </w:r>
      <w:r w:rsidR="00191F3A">
        <w:t>enabling stakeholders</w:t>
      </w:r>
      <w:r w:rsidR="00CD0181" w:rsidRPr="00402EB5">
        <w:t xml:space="preserve"> to recommend </w:t>
      </w:r>
      <w:r w:rsidR="00CD0181">
        <w:t xml:space="preserve">activities </w:t>
      </w:r>
      <w:r w:rsidR="00CD0181" w:rsidRPr="00402EB5">
        <w:t>for consideration by the Minister.</w:t>
      </w:r>
      <w:r w:rsidR="007977EF" w:rsidDel="007977EF">
        <w:t xml:space="preserve"> </w:t>
      </w:r>
    </w:p>
    <w:p w14:paraId="0DAB576F" w14:textId="77777777" w:rsidR="006F2EE4" w:rsidRDefault="006F2EE4" w:rsidP="00416618"/>
    <w:tbl>
      <w:tblPr>
        <w:tblStyle w:val="TableGrid"/>
        <w:tblW w:w="0" w:type="auto"/>
        <w:tblLook w:val="04A0" w:firstRow="1" w:lastRow="0" w:firstColumn="1" w:lastColumn="0" w:noHBand="0" w:noVBand="1"/>
      </w:tblPr>
      <w:tblGrid>
        <w:gridCol w:w="9016"/>
      </w:tblGrid>
      <w:tr w:rsidR="00E330EF" w14:paraId="786DF549" w14:textId="77777777" w:rsidTr="00E330EF">
        <w:tc>
          <w:tcPr>
            <w:tcW w:w="9016" w:type="dxa"/>
          </w:tcPr>
          <w:p w14:paraId="13DBFE20" w14:textId="77777777" w:rsidR="00E330EF" w:rsidRDefault="00E330EF" w:rsidP="00E330EF">
            <w:pPr>
              <w:rPr>
                <w:rFonts w:eastAsia="Calibri" w:cs="Arial"/>
                <w:szCs w:val="20"/>
              </w:rPr>
            </w:pPr>
            <w:r w:rsidRPr="00657D37">
              <w:rPr>
                <w:b/>
              </w:rPr>
              <w:t>R</w:t>
            </w:r>
            <w:r>
              <w:rPr>
                <w:b/>
              </w:rPr>
              <w:t>ecommendation 5</w:t>
            </w:r>
          </w:p>
          <w:p w14:paraId="79B0BE94" w14:textId="77777777" w:rsidR="00E330EF" w:rsidRDefault="00E330EF" w:rsidP="00E330EF">
            <w:pPr>
              <w:contextualSpacing/>
              <w:rPr>
                <w:rFonts w:eastAsia="Calibri" w:cs="Arial"/>
                <w:szCs w:val="20"/>
              </w:rPr>
            </w:pPr>
          </w:p>
          <w:p w14:paraId="4F1D4D61" w14:textId="77777777" w:rsidR="00C9067D" w:rsidRPr="00443235" w:rsidRDefault="00C9067D" w:rsidP="00C9067D">
            <w:pPr>
              <w:rPr>
                <w:rFonts w:eastAsia="Calibri" w:cs="Arial"/>
                <w:b/>
                <w:szCs w:val="20"/>
              </w:rPr>
            </w:pPr>
            <w:r w:rsidRPr="00A648D8">
              <w:rPr>
                <w:rFonts w:eastAsia="Calibri" w:cs="Arial"/>
                <w:b/>
                <w:szCs w:val="20"/>
              </w:rPr>
              <w:t>To facilitate market certainty and encourage industry participation, publish a statement of priority emissions reduction activities for method development, in conjunction with the annual Low Emissions Technology Statement.</w:t>
            </w:r>
          </w:p>
          <w:p w14:paraId="322E6B4A" w14:textId="77777777" w:rsidR="00C9067D" w:rsidRPr="00443235" w:rsidRDefault="00C9067D" w:rsidP="00C9067D">
            <w:pPr>
              <w:rPr>
                <w:rFonts w:eastAsia="Calibri" w:cs="Arial"/>
                <w:b/>
                <w:szCs w:val="20"/>
              </w:rPr>
            </w:pPr>
          </w:p>
          <w:p w14:paraId="39D6C2AF" w14:textId="77777777" w:rsidR="00C9067D" w:rsidRPr="00443235" w:rsidRDefault="00C9067D" w:rsidP="00C9067D">
            <w:pPr>
              <w:rPr>
                <w:rFonts w:eastAsia="Calibri" w:cs="Arial"/>
                <w:b/>
                <w:szCs w:val="20"/>
              </w:rPr>
            </w:pPr>
            <w:r w:rsidRPr="00443235">
              <w:rPr>
                <w:rFonts w:eastAsia="Calibri" w:cs="Arial"/>
                <w:b/>
                <w:szCs w:val="20"/>
              </w:rPr>
              <w:t xml:space="preserve">For each prioritised activity, the statement should reference considerations for prioritising activities as set out in the published document </w:t>
            </w:r>
            <w:r w:rsidRPr="00443235">
              <w:rPr>
                <w:rFonts w:eastAsia="Calibri" w:cs="Arial"/>
                <w:b/>
                <w:i/>
                <w:szCs w:val="20"/>
              </w:rPr>
              <w:t>Making methods under the ERF</w:t>
            </w:r>
            <w:r w:rsidRPr="00443235">
              <w:rPr>
                <w:rFonts w:eastAsia="Calibri" w:cs="Arial"/>
                <w:b/>
                <w:szCs w:val="20"/>
              </w:rPr>
              <w:t xml:space="preserve">, namely: </w:t>
            </w:r>
          </w:p>
          <w:p w14:paraId="7EF79461" w14:textId="77777777" w:rsidR="00C9067D" w:rsidRPr="00443235" w:rsidRDefault="00C9067D" w:rsidP="00C9067D">
            <w:pPr>
              <w:contextualSpacing/>
              <w:rPr>
                <w:rFonts w:eastAsia="Calibri" w:cs="Arial"/>
                <w:b/>
                <w:szCs w:val="20"/>
              </w:rPr>
            </w:pPr>
          </w:p>
          <w:p w14:paraId="7B044126" w14:textId="77777777" w:rsidR="00C9067D" w:rsidRPr="00443235" w:rsidRDefault="00C9067D" w:rsidP="00C9067D">
            <w:pPr>
              <w:numPr>
                <w:ilvl w:val="0"/>
                <w:numId w:val="17"/>
              </w:numPr>
              <w:contextualSpacing/>
              <w:rPr>
                <w:rFonts w:eastAsia="Calibri" w:cs="Arial"/>
                <w:b/>
                <w:szCs w:val="20"/>
              </w:rPr>
            </w:pPr>
            <w:r w:rsidRPr="00443235">
              <w:rPr>
                <w:rFonts w:eastAsia="Calibri" w:cs="Arial"/>
                <w:b/>
                <w:szCs w:val="20"/>
              </w:rPr>
              <w:t>potential uptake of the activity and likely volume of abatement</w:t>
            </w:r>
          </w:p>
          <w:p w14:paraId="6D444F01" w14:textId="77777777" w:rsidR="00C9067D" w:rsidRPr="00443235" w:rsidRDefault="00C9067D" w:rsidP="00C9067D">
            <w:pPr>
              <w:numPr>
                <w:ilvl w:val="0"/>
                <w:numId w:val="17"/>
              </w:numPr>
              <w:contextualSpacing/>
              <w:rPr>
                <w:rFonts w:eastAsia="Calibri" w:cs="Arial"/>
                <w:b/>
                <w:szCs w:val="20"/>
              </w:rPr>
            </w:pPr>
            <w:r w:rsidRPr="00443235">
              <w:rPr>
                <w:rFonts w:eastAsia="Calibri" w:cs="Arial"/>
                <w:b/>
                <w:szCs w:val="20"/>
              </w:rPr>
              <w:t>whether the activity is technology proven and commercially ready</w:t>
            </w:r>
          </w:p>
          <w:p w14:paraId="7097D178" w14:textId="77777777" w:rsidR="00C9067D" w:rsidRPr="00443235" w:rsidRDefault="00C9067D" w:rsidP="00C9067D">
            <w:pPr>
              <w:numPr>
                <w:ilvl w:val="0"/>
                <w:numId w:val="17"/>
              </w:numPr>
              <w:contextualSpacing/>
              <w:rPr>
                <w:rFonts w:eastAsia="Calibri" w:cs="Arial"/>
                <w:b/>
                <w:szCs w:val="20"/>
              </w:rPr>
            </w:pPr>
            <w:r w:rsidRPr="00443235">
              <w:rPr>
                <w:rFonts w:eastAsia="Calibri" w:cs="Arial"/>
                <w:b/>
                <w:szCs w:val="20"/>
              </w:rPr>
              <w:t>whether emissions reductions could be estimated with a reasonable degree of certainty in a cost-effective way</w:t>
            </w:r>
          </w:p>
          <w:p w14:paraId="0B4BEF65" w14:textId="77777777" w:rsidR="00C9067D" w:rsidRPr="00443235" w:rsidRDefault="00C9067D" w:rsidP="00C9067D">
            <w:pPr>
              <w:numPr>
                <w:ilvl w:val="0"/>
                <w:numId w:val="17"/>
              </w:numPr>
              <w:contextualSpacing/>
              <w:rPr>
                <w:rFonts w:eastAsia="Calibri" w:cs="Arial"/>
                <w:b/>
                <w:szCs w:val="20"/>
              </w:rPr>
            </w:pPr>
            <w:r w:rsidRPr="00443235">
              <w:rPr>
                <w:rFonts w:eastAsia="Calibri" w:cs="Arial"/>
                <w:b/>
                <w:szCs w:val="20"/>
              </w:rPr>
              <w:t>whether the activity could have adverse social, environmental or economic impacts</w:t>
            </w:r>
          </w:p>
          <w:p w14:paraId="7B2BA079" w14:textId="77777777" w:rsidR="00C9067D" w:rsidRPr="00443235" w:rsidRDefault="00C9067D" w:rsidP="00C9067D">
            <w:pPr>
              <w:numPr>
                <w:ilvl w:val="0"/>
                <w:numId w:val="17"/>
              </w:numPr>
              <w:contextualSpacing/>
              <w:rPr>
                <w:rFonts w:eastAsia="Calibri" w:cs="Arial"/>
                <w:b/>
                <w:szCs w:val="20"/>
              </w:rPr>
            </w:pPr>
            <w:r w:rsidRPr="00443235">
              <w:rPr>
                <w:rFonts w:eastAsia="Calibri" w:cs="Arial"/>
                <w:b/>
                <w:szCs w:val="20"/>
              </w:rPr>
              <w:t>alternative ways to promote the activity more effectively and efficiently</w:t>
            </w:r>
          </w:p>
          <w:p w14:paraId="53B8374B" w14:textId="77777777" w:rsidR="00C9067D" w:rsidRPr="00443235" w:rsidRDefault="00C9067D" w:rsidP="00C9067D">
            <w:pPr>
              <w:rPr>
                <w:b/>
              </w:rPr>
            </w:pPr>
          </w:p>
          <w:p w14:paraId="3BF9C7AC" w14:textId="6E999930" w:rsidR="00E330EF" w:rsidRPr="0068006E" w:rsidRDefault="00C9067D" w:rsidP="00E330EF">
            <w:pPr>
              <w:rPr>
                <w:rFonts w:eastAsia="Calibri" w:cs="Arial"/>
                <w:b/>
                <w:szCs w:val="20"/>
              </w:rPr>
            </w:pPr>
            <w:r w:rsidRPr="00443235">
              <w:rPr>
                <w:b/>
              </w:rPr>
              <w:t>The publication of the statement of priorities be preceded by a formal consultation process for stakeholders to be able to recommend priority activities to the Minister.</w:t>
            </w:r>
          </w:p>
        </w:tc>
      </w:tr>
    </w:tbl>
    <w:p w14:paraId="6E2E76DE" w14:textId="77777777" w:rsidR="00E330EF" w:rsidRDefault="00E330EF" w:rsidP="00E330EF"/>
    <w:p w14:paraId="261E72E4" w14:textId="211E2AD9" w:rsidR="005F4787" w:rsidRPr="0068006E" w:rsidRDefault="00354073" w:rsidP="005F4787">
      <w:pPr>
        <w:pStyle w:val="Heading3"/>
        <w:rPr>
          <w:i/>
          <w:color w:val="0070AE" w:themeColor="accent2" w:themeTint="BF"/>
        </w:rPr>
      </w:pPr>
      <w:r w:rsidRPr="0068006E">
        <w:rPr>
          <w:i/>
          <w:color w:val="0070AE" w:themeColor="accent2" w:themeTint="BF"/>
        </w:rPr>
        <w:t xml:space="preserve">Reducing </w:t>
      </w:r>
      <w:r w:rsidR="005024FD" w:rsidRPr="0068006E">
        <w:rPr>
          <w:i/>
          <w:color w:val="0070AE" w:themeColor="accent2" w:themeTint="BF"/>
        </w:rPr>
        <w:t xml:space="preserve">the </w:t>
      </w:r>
      <w:r w:rsidRPr="0068006E">
        <w:rPr>
          <w:i/>
          <w:color w:val="0070AE" w:themeColor="accent2" w:themeTint="BF"/>
        </w:rPr>
        <w:t xml:space="preserve">cost </w:t>
      </w:r>
      <w:r w:rsidR="005F4787" w:rsidRPr="0068006E">
        <w:rPr>
          <w:i/>
          <w:color w:val="0070AE" w:themeColor="accent2" w:themeTint="BF"/>
        </w:rPr>
        <w:t>of participatin</w:t>
      </w:r>
      <w:r w:rsidRPr="0068006E">
        <w:rPr>
          <w:i/>
          <w:color w:val="0070AE" w:themeColor="accent2" w:themeTint="BF"/>
        </w:rPr>
        <w:t>g</w:t>
      </w:r>
    </w:p>
    <w:p w14:paraId="557207B5" w14:textId="6DB9C81C" w:rsidR="00E330EF" w:rsidRDefault="005168A3" w:rsidP="005F4787">
      <w:r>
        <w:t>T</w:t>
      </w:r>
      <w:r w:rsidR="005F4787">
        <w:t xml:space="preserve">he </w:t>
      </w:r>
      <w:r w:rsidR="005F4787" w:rsidRPr="00697D71">
        <w:t>high cost</w:t>
      </w:r>
      <w:r w:rsidR="005F4787">
        <w:t>s</w:t>
      </w:r>
      <w:r w:rsidR="005F4787" w:rsidRPr="00697D71">
        <w:t xml:space="preserve"> of starting and running an ERF</w:t>
      </w:r>
      <w:r w:rsidR="005F4787">
        <w:t xml:space="preserve"> project are barriers to participation according to some peak industry bodies </w:t>
      </w:r>
      <w:r w:rsidR="00D53CBD">
        <w:t>(</w:t>
      </w:r>
      <w:r w:rsidR="002970BC">
        <w:t>CMI,</w:t>
      </w:r>
      <w:r w:rsidR="00E00A0F">
        <w:t xml:space="preserve"> </w:t>
      </w:r>
      <w:r w:rsidR="007B564C">
        <w:t>Energy Savings Industry Association</w:t>
      </w:r>
      <w:r w:rsidR="005B0A38">
        <w:t>,</w:t>
      </w:r>
      <w:r w:rsidR="00F84612">
        <w:t xml:space="preserve"> </w:t>
      </w:r>
      <w:r w:rsidR="007B564C">
        <w:t>NRM Regions Australia</w:t>
      </w:r>
      <w:r w:rsidR="00484722">
        <w:t xml:space="preserve"> submissions, NFF submission to Prospering in a low-emissions world</w:t>
      </w:r>
      <w:r w:rsidR="007B564C">
        <w:t>).</w:t>
      </w:r>
      <w:r w:rsidR="00D53CBD">
        <w:t xml:space="preserve"> </w:t>
      </w:r>
      <w:r w:rsidR="00796DE2">
        <w:t xml:space="preserve">The </w:t>
      </w:r>
      <w:r w:rsidR="0011033D">
        <w:t>Australian Forest Products Association said further reform of ‘burdensome transaction and audit costs’ is needed (p.2).</w:t>
      </w:r>
    </w:p>
    <w:p w14:paraId="4A475D77" w14:textId="778D7C65" w:rsidR="00414AFD" w:rsidRDefault="005F4787" w:rsidP="005F4787">
      <w:r>
        <w:t>The ERF is designed to recognise genuine abatement and issue units for activities that would not occur in the absence of the ERF.</w:t>
      </w:r>
      <w:r w:rsidRPr="00E705FE">
        <w:t xml:space="preserve"> </w:t>
      </w:r>
      <w:r>
        <w:t xml:space="preserve">Integrity standards, methods, and measurement, reporting and verification requirements </w:t>
      </w:r>
      <w:r w:rsidR="00D37400">
        <w:t>underpin</w:t>
      </w:r>
      <w:r>
        <w:t xml:space="preserve"> the quality of ACCUs</w:t>
      </w:r>
      <w:r w:rsidRPr="00E705FE">
        <w:t xml:space="preserve"> and ensure that public funds are always tied to real emissions reductions. </w:t>
      </w:r>
      <w:r>
        <w:t xml:space="preserve">However, there is a trade-off to be made between ensuring the quality of carbon units and accessing abatement at least cost. Stakeholders told the Authority, in consultation for </w:t>
      </w:r>
      <w:r w:rsidR="001925FC">
        <w:t xml:space="preserve">both </w:t>
      </w:r>
      <w:r>
        <w:t xml:space="preserve">this review and </w:t>
      </w:r>
      <w:r w:rsidRPr="7943B309">
        <w:rPr>
          <w:i/>
        </w:rPr>
        <w:t>Prospering in a low-emissions world</w:t>
      </w:r>
      <w:r>
        <w:t>, that these transaction costs can be too high and that they essentially preclude small projects from participating. Stakeholders asked for</w:t>
      </w:r>
      <w:r w:rsidRPr="008420C6" w:rsidDel="001925FC">
        <w:t xml:space="preserve"> </w:t>
      </w:r>
      <w:r>
        <w:t xml:space="preserve">reporting and auditing </w:t>
      </w:r>
      <w:r w:rsidRPr="008420C6">
        <w:t>requirements</w:t>
      </w:r>
      <w:r w:rsidR="001925FC">
        <w:t xml:space="preserve"> to be streamlined</w:t>
      </w:r>
      <w:r w:rsidR="00484722">
        <w:t xml:space="preserve"> and for unnecessary complexities in methods to be removed or minimised</w:t>
      </w:r>
      <w:r w:rsidR="001925FC" w:rsidDel="00D2363B">
        <w:t xml:space="preserve"> </w:t>
      </w:r>
      <w:r w:rsidR="004A5D3C">
        <w:t>(Carbon X, NRM Regions</w:t>
      </w:r>
      <w:r w:rsidR="00CA548F">
        <w:t xml:space="preserve"> Australia</w:t>
      </w:r>
      <w:r w:rsidR="004A5D3C">
        <w:t xml:space="preserve">, Australian Aluminium Council submissions, </w:t>
      </w:r>
      <w:r w:rsidR="004F267E" w:rsidRPr="009B65DB">
        <w:t>CCA 2020</w:t>
      </w:r>
      <w:r w:rsidR="004F267E">
        <w:t>a</w:t>
      </w:r>
      <w:r w:rsidR="004A5D3C">
        <w:t>)</w:t>
      </w:r>
      <w:r w:rsidR="004A5D3C" w:rsidDel="00191F3A">
        <w:t>.</w:t>
      </w:r>
      <w:r w:rsidR="001925FC" w:rsidDel="00D2363B">
        <w:t xml:space="preserve"> </w:t>
      </w:r>
    </w:p>
    <w:p w14:paraId="7B085B7C" w14:textId="6DC6F729" w:rsidR="00874781" w:rsidRDefault="00B31BFC" w:rsidP="005F4787">
      <w:r>
        <w:t xml:space="preserve">In </w:t>
      </w:r>
      <w:r w:rsidRPr="00CF0059">
        <w:rPr>
          <w:i/>
        </w:rPr>
        <w:t>Prospering in a low-emissions world</w:t>
      </w:r>
      <w:r w:rsidR="00994BCE">
        <w:t>, t</w:t>
      </w:r>
      <w:r w:rsidR="00994BCE" w:rsidRPr="008420C6">
        <w:t>he Authority recommended</w:t>
      </w:r>
      <w:r w:rsidR="00994BCE">
        <w:t xml:space="preserve"> that the Government</w:t>
      </w:r>
      <w:r w:rsidR="00994BCE" w:rsidRPr="008420C6">
        <w:t xml:space="preserve"> investigat</w:t>
      </w:r>
      <w:r w:rsidR="00994BCE">
        <w:t>e</w:t>
      </w:r>
      <w:r w:rsidR="005F4787" w:rsidRPr="008420C6">
        <w:t xml:space="preserve"> how best to encourage smaller businesses to reduce emissions, including through assistance to participate in the </w:t>
      </w:r>
      <w:r w:rsidR="005F4787">
        <w:t>ERF (</w:t>
      </w:r>
      <w:r w:rsidR="004F267E" w:rsidRPr="009B65DB">
        <w:t>CCA 2020</w:t>
      </w:r>
      <w:r w:rsidR="004F267E">
        <w:t>a</w:t>
      </w:r>
      <w:r w:rsidR="005F4787">
        <w:t>)</w:t>
      </w:r>
      <w:r w:rsidR="005F4787" w:rsidRPr="008420C6">
        <w:t>.</w:t>
      </w:r>
      <w:r w:rsidR="00994BCE">
        <w:t xml:space="preserve"> </w:t>
      </w:r>
      <w:r w:rsidR="00414AFD">
        <w:t xml:space="preserve">Making information available on the indicative administration and operational costs involved in establishing and undertaking different types of ERF projects would create market transparency and help prospective project proponents, particularly smaller businesses with decisions on whether it will be viable to invest in an ERF project. In particular, whether the </w:t>
      </w:r>
      <w:r w:rsidR="006C7C95">
        <w:t>business</w:t>
      </w:r>
      <w:r w:rsidR="00414AFD">
        <w:t xml:space="preserve"> will be able to </w:t>
      </w:r>
      <w:r w:rsidR="006C7C95">
        <w:t xml:space="preserve">absorb </w:t>
      </w:r>
      <w:r w:rsidR="00414AFD">
        <w:t xml:space="preserve">the ongoing administrative and operational costs </w:t>
      </w:r>
      <w:r w:rsidR="006C7C95">
        <w:t xml:space="preserve">into its future cash flow estimates, and what the likely return on an ERF project will be. </w:t>
      </w:r>
    </w:p>
    <w:p w14:paraId="7DA28D41" w14:textId="77777777" w:rsidR="00E60FF5" w:rsidRDefault="00603594" w:rsidP="008A3069">
      <w:r>
        <w:t>The Regulator has a strong focus on reducing transaction costs and is continuing to s</w:t>
      </w:r>
      <w:r w:rsidRPr="00DA5F6E">
        <w:t xml:space="preserve">treamline </w:t>
      </w:r>
      <w:r>
        <w:t xml:space="preserve">scheme </w:t>
      </w:r>
      <w:r w:rsidRPr="00DA5F6E">
        <w:t>administration and reduce transaction costs</w:t>
      </w:r>
      <w:r w:rsidR="00191F3A">
        <w:t>, having</w:t>
      </w:r>
      <w:r>
        <w:t xml:space="preserve"> consulted with stakeholders</w:t>
      </w:r>
      <w:r w:rsidDel="00191F3A">
        <w:t xml:space="preserve"> </w:t>
      </w:r>
      <w:r>
        <w:t>(</w:t>
      </w:r>
      <w:r w:rsidRPr="00BB748B">
        <w:t>CER n.d.</w:t>
      </w:r>
      <w:r w:rsidR="009950A0">
        <w:t>b</w:t>
      </w:r>
      <w:r w:rsidR="00BB748B">
        <w:t>.</w:t>
      </w:r>
      <w:r>
        <w:t xml:space="preserve">). </w:t>
      </w:r>
      <w:r w:rsidR="00922ECF">
        <w:t>A</w:t>
      </w:r>
      <w:r w:rsidR="00922ECF" w:rsidRPr="00F73BAD">
        <w:t xml:space="preserve"> benchmarking exercise on indicative administrative and operational costs involved in establishing and undertaking different types of ERF projects</w:t>
      </w:r>
      <w:r w:rsidR="00922ECF">
        <w:t xml:space="preserve"> would help inform and enhance the Regulator’s</w:t>
      </w:r>
      <w:r w:rsidR="00922ECF" w:rsidRPr="00F73BAD">
        <w:t xml:space="preserve"> actions to reduce transaction costs and streamline administrative processes</w:t>
      </w:r>
      <w:r w:rsidR="00922ECF">
        <w:t xml:space="preserve">. </w:t>
      </w:r>
      <w:r w:rsidR="005F4787">
        <w:t xml:space="preserve">The </w:t>
      </w:r>
      <w:r w:rsidR="00545E7B">
        <w:t xml:space="preserve">King </w:t>
      </w:r>
      <w:r w:rsidR="009841F1">
        <w:t>Review</w:t>
      </w:r>
      <w:r w:rsidR="005F4787">
        <w:t xml:space="preserve"> made several recommendations to </w:t>
      </w:r>
      <w:r w:rsidR="003C4A51">
        <w:t>expand</w:t>
      </w:r>
      <w:r w:rsidR="005F4787">
        <w:t xml:space="preserve"> abatement</w:t>
      </w:r>
      <w:r w:rsidR="003C4A51">
        <w:t xml:space="preserve"> opportunities</w:t>
      </w:r>
      <w:r w:rsidR="005F4787">
        <w:t xml:space="preserve">, including streamlined purchasing for small-scale projects, facilitating method-stacking for multiple activities on a property, and streamlining auditing using ‘big </w:t>
      </w:r>
      <w:r w:rsidR="003C59C1">
        <w:t>data’ (Appendix D</w:t>
      </w:r>
      <w:r w:rsidR="00AA7561">
        <w:t xml:space="preserve">). </w:t>
      </w:r>
      <w:r w:rsidR="00191F3A">
        <w:t xml:space="preserve">In </w:t>
      </w:r>
      <w:r w:rsidR="00413B99">
        <w:t xml:space="preserve">submissions to this report, stakeholders </w:t>
      </w:r>
      <w:r w:rsidR="005F4787">
        <w:t xml:space="preserve">generally supported the </w:t>
      </w:r>
      <w:r w:rsidR="00545E7B">
        <w:t xml:space="preserve">King </w:t>
      </w:r>
      <w:r w:rsidR="009841F1">
        <w:t>Review</w:t>
      </w:r>
      <w:r w:rsidR="005F4787">
        <w:t xml:space="preserve"> recommendations that sought to reduce barriers to participating in the ERF</w:t>
      </w:r>
      <w:r w:rsidR="00B37009">
        <w:t xml:space="preserve"> (</w:t>
      </w:r>
      <w:r w:rsidR="00B37009" w:rsidRPr="00E00A0F">
        <w:t>Australian Sustainable Built Environment Council p. 4; Energy Savings Industry Association p. 3</w:t>
      </w:r>
      <w:r w:rsidR="00124C72" w:rsidRPr="00E00A0F">
        <w:t>,</w:t>
      </w:r>
      <w:r w:rsidR="00124C72">
        <w:t xml:space="preserve"> CMI submission</w:t>
      </w:r>
      <w:r w:rsidR="00B37009">
        <w:t>)</w:t>
      </w:r>
      <w:r w:rsidR="005F4787">
        <w:t>.</w:t>
      </w:r>
      <w:r w:rsidR="006E0888">
        <w:t xml:space="preserve"> These King Review recommendations are discussed further in Chapter 5. </w:t>
      </w:r>
      <w:r w:rsidR="00157D32">
        <w:t>The Authority supports initiatives to encourage</w:t>
      </w:r>
      <w:r>
        <w:t xml:space="preserve"> participation from small-scale projects and </w:t>
      </w:r>
      <w:r w:rsidR="006E0888">
        <w:t>to</w:t>
      </w:r>
      <w:r>
        <w:t xml:space="preserve"> reduc</w:t>
      </w:r>
      <w:r w:rsidR="006E0888">
        <w:t>e</w:t>
      </w:r>
      <w:r>
        <w:t xml:space="preserve"> </w:t>
      </w:r>
      <w:r w:rsidR="006E0888">
        <w:t xml:space="preserve">the </w:t>
      </w:r>
      <w:r>
        <w:t>costs and complexity of participating in the ERF while still maintaining integrity.</w:t>
      </w:r>
    </w:p>
    <w:p w14:paraId="34F711E1" w14:textId="6011E415" w:rsidR="00124C72" w:rsidRDefault="00922ECF" w:rsidP="008A3069">
      <w:r w:rsidRPr="00922ECF">
        <w:rPr>
          <w:b/>
        </w:rPr>
        <w:t xml:space="preserve"> </w:t>
      </w:r>
      <w:r w:rsidR="003E3AC7">
        <w:t xml:space="preserve"> </w:t>
      </w:r>
    </w:p>
    <w:tbl>
      <w:tblPr>
        <w:tblStyle w:val="TableGrid"/>
        <w:tblW w:w="0" w:type="auto"/>
        <w:tblLook w:val="04A0" w:firstRow="1" w:lastRow="0" w:firstColumn="1" w:lastColumn="0" w:noHBand="0" w:noVBand="1"/>
      </w:tblPr>
      <w:tblGrid>
        <w:gridCol w:w="9016"/>
      </w:tblGrid>
      <w:tr w:rsidR="00587915" w14:paraId="5E8FB346" w14:textId="77777777" w:rsidTr="00587915">
        <w:tc>
          <w:tcPr>
            <w:tcW w:w="9016" w:type="dxa"/>
          </w:tcPr>
          <w:bookmarkEnd w:id="1440"/>
          <w:p w14:paraId="6EF46CCC" w14:textId="056FBC1E" w:rsidR="00150212" w:rsidRDefault="00587915" w:rsidP="00587915">
            <w:pPr>
              <w:spacing w:line="259" w:lineRule="auto"/>
              <w:rPr>
                <w:b/>
              </w:rPr>
            </w:pPr>
            <w:r w:rsidRPr="00C23CAF">
              <w:rPr>
                <w:b/>
              </w:rPr>
              <w:t>Recommendation 6</w:t>
            </w:r>
          </w:p>
          <w:p w14:paraId="0C43051C" w14:textId="77777777" w:rsidR="00E30227" w:rsidRDefault="00E30227" w:rsidP="00DF0433">
            <w:pPr>
              <w:pStyle w:val="CommentText"/>
              <w:rPr>
                <w:b/>
              </w:rPr>
            </w:pPr>
          </w:p>
          <w:p w14:paraId="1691A215" w14:textId="0227B994" w:rsidR="00DF0433" w:rsidRPr="00E30227" w:rsidRDefault="00DF0433" w:rsidP="00DF0433">
            <w:pPr>
              <w:pStyle w:val="CommentText"/>
              <w:rPr>
                <w:b/>
              </w:rPr>
            </w:pPr>
            <w:r w:rsidRPr="00E30227">
              <w:rPr>
                <w:b/>
              </w:rPr>
              <w:t>To inform and enhance its actions to reduce transaction costs and streamline administrative processes, the Regulator undertake a benchmarking exercise and publish information on indicative administrative and operational costs involved in establishing and undertaking different types of ERF projects. The benchmarking exercise should compare the transaction costs of projects under the ERF with those under other Government programs.</w:t>
            </w:r>
          </w:p>
          <w:p w14:paraId="1625DA36" w14:textId="3F0B7E1E" w:rsidR="00150212" w:rsidRDefault="00150212" w:rsidP="00587915">
            <w:pPr>
              <w:spacing w:line="259" w:lineRule="auto"/>
              <w:rPr>
                <w:b/>
              </w:rPr>
            </w:pPr>
          </w:p>
          <w:p w14:paraId="5E0A6E02" w14:textId="2D6F5D85" w:rsidR="00587915" w:rsidRPr="00C23CAF" w:rsidRDefault="00587915" w:rsidP="00587915">
            <w:pPr>
              <w:spacing w:line="259" w:lineRule="auto"/>
              <w:rPr>
                <w:b/>
              </w:rPr>
            </w:pPr>
            <w:r w:rsidRPr="00C23CAF">
              <w:rPr>
                <w:b/>
              </w:rPr>
              <w:t xml:space="preserve">Recommendation </w:t>
            </w:r>
            <w:r w:rsidR="00150212">
              <w:rPr>
                <w:b/>
              </w:rPr>
              <w:t>7</w:t>
            </w:r>
          </w:p>
          <w:p w14:paraId="512B1CDD" w14:textId="77777777" w:rsidR="00587915" w:rsidRPr="00C23CAF" w:rsidRDefault="00587915" w:rsidP="00587915">
            <w:pPr>
              <w:spacing w:line="259" w:lineRule="auto"/>
              <w:rPr>
                <w:b/>
              </w:rPr>
            </w:pPr>
          </w:p>
          <w:p w14:paraId="0BBFF7BD" w14:textId="61F70F81" w:rsidR="00587915" w:rsidRDefault="00DF0433" w:rsidP="001D10CD">
            <w:pPr>
              <w:spacing w:line="259" w:lineRule="auto"/>
              <w:rPr>
                <w:color w:val="6D6F72" w:themeColor="accent1" w:themeShade="BF"/>
                <w:highlight w:val="yellow"/>
              </w:rPr>
            </w:pPr>
            <w:r w:rsidRPr="00587915">
              <w:rPr>
                <w:b/>
              </w:rPr>
              <w:t>To encourage greater participation in the ERF, the Regulator continue to explore ways to streamline ERF processes and reduce transaction costs for scheme participants</w:t>
            </w:r>
            <w:r w:rsidRPr="00E30227">
              <w:rPr>
                <w:b/>
              </w:rPr>
              <w:t>,</w:t>
            </w:r>
            <w:r w:rsidRPr="00587915">
              <w:rPr>
                <w:b/>
              </w:rPr>
              <w:t xml:space="preserve"> while </w:t>
            </w:r>
            <w:r w:rsidRPr="00E30227">
              <w:rPr>
                <w:b/>
              </w:rPr>
              <w:t>continuing to uphold the Offsets Integrity Standards</w:t>
            </w:r>
            <w:r w:rsidRPr="00587915">
              <w:rPr>
                <w:b/>
              </w:rPr>
              <w:t>.</w:t>
            </w:r>
          </w:p>
        </w:tc>
      </w:tr>
    </w:tbl>
    <w:p w14:paraId="43997507" w14:textId="0575BE22" w:rsidR="00BB22A7" w:rsidRPr="00B32705" w:rsidRDefault="00B32705" w:rsidP="00587915">
      <w:pPr>
        <w:rPr>
          <w:color w:val="6D6F72" w:themeColor="accent1" w:themeShade="BF"/>
          <w:highlight w:val="yellow"/>
        </w:rPr>
      </w:pPr>
      <w:r>
        <w:rPr>
          <w:color w:val="6D6F72" w:themeColor="accent1" w:themeShade="BF"/>
          <w:highlight w:val="yellow"/>
        </w:rPr>
        <w:br w:type="page"/>
      </w:r>
    </w:p>
    <w:p w14:paraId="3C6995EF" w14:textId="429312F2" w:rsidR="0068006E" w:rsidRPr="00570347" w:rsidRDefault="00EC2D7F" w:rsidP="00570347">
      <w:pPr>
        <w:pStyle w:val="Heading1"/>
        <w:ind w:left="0" w:firstLine="0"/>
        <w:rPr>
          <w:color w:val="0070AE" w:themeColor="accent2" w:themeTint="BF"/>
        </w:rPr>
      </w:pPr>
      <w:bookmarkStart w:id="1839" w:name="_Toc48996309"/>
      <w:bookmarkStart w:id="1840" w:name="_Toc49350831"/>
      <w:bookmarkStart w:id="1841" w:name="_Toc49352811"/>
      <w:bookmarkStart w:id="1842" w:name="_Toc49354187"/>
      <w:bookmarkStart w:id="1843" w:name="_Toc49355513"/>
      <w:bookmarkStart w:id="1844" w:name="_Toc49429271"/>
      <w:bookmarkStart w:id="1845" w:name="_Toc49434028"/>
      <w:bookmarkStart w:id="1846" w:name="_Toc49441021"/>
      <w:bookmarkStart w:id="1847" w:name="_Toc49441211"/>
      <w:bookmarkStart w:id="1848" w:name="_Toc49442214"/>
      <w:bookmarkStart w:id="1849" w:name="_Toc49508945"/>
      <w:bookmarkStart w:id="1850" w:name="_Toc49519755"/>
      <w:bookmarkStart w:id="1851" w:name="_Toc49521473"/>
      <w:bookmarkStart w:id="1852" w:name="_Toc49524545"/>
      <w:bookmarkStart w:id="1853" w:name="_Toc49524683"/>
      <w:bookmarkStart w:id="1854" w:name="_Toc49527152"/>
      <w:bookmarkStart w:id="1855" w:name="_Toc49527990"/>
      <w:bookmarkStart w:id="1856" w:name="_Toc49692143"/>
      <w:bookmarkStart w:id="1857" w:name="_Toc49710516"/>
      <w:bookmarkStart w:id="1858" w:name="_Toc49710688"/>
      <w:bookmarkStart w:id="1859" w:name="_Toc49713241"/>
      <w:bookmarkStart w:id="1860" w:name="_Toc49713443"/>
      <w:bookmarkStart w:id="1861" w:name="_Toc49776381"/>
      <w:bookmarkStart w:id="1862" w:name="_Toc49784940"/>
      <w:bookmarkStart w:id="1863" w:name="_Toc49786266"/>
      <w:bookmarkStart w:id="1864" w:name="_Toc49787315"/>
      <w:bookmarkStart w:id="1865" w:name="_Toc49787370"/>
      <w:bookmarkStart w:id="1866" w:name="_Toc49850684"/>
      <w:bookmarkStart w:id="1867" w:name="_Toc49852926"/>
      <w:bookmarkStart w:id="1868" w:name="_Toc49854343"/>
      <w:bookmarkStart w:id="1869" w:name="_Toc49856939"/>
      <w:bookmarkStart w:id="1870" w:name="_Toc49858255"/>
      <w:bookmarkStart w:id="1871" w:name="_Toc49858310"/>
      <w:bookmarkStart w:id="1872" w:name="_Toc49863012"/>
      <w:bookmarkStart w:id="1873" w:name="_Toc49867735"/>
      <w:bookmarkStart w:id="1874" w:name="_Toc49870571"/>
      <w:bookmarkStart w:id="1875" w:name="_Toc49871314"/>
      <w:bookmarkStart w:id="1876" w:name="_Toc49871994"/>
      <w:bookmarkStart w:id="1877" w:name="_Toc49872547"/>
      <w:bookmarkStart w:id="1878" w:name="_Toc50027759"/>
      <w:bookmarkStart w:id="1879" w:name="_Toc50029453"/>
      <w:bookmarkStart w:id="1880" w:name="_Toc50043884"/>
      <w:bookmarkStart w:id="1881" w:name="_Toc50057735"/>
      <w:bookmarkStart w:id="1882" w:name="_Ref50386367"/>
      <w:bookmarkStart w:id="1883" w:name="_Ref50386392"/>
      <w:bookmarkStart w:id="1884" w:name="_Toc50553612"/>
      <w:bookmarkStart w:id="1885" w:name="_Toc50555375"/>
      <w:bookmarkStart w:id="1886" w:name="_Toc50559835"/>
      <w:bookmarkStart w:id="1887" w:name="_Toc50559888"/>
      <w:bookmarkStart w:id="1888" w:name="_Toc50563822"/>
      <w:bookmarkStart w:id="1889" w:name="_Toc50711375"/>
      <w:bookmarkStart w:id="1890" w:name="_Toc50720957"/>
      <w:bookmarkStart w:id="1891" w:name="_Toc50730681"/>
      <w:bookmarkStart w:id="1892" w:name="_Toc50734907"/>
      <w:bookmarkStart w:id="1893" w:name="_Toc50735510"/>
      <w:bookmarkStart w:id="1894" w:name="_Toc50905529"/>
      <w:bookmarkStart w:id="1895" w:name="_Toc51587013"/>
      <w:bookmarkStart w:id="1896" w:name="_Toc51594873"/>
      <w:bookmarkStart w:id="1897" w:name="_Toc51599476"/>
      <w:bookmarkStart w:id="1898" w:name="_Toc51613512"/>
      <w:bookmarkStart w:id="1899" w:name="_Toc51669623"/>
      <w:bookmarkStart w:id="1900" w:name="_Toc51669718"/>
      <w:bookmarkStart w:id="1901" w:name="_Toc51672867"/>
      <w:bookmarkStart w:id="1902" w:name="_Toc51673917"/>
      <w:bookmarkStart w:id="1903" w:name="_Toc51680734"/>
      <w:bookmarkStart w:id="1904" w:name="_Toc51683263"/>
      <w:bookmarkStart w:id="1905" w:name="_Toc51685999"/>
      <w:bookmarkStart w:id="1906" w:name="_Toc51687737"/>
      <w:bookmarkStart w:id="1907" w:name="_Toc51687881"/>
      <w:bookmarkStart w:id="1908" w:name="_Toc51705759"/>
      <w:bookmarkStart w:id="1909" w:name="_Toc51770705"/>
      <w:bookmarkStart w:id="1910" w:name="_Toc51770891"/>
      <w:bookmarkStart w:id="1911" w:name="_Toc52359234"/>
      <w:bookmarkStart w:id="1912" w:name="_Toc52367267"/>
      <w:bookmarkStart w:id="1913" w:name="_Toc52371607"/>
      <w:bookmarkStart w:id="1914" w:name="_Toc52374755"/>
      <w:bookmarkStart w:id="1915" w:name="_Toc52377293"/>
      <w:bookmarkStart w:id="1916" w:name="_Toc52379215"/>
      <w:bookmarkStart w:id="1917" w:name="_Toc52379570"/>
      <w:bookmarkStart w:id="1918" w:name="_Toc52532780"/>
      <w:bookmarkStart w:id="1919" w:name="_Toc52535675"/>
      <w:bookmarkStart w:id="1920" w:name="_Toc52537493"/>
      <w:bookmarkStart w:id="1921" w:name="_Toc52544056"/>
      <w:bookmarkStart w:id="1922" w:name="_Toc52545660"/>
      <w:bookmarkStart w:id="1923" w:name="_Toc52547892"/>
      <w:bookmarkStart w:id="1924" w:name="_Toc52548581"/>
      <w:bookmarkStart w:id="1925" w:name="_Toc52890873"/>
      <w:bookmarkStart w:id="1926" w:name="_Toc52895076"/>
      <w:bookmarkStart w:id="1927" w:name="_Toc52896600"/>
      <w:bookmarkStart w:id="1928" w:name="_Toc52977777"/>
      <w:bookmarkStart w:id="1929" w:name="_Toc53129463"/>
      <w:bookmarkStart w:id="1930" w:name="_Toc497819454"/>
      <w:bookmarkStart w:id="1931" w:name="_Toc498691520"/>
      <w:bookmarkStart w:id="1932" w:name="_Toc499043701"/>
      <w:bookmarkStart w:id="1933" w:name="_Toc499051727"/>
      <w:bookmarkStart w:id="1934" w:name="_Ref500248207"/>
      <w:bookmarkStart w:id="1935" w:name="_Toc500251077"/>
      <w:bookmarkStart w:id="1936" w:name="_Toc500251352"/>
      <w:bookmarkStart w:id="1937" w:name="_Toc500253949"/>
      <w:bookmarkStart w:id="1938" w:name="_Toc500401456"/>
      <w:bookmarkStart w:id="1939" w:name="_Toc500490941"/>
      <w:bookmarkStart w:id="1940" w:name="_Toc500512883"/>
      <w:bookmarkStart w:id="1941" w:name="_Toc500514138"/>
      <w:bookmarkStart w:id="1942" w:name="_Toc500516195"/>
      <w:r w:rsidRPr="0068006E">
        <w:rPr>
          <w:color w:val="0070AE" w:themeColor="accent2" w:themeTint="BF"/>
        </w:rPr>
        <w:t>Chapter 5</w:t>
      </w:r>
      <w:r w:rsidR="0065452C" w:rsidRPr="0068006E">
        <w:rPr>
          <w:color w:val="0070AE" w:themeColor="accent2" w:themeTint="BF"/>
        </w:rPr>
        <w:t>:</w:t>
      </w:r>
      <w:r w:rsidRPr="0068006E">
        <w:rPr>
          <w:color w:val="0070AE" w:themeColor="accent2" w:themeTint="BF"/>
        </w:rPr>
        <w:t xml:space="preserve"> </w:t>
      </w:r>
      <w:r w:rsidR="00386092" w:rsidRPr="0068006E">
        <w:rPr>
          <w:color w:val="0070AE" w:themeColor="accent2" w:themeTint="BF"/>
        </w:rPr>
        <w:t>M</w:t>
      </w:r>
      <w:r w:rsidR="00E51BFE" w:rsidRPr="0068006E">
        <w:rPr>
          <w:color w:val="0070AE" w:themeColor="accent2" w:themeTint="BF"/>
        </w:rPr>
        <w:t xml:space="preserve">aintaining </w:t>
      </w:r>
      <w:r w:rsidR="00511D09">
        <w:rPr>
          <w:color w:val="0070AE" w:themeColor="accent2" w:themeTint="BF"/>
        </w:rPr>
        <w:t>i</w:t>
      </w:r>
      <w:r w:rsidR="00D11F28" w:rsidRPr="0068006E">
        <w:rPr>
          <w:color w:val="0070AE" w:themeColor="accent2" w:themeTint="BF"/>
        </w:rPr>
        <w:t>ntegrity</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73AF" w:themeFill="accent6"/>
        <w:tblLayout w:type="fixed"/>
        <w:tblLook w:val="04A0" w:firstRow="1" w:lastRow="0" w:firstColumn="1" w:lastColumn="0" w:noHBand="0" w:noVBand="1"/>
      </w:tblPr>
      <w:tblGrid>
        <w:gridCol w:w="9741"/>
      </w:tblGrid>
      <w:tr w:rsidR="000522A1" w:rsidRPr="00B32198" w14:paraId="1FF28B6D" w14:textId="77777777" w:rsidTr="00D912DB">
        <w:tc>
          <w:tcPr>
            <w:tcW w:w="9741" w:type="dxa"/>
            <w:shd w:val="clear" w:color="auto" w:fill="B0E9FF" w:themeFill="text2" w:themeFillTint="33"/>
          </w:tcPr>
          <w:p w14:paraId="4102D815" w14:textId="573DD9F8" w:rsidR="00CA0B1B" w:rsidRDefault="00EB0BB4" w:rsidP="00996B9D">
            <w:pPr>
              <w:pStyle w:val="BodyText"/>
            </w:pPr>
            <w:r>
              <w:t xml:space="preserve">Maintaining the integrity of the ERF means that it is delivering genuine </w:t>
            </w:r>
            <w:r w:rsidR="00F86968">
              <w:t>abatement</w:t>
            </w:r>
            <w:r>
              <w:t xml:space="preserve"> – the avoided emissions and carbon stored are real and additional to ‘business as usual’</w:t>
            </w:r>
            <w:r w:rsidR="000522A1">
              <w:t>.</w:t>
            </w:r>
            <w:r w:rsidR="00F61371" w:rsidDel="00F86968">
              <w:t xml:space="preserve"> </w:t>
            </w:r>
            <w:r w:rsidR="00F86968">
              <w:t xml:space="preserve">Integrity </w:t>
            </w:r>
            <w:r w:rsidR="00F61371">
              <w:t>is vital for ensuring the ongoing success of the ERF scheme</w:t>
            </w:r>
            <w:r w:rsidR="00F86968">
              <w:t>, the value of ACCUs, and the responsible expenditure of public funds</w:t>
            </w:r>
            <w:r w:rsidR="00F61371">
              <w:t xml:space="preserve">. The </w:t>
            </w:r>
            <w:r w:rsidR="009841F1">
              <w:t>King Review</w:t>
            </w:r>
            <w:r w:rsidR="00F61371">
              <w:t xml:space="preserve"> stated that </w:t>
            </w:r>
            <w:r w:rsidR="00F61371" w:rsidRPr="002B7FC9">
              <w:t>“the need for credits to represent additional abatement is a fundamental feature of all offsets schemes.”</w:t>
            </w:r>
          </w:p>
          <w:p w14:paraId="1BB5B56A" w14:textId="5EAB333A" w:rsidR="000522A1" w:rsidRDefault="000522A1" w:rsidP="00996B9D">
            <w:pPr>
              <w:pStyle w:val="BodyText"/>
            </w:pPr>
          </w:p>
          <w:p w14:paraId="565B0396" w14:textId="47B2E9AB" w:rsidR="00F61371" w:rsidRDefault="00F61371" w:rsidP="00996B9D">
            <w:pPr>
              <w:pStyle w:val="BodyText"/>
            </w:pPr>
            <w:r w:rsidRPr="003C59C1">
              <w:t>The Offsets Integrity Standards underpin the integrity of the scheme</w:t>
            </w:r>
            <w:r>
              <w:t xml:space="preserve"> and should be retained as </w:t>
            </w:r>
            <w:r w:rsidR="00F86968">
              <w:t>they are</w:t>
            </w:r>
            <w:r w:rsidRPr="003C59C1">
              <w:t>.</w:t>
            </w:r>
            <w:r>
              <w:t xml:space="preserve"> However, more can be done to provide greater certainty to ERF participants as to how the Standards </w:t>
            </w:r>
            <w:r w:rsidR="00F86968">
              <w:t>are</w:t>
            </w:r>
            <w:r>
              <w:t xml:space="preserve"> interpreted and applied.</w:t>
            </w:r>
          </w:p>
          <w:p w14:paraId="5263E72C" w14:textId="77777777" w:rsidR="00CA0B1B" w:rsidRDefault="00CA0B1B" w:rsidP="00996B9D">
            <w:pPr>
              <w:pStyle w:val="BodyText"/>
            </w:pPr>
          </w:p>
          <w:p w14:paraId="72C6FE36" w14:textId="5E1AB0C3" w:rsidR="00BF353F" w:rsidRDefault="00F86968" w:rsidP="00996B9D">
            <w:pPr>
              <w:pStyle w:val="BodyText"/>
            </w:pPr>
            <w:r>
              <w:t xml:space="preserve">With care, some integrity requirements could be implemented in a flexible manner without undermining the integrity of the scheme. </w:t>
            </w:r>
            <w:r w:rsidR="00F61371">
              <w:t xml:space="preserve">A more flexible approach to </w:t>
            </w:r>
            <w:r w:rsidR="00CA0350">
              <w:t xml:space="preserve">the </w:t>
            </w:r>
            <w:r w:rsidR="00F61371">
              <w:t>application of the ‘newness requirement</w:t>
            </w:r>
            <w:r w:rsidR="00BC0709">
              <w:t>’</w:t>
            </w:r>
            <w:r w:rsidR="00F61371">
              <w:t xml:space="preserve"> should facilitate increased participation in the ERF, as should measures the Government </w:t>
            </w:r>
            <w:r w:rsidR="004A7598">
              <w:t xml:space="preserve">has announced it is developing </w:t>
            </w:r>
            <w:r w:rsidR="00F61371">
              <w:t>to encourage</w:t>
            </w:r>
            <w:r w:rsidR="00F61371" w:rsidDel="00F86968">
              <w:t xml:space="preserve"> </w:t>
            </w:r>
            <w:r w:rsidR="00F61371">
              <w:t xml:space="preserve">smaller </w:t>
            </w:r>
            <w:r w:rsidR="004A7598">
              <w:t xml:space="preserve">ERF </w:t>
            </w:r>
            <w:r w:rsidR="00F61371">
              <w:t xml:space="preserve">projects. </w:t>
            </w:r>
          </w:p>
          <w:p w14:paraId="2DB3761A" w14:textId="77777777" w:rsidR="00F86968" w:rsidRDefault="00F86968" w:rsidP="00996B9D">
            <w:pPr>
              <w:pStyle w:val="BodyText"/>
            </w:pPr>
          </w:p>
          <w:p w14:paraId="0C728204" w14:textId="07B7D26F" w:rsidR="000522A1" w:rsidRPr="003C59C1" w:rsidRDefault="00F86968" w:rsidP="00996B9D">
            <w:pPr>
              <w:pStyle w:val="BodyText"/>
            </w:pPr>
            <w:r>
              <w:t xml:space="preserve">In other cases, flexibility imposes high risks to integrity and alternative approaches </w:t>
            </w:r>
            <w:r w:rsidR="00BF353F">
              <w:t xml:space="preserve">to helping </w:t>
            </w:r>
            <w:r w:rsidR="00BF7107">
              <w:t xml:space="preserve">potential ERF </w:t>
            </w:r>
            <w:r w:rsidR="00BF353F">
              <w:t>projects overcome high upfront costs</w:t>
            </w:r>
            <w:r>
              <w:t xml:space="preserve">, such as </w:t>
            </w:r>
            <w:r w:rsidR="00B15776">
              <w:t xml:space="preserve">concessional </w:t>
            </w:r>
            <w:r>
              <w:t>loans,</w:t>
            </w:r>
            <w:r w:rsidR="00BF353F">
              <w:t xml:space="preserve"> could be just as effective as ‘compressed crediting’ but pose less risk </w:t>
            </w:r>
            <w:r>
              <w:t>to the integrity of the scheme</w:t>
            </w:r>
            <w:r w:rsidR="00BF353F">
              <w:t>.</w:t>
            </w:r>
          </w:p>
        </w:tc>
      </w:tr>
    </w:tbl>
    <w:p w14:paraId="7CBBBE4E" w14:textId="77777777" w:rsidR="008E7018" w:rsidRPr="0068006E" w:rsidRDefault="008E7018" w:rsidP="008E7018">
      <w:pPr>
        <w:rPr>
          <w:color w:val="0070AE" w:themeColor="accent2" w:themeTint="BF"/>
        </w:rPr>
      </w:pPr>
    </w:p>
    <w:p w14:paraId="06A264F4" w14:textId="661EA91A" w:rsidR="00F61371" w:rsidRPr="0068006E" w:rsidRDefault="00F61371" w:rsidP="00B35722">
      <w:pPr>
        <w:pStyle w:val="Heading2"/>
        <w:numPr>
          <w:ilvl w:val="1"/>
          <w:numId w:val="13"/>
        </w:numPr>
        <w:rPr>
          <w:color w:val="0070AE" w:themeColor="accent2" w:themeTint="BF"/>
        </w:rPr>
      </w:pPr>
      <w:bookmarkStart w:id="1943" w:name="_Toc50057736"/>
      <w:bookmarkStart w:id="1944" w:name="_Toc50553613"/>
      <w:bookmarkStart w:id="1945" w:name="_Toc50555376"/>
      <w:bookmarkStart w:id="1946" w:name="_Toc50559836"/>
      <w:bookmarkStart w:id="1947" w:name="_Toc50559889"/>
      <w:bookmarkStart w:id="1948" w:name="_Toc50563823"/>
      <w:bookmarkStart w:id="1949" w:name="_Toc50711376"/>
      <w:bookmarkStart w:id="1950" w:name="_Toc50720958"/>
      <w:bookmarkStart w:id="1951" w:name="_Toc50730682"/>
      <w:bookmarkStart w:id="1952" w:name="_Toc50734908"/>
      <w:bookmarkStart w:id="1953" w:name="_Toc50735511"/>
      <w:bookmarkStart w:id="1954" w:name="_Toc50905530"/>
      <w:bookmarkStart w:id="1955" w:name="_Toc51587014"/>
      <w:bookmarkStart w:id="1956" w:name="_Toc51594874"/>
      <w:bookmarkStart w:id="1957" w:name="_Toc51599477"/>
      <w:bookmarkStart w:id="1958" w:name="_Toc51613513"/>
      <w:bookmarkStart w:id="1959" w:name="_Toc51669624"/>
      <w:bookmarkStart w:id="1960" w:name="_Toc51669719"/>
      <w:bookmarkStart w:id="1961" w:name="_Toc51672868"/>
      <w:bookmarkStart w:id="1962" w:name="_Toc51673918"/>
      <w:bookmarkStart w:id="1963" w:name="_Toc51680735"/>
      <w:bookmarkStart w:id="1964" w:name="_Toc51683264"/>
      <w:bookmarkStart w:id="1965" w:name="_Toc51686000"/>
      <w:bookmarkStart w:id="1966" w:name="_Toc51687738"/>
      <w:bookmarkStart w:id="1967" w:name="_Toc51687882"/>
      <w:bookmarkStart w:id="1968" w:name="_Toc51705760"/>
      <w:bookmarkStart w:id="1969" w:name="_Toc51770706"/>
      <w:bookmarkStart w:id="1970" w:name="_Toc51770892"/>
      <w:bookmarkStart w:id="1971" w:name="_Toc52359235"/>
      <w:bookmarkStart w:id="1972" w:name="_Toc52367268"/>
      <w:bookmarkStart w:id="1973" w:name="_Toc52371608"/>
      <w:bookmarkStart w:id="1974" w:name="_Toc52374756"/>
      <w:bookmarkStart w:id="1975" w:name="_Toc52377294"/>
      <w:bookmarkStart w:id="1976" w:name="_Toc52379216"/>
      <w:bookmarkStart w:id="1977" w:name="_Toc52379571"/>
      <w:bookmarkStart w:id="1978" w:name="_Toc52532781"/>
      <w:bookmarkStart w:id="1979" w:name="_Toc52535676"/>
      <w:bookmarkStart w:id="1980" w:name="_Toc52537494"/>
      <w:bookmarkStart w:id="1981" w:name="_Toc52544057"/>
      <w:bookmarkStart w:id="1982" w:name="_Toc52545661"/>
      <w:bookmarkStart w:id="1983" w:name="_Toc52547893"/>
      <w:bookmarkStart w:id="1984" w:name="_Toc52548582"/>
      <w:bookmarkStart w:id="1985" w:name="_Toc52890874"/>
      <w:bookmarkStart w:id="1986" w:name="_Toc52895077"/>
      <w:bookmarkStart w:id="1987" w:name="_Toc52896601"/>
      <w:bookmarkStart w:id="1988" w:name="_Toc52977778"/>
      <w:bookmarkStart w:id="1989" w:name="_Toc53129464"/>
      <w:r w:rsidRPr="0068006E">
        <w:rPr>
          <w:color w:val="0070AE" w:themeColor="accent2" w:themeTint="BF"/>
        </w:rPr>
        <w:t>The importance of scheme integrity</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14:paraId="685D9814" w14:textId="30A5C42D" w:rsidR="00DB1D79" w:rsidRDefault="00C514F8" w:rsidP="008E7018">
      <w:r>
        <w:t xml:space="preserve">While the reasons for maintaining the integrity of the ERF might seem obvious, it is nonetheless worth reviewing them as a precursor to examining proposals for changes to the ERF that could have some impact on either the perceived or actual integrity of the scheme. </w:t>
      </w:r>
    </w:p>
    <w:p w14:paraId="08DFA9B3" w14:textId="0BF6AF65" w:rsidR="00971FD7" w:rsidRDefault="00971FD7" w:rsidP="00DA3872">
      <w:pPr>
        <w:pStyle w:val="CCAListBullet1"/>
      </w:pPr>
      <w:r w:rsidRPr="0068006E">
        <w:rPr>
          <w:color w:val="0070AE" w:themeColor="accent2" w:themeTint="BF"/>
        </w:rPr>
        <w:t>Environmental effectiveness</w:t>
      </w:r>
      <w:r w:rsidR="00E12593" w:rsidRPr="0068006E">
        <w:rPr>
          <w:color w:val="0070AE" w:themeColor="accent2" w:themeTint="BF"/>
        </w:rPr>
        <w:t xml:space="preserve"> </w:t>
      </w:r>
      <w:r w:rsidR="00E12593">
        <w:t xml:space="preserve">– </w:t>
      </w:r>
      <w:r w:rsidR="00FE6B22">
        <w:t xml:space="preserve">emissions reductions incentivised by the </w:t>
      </w:r>
      <w:r w:rsidR="005B0A38">
        <w:t xml:space="preserve">ERF </w:t>
      </w:r>
      <w:r w:rsidR="00FE6B22">
        <w:t xml:space="preserve">scheme need to be genuine and additional if the scheme is to contribute to the goal of reducing </w:t>
      </w:r>
      <w:r w:rsidR="00D14BC4">
        <w:t xml:space="preserve">net </w:t>
      </w:r>
      <w:r w:rsidR="00FE6B22">
        <w:t>greenhouse gas emissions</w:t>
      </w:r>
      <w:r w:rsidR="00AD5B39">
        <w:t>.</w:t>
      </w:r>
    </w:p>
    <w:p w14:paraId="5B1B5E28" w14:textId="3ED64F0F" w:rsidR="00E12593" w:rsidRDefault="00E12593" w:rsidP="00DA3872">
      <w:pPr>
        <w:pStyle w:val="CCAListBullet1"/>
      </w:pPr>
      <w:r w:rsidRPr="0068006E">
        <w:rPr>
          <w:color w:val="0070AE" w:themeColor="accent2" w:themeTint="BF"/>
        </w:rPr>
        <w:t xml:space="preserve">Reduce the cost of reducing emissions </w:t>
      </w:r>
      <w:r>
        <w:t xml:space="preserve">– </w:t>
      </w:r>
      <w:r w:rsidR="00386092" w:rsidRPr="00447B70">
        <w:t xml:space="preserve">an offsets scheme is working well </w:t>
      </w:r>
      <w:r w:rsidR="00386092">
        <w:t>when</w:t>
      </w:r>
      <w:r w:rsidR="00386092" w:rsidRPr="00447B70">
        <w:t xml:space="preserve"> </w:t>
      </w:r>
      <w:r w:rsidR="00386092">
        <w:t xml:space="preserve">genuine </w:t>
      </w:r>
      <w:r w:rsidR="00386092" w:rsidRPr="00447B70">
        <w:t xml:space="preserve">low cost emissions reductions </w:t>
      </w:r>
      <w:r w:rsidR="00386092">
        <w:t xml:space="preserve">are achieved before </w:t>
      </w:r>
      <w:r w:rsidR="00386092" w:rsidRPr="00447B70">
        <w:t xml:space="preserve">higher cost emissions reductions (CCA 2016). An offsets scheme generally does not </w:t>
      </w:r>
      <w:r w:rsidR="00C90FB1">
        <w:t xml:space="preserve">by itself </w:t>
      </w:r>
      <w:r w:rsidR="00386092" w:rsidRPr="00447B70">
        <w:t xml:space="preserve">lead to </w:t>
      </w:r>
      <w:r w:rsidR="00386092">
        <w:t xml:space="preserve">a </w:t>
      </w:r>
      <w:r w:rsidR="00386092" w:rsidRPr="00447B70">
        <w:t>net decrease in overall economy-wide emissions</w:t>
      </w:r>
      <w:r w:rsidR="00386092">
        <w:t xml:space="preserve">. </w:t>
      </w:r>
      <w:r w:rsidR="00C90FB1">
        <w:t xml:space="preserve">This is the </w:t>
      </w:r>
      <w:r w:rsidR="00386092">
        <w:t xml:space="preserve">case of the ERF, </w:t>
      </w:r>
      <w:r w:rsidR="00C90FB1">
        <w:t xml:space="preserve">with </w:t>
      </w:r>
      <w:r w:rsidR="00386092">
        <w:t>government purchasing tak</w:t>
      </w:r>
      <w:r w:rsidR="00C90FB1">
        <w:t>ing</w:t>
      </w:r>
      <w:r w:rsidR="00386092">
        <w:t xml:space="preserve"> place in the absence of strict limits on emissions</w:t>
      </w:r>
      <w:r w:rsidR="00C90FB1">
        <w:t xml:space="preserve"> and ACCUs otherwise being purchased and used </w:t>
      </w:r>
      <w:r w:rsidR="00386092" w:rsidRPr="00447B70">
        <w:t>in sectors with obligations to limit their emissions that have bought the credits to allow them to emit by the same amount. Accordingly, the main role of an offsets scheme is to reduce the overall costs to the economy of reducing emissions</w:t>
      </w:r>
      <w:r w:rsidR="00C90FB1">
        <w:t xml:space="preserve">. This also </w:t>
      </w:r>
      <w:r w:rsidR="00386092" w:rsidRPr="00447B70">
        <w:t>mak</w:t>
      </w:r>
      <w:r w:rsidR="00C90FB1">
        <w:t>es</w:t>
      </w:r>
      <w:r w:rsidR="00386092" w:rsidRPr="00447B70">
        <w:t xml:space="preserve"> it more feasible to adopt more ambitious targets </w:t>
      </w:r>
      <w:r w:rsidR="00C90FB1">
        <w:t>earlier</w:t>
      </w:r>
      <w:r w:rsidR="00386092" w:rsidRPr="00447B70">
        <w:t>.</w:t>
      </w:r>
    </w:p>
    <w:p w14:paraId="3D1B7ECE" w14:textId="29957A00" w:rsidR="00E12593" w:rsidRDefault="00E12593" w:rsidP="00DA3872">
      <w:pPr>
        <w:pStyle w:val="CCAListBullet1"/>
      </w:pPr>
      <w:r w:rsidRPr="0068006E">
        <w:rPr>
          <w:color w:val="0070AE" w:themeColor="accent2" w:themeTint="BF"/>
        </w:rPr>
        <w:t xml:space="preserve">Ensuring value for </w:t>
      </w:r>
      <w:r w:rsidR="00FE6B22" w:rsidRPr="0068006E">
        <w:rPr>
          <w:color w:val="0070AE" w:themeColor="accent2" w:themeTint="BF"/>
        </w:rPr>
        <w:t xml:space="preserve">money for </w:t>
      </w:r>
      <w:r w:rsidRPr="0068006E">
        <w:rPr>
          <w:color w:val="0070AE" w:themeColor="accent2" w:themeTint="BF"/>
        </w:rPr>
        <w:t xml:space="preserve">the taxpayer </w:t>
      </w:r>
      <w:r>
        <w:t xml:space="preserve">– </w:t>
      </w:r>
      <w:r w:rsidR="00210413">
        <w:t xml:space="preserve">the Government does </w:t>
      </w:r>
      <w:r w:rsidR="00FE6B22">
        <w:t xml:space="preserve">not want to spend taxpayer money </w:t>
      </w:r>
      <w:r w:rsidR="00210413">
        <w:t>(</w:t>
      </w:r>
      <w:r w:rsidR="00FE6B22">
        <w:t>through ERF auctions</w:t>
      </w:r>
      <w:r w:rsidR="00210413">
        <w:t>)</w:t>
      </w:r>
      <w:r w:rsidR="00FE6B22">
        <w:t xml:space="preserve"> on emissions reductions that are not genuine and additional</w:t>
      </w:r>
      <w:r w:rsidR="00210413">
        <w:t>.</w:t>
      </w:r>
    </w:p>
    <w:p w14:paraId="0F6B41D7" w14:textId="3F888CED" w:rsidR="00A95051" w:rsidRDefault="00E12593" w:rsidP="00DA3872">
      <w:pPr>
        <w:pStyle w:val="CCAListBullet1"/>
      </w:pPr>
      <w:r w:rsidRPr="0068006E">
        <w:rPr>
          <w:color w:val="0070AE" w:themeColor="accent2" w:themeTint="BF"/>
        </w:rPr>
        <w:t xml:space="preserve">Provide confidence </w:t>
      </w:r>
      <w:r w:rsidR="00FF3824" w:rsidRPr="0068006E">
        <w:rPr>
          <w:color w:val="0070AE" w:themeColor="accent2" w:themeTint="BF"/>
        </w:rPr>
        <w:t xml:space="preserve">for use in </w:t>
      </w:r>
      <w:r w:rsidR="00A95051" w:rsidRPr="0068006E">
        <w:rPr>
          <w:color w:val="0070AE" w:themeColor="accent2" w:themeTint="BF"/>
        </w:rPr>
        <w:t xml:space="preserve">compliance </w:t>
      </w:r>
      <w:r w:rsidR="00B112AB" w:rsidRPr="0068006E">
        <w:rPr>
          <w:color w:val="0070AE" w:themeColor="accent2" w:themeTint="BF"/>
        </w:rPr>
        <w:t xml:space="preserve">and voluntary offset </w:t>
      </w:r>
      <w:r w:rsidR="00A95051" w:rsidRPr="0068006E">
        <w:rPr>
          <w:color w:val="0070AE" w:themeColor="accent2" w:themeTint="BF"/>
        </w:rPr>
        <w:t xml:space="preserve">markets </w:t>
      </w:r>
      <w:r w:rsidR="00A95051">
        <w:t xml:space="preserve">– </w:t>
      </w:r>
      <w:r w:rsidR="00210413">
        <w:t xml:space="preserve">maintaining integrity is important for market confidence in the scheme. Private buyers of ACCUs for </w:t>
      </w:r>
      <w:r w:rsidR="00B112AB">
        <w:t xml:space="preserve">compliance and voluntary purposes need confidence in their understanding </w:t>
      </w:r>
      <w:r w:rsidR="00441755">
        <w:t xml:space="preserve">of </w:t>
      </w:r>
      <w:r w:rsidR="00B112AB">
        <w:t xml:space="preserve">what ACCUs represent. </w:t>
      </w:r>
      <w:r w:rsidR="00DE3B41">
        <w:t>Looking down the track to opportunities in a world shifting to net zero emissions, t</w:t>
      </w:r>
      <w:r w:rsidR="00D14BC4">
        <w:t>o maximise the likelihood of a future successful carbon offsets export industry we need to ensure ACCUs continue to be recognised for their high integrity.</w:t>
      </w:r>
    </w:p>
    <w:p w14:paraId="79437FDE" w14:textId="68A6462F" w:rsidR="00FE6B22" w:rsidRPr="0065452C" w:rsidRDefault="001E0F84" w:rsidP="00FE6B22">
      <w:r>
        <w:t>T</w:t>
      </w:r>
      <w:r w:rsidR="00A95051">
        <w:t>he pursuit of integrity</w:t>
      </w:r>
      <w:r w:rsidR="008E7018" w:rsidRPr="00447B70">
        <w:t xml:space="preserve"> does </w:t>
      </w:r>
      <w:r w:rsidR="00A95051">
        <w:t>pose challenges</w:t>
      </w:r>
      <w:r w:rsidR="008E7018" w:rsidRPr="00447B70">
        <w:t xml:space="preserve"> when applied to abatement activities across several sectors </w:t>
      </w:r>
      <w:r w:rsidR="005B0A38">
        <w:t>of</w:t>
      </w:r>
      <w:r w:rsidR="008E7018" w:rsidRPr="00447B70">
        <w:t xml:space="preserve"> the economy. Additionality is often difficult to assess, particularly where there are private benefits associated with carrying out a project</w:t>
      </w:r>
      <w:r w:rsidR="00BC6591">
        <w:t>,</w:t>
      </w:r>
      <w:r w:rsidR="008E7018" w:rsidRPr="00447B70">
        <w:t xml:space="preserve"> for example energy efficiency savings, energy generation or agricultural productivity benefits. Emission reductions are also often difficult to estimate and verify, limiting the scope of activities that can be credited under the ERF. </w:t>
      </w:r>
      <w:r>
        <w:t xml:space="preserve">The measures adopted to </w:t>
      </w:r>
      <w:r w:rsidR="00BC6591">
        <w:t xml:space="preserve">ensure </w:t>
      </w:r>
      <w:r>
        <w:t xml:space="preserve">the integrity of the scheme must be cognisant of the risk of </w:t>
      </w:r>
      <w:r w:rsidRPr="001E0F84">
        <w:t>foregoing genuine</w:t>
      </w:r>
      <w:r>
        <w:t xml:space="preserve"> emissions reduction</w:t>
      </w:r>
      <w:r w:rsidRPr="001E0F84">
        <w:t xml:space="preserve"> opportunities</w:t>
      </w:r>
      <w:r>
        <w:t xml:space="preserve">. </w:t>
      </w:r>
      <w:r w:rsidR="00602966">
        <w:t>However, w</w:t>
      </w:r>
      <w:r w:rsidR="008E7018" w:rsidRPr="00447B70">
        <w:t xml:space="preserve">hile efforts can be made to simplify methods and reduce unnecessary measurement or eligibility requirements where possible, </w:t>
      </w:r>
      <w:r w:rsidR="00602966">
        <w:t xml:space="preserve">it is also the case that </w:t>
      </w:r>
      <w:r w:rsidR="008E7018" w:rsidRPr="00447B70">
        <w:t>some abatement activities are not well suited to an offsets scheme</w:t>
      </w:r>
      <w:r w:rsidR="00BC6591">
        <w:t xml:space="preserve"> (</w:t>
      </w:r>
      <w:r w:rsidR="009C1013">
        <w:t>C</w:t>
      </w:r>
      <w:r w:rsidR="00BC6591">
        <w:t xml:space="preserve">hapter </w:t>
      </w:r>
      <w:r w:rsidR="0044018D" w:rsidRPr="004720BE">
        <w:t>4</w:t>
      </w:r>
      <w:r w:rsidR="0044018D">
        <w:t>).</w:t>
      </w:r>
    </w:p>
    <w:p w14:paraId="44DAC2EB" w14:textId="785ED0E8" w:rsidR="0004505C" w:rsidRPr="0068006E" w:rsidRDefault="0004505C" w:rsidP="00B35722">
      <w:pPr>
        <w:pStyle w:val="Heading2"/>
        <w:numPr>
          <w:ilvl w:val="1"/>
          <w:numId w:val="13"/>
        </w:numPr>
        <w:rPr>
          <w:color w:val="0070AE" w:themeColor="accent2" w:themeTint="BF"/>
        </w:rPr>
      </w:pPr>
      <w:bookmarkStart w:id="1990" w:name="_Toc48996310"/>
      <w:bookmarkStart w:id="1991" w:name="_Toc49350832"/>
      <w:bookmarkStart w:id="1992" w:name="_Toc49352812"/>
      <w:bookmarkStart w:id="1993" w:name="_Toc49354188"/>
      <w:bookmarkStart w:id="1994" w:name="_Toc49355514"/>
      <w:bookmarkStart w:id="1995" w:name="_Toc49429272"/>
      <w:bookmarkStart w:id="1996" w:name="_Toc49434029"/>
      <w:bookmarkStart w:id="1997" w:name="_Toc49441022"/>
      <w:bookmarkStart w:id="1998" w:name="_Toc49441212"/>
      <w:bookmarkStart w:id="1999" w:name="_Toc49442215"/>
      <w:bookmarkStart w:id="2000" w:name="_Toc49508946"/>
      <w:bookmarkStart w:id="2001" w:name="_Toc49519756"/>
      <w:bookmarkStart w:id="2002" w:name="_Toc49521474"/>
      <w:bookmarkStart w:id="2003" w:name="_Toc49524546"/>
      <w:bookmarkStart w:id="2004" w:name="_Toc49524684"/>
      <w:bookmarkStart w:id="2005" w:name="_Toc49527153"/>
      <w:bookmarkStart w:id="2006" w:name="_Toc49527991"/>
      <w:bookmarkStart w:id="2007" w:name="_Toc49692144"/>
      <w:bookmarkStart w:id="2008" w:name="_Toc49710517"/>
      <w:bookmarkStart w:id="2009" w:name="_Toc49710689"/>
      <w:bookmarkStart w:id="2010" w:name="_Toc49713242"/>
      <w:bookmarkStart w:id="2011" w:name="_Toc49713444"/>
      <w:bookmarkStart w:id="2012" w:name="_Toc49776382"/>
      <w:bookmarkStart w:id="2013" w:name="_Toc49784941"/>
      <w:bookmarkStart w:id="2014" w:name="_Toc49786267"/>
      <w:bookmarkStart w:id="2015" w:name="_Toc49787316"/>
      <w:bookmarkStart w:id="2016" w:name="_Toc49787371"/>
      <w:bookmarkStart w:id="2017" w:name="_Toc49850685"/>
      <w:bookmarkStart w:id="2018" w:name="_Toc49852927"/>
      <w:bookmarkStart w:id="2019" w:name="_Toc49854344"/>
      <w:bookmarkStart w:id="2020" w:name="_Toc49856940"/>
      <w:bookmarkStart w:id="2021" w:name="_Toc49858256"/>
      <w:bookmarkStart w:id="2022" w:name="_Toc49858311"/>
      <w:bookmarkStart w:id="2023" w:name="_Toc49863013"/>
      <w:bookmarkStart w:id="2024" w:name="_Toc49867736"/>
      <w:bookmarkStart w:id="2025" w:name="_Toc49870572"/>
      <w:bookmarkStart w:id="2026" w:name="_Toc49871315"/>
      <w:bookmarkStart w:id="2027" w:name="_Toc49871995"/>
      <w:bookmarkStart w:id="2028" w:name="_Toc49872548"/>
      <w:bookmarkStart w:id="2029" w:name="_Toc50027760"/>
      <w:bookmarkStart w:id="2030" w:name="_Toc50029454"/>
      <w:bookmarkStart w:id="2031" w:name="_Toc50043885"/>
      <w:bookmarkStart w:id="2032" w:name="_Toc50057737"/>
      <w:bookmarkStart w:id="2033" w:name="_Toc50553614"/>
      <w:bookmarkStart w:id="2034" w:name="_Toc50555377"/>
      <w:bookmarkStart w:id="2035" w:name="_Toc50559837"/>
      <w:bookmarkStart w:id="2036" w:name="_Toc50559890"/>
      <w:bookmarkStart w:id="2037" w:name="_Toc50563824"/>
      <w:bookmarkStart w:id="2038" w:name="_Toc50711377"/>
      <w:bookmarkStart w:id="2039" w:name="_Toc50720959"/>
      <w:bookmarkStart w:id="2040" w:name="_Toc50730683"/>
      <w:bookmarkStart w:id="2041" w:name="_Toc50734909"/>
      <w:bookmarkStart w:id="2042" w:name="_Toc50735512"/>
      <w:bookmarkStart w:id="2043" w:name="_Toc50905531"/>
      <w:bookmarkStart w:id="2044" w:name="_Toc51587015"/>
      <w:bookmarkStart w:id="2045" w:name="_Toc51594875"/>
      <w:bookmarkStart w:id="2046" w:name="_Toc51599478"/>
      <w:bookmarkStart w:id="2047" w:name="_Toc51613514"/>
      <w:bookmarkStart w:id="2048" w:name="_Toc51669625"/>
      <w:bookmarkStart w:id="2049" w:name="_Toc51669720"/>
      <w:bookmarkStart w:id="2050" w:name="_Toc51672869"/>
      <w:bookmarkStart w:id="2051" w:name="_Toc51673919"/>
      <w:bookmarkStart w:id="2052" w:name="_Toc51680736"/>
      <w:bookmarkStart w:id="2053" w:name="_Toc51683265"/>
      <w:bookmarkStart w:id="2054" w:name="_Toc51686001"/>
      <w:bookmarkStart w:id="2055" w:name="_Toc51687739"/>
      <w:bookmarkStart w:id="2056" w:name="_Toc51687883"/>
      <w:bookmarkStart w:id="2057" w:name="_Toc51705761"/>
      <w:bookmarkStart w:id="2058" w:name="_Toc51770707"/>
      <w:bookmarkStart w:id="2059" w:name="_Toc51770893"/>
      <w:bookmarkStart w:id="2060" w:name="_Toc52359236"/>
      <w:bookmarkStart w:id="2061" w:name="_Toc52367269"/>
      <w:bookmarkStart w:id="2062" w:name="_Toc52371609"/>
      <w:bookmarkStart w:id="2063" w:name="_Toc52374757"/>
      <w:bookmarkStart w:id="2064" w:name="_Toc52377295"/>
      <w:bookmarkStart w:id="2065" w:name="_Toc52379217"/>
      <w:bookmarkStart w:id="2066" w:name="_Toc52379572"/>
      <w:bookmarkStart w:id="2067" w:name="_Toc52532782"/>
      <w:bookmarkStart w:id="2068" w:name="_Toc52535677"/>
      <w:bookmarkStart w:id="2069" w:name="_Toc52537495"/>
      <w:bookmarkStart w:id="2070" w:name="_Toc52544058"/>
      <w:bookmarkStart w:id="2071" w:name="_Toc52545662"/>
      <w:bookmarkStart w:id="2072" w:name="_Toc52547894"/>
      <w:bookmarkStart w:id="2073" w:name="_Toc52548583"/>
      <w:bookmarkStart w:id="2074" w:name="_Toc52890875"/>
      <w:bookmarkStart w:id="2075" w:name="_Toc52895078"/>
      <w:bookmarkStart w:id="2076" w:name="_Toc52896602"/>
      <w:bookmarkStart w:id="2077" w:name="_Toc52977779"/>
      <w:bookmarkStart w:id="2078" w:name="_Toc53129465"/>
      <w:r w:rsidRPr="0068006E">
        <w:rPr>
          <w:color w:val="0070AE" w:themeColor="accent2" w:themeTint="BF"/>
        </w:rPr>
        <w:t>O</w:t>
      </w:r>
      <w:r w:rsidR="00E51BFE" w:rsidRPr="0068006E">
        <w:rPr>
          <w:color w:val="0070AE" w:themeColor="accent2" w:themeTint="BF"/>
        </w:rPr>
        <w:t>ffsets</w:t>
      </w:r>
      <w:r w:rsidRPr="0068006E">
        <w:rPr>
          <w:color w:val="0070AE" w:themeColor="accent2" w:themeTint="BF"/>
        </w:rPr>
        <w:t xml:space="preserve"> </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r w:rsidR="00BC6591" w:rsidRPr="0068006E">
        <w:rPr>
          <w:color w:val="0070AE" w:themeColor="accent2" w:themeTint="BF"/>
        </w:rPr>
        <w:t>Integrity Standards</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14:paraId="39DDB202" w14:textId="000DFAE6" w:rsidR="00021E39" w:rsidRDefault="00E51BFE" w:rsidP="0020526C">
      <w:r>
        <w:t xml:space="preserve">The </w:t>
      </w:r>
      <w:r w:rsidR="007B4436">
        <w:t>O</w:t>
      </w:r>
      <w:r>
        <w:t xml:space="preserve">ffsets </w:t>
      </w:r>
      <w:r w:rsidR="007B4436">
        <w:t>I</w:t>
      </w:r>
      <w:r>
        <w:t xml:space="preserve">ntegrity </w:t>
      </w:r>
      <w:r w:rsidR="007B4436">
        <w:t>S</w:t>
      </w:r>
      <w:r>
        <w:t xml:space="preserve">tandards </w:t>
      </w:r>
      <w:r w:rsidR="00FE5F52">
        <w:t>contained in</w:t>
      </w:r>
      <w:r>
        <w:t xml:space="preserve"> the CFI legislation </w:t>
      </w:r>
      <w:r w:rsidR="00FE5F52">
        <w:t>underpin</w:t>
      </w:r>
      <w:r>
        <w:t xml:space="preserve"> the integrity of the ERF scheme. The </w:t>
      </w:r>
      <w:r w:rsidR="00BC6591">
        <w:t>Offsets Integrity Standards</w:t>
      </w:r>
      <w:r>
        <w:t xml:space="preserve"> require that ERF methods</w:t>
      </w:r>
      <w:r w:rsidR="009942BB">
        <w:t xml:space="preserve">: </w:t>
      </w:r>
    </w:p>
    <w:p w14:paraId="411A999E" w14:textId="065FD702" w:rsidR="001371C5" w:rsidRDefault="00B74E5F" w:rsidP="00FE3F8C">
      <w:pPr>
        <w:pStyle w:val="ListParagraph"/>
        <w:numPr>
          <w:ilvl w:val="0"/>
          <w:numId w:val="8"/>
        </w:numPr>
      </w:pPr>
      <w:r>
        <w:t xml:space="preserve">should result in carbon abatement that is </w:t>
      </w:r>
      <w:r w:rsidR="00A52EEC">
        <w:t>a</w:t>
      </w:r>
      <w:r w:rsidR="001371C5">
        <w:t>dditional</w:t>
      </w:r>
      <w:r w:rsidR="009960CD">
        <w:t xml:space="preserve"> </w:t>
      </w:r>
      <w:r>
        <w:t>(</w:t>
      </w:r>
      <w:r w:rsidR="00A52EEC" w:rsidRPr="00A52EEC">
        <w:t>unlikely to occur in the ordinary course of events</w:t>
      </w:r>
      <w:r w:rsidR="00A52EEC">
        <w:t>)</w:t>
      </w:r>
      <w:r w:rsidR="001371C5">
        <w:t xml:space="preserve"> </w:t>
      </w:r>
      <w:r>
        <w:t xml:space="preserve">and </w:t>
      </w:r>
      <w:r w:rsidR="00A52EEC">
        <w:t xml:space="preserve">genuine </w:t>
      </w:r>
      <w:r>
        <w:t>(</w:t>
      </w:r>
      <w:r w:rsidR="001371C5">
        <w:t xml:space="preserve">measurable and </w:t>
      </w:r>
      <w:r w:rsidR="00A52EEC">
        <w:t xml:space="preserve">capable of being </w:t>
      </w:r>
      <w:r w:rsidR="001371C5">
        <w:t>verifi</w:t>
      </w:r>
      <w:r w:rsidR="00A52EEC">
        <w:t>ed</w:t>
      </w:r>
      <w:r>
        <w:t>)</w:t>
      </w:r>
    </w:p>
    <w:p w14:paraId="49BDD308" w14:textId="4F2FFAD6" w:rsidR="001371C5" w:rsidRDefault="00B74E5F" w:rsidP="00FE3F8C">
      <w:pPr>
        <w:pStyle w:val="ListParagraph"/>
        <w:numPr>
          <w:ilvl w:val="0"/>
          <w:numId w:val="8"/>
        </w:numPr>
      </w:pPr>
      <w:r>
        <w:t xml:space="preserve">in determining the net abatement </w:t>
      </w:r>
      <w:r w:rsidR="00CA05A5">
        <w:t xml:space="preserve">amount </w:t>
      </w:r>
      <w:r>
        <w:t>for a project</w:t>
      </w:r>
      <w:r w:rsidR="00CA05A5">
        <w:t xml:space="preserve">, only </w:t>
      </w:r>
      <w:r w:rsidR="0024440F">
        <w:t xml:space="preserve">take into </w:t>
      </w:r>
      <w:r w:rsidR="000E4DBE">
        <w:t>ac</w:t>
      </w:r>
      <w:r w:rsidR="00CA05A5">
        <w:t xml:space="preserve">count </w:t>
      </w:r>
      <w:r w:rsidR="0024440F">
        <w:t xml:space="preserve">eligible </w:t>
      </w:r>
      <w:r w:rsidR="00CA05A5">
        <w:t xml:space="preserve">abatement </w:t>
      </w:r>
      <w:r w:rsidR="00DB1E98">
        <w:t>(table 5.1)</w:t>
      </w:r>
      <w:r w:rsidR="00CA05A5">
        <w:t xml:space="preserve"> from the project and deduct any material emissions that occur as a result of the project</w:t>
      </w:r>
      <w:r w:rsidR="001371C5">
        <w:t xml:space="preserve"> </w:t>
      </w:r>
    </w:p>
    <w:p w14:paraId="7E72C5D2" w14:textId="4A42D0BB" w:rsidR="001371C5" w:rsidRDefault="00CA05A5" w:rsidP="00FE3F8C">
      <w:pPr>
        <w:pStyle w:val="ListParagraph"/>
        <w:numPr>
          <w:ilvl w:val="0"/>
          <w:numId w:val="8"/>
        </w:numPr>
      </w:pPr>
      <w:r>
        <w:t>are supported by clear and convincing evidence</w:t>
      </w:r>
    </w:p>
    <w:p w14:paraId="2E654E6B" w14:textId="17F189DD" w:rsidR="001371C5" w:rsidRDefault="0024440F" w:rsidP="00FE3F8C">
      <w:pPr>
        <w:pStyle w:val="ListParagraph"/>
        <w:numPr>
          <w:ilvl w:val="0"/>
          <w:numId w:val="8"/>
        </w:numPr>
      </w:pPr>
      <w:r>
        <w:t xml:space="preserve">adopt </w:t>
      </w:r>
      <w:r w:rsidR="001371C5">
        <w:t>conservative</w:t>
      </w:r>
      <w:r w:rsidR="009960CD">
        <w:t xml:space="preserve"> </w:t>
      </w:r>
      <w:r>
        <w:t>estimates, projections and assumptions.</w:t>
      </w:r>
      <w:r w:rsidR="001371C5">
        <w:t xml:space="preserve"> </w:t>
      </w:r>
    </w:p>
    <w:p w14:paraId="5E67C7EE" w14:textId="02EAC8E5" w:rsidR="00C45FB6" w:rsidRDefault="00C45FB6" w:rsidP="00C45FB6">
      <w:r>
        <w:t xml:space="preserve">Several stakeholders stated in their submissions that maintaining the Offsets Integrity Standards is important for environmental integrity, investor confidence and scheme reputation (Hydro Tasmania, Australian Conservation Foundation, </w:t>
      </w:r>
      <w:r w:rsidR="006D1A10">
        <w:t>Woodside</w:t>
      </w:r>
      <w:r>
        <w:t xml:space="preserve">, ICIN and ALFA). Woodside stated in its submission that: </w:t>
      </w:r>
    </w:p>
    <w:p w14:paraId="4E6DCE40" w14:textId="05580E4C" w:rsidR="00C45FB6" w:rsidRDefault="005B0A38" w:rsidP="00F94E82">
      <w:pPr>
        <w:ind w:left="720"/>
        <w:rPr>
          <w:i/>
        </w:rPr>
      </w:pPr>
      <w:r>
        <w:rPr>
          <w:i/>
        </w:rPr>
        <w:t>‘</w:t>
      </w:r>
      <w:r w:rsidR="00C45FB6" w:rsidRPr="7943B309">
        <w:rPr>
          <w:i/>
        </w:rPr>
        <w:t>The ERF is underpinned by the robust legislative and governance frameworks in the Carbon Credits (Carbon Farming Initiative) Act (CFI) and subsidiary legislation which ensure the integrity of Australian Carbon Credit Units (ACCUs) credited under CFI’s methodologies… These high levels of integrity are particularly important to give confidence to the market relating to the creation, trading and surrender of ACCUs</w:t>
      </w:r>
      <w:r>
        <w:rPr>
          <w:i/>
        </w:rPr>
        <w:t>’</w:t>
      </w:r>
      <w:r w:rsidR="00C45FB6" w:rsidRPr="7943B309">
        <w:rPr>
          <w:i/>
        </w:rPr>
        <w:t xml:space="preserve"> (p.3).</w:t>
      </w:r>
    </w:p>
    <w:p w14:paraId="0F83D20F" w14:textId="177B514C" w:rsidR="009942BB" w:rsidRDefault="00B078B2" w:rsidP="009942BB">
      <w:r>
        <w:t>A b</w:t>
      </w:r>
      <w:r w:rsidR="00BC6591">
        <w:t>r</w:t>
      </w:r>
      <w:r>
        <w:t>oader environmental integrity principle is that o</w:t>
      </w:r>
      <w:r w:rsidR="003C49F2">
        <w:t xml:space="preserve">ffsets schemes should also </w:t>
      </w:r>
      <w:r w:rsidR="00380988">
        <w:t>no</w:t>
      </w:r>
      <w:r w:rsidR="003C49F2">
        <w:t xml:space="preserve">t cause </w:t>
      </w:r>
      <w:r>
        <w:t xml:space="preserve">harm through </w:t>
      </w:r>
      <w:r w:rsidR="003C49F2">
        <w:t xml:space="preserve">other adverse social or environmental impacts </w:t>
      </w:r>
      <w:r w:rsidR="003C49F2" w:rsidRPr="00226145">
        <w:t>(ICROA 2020</w:t>
      </w:r>
      <w:r w:rsidR="003C49F2">
        <w:t>)</w:t>
      </w:r>
      <w:r w:rsidR="00C33790">
        <w:t>. Th</w:t>
      </w:r>
      <w:r w:rsidR="00015A67">
        <w:t>e</w:t>
      </w:r>
      <w:r w:rsidR="00C33790">
        <w:t xml:space="preserve"> ERF </w:t>
      </w:r>
      <w:r w:rsidR="00015A67">
        <w:t xml:space="preserve">aims to achieve this through </w:t>
      </w:r>
      <w:r w:rsidR="00035535">
        <w:t>provisions in individual</w:t>
      </w:r>
      <w:r w:rsidR="00C33790">
        <w:t xml:space="preserve"> method</w:t>
      </w:r>
      <w:r w:rsidR="00035535">
        <w:t>s</w:t>
      </w:r>
      <w:r w:rsidR="00C33790">
        <w:t xml:space="preserve"> and through the </w:t>
      </w:r>
      <w:r w:rsidR="00015A67">
        <w:t xml:space="preserve">exclusion of activities on the </w:t>
      </w:r>
      <w:r w:rsidR="00C33790">
        <w:t xml:space="preserve">‘negative list’ </w:t>
      </w:r>
      <w:r w:rsidR="00015A67">
        <w:t xml:space="preserve">for example, projects </w:t>
      </w:r>
      <w:r w:rsidR="00C33790">
        <w:t>that plant weeds (</w:t>
      </w:r>
      <w:r w:rsidR="002F72C0" w:rsidRPr="009C3C8B">
        <w:t>CFI Regulations 2011</w:t>
      </w:r>
      <w:r w:rsidR="00661AF3">
        <w:t xml:space="preserve"> s</w:t>
      </w:r>
      <w:r w:rsidR="002F72C0">
        <w:t xml:space="preserve"> 3.36</w:t>
      </w:r>
      <w:r w:rsidR="00C33790">
        <w:t xml:space="preserve">). </w:t>
      </w:r>
    </w:p>
    <w:p w14:paraId="5089C9D8" w14:textId="64843F39" w:rsidR="009942BB" w:rsidRDefault="009942BB" w:rsidP="009942BB">
      <w:r>
        <w:t xml:space="preserve">The International Carbon Reduction and Offset Alliance (ICROA) has agreed </w:t>
      </w:r>
      <w:r w:rsidR="005B0A38">
        <w:t xml:space="preserve">to </w:t>
      </w:r>
      <w:r>
        <w:t>a set of best practice integrity principles for carbon credits, which were published in the latest World Bank annual report on the state and trends of global carbon markets (</w:t>
      </w:r>
      <w:r w:rsidRPr="00D824B0">
        <w:t>World Bank 2020</w:t>
      </w:r>
      <w:r>
        <w:t>). The ERF is recognised by ICROA as meeting the best practice principles through the application of the Offsets Integrity Standards (</w:t>
      </w:r>
      <w:r w:rsidRPr="004720BE">
        <w:t xml:space="preserve">Table </w:t>
      </w:r>
      <w:r w:rsidR="00C9522D" w:rsidRPr="004720BE">
        <w:t>5.1</w:t>
      </w:r>
      <w:r w:rsidRPr="004720BE">
        <w:t>).</w:t>
      </w:r>
      <w:r>
        <w:t xml:space="preserve"> </w:t>
      </w:r>
    </w:p>
    <w:p w14:paraId="264DCDD4" w14:textId="6EE48BDE" w:rsidR="007103A8" w:rsidRPr="009C211E" w:rsidRDefault="00954A1C" w:rsidP="00954A1C">
      <w:pPr>
        <w:spacing w:line="259" w:lineRule="auto"/>
        <w:rPr>
          <w:i/>
        </w:rPr>
      </w:pPr>
      <w:r>
        <w:rPr>
          <w:i/>
        </w:rPr>
        <w:br w:type="page"/>
      </w:r>
    </w:p>
    <w:p w14:paraId="4424DDD1" w14:textId="6296F9DF" w:rsidR="00C37595" w:rsidRPr="0068006E" w:rsidRDefault="00C37595" w:rsidP="005F21C6">
      <w:pPr>
        <w:pStyle w:val="Table"/>
      </w:pPr>
      <w:bookmarkStart w:id="2079" w:name="_Toc53129514"/>
      <w:r w:rsidRPr="0068006E">
        <w:t xml:space="preserve">Table </w:t>
      </w:r>
      <w:r w:rsidR="00C9522D" w:rsidRPr="0068006E">
        <w:t>5.1</w:t>
      </w:r>
      <w:r w:rsidRPr="0068006E">
        <w:t>. Best practice principles on carbon credits (based on ICROA)</w:t>
      </w:r>
      <w:bookmarkEnd w:id="2079"/>
    </w:p>
    <w:tbl>
      <w:tblPr>
        <w:tblStyle w:val="TableGrid"/>
        <w:tblW w:w="9072" w:type="dxa"/>
        <w:tblBorders>
          <w:top w:val="single" w:sz="2" w:space="0" w:color="007BB7"/>
          <w:left w:val="none" w:sz="0" w:space="0" w:color="auto"/>
          <w:bottom w:val="single" w:sz="2" w:space="0" w:color="007BB7"/>
          <w:right w:val="none" w:sz="0" w:space="0" w:color="auto"/>
          <w:insideH w:val="single" w:sz="2" w:space="0" w:color="007BB7"/>
          <w:insideV w:val="none" w:sz="0" w:space="0" w:color="auto"/>
        </w:tblBorders>
        <w:tblCellMar>
          <w:top w:w="142" w:type="dxa"/>
          <w:left w:w="142" w:type="dxa"/>
          <w:bottom w:w="142" w:type="dxa"/>
          <w:right w:w="142" w:type="dxa"/>
        </w:tblCellMar>
        <w:tblLook w:val="04A0" w:firstRow="1" w:lastRow="0" w:firstColumn="1" w:lastColumn="0" w:noHBand="0" w:noVBand="1"/>
      </w:tblPr>
      <w:tblGrid>
        <w:gridCol w:w="1416"/>
        <w:gridCol w:w="2681"/>
        <w:gridCol w:w="4975"/>
      </w:tblGrid>
      <w:tr w:rsidR="00C37595" w14:paraId="7C611F63" w14:textId="77777777" w:rsidTr="0027186C">
        <w:trPr>
          <w:trHeight w:hRule="exact" w:val="1000"/>
        </w:trPr>
        <w:tc>
          <w:tcPr>
            <w:tcW w:w="1416" w:type="dxa"/>
            <w:shd w:val="clear" w:color="auto" w:fill="0070AE" w:themeFill="accent2" w:themeFillTint="BF"/>
            <w:tcMar>
              <w:top w:w="113" w:type="dxa"/>
              <w:bottom w:w="113" w:type="dxa"/>
            </w:tcMar>
          </w:tcPr>
          <w:p w14:paraId="555E792F" w14:textId="77777777" w:rsidR="00C37595" w:rsidRPr="0031529B" w:rsidRDefault="00C37595" w:rsidP="0031529B">
            <w:pPr>
              <w:pStyle w:val="CCATabletext"/>
              <w:rPr>
                <w:b/>
                <w:color w:val="FFFFFF" w:themeColor="background1"/>
                <w:lang w:val="en-GB"/>
              </w:rPr>
            </w:pPr>
            <w:r w:rsidRPr="7943B309">
              <w:rPr>
                <w:b/>
                <w:color w:val="FFFFFF" w:themeColor="background1"/>
                <w:lang w:val="en-GB"/>
              </w:rPr>
              <w:t>Best Practice Principles</w:t>
            </w:r>
          </w:p>
        </w:tc>
        <w:tc>
          <w:tcPr>
            <w:tcW w:w="2681" w:type="dxa"/>
            <w:shd w:val="clear" w:color="auto" w:fill="0070AE" w:themeFill="accent2" w:themeFillTint="BF"/>
          </w:tcPr>
          <w:p w14:paraId="245BED3F" w14:textId="77777777" w:rsidR="00C37595" w:rsidRPr="0031529B" w:rsidRDefault="00C37595" w:rsidP="0031529B">
            <w:pPr>
              <w:pStyle w:val="CCATabletext"/>
              <w:rPr>
                <w:b/>
                <w:color w:val="FFFFFF" w:themeColor="background1"/>
                <w:lang w:val="en-GB"/>
              </w:rPr>
            </w:pPr>
            <w:r w:rsidRPr="7943B309">
              <w:rPr>
                <w:b/>
                <w:color w:val="FFFFFF" w:themeColor="background1"/>
                <w:lang w:val="en-GB"/>
              </w:rPr>
              <w:t>Description</w:t>
            </w:r>
          </w:p>
        </w:tc>
        <w:tc>
          <w:tcPr>
            <w:tcW w:w="4975" w:type="dxa"/>
            <w:shd w:val="clear" w:color="auto" w:fill="0070AE" w:themeFill="accent2" w:themeFillTint="BF"/>
          </w:tcPr>
          <w:p w14:paraId="75A95650" w14:textId="3269039B" w:rsidR="00C37595" w:rsidRPr="0031529B" w:rsidRDefault="00C37595" w:rsidP="0031529B">
            <w:pPr>
              <w:pStyle w:val="CCATabletext"/>
              <w:rPr>
                <w:b/>
                <w:color w:val="FFFFFF" w:themeColor="background1"/>
                <w:lang w:val="en-GB"/>
              </w:rPr>
            </w:pPr>
            <w:r w:rsidRPr="7943B309">
              <w:rPr>
                <w:b/>
                <w:color w:val="FFFFFF" w:themeColor="background1"/>
                <w:lang w:val="en-GB"/>
              </w:rPr>
              <w:t xml:space="preserve">How </w:t>
            </w:r>
            <w:r w:rsidR="0068006E">
              <w:rPr>
                <w:b/>
                <w:color w:val="FFFFFF" w:themeColor="background1"/>
                <w:lang w:val="en-GB"/>
              </w:rPr>
              <w:t xml:space="preserve">the </w:t>
            </w:r>
            <w:r w:rsidRPr="7943B309">
              <w:rPr>
                <w:b/>
                <w:color w:val="FFFFFF" w:themeColor="background1"/>
                <w:lang w:val="en-GB"/>
              </w:rPr>
              <w:t>ERF achieves best practice</w:t>
            </w:r>
          </w:p>
        </w:tc>
      </w:tr>
      <w:tr w:rsidR="00C37595" w14:paraId="45E7C1A6" w14:textId="77777777" w:rsidTr="00F94E82">
        <w:trPr>
          <w:trHeight w:hRule="exact" w:val="2336"/>
        </w:trPr>
        <w:tc>
          <w:tcPr>
            <w:tcW w:w="1416" w:type="dxa"/>
            <w:shd w:val="clear" w:color="auto" w:fill="DEDFDE"/>
            <w:tcMar>
              <w:top w:w="113" w:type="dxa"/>
              <w:bottom w:w="113" w:type="dxa"/>
            </w:tcMar>
          </w:tcPr>
          <w:p w14:paraId="34FE218F" w14:textId="77777777" w:rsidR="00C37595" w:rsidRDefault="00C37595" w:rsidP="0031529B">
            <w:pPr>
              <w:pStyle w:val="CCATabletext"/>
              <w:rPr>
                <w:lang w:val="en-GB"/>
              </w:rPr>
            </w:pPr>
            <w:r>
              <w:rPr>
                <w:lang w:val="en-GB"/>
              </w:rPr>
              <w:t>Real</w:t>
            </w:r>
          </w:p>
        </w:tc>
        <w:tc>
          <w:tcPr>
            <w:tcW w:w="2681" w:type="dxa"/>
            <w:shd w:val="clear" w:color="auto" w:fill="DEDFDE"/>
          </w:tcPr>
          <w:p w14:paraId="145A49E3" w14:textId="4C4CF644" w:rsidR="00C37595" w:rsidRPr="00855E36" w:rsidRDefault="00C37595" w:rsidP="0031529B">
            <w:pPr>
              <w:pStyle w:val="CCATabletext"/>
              <w:rPr>
                <w:lang w:val="en-GB"/>
              </w:rPr>
            </w:pPr>
            <w:r w:rsidRPr="00855E36">
              <w:rPr>
                <w:lang w:val="en-GB"/>
              </w:rPr>
              <w:t>All abatement and project activities shall be proven to have genuinely taken place.</w:t>
            </w:r>
          </w:p>
        </w:tc>
        <w:tc>
          <w:tcPr>
            <w:tcW w:w="4975" w:type="dxa"/>
            <w:shd w:val="clear" w:color="auto" w:fill="DEDFDE"/>
          </w:tcPr>
          <w:p w14:paraId="14FCA188" w14:textId="7595BC26" w:rsidR="009960CD" w:rsidRPr="007F3393" w:rsidRDefault="00C37595" w:rsidP="0031529B">
            <w:pPr>
              <w:pStyle w:val="CCATabletext"/>
              <w:rPr>
                <w:lang w:val="en-GB"/>
              </w:rPr>
            </w:pPr>
            <w:r w:rsidRPr="00855E36">
              <w:rPr>
                <w:lang w:val="en-GB"/>
              </w:rPr>
              <w:t>Projects must use approved methods that meet</w:t>
            </w:r>
            <w:r w:rsidR="00021D05" w:rsidRPr="00855E36">
              <w:rPr>
                <w:lang w:val="en-GB"/>
              </w:rPr>
              <w:t xml:space="preserve"> </w:t>
            </w:r>
            <w:r w:rsidR="00BC6591">
              <w:rPr>
                <w:lang w:val="en-GB"/>
              </w:rPr>
              <w:t>Offsets Integrity Standards</w:t>
            </w:r>
            <w:r w:rsidR="00E1065A">
              <w:rPr>
                <w:lang w:val="en-GB"/>
              </w:rPr>
              <w:t>, including that t</w:t>
            </w:r>
            <w:r w:rsidR="009960CD">
              <w:rPr>
                <w:lang w:val="en-GB"/>
              </w:rPr>
              <w:t>he method is supported by clear and convincing evidence.</w:t>
            </w:r>
          </w:p>
          <w:p w14:paraId="5F9EAC32" w14:textId="77777777" w:rsidR="00767B6C" w:rsidRPr="007F3393" w:rsidRDefault="00767B6C" w:rsidP="0031529B">
            <w:pPr>
              <w:pStyle w:val="CCATabletext"/>
              <w:rPr>
                <w:lang w:val="en-GB"/>
              </w:rPr>
            </w:pPr>
          </w:p>
          <w:p w14:paraId="087BF540" w14:textId="65BAF0B7" w:rsidR="00C37595" w:rsidRPr="00855E36" w:rsidRDefault="00021D05" w:rsidP="0031529B">
            <w:pPr>
              <w:pStyle w:val="CCATabletext"/>
              <w:rPr>
                <w:lang w:val="en-GB"/>
              </w:rPr>
            </w:pPr>
            <w:r w:rsidRPr="00855E36">
              <w:rPr>
                <w:lang w:val="en-GB"/>
              </w:rPr>
              <w:t>Project proponents report to the Clean Energy Regulator providing evidence of activities and abatement achieved.</w:t>
            </w:r>
          </w:p>
          <w:p w14:paraId="324D8C23" w14:textId="77777777" w:rsidR="00855E36" w:rsidRPr="00855E36" w:rsidRDefault="00855E36" w:rsidP="0031529B">
            <w:pPr>
              <w:pStyle w:val="CCATabletext"/>
            </w:pPr>
          </w:p>
          <w:p w14:paraId="40ACF2B4" w14:textId="3EAEA360" w:rsidR="009F35B2" w:rsidRPr="00855E36" w:rsidRDefault="00855E36" w:rsidP="0031529B">
            <w:pPr>
              <w:pStyle w:val="CCATabletext"/>
              <w:rPr>
                <w:lang w:val="en-GB"/>
              </w:rPr>
            </w:pPr>
            <w:r w:rsidRPr="00855E36">
              <w:t xml:space="preserve">Carbon credits are </w:t>
            </w:r>
            <w:r w:rsidR="007F3393">
              <w:t xml:space="preserve">only </w:t>
            </w:r>
            <w:r w:rsidR="009F35B2" w:rsidRPr="00855E36">
              <w:t>issu</w:t>
            </w:r>
            <w:r w:rsidRPr="00855E36">
              <w:t>ed</w:t>
            </w:r>
            <w:r w:rsidR="009F35B2" w:rsidRPr="00855E36">
              <w:t xml:space="preserve"> </w:t>
            </w:r>
            <w:r w:rsidRPr="00855E36">
              <w:t xml:space="preserve">after the abatement has </w:t>
            </w:r>
            <w:r w:rsidR="009F35B2" w:rsidRPr="00855E36">
              <w:t>actually occurred and following the submission of a project report</w:t>
            </w:r>
            <w:r w:rsidRPr="00855E36">
              <w:t>.</w:t>
            </w:r>
          </w:p>
        </w:tc>
      </w:tr>
      <w:tr w:rsidR="00C36249" w14:paraId="4B37F7F1" w14:textId="77777777" w:rsidTr="00565247">
        <w:trPr>
          <w:trHeight w:hRule="exact" w:val="1990"/>
        </w:trPr>
        <w:tc>
          <w:tcPr>
            <w:tcW w:w="1416" w:type="dxa"/>
            <w:shd w:val="clear" w:color="auto" w:fill="auto"/>
            <w:tcMar>
              <w:top w:w="113" w:type="dxa"/>
              <w:bottom w:w="113" w:type="dxa"/>
            </w:tcMar>
          </w:tcPr>
          <w:p w14:paraId="689BF9DE" w14:textId="5EE8CA25" w:rsidR="00C36249" w:rsidRDefault="00C36249" w:rsidP="0031529B">
            <w:pPr>
              <w:pStyle w:val="CCATabletext"/>
              <w:rPr>
                <w:lang w:val="en-GB"/>
              </w:rPr>
            </w:pPr>
            <w:r>
              <w:rPr>
                <w:lang w:val="en-GB"/>
              </w:rPr>
              <w:t>Additional</w:t>
            </w:r>
          </w:p>
        </w:tc>
        <w:tc>
          <w:tcPr>
            <w:tcW w:w="2681" w:type="dxa"/>
            <w:shd w:val="clear" w:color="auto" w:fill="auto"/>
          </w:tcPr>
          <w:p w14:paraId="42CD99B5" w14:textId="5502BE0B" w:rsidR="00C36249" w:rsidRPr="00C857EC" w:rsidRDefault="00C36249" w:rsidP="0031529B">
            <w:pPr>
              <w:pStyle w:val="CCATabletext"/>
              <w:rPr>
                <w:lang w:val="en-GB"/>
              </w:rPr>
            </w:pPr>
            <w:r w:rsidRPr="00C44842">
              <w:rPr>
                <w:lang w:val="en-GB"/>
              </w:rPr>
              <w:t>Abatement shall be additional to what would have occurred in the absence of the scheme or project.</w:t>
            </w:r>
          </w:p>
        </w:tc>
        <w:tc>
          <w:tcPr>
            <w:tcW w:w="4975" w:type="dxa"/>
            <w:shd w:val="clear" w:color="auto" w:fill="auto"/>
          </w:tcPr>
          <w:p w14:paraId="0F7322FD" w14:textId="70804A0B" w:rsidR="00C36249" w:rsidRDefault="00C36249" w:rsidP="0031529B">
            <w:pPr>
              <w:pStyle w:val="CCATabletext"/>
              <w:rPr>
                <w:lang w:val="en-GB"/>
              </w:rPr>
            </w:pPr>
            <w:r w:rsidRPr="00C44842">
              <w:rPr>
                <w:lang w:val="en-GB"/>
              </w:rPr>
              <w:t xml:space="preserve">Abatement must be </w:t>
            </w:r>
            <w:r w:rsidRPr="007F3393">
              <w:rPr>
                <w:lang w:val="en-GB"/>
              </w:rPr>
              <w:t>additional</w:t>
            </w:r>
            <w:r w:rsidR="007F3393" w:rsidRPr="007F3393">
              <w:rPr>
                <w:lang w:val="en-GB"/>
              </w:rPr>
              <w:t xml:space="preserve"> according to the </w:t>
            </w:r>
            <w:r w:rsidR="00304709">
              <w:rPr>
                <w:lang w:val="en-GB"/>
              </w:rPr>
              <w:t>O</w:t>
            </w:r>
            <w:r w:rsidRPr="007F3393">
              <w:rPr>
                <w:lang w:val="en-GB"/>
              </w:rPr>
              <w:t xml:space="preserve">ffsets </w:t>
            </w:r>
            <w:r w:rsidR="00304709">
              <w:rPr>
                <w:lang w:val="en-GB"/>
              </w:rPr>
              <w:t>I</w:t>
            </w:r>
            <w:r w:rsidRPr="007F3393">
              <w:rPr>
                <w:lang w:val="en-GB"/>
              </w:rPr>
              <w:t xml:space="preserve">ntegrity </w:t>
            </w:r>
            <w:r w:rsidR="00304709">
              <w:rPr>
                <w:lang w:val="en-GB"/>
              </w:rPr>
              <w:t>S</w:t>
            </w:r>
            <w:r w:rsidRPr="007F3393">
              <w:rPr>
                <w:lang w:val="en-GB"/>
              </w:rPr>
              <w:t>tandards.</w:t>
            </w:r>
            <w:r>
              <w:rPr>
                <w:lang w:val="en-GB"/>
              </w:rPr>
              <w:t xml:space="preserve"> </w:t>
            </w:r>
          </w:p>
          <w:p w14:paraId="7B625919" w14:textId="77777777" w:rsidR="00021D05" w:rsidRDefault="00021D05" w:rsidP="0031529B">
            <w:pPr>
              <w:pStyle w:val="CCATabletext"/>
              <w:rPr>
                <w:lang w:val="en-GB"/>
              </w:rPr>
            </w:pPr>
          </w:p>
          <w:p w14:paraId="6C0B372F" w14:textId="729E5288" w:rsidR="00021D05" w:rsidRDefault="007F3393" w:rsidP="0031529B">
            <w:pPr>
              <w:pStyle w:val="CCATabletext"/>
              <w:rPr>
                <w:lang w:val="en-GB"/>
              </w:rPr>
            </w:pPr>
            <w:r>
              <w:rPr>
                <w:lang w:val="en-GB"/>
              </w:rPr>
              <w:t>The project must also be new, and m</w:t>
            </w:r>
            <w:r w:rsidR="00021D05">
              <w:rPr>
                <w:lang w:val="en-GB"/>
              </w:rPr>
              <w:t>ust not be required by law</w:t>
            </w:r>
            <w:r>
              <w:rPr>
                <w:lang w:val="en-GB"/>
              </w:rPr>
              <w:t xml:space="preserve"> (regulatory additionality) </w:t>
            </w:r>
            <w:r w:rsidR="009477B2">
              <w:rPr>
                <w:lang w:val="en-GB"/>
              </w:rPr>
              <w:t xml:space="preserve">or supported by some </w:t>
            </w:r>
            <w:r>
              <w:rPr>
                <w:lang w:val="en-GB"/>
              </w:rPr>
              <w:t>other Government program</w:t>
            </w:r>
            <w:r w:rsidR="009477B2">
              <w:rPr>
                <w:lang w:val="en-GB"/>
              </w:rPr>
              <w:t xml:space="preserve">s </w:t>
            </w:r>
            <w:r>
              <w:rPr>
                <w:lang w:val="en-GB"/>
              </w:rPr>
              <w:t>(government program requirement)</w:t>
            </w:r>
            <w:r w:rsidR="00021D05">
              <w:rPr>
                <w:lang w:val="en-GB"/>
              </w:rPr>
              <w:t>.</w:t>
            </w:r>
          </w:p>
          <w:p w14:paraId="01590F0F" w14:textId="77777777" w:rsidR="00021D05" w:rsidRDefault="00021D05" w:rsidP="0031529B">
            <w:pPr>
              <w:pStyle w:val="CCATabletext"/>
              <w:rPr>
                <w:lang w:val="en-GB"/>
              </w:rPr>
            </w:pPr>
          </w:p>
          <w:p w14:paraId="648E8959" w14:textId="08F74C0A" w:rsidR="00C36249" w:rsidRDefault="00C36249" w:rsidP="0031529B">
            <w:pPr>
              <w:pStyle w:val="CCATabletext"/>
              <w:rPr>
                <w:lang w:val="en-GB"/>
              </w:rPr>
            </w:pPr>
          </w:p>
        </w:tc>
      </w:tr>
      <w:tr w:rsidR="00C36249" w14:paraId="5801626D" w14:textId="77777777" w:rsidTr="00F94E82">
        <w:trPr>
          <w:trHeight w:hRule="exact" w:val="1827"/>
        </w:trPr>
        <w:tc>
          <w:tcPr>
            <w:tcW w:w="1416" w:type="dxa"/>
            <w:shd w:val="clear" w:color="auto" w:fill="DDDDDE" w:themeFill="background2" w:themeFillTint="33"/>
            <w:tcMar>
              <w:top w:w="113" w:type="dxa"/>
              <w:bottom w:w="113" w:type="dxa"/>
            </w:tcMar>
          </w:tcPr>
          <w:p w14:paraId="7674C2B5" w14:textId="632A1B20" w:rsidR="00C36249" w:rsidRDefault="00C36249" w:rsidP="0031529B">
            <w:pPr>
              <w:pStyle w:val="CCATabletext"/>
              <w:rPr>
                <w:lang w:val="en-GB"/>
              </w:rPr>
            </w:pPr>
            <w:r>
              <w:rPr>
                <w:lang w:val="en-GB"/>
              </w:rPr>
              <w:t>Measurable</w:t>
            </w:r>
          </w:p>
        </w:tc>
        <w:tc>
          <w:tcPr>
            <w:tcW w:w="2681" w:type="dxa"/>
            <w:shd w:val="clear" w:color="auto" w:fill="DDDDDE" w:themeFill="background2" w:themeFillTint="33"/>
          </w:tcPr>
          <w:p w14:paraId="785E84AC" w14:textId="4A6715C9" w:rsidR="00C36249" w:rsidRDefault="00C36249" w:rsidP="0031529B">
            <w:pPr>
              <w:pStyle w:val="CCATabletext"/>
              <w:rPr>
                <w:lang w:val="en-GB"/>
              </w:rPr>
            </w:pPr>
            <w:r>
              <w:rPr>
                <w:lang w:val="en-GB"/>
              </w:rPr>
              <w:t xml:space="preserve">All </w:t>
            </w:r>
            <w:r w:rsidR="00021D05">
              <w:rPr>
                <w:lang w:val="en-GB"/>
              </w:rPr>
              <w:t xml:space="preserve">abatement </w:t>
            </w:r>
            <w:r>
              <w:rPr>
                <w:lang w:val="en-GB"/>
              </w:rPr>
              <w:t xml:space="preserve">shall be quantifiable, using recognised measurement tools (including adjustments for uncertainty and leakage), against a credible emissions baseline. </w:t>
            </w:r>
          </w:p>
        </w:tc>
        <w:tc>
          <w:tcPr>
            <w:tcW w:w="4975" w:type="dxa"/>
            <w:shd w:val="clear" w:color="auto" w:fill="DDDDDE" w:themeFill="background2" w:themeFillTint="33"/>
          </w:tcPr>
          <w:p w14:paraId="5D14C27A" w14:textId="684CEBD1" w:rsidR="00C36249" w:rsidRDefault="00C36249" w:rsidP="0031529B">
            <w:pPr>
              <w:pStyle w:val="CCATabletext"/>
              <w:rPr>
                <w:lang w:val="en-GB"/>
              </w:rPr>
            </w:pPr>
            <w:r w:rsidRPr="00570EBF">
              <w:rPr>
                <w:lang w:val="en-GB"/>
              </w:rPr>
              <w:t xml:space="preserve">Abatement must </w:t>
            </w:r>
            <w:r w:rsidR="001371C5">
              <w:rPr>
                <w:lang w:val="en-GB"/>
              </w:rPr>
              <w:t xml:space="preserve">meet </w:t>
            </w:r>
            <w:r w:rsidR="00583A38">
              <w:rPr>
                <w:lang w:val="en-GB"/>
              </w:rPr>
              <w:t>Offsets Integrity S</w:t>
            </w:r>
            <w:r w:rsidR="001371C5" w:rsidRPr="007F3393">
              <w:rPr>
                <w:lang w:val="en-GB"/>
              </w:rPr>
              <w:t>tandards to be</w:t>
            </w:r>
            <w:r w:rsidR="001371C5">
              <w:rPr>
                <w:lang w:val="en-GB"/>
              </w:rPr>
              <w:t xml:space="preserve"> measurable</w:t>
            </w:r>
            <w:r w:rsidR="00E1065A">
              <w:rPr>
                <w:lang w:val="en-GB"/>
              </w:rPr>
              <w:t xml:space="preserve"> and capable of being verified</w:t>
            </w:r>
            <w:r w:rsidR="001371C5">
              <w:rPr>
                <w:lang w:val="en-GB"/>
              </w:rPr>
              <w:t xml:space="preserve">, account </w:t>
            </w:r>
            <w:r w:rsidR="007F3393">
              <w:rPr>
                <w:lang w:val="en-GB"/>
              </w:rPr>
              <w:t>for</w:t>
            </w:r>
            <w:r w:rsidR="001371C5">
              <w:rPr>
                <w:lang w:val="en-GB"/>
              </w:rPr>
              <w:t xml:space="preserve"> leakage and be conservative. </w:t>
            </w:r>
          </w:p>
          <w:p w14:paraId="4379E51E" w14:textId="77777777" w:rsidR="00021D05" w:rsidRDefault="00021D05" w:rsidP="0031529B">
            <w:pPr>
              <w:pStyle w:val="CCATabletext"/>
              <w:rPr>
                <w:lang w:val="en-GB"/>
              </w:rPr>
            </w:pPr>
          </w:p>
          <w:p w14:paraId="609D8982" w14:textId="77777777" w:rsidR="00767B6C" w:rsidRDefault="00767B6C" w:rsidP="0031529B">
            <w:pPr>
              <w:pStyle w:val="CCATabletext"/>
              <w:rPr>
                <w:lang w:val="en-GB"/>
              </w:rPr>
            </w:pPr>
          </w:p>
          <w:p w14:paraId="3DC56005" w14:textId="40E32BA1" w:rsidR="00C36249" w:rsidRDefault="00021D05" w:rsidP="0031529B">
            <w:pPr>
              <w:pStyle w:val="CCATabletext"/>
              <w:rPr>
                <w:lang w:val="en-GB"/>
              </w:rPr>
            </w:pPr>
            <w:r>
              <w:rPr>
                <w:lang w:val="en-GB"/>
              </w:rPr>
              <w:t>This is supported by m</w:t>
            </w:r>
            <w:r w:rsidR="00C36249">
              <w:rPr>
                <w:lang w:val="en-GB"/>
              </w:rPr>
              <w:t>onitoring and record-keeping requirements</w:t>
            </w:r>
            <w:r>
              <w:rPr>
                <w:lang w:val="en-GB"/>
              </w:rPr>
              <w:t>.</w:t>
            </w:r>
          </w:p>
        </w:tc>
      </w:tr>
      <w:tr w:rsidR="00C36249" w14:paraId="7FF7B9C4" w14:textId="77777777" w:rsidTr="00F94E82">
        <w:trPr>
          <w:trHeight w:hRule="exact" w:val="3990"/>
        </w:trPr>
        <w:tc>
          <w:tcPr>
            <w:tcW w:w="1416" w:type="dxa"/>
            <w:shd w:val="clear" w:color="auto" w:fill="FFFFFF" w:themeFill="background1"/>
            <w:tcMar>
              <w:top w:w="113" w:type="dxa"/>
              <w:bottom w:w="113" w:type="dxa"/>
            </w:tcMar>
          </w:tcPr>
          <w:p w14:paraId="4829DBCB" w14:textId="3E27B3B4" w:rsidR="00C36249" w:rsidRDefault="00C36249" w:rsidP="0031529B">
            <w:pPr>
              <w:pStyle w:val="CCATabletext"/>
              <w:rPr>
                <w:lang w:val="en-GB"/>
              </w:rPr>
            </w:pPr>
            <w:r>
              <w:rPr>
                <w:lang w:val="en-GB"/>
              </w:rPr>
              <w:t>Permanent</w:t>
            </w:r>
          </w:p>
        </w:tc>
        <w:tc>
          <w:tcPr>
            <w:tcW w:w="2681" w:type="dxa"/>
            <w:shd w:val="clear" w:color="auto" w:fill="FFFFFF" w:themeFill="background1"/>
          </w:tcPr>
          <w:p w14:paraId="48B3CCB8" w14:textId="77777777" w:rsidR="00021D05" w:rsidRDefault="00C36249" w:rsidP="0031529B">
            <w:pPr>
              <w:pStyle w:val="CCATabletext"/>
              <w:rPr>
                <w:lang w:val="en-GB"/>
              </w:rPr>
            </w:pPr>
            <w:r>
              <w:rPr>
                <w:lang w:val="en-GB"/>
              </w:rPr>
              <w:t xml:space="preserve">Carbon credits shall represent permanent emission reductions and removals. </w:t>
            </w:r>
          </w:p>
          <w:p w14:paraId="0C0D8CDE" w14:textId="0C0CD91A" w:rsidR="00021D05" w:rsidRDefault="00C36249" w:rsidP="0031529B">
            <w:pPr>
              <w:pStyle w:val="CCATabletext"/>
              <w:rPr>
                <w:lang w:val="en-GB"/>
              </w:rPr>
            </w:pPr>
            <w:r>
              <w:rPr>
                <w:lang w:val="en-GB"/>
              </w:rPr>
              <w:t xml:space="preserve">Where projects carry a risk of reversibility, adequate </w:t>
            </w:r>
            <w:r w:rsidR="00DB1E98">
              <w:rPr>
                <w:lang w:val="en-GB"/>
              </w:rPr>
              <w:t>measures</w:t>
            </w:r>
            <w:r>
              <w:rPr>
                <w:lang w:val="en-GB"/>
              </w:rPr>
              <w:t xml:space="preserve"> shall be in place to ensure that the risk is minimised and that, should any reversal occur, a mechanism is in place that guarantees the reductions or removals shall be replaced or compensated. </w:t>
            </w:r>
          </w:p>
          <w:p w14:paraId="5F880DEB" w14:textId="77777777" w:rsidR="00C36249" w:rsidRDefault="00C36249" w:rsidP="0031529B">
            <w:pPr>
              <w:pStyle w:val="CCATabletext"/>
              <w:rPr>
                <w:lang w:val="en-GB"/>
              </w:rPr>
            </w:pPr>
            <w:r>
              <w:rPr>
                <w:lang w:val="en-GB"/>
              </w:rPr>
              <w:t xml:space="preserve">The internationally accepted norm for permanence is 100 years. </w:t>
            </w:r>
          </w:p>
          <w:p w14:paraId="08E1DFAE" w14:textId="7EE1D7CB" w:rsidR="005B0A38" w:rsidRDefault="005B0A38" w:rsidP="0031529B">
            <w:pPr>
              <w:pStyle w:val="CCATabletext"/>
              <w:rPr>
                <w:lang w:val="en-GB"/>
              </w:rPr>
            </w:pPr>
          </w:p>
        </w:tc>
        <w:tc>
          <w:tcPr>
            <w:tcW w:w="4975" w:type="dxa"/>
            <w:shd w:val="clear" w:color="auto" w:fill="FFFFFF" w:themeFill="background1"/>
          </w:tcPr>
          <w:p w14:paraId="5C4EBD06" w14:textId="77777777" w:rsidR="00C36249" w:rsidRDefault="00C36249" w:rsidP="0031529B">
            <w:pPr>
              <w:pStyle w:val="CCATabletext"/>
              <w:rPr>
                <w:lang w:val="en-GB"/>
              </w:rPr>
            </w:pPr>
            <w:r>
              <w:rPr>
                <w:lang w:val="en-GB"/>
              </w:rPr>
              <w:t xml:space="preserve">Sequestration projects have a permanence period of 100 or 25 years. </w:t>
            </w:r>
          </w:p>
          <w:p w14:paraId="53B66C77" w14:textId="77777777" w:rsidR="00C36249" w:rsidRDefault="00C36249" w:rsidP="0031529B">
            <w:pPr>
              <w:pStyle w:val="CCATabletext"/>
              <w:rPr>
                <w:lang w:val="en-GB"/>
              </w:rPr>
            </w:pPr>
          </w:p>
          <w:p w14:paraId="66AA0E83" w14:textId="245B2E7A" w:rsidR="009960CD" w:rsidRDefault="00C36249" w:rsidP="0031529B">
            <w:pPr>
              <w:pStyle w:val="CCATabletext"/>
              <w:rPr>
                <w:lang w:val="en-GB"/>
              </w:rPr>
            </w:pPr>
            <w:r>
              <w:rPr>
                <w:lang w:val="en-GB"/>
              </w:rPr>
              <w:t xml:space="preserve">A 20 per cent </w:t>
            </w:r>
            <w:r w:rsidR="00CC4BEC">
              <w:rPr>
                <w:lang w:val="en-GB"/>
              </w:rPr>
              <w:t>reduction in the credits issued</w:t>
            </w:r>
            <w:r>
              <w:rPr>
                <w:lang w:val="en-GB"/>
              </w:rPr>
              <w:t xml:space="preserve"> is applied to projects with a 25</w:t>
            </w:r>
            <w:r w:rsidR="00E1065A">
              <w:rPr>
                <w:lang w:val="en-GB"/>
              </w:rPr>
              <w:noBreakHyphen/>
            </w:r>
            <w:r>
              <w:rPr>
                <w:lang w:val="en-GB"/>
              </w:rPr>
              <w:t>year permanence period.</w:t>
            </w:r>
          </w:p>
          <w:p w14:paraId="1B50C4DB" w14:textId="77777777" w:rsidR="00767B6C" w:rsidRDefault="00767B6C" w:rsidP="0031529B">
            <w:pPr>
              <w:pStyle w:val="CCATabletext"/>
              <w:rPr>
                <w:lang w:val="en-GB"/>
              </w:rPr>
            </w:pPr>
          </w:p>
          <w:p w14:paraId="11A45B99" w14:textId="77777777" w:rsidR="00C36249" w:rsidRDefault="00767B6C" w:rsidP="0031529B">
            <w:pPr>
              <w:pStyle w:val="CCATabletext"/>
              <w:rPr>
                <w:lang w:val="en-GB"/>
              </w:rPr>
            </w:pPr>
            <w:r>
              <w:rPr>
                <w:lang w:val="en-GB"/>
              </w:rPr>
              <w:t xml:space="preserve">Abatement accredited under the determination is ‘eligible carbon abatement’ (abatement due to the project that can be used to meet Australia’s international mitigation obligations). </w:t>
            </w:r>
          </w:p>
          <w:p w14:paraId="695AC76F" w14:textId="77777777" w:rsidR="00143B9C" w:rsidRDefault="00143B9C" w:rsidP="0031529B">
            <w:pPr>
              <w:pStyle w:val="CCATabletext"/>
              <w:rPr>
                <w:lang w:val="en-GB"/>
              </w:rPr>
            </w:pPr>
          </w:p>
          <w:p w14:paraId="186BF08B" w14:textId="63F167ED" w:rsidR="00143B9C" w:rsidRDefault="00143B9C" w:rsidP="0031529B">
            <w:pPr>
              <w:pStyle w:val="CCATabletext"/>
              <w:rPr>
                <w:lang w:val="en-GB"/>
              </w:rPr>
            </w:pPr>
            <w:r>
              <w:rPr>
                <w:lang w:val="en-GB"/>
              </w:rPr>
              <w:t xml:space="preserve">In circumstances where a reversal of abatement occurs, due to an avoidable natural disturbance or deliberate conduct, a project proponent may be required to return (relinquish) a number of issued ACCUs. </w:t>
            </w:r>
          </w:p>
        </w:tc>
      </w:tr>
      <w:tr w:rsidR="00C36249" w14:paraId="0811E1E2" w14:textId="77777777" w:rsidTr="00565247">
        <w:trPr>
          <w:trHeight w:hRule="exact" w:val="1304"/>
        </w:trPr>
        <w:tc>
          <w:tcPr>
            <w:tcW w:w="1416" w:type="dxa"/>
            <w:shd w:val="clear" w:color="auto" w:fill="D9D9D9" w:themeFill="background1" w:themeFillShade="D9"/>
            <w:tcMar>
              <w:top w:w="113" w:type="dxa"/>
              <w:bottom w:w="113" w:type="dxa"/>
            </w:tcMar>
          </w:tcPr>
          <w:p w14:paraId="5D9E9A06" w14:textId="20716B2F" w:rsidR="00C36249" w:rsidRDefault="00C36249" w:rsidP="0031529B">
            <w:pPr>
              <w:pStyle w:val="CCATabletext"/>
              <w:rPr>
                <w:lang w:val="en-GB"/>
              </w:rPr>
            </w:pPr>
            <w:r>
              <w:rPr>
                <w:lang w:val="en-GB"/>
              </w:rPr>
              <w:t>Independently verified</w:t>
            </w:r>
          </w:p>
        </w:tc>
        <w:tc>
          <w:tcPr>
            <w:tcW w:w="2681" w:type="dxa"/>
            <w:shd w:val="clear" w:color="auto" w:fill="D9D9D9" w:themeFill="background1" w:themeFillShade="D9"/>
          </w:tcPr>
          <w:p w14:paraId="2887C1E8" w14:textId="3A29AB13" w:rsidR="00C36249" w:rsidRDefault="00C36249" w:rsidP="0031529B">
            <w:pPr>
              <w:pStyle w:val="CCATabletext"/>
              <w:rPr>
                <w:lang w:val="en-GB"/>
              </w:rPr>
            </w:pPr>
            <w:r w:rsidRPr="00C857EC">
              <w:rPr>
                <w:lang w:val="en-GB"/>
              </w:rPr>
              <w:t xml:space="preserve">Abatement shall be verified to a reasonable level of assurance by an independent and qualified third-party.  </w:t>
            </w:r>
          </w:p>
        </w:tc>
        <w:tc>
          <w:tcPr>
            <w:tcW w:w="4975" w:type="dxa"/>
            <w:shd w:val="clear" w:color="auto" w:fill="D9D9D9" w:themeFill="background1" w:themeFillShade="D9"/>
          </w:tcPr>
          <w:p w14:paraId="553908C2" w14:textId="07B59112" w:rsidR="00C36249" w:rsidRDefault="00C36249" w:rsidP="008E6ECF">
            <w:pPr>
              <w:pStyle w:val="CCATabletext"/>
              <w:rPr>
                <w:lang w:val="en-GB"/>
              </w:rPr>
            </w:pPr>
            <w:r>
              <w:rPr>
                <w:lang w:val="en-GB"/>
              </w:rPr>
              <w:t xml:space="preserve">Projects are required to undertake a minimum of three </w:t>
            </w:r>
            <w:r w:rsidR="008E6ECF">
              <w:rPr>
                <w:lang w:val="en-GB"/>
              </w:rPr>
              <w:t xml:space="preserve">independent </w:t>
            </w:r>
            <w:r>
              <w:rPr>
                <w:lang w:val="en-GB"/>
              </w:rPr>
              <w:t xml:space="preserve">audits to ensure that the </w:t>
            </w:r>
            <w:r w:rsidR="00C45FB6">
              <w:rPr>
                <w:lang w:val="en-GB"/>
              </w:rPr>
              <w:t xml:space="preserve">reported </w:t>
            </w:r>
            <w:r>
              <w:rPr>
                <w:lang w:val="en-GB"/>
              </w:rPr>
              <w:t>abatement is accurate.</w:t>
            </w:r>
          </w:p>
        </w:tc>
      </w:tr>
      <w:tr w:rsidR="00C36249" w14:paraId="51D3701D" w14:textId="77777777" w:rsidTr="00565247">
        <w:trPr>
          <w:trHeight w:hRule="exact" w:val="1740"/>
        </w:trPr>
        <w:tc>
          <w:tcPr>
            <w:tcW w:w="1416" w:type="dxa"/>
            <w:shd w:val="clear" w:color="auto" w:fill="FFFFFF" w:themeFill="background1"/>
            <w:tcMar>
              <w:top w:w="113" w:type="dxa"/>
              <w:bottom w:w="113" w:type="dxa"/>
            </w:tcMar>
          </w:tcPr>
          <w:p w14:paraId="311341B1" w14:textId="77777777" w:rsidR="00C36249" w:rsidRDefault="00C36249" w:rsidP="0031529B">
            <w:pPr>
              <w:pStyle w:val="CCATabletext"/>
              <w:rPr>
                <w:lang w:val="en-GB"/>
              </w:rPr>
            </w:pPr>
            <w:r>
              <w:rPr>
                <w:lang w:val="en-GB"/>
              </w:rPr>
              <w:t>Unique</w:t>
            </w:r>
          </w:p>
        </w:tc>
        <w:tc>
          <w:tcPr>
            <w:tcW w:w="2681" w:type="dxa"/>
            <w:shd w:val="clear" w:color="auto" w:fill="FFFFFF" w:themeFill="background1"/>
          </w:tcPr>
          <w:p w14:paraId="4ACBEBAE" w14:textId="77777777" w:rsidR="00C36249" w:rsidRDefault="00C36249" w:rsidP="0031529B">
            <w:pPr>
              <w:pStyle w:val="CCATabletext"/>
              <w:rPr>
                <w:lang w:val="en-GB"/>
              </w:rPr>
            </w:pPr>
            <w:r w:rsidRPr="003D65B4">
              <w:rPr>
                <w:lang w:val="en-GB"/>
              </w:rPr>
              <w:t>No more than one carbon credit can be associated with a single tonne of carbon abatement (t CO</w:t>
            </w:r>
            <w:r w:rsidRPr="00662581">
              <w:rPr>
                <w:vertAlign w:val="subscript"/>
                <w:lang w:val="en-GB"/>
              </w:rPr>
              <w:t>2</w:t>
            </w:r>
            <w:r w:rsidRPr="003D65B4">
              <w:rPr>
                <w:lang w:val="en-GB"/>
              </w:rPr>
              <w:t>-e). Carbon credits shall be stored and retired in an independent registry.</w:t>
            </w:r>
          </w:p>
        </w:tc>
        <w:tc>
          <w:tcPr>
            <w:tcW w:w="4975" w:type="dxa"/>
            <w:shd w:val="clear" w:color="auto" w:fill="auto"/>
          </w:tcPr>
          <w:p w14:paraId="0C1D5DE3" w14:textId="5912CB7F" w:rsidR="00C36249" w:rsidRPr="00021D05" w:rsidRDefault="00C36249" w:rsidP="0031529B">
            <w:pPr>
              <w:pStyle w:val="CCATabletext"/>
              <w:rPr>
                <w:lang w:val="en-GB"/>
              </w:rPr>
            </w:pPr>
            <w:r w:rsidRPr="00021D05">
              <w:rPr>
                <w:lang w:val="en-GB"/>
              </w:rPr>
              <w:t>The CFI Act prohibits projects from being credited more than once for emissions reductions. This is referred to as the ‘no double counting test’.</w:t>
            </w:r>
          </w:p>
          <w:p w14:paraId="5DA7819D" w14:textId="77777777" w:rsidR="00C36249" w:rsidRPr="00021D05" w:rsidRDefault="00C36249" w:rsidP="0031529B">
            <w:pPr>
              <w:pStyle w:val="CCATabletext"/>
              <w:rPr>
                <w:lang w:val="en-GB"/>
              </w:rPr>
            </w:pPr>
          </w:p>
          <w:p w14:paraId="7E244E0E" w14:textId="60124830" w:rsidR="00C36249" w:rsidRDefault="00E12DC8" w:rsidP="0031529B">
            <w:pPr>
              <w:pStyle w:val="CCATabletext"/>
              <w:rPr>
                <w:lang w:val="en-GB"/>
              </w:rPr>
            </w:pPr>
            <w:r>
              <w:rPr>
                <w:lang w:val="en-GB"/>
              </w:rPr>
              <w:t>ACCUs</w:t>
            </w:r>
            <w:r w:rsidR="00C36249" w:rsidRPr="00021D05">
              <w:rPr>
                <w:lang w:val="en-GB"/>
              </w:rPr>
              <w:t xml:space="preserve"> are issued and retired </w:t>
            </w:r>
            <w:r w:rsidR="009A1EA1">
              <w:rPr>
                <w:lang w:val="en-GB"/>
              </w:rPr>
              <w:t>within</w:t>
            </w:r>
            <w:r w:rsidR="00C36249" w:rsidRPr="00021D05">
              <w:rPr>
                <w:lang w:val="en-GB"/>
              </w:rPr>
              <w:t xml:space="preserve"> the Australian National Registry of Emissions Units (ANREU).</w:t>
            </w:r>
          </w:p>
        </w:tc>
      </w:tr>
    </w:tbl>
    <w:p w14:paraId="2F5D6CE2" w14:textId="04AFE2BC" w:rsidR="00E60FF5" w:rsidRPr="0068006E" w:rsidRDefault="00021D05" w:rsidP="009477B2">
      <w:pPr>
        <w:rPr>
          <w:sz w:val="17"/>
          <w:szCs w:val="17"/>
        </w:rPr>
      </w:pPr>
      <w:r w:rsidRPr="0068006E">
        <w:rPr>
          <w:b/>
          <w:sz w:val="17"/>
          <w:szCs w:val="17"/>
        </w:rPr>
        <w:t>Source</w:t>
      </w:r>
      <w:r w:rsidR="00C37595" w:rsidRPr="0068006E">
        <w:rPr>
          <w:b/>
          <w:sz w:val="17"/>
          <w:szCs w:val="17"/>
        </w:rPr>
        <w:t>:</w:t>
      </w:r>
      <w:r w:rsidR="00C37595" w:rsidRPr="0068006E">
        <w:rPr>
          <w:sz w:val="17"/>
          <w:szCs w:val="17"/>
        </w:rPr>
        <w:t xml:space="preserve"> </w:t>
      </w:r>
      <w:r w:rsidR="000E4DBE" w:rsidRPr="0068006E">
        <w:rPr>
          <w:sz w:val="17"/>
          <w:szCs w:val="17"/>
        </w:rPr>
        <w:t xml:space="preserve">ICROA 2018 and </w:t>
      </w:r>
      <w:r w:rsidR="000227AB" w:rsidRPr="0068006E">
        <w:rPr>
          <w:sz w:val="17"/>
          <w:szCs w:val="17"/>
        </w:rPr>
        <w:t>Authority’s own analysis</w:t>
      </w:r>
      <w:r w:rsidR="00C37595" w:rsidRPr="0068006E">
        <w:rPr>
          <w:sz w:val="17"/>
          <w:szCs w:val="17"/>
        </w:rPr>
        <w:t xml:space="preserve">. </w:t>
      </w:r>
    </w:p>
    <w:p w14:paraId="22282AA5" w14:textId="13E74B43" w:rsidR="001026B2" w:rsidRPr="0068006E" w:rsidRDefault="009477B2" w:rsidP="00B35722">
      <w:pPr>
        <w:pStyle w:val="Heading2"/>
        <w:numPr>
          <w:ilvl w:val="1"/>
          <w:numId w:val="13"/>
        </w:numPr>
        <w:rPr>
          <w:color w:val="0070AE" w:themeColor="accent2" w:themeTint="BF"/>
        </w:rPr>
      </w:pPr>
      <w:bookmarkStart w:id="2080" w:name="_Toc48996311"/>
      <w:bookmarkStart w:id="2081" w:name="_Toc49350833"/>
      <w:bookmarkStart w:id="2082" w:name="_Toc49352813"/>
      <w:bookmarkStart w:id="2083" w:name="_Toc49354189"/>
      <w:bookmarkStart w:id="2084" w:name="_Toc49355515"/>
      <w:bookmarkStart w:id="2085" w:name="_Toc49429273"/>
      <w:bookmarkStart w:id="2086" w:name="_Toc49434030"/>
      <w:bookmarkStart w:id="2087" w:name="_Toc49441023"/>
      <w:bookmarkStart w:id="2088" w:name="_Toc49441213"/>
      <w:bookmarkStart w:id="2089" w:name="_Toc49442216"/>
      <w:bookmarkStart w:id="2090" w:name="_Toc49508947"/>
      <w:bookmarkStart w:id="2091" w:name="_Toc49519757"/>
      <w:bookmarkStart w:id="2092" w:name="_Toc49521475"/>
      <w:bookmarkStart w:id="2093" w:name="_Toc49524547"/>
      <w:bookmarkStart w:id="2094" w:name="_Toc49524685"/>
      <w:bookmarkStart w:id="2095" w:name="_Toc49527154"/>
      <w:bookmarkStart w:id="2096" w:name="_Toc49527992"/>
      <w:bookmarkStart w:id="2097" w:name="_Toc49692145"/>
      <w:bookmarkStart w:id="2098" w:name="_Toc49710518"/>
      <w:bookmarkStart w:id="2099" w:name="_Toc49710690"/>
      <w:bookmarkStart w:id="2100" w:name="_Toc49713243"/>
      <w:bookmarkStart w:id="2101" w:name="_Toc49713445"/>
      <w:bookmarkStart w:id="2102" w:name="_Toc49776383"/>
      <w:bookmarkStart w:id="2103" w:name="_Toc49784942"/>
      <w:bookmarkStart w:id="2104" w:name="_Toc49786268"/>
      <w:bookmarkStart w:id="2105" w:name="_Toc49787317"/>
      <w:bookmarkStart w:id="2106" w:name="_Toc49787372"/>
      <w:bookmarkStart w:id="2107" w:name="_Toc49850686"/>
      <w:bookmarkStart w:id="2108" w:name="_Toc49852928"/>
      <w:bookmarkStart w:id="2109" w:name="_Toc49854345"/>
      <w:bookmarkStart w:id="2110" w:name="_Toc49856941"/>
      <w:bookmarkStart w:id="2111" w:name="_Toc49858257"/>
      <w:bookmarkStart w:id="2112" w:name="_Toc49858312"/>
      <w:bookmarkStart w:id="2113" w:name="_Toc49863014"/>
      <w:bookmarkStart w:id="2114" w:name="_Toc49867737"/>
      <w:bookmarkStart w:id="2115" w:name="_Toc49870573"/>
      <w:bookmarkStart w:id="2116" w:name="_Toc49871316"/>
      <w:bookmarkStart w:id="2117" w:name="_Toc49871996"/>
      <w:bookmarkStart w:id="2118" w:name="_Toc49872549"/>
      <w:bookmarkStart w:id="2119" w:name="_Toc50027761"/>
      <w:bookmarkStart w:id="2120" w:name="_Toc50029455"/>
      <w:bookmarkStart w:id="2121" w:name="_Toc50043886"/>
      <w:bookmarkStart w:id="2122" w:name="_Toc50057738"/>
      <w:bookmarkStart w:id="2123" w:name="_Toc50553615"/>
      <w:bookmarkStart w:id="2124" w:name="_Toc50555378"/>
      <w:bookmarkStart w:id="2125" w:name="_Toc50559838"/>
      <w:bookmarkStart w:id="2126" w:name="_Toc50559891"/>
      <w:bookmarkStart w:id="2127" w:name="_Toc50563825"/>
      <w:bookmarkStart w:id="2128" w:name="_Toc50711378"/>
      <w:bookmarkStart w:id="2129" w:name="_Toc50720960"/>
      <w:bookmarkStart w:id="2130" w:name="_Toc50730684"/>
      <w:bookmarkStart w:id="2131" w:name="_Toc50734910"/>
      <w:bookmarkStart w:id="2132" w:name="_Toc50735513"/>
      <w:bookmarkStart w:id="2133" w:name="_Toc50905532"/>
      <w:bookmarkStart w:id="2134" w:name="_Toc51587016"/>
      <w:bookmarkStart w:id="2135" w:name="_Toc51594876"/>
      <w:bookmarkStart w:id="2136" w:name="_Toc51599479"/>
      <w:bookmarkStart w:id="2137" w:name="_Toc51613515"/>
      <w:bookmarkStart w:id="2138" w:name="_Toc51669626"/>
      <w:bookmarkStart w:id="2139" w:name="_Toc51669721"/>
      <w:bookmarkStart w:id="2140" w:name="_Toc51672870"/>
      <w:bookmarkStart w:id="2141" w:name="_Toc51673920"/>
      <w:bookmarkStart w:id="2142" w:name="_Toc51680737"/>
      <w:bookmarkStart w:id="2143" w:name="_Toc51683266"/>
      <w:bookmarkStart w:id="2144" w:name="_Toc51686002"/>
      <w:bookmarkStart w:id="2145" w:name="_Toc51687740"/>
      <w:bookmarkStart w:id="2146" w:name="_Toc51687884"/>
      <w:bookmarkStart w:id="2147" w:name="_Toc51705762"/>
      <w:bookmarkStart w:id="2148" w:name="_Toc51770708"/>
      <w:bookmarkStart w:id="2149" w:name="_Toc51770894"/>
      <w:bookmarkStart w:id="2150" w:name="_Toc52359237"/>
      <w:bookmarkStart w:id="2151" w:name="_Toc52367270"/>
      <w:bookmarkStart w:id="2152" w:name="_Toc52371610"/>
      <w:bookmarkStart w:id="2153" w:name="_Toc52374758"/>
      <w:bookmarkStart w:id="2154" w:name="_Toc52377296"/>
      <w:bookmarkStart w:id="2155" w:name="_Toc52379218"/>
      <w:bookmarkStart w:id="2156" w:name="_Toc52379573"/>
      <w:bookmarkStart w:id="2157" w:name="_Toc52532783"/>
      <w:bookmarkStart w:id="2158" w:name="_Toc52535678"/>
      <w:bookmarkStart w:id="2159" w:name="_Toc52537496"/>
      <w:bookmarkStart w:id="2160" w:name="_Toc52544059"/>
      <w:bookmarkStart w:id="2161" w:name="_Toc52545663"/>
      <w:bookmarkStart w:id="2162" w:name="_Toc52547895"/>
      <w:bookmarkStart w:id="2163" w:name="_Toc52548584"/>
      <w:bookmarkStart w:id="2164" w:name="_Toc52890876"/>
      <w:bookmarkStart w:id="2165" w:name="_Toc52895079"/>
      <w:bookmarkStart w:id="2166" w:name="_Toc52896603"/>
      <w:bookmarkStart w:id="2167" w:name="_Toc52977780"/>
      <w:bookmarkStart w:id="2168" w:name="_Toc53129466"/>
      <w:r w:rsidRPr="0068006E">
        <w:rPr>
          <w:color w:val="0070AE" w:themeColor="accent2" w:themeTint="BF"/>
        </w:rPr>
        <w:t>A</w:t>
      </w:r>
      <w:r w:rsidR="00625A86" w:rsidRPr="0068006E">
        <w:rPr>
          <w:color w:val="0070AE" w:themeColor="accent2" w:themeTint="BF"/>
        </w:rPr>
        <w:t xml:space="preserve">pplication of the </w:t>
      </w:r>
      <w:r w:rsidR="001026B2" w:rsidRPr="0068006E">
        <w:rPr>
          <w:color w:val="0070AE" w:themeColor="accent2" w:themeTint="BF"/>
        </w:rPr>
        <w:t>Offsets Integrity Standards</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14:paraId="23323E72" w14:textId="2DB3D115" w:rsidR="00A5425B" w:rsidRPr="00BA2FDD" w:rsidRDefault="00F5636F" w:rsidP="00A5425B">
      <w:pPr>
        <w:rPr>
          <w:rFonts w:cs="Arial"/>
        </w:rPr>
      </w:pPr>
      <w:r w:rsidRPr="00E705FE">
        <w:rPr>
          <w:rFonts w:cs="Arial"/>
        </w:rPr>
        <w:t xml:space="preserve">The Emissions Reduction Assurance Committee (ERAC), is an </w:t>
      </w:r>
      <w:r w:rsidRPr="00BA2FDD">
        <w:rPr>
          <w:rFonts w:cs="Arial"/>
        </w:rPr>
        <w:t>independent, expert, statutory body established under the CFI Act</w:t>
      </w:r>
      <w:r w:rsidRPr="00BA2FDD">
        <w:rPr>
          <w:rFonts w:cs="Arial"/>
          <w:i/>
        </w:rPr>
        <w:t xml:space="preserve"> </w:t>
      </w:r>
      <w:r w:rsidRPr="00BA2FDD">
        <w:rPr>
          <w:rFonts w:cs="Arial"/>
        </w:rPr>
        <w:t>(s 254)</w:t>
      </w:r>
      <w:r w:rsidRPr="00F5636F">
        <w:rPr>
          <w:rFonts w:ascii="Verdana" w:hAnsi="Verdana"/>
          <w:color w:val="333333"/>
          <w:sz w:val="26"/>
          <w:szCs w:val="26"/>
          <w:shd w:val="clear" w:color="auto" w:fill="FFFFFF"/>
        </w:rPr>
        <w:t xml:space="preserve"> </w:t>
      </w:r>
      <w:r w:rsidRPr="00E705FE">
        <w:rPr>
          <w:rFonts w:cs="Arial"/>
        </w:rPr>
        <w:t>to assess whether methods meet the Offset</w:t>
      </w:r>
      <w:r w:rsidR="00486911">
        <w:rPr>
          <w:rFonts w:cs="Arial"/>
        </w:rPr>
        <w:t>s</w:t>
      </w:r>
      <w:r w:rsidRPr="00E705FE">
        <w:rPr>
          <w:rFonts w:cs="Arial"/>
        </w:rPr>
        <w:t xml:space="preserve"> Integrity Standards and </w:t>
      </w:r>
      <w:r w:rsidR="00435F3A" w:rsidRPr="00BA2FDD">
        <w:rPr>
          <w:rFonts w:cs="Arial"/>
        </w:rPr>
        <w:t xml:space="preserve">to </w:t>
      </w:r>
      <w:r w:rsidRPr="00BA2FDD">
        <w:rPr>
          <w:rFonts w:cs="Arial"/>
        </w:rPr>
        <w:t xml:space="preserve">provide advice to the Minister responsible for administering the ERF. </w:t>
      </w:r>
      <w:r w:rsidR="00A5425B" w:rsidRPr="00BA2FDD">
        <w:rPr>
          <w:rFonts w:cs="Arial"/>
        </w:rPr>
        <w:t>The ERAC’s functions include:</w:t>
      </w:r>
    </w:p>
    <w:p w14:paraId="124BDAC5" w14:textId="096FB0FE" w:rsidR="00A5425B" w:rsidRPr="00BA2FDD" w:rsidRDefault="00A5425B" w:rsidP="00FE3F8C">
      <w:pPr>
        <w:pStyle w:val="ListParagraph"/>
        <w:numPr>
          <w:ilvl w:val="0"/>
          <w:numId w:val="10"/>
        </w:numPr>
        <w:rPr>
          <w:rFonts w:cs="Arial"/>
        </w:rPr>
      </w:pPr>
      <w:r w:rsidRPr="00BA2FDD">
        <w:rPr>
          <w:rFonts w:cs="Arial"/>
        </w:rPr>
        <w:t xml:space="preserve">assessing </w:t>
      </w:r>
      <w:r w:rsidR="00F5636F" w:rsidRPr="00BA2FDD">
        <w:rPr>
          <w:rFonts w:cs="Arial"/>
        </w:rPr>
        <w:t xml:space="preserve">whether </w:t>
      </w:r>
      <w:r w:rsidRPr="00BA2FDD">
        <w:rPr>
          <w:rFonts w:cs="Arial"/>
        </w:rPr>
        <w:t xml:space="preserve">new </w:t>
      </w:r>
      <w:r w:rsidR="00F5636F" w:rsidRPr="00BA2FDD">
        <w:rPr>
          <w:rFonts w:cs="Arial"/>
        </w:rPr>
        <w:t>methods</w:t>
      </w:r>
      <w:r w:rsidRPr="00BA2FDD">
        <w:rPr>
          <w:rFonts w:cs="Arial"/>
        </w:rPr>
        <w:t xml:space="preserve"> comply with the Offsets Integrity S</w:t>
      </w:r>
      <w:r w:rsidR="00F5636F" w:rsidRPr="00BA2FDD">
        <w:rPr>
          <w:rFonts w:cs="Arial"/>
        </w:rPr>
        <w:t>tandards (s</w:t>
      </w:r>
      <w:r w:rsidR="00435F3A" w:rsidRPr="00BA2FDD">
        <w:rPr>
          <w:rFonts w:cs="Arial"/>
        </w:rPr>
        <w:t> </w:t>
      </w:r>
      <w:r w:rsidR="00F5636F" w:rsidRPr="00BA2FDD">
        <w:rPr>
          <w:rFonts w:cs="Arial"/>
        </w:rPr>
        <w:t xml:space="preserve"> 255(d)) </w:t>
      </w:r>
    </w:p>
    <w:p w14:paraId="4371FE9D" w14:textId="77777777" w:rsidR="00A5425B" w:rsidRPr="00BA2FDD" w:rsidRDefault="00F5636F" w:rsidP="00FE3F8C">
      <w:pPr>
        <w:pStyle w:val="ListParagraph"/>
        <w:numPr>
          <w:ilvl w:val="0"/>
          <w:numId w:val="10"/>
        </w:numPr>
        <w:rPr>
          <w:rFonts w:cs="Arial"/>
        </w:rPr>
      </w:pPr>
      <w:r w:rsidRPr="00BA2FDD">
        <w:rPr>
          <w:rFonts w:cs="Arial"/>
        </w:rPr>
        <w:t xml:space="preserve">undertaking periodic reviews of the methodology determinations to assess their ongoing effectiveness (s 255(e)) and </w:t>
      </w:r>
    </w:p>
    <w:p w14:paraId="1B16BB39" w14:textId="6F2B497E" w:rsidR="00A5425B" w:rsidRPr="00BA2FDD" w:rsidRDefault="00F5636F" w:rsidP="00FE3F8C">
      <w:pPr>
        <w:pStyle w:val="ListParagraph"/>
        <w:numPr>
          <w:ilvl w:val="0"/>
          <w:numId w:val="10"/>
        </w:numPr>
        <w:rPr>
          <w:rFonts w:cs="Arial"/>
        </w:rPr>
      </w:pPr>
      <w:r w:rsidRPr="00BA2FDD">
        <w:rPr>
          <w:rFonts w:cs="Arial"/>
        </w:rPr>
        <w:t xml:space="preserve">carrying out </w:t>
      </w:r>
      <w:r w:rsidR="00A5425B" w:rsidRPr="00BA2FDD">
        <w:rPr>
          <w:rFonts w:cs="Arial"/>
        </w:rPr>
        <w:t>reviews o</w:t>
      </w:r>
      <w:r w:rsidR="005B0A38">
        <w:rPr>
          <w:rFonts w:cs="Arial"/>
        </w:rPr>
        <w:t>n</w:t>
      </w:r>
      <w:r w:rsidR="00A5425B" w:rsidRPr="00BA2FDD">
        <w:rPr>
          <w:rFonts w:cs="Arial"/>
        </w:rPr>
        <w:t xml:space="preserve"> whether to extend the </w:t>
      </w:r>
      <w:r w:rsidRPr="00BA2FDD">
        <w:rPr>
          <w:rFonts w:cs="Arial"/>
        </w:rPr>
        <w:t xml:space="preserve">crediting period </w:t>
      </w:r>
      <w:r w:rsidR="00A5425B" w:rsidRPr="00BA2FDD">
        <w:rPr>
          <w:rFonts w:cs="Arial"/>
        </w:rPr>
        <w:t>for a method</w:t>
      </w:r>
      <w:r w:rsidR="00A47957" w:rsidRPr="00BA2FDD">
        <w:rPr>
          <w:rFonts w:cs="Arial"/>
        </w:rPr>
        <w:t xml:space="preserve"> </w:t>
      </w:r>
      <w:r w:rsidRPr="00BA2FDD">
        <w:rPr>
          <w:rFonts w:cs="Arial"/>
        </w:rPr>
        <w:t>(s 255(ha)</w:t>
      </w:r>
      <w:r w:rsidR="00A5425B" w:rsidRPr="00BA2FDD">
        <w:rPr>
          <w:rFonts w:cs="Arial"/>
        </w:rPr>
        <w:t>).</w:t>
      </w:r>
    </w:p>
    <w:p w14:paraId="331F9F6D" w14:textId="7D0A626C" w:rsidR="00597B93" w:rsidRPr="00E705FE" w:rsidRDefault="00AD5B39" w:rsidP="00597B93">
      <w:pPr>
        <w:rPr>
          <w:rFonts w:cs="Arial"/>
        </w:rPr>
      </w:pPr>
      <w:r>
        <w:rPr>
          <w:rFonts w:cs="Arial"/>
        </w:rPr>
        <w:t>At</w:t>
      </w:r>
      <w:r w:rsidR="0098198A">
        <w:rPr>
          <w:rFonts w:cs="Arial"/>
        </w:rPr>
        <w:t xml:space="preserve"> the </w:t>
      </w:r>
      <w:r w:rsidR="0098198A" w:rsidRPr="00BA2FDD">
        <w:rPr>
          <w:rFonts w:cs="Arial"/>
        </w:rPr>
        <w:t>request</w:t>
      </w:r>
      <w:r w:rsidR="0098198A">
        <w:rPr>
          <w:rFonts w:cs="Arial"/>
        </w:rPr>
        <w:t xml:space="preserve"> of</w:t>
      </w:r>
      <w:r w:rsidR="00F5636F" w:rsidRPr="00BA2FDD">
        <w:rPr>
          <w:rFonts w:cs="Arial"/>
        </w:rPr>
        <w:t xml:space="preserve"> the Minister, the </w:t>
      </w:r>
      <w:r w:rsidR="00A5425B" w:rsidRPr="00BA2FDD">
        <w:rPr>
          <w:rFonts w:cs="Arial"/>
        </w:rPr>
        <w:t xml:space="preserve">ERAC </w:t>
      </w:r>
      <w:r w:rsidR="00F5636F" w:rsidRPr="00BA2FDD">
        <w:rPr>
          <w:rFonts w:cs="Arial"/>
        </w:rPr>
        <w:t xml:space="preserve">is required to provide advice on whether a methodological determination should be made, varied or revoked (s 123A). </w:t>
      </w:r>
      <w:r w:rsidR="00B72A45">
        <w:rPr>
          <w:rFonts w:cs="Arial"/>
        </w:rPr>
        <w:t>Th</w:t>
      </w:r>
      <w:r w:rsidR="005B0A38">
        <w:rPr>
          <w:rFonts w:cs="Arial"/>
        </w:rPr>
        <w:t>e</w:t>
      </w:r>
      <w:r w:rsidR="00B72A45">
        <w:rPr>
          <w:rFonts w:cs="Arial"/>
        </w:rPr>
        <w:t xml:space="preserve"> Minister cannot make a method contrary to the ERAC’s advice. </w:t>
      </w:r>
      <w:r w:rsidR="00A5425B" w:rsidRPr="00BA2FDD">
        <w:rPr>
          <w:rFonts w:cs="Arial"/>
        </w:rPr>
        <w:t>The ERAC has the power to suspend a method for up to 12 months if the method no longer complies with the Offset</w:t>
      </w:r>
      <w:r w:rsidR="00486911">
        <w:rPr>
          <w:rFonts w:cs="Arial"/>
        </w:rPr>
        <w:t>s</w:t>
      </w:r>
      <w:r w:rsidR="00A5425B" w:rsidRPr="00BA2FDD">
        <w:rPr>
          <w:rFonts w:cs="Arial"/>
        </w:rPr>
        <w:t xml:space="preserve"> Integrity Standards</w:t>
      </w:r>
      <w:r w:rsidR="0098198A">
        <w:rPr>
          <w:rFonts w:cs="Arial"/>
        </w:rPr>
        <w:t>.</w:t>
      </w:r>
      <w:r w:rsidR="00F5636F" w:rsidRPr="00BA2FDD">
        <w:rPr>
          <w:rFonts w:cs="Arial"/>
        </w:rPr>
        <w:t xml:space="preserve"> </w:t>
      </w:r>
      <w:r w:rsidR="001026B2">
        <w:t xml:space="preserve"> </w:t>
      </w:r>
    </w:p>
    <w:p w14:paraId="1F17F0AE" w14:textId="3F0BCE39" w:rsidR="00625A86" w:rsidRDefault="00625A86" w:rsidP="00625A86">
      <w:r>
        <w:t xml:space="preserve">In the period since the Authority’s 2017 review, </w:t>
      </w:r>
      <w:r w:rsidR="00950886">
        <w:t xml:space="preserve">the ERAC has </w:t>
      </w:r>
      <w:r w:rsidR="00A5425B">
        <w:t xml:space="preserve">reviewed </w:t>
      </w:r>
      <w:r w:rsidR="000D254D">
        <w:t>seven</w:t>
      </w:r>
      <w:r w:rsidR="00A5425B">
        <w:t xml:space="preserve"> methods </w:t>
      </w:r>
      <w:r>
        <w:t xml:space="preserve">and a further </w:t>
      </w:r>
      <w:r w:rsidR="000D254D">
        <w:t>eight</w:t>
      </w:r>
      <w:r>
        <w:t xml:space="preserve"> are currently under review. </w:t>
      </w:r>
      <w:r w:rsidR="00FB4E80">
        <w:t>As a result of these</w:t>
      </w:r>
      <w:r w:rsidR="00A47957">
        <w:t xml:space="preserve"> reviews</w:t>
      </w:r>
      <w:r w:rsidR="00FB4E80">
        <w:t>, the ERAC has</w:t>
      </w:r>
      <w:r w:rsidR="00950886">
        <w:t xml:space="preserve"> propos</w:t>
      </w:r>
      <w:r w:rsidR="0017491C">
        <w:t>ed</w:t>
      </w:r>
      <w:r w:rsidR="00950886">
        <w:t xml:space="preserve"> amendments to methods to ensure they comply with the Offsets Integrity Standards</w:t>
      </w:r>
      <w:r>
        <w:t xml:space="preserve">. </w:t>
      </w:r>
    </w:p>
    <w:p w14:paraId="00899FC2" w14:textId="1B752EA3" w:rsidR="003054C9" w:rsidRDefault="00991F98" w:rsidP="00625A86">
      <w:r>
        <w:t xml:space="preserve">To </w:t>
      </w:r>
      <w:r w:rsidR="00A47957">
        <w:t>promote</w:t>
      </w:r>
      <w:r>
        <w:t xml:space="preserve"> transparency and consistency</w:t>
      </w:r>
      <w:r w:rsidR="0017491C">
        <w:t xml:space="preserve"> in the application of the Offsets Integrity Standards</w:t>
      </w:r>
      <w:r>
        <w:t xml:space="preserve">, the Authority recommended in </w:t>
      </w:r>
      <w:r w:rsidR="00892289">
        <w:t>2017</w:t>
      </w:r>
      <w:r>
        <w:t xml:space="preserve"> that the ERAC work with </w:t>
      </w:r>
      <w:r w:rsidR="0017491C">
        <w:t xml:space="preserve">the </w:t>
      </w:r>
      <w:r w:rsidR="004E2B72">
        <w:t xml:space="preserve">Government </w:t>
      </w:r>
      <w:r>
        <w:t xml:space="preserve">to develop a legislative rule to </w:t>
      </w:r>
      <w:r w:rsidR="00F453D5">
        <w:t>provide guidance on</w:t>
      </w:r>
      <w:r>
        <w:t xml:space="preserve"> how t</w:t>
      </w:r>
      <w:r w:rsidR="004E2B72">
        <w:t>he ERAC interpret</w:t>
      </w:r>
      <w:r w:rsidR="009A24E7">
        <w:t>s</w:t>
      </w:r>
      <w:r w:rsidR="004E2B72">
        <w:t xml:space="preserve"> the S</w:t>
      </w:r>
      <w:r>
        <w:t>tandards (</w:t>
      </w:r>
      <w:r w:rsidRPr="005E1241">
        <w:t>CCA 2017</w:t>
      </w:r>
      <w:r w:rsidR="00963317" w:rsidRPr="005E1241">
        <w:t>a</w:t>
      </w:r>
      <w:r>
        <w:t xml:space="preserve">). </w:t>
      </w:r>
      <w:r w:rsidR="00E06A54">
        <w:t xml:space="preserve">The Government’s </w:t>
      </w:r>
      <w:r w:rsidR="00D205B5">
        <w:t>preference</w:t>
      </w:r>
      <w:r w:rsidR="00E06A54">
        <w:t xml:space="preserve"> was </w:t>
      </w:r>
      <w:r w:rsidR="00D205B5">
        <w:t xml:space="preserve">for </w:t>
      </w:r>
      <w:r w:rsidR="00E06A54">
        <w:t xml:space="preserve">an information paper </w:t>
      </w:r>
      <w:r w:rsidR="00D205B5">
        <w:t>to be prepared</w:t>
      </w:r>
      <w:r w:rsidR="00E06A54">
        <w:t xml:space="preserve"> because it is ‘able to be updated as required’ (</w:t>
      </w:r>
      <w:r w:rsidR="00E06A54" w:rsidRPr="002A4EC1">
        <w:t>Australian Government 2019</w:t>
      </w:r>
      <w:r w:rsidR="00F94A3A">
        <w:t>c</w:t>
      </w:r>
      <w:r w:rsidR="00E06A54">
        <w:t xml:space="preserve">). </w:t>
      </w:r>
      <w:r w:rsidR="00D205B5">
        <w:t>The ERAC subsequently released</w:t>
      </w:r>
      <w:r w:rsidR="00D205B5" w:rsidRPr="00F841D4">
        <w:rPr>
          <w:i/>
        </w:rPr>
        <w:t xml:space="preserve"> </w:t>
      </w:r>
      <w:r w:rsidR="00C12097" w:rsidRPr="00F841D4">
        <w:rPr>
          <w:i/>
        </w:rPr>
        <w:t xml:space="preserve">Information Paper: </w:t>
      </w:r>
      <w:r w:rsidR="00C12097" w:rsidRPr="004720BE">
        <w:rPr>
          <w:i/>
        </w:rPr>
        <w:t>Committee considerations for interpreting the Emissions Reduction Fund’s Offsets Integrity Standards</w:t>
      </w:r>
      <w:r w:rsidR="00D205B5">
        <w:t xml:space="preserve"> </w:t>
      </w:r>
      <w:r w:rsidR="003054C9">
        <w:t xml:space="preserve">in November </w:t>
      </w:r>
      <w:r w:rsidR="00562F84">
        <w:t>2019</w:t>
      </w:r>
      <w:r w:rsidR="006D0174">
        <w:t xml:space="preserve"> (</w:t>
      </w:r>
      <w:r w:rsidR="006D0174" w:rsidRPr="004A7D55">
        <w:t>ERAC 2019a</w:t>
      </w:r>
      <w:r w:rsidR="006D0174">
        <w:t>)</w:t>
      </w:r>
      <w:r w:rsidR="00562F84">
        <w:t xml:space="preserve">. </w:t>
      </w:r>
      <w:r w:rsidR="00D205B5">
        <w:t>It</w:t>
      </w:r>
      <w:r w:rsidR="00CA4457">
        <w:t xml:space="preserve"> states that the ERAC will apply the </w:t>
      </w:r>
      <w:r w:rsidR="00BC6591">
        <w:t>Offsets Integrity Standards</w:t>
      </w:r>
      <w:r w:rsidR="00CA4457">
        <w:t xml:space="preserve"> to achieve the objectives of the CFI Act, which includes creat</w:t>
      </w:r>
      <w:r w:rsidR="005B0A38">
        <w:t>ing</w:t>
      </w:r>
      <w:r w:rsidR="00CA4457">
        <w:t xml:space="preserve"> incentives for people to undertake projects.</w:t>
      </w:r>
    </w:p>
    <w:p w14:paraId="4ADB0883" w14:textId="0C5233EA" w:rsidR="007B59F9" w:rsidRDefault="00130F93">
      <w:r>
        <w:t>S</w:t>
      </w:r>
      <w:r w:rsidR="002C7FE2" w:rsidRPr="004720BE">
        <w:t xml:space="preserve">ubmissions to this report </w:t>
      </w:r>
      <w:r w:rsidR="00422452">
        <w:t xml:space="preserve">rarely referred to the Information Paper. This may </w:t>
      </w:r>
      <w:r w:rsidR="005E3861">
        <w:t xml:space="preserve">indicate </w:t>
      </w:r>
      <w:r w:rsidR="005B0A38">
        <w:t xml:space="preserve">that </w:t>
      </w:r>
      <w:r w:rsidR="005E3861">
        <w:t>s</w:t>
      </w:r>
      <w:r w:rsidR="005E3861" w:rsidRPr="00E370D9">
        <w:t>takeholders</w:t>
      </w:r>
      <w:r w:rsidR="005E3861" w:rsidRPr="004720BE">
        <w:t xml:space="preserve"> </w:t>
      </w:r>
      <w:r w:rsidR="00422452">
        <w:t>are</w:t>
      </w:r>
      <w:r w:rsidR="002C7FE2" w:rsidRPr="004720BE">
        <w:t xml:space="preserve"> not </w:t>
      </w:r>
      <w:r w:rsidR="000A0DB5">
        <w:t xml:space="preserve">generally </w:t>
      </w:r>
      <w:r w:rsidR="002C7FE2" w:rsidRPr="004720BE">
        <w:t xml:space="preserve">aware of </w:t>
      </w:r>
      <w:r w:rsidR="00422452">
        <w:t xml:space="preserve">it. Instead, stakeholders </w:t>
      </w:r>
      <w:r w:rsidR="00DF7085" w:rsidRPr="004720BE">
        <w:t xml:space="preserve">continue to </w:t>
      </w:r>
      <w:r w:rsidR="004738C5" w:rsidRPr="004720BE">
        <w:t xml:space="preserve">seek </w:t>
      </w:r>
      <w:r w:rsidR="007B59F9" w:rsidRPr="009D36CF">
        <w:t xml:space="preserve">greater certainty in </w:t>
      </w:r>
      <w:r w:rsidR="00337FFB">
        <w:t>how the Offsets Integrity Standards are applied</w:t>
      </w:r>
      <w:r w:rsidR="00091D3E">
        <w:t xml:space="preserve"> </w:t>
      </w:r>
      <w:r w:rsidR="00F453D5">
        <w:t xml:space="preserve">to </w:t>
      </w:r>
      <w:r w:rsidR="00091D3E">
        <w:t>methods</w:t>
      </w:r>
      <w:r w:rsidR="00F841D4" w:rsidDel="00F841D4">
        <w:t xml:space="preserve"> </w:t>
      </w:r>
      <w:r w:rsidR="00337FFB" w:rsidRPr="00177363">
        <w:t>(</w:t>
      </w:r>
      <w:r w:rsidR="00091D3E" w:rsidRPr="004720BE">
        <w:t xml:space="preserve">ACF, CIF, AAC, </w:t>
      </w:r>
      <w:r w:rsidR="000315FB" w:rsidRPr="004720BE">
        <w:t>Bioenergy Australia</w:t>
      </w:r>
      <w:r w:rsidR="006C1E4F" w:rsidRPr="004720BE">
        <w:t xml:space="preserve">, IFA &amp; </w:t>
      </w:r>
      <w:r w:rsidR="006C1E4F" w:rsidRPr="00E370D9">
        <w:t>AFG</w:t>
      </w:r>
      <w:r w:rsidR="00337FFB" w:rsidRPr="00177363">
        <w:t>)</w:t>
      </w:r>
      <w:r w:rsidR="00337FFB">
        <w:t xml:space="preserve">. </w:t>
      </w:r>
    </w:p>
    <w:p w14:paraId="412A597E" w14:textId="55298303" w:rsidR="00444A1E" w:rsidRDefault="004738C5">
      <w:r>
        <w:t xml:space="preserve">Given the importance of the Offsets Integrity Standards, the concerns of scheme participants </w:t>
      </w:r>
      <w:r w:rsidR="003054C9">
        <w:t xml:space="preserve">and the </w:t>
      </w:r>
      <w:r>
        <w:t xml:space="preserve">impact the application of the Standards has on project eligibility, </w:t>
      </w:r>
      <w:r w:rsidR="003054C9">
        <w:t xml:space="preserve">the Authority </w:t>
      </w:r>
      <w:r w:rsidR="00AF24C9">
        <w:t>considers</w:t>
      </w:r>
      <w:r w:rsidR="003054C9">
        <w:t xml:space="preserve"> </w:t>
      </w:r>
      <w:r w:rsidR="003A3DA4">
        <w:t xml:space="preserve">there would be benefits in </w:t>
      </w:r>
      <w:r w:rsidR="00C007D2">
        <w:t>draw</w:t>
      </w:r>
      <w:r w:rsidR="005B0A38">
        <w:t>ing further attention</w:t>
      </w:r>
      <w:r w:rsidR="0053127E">
        <w:t xml:space="preserve"> to t</w:t>
      </w:r>
      <w:r w:rsidR="00AD299B">
        <w:t xml:space="preserve">he Information Paper and </w:t>
      </w:r>
      <w:r w:rsidR="00AF24C9">
        <w:t xml:space="preserve">any </w:t>
      </w:r>
      <w:r w:rsidR="00AD299B">
        <w:t>subsequent updates</w:t>
      </w:r>
      <w:r w:rsidR="00C007D2">
        <w:t>.</w:t>
      </w:r>
      <w:r w:rsidR="00AD299B">
        <w:t xml:space="preserve"> </w:t>
      </w:r>
      <w:r w:rsidR="000A0DB5">
        <w:t xml:space="preserve">We consider that the Information Paper could be used by the proposed statutory </w:t>
      </w:r>
      <w:r w:rsidR="00670980">
        <w:t xml:space="preserve">Steering Committee </w:t>
      </w:r>
      <w:r w:rsidR="000A0DB5">
        <w:t>in the development of new methods (Chapter 6).</w:t>
      </w:r>
      <w:r w:rsidR="00B57432">
        <w:t xml:space="preserve"> W</w:t>
      </w:r>
      <w:r w:rsidR="000A0DB5">
        <w:t>hen assessing compliance of a method with the Standards</w:t>
      </w:r>
      <w:r w:rsidR="00B57432">
        <w:t xml:space="preserve">, the ERAC should also make specific reference to the </w:t>
      </w:r>
      <w:r w:rsidR="000A0DB5">
        <w:t xml:space="preserve">considerations </w:t>
      </w:r>
      <w:r w:rsidR="00B57432">
        <w:t xml:space="preserve">in the paper and how they have been </w:t>
      </w:r>
      <w:r w:rsidR="000A0DB5">
        <w:t xml:space="preserve">brought to bear on their decision. </w:t>
      </w:r>
    </w:p>
    <w:p w14:paraId="2D7D819D" w14:textId="76DE4DA8" w:rsidR="0004505C" w:rsidRPr="0068006E" w:rsidRDefault="00625A86" w:rsidP="0004505C">
      <w:pPr>
        <w:pStyle w:val="Heading3"/>
        <w:rPr>
          <w:i/>
          <w:color w:val="0070AE" w:themeColor="accent2" w:themeTint="BF"/>
        </w:rPr>
      </w:pPr>
      <w:r w:rsidRPr="0068006E">
        <w:rPr>
          <w:i/>
          <w:color w:val="0070AE" w:themeColor="accent2" w:themeTint="BF"/>
        </w:rPr>
        <w:t>A</w:t>
      </w:r>
      <w:r w:rsidR="0004505C" w:rsidRPr="0068006E">
        <w:rPr>
          <w:i/>
          <w:color w:val="0070AE" w:themeColor="accent2" w:themeTint="BF"/>
        </w:rPr>
        <w:t>dditionality</w:t>
      </w:r>
      <w:r w:rsidRPr="0068006E">
        <w:rPr>
          <w:i/>
          <w:color w:val="0070AE" w:themeColor="accent2" w:themeTint="BF"/>
        </w:rPr>
        <w:t xml:space="preserve"> </w:t>
      </w:r>
    </w:p>
    <w:p w14:paraId="264BEA02" w14:textId="469FCFDB" w:rsidR="00F040C8" w:rsidRDefault="00757BD5" w:rsidP="0004505C">
      <w:r w:rsidDel="006761DB">
        <w:t xml:space="preserve">In assessing whether methods </w:t>
      </w:r>
      <w:r w:rsidR="00AB1C93">
        <w:t>will result in</w:t>
      </w:r>
      <w:r w:rsidDel="006761DB">
        <w:t xml:space="preserve"> </w:t>
      </w:r>
      <w:r w:rsidR="00AB1C93">
        <w:t xml:space="preserve">emissions reduction that </w:t>
      </w:r>
      <w:r w:rsidDel="006761DB">
        <w:t xml:space="preserve">are </w:t>
      </w:r>
      <w:r w:rsidR="00AB1C93">
        <w:t>‘</w:t>
      </w:r>
      <w:r w:rsidDel="006761DB">
        <w:t>a</w:t>
      </w:r>
      <w:r w:rsidR="00515C66" w:rsidDel="006761DB">
        <w:t>dditional</w:t>
      </w:r>
      <w:r w:rsidR="00AB1C93">
        <w:t>’</w:t>
      </w:r>
      <w:r w:rsidDel="006761DB">
        <w:t xml:space="preserve">, </w:t>
      </w:r>
      <w:r w:rsidR="00515C66" w:rsidDel="006761DB">
        <w:t>the ERAC consider</w:t>
      </w:r>
      <w:r w:rsidDel="006761DB">
        <w:t>s</w:t>
      </w:r>
      <w:r w:rsidR="00515C66" w:rsidDel="006761DB">
        <w:t xml:space="preserve"> whether</w:t>
      </w:r>
      <w:r w:rsidR="00F040C8">
        <w:t>:</w:t>
      </w:r>
    </w:p>
    <w:p w14:paraId="14CC65DB" w14:textId="311FAEC5" w:rsidR="00F040C8" w:rsidRDefault="00515C66" w:rsidP="00FE3F8C">
      <w:pPr>
        <w:pStyle w:val="ListParagraph"/>
        <w:numPr>
          <w:ilvl w:val="0"/>
          <w:numId w:val="14"/>
        </w:numPr>
      </w:pPr>
      <w:r w:rsidDel="006761DB">
        <w:t>the activities covered by the method would occur in the absence of the incentive provided by the scheme</w:t>
      </w:r>
      <w:r w:rsidR="00F040C8">
        <w:t xml:space="preserve"> (a project test);</w:t>
      </w:r>
      <w:r w:rsidDel="006761DB">
        <w:t xml:space="preserve"> and </w:t>
      </w:r>
    </w:p>
    <w:p w14:paraId="32C0C701" w14:textId="16D0B094" w:rsidR="001E1284" w:rsidRDefault="001E1284" w:rsidP="00FE3F8C">
      <w:pPr>
        <w:pStyle w:val="ListParagraph"/>
        <w:numPr>
          <w:ilvl w:val="0"/>
          <w:numId w:val="14"/>
        </w:numPr>
      </w:pPr>
      <w:r w:rsidDel="006761DB">
        <w:t xml:space="preserve">what the emissions outcomes would be if the </w:t>
      </w:r>
      <w:r>
        <w:t xml:space="preserve">project </w:t>
      </w:r>
      <w:r w:rsidDel="006761DB">
        <w:t xml:space="preserve">activities were not </w:t>
      </w:r>
      <w:r>
        <w:t>undertaken</w:t>
      </w:r>
      <w:r w:rsidDel="006761DB">
        <w:t xml:space="preserve"> </w:t>
      </w:r>
      <w:r>
        <w:t xml:space="preserve">(a </w:t>
      </w:r>
      <w:r w:rsidDel="006761DB">
        <w:t xml:space="preserve">‘baseline’ </w:t>
      </w:r>
      <w:r>
        <w:t xml:space="preserve">test) </w:t>
      </w:r>
      <w:r w:rsidDel="006761DB">
        <w:t>(</w:t>
      </w:r>
      <w:r w:rsidRPr="004A7D55" w:rsidDel="006761DB">
        <w:t>ERAC 2019a</w:t>
      </w:r>
      <w:r w:rsidDel="006761DB">
        <w:t xml:space="preserve">). </w:t>
      </w:r>
      <w:r>
        <w:t>Methods can use a number of mechanisms</w:t>
      </w:r>
      <w:r w:rsidR="004D4F22">
        <w:t xml:space="preserve"> to</w:t>
      </w:r>
      <w:r>
        <w:t xml:space="preserve"> manage additionality risks, including eligibility r</w:t>
      </w:r>
      <w:r w:rsidR="00BE780D">
        <w:t>equirements and baselines’ (</w:t>
      </w:r>
      <w:r w:rsidRPr="004A7D55">
        <w:t>ERAC 2019</w:t>
      </w:r>
      <w:r w:rsidR="003D4598" w:rsidRPr="004A7D55">
        <w:t>a</w:t>
      </w:r>
      <w:r>
        <w:t>).</w:t>
      </w:r>
    </w:p>
    <w:p w14:paraId="32614D11" w14:textId="413A6509" w:rsidR="008A6562" w:rsidRDefault="008A6562" w:rsidP="008A6562">
      <w:pPr>
        <w:tabs>
          <w:tab w:val="left" w:pos="1219"/>
        </w:tabs>
      </w:pPr>
      <w:r>
        <w:t>The ERAC information paper indicates that while the ERAC seeks</w:t>
      </w:r>
      <w:r w:rsidR="00757BD5">
        <w:t xml:space="preserve"> to apply the Offsets Integrity Standards consistently across methods</w:t>
      </w:r>
      <w:r>
        <w:t xml:space="preserve">, a method could use an alternative approach to address a standard compared to another method and both </w:t>
      </w:r>
      <w:r w:rsidRPr="000E6735">
        <w:t>c</w:t>
      </w:r>
      <w:r>
        <w:t>ould</w:t>
      </w:r>
      <w:r w:rsidRPr="000E6735">
        <w:t xml:space="preserve"> still meet the integrity standards</w:t>
      </w:r>
      <w:r>
        <w:t xml:space="preserve"> </w:t>
      </w:r>
      <w:r w:rsidRPr="006761DB">
        <w:t>(</w:t>
      </w:r>
      <w:r w:rsidRPr="004A7D55">
        <w:t>ERAC 2019</w:t>
      </w:r>
      <w:r w:rsidR="00314398" w:rsidRPr="004A7D55">
        <w:t>a</w:t>
      </w:r>
      <w:r w:rsidRPr="006761DB">
        <w:t>).</w:t>
      </w:r>
      <w:r>
        <w:t xml:space="preserve"> </w:t>
      </w:r>
      <w:r w:rsidR="00026A81">
        <w:t>This is consistent with t</w:t>
      </w:r>
      <w:r w:rsidRPr="008E6ECF">
        <w:t xml:space="preserve">he </w:t>
      </w:r>
      <w:r w:rsidR="00757BD5">
        <w:t xml:space="preserve">ERF </w:t>
      </w:r>
      <w:r w:rsidRPr="008E6ECF">
        <w:t>White Paper</w:t>
      </w:r>
      <w:r w:rsidR="00026A81">
        <w:t>, which</w:t>
      </w:r>
      <w:r w:rsidRPr="008E6ECF">
        <w:t xml:space="preserve"> </w:t>
      </w:r>
      <w:r w:rsidR="00026A81">
        <w:t>state</w:t>
      </w:r>
      <w:r w:rsidR="00757BD5">
        <w:t>s</w:t>
      </w:r>
      <w:r w:rsidR="00026A81">
        <w:t xml:space="preserve"> that</w:t>
      </w:r>
      <w:r>
        <w:t xml:space="preserve"> additionality can be achieved by applying different tools or approaches, which can be tailored to specific activities or sectors (</w:t>
      </w:r>
      <w:r w:rsidR="00CF0842">
        <w:t xml:space="preserve">Australian Government </w:t>
      </w:r>
      <w:r>
        <w:t xml:space="preserve">2014). </w:t>
      </w:r>
    </w:p>
    <w:p w14:paraId="260BCC04" w14:textId="7ADFF2A2" w:rsidR="00D676BA" w:rsidRDefault="00125839" w:rsidP="005D6CFE">
      <w:r>
        <w:t xml:space="preserve">Several stakeholders </w:t>
      </w:r>
      <w:r w:rsidR="005D6CFE">
        <w:t xml:space="preserve">raised </w:t>
      </w:r>
      <w:r w:rsidR="00644B01">
        <w:t>a</w:t>
      </w:r>
      <w:r>
        <w:t xml:space="preserve"> </w:t>
      </w:r>
      <w:r w:rsidR="005D6CFE">
        <w:t xml:space="preserve">concern </w:t>
      </w:r>
      <w:r w:rsidR="004B514B">
        <w:t xml:space="preserve">that the current application of the </w:t>
      </w:r>
      <w:r w:rsidR="005D6CFE">
        <w:t xml:space="preserve">additionality principle </w:t>
      </w:r>
      <w:r w:rsidR="004B514B">
        <w:t xml:space="preserve">is </w:t>
      </w:r>
      <w:r w:rsidR="007F2335">
        <w:t>preventing</w:t>
      </w:r>
      <w:r w:rsidR="004B514B">
        <w:t xml:space="preserve"> some </w:t>
      </w:r>
      <w:r w:rsidR="00124DB5">
        <w:t>worthwhile</w:t>
      </w:r>
      <w:r w:rsidR="004B514B">
        <w:t xml:space="preserve"> projects from participating in the ERF</w:t>
      </w:r>
      <w:r w:rsidR="005D6CFE">
        <w:t xml:space="preserve"> (AAC, CIF, NRM Regions Australia, and AIGN). </w:t>
      </w:r>
      <w:r w:rsidR="001833BB">
        <w:t xml:space="preserve">In its submission, the </w:t>
      </w:r>
      <w:r w:rsidR="00A36623">
        <w:t xml:space="preserve">Australian Industry Greenhouse Network (AIGN) proposes reviewing additionality requirements to find a </w:t>
      </w:r>
      <w:r w:rsidR="00CB1557">
        <w:rPr>
          <w:i/>
        </w:rPr>
        <w:t>‘</w:t>
      </w:r>
      <w:r w:rsidR="00A36623" w:rsidRPr="7943B309">
        <w:rPr>
          <w:i/>
        </w:rPr>
        <w:t>suitable balance between incentivising abatement and maintaining environmental integrity</w:t>
      </w:r>
      <w:r w:rsidR="00CB1557">
        <w:rPr>
          <w:i/>
        </w:rPr>
        <w:t>’</w:t>
      </w:r>
      <w:r w:rsidR="00A36623">
        <w:t xml:space="preserve"> (p.2). </w:t>
      </w:r>
      <w:r w:rsidR="00AE00BF" w:rsidRPr="00946ACE">
        <w:t xml:space="preserve">Box </w:t>
      </w:r>
      <w:r w:rsidR="00C9522D" w:rsidRPr="00946ACE">
        <w:t>5.1</w:t>
      </w:r>
      <w:r w:rsidR="00AE00BF">
        <w:t xml:space="preserve"> </w:t>
      </w:r>
      <w:r w:rsidR="00A36623">
        <w:t xml:space="preserve">examines the application of additionality </w:t>
      </w:r>
      <w:r w:rsidR="00AE00BF">
        <w:t xml:space="preserve">for facilities and energy efficiency methodologies. </w:t>
      </w:r>
    </w:p>
    <w:p w14:paraId="58DFF40A" w14:textId="16379750" w:rsidR="0006166F" w:rsidRDefault="00A65313" w:rsidP="0006166F">
      <w:r>
        <w:t xml:space="preserve">While several submissions provided recommendations on how to adapt additionality to different method contexts, the Australian Environment and Planning Law Group (AEPLG) expressed concern about losing integrity in efforts to encourage uptake. The submission notes that if </w:t>
      </w:r>
      <w:r w:rsidR="00CB1557">
        <w:rPr>
          <w:i/>
        </w:rPr>
        <w:t>‘</w:t>
      </w:r>
      <w:r w:rsidRPr="7943B309">
        <w:rPr>
          <w:i/>
        </w:rPr>
        <w:t>additionality requirements create a barrier for technology innovation, then other mechanisms should be developed to support the technology development rather than diluting the integrity of the ERF</w:t>
      </w:r>
      <w:r w:rsidR="00CB1557">
        <w:rPr>
          <w:i/>
        </w:rPr>
        <w:t>.</w:t>
      </w:r>
      <w:r w:rsidR="00CB1557">
        <w:t>’</w:t>
      </w:r>
      <w:r w:rsidRPr="00733CA9">
        <w:t>(AEPLG submission p.2).</w:t>
      </w:r>
      <w:r>
        <w:t xml:space="preserve"> </w:t>
      </w:r>
    </w:p>
    <w:p w14:paraId="5C7DCD7A" w14:textId="0AD9D6D5" w:rsidR="0004505C" w:rsidRDefault="00E653DE" w:rsidP="0006166F">
      <w:pPr>
        <w:tabs>
          <w:tab w:val="left" w:pos="3021"/>
        </w:tabs>
      </w:pPr>
      <w:r>
        <w:t xml:space="preserve">The </w:t>
      </w:r>
      <w:r w:rsidR="00545E7B">
        <w:t>King</w:t>
      </w:r>
      <w:r w:rsidR="009841F1">
        <w:t xml:space="preserve"> Review</w:t>
      </w:r>
      <w:r>
        <w:t xml:space="preserve"> note</w:t>
      </w:r>
      <w:r w:rsidR="0006166F">
        <w:t>s</w:t>
      </w:r>
      <w:r>
        <w:t xml:space="preserve"> that stakeholders identified </w:t>
      </w:r>
      <w:r w:rsidR="00515C66">
        <w:t xml:space="preserve">the restrictive rules around additionality as one of the </w:t>
      </w:r>
      <w:r>
        <w:t xml:space="preserve">challenges to participating in the ERF. </w:t>
      </w:r>
      <w:r w:rsidR="00E807A2">
        <w:t>It</w:t>
      </w:r>
      <w:r>
        <w:t xml:space="preserve"> </w:t>
      </w:r>
      <w:r w:rsidR="00515C66">
        <w:t xml:space="preserve">concluded that additionality </w:t>
      </w:r>
      <w:r w:rsidR="00053DAB">
        <w:t xml:space="preserve">is </w:t>
      </w:r>
      <w:r>
        <w:t xml:space="preserve">both a fundamental </w:t>
      </w:r>
      <w:r w:rsidR="00BF4AA4">
        <w:t>feature</w:t>
      </w:r>
      <w:r>
        <w:t xml:space="preserve"> o</w:t>
      </w:r>
      <w:r w:rsidR="00E87D7F">
        <w:t xml:space="preserve">f the scheme’s design and that </w:t>
      </w:r>
      <w:r w:rsidR="00CB1557">
        <w:rPr>
          <w:i/>
        </w:rPr>
        <w:t>‘</w:t>
      </w:r>
      <w:r w:rsidRPr="7943B309">
        <w:rPr>
          <w:i/>
        </w:rPr>
        <w:t>it is difficult to design additionality rules that do not have the unintended consequences of excluding some low-cost abatement activities</w:t>
      </w:r>
      <w:r w:rsidR="00CB1557">
        <w:rPr>
          <w:i/>
        </w:rPr>
        <w:t>’</w:t>
      </w:r>
      <w:r>
        <w:t xml:space="preserve"> (</w:t>
      </w:r>
      <w:r w:rsidR="000049E6" w:rsidRPr="00764422">
        <w:t xml:space="preserve">Australian Government </w:t>
      </w:r>
      <w:r w:rsidR="000049E6" w:rsidRPr="009C394A">
        <w:rPr>
          <w:rFonts w:eastAsia="Times New Roman" w:cs="Arial"/>
          <w:szCs w:val="20"/>
          <w:lang w:eastAsia="en-AU"/>
        </w:rPr>
        <w:t>2020</w:t>
      </w:r>
      <w:r w:rsidR="000049E6">
        <w:rPr>
          <w:rFonts w:eastAsia="Times New Roman" w:cs="Arial"/>
          <w:szCs w:val="20"/>
          <w:lang w:eastAsia="en-AU"/>
        </w:rPr>
        <w:t>b</w:t>
      </w:r>
      <w:r w:rsidR="00F970E2">
        <w:t xml:space="preserve"> p.30</w:t>
      </w:r>
      <w:r>
        <w:t xml:space="preserve">). </w:t>
      </w:r>
      <w:r w:rsidR="0006166F">
        <w:t xml:space="preserve">The </w:t>
      </w:r>
      <w:r w:rsidR="00545E7B">
        <w:t>King</w:t>
      </w:r>
      <w:r w:rsidR="009841F1">
        <w:t xml:space="preserve"> Review</w:t>
      </w:r>
      <w:r w:rsidR="0006166F">
        <w:t xml:space="preserve"> found the </w:t>
      </w:r>
      <w:r>
        <w:t xml:space="preserve">challenges were most acute for activities that are financially viable without government support and that </w:t>
      </w:r>
      <w:r w:rsidR="00E87D7F">
        <w:t xml:space="preserve">it is </w:t>
      </w:r>
      <w:r w:rsidR="00CB1557">
        <w:rPr>
          <w:i/>
        </w:rPr>
        <w:t>‘</w:t>
      </w:r>
      <w:r w:rsidRPr="7943B309">
        <w:rPr>
          <w:i/>
        </w:rPr>
        <w:t xml:space="preserve">difficult to devise method-level rules that are able to distinguish between additional and non-additional </w:t>
      </w:r>
      <w:r w:rsidR="0006166F" w:rsidRPr="7943B309">
        <w:rPr>
          <w:i/>
        </w:rPr>
        <w:t>activities</w:t>
      </w:r>
      <w:r w:rsidR="00CB1557">
        <w:t>.’</w:t>
      </w:r>
      <w:r>
        <w:t xml:space="preserve"> </w:t>
      </w:r>
    </w:p>
    <w:p w14:paraId="579AABBE" w14:textId="4E55393E" w:rsidR="009B1020" w:rsidRDefault="00774172" w:rsidP="0006166F">
      <w:pPr>
        <w:tabs>
          <w:tab w:val="left" w:pos="3021"/>
        </w:tabs>
      </w:pPr>
      <w:r>
        <w:t>T</w:t>
      </w:r>
      <w:r w:rsidR="00F672EB">
        <w:t xml:space="preserve">he Authority </w:t>
      </w:r>
      <w:r w:rsidR="00515C66">
        <w:t xml:space="preserve">agrees with the </w:t>
      </w:r>
      <w:r w:rsidR="00545E7B">
        <w:t xml:space="preserve">King </w:t>
      </w:r>
      <w:r w:rsidR="009841F1">
        <w:t>Review</w:t>
      </w:r>
      <w:r w:rsidR="00515C66">
        <w:t xml:space="preserve"> that additionality is crucial to the ERF. The</w:t>
      </w:r>
      <w:r w:rsidR="00515C66" w:rsidDel="00E807A2">
        <w:t xml:space="preserve"> </w:t>
      </w:r>
      <w:r w:rsidR="00515C66">
        <w:t xml:space="preserve">Offsets Integrity Standards are central to the scheme’s integrity, as are the other mechanisms in the ERF which support best practice </w:t>
      </w:r>
      <w:r w:rsidR="00DC7173">
        <w:t xml:space="preserve">integrity principles for issue of carbon credits </w:t>
      </w:r>
      <w:r w:rsidR="00515C66">
        <w:t xml:space="preserve">(Table </w:t>
      </w:r>
      <w:r w:rsidR="00C9522D" w:rsidRPr="00946ACE">
        <w:t>5.1</w:t>
      </w:r>
      <w:r w:rsidR="00515C66">
        <w:t>).</w:t>
      </w:r>
    </w:p>
    <w:p w14:paraId="5995E4AA" w14:textId="7FE2C048" w:rsidR="00D25534" w:rsidRDefault="00D25534" w:rsidP="0006166F">
      <w:pPr>
        <w:tabs>
          <w:tab w:val="left" w:pos="3021"/>
        </w:tabs>
      </w:pPr>
      <w:r w:rsidRPr="005206CA">
        <w:t xml:space="preserve">The </w:t>
      </w:r>
      <w:r>
        <w:t>Government has designed the ERF</w:t>
      </w:r>
      <w:r w:rsidRPr="005206CA">
        <w:t xml:space="preserve"> </w:t>
      </w:r>
      <w:r>
        <w:t xml:space="preserve">with the intention of avoiding the need for </w:t>
      </w:r>
      <w:r w:rsidRPr="005206CA">
        <w:t xml:space="preserve">project-by-project assessment </w:t>
      </w:r>
      <w:r>
        <w:t xml:space="preserve">of additionality, by having additionality considered when ERF methods are made. Bioenergy Australia stated in its submission that assessing additionality at the method level results in methods having </w:t>
      </w:r>
      <w:r w:rsidR="00CB1557">
        <w:t>‘</w:t>
      </w:r>
      <w:r w:rsidRPr="7943B309">
        <w:rPr>
          <w:i/>
        </w:rPr>
        <w:t xml:space="preserve">more restricted eligibility criteria than schemes where additionality is assessed on a project-by-project bases’ </w:t>
      </w:r>
      <w:r w:rsidRPr="005C3BEE">
        <w:t>(Bioenergy Australia submission</w:t>
      </w:r>
      <w:r>
        <w:t xml:space="preserve"> </w:t>
      </w:r>
      <w:r w:rsidRPr="003D0A39">
        <w:t>p.</w:t>
      </w:r>
      <w:r>
        <w:t>2</w:t>
      </w:r>
      <w:r w:rsidRPr="005C3BEE">
        <w:t>).</w:t>
      </w:r>
      <w:r w:rsidRPr="7943B309">
        <w:rPr>
          <w:i/>
        </w:rPr>
        <w:t xml:space="preserve"> </w:t>
      </w:r>
      <w:r>
        <w:t xml:space="preserve">The Authority considered this issue in its 2017 review of the ERF and </w:t>
      </w:r>
      <w:r w:rsidR="003D4598">
        <w:t>observed</w:t>
      </w:r>
      <w:r>
        <w:t xml:space="preserve"> the difficulty and costs associated with assessing additionality on a project-by-project basis (</w:t>
      </w:r>
      <w:r w:rsidRPr="005E1241">
        <w:t>CCA 2017</w:t>
      </w:r>
      <w:r w:rsidR="00725C63" w:rsidRPr="005E1241">
        <w:t>a</w:t>
      </w:r>
      <w:r>
        <w:t xml:space="preserve">). The difficulties of assessing additionality at a project level </w:t>
      </w:r>
      <w:r w:rsidR="00BC6591">
        <w:t xml:space="preserve">have </w:t>
      </w:r>
      <w:r>
        <w:t>also been noted in the Carbon Offset Guide (a</w:t>
      </w:r>
      <w:r w:rsidRPr="00515C66">
        <w:t xml:space="preserve">n </w:t>
      </w:r>
      <w:r>
        <w:t>i</w:t>
      </w:r>
      <w:r w:rsidRPr="00515C66">
        <w:t>nitiative of the Greenhouse Gas Management Institute and the Stockholm Environment Institute</w:t>
      </w:r>
      <w:r>
        <w:t>) (</w:t>
      </w:r>
      <w:r w:rsidRPr="00B20686">
        <w:t>Carbon Offset Guide n.d.).</w:t>
      </w:r>
    </w:p>
    <w:p w14:paraId="54D11AAC" w14:textId="77777777" w:rsidR="00C85396" w:rsidRDefault="00C85396" w:rsidP="0006166F">
      <w:pPr>
        <w:tabs>
          <w:tab w:val="left" w:pos="3021"/>
        </w:tabs>
      </w:pPr>
    </w:p>
    <w:tbl>
      <w:tblPr>
        <w:tblStyle w:val="TableGrid"/>
        <w:tblW w:w="0" w:type="auto"/>
        <w:tblLook w:val="04A0" w:firstRow="1" w:lastRow="0" w:firstColumn="1" w:lastColumn="0" w:noHBand="0" w:noVBand="1"/>
      </w:tblPr>
      <w:tblGrid>
        <w:gridCol w:w="9016"/>
      </w:tblGrid>
      <w:tr w:rsidR="00662581" w14:paraId="4B560F6E" w14:textId="77777777" w:rsidTr="00662581">
        <w:tc>
          <w:tcPr>
            <w:tcW w:w="9016" w:type="dxa"/>
          </w:tcPr>
          <w:p w14:paraId="092EE09D" w14:textId="4E3A8F7A" w:rsidR="00662581" w:rsidRDefault="00662581" w:rsidP="00662581">
            <w:pPr>
              <w:rPr>
                <w:b/>
              </w:rPr>
            </w:pPr>
            <w:r w:rsidRPr="00444A1E">
              <w:rPr>
                <w:b/>
              </w:rPr>
              <w:t>Recommendation</w:t>
            </w:r>
            <w:r>
              <w:rPr>
                <w:b/>
              </w:rPr>
              <w:t xml:space="preserve"> </w:t>
            </w:r>
            <w:r w:rsidR="002C44F5">
              <w:rPr>
                <w:b/>
              </w:rPr>
              <w:t>8</w:t>
            </w:r>
          </w:p>
          <w:p w14:paraId="72E3E289" w14:textId="77777777" w:rsidR="00662581" w:rsidRDefault="00662581" w:rsidP="00662581"/>
          <w:p w14:paraId="682291E4" w14:textId="468F30EF" w:rsidR="001F1733" w:rsidRPr="001F1733" w:rsidRDefault="001F1733" w:rsidP="001F1733">
            <w:pPr>
              <w:rPr>
                <w:b/>
              </w:rPr>
            </w:pPr>
            <w:r w:rsidRPr="001F1733">
              <w:rPr>
                <w:b/>
              </w:rPr>
              <w:t>To maintain the reputation of Australia’s high integrity carbon offsets market, the Offsets Integrity Standards remain unchanged.</w:t>
            </w:r>
          </w:p>
          <w:p w14:paraId="1143D0D7" w14:textId="77777777" w:rsidR="001F1733" w:rsidRPr="001F1733" w:rsidRDefault="001F1733" w:rsidP="001F1733">
            <w:pPr>
              <w:rPr>
                <w:b/>
              </w:rPr>
            </w:pPr>
          </w:p>
          <w:p w14:paraId="1C783A02" w14:textId="4AE84EAB" w:rsidR="00662581" w:rsidRDefault="001F1733" w:rsidP="00BD66C6">
            <w:r w:rsidRPr="001F1733">
              <w:rPr>
                <w:b/>
              </w:rPr>
              <w:t>To promote certainty and transparency on how the ERAC interprets the Offsets Integrity Standards, the ERAC reference the Information Paper: ‘</w:t>
            </w:r>
            <w:r w:rsidRPr="001F1733">
              <w:rPr>
                <w:b/>
                <w:i/>
              </w:rPr>
              <w:t>Committee considerations for interpreting the Emissions Reduction Fund’s Offsets Integrity Standards’</w:t>
            </w:r>
            <w:r w:rsidRPr="001F1733">
              <w:rPr>
                <w:b/>
              </w:rPr>
              <w:t xml:space="preserve"> in its decisions and ensure it is readily accessible to stakeholders. </w:t>
            </w:r>
          </w:p>
        </w:tc>
      </w:tr>
    </w:tbl>
    <w:p w14:paraId="57EAADD2" w14:textId="77777777" w:rsidR="00F325A5" w:rsidRPr="00646A60" w:rsidRDefault="00F325A5" w:rsidP="00A66B3C">
      <w:pPr>
        <w:rPr>
          <w:b/>
        </w:rPr>
      </w:pPr>
    </w:p>
    <w:tbl>
      <w:tblPr>
        <w:tblStyle w:val="TableGrid"/>
        <w:tblW w:w="0" w:type="auto"/>
        <w:tblLook w:val="04A0" w:firstRow="1" w:lastRow="0" w:firstColumn="1" w:lastColumn="0" w:noHBand="0" w:noVBand="1"/>
      </w:tblPr>
      <w:tblGrid>
        <w:gridCol w:w="9016"/>
      </w:tblGrid>
      <w:tr w:rsidR="009B1020" w14:paraId="2AE22A8A" w14:textId="77777777" w:rsidTr="009B1020">
        <w:tc>
          <w:tcPr>
            <w:tcW w:w="9016" w:type="dxa"/>
          </w:tcPr>
          <w:p w14:paraId="250A3F29" w14:textId="67654BED" w:rsidR="009B1020" w:rsidRPr="00E60FF5" w:rsidRDefault="00AE00BF" w:rsidP="00E60FF5">
            <w:pPr>
              <w:pStyle w:val="Box"/>
              <w:pBdr>
                <w:top w:val="none" w:sz="0" w:space="0" w:color="auto"/>
                <w:left w:val="none" w:sz="0" w:space="0" w:color="auto"/>
                <w:bottom w:val="none" w:sz="0" w:space="0" w:color="auto"/>
                <w:right w:val="none" w:sz="0" w:space="0" w:color="auto"/>
              </w:pBdr>
            </w:pPr>
            <w:bookmarkStart w:id="2169" w:name="_Toc53129523"/>
            <w:r w:rsidRPr="00E60FF5">
              <w:t xml:space="preserve">Box </w:t>
            </w:r>
            <w:r w:rsidR="00C9522D" w:rsidRPr="00E60FF5">
              <w:t>5.1</w:t>
            </w:r>
            <w:r w:rsidRPr="00E60FF5">
              <w:t xml:space="preserve"> - </w:t>
            </w:r>
            <w:r w:rsidR="00C907CF" w:rsidRPr="00E60FF5">
              <w:t>Case studies</w:t>
            </w:r>
            <w:r w:rsidR="009B1020" w:rsidRPr="00E60FF5">
              <w:t>: Low uptake of methods</w:t>
            </w:r>
            <w:bookmarkEnd w:id="2169"/>
            <w:r w:rsidR="009B1020" w:rsidRPr="00E60FF5">
              <w:t xml:space="preserve">  </w:t>
            </w:r>
          </w:p>
          <w:p w14:paraId="1525D78C" w14:textId="77777777" w:rsidR="009B1020" w:rsidRPr="004757C9" w:rsidRDefault="009B1020" w:rsidP="009B1020">
            <w:pPr>
              <w:autoSpaceDE w:val="0"/>
              <w:autoSpaceDN w:val="0"/>
              <w:adjustRightInd w:val="0"/>
              <w:spacing w:line="240" w:lineRule="auto"/>
            </w:pPr>
          </w:p>
          <w:p w14:paraId="67CACC8E" w14:textId="4D1EC924" w:rsidR="009B1020" w:rsidRPr="0068006E" w:rsidRDefault="009B1020" w:rsidP="006761DB">
            <w:pPr>
              <w:pStyle w:val="Heading3"/>
              <w:outlineLvl w:val="2"/>
              <w:rPr>
                <w:b/>
                <w:color w:val="0070AE" w:themeColor="accent2" w:themeTint="BF"/>
                <w:sz w:val="20"/>
                <w:szCs w:val="20"/>
              </w:rPr>
            </w:pPr>
            <w:r w:rsidRPr="0068006E">
              <w:rPr>
                <w:b/>
                <w:color w:val="0070AE" w:themeColor="accent2" w:themeTint="BF"/>
                <w:sz w:val="20"/>
                <w:szCs w:val="20"/>
              </w:rPr>
              <w:t>Facilities method</w:t>
            </w:r>
          </w:p>
          <w:p w14:paraId="75AEE8B1" w14:textId="623B5FAA" w:rsidR="009B1020" w:rsidRDefault="009B1020" w:rsidP="009B1020">
            <w:r>
              <w:t xml:space="preserve">The facilities method encourages emissions reduction through a range of activities such as replacing or modifying boilers, improving control systems and processes, upgrading turbines and fuel switching. The method only has two registered projects and neither </w:t>
            </w:r>
            <w:r w:rsidR="00BC6591">
              <w:t xml:space="preserve">has </w:t>
            </w:r>
            <w:r>
              <w:t xml:space="preserve">been issued ACCUs. </w:t>
            </w:r>
          </w:p>
          <w:p w14:paraId="5221D2FF" w14:textId="77777777" w:rsidR="009B1020" w:rsidRDefault="009B1020" w:rsidP="009B1020"/>
          <w:p w14:paraId="76A874D9" w14:textId="031D6CDB" w:rsidR="009B1020" w:rsidRDefault="009B1020" w:rsidP="009B1020">
            <w:r>
              <w:t xml:space="preserve">The method was reviewed in 2019, and the ERAC received </w:t>
            </w:r>
            <w:r w:rsidR="00416E97">
              <w:t xml:space="preserve">numerous </w:t>
            </w:r>
            <w:r>
              <w:t xml:space="preserve">submissions as part of its public consultation process. Many </w:t>
            </w:r>
            <w:r w:rsidR="00416E97">
              <w:t>of these submissions</w:t>
            </w:r>
            <w:r>
              <w:t xml:space="preserve"> focussed on the difficulty of using the method due to its restrictive additionality requirements. In submissions to this review, the Australian Aluminium Council and Cement Industry Federation reiterated the barrier created by the ‘conservativeness’ of how additionality is assessed. The method </w:t>
            </w:r>
            <w:r w:rsidRPr="00861095">
              <w:t xml:space="preserve">requires that a project </w:t>
            </w:r>
            <w:r w:rsidR="00CB1557">
              <w:t>‘</w:t>
            </w:r>
            <w:r w:rsidRPr="7943B309">
              <w:rPr>
                <w:i/>
              </w:rPr>
              <w:t>would not</w:t>
            </w:r>
            <w:r w:rsidR="00CB1557">
              <w:rPr>
                <w:i/>
              </w:rPr>
              <w:t>’</w:t>
            </w:r>
            <w:r w:rsidRPr="00861095">
              <w:t xml:space="preserve"> occur in the ordinary course of events</w:t>
            </w:r>
            <w:r>
              <w:t xml:space="preserve"> and the submissions propose adjusting this requirement to </w:t>
            </w:r>
            <w:r w:rsidR="00CB1557">
              <w:rPr>
                <w:i/>
              </w:rPr>
              <w:t>‘</w:t>
            </w:r>
            <w:r w:rsidRPr="7943B309">
              <w:rPr>
                <w:i/>
              </w:rPr>
              <w:t>better reflect likely circumstances with industrial operations</w:t>
            </w:r>
            <w:r w:rsidR="00CB1557">
              <w:rPr>
                <w:i/>
              </w:rPr>
              <w:t>’</w:t>
            </w:r>
            <w:r>
              <w:t>, by allowing the statement to be broader,</w:t>
            </w:r>
            <w:r w:rsidRPr="00210886">
              <w:t xml:space="preserve"> </w:t>
            </w:r>
            <w:r>
              <w:t xml:space="preserve">indicating the project was </w:t>
            </w:r>
            <w:r w:rsidR="00CB1557">
              <w:rPr>
                <w:i/>
              </w:rPr>
              <w:t>‘</w:t>
            </w:r>
            <w:r w:rsidRPr="7943B309">
              <w:rPr>
                <w:i/>
              </w:rPr>
              <w:t>unlikely</w:t>
            </w:r>
            <w:r w:rsidR="00CB1557">
              <w:rPr>
                <w:i/>
              </w:rPr>
              <w:t>’</w:t>
            </w:r>
            <w:r>
              <w:t xml:space="preserve"> to </w:t>
            </w:r>
            <w:r w:rsidRPr="0011591C">
              <w:t>occur (AAC</w:t>
            </w:r>
            <w:r>
              <w:t xml:space="preserve"> submission</w:t>
            </w:r>
            <w:r w:rsidR="007E4A3D">
              <w:t xml:space="preserve"> p.3</w:t>
            </w:r>
            <w:r>
              <w:t>, CIF submission).</w:t>
            </w:r>
            <w:r w:rsidR="004C6D9C">
              <w:t xml:space="preserve"> </w:t>
            </w:r>
          </w:p>
          <w:p w14:paraId="37979E78" w14:textId="77777777" w:rsidR="009B1020" w:rsidRDefault="009B1020" w:rsidP="009B1020"/>
          <w:p w14:paraId="4EA74253" w14:textId="656174EE" w:rsidR="009B1020" w:rsidRDefault="004C6D9C" w:rsidP="009B1020">
            <w:r>
              <w:t>The</w:t>
            </w:r>
            <w:r w:rsidR="009B1020">
              <w:t xml:space="preserve"> ERAC advised </w:t>
            </w:r>
            <w:r>
              <w:t xml:space="preserve">as a result of the 2019 method review </w:t>
            </w:r>
            <w:r w:rsidR="009B1020">
              <w:t xml:space="preserve">that:  </w:t>
            </w:r>
          </w:p>
          <w:p w14:paraId="01A8571A" w14:textId="5FA9E233" w:rsidR="009B1020" w:rsidRDefault="009B1020" w:rsidP="009B1020">
            <w:r w:rsidRPr="7943B309">
              <w:rPr>
                <w:i/>
              </w:rPr>
              <w:t xml:space="preserve"> </w:t>
            </w:r>
            <w:r w:rsidR="00CB1557">
              <w:rPr>
                <w:i/>
              </w:rPr>
              <w:t>‘</w:t>
            </w:r>
            <w:r w:rsidRPr="7943B309">
              <w:rPr>
                <w:i/>
              </w:rPr>
              <w:t xml:space="preserve">There are limited opportunities to simplify or relax the requirements in the Facilities Method without undermining its environmental integrity. In most cases, abatement opportunities associated with projects that potentially fall within the scope of the Facilities Method are ill suited to the Emissions Reduction Fund (ERF) program because of fundamental conflicts between the nature of the projects and the ERF requirements, particularly additionality and conservatism’ </w:t>
            </w:r>
            <w:r>
              <w:t>(</w:t>
            </w:r>
            <w:r w:rsidRPr="00380E8E">
              <w:t>ERAC 2019b</w:t>
            </w:r>
            <w:r w:rsidR="00840D6A">
              <w:t xml:space="preserve"> p</w:t>
            </w:r>
            <w:r w:rsidR="003D4598">
              <w:t>2</w:t>
            </w:r>
            <w:r>
              <w:t xml:space="preserve">). </w:t>
            </w:r>
          </w:p>
          <w:p w14:paraId="0EF2EEC5" w14:textId="77777777" w:rsidR="009B1020" w:rsidRDefault="009B1020" w:rsidP="009B1020"/>
          <w:p w14:paraId="2F91F8FC" w14:textId="1892E7BE" w:rsidR="00A36623" w:rsidRDefault="004C6D9C" w:rsidP="009B1020">
            <w:r>
              <w:t>Subsequently, t</w:t>
            </w:r>
            <w:r w:rsidR="009B1020">
              <w:t xml:space="preserve">he </w:t>
            </w:r>
            <w:r w:rsidR="00545E7B">
              <w:t>King Review</w:t>
            </w:r>
            <w:r w:rsidR="009B1020">
              <w:t xml:space="preserve"> concluded that the ERF is not an effective mechanism to capture industrial sector opportunities due to a number of design features in the ERF, including the challenge of demonstrating that the replacement or upgrade of industrial equipment would not have occurred as part of business as usual. The </w:t>
            </w:r>
            <w:r w:rsidR="00545E7B">
              <w:t>King</w:t>
            </w:r>
            <w:r w:rsidR="009841F1">
              <w:t xml:space="preserve"> Review</w:t>
            </w:r>
            <w:r w:rsidR="009B1020">
              <w:t xml:space="preserve"> recommended establishing a separate crediting mechanism for large facilities covered by the </w:t>
            </w:r>
            <w:r w:rsidR="00EF3364">
              <w:t>Safeguard Mechanism</w:t>
            </w:r>
            <w:r w:rsidR="009B1020">
              <w:t xml:space="preserve"> architecture.  This separate crediting mechanism would provide a new type </w:t>
            </w:r>
            <w:r w:rsidR="007D0A9D">
              <w:t xml:space="preserve">of </w:t>
            </w:r>
            <w:r w:rsidR="009B1020">
              <w:t xml:space="preserve">credit (separate from ACCUs) to facilities </w:t>
            </w:r>
            <w:r w:rsidR="007D0A9D">
              <w:t xml:space="preserve">which </w:t>
            </w:r>
            <w:r w:rsidR="009B1020">
              <w:t xml:space="preserve">reduce their emissions below their </w:t>
            </w:r>
            <w:r w:rsidR="00946ACE">
              <w:t>s</w:t>
            </w:r>
            <w:r w:rsidR="009B1020">
              <w:t xml:space="preserve">afeguard baselines by undertaking </w:t>
            </w:r>
            <w:r w:rsidR="00CB1557">
              <w:t>‘</w:t>
            </w:r>
            <w:r w:rsidR="009B1020" w:rsidRPr="7943B309">
              <w:rPr>
                <w:i/>
              </w:rPr>
              <w:t>transformative abatement projects</w:t>
            </w:r>
            <w:r w:rsidR="00CB1557">
              <w:rPr>
                <w:i/>
              </w:rPr>
              <w:t>.’</w:t>
            </w:r>
            <w:r w:rsidR="00840D6A">
              <w:t xml:space="preserve"> </w:t>
            </w:r>
            <w:r w:rsidR="009B1020">
              <w:t xml:space="preserve">The Government agreed with this recommendation and it is discussed in </w:t>
            </w:r>
            <w:r w:rsidR="009B1020" w:rsidRPr="00946ACE">
              <w:t xml:space="preserve">Chapter </w:t>
            </w:r>
            <w:r w:rsidR="00053DAB" w:rsidRPr="00946ACE">
              <w:t>4</w:t>
            </w:r>
            <w:r w:rsidR="009B1020" w:rsidRPr="00946ACE">
              <w:t>.</w:t>
            </w:r>
          </w:p>
          <w:p w14:paraId="03968C88" w14:textId="77777777" w:rsidR="00546193" w:rsidRDefault="00546193" w:rsidP="009B1020"/>
          <w:p w14:paraId="166DADE1" w14:textId="248EDC0F" w:rsidR="009B1020" w:rsidRDefault="009B1020" w:rsidP="009B1020">
            <w:pPr>
              <w:tabs>
                <w:tab w:val="left" w:pos="1219"/>
              </w:tabs>
            </w:pPr>
            <w:r>
              <w:t xml:space="preserve">The Authority supports retaining the ERAC’s preferred approach to additionality in the facilities method but instead considers the best means of pursing </w:t>
            </w:r>
            <w:r w:rsidR="000E1D51">
              <w:t xml:space="preserve">large-scale </w:t>
            </w:r>
            <w:r>
              <w:t xml:space="preserve">emissions reductions in the industrial sector is through setting declining baselines for safeguard entities (Chapter 4, </w:t>
            </w:r>
            <w:r w:rsidR="004F267E" w:rsidRPr="009B65DB">
              <w:t>CCA 2020</w:t>
            </w:r>
            <w:r w:rsidR="004F267E">
              <w:t>a</w:t>
            </w:r>
            <w:r>
              <w:t xml:space="preserve">). </w:t>
            </w:r>
            <w:r w:rsidR="00A36623">
              <w:t xml:space="preserve">The </w:t>
            </w:r>
            <w:r w:rsidR="00744636">
              <w:t xml:space="preserve">Authority also supports the </w:t>
            </w:r>
            <w:r w:rsidR="00A36623">
              <w:t xml:space="preserve">use of mechanisms outside the ERF to encourage the uptake of low emissions technologies, such as through ARENA and CEFC financing </w:t>
            </w:r>
            <w:r w:rsidR="00744636">
              <w:t>(</w:t>
            </w:r>
            <w:r w:rsidR="004F267E" w:rsidRPr="009B65DB">
              <w:t>CCA 2020</w:t>
            </w:r>
            <w:r w:rsidR="004F267E">
              <w:t>a</w:t>
            </w:r>
            <w:r w:rsidR="00744636">
              <w:t>). Th</w:t>
            </w:r>
            <w:r w:rsidR="00A36623">
              <w:t xml:space="preserve">is </w:t>
            </w:r>
            <w:r w:rsidR="00744636">
              <w:t xml:space="preserve">was also recommended by the </w:t>
            </w:r>
            <w:r w:rsidR="00545E7B">
              <w:t xml:space="preserve">King </w:t>
            </w:r>
            <w:r w:rsidR="009841F1">
              <w:t>Review</w:t>
            </w:r>
            <w:r w:rsidR="00744636">
              <w:t xml:space="preserve"> (</w:t>
            </w:r>
            <w:r w:rsidR="000049E6" w:rsidRPr="00764422">
              <w:t xml:space="preserve">Australian Government </w:t>
            </w:r>
            <w:r w:rsidR="000049E6" w:rsidRPr="009C394A">
              <w:rPr>
                <w:rFonts w:eastAsia="Times New Roman" w:cs="Arial"/>
                <w:szCs w:val="20"/>
                <w:lang w:eastAsia="en-AU"/>
              </w:rPr>
              <w:t>2020</w:t>
            </w:r>
            <w:r w:rsidR="000049E6">
              <w:rPr>
                <w:rFonts w:eastAsia="Times New Roman" w:cs="Arial"/>
                <w:szCs w:val="20"/>
                <w:lang w:eastAsia="en-AU"/>
              </w:rPr>
              <w:t>b</w:t>
            </w:r>
            <w:r w:rsidR="00744636" w:rsidRPr="00764422">
              <w:t>).</w:t>
            </w:r>
          </w:p>
          <w:p w14:paraId="67EEC3A6" w14:textId="77777777" w:rsidR="00546193" w:rsidRDefault="00546193" w:rsidP="009B1020">
            <w:pPr>
              <w:tabs>
                <w:tab w:val="left" w:pos="1219"/>
              </w:tabs>
            </w:pPr>
          </w:p>
          <w:p w14:paraId="08B44771" w14:textId="77777777" w:rsidR="009B1020" w:rsidRPr="0068006E" w:rsidRDefault="009B1020" w:rsidP="006761DB">
            <w:pPr>
              <w:pStyle w:val="Heading3"/>
              <w:outlineLvl w:val="2"/>
              <w:rPr>
                <w:b/>
                <w:color w:val="0070AE" w:themeColor="accent2" w:themeTint="BF"/>
                <w:sz w:val="20"/>
                <w:szCs w:val="20"/>
              </w:rPr>
            </w:pPr>
            <w:r w:rsidRPr="0068006E">
              <w:rPr>
                <w:b/>
                <w:color w:val="0070AE" w:themeColor="accent2" w:themeTint="BF"/>
                <w:sz w:val="20"/>
                <w:szCs w:val="20"/>
              </w:rPr>
              <w:t>Energy efficiency methods</w:t>
            </w:r>
          </w:p>
          <w:p w14:paraId="3F97805B" w14:textId="472E6ED5" w:rsidR="009B1020" w:rsidRDefault="009B1020" w:rsidP="009B1020">
            <w:pPr>
              <w:tabs>
                <w:tab w:val="left" w:pos="1219"/>
              </w:tabs>
            </w:pPr>
            <w:r>
              <w:t xml:space="preserve">The energy efficiency methods achieve emissions reductions by reducing the consumption of electricity and natural gas. There are seven methods available for small energy users and larger industries seeking to improve the energy efficiency of their businesses. As of </w:t>
            </w:r>
            <w:r w:rsidR="001E1E2B">
              <w:t>6 September</w:t>
            </w:r>
            <w:r w:rsidR="00B72A45">
              <w:t xml:space="preserve"> 2020</w:t>
            </w:r>
            <w:r>
              <w:t xml:space="preserve">, </w:t>
            </w:r>
            <w:r w:rsidR="00A72531" w:rsidRPr="00D72F5E">
              <w:t>44</w:t>
            </w:r>
            <w:r>
              <w:t xml:space="preserve"> projects have successfully registered under the energy efficiency methods and represent approximately </w:t>
            </w:r>
            <w:r w:rsidR="00A72531" w:rsidRPr="00D72F5E">
              <w:t>1.3</w:t>
            </w:r>
            <w:r w:rsidRPr="00D72F5E">
              <w:t xml:space="preserve"> per cent</w:t>
            </w:r>
            <w:r>
              <w:t xml:space="preserve"> of ACCUs issued (</w:t>
            </w:r>
            <w:r w:rsidRPr="00D72F5E">
              <w:t>1 million</w:t>
            </w:r>
            <w:r>
              <w:t xml:space="preserve"> ACCUs)</w:t>
            </w:r>
            <w:r w:rsidR="00381F3A">
              <w:t xml:space="preserve"> (</w:t>
            </w:r>
            <w:r w:rsidR="00331920" w:rsidRPr="009B65DB">
              <w:rPr>
                <w:rFonts w:eastAsia="Times New Roman" w:cs="Arial"/>
                <w:color w:val="000000" w:themeColor="text1"/>
                <w:szCs w:val="20"/>
                <w:lang w:eastAsia="en-AU"/>
              </w:rPr>
              <w:t>CER 2020e</w:t>
            </w:r>
            <w:r w:rsidR="00381F3A">
              <w:t>)</w:t>
            </w:r>
            <w:r>
              <w:t xml:space="preserve">. </w:t>
            </w:r>
          </w:p>
          <w:p w14:paraId="32240165" w14:textId="77777777" w:rsidR="009B1020" w:rsidRDefault="009B1020" w:rsidP="009B1020">
            <w:pPr>
              <w:tabs>
                <w:tab w:val="left" w:pos="1219"/>
              </w:tabs>
            </w:pPr>
          </w:p>
          <w:p w14:paraId="1FE5EFD5" w14:textId="2163FEE4" w:rsidR="009B1020" w:rsidRDefault="009B1020" w:rsidP="009B1020">
            <w:pPr>
              <w:tabs>
                <w:tab w:val="left" w:pos="1219"/>
              </w:tabs>
            </w:pPr>
            <w:r>
              <w:t xml:space="preserve">The AGL Energy and Bioenergy Australia submissions note that ERF energy efficiency methods are restrictive in terms of assessing additionality at the activity level. AGL </w:t>
            </w:r>
            <w:r w:rsidR="00060CA0">
              <w:t>E</w:t>
            </w:r>
            <w:r>
              <w:t>nergy stated in</w:t>
            </w:r>
            <w:r w:rsidDel="006414F6">
              <w:t xml:space="preserve"> </w:t>
            </w:r>
            <w:r w:rsidR="006414F6">
              <w:t xml:space="preserve">its </w:t>
            </w:r>
            <w:r>
              <w:t xml:space="preserve">submission that </w:t>
            </w:r>
            <w:r w:rsidR="00CB1557">
              <w:rPr>
                <w:i/>
              </w:rPr>
              <w:t>‘</w:t>
            </w:r>
            <w:r w:rsidRPr="7943B309">
              <w:rPr>
                <w:i/>
              </w:rPr>
              <w:t>for energy efficiency improvements embedded within production processes where additionality is difficult to establish to the extent required for ACCU creation or where there are risks of interruption to industrial production processes during commissioning</w:t>
            </w:r>
            <w:r w:rsidR="00CB1557">
              <w:rPr>
                <w:i/>
              </w:rPr>
              <w:t>’</w:t>
            </w:r>
            <w:r w:rsidR="00060CA0">
              <w:rPr>
                <w:i/>
              </w:rPr>
              <w:t xml:space="preserve"> </w:t>
            </w:r>
            <w:r w:rsidR="00060CA0" w:rsidRPr="00060CA0">
              <w:t>there may be scope for funding outside of ACCU purchase</w:t>
            </w:r>
            <w:r w:rsidRPr="00060CA0">
              <w:t>.</w:t>
            </w:r>
            <w:r w:rsidRPr="7943B309">
              <w:rPr>
                <w:i/>
              </w:rPr>
              <w:t xml:space="preserve"> </w:t>
            </w:r>
            <w:r>
              <w:t xml:space="preserve">AGL energy proposes creating a different class of offsets or incentivising uptake through a separate co-funding program. </w:t>
            </w:r>
          </w:p>
          <w:p w14:paraId="37E8CA9D" w14:textId="77777777" w:rsidR="009B1020" w:rsidRDefault="009B1020" w:rsidP="009B1020">
            <w:pPr>
              <w:tabs>
                <w:tab w:val="left" w:pos="1219"/>
              </w:tabs>
            </w:pPr>
          </w:p>
          <w:p w14:paraId="78B1AC64" w14:textId="2F8189C1" w:rsidR="009B1020" w:rsidRDefault="009B1020" w:rsidP="009B1020">
            <w:pPr>
              <w:tabs>
                <w:tab w:val="left" w:pos="1219"/>
              </w:tabs>
            </w:pPr>
            <w:r>
              <w:t>A combined review of five of the energy efficiency methods is underway by the ERAC. The review recognises uptake of energy efficiency methods under ERF has been low</w:t>
            </w:r>
            <w:r w:rsidRPr="7943B309">
              <w:rPr>
                <w:i/>
              </w:rPr>
              <w:t xml:space="preserve"> </w:t>
            </w:r>
            <w:r w:rsidRPr="00870921">
              <w:t xml:space="preserve">and </w:t>
            </w:r>
            <w:r w:rsidR="00CB1557">
              <w:rPr>
                <w:i/>
              </w:rPr>
              <w:t>‘</w:t>
            </w:r>
            <w:r w:rsidRPr="7943B309">
              <w:rPr>
                <w:i/>
              </w:rPr>
              <w:t>will examine ways to make the methods more usable and applicable to future commercial building operations and households, while ensuring the methods meet the requirements under the Act</w:t>
            </w:r>
            <w:r w:rsidR="00CB1557">
              <w:rPr>
                <w:i/>
              </w:rPr>
              <w:t>’</w:t>
            </w:r>
            <w:r w:rsidRPr="7943B309">
              <w:rPr>
                <w:i/>
              </w:rPr>
              <w:t xml:space="preserve"> </w:t>
            </w:r>
            <w:r w:rsidRPr="00870921">
              <w:t>(</w:t>
            </w:r>
            <w:r w:rsidRPr="00DD3A44">
              <w:t>ERAC 2019c</w:t>
            </w:r>
            <w:r w:rsidRPr="00870921">
              <w:t>).</w:t>
            </w:r>
            <w:r>
              <w:t xml:space="preserve"> </w:t>
            </w:r>
          </w:p>
          <w:p w14:paraId="532F83D8" w14:textId="50A8A575" w:rsidR="009B1020" w:rsidRDefault="009B1020" w:rsidP="009B1020">
            <w:pPr>
              <w:tabs>
                <w:tab w:val="left" w:pos="1219"/>
              </w:tabs>
              <w:rPr>
                <w:rFonts w:eastAsia="Calibri" w:cs="Arial"/>
              </w:rPr>
            </w:pPr>
            <w:r>
              <w:t>The Authority supports the ERAC</w:t>
            </w:r>
            <w:r w:rsidR="00702F86">
              <w:t>’</w:t>
            </w:r>
            <w:r>
              <w:t>s</w:t>
            </w:r>
            <w:r w:rsidR="00DC59DD">
              <w:t xml:space="preserve"> review</w:t>
            </w:r>
            <w:r>
              <w:t>.</w:t>
            </w:r>
          </w:p>
          <w:p w14:paraId="7DCFE070" w14:textId="77777777" w:rsidR="009B1020" w:rsidRDefault="009B1020" w:rsidP="009B1020">
            <w:pPr>
              <w:tabs>
                <w:tab w:val="left" w:pos="3021"/>
              </w:tabs>
            </w:pPr>
          </w:p>
        </w:tc>
      </w:tr>
    </w:tbl>
    <w:p w14:paraId="4AA8B7E6" w14:textId="60FB27B2" w:rsidR="009B1020" w:rsidRDefault="009B1020" w:rsidP="00646A60"/>
    <w:p w14:paraId="51839265" w14:textId="7305FA56" w:rsidR="00444A1E" w:rsidRPr="0068006E" w:rsidRDefault="00C007D2" w:rsidP="00444A1E">
      <w:pPr>
        <w:pStyle w:val="Heading3"/>
        <w:rPr>
          <w:i/>
          <w:color w:val="0070AE" w:themeColor="accent2" w:themeTint="BF"/>
        </w:rPr>
      </w:pPr>
      <w:bookmarkStart w:id="2170" w:name="_Toc48996316"/>
      <w:r w:rsidRPr="0068006E">
        <w:rPr>
          <w:i/>
          <w:color w:val="0070AE" w:themeColor="accent2" w:themeTint="BF"/>
        </w:rPr>
        <w:t xml:space="preserve">Revisiting </w:t>
      </w:r>
      <w:r w:rsidR="00444A1E" w:rsidRPr="0068006E">
        <w:rPr>
          <w:i/>
          <w:color w:val="0070AE" w:themeColor="accent2" w:themeTint="BF"/>
        </w:rPr>
        <w:t>‘newness’</w:t>
      </w:r>
      <w:bookmarkEnd w:id="2170"/>
    </w:p>
    <w:p w14:paraId="3F93FE83" w14:textId="3B720B52" w:rsidR="00444A1E" w:rsidRPr="00AC3AB3" w:rsidRDefault="00444A1E" w:rsidP="00444A1E">
      <w:r>
        <w:t xml:space="preserve">As part of the additionality principle, s 27(4A) of the CFI Act requires all projects registered under the scheme to </w:t>
      </w:r>
      <w:r w:rsidR="00CB1557">
        <w:rPr>
          <w:i/>
        </w:rPr>
        <w:t>‘</w:t>
      </w:r>
      <w:r w:rsidRPr="7943B309">
        <w:rPr>
          <w:i/>
        </w:rPr>
        <w:t xml:space="preserve">not have begun to be implemented prior to the project being declared </w:t>
      </w:r>
      <w:r w:rsidR="00ED7070">
        <w:t xml:space="preserve">[registered] </w:t>
      </w:r>
      <w:r w:rsidRPr="7943B309">
        <w:rPr>
          <w:i/>
        </w:rPr>
        <w:t>unless the method that covers the project specifies otherwise</w:t>
      </w:r>
      <w:r w:rsidR="00CB1557">
        <w:rPr>
          <w:i/>
        </w:rPr>
        <w:t>.’</w:t>
      </w:r>
      <w:r w:rsidRPr="7943B309">
        <w:rPr>
          <w:i/>
        </w:rPr>
        <w:t xml:space="preserve"> </w:t>
      </w:r>
      <w:r w:rsidRPr="00646A60">
        <w:t>The newness requirement was intended as a practical filter to ensure that only projects established in response to the ERF incentive would be eligible for ERF crediting and purchasing (</w:t>
      </w:r>
      <w:r w:rsidRPr="005E1241">
        <w:t>CCA 2017</w:t>
      </w:r>
      <w:r w:rsidR="00BA59BF" w:rsidRPr="005E1241">
        <w:t>a</w:t>
      </w:r>
      <w:r>
        <w:t xml:space="preserve">). </w:t>
      </w:r>
      <w:r w:rsidRPr="00AC3AB3">
        <w:t xml:space="preserve"> </w:t>
      </w:r>
    </w:p>
    <w:p w14:paraId="79E9D35A" w14:textId="507D16CC" w:rsidR="00444A1E" w:rsidRDefault="00444A1E" w:rsidP="00444A1E">
      <w:r>
        <w:t>Currently, the R</w:t>
      </w:r>
      <w:r w:rsidR="00946ACE">
        <w:t>egulator</w:t>
      </w:r>
      <w:r>
        <w:t xml:space="preserve"> assesses if a project is new by requesting a declaration or evidence that project activities have not begun until after it has been registered under the ERF</w:t>
      </w:r>
      <w:r w:rsidR="00797E41">
        <w:t>,</w:t>
      </w:r>
      <w:r>
        <w:t xml:space="preserve"> unless the method specifies otherwise. Actions that indicate a project has started include making a final investment decision in relation to the project, acquiring or leasing a tangible asset, commencing construction work and preparing a site for an activity, for example preparing soil for planting (</w:t>
      </w:r>
      <w:r w:rsidRPr="00812AB8">
        <w:rPr>
          <w:rStyle w:val="Hyperlink"/>
          <w:color w:val="auto"/>
          <w:u w:val="none"/>
        </w:rPr>
        <w:t>CER 2017</w:t>
      </w:r>
      <w:r w:rsidR="00C72C06">
        <w:rPr>
          <w:rStyle w:val="Hyperlink"/>
          <w:color w:val="auto"/>
          <w:u w:val="none"/>
        </w:rPr>
        <w:t>a</w:t>
      </w:r>
      <w:r w:rsidR="004174C6">
        <w:rPr>
          <w:rStyle w:val="Hyperlink"/>
          <w:color w:val="auto"/>
          <w:u w:val="none"/>
        </w:rPr>
        <w:t>, s</w:t>
      </w:r>
      <w:r>
        <w:rPr>
          <w:rStyle w:val="Hyperlink"/>
          <w:color w:val="auto"/>
          <w:u w:val="none"/>
        </w:rPr>
        <w:t xml:space="preserve"> 27(4C) of the CFI Act</w:t>
      </w:r>
      <w:r w:rsidRPr="00A86363">
        <w:rPr>
          <w:rStyle w:val="Hyperlink"/>
          <w:color w:val="auto"/>
          <w:u w:val="none"/>
        </w:rPr>
        <w:t>)</w:t>
      </w:r>
      <w:r w:rsidRPr="00A86363">
        <w:t xml:space="preserve">. </w:t>
      </w:r>
      <w:r>
        <w:t>The R</w:t>
      </w:r>
      <w:r w:rsidR="004B087A">
        <w:t>egulator</w:t>
      </w:r>
      <w:r>
        <w:t xml:space="preserve"> has 90 days to make a decision on an applicatio</w:t>
      </w:r>
      <w:r w:rsidR="00DD4CF5">
        <w:t>n to register a project (s</w:t>
      </w:r>
      <w:r>
        <w:t xml:space="preserve"> 27</w:t>
      </w:r>
      <w:r w:rsidR="007E5B2C">
        <w:t xml:space="preserve"> </w:t>
      </w:r>
      <w:r>
        <w:t xml:space="preserve">(14) of the CFI Act).  </w:t>
      </w:r>
    </w:p>
    <w:p w14:paraId="47489E50" w14:textId="56C1BE54" w:rsidR="00271A93" w:rsidRDefault="00444A1E" w:rsidP="00444A1E">
      <w:r>
        <w:t xml:space="preserve">The </w:t>
      </w:r>
      <w:r w:rsidRPr="00EA5487">
        <w:t>Australian Forest Product Association (AFPA) noted</w:t>
      </w:r>
      <w:r w:rsidRPr="00EA5487" w:rsidDel="00187E4A">
        <w:t xml:space="preserve"> </w:t>
      </w:r>
      <w:r w:rsidRPr="00EA5487">
        <w:t xml:space="preserve">that newness should apply from the date the application is submitted rather than from the date the project is declared eligible. This may resolve the barrier in uptake from forestry industries as they </w:t>
      </w:r>
      <w:r w:rsidR="00CB1557">
        <w:rPr>
          <w:i/>
        </w:rPr>
        <w:t>‘</w:t>
      </w:r>
      <w:r w:rsidRPr="00BA2FDD">
        <w:rPr>
          <w:i/>
        </w:rPr>
        <w:t>require a long lead time for planning purposes and the current definition does not support this</w:t>
      </w:r>
      <w:r w:rsidR="00CB1557">
        <w:rPr>
          <w:i/>
        </w:rPr>
        <w:t>’</w:t>
      </w:r>
      <w:r w:rsidRPr="00BA2FDD">
        <w:rPr>
          <w:i/>
        </w:rPr>
        <w:t xml:space="preserve"> </w:t>
      </w:r>
      <w:r w:rsidRPr="00EA5487">
        <w:t xml:space="preserve">(AFPA submission p.6). </w:t>
      </w:r>
      <w:r w:rsidR="00B24723">
        <w:t>Carbon X noted</w:t>
      </w:r>
      <w:r w:rsidR="00B24723" w:rsidDel="00CB3CC6">
        <w:t xml:space="preserve"> </w:t>
      </w:r>
      <w:r w:rsidR="00B24723">
        <w:t xml:space="preserve">that starting a new </w:t>
      </w:r>
      <w:r w:rsidR="00CB3CC6">
        <w:t xml:space="preserve">farm management </w:t>
      </w:r>
      <w:r w:rsidR="00B24723">
        <w:t xml:space="preserve">activity after the date a project is declared eligible under the ERF is </w:t>
      </w:r>
      <w:r w:rsidR="00CB3CC6">
        <w:t xml:space="preserve">also </w:t>
      </w:r>
      <w:r w:rsidR="00B24723">
        <w:t xml:space="preserve">difficult </w:t>
      </w:r>
      <w:r w:rsidR="00CB1557">
        <w:rPr>
          <w:i/>
        </w:rPr>
        <w:t>‘</w:t>
      </w:r>
      <w:r w:rsidR="00B24723" w:rsidRPr="7943B309">
        <w:rPr>
          <w:i/>
        </w:rPr>
        <w:t>as it may require seasonal or weather breaks which may not align easily with the timing dictated</w:t>
      </w:r>
      <w:r w:rsidR="00CB1557">
        <w:rPr>
          <w:i/>
        </w:rPr>
        <w:t xml:space="preserve">’ </w:t>
      </w:r>
      <w:r w:rsidR="00B24723" w:rsidRPr="008D6AA1">
        <w:t>(</w:t>
      </w:r>
      <w:r w:rsidR="0043313F">
        <w:t>Carbon X</w:t>
      </w:r>
      <w:r w:rsidR="00CB3CC6">
        <w:t xml:space="preserve"> submission</w:t>
      </w:r>
      <w:r w:rsidR="0043313F">
        <w:t xml:space="preserve"> p.3</w:t>
      </w:r>
      <w:r w:rsidR="00B24723" w:rsidRPr="008D6AA1">
        <w:t xml:space="preserve">). </w:t>
      </w:r>
      <w:r w:rsidRPr="00EA5487">
        <w:t>A</w:t>
      </w:r>
      <w:r w:rsidR="00187E4A">
        <w:t>ssessing</w:t>
      </w:r>
      <w:r w:rsidRPr="00EA5487">
        <w:t xml:space="preserve"> newness </w:t>
      </w:r>
      <w:r w:rsidR="00187E4A">
        <w:t xml:space="preserve">at the time of registration </w:t>
      </w:r>
      <w:r w:rsidRPr="00EA5487">
        <w:t xml:space="preserve">application </w:t>
      </w:r>
      <w:r w:rsidR="00187E4A">
        <w:t xml:space="preserve">rather than registration </w:t>
      </w:r>
      <w:r w:rsidRPr="00EA5487">
        <w:t>declaration</w:t>
      </w:r>
      <w:r w:rsidRPr="00EA5487" w:rsidDel="00187E4A">
        <w:t xml:space="preserve"> </w:t>
      </w:r>
      <w:r w:rsidR="00271A93" w:rsidRPr="00646A60">
        <w:t>would provide flexibility for project proponents implementing projects with seasonal constraints or other deadlines, such as for financing, should the administrative process take some time.</w:t>
      </w:r>
    </w:p>
    <w:p w14:paraId="1A5E1690" w14:textId="1AF6DD64" w:rsidR="00444A1E" w:rsidRDefault="00444A1E" w:rsidP="00444A1E">
      <w:r w:rsidRPr="00EA5487">
        <w:t>However, if the project is not successful</w:t>
      </w:r>
      <w:r w:rsidR="00416E97">
        <w:t>ly registered</w:t>
      </w:r>
      <w:r w:rsidRPr="00EA5487">
        <w:t xml:space="preserve"> and </w:t>
      </w:r>
      <w:r w:rsidR="00187E4A">
        <w:t>project</w:t>
      </w:r>
      <w:r w:rsidRPr="00EA5487">
        <w:t xml:space="preserve"> activities</w:t>
      </w:r>
      <w:r w:rsidR="00187E4A">
        <w:t xml:space="preserve"> have commenced</w:t>
      </w:r>
      <w:r w:rsidRPr="00EA5487">
        <w:t>, th</w:t>
      </w:r>
      <w:r w:rsidR="00A024A3">
        <w:t xml:space="preserve">is may preclude the project </w:t>
      </w:r>
      <w:r w:rsidRPr="00EA5487">
        <w:t>from participati</w:t>
      </w:r>
      <w:r w:rsidRPr="00C90445">
        <w:t xml:space="preserve">ng in the scheme in the future as </w:t>
      </w:r>
      <w:r w:rsidR="00A024A3">
        <w:t xml:space="preserve">it </w:t>
      </w:r>
      <w:r w:rsidRPr="00C90445">
        <w:t>no longer meet</w:t>
      </w:r>
      <w:r w:rsidR="00A024A3">
        <w:t>s</w:t>
      </w:r>
      <w:r w:rsidRPr="00C90445">
        <w:t xml:space="preserve"> the newness requirement</w:t>
      </w:r>
      <w:r w:rsidR="004B087A" w:rsidDel="00187E4A">
        <w:t>.</w:t>
      </w:r>
      <w:r w:rsidRPr="00C90445">
        <w:t xml:space="preserve"> Project</w:t>
      </w:r>
      <w:r w:rsidR="009C61A1">
        <w:t xml:space="preserve"> proponent</w:t>
      </w:r>
      <w:r w:rsidRPr="00C90445">
        <w:t>s would need to be made aware of this risk when beginning project activities</w:t>
      </w:r>
      <w:r w:rsidRPr="00646A60">
        <w:t xml:space="preserve"> after submitting an application but before a declaration is made. </w:t>
      </w:r>
    </w:p>
    <w:p w14:paraId="2F019D70" w14:textId="04BB82CE" w:rsidR="003C1750" w:rsidRPr="003D0A39" w:rsidRDefault="003C1750" w:rsidP="003C1750">
      <w:r w:rsidRPr="003D0A39">
        <w:t xml:space="preserve">Greening Australia stated in </w:t>
      </w:r>
      <w:r w:rsidR="00187E4A">
        <w:t>its</w:t>
      </w:r>
      <w:r w:rsidR="00187E4A" w:rsidRPr="003D0A39">
        <w:t xml:space="preserve"> </w:t>
      </w:r>
      <w:r w:rsidRPr="003D0A39">
        <w:t xml:space="preserve">submission that: </w:t>
      </w:r>
    </w:p>
    <w:p w14:paraId="1B96EAAC" w14:textId="2412A361" w:rsidR="003C1750" w:rsidRDefault="00CB1557" w:rsidP="008A748F">
      <w:pPr>
        <w:ind w:left="720"/>
        <w:rPr>
          <w:i/>
        </w:rPr>
      </w:pPr>
      <w:r>
        <w:rPr>
          <w:i/>
        </w:rPr>
        <w:t>‘</w:t>
      </w:r>
      <w:r w:rsidR="003C1750" w:rsidRPr="7943B309">
        <w:rPr>
          <w:i/>
        </w:rPr>
        <w:t>Additionality provisions such as newness and regulatory additionality have posed some limitations and challenges to developing projects but in general, their inclusion helps to support the integrity of the abatement generated. If these provisions were not there, then industry would have simply flooded the market with ACCUs</w:t>
      </w:r>
      <w:r>
        <w:rPr>
          <w:i/>
        </w:rPr>
        <w:t>.’</w:t>
      </w:r>
    </w:p>
    <w:p w14:paraId="48E066CB" w14:textId="77777777" w:rsidR="00C85396" w:rsidRDefault="00C85396" w:rsidP="008A748F">
      <w:pPr>
        <w:ind w:left="720"/>
        <w:rPr>
          <w:b/>
        </w:rPr>
      </w:pPr>
    </w:p>
    <w:tbl>
      <w:tblPr>
        <w:tblStyle w:val="TableGrid"/>
        <w:tblW w:w="0" w:type="auto"/>
        <w:tblLook w:val="04A0" w:firstRow="1" w:lastRow="0" w:firstColumn="1" w:lastColumn="0" w:noHBand="0" w:noVBand="1"/>
      </w:tblPr>
      <w:tblGrid>
        <w:gridCol w:w="9016"/>
      </w:tblGrid>
      <w:tr w:rsidR="00A66B3C" w14:paraId="6D3BD51E" w14:textId="77777777" w:rsidTr="00A66B3C">
        <w:tc>
          <w:tcPr>
            <w:tcW w:w="9016" w:type="dxa"/>
          </w:tcPr>
          <w:p w14:paraId="600BEA9C" w14:textId="3E9B227A" w:rsidR="00A66B3C" w:rsidRDefault="00A66B3C" w:rsidP="00444A1E">
            <w:pPr>
              <w:rPr>
                <w:b/>
              </w:rPr>
            </w:pPr>
            <w:r>
              <w:rPr>
                <w:b/>
              </w:rPr>
              <w:t xml:space="preserve">Recommendation </w:t>
            </w:r>
            <w:r w:rsidR="002C44F5">
              <w:rPr>
                <w:b/>
              </w:rPr>
              <w:t>9</w:t>
            </w:r>
          </w:p>
          <w:p w14:paraId="44343C70" w14:textId="77777777" w:rsidR="00A66B3C" w:rsidRDefault="00A66B3C" w:rsidP="00444A1E">
            <w:pPr>
              <w:rPr>
                <w:b/>
              </w:rPr>
            </w:pPr>
          </w:p>
          <w:p w14:paraId="58FC970E" w14:textId="375774CC" w:rsidR="00A66B3C" w:rsidRPr="0068006E" w:rsidRDefault="002C44F5" w:rsidP="00444A1E">
            <w:pPr>
              <w:rPr>
                <w:b/>
              </w:rPr>
            </w:pPr>
            <w:r w:rsidRPr="002C44F5">
              <w:rPr>
                <w:b/>
              </w:rPr>
              <w:t>To enhance opportunities and flexibility for project proponents, the ‘newness requirement’</w:t>
            </w:r>
            <w:r w:rsidR="00A66B3C" w:rsidRPr="7943B309">
              <w:rPr>
                <w:b/>
              </w:rPr>
              <w:t xml:space="preserve"> be amended to allow project activities to </w:t>
            </w:r>
            <w:r w:rsidR="00A66B3C">
              <w:rPr>
                <w:b/>
              </w:rPr>
              <w:t>commence</w:t>
            </w:r>
            <w:r w:rsidR="00A66B3C" w:rsidRPr="7943B309">
              <w:rPr>
                <w:b/>
              </w:rPr>
              <w:t xml:space="preserve"> from </w:t>
            </w:r>
            <w:r w:rsidR="00A66B3C">
              <w:rPr>
                <w:b/>
              </w:rPr>
              <w:t xml:space="preserve">the time of </w:t>
            </w:r>
            <w:r w:rsidR="00A66B3C" w:rsidRPr="7943B309">
              <w:rPr>
                <w:b/>
              </w:rPr>
              <w:t>submission of a project application</w:t>
            </w:r>
            <w:r w:rsidR="00A66B3C">
              <w:rPr>
                <w:b/>
              </w:rPr>
              <w:t>,</w:t>
            </w:r>
            <w:r w:rsidR="00A66B3C" w:rsidRPr="7943B309">
              <w:rPr>
                <w:b/>
              </w:rPr>
              <w:t xml:space="preserve"> rather than </w:t>
            </w:r>
            <w:r w:rsidR="00A66B3C">
              <w:rPr>
                <w:b/>
              </w:rPr>
              <w:t xml:space="preserve">when the project is declared </w:t>
            </w:r>
            <w:r w:rsidR="00A66B3C" w:rsidRPr="7943B309">
              <w:rPr>
                <w:b/>
              </w:rPr>
              <w:t xml:space="preserve">eligible. </w:t>
            </w:r>
          </w:p>
        </w:tc>
      </w:tr>
    </w:tbl>
    <w:p w14:paraId="2C015A92" w14:textId="1EB1870E" w:rsidR="00662581" w:rsidRDefault="00662581" w:rsidP="00444A1E"/>
    <w:p w14:paraId="5CBAC1B8" w14:textId="4BE1AEDC" w:rsidR="00B57432" w:rsidRDefault="000A7583" w:rsidP="00444A1E">
      <w:r>
        <w:t>Recognising that planning need</w:t>
      </w:r>
      <w:r w:rsidR="002B7E2E">
        <w:t>s</w:t>
      </w:r>
      <w:r>
        <w:t xml:space="preserve"> to occur before starting an ERF project, </w:t>
      </w:r>
      <w:r w:rsidR="00066048">
        <w:t xml:space="preserve">s 27 (4B) of the CFI Act and </w:t>
      </w:r>
      <w:r>
        <w:t>s</w:t>
      </w:r>
      <w:r w:rsidR="00444A1E" w:rsidRPr="00646A60">
        <w:t>ome methods s</w:t>
      </w:r>
      <w:r w:rsidR="00444A1E" w:rsidRPr="00A84FC2">
        <w:t>pecify planning actions that can commence without jeopardising the newness requirement</w:t>
      </w:r>
      <w:r w:rsidR="00444A1E" w:rsidRPr="0050637B">
        <w:t>.</w:t>
      </w:r>
      <w:r w:rsidR="00444A1E">
        <w:t xml:space="preserve"> For example, section 32 of the plantation forestry method currently disregards the preparation of any management schedule from the newness requirement (</w:t>
      </w:r>
      <w:r w:rsidR="00444A1E" w:rsidRPr="7943B309">
        <w:rPr>
          <w:i/>
        </w:rPr>
        <w:t>Carbon Credits (Carbon Farming Initiative—Plantation Forestry) Methodology Determination 2017</w:t>
      </w:r>
      <w:r w:rsidR="00444A1E">
        <w:t>). In addition, section 21 of the soil carbon in agriculture systems method disregards the preparation of a land management strategy (</w:t>
      </w:r>
      <w:r w:rsidR="00444A1E" w:rsidRPr="7943B309">
        <w:rPr>
          <w:i/>
        </w:rPr>
        <w:t>Carbon Credits (Carbon Farming Initiative—Measurement of Soil Carbon Sequestration in Agricultural Systems) Methodology Determination 2018</w:t>
      </w:r>
      <w:r w:rsidR="00444A1E">
        <w:t xml:space="preserve">). Reviewing and applying method specific changes </w:t>
      </w:r>
      <w:r w:rsidR="00066048">
        <w:t xml:space="preserve">to ensure, for each method, that appropriate planning actions do not breach the newness requirement </w:t>
      </w:r>
      <w:r w:rsidR="00444A1E">
        <w:t xml:space="preserve">may address the restrictiveness of how the newness requirement is applied across different methods. </w:t>
      </w:r>
    </w:p>
    <w:p w14:paraId="28716CCB" w14:textId="77777777" w:rsidR="00C85396" w:rsidRDefault="00C85396" w:rsidP="00444A1E"/>
    <w:tbl>
      <w:tblPr>
        <w:tblStyle w:val="TableGrid"/>
        <w:tblW w:w="0" w:type="auto"/>
        <w:tblLook w:val="04A0" w:firstRow="1" w:lastRow="0" w:firstColumn="1" w:lastColumn="0" w:noHBand="0" w:noVBand="1"/>
      </w:tblPr>
      <w:tblGrid>
        <w:gridCol w:w="9016"/>
      </w:tblGrid>
      <w:tr w:rsidR="00855B87" w14:paraId="446F9EB9" w14:textId="77777777" w:rsidTr="00855B87">
        <w:tc>
          <w:tcPr>
            <w:tcW w:w="9016" w:type="dxa"/>
          </w:tcPr>
          <w:p w14:paraId="7B40850E" w14:textId="04D5D1EF" w:rsidR="00855B87" w:rsidRPr="00855B87" w:rsidRDefault="00855B87" w:rsidP="00855B87">
            <w:pPr>
              <w:rPr>
                <w:b/>
              </w:rPr>
            </w:pPr>
            <w:r w:rsidRPr="00855B87">
              <w:rPr>
                <w:b/>
              </w:rPr>
              <w:t xml:space="preserve">Recommendation </w:t>
            </w:r>
            <w:r w:rsidR="002C44F5">
              <w:rPr>
                <w:b/>
              </w:rPr>
              <w:t>10</w:t>
            </w:r>
          </w:p>
          <w:p w14:paraId="4D0A0E53" w14:textId="77777777" w:rsidR="00855B87" w:rsidRPr="00855B87" w:rsidRDefault="00855B87" w:rsidP="00855B87">
            <w:pPr>
              <w:rPr>
                <w:b/>
              </w:rPr>
            </w:pPr>
          </w:p>
          <w:p w14:paraId="3CC74A06" w14:textId="357AFE5A" w:rsidR="00855B87" w:rsidRPr="0068006E" w:rsidRDefault="004808A9" w:rsidP="00444A1E">
            <w:pPr>
              <w:rPr>
                <w:b/>
              </w:rPr>
            </w:pPr>
            <w:r w:rsidRPr="001D10CD">
              <w:rPr>
                <w:b/>
              </w:rPr>
              <w:t>To allow greater scope for project planning, the Regulator identify within methods (under development or variation) any planning actions to be excluded from the ‘newness requirement’, with the ERAC providing assurance that this does not jeopardise additionality.</w:t>
            </w:r>
          </w:p>
        </w:tc>
      </w:tr>
    </w:tbl>
    <w:p w14:paraId="4AF269C7" w14:textId="77777777" w:rsidR="00855B87" w:rsidRDefault="00855B87" w:rsidP="00444A1E"/>
    <w:p w14:paraId="36B1B934" w14:textId="62047E49" w:rsidR="00053DAB" w:rsidRPr="0068006E" w:rsidRDefault="000650F3" w:rsidP="00053DAB">
      <w:pPr>
        <w:pStyle w:val="Heading3"/>
        <w:rPr>
          <w:i/>
          <w:color w:val="0070AE" w:themeColor="accent2" w:themeTint="BF"/>
        </w:rPr>
      </w:pPr>
      <w:r w:rsidRPr="0068006E">
        <w:rPr>
          <w:i/>
          <w:color w:val="0070AE" w:themeColor="accent2" w:themeTint="BF"/>
        </w:rPr>
        <w:t>M</w:t>
      </w:r>
      <w:r w:rsidR="008A4576" w:rsidRPr="0068006E">
        <w:rPr>
          <w:i/>
          <w:color w:val="0070AE" w:themeColor="accent2" w:themeTint="BF"/>
        </w:rPr>
        <w:t>ethod innovations and maintaining integrity</w:t>
      </w:r>
      <w:r w:rsidRPr="0068006E">
        <w:rPr>
          <w:i/>
          <w:color w:val="0070AE" w:themeColor="accent2" w:themeTint="BF"/>
        </w:rPr>
        <w:t xml:space="preserve"> </w:t>
      </w:r>
    </w:p>
    <w:p w14:paraId="3AD6689A" w14:textId="32D2C784" w:rsidR="000650F3" w:rsidRDefault="000650F3" w:rsidP="00820FAF">
      <w:r>
        <w:t xml:space="preserve">The King </w:t>
      </w:r>
      <w:r w:rsidR="009841F1">
        <w:t>Review</w:t>
      </w:r>
      <w:r>
        <w:t xml:space="preserve"> recommended promoting </w:t>
      </w:r>
      <w:r w:rsidR="00820FAF">
        <w:t xml:space="preserve">ERF </w:t>
      </w:r>
      <w:r>
        <w:t>project uptake through</w:t>
      </w:r>
      <w:r w:rsidR="00820FAF">
        <w:t xml:space="preserve"> </w:t>
      </w:r>
    </w:p>
    <w:p w14:paraId="7B0560CE" w14:textId="47BA37E1" w:rsidR="000650F3" w:rsidRDefault="000650F3" w:rsidP="00FE3F8C">
      <w:pPr>
        <w:pStyle w:val="ListParagraph"/>
        <w:numPr>
          <w:ilvl w:val="0"/>
          <w:numId w:val="27"/>
        </w:numPr>
      </w:pPr>
      <w:r>
        <w:t>develop</w:t>
      </w:r>
      <w:r w:rsidR="00820FAF">
        <w:t>ing</w:t>
      </w:r>
      <w:r w:rsidDel="00820FAF">
        <w:t xml:space="preserve"> </w:t>
      </w:r>
      <w:r>
        <w:t>tailored small-scale methods for projects</w:t>
      </w:r>
      <w:r w:rsidR="00820FAF">
        <w:t>,</w:t>
      </w:r>
      <w:r>
        <w:t xml:space="preserve"> such establishing shelter belts, </w:t>
      </w:r>
      <w:r w:rsidR="00820FAF">
        <w:t xml:space="preserve">which </w:t>
      </w:r>
      <w:r>
        <w:t>would have streamlined measurement, reporting and verification requirements to reduce costs.</w:t>
      </w:r>
    </w:p>
    <w:p w14:paraId="1C9DCB19" w14:textId="4569E77B" w:rsidR="000650F3" w:rsidRDefault="00820FAF" w:rsidP="00FE3F8C">
      <w:pPr>
        <w:pStyle w:val="ListParagraph"/>
        <w:numPr>
          <w:ilvl w:val="0"/>
          <w:numId w:val="27"/>
        </w:numPr>
      </w:pPr>
      <w:r>
        <w:t xml:space="preserve">facilitating </w:t>
      </w:r>
      <w:r w:rsidR="000650F3">
        <w:t xml:space="preserve">multiple methods </w:t>
      </w:r>
      <w:r>
        <w:t xml:space="preserve">being </w:t>
      </w:r>
      <w:r w:rsidR="000650F3">
        <w:t>applied to a single property (known as ‘method stacking’).</w:t>
      </w:r>
      <w:r>
        <w:t xml:space="preserve"> This could occur through allowing proponents to submit a single offsets report and audit that covers all the methods in a stacked project</w:t>
      </w:r>
      <w:r w:rsidR="007E5B2C">
        <w:t xml:space="preserve"> (</w:t>
      </w:r>
      <w:r w:rsidR="007E5B2C" w:rsidRPr="00764422">
        <w:t xml:space="preserve">Australian Government </w:t>
      </w:r>
      <w:r w:rsidR="007E5B2C" w:rsidRPr="009C394A">
        <w:rPr>
          <w:rFonts w:eastAsia="Times New Roman" w:cs="Arial"/>
          <w:szCs w:val="20"/>
          <w:lang w:eastAsia="en-AU"/>
        </w:rPr>
        <w:t>2020</w:t>
      </w:r>
      <w:r w:rsidR="007E5B2C">
        <w:rPr>
          <w:rFonts w:eastAsia="Times New Roman" w:cs="Arial"/>
          <w:szCs w:val="20"/>
          <w:lang w:eastAsia="en-AU"/>
        </w:rPr>
        <w:t>b</w:t>
      </w:r>
      <w:r w:rsidR="007E5B2C">
        <w:t>).</w:t>
      </w:r>
    </w:p>
    <w:p w14:paraId="51B2B74E" w14:textId="7C72000E" w:rsidR="00820FAF" w:rsidRDefault="000650F3" w:rsidP="00444A1E">
      <w:r>
        <w:t>The Government agreed with both approaches (</w:t>
      </w:r>
      <w:r w:rsidR="00081CD9" w:rsidRPr="009B65DB">
        <w:t>Australian Government 2020a</w:t>
      </w:r>
      <w:r>
        <w:t>)</w:t>
      </w:r>
      <w:r w:rsidR="007E5B2C">
        <w:t xml:space="preserve"> and s</w:t>
      </w:r>
      <w:r w:rsidR="00EF7016">
        <w:t xml:space="preserve">takeholders were broadly supportive of both King </w:t>
      </w:r>
      <w:r w:rsidR="009841F1">
        <w:t>Review</w:t>
      </w:r>
      <w:r w:rsidR="00EF7016">
        <w:t xml:space="preserve"> recommendations</w:t>
      </w:r>
      <w:r w:rsidR="00177363">
        <w:t xml:space="preserve"> (</w:t>
      </w:r>
      <w:r w:rsidR="00543140">
        <w:t xml:space="preserve">CMI, </w:t>
      </w:r>
      <w:r w:rsidR="00177363">
        <w:t>NRM Regions Australia; Farmers for Climate Action</w:t>
      </w:r>
      <w:r w:rsidR="00543140">
        <w:t xml:space="preserve"> and</w:t>
      </w:r>
      <w:r w:rsidR="00177363">
        <w:t xml:space="preserve"> Greening Australia).</w:t>
      </w:r>
    </w:p>
    <w:p w14:paraId="72015A1F" w14:textId="3C791E89" w:rsidR="00EF7016" w:rsidRDefault="00EF7016" w:rsidP="00444A1E">
      <w:r>
        <w:t xml:space="preserve">NRM </w:t>
      </w:r>
      <w:r w:rsidR="00075248">
        <w:t>R</w:t>
      </w:r>
      <w:r>
        <w:t>egions</w:t>
      </w:r>
      <w:r w:rsidR="00075248">
        <w:t xml:space="preserve"> Australia</w:t>
      </w:r>
      <w:r>
        <w:t xml:space="preserve"> said that current methods are too issue specific and do not take into account </w:t>
      </w:r>
      <w:r w:rsidR="004B087A">
        <w:t>“</w:t>
      </w:r>
      <w:r>
        <w:t>the complexity of issues that land managers must take into account</w:t>
      </w:r>
      <w:r w:rsidR="004B087A">
        <w:t>”</w:t>
      </w:r>
      <w:r>
        <w:t xml:space="preserve"> (submission</w:t>
      </w:r>
      <w:r w:rsidR="007E4A3D">
        <w:t xml:space="preserve"> p.4</w:t>
      </w:r>
      <w:r>
        <w:t>). While welcoming the proposed removal of overlapping auditing and verification requirements</w:t>
      </w:r>
      <w:r w:rsidR="00990AF2">
        <w:t xml:space="preserve"> by enabling multiple methods to be applied to a single property</w:t>
      </w:r>
      <w:r>
        <w:t>, NRM regions considered th</w:t>
      </w:r>
      <w:r w:rsidR="00990AF2">
        <w:t xml:space="preserve">e King </w:t>
      </w:r>
      <w:r w:rsidR="009841F1">
        <w:t>Review</w:t>
      </w:r>
      <w:r w:rsidR="00990AF2">
        <w:t xml:space="preserve"> recommendations missed </w:t>
      </w:r>
      <w:r>
        <w:t xml:space="preserve">a ‘significant opportunity’ </w:t>
      </w:r>
      <w:r w:rsidR="00990AF2">
        <w:t xml:space="preserve">of </w:t>
      </w:r>
      <w:r>
        <w:t>creating method ‘modules’ that would allow for multiple activities without overlapping measurement and data collection requirements. The King</w:t>
      </w:r>
      <w:r w:rsidR="009841F1">
        <w:t xml:space="preserve"> Review</w:t>
      </w:r>
      <w:r>
        <w:t xml:space="preserve"> considered that this would be ‘difficult to do with measurement requirements without sacrificing environmental integrity’ (</w:t>
      </w:r>
      <w:r w:rsidR="000049E6" w:rsidRPr="00764422">
        <w:t xml:space="preserve">Australian Government </w:t>
      </w:r>
      <w:r w:rsidR="000049E6" w:rsidRPr="009C394A">
        <w:rPr>
          <w:rFonts w:eastAsia="Times New Roman" w:cs="Arial"/>
          <w:szCs w:val="20"/>
          <w:lang w:eastAsia="en-AU"/>
        </w:rPr>
        <w:t>2020</w:t>
      </w:r>
      <w:r w:rsidR="000049E6">
        <w:rPr>
          <w:rFonts w:eastAsia="Times New Roman" w:cs="Arial"/>
          <w:szCs w:val="20"/>
          <w:lang w:eastAsia="en-AU"/>
        </w:rPr>
        <w:t>b</w:t>
      </w:r>
      <w:r>
        <w:t xml:space="preserve">). The Authority also recognises that while </w:t>
      </w:r>
      <w:r w:rsidR="00115856">
        <w:t xml:space="preserve">a modular approach </w:t>
      </w:r>
      <w:r>
        <w:t>would have benefits, it would be difficult to implement in practice</w:t>
      </w:r>
      <w:r w:rsidR="004B087A">
        <w:t>.</w:t>
      </w:r>
      <w:r w:rsidR="0063054B">
        <w:t xml:space="preserve"> The Authority suggests th</w:t>
      </w:r>
      <w:r w:rsidR="0042433E">
        <w:t xml:space="preserve">e </w:t>
      </w:r>
      <w:r w:rsidR="0063054B">
        <w:t xml:space="preserve">modular approach </w:t>
      </w:r>
      <w:r w:rsidR="00AD661E">
        <w:t>be</w:t>
      </w:r>
      <w:r w:rsidR="0063054B" w:rsidDel="00DA3872">
        <w:t xml:space="preserve"> </w:t>
      </w:r>
      <w:r w:rsidR="0063054B">
        <w:t xml:space="preserve">explored through the proposed </w:t>
      </w:r>
      <w:r w:rsidR="00670980">
        <w:t>Steering Committee</w:t>
      </w:r>
      <w:r w:rsidR="0063054B">
        <w:t xml:space="preserve"> </w:t>
      </w:r>
      <w:r w:rsidR="0042433E">
        <w:t>supporting</w:t>
      </w:r>
      <w:r w:rsidR="0063054B">
        <w:t xml:space="preserve"> method development (Chap</w:t>
      </w:r>
      <w:r w:rsidR="00CB5018">
        <w:t>t</w:t>
      </w:r>
      <w:r w:rsidR="0063054B">
        <w:t>er 6)</w:t>
      </w:r>
      <w:r w:rsidR="00CB5018">
        <w:t>.</w:t>
      </w:r>
      <w:r w:rsidR="0040460B" w:rsidDel="0063054B">
        <w:t xml:space="preserve"> </w:t>
      </w:r>
      <w:r w:rsidR="0042433E">
        <w:t xml:space="preserve">The </w:t>
      </w:r>
      <w:r w:rsidR="00C007D2">
        <w:t>Steering Committee</w:t>
      </w:r>
      <w:r w:rsidR="0042433E">
        <w:t xml:space="preserve"> could determine whether this could be done</w:t>
      </w:r>
      <w:r w:rsidR="0063054B">
        <w:t xml:space="preserve"> </w:t>
      </w:r>
      <w:r w:rsidR="0042433E">
        <w:t>effectively</w:t>
      </w:r>
      <w:r w:rsidR="00AD661E">
        <w:t xml:space="preserve"> </w:t>
      </w:r>
      <w:r w:rsidR="0042433E">
        <w:t>for specific areas of industry interest</w:t>
      </w:r>
      <w:r w:rsidR="00AD661E">
        <w:t>,</w:t>
      </w:r>
      <w:r w:rsidR="0042433E">
        <w:t xml:space="preserve"> such as stacking vegetation and agriculture method types, and for energy efficiency method types</w:t>
      </w:r>
      <w:r w:rsidR="00CB5018">
        <w:t>.</w:t>
      </w:r>
    </w:p>
    <w:p w14:paraId="7B12AF22" w14:textId="03B76E32" w:rsidR="000650F3" w:rsidRDefault="00177516" w:rsidP="00444A1E">
      <w:r>
        <w:t xml:space="preserve">The development of </w:t>
      </w:r>
      <w:r w:rsidR="00011950">
        <w:t xml:space="preserve">a </w:t>
      </w:r>
      <w:r w:rsidR="00BC725D">
        <w:t>new small</w:t>
      </w:r>
      <w:r w:rsidR="00011950">
        <w:t>-</w:t>
      </w:r>
      <w:r w:rsidR="00BC725D">
        <w:t xml:space="preserve">scale method will </w:t>
      </w:r>
      <w:r w:rsidR="0013792A">
        <w:t xml:space="preserve">trigger an assessment of </w:t>
      </w:r>
      <w:r w:rsidR="006F14D0" w:rsidRPr="0013792A">
        <w:rPr>
          <w:rFonts w:cs="Arial"/>
        </w:rPr>
        <w:t xml:space="preserve">whether </w:t>
      </w:r>
      <w:r w:rsidR="0013792A">
        <w:rPr>
          <w:rFonts w:cs="Arial"/>
        </w:rPr>
        <w:t xml:space="preserve">it </w:t>
      </w:r>
      <w:r w:rsidR="0013792A" w:rsidRPr="0013792A">
        <w:rPr>
          <w:rFonts w:cs="Arial"/>
        </w:rPr>
        <w:t>compl</w:t>
      </w:r>
      <w:r w:rsidR="0013792A">
        <w:rPr>
          <w:rFonts w:cs="Arial"/>
        </w:rPr>
        <w:t>ies</w:t>
      </w:r>
      <w:r w:rsidR="0013792A" w:rsidRPr="0013792A">
        <w:rPr>
          <w:rFonts w:cs="Arial"/>
        </w:rPr>
        <w:t xml:space="preserve"> with the </w:t>
      </w:r>
      <w:r w:rsidR="006F14D0" w:rsidRPr="0013792A">
        <w:rPr>
          <w:rFonts w:cs="Arial"/>
        </w:rPr>
        <w:t>Offsets Integrity Standards (</w:t>
      </w:r>
      <w:r w:rsidR="00E72B37">
        <w:rPr>
          <w:rFonts w:cs="Arial"/>
        </w:rPr>
        <w:t>s</w:t>
      </w:r>
      <w:r w:rsidR="006F14D0" w:rsidRPr="0013792A">
        <w:rPr>
          <w:rFonts w:cs="Arial"/>
        </w:rPr>
        <w:t> 255(d</w:t>
      </w:r>
      <w:r w:rsidR="006F14D0" w:rsidRPr="00177516">
        <w:rPr>
          <w:rFonts w:cs="Arial"/>
        </w:rPr>
        <w:t>)</w:t>
      </w:r>
      <w:r>
        <w:rPr>
          <w:rFonts w:cs="Arial"/>
        </w:rPr>
        <w:t xml:space="preserve"> of the CFI Act</w:t>
      </w:r>
      <w:r w:rsidR="006F14D0" w:rsidRPr="00177516">
        <w:rPr>
          <w:rFonts w:cs="Arial"/>
        </w:rPr>
        <w:t>)</w:t>
      </w:r>
      <w:r w:rsidR="0013792A">
        <w:rPr>
          <w:rFonts w:cs="Arial"/>
        </w:rPr>
        <w:t xml:space="preserve">, </w:t>
      </w:r>
      <w:r>
        <w:rPr>
          <w:rFonts w:cs="Arial"/>
        </w:rPr>
        <w:t>however</w:t>
      </w:r>
      <w:r w:rsidR="0013792A">
        <w:rPr>
          <w:rFonts w:cs="Arial"/>
        </w:rPr>
        <w:t xml:space="preserve"> rule changes do not need to be assessed by the ERAC.</w:t>
      </w:r>
      <w:r w:rsidR="00BC725D">
        <w:t xml:space="preserve"> </w:t>
      </w:r>
      <w:r w:rsidR="00F31D2B">
        <w:t xml:space="preserve">Many reporting requirements are specified in the CFI Rule 2015. </w:t>
      </w:r>
      <w:r w:rsidR="0032035D">
        <w:t>If changes are made</w:t>
      </w:r>
      <w:r w:rsidR="00F31D2B">
        <w:t xml:space="preserve"> to</w:t>
      </w:r>
      <w:r w:rsidR="00990AF2" w:rsidDel="00F31D2B">
        <w:t xml:space="preserve"> </w:t>
      </w:r>
      <w:r w:rsidR="00F31D2B">
        <w:t xml:space="preserve">the </w:t>
      </w:r>
      <w:r w:rsidR="0032035D">
        <w:t>CFI rules in the future</w:t>
      </w:r>
      <w:r w:rsidR="00990AF2">
        <w:t xml:space="preserve"> to facilitate </w:t>
      </w:r>
      <w:r w:rsidR="00F31D2B">
        <w:t>truncated reporting or data collection for small-scale method</w:t>
      </w:r>
      <w:r w:rsidR="0040460B">
        <w:t>s</w:t>
      </w:r>
      <w:r w:rsidR="00F31D2B">
        <w:t xml:space="preserve"> or </w:t>
      </w:r>
      <w:r w:rsidR="00990AF2">
        <w:t>method stacking</w:t>
      </w:r>
      <w:r w:rsidR="0032035D">
        <w:t xml:space="preserve">, this could </w:t>
      </w:r>
      <w:r w:rsidR="00E14A99">
        <w:t>have a material impact on a method</w:t>
      </w:r>
      <w:r w:rsidR="009351DD">
        <w:t>’s</w:t>
      </w:r>
      <w:r w:rsidR="00E14A99">
        <w:t xml:space="preserve"> compl</w:t>
      </w:r>
      <w:r w:rsidR="009351DD">
        <w:t>iance</w:t>
      </w:r>
      <w:r w:rsidR="00E14A99">
        <w:t xml:space="preserve"> with the Offsets Integrity Standards. </w:t>
      </w:r>
      <w:r w:rsidR="00315FAF">
        <w:t>When prioritising periodic method reviews</w:t>
      </w:r>
      <w:r w:rsidR="00820FAF" w:rsidDel="00315FAF">
        <w:t xml:space="preserve">, the </w:t>
      </w:r>
      <w:r w:rsidR="00EF7016">
        <w:t xml:space="preserve">ERAC </w:t>
      </w:r>
      <w:r>
        <w:t>should</w:t>
      </w:r>
      <w:r w:rsidR="00EF7016">
        <w:t xml:space="preserve"> </w:t>
      </w:r>
      <w:r w:rsidR="00315FAF">
        <w:t xml:space="preserve">prioritise reviews of methods </w:t>
      </w:r>
      <w:r w:rsidR="009351DD">
        <w:t xml:space="preserve">that have </w:t>
      </w:r>
      <w:r w:rsidR="00315FAF">
        <w:t>a high likelihood of non-compliance with the Offsets Integrity Standards</w:t>
      </w:r>
      <w:r w:rsidR="009351DD">
        <w:t>,</w:t>
      </w:r>
      <w:r w:rsidR="00315FAF">
        <w:t xml:space="preserve"> including any relevant legislative rule changes</w:t>
      </w:r>
      <w:r w:rsidR="00C166CC">
        <w:t xml:space="preserve"> (Recommendation 14, Chapter 6)</w:t>
      </w:r>
      <w:r w:rsidR="00315FAF">
        <w:t xml:space="preserve">. </w:t>
      </w:r>
    </w:p>
    <w:p w14:paraId="479AE4C6" w14:textId="77777777" w:rsidR="007103A8" w:rsidRPr="0068006E" w:rsidRDefault="007103A8" w:rsidP="00FE3F8C">
      <w:pPr>
        <w:pStyle w:val="Heading2"/>
        <w:numPr>
          <w:ilvl w:val="1"/>
          <w:numId w:val="13"/>
        </w:numPr>
        <w:rPr>
          <w:color w:val="0070AE" w:themeColor="accent2" w:themeTint="BF"/>
        </w:rPr>
      </w:pPr>
      <w:bookmarkStart w:id="2171" w:name="_Toc48996313"/>
      <w:bookmarkStart w:id="2172" w:name="_Toc49350834"/>
      <w:bookmarkStart w:id="2173" w:name="_Toc49352814"/>
      <w:bookmarkStart w:id="2174" w:name="_Toc49354190"/>
      <w:bookmarkStart w:id="2175" w:name="_Toc49355516"/>
      <w:bookmarkStart w:id="2176" w:name="_Toc49429274"/>
      <w:bookmarkStart w:id="2177" w:name="_Toc49434031"/>
      <w:bookmarkStart w:id="2178" w:name="_Toc49441024"/>
      <w:bookmarkStart w:id="2179" w:name="_Toc49441214"/>
      <w:bookmarkStart w:id="2180" w:name="_Toc49442217"/>
      <w:bookmarkStart w:id="2181" w:name="_Toc49508948"/>
      <w:bookmarkStart w:id="2182" w:name="_Toc49519758"/>
      <w:bookmarkStart w:id="2183" w:name="_Toc49521476"/>
      <w:bookmarkStart w:id="2184" w:name="_Toc49524548"/>
      <w:bookmarkStart w:id="2185" w:name="_Toc49524686"/>
      <w:bookmarkStart w:id="2186" w:name="_Toc49527155"/>
      <w:bookmarkStart w:id="2187" w:name="_Toc49527993"/>
      <w:bookmarkStart w:id="2188" w:name="_Toc49692146"/>
      <w:bookmarkStart w:id="2189" w:name="_Toc49710519"/>
      <w:bookmarkStart w:id="2190" w:name="_Toc49710691"/>
      <w:bookmarkStart w:id="2191" w:name="_Toc49713244"/>
      <w:bookmarkStart w:id="2192" w:name="_Toc49713446"/>
      <w:bookmarkStart w:id="2193" w:name="_Toc49776384"/>
      <w:bookmarkStart w:id="2194" w:name="_Toc49784943"/>
      <w:bookmarkStart w:id="2195" w:name="_Toc49786269"/>
      <w:bookmarkStart w:id="2196" w:name="_Toc49787318"/>
      <w:bookmarkStart w:id="2197" w:name="_Toc49787373"/>
      <w:bookmarkStart w:id="2198" w:name="_Toc49850687"/>
      <w:bookmarkStart w:id="2199" w:name="_Toc49852929"/>
      <w:bookmarkStart w:id="2200" w:name="_Toc49854346"/>
      <w:bookmarkStart w:id="2201" w:name="_Toc49856942"/>
      <w:bookmarkStart w:id="2202" w:name="_Toc49858258"/>
      <w:bookmarkStart w:id="2203" w:name="_Toc49858313"/>
      <w:bookmarkStart w:id="2204" w:name="_Toc49863015"/>
      <w:bookmarkStart w:id="2205" w:name="_Toc49867738"/>
      <w:bookmarkStart w:id="2206" w:name="_Toc49870574"/>
      <w:bookmarkStart w:id="2207" w:name="_Toc49871317"/>
      <w:bookmarkStart w:id="2208" w:name="_Toc49871997"/>
      <w:bookmarkStart w:id="2209" w:name="_Toc49872550"/>
      <w:bookmarkStart w:id="2210" w:name="_Toc50027762"/>
      <w:bookmarkStart w:id="2211" w:name="_Toc50029456"/>
      <w:bookmarkStart w:id="2212" w:name="_Toc50043887"/>
      <w:bookmarkStart w:id="2213" w:name="_Toc50057739"/>
      <w:bookmarkStart w:id="2214" w:name="_Toc50553616"/>
      <w:bookmarkStart w:id="2215" w:name="_Toc50555379"/>
      <w:bookmarkStart w:id="2216" w:name="_Toc50559839"/>
      <w:bookmarkStart w:id="2217" w:name="_Toc50559892"/>
      <w:bookmarkStart w:id="2218" w:name="_Toc50563826"/>
      <w:bookmarkStart w:id="2219" w:name="_Toc50711379"/>
      <w:bookmarkStart w:id="2220" w:name="_Toc50720961"/>
      <w:bookmarkStart w:id="2221" w:name="_Toc50730685"/>
      <w:bookmarkStart w:id="2222" w:name="_Toc50734911"/>
      <w:bookmarkStart w:id="2223" w:name="_Toc50735514"/>
      <w:bookmarkStart w:id="2224" w:name="_Toc50905533"/>
      <w:bookmarkStart w:id="2225" w:name="_Toc51587017"/>
      <w:bookmarkStart w:id="2226" w:name="_Toc51594877"/>
      <w:bookmarkStart w:id="2227" w:name="_Toc51599480"/>
      <w:bookmarkStart w:id="2228" w:name="_Toc51613516"/>
      <w:bookmarkStart w:id="2229" w:name="_Toc51669627"/>
      <w:bookmarkStart w:id="2230" w:name="_Toc51669722"/>
      <w:bookmarkStart w:id="2231" w:name="_Toc51672871"/>
      <w:bookmarkStart w:id="2232" w:name="_Toc51673921"/>
      <w:bookmarkStart w:id="2233" w:name="_Toc51680738"/>
      <w:bookmarkStart w:id="2234" w:name="_Toc51683267"/>
      <w:bookmarkStart w:id="2235" w:name="_Toc51686003"/>
      <w:bookmarkStart w:id="2236" w:name="_Toc51687741"/>
      <w:bookmarkStart w:id="2237" w:name="_Toc51687885"/>
      <w:bookmarkStart w:id="2238" w:name="_Toc51705763"/>
      <w:bookmarkStart w:id="2239" w:name="_Toc51770709"/>
      <w:bookmarkStart w:id="2240" w:name="_Toc51770895"/>
      <w:bookmarkStart w:id="2241" w:name="_Toc52359238"/>
      <w:bookmarkStart w:id="2242" w:name="_Toc52367271"/>
      <w:bookmarkStart w:id="2243" w:name="_Toc52371611"/>
      <w:bookmarkStart w:id="2244" w:name="_Toc52374759"/>
      <w:bookmarkStart w:id="2245" w:name="_Toc52377297"/>
      <w:bookmarkStart w:id="2246" w:name="_Toc52379219"/>
      <w:bookmarkStart w:id="2247" w:name="_Toc52379574"/>
      <w:bookmarkStart w:id="2248" w:name="_Toc52532784"/>
      <w:bookmarkStart w:id="2249" w:name="_Toc52535679"/>
      <w:bookmarkStart w:id="2250" w:name="_Toc52537497"/>
      <w:bookmarkStart w:id="2251" w:name="_Toc52544060"/>
      <w:bookmarkStart w:id="2252" w:name="_Toc52545664"/>
      <w:bookmarkStart w:id="2253" w:name="_Toc52547896"/>
      <w:bookmarkStart w:id="2254" w:name="_Toc52548585"/>
      <w:bookmarkStart w:id="2255" w:name="_Toc52890877"/>
      <w:bookmarkStart w:id="2256" w:name="_Toc52895080"/>
      <w:bookmarkStart w:id="2257" w:name="_Toc52896604"/>
      <w:bookmarkStart w:id="2258" w:name="_Toc52977781"/>
      <w:bookmarkStart w:id="2259" w:name="_Toc53129467"/>
      <w:r w:rsidRPr="0068006E">
        <w:rPr>
          <w:color w:val="0070AE" w:themeColor="accent2" w:themeTint="BF"/>
        </w:rPr>
        <w:t>Crediting before abatement occurs</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14:paraId="1C475D25" w14:textId="63260B17" w:rsidR="007103A8" w:rsidRDefault="007103A8" w:rsidP="007103A8">
      <w:r>
        <w:t xml:space="preserve">To encourage participation in the ERF, the </w:t>
      </w:r>
      <w:r w:rsidR="00545E7B">
        <w:t xml:space="preserve">King </w:t>
      </w:r>
      <w:r w:rsidR="009841F1">
        <w:t>Review</w:t>
      </w:r>
      <w:r>
        <w:t xml:space="preserve"> recommended issuing ACCUs ahead of when abatement occurs (compressed</w:t>
      </w:r>
      <w:r w:rsidR="00997877">
        <w:t xml:space="preserve"> </w:t>
      </w:r>
      <w:r>
        <w:t xml:space="preserve">crediting) in some circumstances in order to more closely align the receipt of ACCUs with the upfront </w:t>
      </w:r>
      <w:r w:rsidR="00053DAB">
        <w:t>costs of establishing a project</w:t>
      </w:r>
      <w:r>
        <w:t xml:space="preserve">. The </w:t>
      </w:r>
      <w:r w:rsidR="00545E7B">
        <w:t>King</w:t>
      </w:r>
      <w:r w:rsidR="009841F1">
        <w:t xml:space="preserve"> Review</w:t>
      </w:r>
      <w:r>
        <w:t xml:space="preserve"> recommended limiting the forward issuance of ACCUs to projects involving significant upfront costs, where abatement could be ‘forecast with a reasonable degree of precision’, and which did not rely on significant continuing resources for the abatement to be realised. Energy efficiency projects, tree planting projects and coal-seam gas (fugitive emissions) projects are provided as possible examples. Emissions avoidance projects would be issued credits over 1-2 years (instead of 7 years), and sequestration projects over 15 years (instead of 25 years). To manage the risk of crediting abatement that </w:t>
      </w:r>
      <w:r w:rsidR="009351DD">
        <w:t>has</w:t>
      </w:r>
      <w:r>
        <w:t xml:space="preserve"> not </w:t>
      </w:r>
      <w:r w:rsidR="009351DD">
        <w:t>occurred,</w:t>
      </w:r>
      <w:r>
        <w:t xml:space="preserve"> the </w:t>
      </w:r>
      <w:r w:rsidR="00545E7B">
        <w:t xml:space="preserve">King </w:t>
      </w:r>
      <w:r w:rsidR="009841F1">
        <w:t>Review</w:t>
      </w:r>
      <w:r>
        <w:t xml:space="preserve"> recommends that projects would need to meet ‘gateway rules’ through the project crediting period to continue to receive forward credits. ACCUs would also be required to be relinquished if abatement did not occur.</w:t>
      </w:r>
      <w:r w:rsidR="00D05D5A">
        <w:t xml:space="preserve"> Some stakeholders supported compressed crediting</w:t>
      </w:r>
      <w:r w:rsidR="009351DD">
        <w:t>,</w:t>
      </w:r>
      <w:r w:rsidR="00D05D5A">
        <w:t xml:space="preserve"> saying that it would improve cash flow for projects (Greening Australia submission). </w:t>
      </w:r>
    </w:p>
    <w:p w14:paraId="78CD066A" w14:textId="350DBF73" w:rsidR="007103A8" w:rsidRDefault="00F92616" w:rsidP="007103A8">
      <w:r>
        <w:t xml:space="preserve">The introduction of </w:t>
      </w:r>
      <w:r w:rsidR="007103A8">
        <w:t>compressed crediting</w:t>
      </w:r>
      <w:r>
        <w:t xml:space="preserve"> would represent</w:t>
      </w:r>
      <w:r w:rsidR="007103A8">
        <w:t xml:space="preserve"> a different approach to that taken when the ERF was implemented in 2014, when the Government decided not to use </w:t>
      </w:r>
      <w:r w:rsidR="009351DD">
        <w:t xml:space="preserve">an </w:t>
      </w:r>
      <w:r w:rsidR="007103A8">
        <w:t xml:space="preserve">upfront deeming approach </w:t>
      </w:r>
      <w:r w:rsidR="004E1425">
        <w:t>as used in some</w:t>
      </w:r>
      <w:r w:rsidR="007103A8">
        <w:t xml:space="preserve"> energy savings schemes. The 2014 White Paper states:</w:t>
      </w:r>
    </w:p>
    <w:p w14:paraId="6C7C16A1" w14:textId="68E08935" w:rsidR="007103A8" w:rsidRDefault="00CB1557" w:rsidP="007103A8">
      <w:pPr>
        <w:ind w:left="720"/>
      </w:pPr>
      <w:r>
        <w:rPr>
          <w:i/>
        </w:rPr>
        <w:t>‘</w:t>
      </w:r>
      <w:r w:rsidR="007103A8" w:rsidRPr="7943B309">
        <w:rPr>
          <w:i/>
        </w:rPr>
        <w:t xml:space="preserve">On balance, the Government remains of the view that the Emissions Reduction Fund should provide payment for all emissions reductions as they occur. This will ensure that public funds are always tied to real emissions reductions and that projects are competing on the same basis’ </w:t>
      </w:r>
      <w:r w:rsidR="007103A8" w:rsidRPr="000E70A5">
        <w:t xml:space="preserve">(Australian Government 2014 p.35). </w:t>
      </w:r>
    </w:p>
    <w:p w14:paraId="6F7CFDB8" w14:textId="124D0711" w:rsidR="007103A8" w:rsidRDefault="007103A8" w:rsidP="007103A8">
      <w:r>
        <w:t>Most carbon crediting schemes issue credits only after the abatement has occurred (</w:t>
      </w:r>
      <w:r w:rsidR="00F5264D" w:rsidRPr="005512D9">
        <w:t>Broekhoff et a</w:t>
      </w:r>
      <w:r w:rsidR="008D6386" w:rsidRPr="005512D9">
        <w:t>l</w:t>
      </w:r>
      <w:r w:rsidR="00F5264D" w:rsidRPr="005512D9">
        <w:t xml:space="preserve"> 2019</w:t>
      </w:r>
      <w:r w:rsidR="009351DD">
        <w:t>,</w:t>
      </w:r>
      <w:r w:rsidR="00F570CC" w:rsidRPr="00367AA2">
        <w:t xml:space="preserve"> </w:t>
      </w:r>
      <w:r w:rsidR="00367AA2" w:rsidRPr="00D40B0C">
        <w:t xml:space="preserve">CARB </w:t>
      </w:r>
      <w:r w:rsidR="00476474" w:rsidRPr="00D40B0C">
        <w:t>n.d</w:t>
      </w:r>
      <w:r w:rsidR="009351DD">
        <w:t>,</w:t>
      </w:r>
      <w:r w:rsidR="00367AA2" w:rsidRPr="00367AA2">
        <w:t xml:space="preserve"> </w:t>
      </w:r>
      <w:r w:rsidR="00367AA2" w:rsidRPr="001B259B">
        <w:t>VCS</w:t>
      </w:r>
      <w:r w:rsidRPr="001B259B">
        <w:t xml:space="preserve"> </w:t>
      </w:r>
      <w:r w:rsidR="00367AA2" w:rsidRPr="001B259B">
        <w:t>2020</w:t>
      </w:r>
      <w:r w:rsidR="009351DD">
        <w:t>,</w:t>
      </w:r>
      <w:r w:rsidR="00BC4EA3">
        <w:t xml:space="preserve"> </w:t>
      </w:r>
      <w:r w:rsidR="00BC4EA3" w:rsidRPr="00A629AF">
        <w:t>UNFCCC 2020</w:t>
      </w:r>
      <w:r w:rsidR="00BC4EA3">
        <w:t>)</w:t>
      </w:r>
      <w:r>
        <w:t>. One of the principles guiding the Authority’s analysis of this proposal is environm</w:t>
      </w:r>
      <w:r w:rsidR="00997877">
        <w:t xml:space="preserve">ental effectiveness. </w:t>
      </w:r>
      <w:r>
        <w:t xml:space="preserve">Environmental effectiveness places a higher value on abatement achieved now, compared to abatement in the future – all things being equal – as it is more effective in mitigating climate change. In the Authority’s view, it is not environmentally effective if an ACCU represents abatement that will not occur for another 5 to 10 years, when it can be used now to offset emissions that </w:t>
      </w:r>
      <w:r w:rsidR="00BC6591">
        <w:t>have already occurred</w:t>
      </w:r>
      <w:r>
        <w:t xml:space="preserve"> elsewhere in the economy. This has the potential to reduce the credibility of </w:t>
      </w:r>
      <w:r w:rsidR="00446E33">
        <w:t>the</w:t>
      </w:r>
      <w:r>
        <w:t xml:space="preserve"> scheme overall and could impact on the future ability of ACCUs to be traded internationally (CMI submission</w:t>
      </w:r>
      <w:r w:rsidR="008A2F12">
        <w:t xml:space="preserve">). </w:t>
      </w:r>
      <w:r>
        <w:t xml:space="preserve"> </w:t>
      </w:r>
    </w:p>
    <w:p w14:paraId="291E76F4" w14:textId="109C60E1" w:rsidR="007103A8" w:rsidRDefault="007103A8" w:rsidP="007103A8">
      <w:r>
        <w:t>The compressed crediting model increases the likelihood</w:t>
      </w:r>
      <w:r w:rsidR="00997877">
        <w:t xml:space="preserve"> of ‘moral hazards’ occurring</w:t>
      </w:r>
      <w:r>
        <w:t xml:space="preserve"> because the project proponent </w:t>
      </w:r>
      <w:r w:rsidR="008144EC">
        <w:t>could r</w:t>
      </w:r>
      <w:r>
        <w:t xml:space="preserve">eceive all the benefit from the project 5 to 10 years earlier than the abatement from the project occurs, with no </w:t>
      </w:r>
      <w:r w:rsidR="00FD201D">
        <w:t xml:space="preserve">further revenue acting as an </w:t>
      </w:r>
      <w:r>
        <w:t xml:space="preserve">incentive to guard against risks to the project. </w:t>
      </w:r>
      <w:r w:rsidR="00B76798">
        <w:t>T</w:t>
      </w:r>
      <w:r w:rsidR="00FD201D">
        <w:t>he ERF has in place a number of mechanisms</w:t>
      </w:r>
      <w:r>
        <w:t xml:space="preserve"> to </w:t>
      </w:r>
      <w:r w:rsidR="00B76798">
        <w:t xml:space="preserve">manage risks, including that </w:t>
      </w:r>
      <w:r>
        <w:t xml:space="preserve">the </w:t>
      </w:r>
      <w:r w:rsidR="00B76798">
        <w:t>project proponent be a fit and proper person</w:t>
      </w:r>
      <w:r w:rsidR="008144EC">
        <w:t>. T</w:t>
      </w:r>
      <w:r w:rsidR="00B76798">
        <w:t>he risk of reversal buffer</w:t>
      </w:r>
      <w:r w:rsidR="008144EC">
        <w:t xml:space="preserve">, which </w:t>
      </w:r>
      <w:r w:rsidR="00B76798">
        <w:t xml:space="preserve">discounts </w:t>
      </w:r>
      <w:r w:rsidR="008144EC">
        <w:t xml:space="preserve">all </w:t>
      </w:r>
      <w:r w:rsidR="00B76798">
        <w:t>sequestration projects by 5 per cent</w:t>
      </w:r>
      <w:r w:rsidR="008144EC">
        <w:t>,</w:t>
      </w:r>
      <w:r w:rsidR="00B76798">
        <w:t xml:space="preserve"> </w:t>
      </w:r>
      <w:r w:rsidR="008144EC">
        <w:t>is also a mechanism</w:t>
      </w:r>
      <w:r w:rsidR="001314A1">
        <w:t xml:space="preserve"> </w:t>
      </w:r>
      <w:r>
        <w:t xml:space="preserve">to </w:t>
      </w:r>
      <w:r w:rsidR="00B76798">
        <w:t xml:space="preserve">guard against wrongdoing </w:t>
      </w:r>
      <w:r w:rsidR="00077FC7">
        <w:t xml:space="preserve">that cannot be remedied </w:t>
      </w:r>
      <w:r w:rsidR="00B76798">
        <w:t>at</w:t>
      </w:r>
      <w:r>
        <w:t xml:space="preserve"> the </w:t>
      </w:r>
      <w:r w:rsidR="00B76798">
        <w:t>scheme-level</w:t>
      </w:r>
      <w:r w:rsidR="009351DD">
        <w:t>,</w:t>
      </w:r>
      <w:r w:rsidR="008144EC">
        <w:t xml:space="preserve"> as well as risks from natural disturbance (Chapter 9)</w:t>
      </w:r>
      <w:r w:rsidR="00B76798">
        <w:t>. However, if these mechanisms fail, i</w:t>
      </w:r>
      <w:r>
        <w:t xml:space="preserve">t could </w:t>
      </w:r>
      <w:r w:rsidR="00B76798">
        <w:t>increase</w:t>
      </w:r>
      <w:r>
        <w:t xml:space="preserve"> uncertainty in the market, especially if the ACCUs have already been traded in the secondary markets. There is also an increased risk</w:t>
      </w:r>
      <w:r w:rsidR="00B76798">
        <w:t>, if the ACCUs have been sold to the Government,</w:t>
      </w:r>
      <w:r>
        <w:t xml:space="preserve"> that taxpayer’s funds will be used to purchase ACCUs </w:t>
      </w:r>
      <w:r w:rsidR="00FB6E52">
        <w:t xml:space="preserve">representing abatement </w:t>
      </w:r>
      <w:r>
        <w:t>that do</w:t>
      </w:r>
      <w:r w:rsidR="00FB6E52">
        <w:t>es</w:t>
      </w:r>
      <w:r>
        <w:t xml:space="preserve"> not occur.</w:t>
      </w:r>
    </w:p>
    <w:p w14:paraId="10C632E7" w14:textId="44E548AA" w:rsidR="007103A8" w:rsidRDefault="007103A8" w:rsidP="007103A8">
      <w:r>
        <w:t>The Carbon Market Institute</w:t>
      </w:r>
      <w:r w:rsidR="00EF0B54">
        <w:t xml:space="preserve"> (CMI)</w:t>
      </w:r>
      <w:r>
        <w:t xml:space="preserve"> </w:t>
      </w:r>
      <w:r w:rsidR="00914259">
        <w:t xml:space="preserve">has expressed </w:t>
      </w:r>
      <w:r>
        <w:t>support</w:t>
      </w:r>
      <w:r w:rsidR="00914259">
        <w:t xml:space="preserve"> for</w:t>
      </w:r>
      <w:r>
        <w:t xml:space="preserve"> exploring </w:t>
      </w:r>
      <w:r w:rsidR="008A2F12">
        <w:t>t</w:t>
      </w:r>
      <w:r w:rsidR="00914259">
        <w:t xml:space="preserve">he use of </w:t>
      </w:r>
      <w:r>
        <w:t>compressed-crediting but said that the integrity of the scheme should not be undermined</w:t>
      </w:r>
      <w:r w:rsidR="001314A1">
        <w:t xml:space="preserve"> (CMI submission)</w:t>
      </w:r>
      <w:r>
        <w:t xml:space="preserve">. It supported exploring whether a specific proportion of credits could be issued upfront and whether project contracting periods could be extended. </w:t>
      </w:r>
    </w:p>
    <w:p w14:paraId="119428E8" w14:textId="7387D65E" w:rsidR="00E9407C" w:rsidRDefault="00E9407C" w:rsidP="007103A8">
      <w:r w:rsidRPr="00E9407C">
        <w:t>The Government acknowledged that for some ERF methods the ‘gap’ between revenue and high upfront costs can act as a disincentive for some projects to go ahead. It therefore agreed-in-principle to this recommendation and committed to consult with stakeholders on the best mechanisms to encourage projects with high upfront costs on a method by method basis</w:t>
      </w:r>
      <w:r>
        <w:t xml:space="preserve">. </w:t>
      </w:r>
    </w:p>
    <w:p w14:paraId="049EAA4C" w14:textId="0C249B83" w:rsidR="00C85396" w:rsidRDefault="001F0890" w:rsidP="007103A8">
      <w:r>
        <w:t>The CMI said that consultation should consider whether other initiatives such as ARENA or CEFC co-investment could meet the same objectives as compressed crediting (CMI submission). T</w:t>
      </w:r>
      <w:r w:rsidR="007103A8">
        <w:t xml:space="preserve">he Authority </w:t>
      </w:r>
      <w:r>
        <w:t>agrees</w:t>
      </w:r>
      <w:r w:rsidR="007103A8">
        <w:t xml:space="preserve"> that there are o</w:t>
      </w:r>
      <w:r w:rsidR="007103A8" w:rsidRPr="00266087">
        <w:t xml:space="preserve">ther options </w:t>
      </w:r>
      <w:r w:rsidR="007103A8">
        <w:t>that could provide the incentive for projects with high upfront costs to be developed that do not bring with them the risks associated with compressed crediting</w:t>
      </w:r>
      <w:r w:rsidR="001314A1">
        <w:t xml:space="preserve"> (Chapter 4)</w:t>
      </w:r>
      <w:r w:rsidR="007103A8">
        <w:t>.</w:t>
      </w:r>
    </w:p>
    <w:p w14:paraId="29BE7F41" w14:textId="795030FE" w:rsidR="00322782" w:rsidRDefault="00322782" w:rsidP="00322782">
      <w:pPr>
        <w:spacing w:line="259" w:lineRule="auto"/>
      </w:pPr>
    </w:p>
    <w:tbl>
      <w:tblPr>
        <w:tblStyle w:val="TableGrid"/>
        <w:tblW w:w="0" w:type="auto"/>
        <w:tblLook w:val="04A0" w:firstRow="1" w:lastRow="0" w:firstColumn="1" w:lastColumn="0" w:noHBand="0" w:noVBand="1"/>
      </w:tblPr>
      <w:tblGrid>
        <w:gridCol w:w="9016"/>
      </w:tblGrid>
      <w:tr w:rsidR="00DA1C64" w14:paraId="5C6BFC8F" w14:textId="77777777" w:rsidTr="00DA1C64">
        <w:tc>
          <w:tcPr>
            <w:tcW w:w="9016" w:type="dxa"/>
          </w:tcPr>
          <w:p w14:paraId="69B60B35" w14:textId="263C18D5" w:rsidR="00DA1C64" w:rsidRPr="00DA1C64" w:rsidRDefault="00DA1C64" w:rsidP="00DA1C64">
            <w:pPr>
              <w:rPr>
                <w:b/>
              </w:rPr>
            </w:pPr>
            <w:r w:rsidRPr="00DA1C64">
              <w:rPr>
                <w:b/>
              </w:rPr>
              <w:t>Recommendation 1</w:t>
            </w:r>
            <w:r w:rsidR="008F7EBF">
              <w:rPr>
                <w:b/>
              </w:rPr>
              <w:t>1</w:t>
            </w:r>
          </w:p>
          <w:p w14:paraId="7DC7589F" w14:textId="77777777" w:rsidR="008F7EBF" w:rsidRDefault="008F7EBF" w:rsidP="008F7EBF">
            <w:pPr>
              <w:rPr>
                <w:b/>
              </w:rPr>
            </w:pPr>
          </w:p>
          <w:p w14:paraId="053BA66B" w14:textId="3536EF66" w:rsidR="00DA1C64" w:rsidRDefault="004808A9" w:rsidP="00B424E0">
            <w:r w:rsidRPr="008F7EBF">
              <w:rPr>
                <w:rFonts w:cs="Arial"/>
                <w:b/>
                <w:szCs w:val="20"/>
              </w:rPr>
              <w:t xml:space="preserve">To support potential ERF projects with high upfront costs while upholding the integrity of the scheme, the Government explore innovative financing approaches on a method by method basis, for example concessional loans (see also Recommendation 4), rather than using compressed crediting. </w:t>
            </w:r>
          </w:p>
        </w:tc>
      </w:tr>
    </w:tbl>
    <w:p w14:paraId="7D366F09" w14:textId="1AEE7E23" w:rsidR="00E9407C" w:rsidRDefault="00E9407C" w:rsidP="00DA1C64">
      <w:pPr>
        <w:rPr>
          <w:b/>
        </w:rPr>
      </w:pPr>
    </w:p>
    <w:p w14:paraId="18EB8E34" w14:textId="74376D1E" w:rsidR="00143DE4" w:rsidRPr="0068006E" w:rsidRDefault="00143DE4" w:rsidP="00FE3F8C">
      <w:pPr>
        <w:pStyle w:val="Heading2"/>
        <w:numPr>
          <w:ilvl w:val="1"/>
          <w:numId w:val="13"/>
        </w:numPr>
        <w:rPr>
          <w:color w:val="0070AE" w:themeColor="accent2" w:themeTint="BF"/>
        </w:rPr>
      </w:pPr>
      <w:bookmarkStart w:id="2260" w:name="_Toc48996312"/>
      <w:bookmarkStart w:id="2261" w:name="_Toc49350835"/>
      <w:bookmarkStart w:id="2262" w:name="_Toc49352815"/>
      <w:bookmarkStart w:id="2263" w:name="_Toc49354191"/>
      <w:bookmarkStart w:id="2264" w:name="_Toc49355517"/>
      <w:bookmarkStart w:id="2265" w:name="_Toc49429275"/>
      <w:bookmarkStart w:id="2266" w:name="_Toc49434032"/>
      <w:bookmarkStart w:id="2267" w:name="_Toc49441025"/>
      <w:bookmarkStart w:id="2268" w:name="_Toc49441215"/>
      <w:bookmarkStart w:id="2269" w:name="_Toc49442218"/>
      <w:bookmarkStart w:id="2270" w:name="_Toc49508949"/>
      <w:bookmarkStart w:id="2271" w:name="_Toc49519759"/>
      <w:bookmarkStart w:id="2272" w:name="_Toc49521477"/>
      <w:bookmarkStart w:id="2273" w:name="_Toc49524549"/>
      <w:bookmarkStart w:id="2274" w:name="_Toc49524687"/>
      <w:bookmarkStart w:id="2275" w:name="_Toc49527156"/>
      <w:bookmarkStart w:id="2276" w:name="_Toc49527994"/>
      <w:bookmarkStart w:id="2277" w:name="_Toc49692147"/>
      <w:bookmarkStart w:id="2278" w:name="_Toc49710520"/>
      <w:bookmarkStart w:id="2279" w:name="_Toc49710692"/>
      <w:bookmarkStart w:id="2280" w:name="_Toc49713245"/>
      <w:bookmarkStart w:id="2281" w:name="_Toc49713447"/>
      <w:bookmarkStart w:id="2282" w:name="_Toc49776385"/>
      <w:bookmarkStart w:id="2283" w:name="_Toc49784944"/>
      <w:bookmarkStart w:id="2284" w:name="_Toc49786270"/>
      <w:bookmarkStart w:id="2285" w:name="_Toc49787319"/>
      <w:bookmarkStart w:id="2286" w:name="_Toc49787374"/>
      <w:bookmarkStart w:id="2287" w:name="_Toc49850688"/>
      <w:bookmarkStart w:id="2288" w:name="_Toc49852930"/>
      <w:bookmarkStart w:id="2289" w:name="_Toc49854347"/>
      <w:bookmarkStart w:id="2290" w:name="_Toc49856943"/>
      <w:bookmarkStart w:id="2291" w:name="_Toc49858259"/>
      <w:bookmarkStart w:id="2292" w:name="_Toc49858314"/>
      <w:bookmarkStart w:id="2293" w:name="_Toc49863016"/>
      <w:bookmarkStart w:id="2294" w:name="_Toc49867739"/>
      <w:bookmarkStart w:id="2295" w:name="_Toc49870575"/>
      <w:bookmarkStart w:id="2296" w:name="_Toc49871318"/>
      <w:bookmarkStart w:id="2297" w:name="_Toc49871998"/>
      <w:bookmarkStart w:id="2298" w:name="_Toc49872551"/>
      <w:bookmarkStart w:id="2299" w:name="_Toc50027763"/>
      <w:bookmarkStart w:id="2300" w:name="_Toc50029457"/>
      <w:bookmarkStart w:id="2301" w:name="_Toc50043888"/>
      <w:bookmarkStart w:id="2302" w:name="_Toc50057740"/>
      <w:bookmarkStart w:id="2303" w:name="_Toc50553617"/>
      <w:bookmarkStart w:id="2304" w:name="_Toc50555380"/>
      <w:bookmarkStart w:id="2305" w:name="_Toc50559840"/>
      <w:bookmarkStart w:id="2306" w:name="_Toc50559893"/>
      <w:bookmarkStart w:id="2307" w:name="_Toc50563827"/>
      <w:bookmarkStart w:id="2308" w:name="_Toc50711380"/>
      <w:bookmarkStart w:id="2309" w:name="_Toc50720962"/>
      <w:bookmarkStart w:id="2310" w:name="_Toc50730686"/>
      <w:bookmarkStart w:id="2311" w:name="_Toc50734912"/>
      <w:bookmarkStart w:id="2312" w:name="_Toc50735515"/>
      <w:bookmarkStart w:id="2313" w:name="_Toc50905534"/>
      <w:bookmarkStart w:id="2314" w:name="_Toc51587018"/>
      <w:bookmarkStart w:id="2315" w:name="_Toc51594878"/>
      <w:bookmarkStart w:id="2316" w:name="_Toc51599481"/>
      <w:bookmarkStart w:id="2317" w:name="_Toc51613517"/>
      <w:bookmarkStart w:id="2318" w:name="_Toc51669628"/>
      <w:bookmarkStart w:id="2319" w:name="_Toc51669723"/>
      <w:bookmarkStart w:id="2320" w:name="_Toc51672872"/>
      <w:bookmarkStart w:id="2321" w:name="_Toc51673922"/>
      <w:bookmarkStart w:id="2322" w:name="_Toc51680739"/>
      <w:bookmarkStart w:id="2323" w:name="_Toc51683268"/>
      <w:bookmarkStart w:id="2324" w:name="_Toc51686004"/>
      <w:bookmarkStart w:id="2325" w:name="_Toc51687742"/>
      <w:bookmarkStart w:id="2326" w:name="_Toc51687886"/>
      <w:bookmarkStart w:id="2327" w:name="_Toc51705764"/>
      <w:bookmarkStart w:id="2328" w:name="_Toc51770710"/>
      <w:bookmarkStart w:id="2329" w:name="_Toc51770896"/>
      <w:bookmarkStart w:id="2330" w:name="_Toc52359239"/>
      <w:bookmarkStart w:id="2331" w:name="_Toc52367272"/>
      <w:bookmarkStart w:id="2332" w:name="_Toc52371612"/>
      <w:bookmarkStart w:id="2333" w:name="_Toc52374760"/>
      <w:bookmarkStart w:id="2334" w:name="_Toc52377298"/>
      <w:bookmarkStart w:id="2335" w:name="_Toc52379220"/>
      <w:bookmarkStart w:id="2336" w:name="_Toc52379575"/>
      <w:bookmarkStart w:id="2337" w:name="_Toc52532785"/>
      <w:bookmarkStart w:id="2338" w:name="_Toc52535680"/>
      <w:bookmarkStart w:id="2339" w:name="_Toc52537498"/>
      <w:bookmarkStart w:id="2340" w:name="_Toc52544061"/>
      <w:bookmarkStart w:id="2341" w:name="_Toc52545665"/>
      <w:bookmarkStart w:id="2342" w:name="_Toc52547897"/>
      <w:bookmarkStart w:id="2343" w:name="_Toc52548586"/>
      <w:bookmarkStart w:id="2344" w:name="_Toc52890878"/>
      <w:bookmarkStart w:id="2345" w:name="_Toc52895081"/>
      <w:bookmarkStart w:id="2346" w:name="_Toc52896605"/>
      <w:bookmarkStart w:id="2347" w:name="_Toc52977782"/>
      <w:bookmarkStart w:id="2348" w:name="_Toc53129468"/>
      <w:r w:rsidRPr="0068006E">
        <w:rPr>
          <w:color w:val="0070AE" w:themeColor="accent2" w:themeTint="BF"/>
        </w:rPr>
        <w:t>Duty of utmost good faith</w:t>
      </w:r>
      <w:r w:rsidR="00F84434" w:rsidRPr="0068006E">
        <w:rPr>
          <w:color w:val="0070AE" w:themeColor="accent2" w:themeTint="BF"/>
        </w:rPr>
        <w:t xml:space="preserve"> and Carbon Industry Code of Conduct</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p>
    <w:p w14:paraId="1FBB1FFC" w14:textId="3E5E6329" w:rsidR="00143DE4" w:rsidRDefault="00143DE4" w:rsidP="00143DE4">
      <w:r w:rsidRPr="00312987">
        <w:t xml:space="preserve">The </w:t>
      </w:r>
      <w:r w:rsidR="00545E7B">
        <w:t>King</w:t>
      </w:r>
      <w:r w:rsidR="009841F1">
        <w:t xml:space="preserve"> Review</w:t>
      </w:r>
      <w:r w:rsidRPr="00312987">
        <w:t xml:space="preserve"> recommended</w:t>
      </w:r>
      <w:r>
        <w:t>, and Government agreed,</w:t>
      </w:r>
      <w:r w:rsidRPr="00312987">
        <w:t xml:space="preserve"> that the need for proscriptive project eligibility rules could be lessened if project proponent</w:t>
      </w:r>
      <w:r w:rsidR="009351DD">
        <w:t>s</w:t>
      </w:r>
      <w:r w:rsidRPr="00312987">
        <w:t xml:space="preserve"> were subject to a ‘duty of utmost good </w:t>
      </w:r>
      <w:r>
        <w:t>faith</w:t>
      </w:r>
      <w:r w:rsidR="0085784E">
        <w:t>’ (duty).</w:t>
      </w:r>
      <w:r>
        <w:t xml:space="preserve"> This duty is similar to s</w:t>
      </w:r>
      <w:r w:rsidR="009351DD">
        <w:t xml:space="preserve"> </w:t>
      </w:r>
      <w:r>
        <w:t xml:space="preserve">13 of the </w:t>
      </w:r>
      <w:r w:rsidRPr="7943B309">
        <w:rPr>
          <w:i/>
        </w:rPr>
        <w:t>Insurance Contracts Act 1984 (Cth)</w:t>
      </w:r>
      <w:r>
        <w:t>, which creates an implied provision in all insurance contracts requiring the parties to the contract to ‘act towards the other party, in respect of any matter arising under or in relation to it, with the utmost good faith.’</w:t>
      </w:r>
      <w:r w:rsidRPr="00D01131">
        <w:t xml:space="preserve"> </w:t>
      </w:r>
      <w:r w:rsidRPr="00A47CBD">
        <w:t xml:space="preserve">The </w:t>
      </w:r>
      <w:r w:rsidR="00545E7B">
        <w:t xml:space="preserve">King </w:t>
      </w:r>
      <w:r w:rsidR="009841F1">
        <w:t>Review</w:t>
      </w:r>
      <w:r w:rsidRPr="00A47CBD">
        <w:t xml:space="preserve"> draws a parallel to requirements in insurance contracts</w:t>
      </w:r>
      <w:r>
        <w:t xml:space="preserve"> because information asymmetries associated with carbon offset schemes are similar to those encountered in insurance contracts – with proponents generally holding superior information t</w:t>
      </w:r>
      <w:r w:rsidR="009351DD">
        <w:t>o</w:t>
      </w:r>
      <w:r>
        <w:t xml:space="preserve"> scheme administrators on relevant facts. </w:t>
      </w:r>
      <w:r w:rsidRPr="00312987">
        <w:t xml:space="preserve">This </w:t>
      </w:r>
      <w:r w:rsidRPr="00A47CBD">
        <w:t>duty would ‘</w:t>
      </w:r>
      <w:r w:rsidRPr="7943B309">
        <w:rPr>
          <w:i/>
        </w:rPr>
        <w:t>require ERF participants to act in the utmost good faith in their engagements with the scheme, including in relation to implementing projects, judging whether projects are additional, and measurement, reporting and verification’</w:t>
      </w:r>
      <w:r>
        <w:t xml:space="preserve"> (</w:t>
      </w:r>
      <w:r w:rsidR="000049E6" w:rsidRPr="00764422">
        <w:t xml:space="preserve">Australian Government </w:t>
      </w:r>
      <w:r w:rsidR="000049E6" w:rsidRPr="009C394A">
        <w:rPr>
          <w:rFonts w:eastAsia="Times New Roman" w:cs="Arial"/>
          <w:szCs w:val="20"/>
          <w:lang w:eastAsia="en-AU"/>
        </w:rPr>
        <w:t>2020</w:t>
      </w:r>
      <w:r w:rsidR="000049E6">
        <w:rPr>
          <w:rFonts w:eastAsia="Times New Roman" w:cs="Arial"/>
          <w:szCs w:val="20"/>
          <w:lang w:eastAsia="en-AU"/>
        </w:rPr>
        <w:t>b</w:t>
      </w:r>
      <w:r>
        <w:t xml:space="preserve">). </w:t>
      </w:r>
      <w:r w:rsidRPr="00A47CBD">
        <w:t xml:space="preserve"> </w:t>
      </w:r>
    </w:p>
    <w:p w14:paraId="68C6B7C6" w14:textId="1DFDB6DB" w:rsidR="00143DE4" w:rsidRDefault="00143DE4" w:rsidP="00143DE4">
      <w:r>
        <w:t>Similar to insurance contracts where a breach of this duty could result in cancellation of the insurance policy and/or non-payment</w:t>
      </w:r>
      <w:r w:rsidR="00FB6E52">
        <w:t xml:space="preserve"> of insurance claims, the </w:t>
      </w:r>
      <w:r w:rsidR="00545E7B">
        <w:t xml:space="preserve">King </w:t>
      </w:r>
      <w:r w:rsidR="009841F1">
        <w:t>Review</w:t>
      </w:r>
      <w:r>
        <w:t xml:space="preserve"> states that the proposed duty could be enforced through penalties for non-compliance including revocation of projects and relinquishment of ACCU</w:t>
      </w:r>
      <w:r w:rsidR="00416E97">
        <w:t>s</w:t>
      </w:r>
      <w:r w:rsidR="00E21023">
        <w:t>. H</w:t>
      </w:r>
      <w:r>
        <w:t xml:space="preserve">owever the </w:t>
      </w:r>
      <w:r w:rsidR="009841F1">
        <w:t>King Review</w:t>
      </w:r>
      <w:r>
        <w:t xml:space="preserve"> envisages that the primary ‘</w:t>
      </w:r>
      <w:r w:rsidRPr="7943B309">
        <w:rPr>
          <w:i/>
        </w:rPr>
        <w:t>aim in creating the duty would be to foster a collective responsibility for the reputation and durability of the scheme and to encourage the internalisation of norms regarding participating in good faith</w:t>
      </w:r>
      <w:r>
        <w:t>’ rather than strict enforcement (</w:t>
      </w:r>
      <w:r w:rsidR="000049E6" w:rsidRPr="00764422">
        <w:t xml:space="preserve">Australian Government </w:t>
      </w:r>
      <w:r w:rsidR="000049E6" w:rsidRPr="009C394A">
        <w:rPr>
          <w:rFonts w:eastAsia="Times New Roman" w:cs="Arial"/>
          <w:szCs w:val="20"/>
          <w:lang w:eastAsia="en-AU"/>
        </w:rPr>
        <w:t>2020</w:t>
      </w:r>
      <w:r w:rsidR="000049E6">
        <w:rPr>
          <w:rFonts w:eastAsia="Times New Roman" w:cs="Arial"/>
          <w:szCs w:val="20"/>
          <w:lang w:eastAsia="en-AU"/>
        </w:rPr>
        <w:t>b</w:t>
      </w:r>
      <w:r>
        <w:t>)</w:t>
      </w:r>
      <w:r w:rsidR="0008635E">
        <w:t>.</w:t>
      </w:r>
    </w:p>
    <w:p w14:paraId="2A850DBC" w14:textId="14F99607" w:rsidR="00143DE4" w:rsidRDefault="00143DE4" w:rsidP="00143DE4">
      <w:r>
        <w:t xml:space="preserve">The </w:t>
      </w:r>
      <w:r w:rsidR="00545E7B">
        <w:t>King</w:t>
      </w:r>
      <w:r w:rsidR="009841F1">
        <w:t xml:space="preserve"> Review</w:t>
      </w:r>
      <w:r>
        <w:t xml:space="preserve"> recommends implementing the overarching statutory duty through the creation of additional mechanisms to reinforce ethical behaviour at key points of engagement with the scheme including:</w:t>
      </w:r>
    </w:p>
    <w:p w14:paraId="4D6CA0DD" w14:textId="77777777" w:rsidR="00143DE4" w:rsidRPr="002773CA" w:rsidRDefault="00143DE4" w:rsidP="00FE3F8C">
      <w:pPr>
        <w:pStyle w:val="ListParagraph"/>
        <w:numPr>
          <w:ilvl w:val="0"/>
          <w:numId w:val="12"/>
        </w:numPr>
        <w:rPr>
          <w:i/>
        </w:rPr>
      </w:pPr>
      <w:r w:rsidRPr="7943B309">
        <w:rPr>
          <w:i/>
        </w:rPr>
        <w:t xml:space="preserve">a requirement for project proponents to pledge to act in good faith when registering projects and submitting offsets reports; </w:t>
      </w:r>
    </w:p>
    <w:p w14:paraId="5B6427A2" w14:textId="77777777" w:rsidR="00143DE4" w:rsidRPr="002773CA" w:rsidRDefault="00143DE4" w:rsidP="00FE3F8C">
      <w:pPr>
        <w:pStyle w:val="ListParagraph"/>
        <w:numPr>
          <w:ilvl w:val="0"/>
          <w:numId w:val="12"/>
        </w:numPr>
        <w:rPr>
          <w:i/>
        </w:rPr>
      </w:pPr>
      <w:r w:rsidRPr="7943B309">
        <w:rPr>
          <w:i/>
        </w:rPr>
        <w:t xml:space="preserve">a requirement for project proponents to describe how they have complied with the duty in their reports; and </w:t>
      </w:r>
    </w:p>
    <w:p w14:paraId="2C515A87" w14:textId="326A6A89" w:rsidR="00143DE4" w:rsidRDefault="00143DE4" w:rsidP="00FE3F8C">
      <w:pPr>
        <w:pStyle w:val="ListParagraph"/>
        <w:numPr>
          <w:ilvl w:val="0"/>
          <w:numId w:val="12"/>
        </w:numPr>
      </w:pPr>
      <w:r w:rsidRPr="7943B309">
        <w:rPr>
          <w:i/>
        </w:rPr>
        <w:t xml:space="preserve">the publication of reminders of the duty and its function in scheme documents and online platforms </w:t>
      </w:r>
      <w:r>
        <w:t>(</w:t>
      </w:r>
      <w:r w:rsidR="000049E6" w:rsidRPr="00764422">
        <w:t xml:space="preserve">Australian Government </w:t>
      </w:r>
      <w:r w:rsidR="000049E6" w:rsidRPr="009C394A">
        <w:rPr>
          <w:rFonts w:eastAsia="Times New Roman" w:cs="Arial"/>
          <w:szCs w:val="20"/>
          <w:lang w:eastAsia="en-AU"/>
        </w:rPr>
        <w:t>2020</w:t>
      </w:r>
      <w:r w:rsidR="000049E6">
        <w:rPr>
          <w:rFonts w:eastAsia="Times New Roman" w:cs="Arial"/>
          <w:szCs w:val="20"/>
          <w:lang w:eastAsia="en-AU"/>
        </w:rPr>
        <w:t>b</w:t>
      </w:r>
      <w:r>
        <w:t xml:space="preserve">). </w:t>
      </w:r>
    </w:p>
    <w:p w14:paraId="5B93D0F4" w14:textId="72192C63" w:rsidR="00804822" w:rsidRDefault="004D6A01" w:rsidP="00BA2FDD">
      <w:r w:rsidRPr="002407B8">
        <w:t xml:space="preserve">There are existing mechanisms in the ERF that already promote the integrity of participants, </w:t>
      </w:r>
      <w:r w:rsidR="00495794">
        <w:t>such as</w:t>
      </w:r>
      <w:r w:rsidRPr="002407B8">
        <w:t xml:space="preserve"> the </w:t>
      </w:r>
      <w:r w:rsidR="00E21023">
        <w:t>‘</w:t>
      </w:r>
      <w:r w:rsidRPr="002407B8">
        <w:t>fit and proper person</w:t>
      </w:r>
      <w:r w:rsidR="00E21023">
        <w:t>’</w:t>
      </w:r>
      <w:r w:rsidR="00D94737" w:rsidDel="00E21023">
        <w:t xml:space="preserve"> </w:t>
      </w:r>
      <w:r w:rsidRPr="002407B8">
        <w:t xml:space="preserve">test. </w:t>
      </w:r>
      <w:r w:rsidR="00BE7327" w:rsidRPr="00BA2FDD">
        <w:t>The test</w:t>
      </w:r>
      <w:r w:rsidR="002407B8" w:rsidRPr="00BA2FDD">
        <w:t xml:space="preserve"> </w:t>
      </w:r>
      <w:r w:rsidR="00E21023">
        <w:t>requires</w:t>
      </w:r>
      <w:r w:rsidR="002407B8" w:rsidRPr="00BA2FDD">
        <w:t xml:space="preserve"> </w:t>
      </w:r>
      <w:r w:rsidR="00E21023">
        <w:t>participants to declare</w:t>
      </w:r>
      <w:r w:rsidR="002407B8" w:rsidRPr="00BA2FDD">
        <w:t xml:space="preserve"> any convictions or insolvenc</w:t>
      </w:r>
      <w:r w:rsidR="00E21023">
        <w:t>ies</w:t>
      </w:r>
      <w:r w:rsidR="002407B8" w:rsidRPr="00BA2FDD">
        <w:t xml:space="preserve"> and considers whether the person has the necessary capabilities and business practices to run a project (CFI Act, CFI Rule</w:t>
      </w:r>
      <w:r w:rsidR="00E52C10">
        <w:t xml:space="preserve"> 2015</w:t>
      </w:r>
      <w:r w:rsidR="009351DD">
        <w:t>,</w:t>
      </w:r>
      <w:r w:rsidR="002407B8" w:rsidRPr="00BA2FDD">
        <w:t xml:space="preserve"> </w:t>
      </w:r>
      <w:r w:rsidR="002407B8" w:rsidRPr="005E033D">
        <w:t>CER 2017</w:t>
      </w:r>
      <w:r w:rsidR="00495794" w:rsidRPr="005E033D">
        <w:t>b</w:t>
      </w:r>
      <w:r w:rsidR="002407B8" w:rsidRPr="00BA2FDD">
        <w:t>)</w:t>
      </w:r>
      <w:r w:rsidR="00BE7327" w:rsidRPr="00BA2FDD">
        <w:t xml:space="preserve">. </w:t>
      </w:r>
      <w:r w:rsidR="00D94737">
        <w:t xml:space="preserve">The Authority noted in the 2017 </w:t>
      </w:r>
      <w:r w:rsidR="00EF61A5">
        <w:t>r</w:t>
      </w:r>
      <w:r w:rsidR="00D94737">
        <w:t xml:space="preserve">eview that </w:t>
      </w:r>
      <w:r w:rsidR="00E21023">
        <w:t>the fit and proper person test</w:t>
      </w:r>
      <w:r w:rsidR="00D94737">
        <w:t xml:space="preserve"> </w:t>
      </w:r>
      <w:r w:rsidR="00EF0B54">
        <w:t>applies to scheme participants</w:t>
      </w:r>
      <w:r w:rsidR="00E21023">
        <w:t>,</w:t>
      </w:r>
      <w:r w:rsidR="00EF0B54">
        <w:t xml:space="preserve"> however </w:t>
      </w:r>
      <w:r w:rsidR="00E21023">
        <w:t xml:space="preserve">intermediaries such as </w:t>
      </w:r>
      <w:r w:rsidR="00285BDB">
        <w:t xml:space="preserve">carbon service providers </w:t>
      </w:r>
      <w:r w:rsidR="00D94737">
        <w:t>do not need to pass the test (</w:t>
      </w:r>
      <w:r w:rsidR="00D94737" w:rsidRPr="005E1241">
        <w:t>CCA 2017</w:t>
      </w:r>
      <w:r w:rsidR="00655044" w:rsidRPr="005E1241">
        <w:t>a</w:t>
      </w:r>
      <w:r w:rsidR="00D94737">
        <w:t xml:space="preserve">). </w:t>
      </w:r>
      <w:r w:rsidR="00804822">
        <w:t xml:space="preserve">The Authority recommended the test be extended to designated agents. </w:t>
      </w:r>
    </w:p>
    <w:p w14:paraId="2187A0F0" w14:textId="7750D049" w:rsidR="003A4EBF" w:rsidRDefault="00804822" w:rsidP="00120908">
      <w:r>
        <w:t xml:space="preserve">Introducing a ‘duty of utmost good faith’ </w:t>
      </w:r>
      <w:r w:rsidR="00E02E9A">
        <w:t xml:space="preserve">into eligibility rules </w:t>
      </w:r>
      <w:r w:rsidR="00F704E4">
        <w:t>imposes</w:t>
      </w:r>
      <w:r>
        <w:t xml:space="preserve"> a positive obligation on the person</w:t>
      </w:r>
      <w:r w:rsidR="00E02E9A">
        <w:t>. However</w:t>
      </w:r>
      <w:r w:rsidR="003A4EBF">
        <w:t>,</w:t>
      </w:r>
      <w:r w:rsidR="00E02E9A">
        <w:t xml:space="preserve"> the extent to which it captures actions by carbon service providers who are not participants would also need to be considered</w:t>
      </w:r>
      <w:r>
        <w:t xml:space="preserve">. </w:t>
      </w:r>
      <w:r w:rsidR="003A4EBF">
        <w:t>Another limitation of the duty is that it would only</w:t>
      </w:r>
      <w:r w:rsidR="00154A33">
        <w:t xml:space="preserve"> apply to new actions and would therefore fail to address </w:t>
      </w:r>
      <w:r w:rsidR="00120908">
        <w:t xml:space="preserve">existing, ongoing compliance issues. </w:t>
      </w:r>
      <w:r w:rsidR="00154A33">
        <w:t xml:space="preserve"> </w:t>
      </w:r>
    </w:p>
    <w:p w14:paraId="528C645E" w14:textId="22A2E3E7" w:rsidR="00D94737" w:rsidRDefault="00120908" w:rsidP="00120908">
      <w:r>
        <w:t xml:space="preserve">NRM Regions Australia noted in their submission to this review that </w:t>
      </w:r>
      <w:r w:rsidR="000F32CD">
        <w:rPr>
          <w:i/>
        </w:rPr>
        <w:t>‘</w:t>
      </w:r>
      <w:r w:rsidRPr="7943B309">
        <w:rPr>
          <w:i/>
        </w:rPr>
        <w:t>at this point there is nowhere project participants can go for independent guidance, help or mediation. There is a clear need for a resourced independent contact point who will provide advice and follow-up these cases</w:t>
      </w:r>
      <w:r w:rsidR="000F32CD">
        <w:t>.’</w:t>
      </w:r>
      <w:r>
        <w:t xml:space="preserve"> They suggest the ‘ombudsman’ role could </w:t>
      </w:r>
      <w:r w:rsidR="000F32CD">
        <w:rPr>
          <w:i/>
        </w:rPr>
        <w:t>‘</w:t>
      </w:r>
      <w:r w:rsidRPr="7943B309">
        <w:rPr>
          <w:i/>
        </w:rPr>
        <w:t>work with initiatives such as the market industry code of practice… to ensure market integrity and social support… is maintained</w:t>
      </w:r>
      <w:r w:rsidR="000F32CD">
        <w:t xml:space="preserve">’ </w:t>
      </w:r>
      <w:r>
        <w:t xml:space="preserve">(p.3).  </w:t>
      </w:r>
    </w:p>
    <w:p w14:paraId="4C6E1DDF" w14:textId="2D57426D" w:rsidR="00175799" w:rsidRDefault="00143DE4" w:rsidP="00143DE4">
      <w:r w:rsidRPr="00C54C00">
        <w:t>The CMI</w:t>
      </w:r>
      <w:r w:rsidR="008070E4">
        <w:t xml:space="preserve">, in </w:t>
      </w:r>
      <w:r w:rsidR="003F07B8">
        <w:t>its</w:t>
      </w:r>
      <w:r w:rsidR="008070E4">
        <w:t xml:space="preserve"> response to the </w:t>
      </w:r>
      <w:r w:rsidR="00545E7B">
        <w:t>King</w:t>
      </w:r>
      <w:r w:rsidR="009841F1">
        <w:t xml:space="preserve"> Review</w:t>
      </w:r>
      <w:r w:rsidR="008070E4">
        <w:t>, identified an opportunity to integrate</w:t>
      </w:r>
      <w:r w:rsidRPr="00C54C00">
        <w:t xml:space="preserve"> ‘utmost good faith’ with the industry-led</w:t>
      </w:r>
      <w:r w:rsidR="00905006">
        <w:t xml:space="preserve"> Carbon Industry</w:t>
      </w:r>
      <w:r w:rsidRPr="00C54C00">
        <w:t xml:space="preserve"> Code of Conduc</w:t>
      </w:r>
      <w:r w:rsidR="008070E4">
        <w:t>t</w:t>
      </w:r>
      <w:r w:rsidR="00905006">
        <w:t xml:space="preserve"> (Code)</w:t>
      </w:r>
      <w:r w:rsidRPr="00C54C00">
        <w:t xml:space="preserve"> </w:t>
      </w:r>
      <w:r w:rsidR="008070E4">
        <w:t>by adding participation in the Code as a criteria for fulfilling the duty</w:t>
      </w:r>
      <w:r w:rsidRPr="00C54C00">
        <w:t xml:space="preserve"> (CMI submission, </w:t>
      </w:r>
      <w:r w:rsidRPr="005C77DF">
        <w:t>CMI 2018</w:t>
      </w:r>
      <w:r w:rsidRPr="00C54C00">
        <w:t xml:space="preserve">). </w:t>
      </w:r>
      <w:r w:rsidR="000A56CB">
        <w:t>A similar requirement has been introduced to the Queensland Land Restoration Fund (QLRF). The QLRF has made signatory status a condition of entry to the scheme (</w:t>
      </w:r>
      <w:r w:rsidR="000A56CB" w:rsidRPr="00164C36">
        <w:t>CMI 2020</w:t>
      </w:r>
      <w:r w:rsidR="006227A6">
        <w:t>a</w:t>
      </w:r>
      <w:r w:rsidR="00B977F7">
        <w:t>;</w:t>
      </w:r>
      <w:r w:rsidR="000A56CB">
        <w:t xml:space="preserve"> </w:t>
      </w:r>
      <w:r w:rsidR="000A56CB" w:rsidRPr="00FC386C">
        <w:t>Queensland Government</w:t>
      </w:r>
      <w:r w:rsidR="00156564" w:rsidRPr="00FC386C">
        <w:t xml:space="preserve"> 2020</w:t>
      </w:r>
      <w:r w:rsidR="003379B4" w:rsidRPr="004C2F2B">
        <w:t>b</w:t>
      </w:r>
      <w:r w:rsidR="00156564">
        <w:t>)</w:t>
      </w:r>
      <w:r w:rsidR="000A56CB">
        <w:t>.</w:t>
      </w:r>
      <w:r w:rsidR="00260615">
        <w:t xml:space="preserve"> </w:t>
      </w:r>
      <w:r w:rsidR="00051D18">
        <w:t xml:space="preserve">The </w:t>
      </w:r>
      <w:r w:rsidR="00905006">
        <w:t>C</w:t>
      </w:r>
      <w:r w:rsidR="00051D18">
        <w:t>ode aims to define industry best practice, promote consumer protection, provide guidance to scheme participants and promote market integrity</w:t>
      </w:r>
      <w:r w:rsidR="00630F0A">
        <w:t xml:space="preserve"> (</w:t>
      </w:r>
      <w:r w:rsidR="00630F0A" w:rsidRPr="005C77DF">
        <w:t>CMI 2018</w:t>
      </w:r>
      <w:r w:rsidR="00630F0A">
        <w:t>)</w:t>
      </w:r>
      <w:r w:rsidR="00051D18">
        <w:t>.</w:t>
      </w:r>
      <w:r w:rsidR="00BC3E70">
        <w:t xml:space="preserve"> </w:t>
      </w:r>
      <w:r w:rsidR="000D3C55">
        <w:t>An independent review of the Code was completed in August 2020</w:t>
      </w:r>
      <w:r w:rsidR="00B23E83">
        <w:t xml:space="preserve">. Implementing and exploring the 46 recommendations is currently underway </w:t>
      </w:r>
      <w:r w:rsidR="00175799">
        <w:t>(</w:t>
      </w:r>
      <w:r w:rsidR="006227A6" w:rsidRPr="00164C36">
        <w:t>CMI 2020</w:t>
      </w:r>
      <w:r w:rsidR="006227A6">
        <w:t>a</w:t>
      </w:r>
      <w:r w:rsidR="00E52C10">
        <w:t>,b</w:t>
      </w:r>
      <w:hyperlink w:history="1"/>
      <w:r w:rsidR="000D3C55" w:rsidRPr="00164C36">
        <w:t>)</w:t>
      </w:r>
      <w:r w:rsidR="00175799">
        <w:t xml:space="preserve">. </w:t>
      </w:r>
    </w:p>
    <w:p w14:paraId="43394C95" w14:textId="6A3105C9" w:rsidR="00FA1569" w:rsidRDefault="00FA1569" w:rsidP="00FA1569">
      <w:r>
        <w:t>The CMI ha</w:t>
      </w:r>
      <w:r w:rsidR="00FF416F">
        <w:t>s</w:t>
      </w:r>
      <w:r>
        <w:t xml:space="preserve"> indicated the Code</w:t>
      </w:r>
      <w:r w:rsidR="00E60FF5">
        <w:t xml:space="preserve"> will</w:t>
      </w:r>
      <w:r>
        <w:t xml:space="preserve"> </w:t>
      </w:r>
      <w:r w:rsidR="000F32CD">
        <w:rPr>
          <w:i/>
        </w:rPr>
        <w:t>‘</w:t>
      </w:r>
      <w:r w:rsidRPr="7943B309">
        <w:rPr>
          <w:i/>
        </w:rPr>
        <w:t>scale up to play a more active role in supporting carbon market integrity, transparency and accountability as the carbon industry expands in the coming years</w:t>
      </w:r>
      <w:r w:rsidR="000F32CD">
        <w:rPr>
          <w:i/>
        </w:rPr>
        <w:t>’</w:t>
      </w:r>
      <w:r w:rsidRPr="7943B309">
        <w:rPr>
          <w:i/>
        </w:rPr>
        <w:t xml:space="preserve"> </w:t>
      </w:r>
      <w:r w:rsidR="00E60FF5">
        <w:t>and recognise that</w:t>
      </w:r>
      <w:r w:rsidRPr="7943B309">
        <w:rPr>
          <w:i/>
        </w:rPr>
        <w:t xml:space="preserve"> </w:t>
      </w:r>
      <w:r w:rsidR="000F32CD">
        <w:rPr>
          <w:i/>
        </w:rPr>
        <w:t>‘</w:t>
      </w:r>
      <w:r w:rsidRPr="7943B309">
        <w:rPr>
          <w:i/>
        </w:rPr>
        <w:t>Indigenous communities, eligible interest holders and other landholders are engaged early and appropriately to provide appropriate consents</w:t>
      </w:r>
      <w:r w:rsidR="000F32CD">
        <w:rPr>
          <w:i/>
        </w:rPr>
        <w:t>’</w:t>
      </w:r>
      <w:r w:rsidRPr="7943B309">
        <w:rPr>
          <w:i/>
        </w:rPr>
        <w:t xml:space="preserve"> </w:t>
      </w:r>
      <w:r>
        <w:t>(</w:t>
      </w:r>
      <w:r w:rsidRPr="007F0721">
        <w:t>CMI 2020</w:t>
      </w:r>
      <w:r w:rsidR="0007100F">
        <w:t>c</w:t>
      </w:r>
      <w:hyperlink r:id="rId27" w:history="1"/>
      <w:r>
        <w:t>)</w:t>
      </w:r>
      <w:r w:rsidR="00FF416F">
        <w:t>.</w:t>
      </w:r>
      <w:r>
        <w:t xml:space="preserve"> </w:t>
      </w:r>
    </w:p>
    <w:p w14:paraId="37559656" w14:textId="7A7CF36A" w:rsidR="00905006" w:rsidRDefault="008070E4" w:rsidP="00923C38">
      <w:r>
        <w:t>The Authority notes that</w:t>
      </w:r>
      <w:r w:rsidR="00285BDB">
        <w:t xml:space="preserve"> the Code could be used to extend to </w:t>
      </w:r>
      <w:r w:rsidR="00EF0B54">
        <w:t>carbo</w:t>
      </w:r>
      <w:r w:rsidR="00FF416F">
        <w:t>n</w:t>
      </w:r>
      <w:r w:rsidR="00EF0B54">
        <w:t xml:space="preserve"> service providers and other designated agents </w:t>
      </w:r>
      <w:r w:rsidR="00285BDB">
        <w:t xml:space="preserve">that </w:t>
      </w:r>
      <w:r w:rsidR="00F101C3">
        <w:t xml:space="preserve">are </w:t>
      </w:r>
      <w:r w:rsidR="00285BDB">
        <w:t xml:space="preserve">currently </w:t>
      </w:r>
      <w:r w:rsidR="00F101C3">
        <w:t xml:space="preserve">not captured by existing mechanisms that promote the integrity of participants such as the </w:t>
      </w:r>
      <w:r w:rsidR="002B10F0">
        <w:t xml:space="preserve">fit and proper person </w:t>
      </w:r>
      <w:r w:rsidR="00F101C3">
        <w:t xml:space="preserve">test. However, as noted in the Authority’s’ 2017 review, as the </w:t>
      </w:r>
      <w:r w:rsidR="00FF416F">
        <w:t>C</w:t>
      </w:r>
      <w:r w:rsidR="00F101C3">
        <w:t xml:space="preserve">ode is voluntary </w:t>
      </w:r>
      <w:r w:rsidR="000F32CD">
        <w:rPr>
          <w:i/>
        </w:rPr>
        <w:t>‘</w:t>
      </w:r>
      <w:r w:rsidR="00F101C3" w:rsidRPr="00BA2FDD">
        <w:rPr>
          <w:i/>
        </w:rPr>
        <w:t>any rogue operators may just decide not to participate</w:t>
      </w:r>
      <w:r w:rsidR="000F32CD">
        <w:rPr>
          <w:i/>
        </w:rPr>
        <w:t>’</w:t>
      </w:r>
      <w:r w:rsidR="00F101C3">
        <w:t xml:space="preserve"> (</w:t>
      </w:r>
      <w:r w:rsidR="00F101C3" w:rsidRPr="005E1241">
        <w:t>CCA 2017</w:t>
      </w:r>
      <w:r w:rsidR="00E414E8" w:rsidRPr="005E1241">
        <w:t>a</w:t>
      </w:r>
      <w:r w:rsidR="00F101C3">
        <w:t>).</w:t>
      </w:r>
      <w:r>
        <w:t xml:space="preserve"> </w:t>
      </w:r>
      <w:r w:rsidR="00F101C3">
        <w:t xml:space="preserve">This could be resolved by adding the Code as a criteria for fulfilling the duty, as suggested by CMI in their </w:t>
      </w:r>
      <w:r w:rsidR="004F343A">
        <w:t xml:space="preserve">submission in </w:t>
      </w:r>
      <w:r w:rsidR="00F101C3">
        <w:t xml:space="preserve">response to the </w:t>
      </w:r>
      <w:r w:rsidR="00545E7B">
        <w:t xml:space="preserve">King </w:t>
      </w:r>
      <w:r w:rsidR="009841F1">
        <w:t>Review</w:t>
      </w:r>
      <w:r w:rsidR="00F101C3">
        <w:t xml:space="preserve"> (CMI </w:t>
      </w:r>
      <w:r w:rsidR="004F343A">
        <w:t>submission</w:t>
      </w:r>
      <w:r w:rsidR="00F101C3">
        <w:t xml:space="preserve">), however requiring scheme participants to become a signatory may increase the cost and </w:t>
      </w:r>
      <w:r w:rsidR="00391558">
        <w:t>a</w:t>
      </w:r>
      <w:r w:rsidR="00F101C3">
        <w:t xml:space="preserve">dministrative burden of running an ERF project, especially for smaller projects. </w:t>
      </w:r>
      <w:r w:rsidR="00382529">
        <w:t xml:space="preserve">Currently, to become a signatory to the </w:t>
      </w:r>
      <w:r w:rsidR="00FF416F">
        <w:t>C</w:t>
      </w:r>
      <w:r w:rsidR="00382529">
        <w:t xml:space="preserve">ode costs between $2,500 and $12,500 per </w:t>
      </w:r>
      <w:r w:rsidR="00632504">
        <w:t>annum</w:t>
      </w:r>
      <w:r w:rsidR="00382529">
        <w:t xml:space="preserve"> (</w:t>
      </w:r>
      <w:r w:rsidR="00382529" w:rsidRPr="00C5077D">
        <w:t>CMI 2018</w:t>
      </w:r>
      <w:r w:rsidR="00382529">
        <w:t>).</w:t>
      </w:r>
      <w:r w:rsidR="00E60FF5" w:rsidRPr="00E60FF5">
        <w:t xml:space="preserve"> </w:t>
      </w:r>
      <w:r w:rsidR="00E60FF5">
        <w:t>The CMI has committed to review the fees annually to ensure lowest possible cost to signatories</w:t>
      </w:r>
      <w:r w:rsidR="00B23E83">
        <w:t xml:space="preserve"> </w:t>
      </w:r>
    </w:p>
    <w:p w14:paraId="72B38B56" w14:textId="21AE3DC5" w:rsidR="00923C38" w:rsidRDefault="00FA1569" w:rsidP="00923C38">
      <w:r>
        <w:t>O</w:t>
      </w:r>
      <w:r w:rsidR="00BC3E70">
        <w:t xml:space="preserve">nce </w:t>
      </w:r>
      <w:r w:rsidR="00B23E83">
        <w:t xml:space="preserve">the Code has </w:t>
      </w:r>
      <w:r w:rsidR="00BC3E70">
        <w:t xml:space="preserve">matured, </w:t>
      </w:r>
      <w:r>
        <w:t xml:space="preserve">the Code Administrator </w:t>
      </w:r>
      <w:r w:rsidR="00BC3E70">
        <w:t xml:space="preserve">could play a co-regulatory role with the </w:t>
      </w:r>
      <w:r w:rsidR="00EF0B54">
        <w:t xml:space="preserve">Regulator </w:t>
      </w:r>
      <w:r w:rsidR="00BC3E70">
        <w:t xml:space="preserve">that incorporates the </w:t>
      </w:r>
      <w:r w:rsidR="0085784E">
        <w:t>duty</w:t>
      </w:r>
      <w:r w:rsidR="00BC3E70">
        <w:t xml:space="preserve"> while facilitating appropriate and open interaction with project owners and landowners. </w:t>
      </w:r>
      <w:r w:rsidR="00495794">
        <w:t xml:space="preserve">The Authority cautions </w:t>
      </w:r>
      <w:r w:rsidR="00923C38">
        <w:t xml:space="preserve">the extent to </w:t>
      </w:r>
      <w:r w:rsidR="00923C38" w:rsidRPr="00C54C00">
        <w:t>which eligibility rules could be relaxed</w:t>
      </w:r>
      <w:r w:rsidR="00923C38">
        <w:t xml:space="preserve"> in methods will</w:t>
      </w:r>
      <w:r w:rsidR="00EF0B54">
        <w:t xml:space="preserve"> depend on the ability for the R</w:t>
      </w:r>
      <w:r w:rsidR="00923C38">
        <w:t>egulator to enforce the duty and apply penalties in the event of breach, and</w:t>
      </w:r>
      <w:r w:rsidR="00923C38" w:rsidDel="0040215C">
        <w:t xml:space="preserve"> </w:t>
      </w:r>
      <w:r w:rsidR="00923C38">
        <w:t xml:space="preserve">will </w:t>
      </w:r>
      <w:r w:rsidR="00923C38" w:rsidRPr="00C54C00">
        <w:t xml:space="preserve">require participants to be clear about what </w:t>
      </w:r>
      <w:r w:rsidR="00923C38">
        <w:t xml:space="preserve">the duty means and how it will be implemented and interpreted. </w:t>
      </w:r>
    </w:p>
    <w:p w14:paraId="099C106D" w14:textId="77777777" w:rsidR="008A748F" w:rsidRDefault="008A748F" w:rsidP="00923C38"/>
    <w:p w14:paraId="42F2866F" w14:textId="4D4399F4" w:rsidR="008A748F" w:rsidRDefault="008A748F" w:rsidP="008A748F">
      <w:pPr>
        <w:spacing w:line="259" w:lineRule="auto"/>
      </w:pPr>
      <w:r>
        <w:br w:type="page"/>
      </w:r>
    </w:p>
    <w:p w14:paraId="095E0D56" w14:textId="7443ABD1" w:rsidR="00887AA1" w:rsidRPr="00E4429D" w:rsidRDefault="00B51ECE" w:rsidP="00E4429D">
      <w:pPr>
        <w:pStyle w:val="Heading1"/>
        <w:ind w:left="0" w:firstLine="0"/>
        <w:rPr>
          <w:color w:val="0070AE" w:themeColor="accent2" w:themeTint="BF"/>
        </w:rPr>
      </w:pPr>
      <w:bookmarkStart w:id="2349" w:name="_Toc48996314"/>
      <w:bookmarkStart w:id="2350" w:name="_Toc49350836"/>
      <w:bookmarkStart w:id="2351" w:name="_Toc49352816"/>
      <w:bookmarkStart w:id="2352" w:name="_Toc49354192"/>
      <w:bookmarkStart w:id="2353" w:name="_Toc49355518"/>
      <w:bookmarkStart w:id="2354" w:name="_Toc49429276"/>
      <w:bookmarkStart w:id="2355" w:name="_Toc49434033"/>
      <w:bookmarkStart w:id="2356" w:name="_Toc49441026"/>
      <w:bookmarkStart w:id="2357" w:name="_Toc49441216"/>
      <w:bookmarkStart w:id="2358" w:name="_Toc49442219"/>
      <w:bookmarkStart w:id="2359" w:name="_Toc49508950"/>
      <w:bookmarkStart w:id="2360" w:name="_Toc49519760"/>
      <w:bookmarkStart w:id="2361" w:name="_Toc49521478"/>
      <w:bookmarkStart w:id="2362" w:name="_Toc49524550"/>
      <w:bookmarkStart w:id="2363" w:name="_Toc49524688"/>
      <w:bookmarkStart w:id="2364" w:name="_Toc49527157"/>
      <w:bookmarkStart w:id="2365" w:name="_Toc49527995"/>
      <w:bookmarkStart w:id="2366" w:name="_Toc49692148"/>
      <w:bookmarkStart w:id="2367" w:name="_Toc49710521"/>
      <w:bookmarkStart w:id="2368" w:name="_Toc49710693"/>
      <w:bookmarkStart w:id="2369" w:name="_Toc49713246"/>
      <w:bookmarkStart w:id="2370" w:name="_Toc49776386"/>
      <w:bookmarkStart w:id="2371" w:name="_Toc49784945"/>
      <w:bookmarkStart w:id="2372" w:name="_Toc49786271"/>
      <w:bookmarkStart w:id="2373" w:name="_Toc49787320"/>
      <w:bookmarkStart w:id="2374" w:name="_Toc49787375"/>
      <w:bookmarkStart w:id="2375" w:name="_Toc49850689"/>
      <w:bookmarkStart w:id="2376" w:name="_Toc49852931"/>
      <w:bookmarkStart w:id="2377" w:name="_Toc49854348"/>
      <w:bookmarkStart w:id="2378" w:name="_Toc49856944"/>
      <w:bookmarkStart w:id="2379" w:name="_Toc49858260"/>
      <w:bookmarkStart w:id="2380" w:name="_Toc49858315"/>
      <w:bookmarkStart w:id="2381" w:name="_Toc49863017"/>
      <w:bookmarkStart w:id="2382" w:name="_Toc49867740"/>
      <w:bookmarkStart w:id="2383" w:name="_Toc49870576"/>
      <w:bookmarkStart w:id="2384" w:name="_Toc49871319"/>
      <w:bookmarkStart w:id="2385" w:name="_Toc49871999"/>
      <w:bookmarkStart w:id="2386" w:name="_Toc49872552"/>
      <w:bookmarkStart w:id="2387" w:name="_Toc50027764"/>
      <w:bookmarkStart w:id="2388" w:name="_Toc50029458"/>
      <w:bookmarkStart w:id="2389" w:name="_Toc50043889"/>
      <w:bookmarkStart w:id="2390" w:name="_Toc50057741"/>
      <w:bookmarkStart w:id="2391" w:name="_Ref50386561"/>
      <w:bookmarkStart w:id="2392" w:name="_Toc50553618"/>
      <w:bookmarkStart w:id="2393" w:name="_Toc50555381"/>
      <w:bookmarkStart w:id="2394" w:name="_Toc50559841"/>
      <w:bookmarkStart w:id="2395" w:name="_Toc50559894"/>
      <w:bookmarkStart w:id="2396" w:name="_Toc50563828"/>
      <w:bookmarkStart w:id="2397" w:name="_Toc50711381"/>
      <w:bookmarkStart w:id="2398" w:name="_Toc50720963"/>
      <w:bookmarkStart w:id="2399" w:name="_Toc50730687"/>
      <w:bookmarkStart w:id="2400" w:name="_Toc50734913"/>
      <w:bookmarkStart w:id="2401" w:name="_Toc50735516"/>
      <w:bookmarkStart w:id="2402" w:name="_Toc50905535"/>
      <w:bookmarkStart w:id="2403" w:name="_Toc51587019"/>
      <w:bookmarkStart w:id="2404" w:name="_Toc51594879"/>
      <w:bookmarkStart w:id="2405" w:name="_Toc51599482"/>
      <w:bookmarkStart w:id="2406" w:name="_Toc51613518"/>
      <w:bookmarkStart w:id="2407" w:name="_Toc51669629"/>
      <w:bookmarkStart w:id="2408" w:name="_Toc51669724"/>
      <w:bookmarkStart w:id="2409" w:name="_Toc51672873"/>
      <w:bookmarkStart w:id="2410" w:name="_Toc51673923"/>
      <w:bookmarkStart w:id="2411" w:name="_Toc51680740"/>
      <w:bookmarkStart w:id="2412" w:name="_Toc51683269"/>
      <w:bookmarkStart w:id="2413" w:name="_Toc51686005"/>
      <w:bookmarkStart w:id="2414" w:name="_Toc51687743"/>
      <w:bookmarkStart w:id="2415" w:name="_Toc51687887"/>
      <w:bookmarkStart w:id="2416" w:name="_Toc51705765"/>
      <w:bookmarkStart w:id="2417" w:name="_Toc51770711"/>
      <w:bookmarkStart w:id="2418" w:name="_Toc51770897"/>
      <w:bookmarkStart w:id="2419" w:name="_Toc52359240"/>
      <w:bookmarkStart w:id="2420" w:name="_Toc52367273"/>
      <w:bookmarkStart w:id="2421" w:name="_Toc52371613"/>
      <w:bookmarkStart w:id="2422" w:name="_Toc52374761"/>
      <w:bookmarkStart w:id="2423" w:name="_Toc52377299"/>
      <w:bookmarkStart w:id="2424" w:name="_Toc52379221"/>
      <w:bookmarkStart w:id="2425" w:name="_Toc52379576"/>
      <w:bookmarkStart w:id="2426" w:name="_Toc52532786"/>
      <w:bookmarkStart w:id="2427" w:name="_Toc52535681"/>
      <w:bookmarkStart w:id="2428" w:name="_Toc52537499"/>
      <w:bookmarkStart w:id="2429" w:name="_Toc52544062"/>
      <w:bookmarkStart w:id="2430" w:name="_Toc52545666"/>
      <w:bookmarkStart w:id="2431" w:name="_Toc52547898"/>
      <w:bookmarkStart w:id="2432" w:name="_Toc52548587"/>
      <w:bookmarkStart w:id="2433" w:name="_Toc52890879"/>
      <w:bookmarkStart w:id="2434" w:name="_Toc52895082"/>
      <w:bookmarkStart w:id="2435" w:name="_Toc52896606"/>
      <w:bookmarkStart w:id="2436" w:name="_Toc52977783"/>
      <w:bookmarkStart w:id="2437" w:name="_Toc49713448"/>
      <w:bookmarkStart w:id="2438" w:name="_Toc53129469"/>
      <w:bookmarkEnd w:id="1930"/>
      <w:bookmarkEnd w:id="1931"/>
      <w:bookmarkEnd w:id="1932"/>
      <w:bookmarkEnd w:id="1933"/>
      <w:bookmarkEnd w:id="1934"/>
      <w:bookmarkEnd w:id="1935"/>
      <w:bookmarkEnd w:id="1936"/>
      <w:bookmarkEnd w:id="1937"/>
      <w:bookmarkEnd w:id="1938"/>
      <w:bookmarkEnd w:id="1939"/>
      <w:bookmarkEnd w:id="1940"/>
      <w:bookmarkEnd w:id="1941"/>
      <w:bookmarkEnd w:id="1942"/>
      <w:r w:rsidRPr="0068006E">
        <w:rPr>
          <w:color w:val="0070AE" w:themeColor="accent2" w:themeTint="BF"/>
        </w:rPr>
        <w:t>Chapter 6</w:t>
      </w:r>
      <w:r w:rsidR="000C0B1D" w:rsidRPr="0068006E">
        <w:rPr>
          <w:color w:val="0070AE" w:themeColor="accent2" w:themeTint="BF"/>
        </w:rPr>
        <w:t xml:space="preserve">: </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r w:rsidR="00F47ECD" w:rsidRPr="0068006E">
        <w:rPr>
          <w:color w:val="0070AE" w:themeColor="accent2" w:themeTint="BF"/>
        </w:rPr>
        <w:t>O</w:t>
      </w:r>
      <w:bookmarkEnd w:id="2370"/>
      <w:bookmarkEnd w:id="2371"/>
      <w:bookmarkEnd w:id="2372"/>
      <w:bookmarkEnd w:id="2373"/>
      <w:bookmarkEnd w:id="2374"/>
      <w:bookmarkEnd w:id="2375"/>
      <w:bookmarkEnd w:id="2376"/>
      <w:bookmarkEnd w:id="2377"/>
      <w:bookmarkEnd w:id="2378"/>
      <w:bookmarkEnd w:id="2379"/>
      <w:bookmarkEnd w:id="2380"/>
      <w:r w:rsidR="00FA36E8" w:rsidRPr="0068006E">
        <w:rPr>
          <w:color w:val="0070AE" w:themeColor="accent2" w:themeTint="BF"/>
        </w:rPr>
        <w:t xml:space="preserve">ptimising governance for a mature </w:t>
      </w:r>
      <w:r w:rsidR="00511D09">
        <w:rPr>
          <w:color w:val="0070AE" w:themeColor="accent2" w:themeTint="BF"/>
        </w:rPr>
        <w:t>E</w:t>
      </w:r>
      <w:r w:rsidR="00FA36E8" w:rsidRPr="0068006E">
        <w:rPr>
          <w:color w:val="0070AE" w:themeColor="accent2" w:themeTint="BF"/>
        </w:rPr>
        <w:t xml:space="preserve">missions </w:t>
      </w:r>
      <w:r w:rsidR="00511D09">
        <w:rPr>
          <w:color w:val="0070AE" w:themeColor="accent2" w:themeTint="BF"/>
        </w:rPr>
        <w:t>R</w:t>
      </w:r>
      <w:r w:rsidR="00FA36E8" w:rsidRPr="0068006E">
        <w:rPr>
          <w:color w:val="0070AE" w:themeColor="accent2" w:themeTint="BF"/>
        </w:rPr>
        <w:t xml:space="preserve">eduction </w:t>
      </w:r>
      <w:r w:rsidR="00511D09">
        <w:rPr>
          <w:color w:val="0070AE" w:themeColor="accent2" w:themeTint="BF"/>
        </w:rPr>
        <w:t>F</w:t>
      </w:r>
      <w:r w:rsidR="00FA36E8" w:rsidRPr="0068006E">
        <w:rPr>
          <w:color w:val="0070AE" w:themeColor="accent2" w:themeTint="BF"/>
        </w:rPr>
        <w:t>und</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73AF" w:themeFill="accent6"/>
        <w:tblLayout w:type="fixed"/>
        <w:tblLook w:val="04A0" w:firstRow="1" w:lastRow="0" w:firstColumn="1" w:lastColumn="0" w:noHBand="0" w:noVBand="1"/>
      </w:tblPr>
      <w:tblGrid>
        <w:gridCol w:w="9741"/>
      </w:tblGrid>
      <w:tr w:rsidR="00532527" w:rsidRPr="00B32198" w14:paraId="34CB7282" w14:textId="77777777" w:rsidTr="0038087B">
        <w:tc>
          <w:tcPr>
            <w:tcW w:w="9741" w:type="dxa"/>
            <w:shd w:val="clear" w:color="auto" w:fill="B0E9FF" w:themeFill="text2" w:themeFillTint="33"/>
          </w:tcPr>
          <w:p w14:paraId="00441167" w14:textId="787B9ADD" w:rsidR="004913C9" w:rsidRPr="001C1A0B" w:rsidRDefault="005D6CC8" w:rsidP="005D6CC8">
            <w:pPr>
              <w:textAlignment w:val="baseline"/>
            </w:pPr>
            <w:r w:rsidRPr="001C1A0B">
              <w:rPr>
                <w:rFonts w:eastAsia="Times New Roman" w:cs="Arial"/>
                <w:szCs w:val="20"/>
                <w:lang w:eastAsia="en-AU"/>
              </w:rPr>
              <w:t xml:space="preserve">The ERF is underpinned by a governance framework designed to </w:t>
            </w:r>
            <w:r w:rsidR="00E4493C" w:rsidRPr="001C1A0B">
              <w:rPr>
                <w:rFonts w:eastAsia="Times New Roman" w:cs="Arial"/>
                <w:szCs w:val="20"/>
                <w:lang w:eastAsia="en-AU"/>
              </w:rPr>
              <w:t xml:space="preserve">maintain </w:t>
            </w:r>
            <w:r w:rsidRPr="001C1A0B">
              <w:rPr>
                <w:rFonts w:eastAsia="Times New Roman" w:cs="Arial"/>
                <w:szCs w:val="20"/>
                <w:lang w:eastAsia="en-AU"/>
              </w:rPr>
              <w:t xml:space="preserve">the integrity </w:t>
            </w:r>
            <w:r w:rsidR="001A758A" w:rsidRPr="001C1A0B">
              <w:rPr>
                <w:rFonts w:eastAsia="Times New Roman" w:cs="Arial"/>
                <w:szCs w:val="20"/>
                <w:lang w:eastAsia="en-AU"/>
              </w:rPr>
              <w:t>and effectiveness of the scheme</w:t>
            </w:r>
            <w:r w:rsidRPr="001C1A0B">
              <w:rPr>
                <w:rFonts w:eastAsia="Times New Roman" w:cs="Arial"/>
                <w:szCs w:val="20"/>
                <w:lang w:eastAsia="en-AU"/>
              </w:rPr>
              <w:t xml:space="preserve">. </w:t>
            </w:r>
            <w:r w:rsidR="003B6CBF" w:rsidRPr="001C1A0B">
              <w:rPr>
                <w:rFonts w:eastAsia="Times New Roman" w:cs="Arial"/>
                <w:szCs w:val="20"/>
                <w:lang w:eastAsia="en-AU"/>
              </w:rPr>
              <w:t xml:space="preserve">The King </w:t>
            </w:r>
            <w:r w:rsidR="009841F1" w:rsidRPr="001C1A0B">
              <w:rPr>
                <w:rFonts w:eastAsia="Times New Roman" w:cs="Arial"/>
                <w:szCs w:val="20"/>
                <w:lang w:eastAsia="en-AU"/>
              </w:rPr>
              <w:t>Review</w:t>
            </w:r>
            <w:r w:rsidR="003B6CBF" w:rsidRPr="001C1A0B">
              <w:rPr>
                <w:rFonts w:eastAsia="Times New Roman" w:cs="Arial"/>
                <w:szCs w:val="20"/>
                <w:lang w:eastAsia="en-AU"/>
              </w:rPr>
              <w:t xml:space="preserve"> recommended the Government review the</w:t>
            </w:r>
            <w:r w:rsidR="001A758A" w:rsidRPr="001C1A0B">
              <w:rPr>
                <w:rFonts w:eastAsia="Times New Roman" w:cs="Arial"/>
                <w:szCs w:val="20"/>
                <w:lang w:eastAsia="en-AU"/>
              </w:rPr>
              <w:t xml:space="preserve">se </w:t>
            </w:r>
            <w:r w:rsidR="003B6CBF" w:rsidRPr="001C1A0B">
              <w:rPr>
                <w:rFonts w:eastAsia="Times New Roman" w:cs="Arial"/>
                <w:szCs w:val="20"/>
                <w:lang w:eastAsia="en-AU"/>
              </w:rPr>
              <w:t>arrangements</w:t>
            </w:r>
            <w:r w:rsidR="004913C9" w:rsidRPr="001C1A0B">
              <w:rPr>
                <w:rFonts w:eastAsia="Times New Roman" w:cs="Arial"/>
                <w:szCs w:val="20"/>
                <w:lang w:eastAsia="en-AU"/>
              </w:rPr>
              <w:t xml:space="preserve"> and as a result the </w:t>
            </w:r>
            <w:r w:rsidR="004913C9" w:rsidRPr="001C1A0B">
              <w:t>responsibility for method development and variation has been consolidated within the Regulator. The move</w:t>
            </w:r>
            <w:r w:rsidR="004913C9" w:rsidRPr="001C1A0B" w:rsidDel="00E91832">
              <w:t xml:space="preserve"> </w:t>
            </w:r>
            <w:r w:rsidR="00E91832">
              <w:t>is intended to</w:t>
            </w:r>
            <w:r w:rsidR="00E91832" w:rsidRPr="001C1A0B">
              <w:t xml:space="preserve"> </w:t>
            </w:r>
            <w:r w:rsidR="004913C9" w:rsidRPr="001C1A0B">
              <w:t>leverage the Regulator</w:t>
            </w:r>
            <w:r w:rsidR="00CB2EB8">
              <w:t>’</w:t>
            </w:r>
            <w:r w:rsidR="004913C9" w:rsidRPr="001C1A0B">
              <w:t xml:space="preserve">s practical experience in administering the scheme and reduce the need for duplication of expertise and resources between it and the Department. </w:t>
            </w:r>
          </w:p>
          <w:p w14:paraId="48911D6C" w14:textId="77777777" w:rsidR="004913C9" w:rsidRPr="001C1A0B" w:rsidRDefault="004913C9" w:rsidP="005D6CC8">
            <w:pPr>
              <w:textAlignment w:val="baseline"/>
              <w:rPr>
                <w:rFonts w:eastAsia="Times New Roman" w:cs="Arial"/>
                <w:szCs w:val="20"/>
                <w:lang w:eastAsia="en-AU"/>
              </w:rPr>
            </w:pPr>
          </w:p>
          <w:p w14:paraId="2F5E87F1" w14:textId="17109ABC" w:rsidR="003B6CBF" w:rsidRPr="001C1A0B" w:rsidRDefault="00E91832" w:rsidP="005D6CC8">
            <w:pPr>
              <w:textAlignment w:val="baseline"/>
              <w:rPr>
                <w:rFonts w:eastAsia="Times New Roman" w:cs="Arial"/>
                <w:szCs w:val="20"/>
                <w:lang w:eastAsia="en-AU"/>
              </w:rPr>
            </w:pPr>
            <w:r>
              <w:rPr>
                <w:rFonts w:eastAsia="Times New Roman" w:cs="Arial"/>
                <w:szCs w:val="20"/>
                <w:lang w:eastAsia="en-AU"/>
              </w:rPr>
              <w:t xml:space="preserve">In addition to its new </w:t>
            </w:r>
            <w:r w:rsidR="004913C9" w:rsidRPr="001C1A0B">
              <w:rPr>
                <w:rFonts w:eastAsia="Times New Roman" w:cs="Arial"/>
                <w:szCs w:val="20"/>
                <w:lang w:eastAsia="en-AU"/>
              </w:rPr>
              <w:t xml:space="preserve">method development and variation </w:t>
            </w:r>
            <w:r>
              <w:rPr>
                <w:rFonts w:eastAsia="Times New Roman" w:cs="Arial"/>
                <w:szCs w:val="20"/>
                <w:lang w:eastAsia="en-AU"/>
              </w:rPr>
              <w:t>functions</w:t>
            </w:r>
            <w:r w:rsidR="004913C9" w:rsidRPr="001C1A0B">
              <w:rPr>
                <w:rFonts w:eastAsia="Times New Roman" w:cs="Arial"/>
                <w:szCs w:val="20"/>
                <w:lang w:eastAsia="en-AU"/>
              </w:rPr>
              <w:t xml:space="preserve">, </w:t>
            </w:r>
            <w:r>
              <w:rPr>
                <w:rFonts w:eastAsia="Times New Roman" w:cs="Arial"/>
                <w:szCs w:val="20"/>
                <w:lang w:eastAsia="en-AU"/>
              </w:rPr>
              <w:t>t</w:t>
            </w:r>
            <w:r w:rsidRPr="001C1A0B">
              <w:rPr>
                <w:rFonts w:eastAsia="Times New Roman" w:cs="Arial"/>
                <w:szCs w:val="20"/>
                <w:lang w:eastAsia="en-AU"/>
              </w:rPr>
              <w:t xml:space="preserve">he Regulator </w:t>
            </w:r>
            <w:r>
              <w:rPr>
                <w:rFonts w:eastAsia="Times New Roman" w:cs="Arial"/>
                <w:szCs w:val="20"/>
                <w:lang w:eastAsia="en-AU"/>
              </w:rPr>
              <w:t>retains</w:t>
            </w:r>
            <w:r w:rsidR="00A70CE9" w:rsidRPr="001C1A0B">
              <w:rPr>
                <w:rFonts w:eastAsia="Times New Roman" w:cs="Arial"/>
                <w:szCs w:val="20"/>
                <w:lang w:eastAsia="en-AU"/>
              </w:rPr>
              <w:t xml:space="preserve"> its </w:t>
            </w:r>
            <w:r>
              <w:rPr>
                <w:rFonts w:eastAsia="Times New Roman" w:cs="Arial"/>
                <w:szCs w:val="20"/>
                <w:lang w:eastAsia="en-AU"/>
              </w:rPr>
              <w:t xml:space="preserve">responsibilities for </w:t>
            </w:r>
            <w:r w:rsidR="004913C9" w:rsidRPr="001C1A0B">
              <w:rPr>
                <w:rFonts w:eastAsia="Times New Roman" w:cs="Arial"/>
                <w:szCs w:val="20"/>
                <w:lang w:eastAsia="en-AU"/>
              </w:rPr>
              <w:t>project approval, compliance and enforcement functions, interpretative guidance and rules around project implementation</w:t>
            </w:r>
            <w:r>
              <w:rPr>
                <w:rFonts w:eastAsia="Times New Roman" w:cs="Arial"/>
                <w:szCs w:val="20"/>
                <w:lang w:eastAsia="en-AU"/>
              </w:rPr>
              <w:t>,</w:t>
            </w:r>
            <w:r w:rsidR="004913C9" w:rsidRPr="001C1A0B">
              <w:rPr>
                <w:rFonts w:eastAsia="Times New Roman" w:cs="Arial"/>
                <w:szCs w:val="20"/>
                <w:lang w:eastAsia="en-AU"/>
              </w:rPr>
              <w:t xml:space="preserve"> and the crediting and purchasing functions of the ERF</w:t>
            </w:r>
            <w:r w:rsidR="00A70CE9" w:rsidRPr="001C1A0B">
              <w:rPr>
                <w:rFonts w:eastAsia="Times New Roman" w:cs="Arial"/>
                <w:szCs w:val="20"/>
                <w:lang w:eastAsia="en-AU"/>
              </w:rPr>
              <w:t xml:space="preserve">. The consolidation of all the functions relating to the demand, supply and regulation of Australia’s carbon abatement units creates a risk of </w:t>
            </w:r>
            <w:r w:rsidR="004913C9" w:rsidRPr="001C1A0B">
              <w:rPr>
                <w:rFonts w:eastAsia="Times New Roman" w:cs="Arial"/>
                <w:szCs w:val="20"/>
                <w:lang w:eastAsia="en-AU"/>
              </w:rPr>
              <w:t>real and perceived co</w:t>
            </w:r>
            <w:r w:rsidR="005C5E12" w:rsidRPr="001C1A0B">
              <w:rPr>
                <w:rFonts w:eastAsia="Times New Roman" w:cs="Arial"/>
                <w:szCs w:val="20"/>
                <w:lang w:eastAsia="en-AU"/>
              </w:rPr>
              <w:t>nflict</w:t>
            </w:r>
            <w:r w:rsidR="00C62911">
              <w:rPr>
                <w:rFonts w:eastAsia="Times New Roman" w:cs="Arial"/>
                <w:szCs w:val="20"/>
                <w:lang w:eastAsia="en-AU"/>
              </w:rPr>
              <w:t>s</w:t>
            </w:r>
            <w:r w:rsidR="005C5E12" w:rsidRPr="001C1A0B">
              <w:rPr>
                <w:rFonts w:eastAsia="Times New Roman" w:cs="Arial"/>
                <w:szCs w:val="20"/>
                <w:lang w:eastAsia="en-AU"/>
              </w:rPr>
              <w:t xml:space="preserve"> of interests aris</w:t>
            </w:r>
            <w:r w:rsidR="00A70CE9" w:rsidRPr="001C1A0B">
              <w:rPr>
                <w:rFonts w:eastAsia="Times New Roman" w:cs="Arial"/>
                <w:szCs w:val="20"/>
                <w:lang w:eastAsia="en-AU"/>
              </w:rPr>
              <w:t>ing. This</w:t>
            </w:r>
            <w:r w:rsidR="005C5E12" w:rsidRPr="001C1A0B">
              <w:rPr>
                <w:rFonts w:eastAsia="Times New Roman" w:cs="Arial"/>
                <w:szCs w:val="20"/>
                <w:lang w:eastAsia="en-AU"/>
              </w:rPr>
              <w:t xml:space="preserve"> will need to be </w:t>
            </w:r>
            <w:r w:rsidR="00A70CE9" w:rsidRPr="001C1A0B">
              <w:rPr>
                <w:rFonts w:eastAsia="Times New Roman" w:cs="Arial"/>
                <w:szCs w:val="20"/>
                <w:lang w:eastAsia="en-AU"/>
              </w:rPr>
              <w:t xml:space="preserve">carefully </w:t>
            </w:r>
            <w:r w:rsidR="005C5E12" w:rsidRPr="001C1A0B">
              <w:rPr>
                <w:rFonts w:eastAsia="Times New Roman" w:cs="Arial"/>
                <w:szCs w:val="20"/>
                <w:lang w:eastAsia="en-AU"/>
              </w:rPr>
              <w:t>managed</w:t>
            </w:r>
            <w:r w:rsidR="00A70CE9" w:rsidRPr="001C1A0B">
              <w:rPr>
                <w:rFonts w:eastAsia="Times New Roman" w:cs="Arial"/>
                <w:szCs w:val="20"/>
                <w:lang w:eastAsia="en-AU"/>
              </w:rPr>
              <w:t xml:space="preserve"> and independently monitored</w:t>
            </w:r>
            <w:r w:rsidR="006D102C" w:rsidRPr="001C1A0B">
              <w:rPr>
                <w:rFonts w:eastAsia="Times New Roman" w:cs="Arial"/>
                <w:szCs w:val="20"/>
                <w:lang w:eastAsia="en-AU"/>
              </w:rPr>
              <w:t>.</w:t>
            </w:r>
            <w:r w:rsidR="006D102C" w:rsidRPr="001C1A0B" w:rsidDel="006D102C">
              <w:rPr>
                <w:rFonts w:eastAsia="Times New Roman" w:cs="Arial"/>
                <w:szCs w:val="20"/>
                <w:lang w:eastAsia="en-AU"/>
              </w:rPr>
              <w:t xml:space="preserve"> </w:t>
            </w:r>
          </w:p>
          <w:p w14:paraId="08B4636B" w14:textId="77777777" w:rsidR="003B6CBF" w:rsidRDefault="003B6CBF" w:rsidP="005D6CC8">
            <w:pPr>
              <w:textAlignment w:val="baseline"/>
              <w:rPr>
                <w:rFonts w:eastAsia="Times New Roman" w:cs="Arial"/>
                <w:szCs w:val="20"/>
                <w:lang w:eastAsia="en-AU"/>
              </w:rPr>
            </w:pPr>
          </w:p>
          <w:p w14:paraId="0F03929B" w14:textId="75559017" w:rsidR="003872DC" w:rsidRDefault="00744721" w:rsidP="00996B9D">
            <w:pPr>
              <w:pStyle w:val="BodyText"/>
            </w:pPr>
            <w:r>
              <w:t xml:space="preserve">Many submissions have raised the need for greater, more structured involvement of stakeholders and external technical expertise in ERF method development. </w:t>
            </w:r>
            <w:r w:rsidR="00233717">
              <w:t>Establishing a formal</w:t>
            </w:r>
            <w:r w:rsidR="00BE0CFC">
              <w:t xml:space="preserve"> </w:t>
            </w:r>
            <w:r w:rsidR="00670980">
              <w:t xml:space="preserve">Steering Committee </w:t>
            </w:r>
            <w:r w:rsidR="00233717">
              <w:t xml:space="preserve">to </w:t>
            </w:r>
            <w:r w:rsidR="00284CAC">
              <w:t>oversee</w:t>
            </w:r>
            <w:r w:rsidR="004E59C6">
              <w:t xml:space="preserve"> </w:t>
            </w:r>
            <w:r w:rsidR="00233717">
              <w:t xml:space="preserve">method processes </w:t>
            </w:r>
            <w:r w:rsidR="00AE5A51" w:rsidRPr="00AE5A51">
              <w:t>could bolster resources</w:t>
            </w:r>
            <w:r w:rsidR="00284CAC">
              <w:t>,</w:t>
            </w:r>
            <w:r w:rsidR="00AE5A51" w:rsidRPr="00AE5A51">
              <w:t xml:space="preserve"> </w:t>
            </w:r>
            <w:r w:rsidR="00125B9E">
              <w:t>better</w:t>
            </w:r>
            <w:r w:rsidR="00AE5A51" w:rsidRPr="00AE5A51">
              <w:t xml:space="preserve"> harness valuable input from industry and other third-party experts</w:t>
            </w:r>
            <w:r w:rsidR="00284CAC">
              <w:t xml:space="preserve"> and mitigate the risk of perceived or actual conflicts in relation to the Regulator</w:t>
            </w:r>
            <w:r w:rsidR="00D871AF">
              <w:t>’</w:t>
            </w:r>
            <w:r w:rsidR="00284CAC">
              <w:t>s multiple functions</w:t>
            </w:r>
            <w:r w:rsidR="00AE5A51" w:rsidRPr="00AE5A51">
              <w:t>.</w:t>
            </w:r>
            <w:r>
              <w:t xml:space="preserve"> </w:t>
            </w:r>
          </w:p>
          <w:p w14:paraId="28A09CF2" w14:textId="77777777" w:rsidR="008D7319" w:rsidRDefault="008D7319" w:rsidP="00996B9D">
            <w:pPr>
              <w:pStyle w:val="BodyText"/>
            </w:pPr>
          </w:p>
          <w:p w14:paraId="73FFBB90" w14:textId="39EAB332" w:rsidR="00532527" w:rsidRPr="00910ECF" w:rsidRDefault="00E4493C" w:rsidP="00996B9D">
            <w:pPr>
              <w:pStyle w:val="BodyText"/>
            </w:pPr>
            <w:r>
              <w:t>As it</w:t>
            </w:r>
            <w:r w:rsidR="00125B9E">
              <w:t>s</w:t>
            </w:r>
            <w:r>
              <w:t xml:space="preserve"> name implies, the Emissions Reduction Assurance Committee plays an important role in upholding the integrity of the ERF.</w:t>
            </w:r>
            <w:r w:rsidR="00B60302">
              <w:t xml:space="preserve"> Increasing its resourcing</w:t>
            </w:r>
            <w:r w:rsidR="00D871AF">
              <w:t>, access to information</w:t>
            </w:r>
            <w:r w:rsidR="00B60302">
              <w:t xml:space="preserve"> and giving it greater scope in several areas (including crediting period extensions) w</w:t>
            </w:r>
            <w:r w:rsidR="00605A81">
              <w:t>ould</w:t>
            </w:r>
            <w:r w:rsidR="00B60302">
              <w:t xml:space="preserve"> further empower the Committee in its role.</w:t>
            </w:r>
            <w:r>
              <w:t xml:space="preserve"> </w:t>
            </w:r>
          </w:p>
        </w:tc>
      </w:tr>
    </w:tbl>
    <w:p w14:paraId="0F164157" w14:textId="77777777" w:rsidR="00532527" w:rsidRDefault="00532527" w:rsidP="00DC3A77">
      <w:pPr>
        <w:spacing w:after="0"/>
        <w:textAlignment w:val="baseline"/>
        <w:rPr>
          <w:rFonts w:eastAsia="Times New Roman" w:cs="Arial"/>
          <w:szCs w:val="20"/>
          <w:lang w:eastAsia="en-AU"/>
        </w:rPr>
      </w:pPr>
    </w:p>
    <w:p w14:paraId="184F42E3" w14:textId="46398BE8" w:rsidR="00090E03" w:rsidRPr="0068006E" w:rsidRDefault="005F681B" w:rsidP="00004274">
      <w:pPr>
        <w:pStyle w:val="Heading2"/>
        <w:numPr>
          <w:ilvl w:val="1"/>
          <w:numId w:val="47"/>
        </w:numPr>
        <w:rPr>
          <w:rFonts w:eastAsia="Times New Roman" w:cs="Arial"/>
          <w:color w:val="0070AE" w:themeColor="accent2" w:themeTint="BF"/>
          <w:szCs w:val="20"/>
          <w:lang w:eastAsia="en-AU"/>
        </w:rPr>
      </w:pPr>
      <w:bookmarkStart w:id="2439" w:name="_Toc49350837"/>
      <w:bookmarkStart w:id="2440" w:name="_Toc49352817"/>
      <w:bookmarkStart w:id="2441" w:name="_Toc49354193"/>
      <w:bookmarkStart w:id="2442" w:name="_Toc49355519"/>
      <w:bookmarkStart w:id="2443" w:name="_Toc49429277"/>
      <w:bookmarkStart w:id="2444" w:name="_Toc49434034"/>
      <w:bookmarkStart w:id="2445" w:name="_Toc49441027"/>
      <w:bookmarkStart w:id="2446" w:name="_Toc49441217"/>
      <w:bookmarkStart w:id="2447" w:name="_Toc49442220"/>
      <w:bookmarkStart w:id="2448" w:name="_Toc49508951"/>
      <w:bookmarkStart w:id="2449" w:name="_Toc49519761"/>
      <w:bookmarkStart w:id="2450" w:name="_Toc49521479"/>
      <w:bookmarkStart w:id="2451" w:name="_Toc49524551"/>
      <w:bookmarkStart w:id="2452" w:name="_Toc49524689"/>
      <w:bookmarkStart w:id="2453" w:name="_Toc49527158"/>
      <w:bookmarkStart w:id="2454" w:name="_Toc49527996"/>
      <w:bookmarkStart w:id="2455" w:name="_Toc49692149"/>
      <w:bookmarkStart w:id="2456" w:name="_Toc49710522"/>
      <w:bookmarkStart w:id="2457" w:name="_Toc49710694"/>
      <w:bookmarkStart w:id="2458" w:name="_Toc49713247"/>
      <w:bookmarkStart w:id="2459" w:name="_Toc49713449"/>
      <w:bookmarkStart w:id="2460" w:name="_Toc49776387"/>
      <w:bookmarkStart w:id="2461" w:name="_Toc49784946"/>
      <w:bookmarkStart w:id="2462" w:name="_Toc49786272"/>
      <w:bookmarkStart w:id="2463" w:name="_Toc49787321"/>
      <w:bookmarkStart w:id="2464" w:name="_Toc49787376"/>
      <w:bookmarkStart w:id="2465" w:name="_Toc49850690"/>
      <w:bookmarkStart w:id="2466" w:name="_Toc49852932"/>
      <w:bookmarkStart w:id="2467" w:name="_Toc49854349"/>
      <w:bookmarkStart w:id="2468" w:name="_Toc49856945"/>
      <w:bookmarkStart w:id="2469" w:name="_Toc49858261"/>
      <w:bookmarkStart w:id="2470" w:name="_Toc49858316"/>
      <w:bookmarkStart w:id="2471" w:name="_Toc49863018"/>
      <w:bookmarkStart w:id="2472" w:name="_Toc49867741"/>
      <w:bookmarkStart w:id="2473" w:name="_Toc49870577"/>
      <w:bookmarkStart w:id="2474" w:name="_Toc49871320"/>
      <w:bookmarkStart w:id="2475" w:name="_Toc49872000"/>
      <w:bookmarkStart w:id="2476" w:name="_Toc49872553"/>
      <w:bookmarkStart w:id="2477" w:name="_Toc50027765"/>
      <w:bookmarkStart w:id="2478" w:name="_Toc50029459"/>
      <w:bookmarkStart w:id="2479" w:name="_Toc50043890"/>
      <w:bookmarkStart w:id="2480" w:name="_Toc50057742"/>
      <w:bookmarkStart w:id="2481" w:name="_Toc50553619"/>
      <w:bookmarkStart w:id="2482" w:name="_Toc50555382"/>
      <w:bookmarkStart w:id="2483" w:name="_Toc50559842"/>
      <w:bookmarkStart w:id="2484" w:name="_Toc50559895"/>
      <w:bookmarkStart w:id="2485" w:name="_Toc50563829"/>
      <w:bookmarkStart w:id="2486" w:name="_Toc50711382"/>
      <w:bookmarkStart w:id="2487" w:name="_Toc50720964"/>
      <w:bookmarkStart w:id="2488" w:name="_Toc50730688"/>
      <w:bookmarkStart w:id="2489" w:name="_Toc50734914"/>
      <w:bookmarkStart w:id="2490" w:name="_Toc50735517"/>
      <w:bookmarkStart w:id="2491" w:name="_Toc50905536"/>
      <w:bookmarkStart w:id="2492" w:name="_Toc51587020"/>
      <w:bookmarkStart w:id="2493" w:name="_Toc51594880"/>
      <w:bookmarkStart w:id="2494" w:name="_Toc51599483"/>
      <w:bookmarkStart w:id="2495" w:name="_Toc51613519"/>
      <w:bookmarkStart w:id="2496" w:name="_Toc51669630"/>
      <w:bookmarkStart w:id="2497" w:name="_Toc51669725"/>
      <w:bookmarkStart w:id="2498" w:name="_Toc51672874"/>
      <w:bookmarkStart w:id="2499" w:name="_Toc51673924"/>
      <w:bookmarkStart w:id="2500" w:name="_Toc51680741"/>
      <w:bookmarkStart w:id="2501" w:name="_Toc51683270"/>
      <w:bookmarkStart w:id="2502" w:name="_Toc51686006"/>
      <w:bookmarkStart w:id="2503" w:name="_Toc51687744"/>
      <w:bookmarkStart w:id="2504" w:name="_Toc51687888"/>
      <w:bookmarkStart w:id="2505" w:name="_Toc51705766"/>
      <w:bookmarkStart w:id="2506" w:name="_Toc51770712"/>
      <w:bookmarkStart w:id="2507" w:name="_Toc51770898"/>
      <w:bookmarkStart w:id="2508" w:name="_Toc52359241"/>
      <w:bookmarkStart w:id="2509" w:name="_Toc52367274"/>
      <w:bookmarkStart w:id="2510" w:name="_Toc52371614"/>
      <w:bookmarkStart w:id="2511" w:name="_Toc52374762"/>
      <w:bookmarkStart w:id="2512" w:name="_Toc52377300"/>
      <w:bookmarkStart w:id="2513" w:name="_Toc52379222"/>
      <w:bookmarkStart w:id="2514" w:name="_Toc52379577"/>
      <w:bookmarkStart w:id="2515" w:name="_Toc52532787"/>
      <w:bookmarkStart w:id="2516" w:name="_Toc52535682"/>
      <w:bookmarkStart w:id="2517" w:name="_Toc52537500"/>
      <w:bookmarkStart w:id="2518" w:name="_Toc52544063"/>
      <w:bookmarkStart w:id="2519" w:name="_Toc52545667"/>
      <w:bookmarkStart w:id="2520" w:name="_Toc52547899"/>
      <w:bookmarkStart w:id="2521" w:name="_Toc52548588"/>
      <w:bookmarkStart w:id="2522" w:name="_Toc52890880"/>
      <w:bookmarkStart w:id="2523" w:name="_Toc52895083"/>
      <w:bookmarkStart w:id="2524" w:name="_Toc52896607"/>
      <w:bookmarkStart w:id="2525" w:name="_Toc52977784"/>
      <w:bookmarkStart w:id="2526" w:name="_Toc53129470"/>
      <w:r w:rsidRPr="0068006E">
        <w:rPr>
          <w:color w:val="0070AE" w:themeColor="accent2" w:themeTint="BF"/>
        </w:rPr>
        <w:t>Improving m</w:t>
      </w:r>
      <w:r w:rsidR="00D46908" w:rsidRPr="0068006E">
        <w:rPr>
          <w:color w:val="0070AE" w:themeColor="accent2" w:themeTint="BF"/>
        </w:rPr>
        <w:t>ethod development and variation</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r w:rsidR="00D46908" w:rsidRPr="0068006E">
        <w:rPr>
          <w:color w:val="0070AE" w:themeColor="accent2" w:themeTint="BF"/>
        </w:rPr>
        <w:t xml:space="preserve"> </w:t>
      </w:r>
    </w:p>
    <w:p w14:paraId="60F423DB" w14:textId="64C04023" w:rsidR="005C70EE" w:rsidRPr="005C70EE" w:rsidRDefault="004964DF" w:rsidP="00DC3A77">
      <w:pPr>
        <w:spacing w:after="0"/>
        <w:textAlignment w:val="baseline"/>
        <w:rPr>
          <w:rFonts w:eastAsia="Times New Roman" w:cs="Arial"/>
          <w:szCs w:val="20"/>
          <w:lang w:eastAsia="en-AU"/>
        </w:rPr>
      </w:pPr>
      <w:r>
        <w:rPr>
          <w:rFonts w:eastAsia="Times New Roman" w:cs="Arial"/>
          <w:szCs w:val="20"/>
          <w:lang w:eastAsia="en-AU"/>
        </w:rPr>
        <w:t xml:space="preserve">Prior to the recent announcements that ERF method development and variation functions will be consolidated in the Regulator, </w:t>
      </w:r>
      <w:r w:rsidR="00B155D7">
        <w:rPr>
          <w:rFonts w:eastAsia="Times New Roman" w:cs="Arial"/>
          <w:szCs w:val="20"/>
          <w:lang w:eastAsia="en-AU"/>
        </w:rPr>
        <w:t>m</w:t>
      </w:r>
      <w:r w:rsidR="00B155D7" w:rsidRPr="00443D52">
        <w:rPr>
          <w:rFonts w:eastAsia="Times New Roman" w:cs="Arial"/>
          <w:szCs w:val="20"/>
          <w:lang w:eastAsia="en-AU"/>
        </w:rPr>
        <w:t>ethods</w:t>
      </w:r>
      <w:r w:rsidR="00942C1D">
        <w:rPr>
          <w:rFonts w:eastAsia="Times New Roman" w:cs="Arial"/>
          <w:szCs w:val="20"/>
          <w:lang w:eastAsia="en-AU"/>
        </w:rPr>
        <w:t xml:space="preserve"> </w:t>
      </w:r>
      <w:r>
        <w:rPr>
          <w:rFonts w:eastAsia="Times New Roman" w:cs="Arial"/>
          <w:szCs w:val="20"/>
          <w:lang w:eastAsia="en-AU"/>
        </w:rPr>
        <w:t>were</w:t>
      </w:r>
      <w:r w:rsidR="00942C1D">
        <w:rPr>
          <w:rFonts w:eastAsia="Times New Roman" w:cs="Arial"/>
          <w:szCs w:val="20"/>
          <w:lang w:eastAsia="en-AU"/>
        </w:rPr>
        <w:t xml:space="preserve"> </w:t>
      </w:r>
      <w:r w:rsidR="005F681B">
        <w:rPr>
          <w:rFonts w:eastAsia="Times New Roman" w:cs="Arial"/>
          <w:szCs w:val="20"/>
          <w:lang w:eastAsia="en-AU"/>
        </w:rPr>
        <w:t xml:space="preserve">developed </w:t>
      </w:r>
      <w:r w:rsidR="00287CC7" w:rsidRPr="00443D52">
        <w:rPr>
          <w:rFonts w:eastAsia="Times New Roman" w:cs="Arial"/>
          <w:szCs w:val="20"/>
          <w:lang w:eastAsia="en-AU"/>
        </w:rPr>
        <w:t>by the Department</w:t>
      </w:r>
      <w:r w:rsidR="005F681B">
        <w:rPr>
          <w:rFonts w:eastAsia="Times New Roman" w:cs="Arial"/>
          <w:szCs w:val="20"/>
          <w:lang w:eastAsia="en-AU"/>
        </w:rPr>
        <w:t xml:space="preserve"> </w:t>
      </w:r>
      <w:r w:rsidR="00D46908">
        <w:rPr>
          <w:rFonts w:eastAsia="Times New Roman" w:cs="Arial"/>
          <w:szCs w:val="20"/>
          <w:lang w:eastAsia="en-AU"/>
        </w:rPr>
        <w:t>with advice and input from</w:t>
      </w:r>
      <w:r w:rsidR="00287CC7" w:rsidRPr="00443D52">
        <w:rPr>
          <w:rFonts w:eastAsia="Times New Roman" w:cs="Arial"/>
          <w:szCs w:val="20"/>
          <w:lang w:eastAsia="en-AU"/>
        </w:rPr>
        <w:t xml:space="preserve"> Technical Working Groups</w:t>
      </w:r>
      <w:r w:rsidR="00E33244">
        <w:rPr>
          <w:rFonts w:eastAsia="Times New Roman" w:cs="Arial"/>
          <w:szCs w:val="20"/>
          <w:lang w:eastAsia="en-AU"/>
        </w:rPr>
        <w:t xml:space="preserve"> (TWGs)</w:t>
      </w:r>
      <w:r w:rsidR="008E44A9">
        <w:rPr>
          <w:rFonts w:eastAsia="Times New Roman" w:cs="Arial"/>
          <w:szCs w:val="20"/>
          <w:lang w:eastAsia="en-AU"/>
        </w:rPr>
        <w:t xml:space="preserve"> </w:t>
      </w:r>
      <w:r w:rsidR="00416E97">
        <w:rPr>
          <w:rFonts w:eastAsia="Times New Roman" w:cs="Arial"/>
          <w:szCs w:val="20"/>
          <w:lang w:eastAsia="en-AU"/>
        </w:rPr>
        <w:t xml:space="preserve">and the Regulator </w:t>
      </w:r>
      <w:r w:rsidR="008E44A9">
        <w:rPr>
          <w:rFonts w:eastAsia="Times New Roman" w:cs="Arial"/>
          <w:szCs w:val="20"/>
          <w:lang w:eastAsia="en-AU"/>
        </w:rPr>
        <w:t>(see section 6.2 below)</w:t>
      </w:r>
      <w:r w:rsidR="00287CC7" w:rsidRPr="00287CC7">
        <w:rPr>
          <w:rFonts w:eastAsia="Times New Roman" w:cs="Arial"/>
          <w:szCs w:val="20"/>
          <w:lang w:eastAsia="en-AU"/>
        </w:rPr>
        <w:t>.</w:t>
      </w:r>
      <w:r w:rsidR="00E33244">
        <w:rPr>
          <w:rFonts w:eastAsia="Times New Roman" w:cs="Arial"/>
          <w:szCs w:val="20"/>
          <w:lang w:eastAsia="en-AU"/>
        </w:rPr>
        <w:t xml:space="preserve"> </w:t>
      </w:r>
      <w:r w:rsidR="00416E97">
        <w:rPr>
          <w:rFonts w:eastAsia="Times New Roman" w:cs="Arial"/>
          <w:szCs w:val="20"/>
          <w:lang w:eastAsia="en-AU"/>
        </w:rPr>
        <w:t>Following advice from ERAC, o</w:t>
      </w:r>
      <w:r w:rsidR="00E33244">
        <w:rPr>
          <w:rFonts w:eastAsia="Times New Roman" w:cs="Arial"/>
          <w:szCs w:val="20"/>
          <w:lang w:eastAsia="en-AU"/>
        </w:rPr>
        <w:t>n</w:t>
      </w:r>
      <w:r w:rsidR="00F77E47">
        <w:rPr>
          <w:rFonts w:eastAsia="Times New Roman" w:cs="Arial"/>
          <w:szCs w:val="20"/>
          <w:lang w:eastAsia="en-AU"/>
        </w:rPr>
        <w:t>c</w:t>
      </w:r>
      <w:r w:rsidR="00E33244">
        <w:rPr>
          <w:rFonts w:eastAsia="Times New Roman" w:cs="Arial"/>
          <w:szCs w:val="20"/>
          <w:lang w:eastAsia="en-AU"/>
        </w:rPr>
        <w:t xml:space="preserve">e a method </w:t>
      </w:r>
      <w:r w:rsidR="008549F8">
        <w:rPr>
          <w:rFonts w:eastAsia="Times New Roman" w:cs="Arial"/>
          <w:szCs w:val="20"/>
          <w:lang w:eastAsia="en-AU"/>
        </w:rPr>
        <w:t>is</w:t>
      </w:r>
      <w:r w:rsidR="00E33244">
        <w:rPr>
          <w:rFonts w:eastAsia="Times New Roman" w:cs="Arial"/>
          <w:szCs w:val="20"/>
          <w:lang w:eastAsia="en-AU"/>
        </w:rPr>
        <w:t xml:space="preserve"> approved</w:t>
      </w:r>
      <w:r w:rsidR="00942C1D">
        <w:rPr>
          <w:rFonts w:eastAsia="Times New Roman" w:cs="Arial"/>
          <w:szCs w:val="20"/>
          <w:lang w:eastAsia="en-AU"/>
        </w:rPr>
        <w:t xml:space="preserve"> by the Minister</w:t>
      </w:r>
      <w:r w:rsidR="00E33244">
        <w:rPr>
          <w:rFonts w:eastAsia="Times New Roman" w:cs="Arial"/>
          <w:szCs w:val="20"/>
          <w:lang w:eastAsia="en-AU"/>
        </w:rPr>
        <w:t>,</w:t>
      </w:r>
      <w:r w:rsidR="00D26277">
        <w:rPr>
          <w:rFonts w:eastAsia="Times New Roman" w:cs="Arial"/>
          <w:szCs w:val="20"/>
          <w:lang w:eastAsia="en-AU"/>
        </w:rPr>
        <w:t xml:space="preserve"> </w:t>
      </w:r>
      <w:r w:rsidR="00E33244">
        <w:rPr>
          <w:rFonts w:eastAsia="Times New Roman" w:cs="Arial"/>
          <w:szCs w:val="20"/>
          <w:lang w:eastAsia="en-AU"/>
        </w:rPr>
        <w:t>t</w:t>
      </w:r>
      <w:r w:rsidR="00942C1D">
        <w:rPr>
          <w:rFonts w:eastAsia="Times New Roman" w:cs="Arial"/>
          <w:szCs w:val="20"/>
          <w:lang w:eastAsia="en-AU"/>
        </w:rPr>
        <w:t xml:space="preserve">he </w:t>
      </w:r>
      <w:r w:rsidR="003A2A02">
        <w:rPr>
          <w:rFonts w:eastAsia="Times New Roman" w:cs="Arial"/>
          <w:szCs w:val="20"/>
          <w:lang w:eastAsia="en-AU"/>
        </w:rPr>
        <w:t>R</w:t>
      </w:r>
      <w:r w:rsidR="00942C1D">
        <w:rPr>
          <w:rFonts w:eastAsia="Times New Roman" w:cs="Arial"/>
          <w:szCs w:val="20"/>
          <w:lang w:eastAsia="en-AU"/>
        </w:rPr>
        <w:t>egulator</w:t>
      </w:r>
      <w:r w:rsidR="00E33244">
        <w:rPr>
          <w:rFonts w:eastAsia="Times New Roman" w:cs="Arial"/>
          <w:szCs w:val="20"/>
          <w:lang w:eastAsia="en-AU"/>
        </w:rPr>
        <w:t xml:space="preserve"> </w:t>
      </w:r>
      <w:r w:rsidR="008549F8">
        <w:rPr>
          <w:rFonts w:eastAsia="Times New Roman" w:cs="Arial"/>
          <w:szCs w:val="20"/>
          <w:lang w:eastAsia="en-AU"/>
        </w:rPr>
        <w:t>is</w:t>
      </w:r>
      <w:r>
        <w:rPr>
          <w:rFonts w:eastAsia="Times New Roman" w:cs="Arial"/>
          <w:szCs w:val="20"/>
          <w:lang w:eastAsia="en-AU"/>
        </w:rPr>
        <w:t xml:space="preserve"> then</w:t>
      </w:r>
      <w:r w:rsidR="00E33244">
        <w:rPr>
          <w:rFonts w:eastAsia="Times New Roman" w:cs="Arial"/>
          <w:szCs w:val="20"/>
          <w:lang w:eastAsia="en-AU"/>
        </w:rPr>
        <w:t xml:space="preserve"> charged with</w:t>
      </w:r>
      <w:r w:rsidR="003A2A02">
        <w:rPr>
          <w:rFonts w:eastAsia="Times New Roman" w:cs="Arial"/>
          <w:szCs w:val="20"/>
          <w:lang w:eastAsia="en-AU"/>
        </w:rPr>
        <w:t xml:space="preserve"> asse</w:t>
      </w:r>
      <w:r w:rsidR="00E33244">
        <w:rPr>
          <w:rFonts w:eastAsia="Times New Roman" w:cs="Arial"/>
          <w:szCs w:val="20"/>
          <w:lang w:eastAsia="en-AU"/>
        </w:rPr>
        <w:t xml:space="preserve">ssing </w:t>
      </w:r>
      <w:r w:rsidR="00125B9E">
        <w:rPr>
          <w:rFonts w:eastAsia="Times New Roman" w:cs="Arial"/>
          <w:szCs w:val="20"/>
          <w:lang w:eastAsia="en-AU"/>
        </w:rPr>
        <w:t>eligibility</w:t>
      </w:r>
      <w:r w:rsidR="00E33244">
        <w:rPr>
          <w:rFonts w:eastAsia="Times New Roman" w:cs="Arial"/>
          <w:szCs w:val="20"/>
          <w:lang w:eastAsia="en-AU"/>
        </w:rPr>
        <w:t xml:space="preserve"> and registering projects </w:t>
      </w:r>
      <w:r w:rsidR="00125B9E">
        <w:rPr>
          <w:rFonts w:eastAsia="Times New Roman" w:cs="Arial"/>
          <w:szCs w:val="20"/>
          <w:lang w:eastAsia="en-AU"/>
        </w:rPr>
        <w:t>using the method</w:t>
      </w:r>
      <w:r w:rsidR="00E91832">
        <w:rPr>
          <w:rFonts w:eastAsia="Times New Roman" w:cs="Arial"/>
          <w:szCs w:val="20"/>
          <w:lang w:eastAsia="en-AU"/>
        </w:rPr>
        <w:t>,</w:t>
      </w:r>
      <w:r w:rsidR="00E33244">
        <w:rPr>
          <w:rFonts w:eastAsia="Times New Roman" w:cs="Arial"/>
          <w:szCs w:val="20"/>
          <w:lang w:eastAsia="en-AU"/>
        </w:rPr>
        <w:t xml:space="preserve"> in accordance with the </w:t>
      </w:r>
      <w:r w:rsidR="00E33244" w:rsidRPr="003C59C1">
        <w:rPr>
          <w:rFonts w:eastAsia="Times New Roman" w:cs="Arial"/>
          <w:szCs w:val="20"/>
          <w:lang w:eastAsia="en-AU"/>
        </w:rPr>
        <w:t>CFI Act</w:t>
      </w:r>
      <w:r w:rsidR="003A2A02" w:rsidRPr="003C59C1">
        <w:rPr>
          <w:rFonts w:eastAsia="Times New Roman" w:cs="Arial"/>
          <w:szCs w:val="20"/>
          <w:lang w:eastAsia="en-AU"/>
        </w:rPr>
        <w:t>.</w:t>
      </w:r>
      <w:r w:rsidR="003A2A02">
        <w:rPr>
          <w:rFonts w:eastAsia="Times New Roman" w:cs="Arial"/>
          <w:szCs w:val="20"/>
          <w:lang w:eastAsia="en-AU"/>
        </w:rPr>
        <w:t xml:space="preserve"> </w:t>
      </w:r>
      <w:r w:rsidR="00A75C76">
        <w:rPr>
          <w:rFonts w:eastAsia="Times New Roman" w:cs="Arial"/>
          <w:szCs w:val="20"/>
          <w:lang w:eastAsia="en-AU"/>
        </w:rPr>
        <w:t>The Regulator</w:t>
      </w:r>
      <w:r w:rsidR="003A2A02" w:rsidRPr="00443D52">
        <w:rPr>
          <w:rFonts w:eastAsia="Times New Roman" w:cs="Arial"/>
          <w:szCs w:val="20"/>
          <w:lang w:eastAsia="en-AU"/>
        </w:rPr>
        <w:t xml:space="preserve"> is also responsible for</w:t>
      </w:r>
      <w:r w:rsidR="003A2A02">
        <w:rPr>
          <w:rFonts w:eastAsia="Times New Roman" w:cs="Arial"/>
          <w:szCs w:val="20"/>
          <w:lang w:eastAsia="en-AU"/>
        </w:rPr>
        <w:t xml:space="preserve"> the</w:t>
      </w:r>
      <w:r w:rsidR="003A2A02" w:rsidRPr="00443D52">
        <w:rPr>
          <w:rFonts w:eastAsia="Times New Roman" w:cs="Arial"/>
          <w:szCs w:val="20"/>
          <w:lang w:eastAsia="en-AU"/>
        </w:rPr>
        <w:t xml:space="preserve"> monitoring, co</w:t>
      </w:r>
      <w:r w:rsidR="003A2A02">
        <w:rPr>
          <w:rFonts w:eastAsia="Times New Roman" w:cs="Arial"/>
          <w:szCs w:val="20"/>
          <w:lang w:eastAsia="en-AU"/>
        </w:rPr>
        <w:t xml:space="preserve">mpliance and enforcement of projects, </w:t>
      </w:r>
      <w:r w:rsidR="00E33244">
        <w:rPr>
          <w:rFonts w:eastAsia="Times New Roman" w:cs="Arial"/>
          <w:szCs w:val="20"/>
          <w:lang w:eastAsia="en-AU"/>
        </w:rPr>
        <w:t>which can</w:t>
      </w:r>
      <w:r w:rsidR="003A3934">
        <w:rPr>
          <w:rFonts w:eastAsia="Times New Roman" w:cs="Arial"/>
          <w:szCs w:val="20"/>
          <w:lang w:eastAsia="en-AU"/>
        </w:rPr>
        <w:t xml:space="preserve"> involve</w:t>
      </w:r>
      <w:r w:rsidR="003A2A02">
        <w:rPr>
          <w:rFonts w:eastAsia="Times New Roman" w:cs="Arial"/>
          <w:szCs w:val="20"/>
          <w:lang w:eastAsia="en-AU"/>
        </w:rPr>
        <w:t xml:space="preserve"> the development of guidance and tools for measuring abatement </w:t>
      </w:r>
      <w:r w:rsidR="00125B9E">
        <w:rPr>
          <w:rFonts w:eastAsia="Times New Roman" w:cs="Arial"/>
          <w:szCs w:val="20"/>
          <w:lang w:eastAsia="en-AU"/>
        </w:rPr>
        <w:t xml:space="preserve">to support implementation of the method </w:t>
      </w:r>
      <w:r w:rsidR="003A2A02">
        <w:rPr>
          <w:rFonts w:eastAsia="Times New Roman" w:cs="Arial"/>
          <w:szCs w:val="20"/>
          <w:lang w:eastAsia="en-AU"/>
        </w:rPr>
        <w:t>(</w:t>
      </w:r>
      <w:r w:rsidR="00304A18" w:rsidRPr="001C1A0B">
        <w:rPr>
          <w:rFonts w:eastAsia="Times New Roman" w:cs="Arial"/>
          <w:szCs w:val="20"/>
          <w:lang w:eastAsia="en-AU"/>
        </w:rPr>
        <w:t>s 286</w:t>
      </w:r>
      <w:r w:rsidR="003A2A02">
        <w:rPr>
          <w:rFonts w:eastAsia="Times New Roman" w:cs="Arial"/>
          <w:szCs w:val="20"/>
          <w:lang w:eastAsia="en-AU"/>
        </w:rPr>
        <w:t xml:space="preserve">). </w:t>
      </w:r>
      <w:r w:rsidR="00C4105D" w:rsidRPr="00443D52">
        <w:rPr>
          <w:rFonts w:eastAsia="Times New Roman" w:cs="Arial"/>
          <w:szCs w:val="20"/>
          <w:lang w:eastAsia="en-AU"/>
        </w:rPr>
        <w:t>Method variations</w:t>
      </w:r>
      <w:r w:rsidR="00C4105D" w:rsidDel="00E91832">
        <w:rPr>
          <w:rFonts w:eastAsia="Times New Roman" w:cs="Arial"/>
          <w:szCs w:val="20"/>
          <w:lang w:eastAsia="en-AU"/>
        </w:rPr>
        <w:t xml:space="preserve"> </w:t>
      </w:r>
      <w:r w:rsidR="00E91832">
        <w:rPr>
          <w:rFonts w:eastAsia="Times New Roman" w:cs="Arial"/>
          <w:szCs w:val="20"/>
          <w:lang w:eastAsia="en-AU"/>
        </w:rPr>
        <w:t xml:space="preserve">were </w:t>
      </w:r>
      <w:r w:rsidR="00C16177">
        <w:rPr>
          <w:rFonts w:eastAsia="Times New Roman" w:cs="Arial"/>
          <w:szCs w:val="20"/>
          <w:lang w:eastAsia="en-AU"/>
        </w:rPr>
        <w:t>initiated within the Department</w:t>
      </w:r>
      <w:r w:rsidR="007E4A3D">
        <w:rPr>
          <w:rFonts w:eastAsia="Times New Roman" w:cs="Arial"/>
          <w:szCs w:val="20"/>
          <w:lang w:eastAsia="en-AU"/>
        </w:rPr>
        <w:t>,</w:t>
      </w:r>
      <w:r w:rsidR="00C16177">
        <w:rPr>
          <w:rFonts w:eastAsia="Times New Roman" w:cs="Arial"/>
          <w:szCs w:val="20"/>
          <w:lang w:eastAsia="en-AU"/>
        </w:rPr>
        <w:t xml:space="preserve"> </w:t>
      </w:r>
      <w:r w:rsidR="00125B9E">
        <w:rPr>
          <w:rFonts w:eastAsia="Times New Roman" w:cs="Arial"/>
          <w:szCs w:val="20"/>
          <w:lang w:eastAsia="en-AU"/>
        </w:rPr>
        <w:t xml:space="preserve">often on the recommendation of </w:t>
      </w:r>
      <w:r w:rsidR="00C16177">
        <w:rPr>
          <w:rFonts w:eastAsia="Times New Roman" w:cs="Arial"/>
          <w:szCs w:val="20"/>
          <w:lang w:eastAsia="en-AU"/>
        </w:rPr>
        <w:t>the ERAC</w:t>
      </w:r>
      <w:r w:rsidR="00A75C76">
        <w:rPr>
          <w:rFonts w:eastAsia="Times New Roman" w:cs="Arial"/>
          <w:szCs w:val="20"/>
          <w:lang w:eastAsia="en-AU"/>
        </w:rPr>
        <w:t>. Prior to the consolidation of functions, method variations were</w:t>
      </w:r>
      <w:r w:rsidR="00C16177">
        <w:rPr>
          <w:rFonts w:eastAsia="Times New Roman" w:cs="Arial"/>
          <w:szCs w:val="20"/>
          <w:lang w:eastAsia="en-AU"/>
        </w:rPr>
        <w:t xml:space="preserve"> </w:t>
      </w:r>
      <w:r w:rsidR="00C4105D" w:rsidRPr="00443D52">
        <w:rPr>
          <w:rFonts w:eastAsia="Times New Roman" w:cs="Arial"/>
          <w:szCs w:val="20"/>
          <w:lang w:eastAsia="en-AU"/>
        </w:rPr>
        <w:t>drafted by the Department</w:t>
      </w:r>
      <w:r w:rsidR="00C4105D">
        <w:rPr>
          <w:rFonts w:eastAsia="Times New Roman" w:cs="Arial"/>
          <w:szCs w:val="20"/>
          <w:lang w:eastAsia="en-AU"/>
        </w:rPr>
        <w:t xml:space="preserve">, with input from </w:t>
      </w:r>
      <w:r w:rsidR="007438EB">
        <w:rPr>
          <w:rFonts w:eastAsia="Times New Roman" w:cs="Arial"/>
          <w:szCs w:val="20"/>
          <w:lang w:eastAsia="en-AU"/>
        </w:rPr>
        <w:t xml:space="preserve">the </w:t>
      </w:r>
      <w:r w:rsidR="003A7776">
        <w:rPr>
          <w:rFonts w:eastAsia="Times New Roman" w:cs="Arial"/>
          <w:szCs w:val="20"/>
          <w:lang w:eastAsia="en-AU"/>
        </w:rPr>
        <w:t>R</w:t>
      </w:r>
      <w:r w:rsidR="007438EB">
        <w:rPr>
          <w:rFonts w:eastAsia="Times New Roman" w:cs="Arial"/>
          <w:szCs w:val="20"/>
          <w:lang w:eastAsia="en-AU"/>
        </w:rPr>
        <w:t>egulator</w:t>
      </w:r>
      <w:r w:rsidR="00EB6EC4">
        <w:rPr>
          <w:rFonts w:eastAsia="Times New Roman" w:cs="Arial"/>
          <w:szCs w:val="20"/>
          <w:lang w:eastAsia="en-AU"/>
        </w:rPr>
        <w:t xml:space="preserve"> </w:t>
      </w:r>
      <w:r w:rsidR="00C4105D" w:rsidRPr="00443D52">
        <w:rPr>
          <w:rFonts w:eastAsia="Times New Roman" w:cs="Arial"/>
          <w:szCs w:val="20"/>
          <w:lang w:eastAsia="en-AU"/>
        </w:rPr>
        <w:t>(</w:t>
      </w:r>
      <w:r w:rsidR="00C4105D" w:rsidRPr="006D7116">
        <w:rPr>
          <w:rFonts w:eastAsia="Times New Roman" w:cs="Arial"/>
          <w:szCs w:val="20"/>
          <w:lang w:eastAsia="en-AU"/>
        </w:rPr>
        <w:t>CER 2016</w:t>
      </w:r>
      <w:r w:rsidR="00C4105D">
        <w:rPr>
          <w:rFonts w:eastAsia="Times New Roman" w:cs="Arial"/>
          <w:szCs w:val="20"/>
          <w:lang w:eastAsia="en-AU"/>
        </w:rPr>
        <w:t>).</w:t>
      </w:r>
      <w:r w:rsidR="003A3934">
        <w:rPr>
          <w:rFonts w:eastAsia="Times New Roman" w:cs="Arial"/>
          <w:szCs w:val="20"/>
          <w:lang w:eastAsia="en-AU"/>
        </w:rPr>
        <w:t xml:space="preserve"> </w:t>
      </w:r>
    </w:p>
    <w:p w14:paraId="5EF30D43" w14:textId="4A013E97" w:rsidR="00304A18" w:rsidRDefault="00304A18" w:rsidP="00DC3A77">
      <w:pPr>
        <w:spacing w:after="0"/>
        <w:textAlignment w:val="baseline"/>
        <w:rPr>
          <w:rFonts w:eastAsia="Times New Roman" w:cs="Arial"/>
          <w:szCs w:val="20"/>
          <w:lang w:eastAsia="en-AU"/>
        </w:rPr>
      </w:pPr>
    </w:p>
    <w:p w14:paraId="0EE26C60" w14:textId="7F80CE61" w:rsidR="00125B9E" w:rsidRPr="00125B9E" w:rsidRDefault="00DF5E03" w:rsidP="00125B9E">
      <w:pPr>
        <w:spacing w:after="0"/>
        <w:textAlignment w:val="baseline"/>
        <w:rPr>
          <w:rFonts w:eastAsia="Times New Roman" w:cs="Arial"/>
          <w:szCs w:val="20"/>
          <w:lang w:eastAsia="en-AU"/>
        </w:rPr>
      </w:pPr>
      <w:r>
        <w:rPr>
          <w:rFonts w:eastAsia="Times New Roman" w:cs="Arial"/>
          <w:szCs w:val="20"/>
          <w:lang w:eastAsia="en-AU"/>
        </w:rPr>
        <w:t>Several stakeholder submissions raised concerns about method development and review processes being opaque and inefficient (</w:t>
      </w:r>
      <w:r w:rsidR="005A0B9B" w:rsidRPr="001C1A0B">
        <w:rPr>
          <w:rFonts w:eastAsia="Times New Roman" w:cs="Arial"/>
          <w:szCs w:val="20"/>
          <w:lang w:eastAsia="en-AU"/>
        </w:rPr>
        <w:t xml:space="preserve">EDL p. 2; </w:t>
      </w:r>
      <w:r w:rsidRPr="001C1A0B">
        <w:rPr>
          <w:rFonts w:eastAsia="Times New Roman" w:cs="Arial"/>
          <w:szCs w:val="20"/>
          <w:lang w:eastAsia="en-AU"/>
        </w:rPr>
        <w:t>Energy Savings Industry Association p.3</w:t>
      </w:r>
      <w:r>
        <w:rPr>
          <w:rFonts w:eastAsia="Times New Roman" w:cs="Arial"/>
          <w:szCs w:val="20"/>
          <w:lang w:eastAsia="en-AU"/>
        </w:rPr>
        <w:t>;</w:t>
      </w:r>
      <w:r w:rsidRPr="00125B9E">
        <w:rPr>
          <w:rFonts w:eastAsia="Times New Roman" w:cs="Arial"/>
          <w:szCs w:val="20"/>
          <w:lang w:eastAsia="en-AU"/>
        </w:rPr>
        <w:t xml:space="preserve"> </w:t>
      </w:r>
      <w:r w:rsidR="00125B9E">
        <w:rPr>
          <w:rFonts w:eastAsia="Times New Roman" w:cs="Arial"/>
          <w:szCs w:val="20"/>
          <w:lang w:eastAsia="en-AU"/>
        </w:rPr>
        <w:t>Carbon X p. 4</w:t>
      </w:r>
      <w:r>
        <w:rPr>
          <w:rFonts w:eastAsia="Times New Roman" w:cs="Arial"/>
          <w:szCs w:val="20"/>
          <w:lang w:eastAsia="en-AU"/>
        </w:rPr>
        <w:t xml:space="preserve">), suggesting that the Department and the ERAC lack sufficient resources to undertake their legislative functions </w:t>
      </w:r>
      <w:r w:rsidR="008549F8">
        <w:rPr>
          <w:rFonts w:eastAsia="Times New Roman" w:cs="Arial"/>
          <w:szCs w:val="20"/>
          <w:lang w:eastAsia="en-AU"/>
        </w:rPr>
        <w:t xml:space="preserve">effectively </w:t>
      </w:r>
      <w:r>
        <w:rPr>
          <w:rFonts w:eastAsia="Times New Roman" w:cs="Arial"/>
          <w:szCs w:val="20"/>
          <w:lang w:eastAsia="en-AU"/>
        </w:rPr>
        <w:t>(</w:t>
      </w:r>
      <w:r w:rsidRPr="001C1A0B">
        <w:rPr>
          <w:rFonts w:eastAsia="Times New Roman" w:cs="Arial"/>
          <w:szCs w:val="20"/>
          <w:lang w:eastAsia="en-AU"/>
        </w:rPr>
        <w:t>Greening Australia p 2; EDL p. 2</w:t>
      </w:r>
      <w:r>
        <w:rPr>
          <w:rFonts w:eastAsia="Times New Roman" w:cs="Arial"/>
          <w:szCs w:val="20"/>
          <w:lang w:eastAsia="en-AU"/>
        </w:rPr>
        <w:t>).</w:t>
      </w:r>
      <w:r w:rsidR="00235D74">
        <w:rPr>
          <w:rFonts w:eastAsia="Times New Roman" w:cs="Arial"/>
          <w:szCs w:val="20"/>
          <w:lang w:eastAsia="en-AU"/>
        </w:rPr>
        <w:t xml:space="preserve"> </w:t>
      </w:r>
      <w:r w:rsidR="00125B9E" w:rsidRPr="00125B9E">
        <w:rPr>
          <w:rFonts w:eastAsia="Times New Roman" w:cs="Arial"/>
          <w:szCs w:val="20"/>
          <w:lang w:eastAsia="en-AU"/>
        </w:rPr>
        <w:t>The Kimberley Land Council noted that the communication between the Department and the Regulator could be improved (KLC submission p.10).</w:t>
      </w:r>
    </w:p>
    <w:p w14:paraId="0F2AB094" w14:textId="5166F8A9" w:rsidR="00DF5E03" w:rsidRDefault="00DF5E03" w:rsidP="00DC3A77">
      <w:pPr>
        <w:spacing w:after="0"/>
        <w:textAlignment w:val="baseline"/>
        <w:rPr>
          <w:rFonts w:eastAsia="Times New Roman" w:cs="Arial"/>
          <w:szCs w:val="20"/>
          <w:lang w:eastAsia="en-AU"/>
        </w:rPr>
      </w:pPr>
    </w:p>
    <w:p w14:paraId="1BC81FD7" w14:textId="0317A16B" w:rsidR="00942C1D" w:rsidRDefault="00E712BC" w:rsidP="001D10CD">
      <w:pPr>
        <w:rPr>
          <w:rFonts w:eastAsia="Times New Roman" w:cs="Arial"/>
          <w:szCs w:val="20"/>
          <w:lang w:eastAsia="en-AU"/>
        </w:rPr>
      </w:pPr>
      <w:r>
        <w:rPr>
          <w:rFonts w:eastAsia="Times New Roman" w:cs="Arial"/>
          <w:szCs w:val="20"/>
          <w:lang w:eastAsia="en-AU"/>
        </w:rPr>
        <w:t>A</w:t>
      </w:r>
      <w:r w:rsidR="00237EB1">
        <w:rPr>
          <w:rFonts w:eastAsia="Times New Roman" w:cs="Arial"/>
          <w:szCs w:val="20"/>
          <w:lang w:eastAsia="en-AU"/>
        </w:rPr>
        <w:t xml:space="preserve">s the </w:t>
      </w:r>
      <w:r w:rsidR="00942C1D">
        <w:rPr>
          <w:rFonts w:eastAsia="Times New Roman" w:cs="Arial"/>
          <w:szCs w:val="20"/>
          <w:lang w:eastAsia="en-AU"/>
        </w:rPr>
        <w:t>ERF matures</w:t>
      </w:r>
      <w:r w:rsidR="00F44FA6">
        <w:rPr>
          <w:rFonts w:eastAsia="Times New Roman" w:cs="Arial"/>
          <w:szCs w:val="20"/>
          <w:lang w:eastAsia="en-AU"/>
        </w:rPr>
        <w:t>,</w:t>
      </w:r>
      <w:r w:rsidR="00237EB1">
        <w:rPr>
          <w:rFonts w:eastAsia="Times New Roman" w:cs="Arial"/>
          <w:szCs w:val="20"/>
          <w:lang w:eastAsia="en-AU"/>
        </w:rPr>
        <w:t xml:space="preserve"> </w:t>
      </w:r>
      <w:r>
        <w:rPr>
          <w:rFonts w:eastAsia="Times New Roman" w:cs="Arial"/>
          <w:szCs w:val="20"/>
          <w:lang w:eastAsia="en-AU"/>
        </w:rPr>
        <w:t xml:space="preserve">the </w:t>
      </w:r>
      <w:r w:rsidR="00942C1D">
        <w:rPr>
          <w:rFonts w:eastAsia="Times New Roman" w:cs="Arial"/>
          <w:szCs w:val="20"/>
          <w:lang w:eastAsia="en-AU"/>
        </w:rPr>
        <w:t xml:space="preserve">practical experience </w:t>
      </w:r>
      <w:r>
        <w:rPr>
          <w:rFonts w:eastAsia="Times New Roman" w:cs="Arial"/>
          <w:szCs w:val="20"/>
          <w:lang w:eastAsia="en-AU"/>
        </w:rPr>
        <w:t>of</w:t>
      </w:r>
      <w:r w:rsidR="00942C1D">
        <w:rPr>
          <w:rFonts w:eastAsia="Times New Roman" w:cs="Arial"/>
          <w:szCs w:val="20"/>
          <w:lang w:eastAsia="en-AU"/>
        </w:rPr>
        <w:t xml:space="preserve"> the Regulator </w:t>
      </w:r>
      <w:r w:rsidR="008E44A9">
        <w:rPr>
          <w:rFonts w:eastAsia="Times New Roman" w:cs="Arial"/>
          <w:szCs w:val="20"/>
          <w:lang w:eastAsia="en-AU"/>
        </w:rPr>
        <w:t xml:space="preserve">in </w:t>
      </w:r>
      <w:r w:rsidR="00942C1D">
        <w:rPr>
          <w:rFonts w:eastAsia="Times New Roman" w:cs="Arial"/>
          <w:szCs w:val="20"/>
          <w:lang w:eastAsia="en-AU"/>
        </w:rPr>
        <w:t xml:space="preserve">administering the scheme </w:t>
      </w:r>
      <w:r w:rsidR="00AC12A3">
        <w:rPr>
          <w:rFonts w:eastAsia="Times New Roman" w:cs="Arial"/>
          <w:szCs w:val="20"/>
          <w:lang w:eastAsia="en-AU"/>
        </w:rPr>
        <w:t>has</w:t>
      </w:r>
      <w:r w:rsidR="00942C1D">
        <w:rPr>
          <w:rFonts w:eastAsia="Times New Roman" w:cs="Arial"/>
          <w:szCs w:val="20"/>
          <w:lang w:eastAsia="en-AU"/>
        </w:rPr>
        <w:t xml:space="preserve"> becom</w:t>
      </w:r>
      <w:r w:rsidR="00AC12A3">
        <w:rPr>
          <w:rFonts w:eastAsia="Times New Roman" w:cs="Arial"/>
          <w:szCs w:val="20"/>
          <w:lang w:eastAsia="en-AU"/>
        </w:rPr>
        <w:t>e</w:t>
      </w:r>
      <w:r w:rsidR="00942C1D">
        <w:rPr>
          <w:rFonts w:eastAsia="Times New Roman" w:cs="Arial"/>
          <w:szCs w:val="20"/>
          <w:lang w:eastAsia="en-AU"/>
        </w:rPr>
        <w:t xml:space="preserve"> increasingly </w:t>
      </w:r>
      <w:r w:rsidR="004F2D12">
        <w:rPr>
          <w:rFonts w:eastAsia="Times New Roman" w:cs="Arial"/>
          <w:szCs w:val="20"/>
          <w:lang w:eastAsia="en-AU"/>
        </w:rPr>
        <w:t>valuable</w:t>
      </w:r>
      <w:r w:rsidR="00942C1D">
        <w:rPr>
          <w:rFonts w:eastAsia="Times New Roman" w:cs="Arial"/>
          <w:szCs w:val="20"/>
          <w:lang w:eastAsia="en-AU"/>
        </w:rPr>
        <w:t xml:space="preserve"> in the development of new methods and the variation of existing methods</w:t>
      </w:r>
      <w:r w:rsidR="00FB0C7A">
        <w:rPr>
          <w:rFonts w:eastAsia="Times New Roman" w:cs="Arial"/>
          <w:szCs w:val="20"/>
          <w:lang w:eastAsia="en-AU"/>
        </w:rPr>
        <w:t>,</w:t>
      </w:r>
      <w:r w:rsidR="007438EB">
        <w:rPr>
          <w:rFonts w:eastAsia="Times New Roman" w:cs="Arial"/>
          <w:szCs w:val="20"/>
          <w:lang w:eastAsia="en-AU"/>
        </w:rPr>
        <w:t xml:space="preserve"> as well as</w:t>
      </w:r>
      <w:r w:rsidR="00942C1D">
        <w:rPr>
          <w:rFonts w:eastAsia="Times New Roman" w:cs="Arial"/>
          <w:szCs w:val="20"/>
          <w:lang w:eastAsia="en-AU"/>
        </w:rPr>
        <w:t xml:space="preserve"> in </w:t>
      </w:r>
      <w:r w:rsidR="007438EB">
        <w:rPr>
          <w:rFonts w:eastAsia="Times New Roman" w:cs="Arial"/>
          <w:szCs w:val="20"/>
          <w:lang w:eastAsia="en-AU"/>
        </w:rPr>
        <w:t xml:space="preserve">the development of </w:t>
      </w:r>
      <w:r w:rsidR="00550EDF">
        <w:rPr>
          <w:rFonts w:eastAsia="Times New Roman" w:cs="Arial"/>
          <w:szCs w:val="20"/>
          <w:lang w:eastAsia="en-AU"/>
        </w:rPr>
        <w:t xml:space="preserve">practical </w:t>
      </w:r>
      <w:r w:rsidR="007438EB">
        <w:rPr>
          <w:rFonts w:eastAsia="Times New Roman" w:cs="Arial"/>
          <w:szCs w:val="20"/>
          <w:lang w:eastAsia="en-AU"/>
        </w:rPr>
        <w:t xml:space="preserve">guidance to project proponents and application of </w:t>
      </w:r>
      <w:r w:rsidR="001B29BB">
        <w:rPr>
          <w:rFonts w:eastAsia="Times New Roman" w:cs="Arial"/>
          <w:szCs w:val="20"/>
          <w:lang w:eastAsia="en-AU"/>
        </w:rPr>
        <w:t xml:space="preserve">abatement </w:t>
      </w:r>
      <w:r w:rsidR="007438EB">
        <w:rPr>
          <w:rFonts w:eastAsia="Times New Roman" w:cs="Arial"/>
          <w:szCs w:val="20"/>
          <w:lang w:eastAsia="en-AU"/>
        </w:rPr>
        <w:t xml:space="preserve">measurement tools. </w:t>
      </w:r>
      <w:r w:rsidR="00CA1F6D">
        <w:rPr>
          <w:rFonts w:eastAsia="Times New Roman" w:cs="Arial"/>
          <w:szCs w:val="20"/>
          <w:lang w:eastAsia="en-AU"/>
        </w:rPr>
        <w:t xml:space="preserve">The registration, management, monitoring and compliance of ERF projects necessitates a high level of technical skill and expertise. </w:t>
      </w:r>
      <w:r w:rsidR="007438EB">
        <w:rPr>
          <w:rFonts w:eastAsia="Times New Roman" w:cs="Arial"/>
          <w:szCs w:val="20"/>
          <w:lang w:eastAsia="en-AU"/>
        </w:rPr>
        <w:t>At the same time</w:t>
      </w:r>
      <w:r w:rsidR="004F2D12">
        <w:rPr>
          <w:rFonts w:eastAsia="Times New Roman" w:cs="Arial"/>
          <w:szCs w:val="20"/>
          <w:lang w:eastAsia="en-AU"/>
        </w:rPr>
        <w:t>,</w:t>
      </w:r>
      <w:r w:rsidR="007438EB">
        <w:rPr>
          <w:rFonts w:eastAsia="Times New Roman" w:cs="Arial"/>
          <w:szCs w:val="20"/>
          <w:lang w:eastAsia="en-AU"/>
        </w:rPr>
        <w:t xml:space="preserve"> the Department </w:t>
      </w:r>
      <w:r w:rsidR="00AC12A3">
        <w:rPr>
          <w:rFonts w:eastAsia="Times New Roman" w:cs="Arial"/>
          <w:szCs w:val="20"/>
          <w:lang w:eastAsia="en-AU"/>
        </w:rPr>
        <w:t>was</w:t>
      </w:r>
      <w:r w:rsidR="007438EB">
        <w:rPr>
          <w:rFonts w:eastAsia="Times New Roman" w:cs="Arial"/>
          <w:szCs w:val="20"/>
          <w:lang w:eastAsia="en-AU"/>
        </w:rPr>
        <w:t xml:space="preserve"> required to maintain the technical skills necessary to undertake </w:t>
      </w:r>
      <w:r w:rsidR="00942C1D">
        <w:rPr>
          <w:rFonts w:eastAsia="Times New Roman" w:cs="Arial"/>
          <w:szCs w:val="20"/>
          <w:lang w:eastAsia="en-AU"/>
        </w:rPr>
        <w:t>me</w:t>
      </w:r>
      <w:r w:rsidR="007438EB">
        <w:rPr>
          <w:rFonts w:eastAsia="Times New Roman" w:cs="Arial"/>
          <w:szCs w:val="20"/>
          <w:lang w:eastAsia="en-AU"/>
        </w:rPr>
        <w:t>thod development and variation</w:t>
      </w:r>
      <w:r w:rsidR="007E4A3D">
        <w:rPr>
          <w:rFonts w:eastAsia="Times New Roman" w:cs="Arial"/>
          <w:szCs w:val="20"/>
          <w:lang w:eastAsia="en-AU"/>
        </w:rPr>
        <w:t>,</w:t>
      </w:r>
      <w:r w:rsidR="007438EB">
        <w:rPr>
          <w:rFonts w:eastAsia="Times New Roman" w:cs="Arial"/>
          <w:szCs w:val="20"/>
          <w:lang w:eastAsia="en-AU"/>
        </w:rPr>
        <w:t xml:space="preserve"> leading to a duplication of highly technical resources</w:t>
      </w:r>
      <w:r w:rsidR="00CA1F6D">
        <w:rPr>
          <w:rFonts w:eastAsia="Times New Roman" w:cs="Arial"/>
          <w:szCs w:val="20"/>
          <w:lang w:eastAsia="en-AU"/>
        </w:rPr>
        <w:t xml:space="preserve">. </w:t>
      </w:r>
      <w:r w:rsidR="00AC12A3">
        <w:rPr>
          <w:rFonts w:eastAsia="Times New Roman" w:cs="Arial"/>
          <w:szCs w:val="20"/>
          <w:lang w:eastAsia="en-AU"/>
        </w:rPr>
        <w:t xml:space="preserve">The </w:t>
      </w:r>
      <w:r w:rsidR="00D871AF">
        <w:rPr>
          <w:rFonts w:eastAsia="Times New Roman" w:cs="Arial"/>
          <w:szCs w:val="20"/>
          <w:lang w:eastAsia="en-AU"/>
        </w:rPr>
        <w:t xml:space="preserve">Government’s </w:t>
      </w:r>
      <w:r w:rsidR="00C62911">
        <w:rPr>
          <w:rFonts w:eastAsia="Times New Roman" w:cs="Arial"/>
          <w:szCs w:val="20"/>
          <w:lang w:eastAsia="en-AU"/>
        </w:rPr>
        <w:t>decision</w:t>
      </w:r>
      <w:r w:rsidR="00AC12A3">
        <w:rPr>
          <w:rFonts w:eastAsia="Times New Roman" w:cs="Arial"/>
          <w:szCs w:val="20"/>
          <w:lang w:eastAsia="en-AU"/>
        </w:rPr>
        <w:t xml:space="preserve"> to consolidate </w:t>
      </w:r>
      <w:r w:rsidR="00CA1F6D">
        <w:rPr>
          <w:rFonts w:eastAsia="Times New Roman" w:cs="Arial"/>
          <w:szCs w:val="20"/>
          <w:lang w:eastAsia="en-AU"/>
        </w:rPr>
        <w:t>method development and variation functions in the</w:t>
      </w:r>
      <w:r w:rsidR="001B29BB">
        <w:rPr>
          <w:rFonts w:eastAsia="Times New Roman" w:cs="Arial"/>
          <w:szCs w:val="20"/>
          <w:lang w:eastAsia="en-AU"/>
        </w:rPr>
        <w:t xml:space="preserve"> Regulator </w:t>
      </w:r>
      <w:r w:rsidR="00C62911">
        <w:rPr>
          <w:rFonts w:eastAsia="Times New Roman" w:cs="Arial"/>
          <w:szCs w:val="20"/>
          <w:lang w:eastAsia="en-AU"/>
        </w:rPr>
        <w:t>(</w:t>
      </w:r>
      <w:r w:rsidR="00C62911" w:rsidRPr="00D72F5E">
        <w:rPr>
          <w:rFonts w:eastAsia="Times New Roman" w:cs="Arial"/>
          <w:szCs w:val="20"/>
          <w:lang w:eastAsia="en-AU"/>
        </w:rPr>
        <w:t>Taylor</w:t>
      </w:r>
      <w:r w:rsidR="008577F6" w:rsidRPr="00D72F5E">
        <w:rPr>
          <w:rFonts w:eastAsia="Times New Roman" w:cs="Arial"/>
          <w:szCs w:val="20"/>
          <w:lang w:eastAsia="en-AU"/>
        </w:rPr>
        <w:t xml:space="preserve"> A</w:t>
      </w:r>
      <w:r w:rsidR="00C62911" w:rsidRPr="00D72F5E">
        <w:rPr>
          <w:rFonts w:eastAsia="Times New Roman" w:cs="Arial"/>
          <w:szCs w:val="20"/>
          <w:lang w:eastAsia="en-AU"/>
        </w:rPr>
        <w:t xml:space="preserve"> 2020</w:t>
      </w:r>
      <w:r w:rsidR="00C62911">
        <w:rPr>
          <w:rFonts w:eastAsia="Times New Roman" w:cs="Arial"/>
          <w:szCs w:val="20"/>
          <w:lang w:eastAsia="en-AU"/>
        </w:rPr>
        <w:t>)</w:t>
      </w:r>
      <w:r w:rsidR="001B29BB">
        <w:rPr>
          <w:rFonts w:eastAsia="Times New Roman" w:cs="Arial"/>
          <w:szCs w:val="20"/>
          <w:lang w:eastAsia="en-AU"/>
        </w:rPr>
        <w:t xml:space="preserve"> </w:t>
      </w:r>
      <w:r w:rsidR="00AC12A3">
        <w:rPr>
          <w:rFonts w:eastAsia="Times New Roman" w:cs="Arial"/>
          <w:szCs w:val="20"/>
          <w:lang w:eastAsia="en-AU"/>
        </w:rPr>
        <w:t>is likely to</w:t>
      </w:r>
      <w:r w:rsidR="001B29BB">
        <w:rPr>
          <w:rFonts w:eastAsia="Times New Roman" w:cs="Arial"/>
          <w:szCs w:val="20"/>
          <w:lang w:eastAsia="en-AU"/>
        </w:rPr>
        <w:t xml:space="preserve"> optimise scarce</w:t>
      </w:r>
      <w:r w:rsidR="00CA1F6D">
        <w:rPr>
          <w:rFonts w:eastAsia="Times New Roman" w:cs="Arial"/>
          <w:szCs w:val="20"/>
          <w:lang w:eastAsia="en-AU"/>
        </w:rPr>
        <w:t xml:space="preserve"> resources and streamline these processes, negating the need </w:t>
      </w:r>
      <w:r w:rsidR="00F84444">
        <w:rPr>
          <w:rFonts w:eastAsia="Times New Roman" w:cs="Arial"/>
          <w:szCs w:val="20"/>
          <w:lang w:eastAsia="en-AU"/>
        </w:rPr>
        <w:t>to duplicate expertise across</w:t>
      </w:r>
      <w:r w:rsidR="00F84444" w:rsidDel="00F84444">
        <w:rPr>
          <w:rFonts w:eastAsia="Times New Roman" w:cs="Arial"/>
          <w:szCs w:val="20"/>
          <w:lang w:eastAsia="en-AU"/>
        </w:rPr>
        <w:t xml:space="preserve"> </w:t>
      </w:r>
      <w:r w:rsidR="00CA1F6D">
        <w:rPr>
          <w:rFonts w:eastAsia="Times New Roman" w:cs="Arial"/>
          <w:szCs w:val="20"/>
          <w:lang w:eastAsia="en-AU"/>
        </w:rPr>
        <w:t xml:space="preserve">two </w:t>
      </w:r>
      <w:r w:rsidR="00F84444">
        <w:rPr>
          <w:rFonts w:eastAsia="Times New Roman" w:cs="Arial"/>
          <w:szCs w:val="20"/>
          <w:lang w:eastAsia="en-AU"/>
        </w:rPr>
        <w:t>distinct</w:t>
      </w:r>
      <w:r w:rsidR="00CA1F6D">
        <w:rPr>
          <w:rFonts w:eastAsia="Times New Roman" w:cs="Arial"/>
          <w:szCs w:val="20"/>
          <w:lang w:eastAsia="en-AU"/>
        </w:rPr>
        <w:t xml:space="preserve"> workforces. </w:t>
      </w:r>
      <w:r w:rsidR="007619D4">
        <w:rPr>
          <w:rFonts w:cstheme="minorHAnsi"/>
        </w:rPr>
        <w:t>A number of</w:t>
      </w:r>
      <w:r w:rsidR="00E75A01">
        <w:rPr>
          <w:rFonts w:cstheme="minorHAnsi"/>
        </w:rPr>
        <w:t xml:space="preserve"> stakeholders were complimentary of the a</w:t>
      </w:r>
      <w:r w:rsidR="00E75A01" w:rsidRPr="009A623E">
        <w:rPr>
          <w:rFonts w:cstheme="minorHAnsi"/>
        </w:rPr>
        <w:t xml:space="preserve">dministration </w:t>
      </w:r>
      <w:r w:rsidR="00E75A01">
        <w:rPr>
          <w:rFonts w:cstheme="minorHAnsi"/>
        </w:rPr>
        <w:t xml:space="preserve">of the ERF </w:t>
      </w:r>
      <w:r w:rsidR="00E75A01" w:rsidRPr="009A623E">
        <w:rPr>
          <w:rFonts w:cstheme="minorHAnsi"/>
        </w:rPr>
        <w:t xml:space="preserve">by </w:t>
      </w:r>
      <w:r w:rsidR="00E75A01">
        <w:rPr>
          <w:rFonts w:cstheme="minorHAnsi"/>
        </w:rPr>
        <w:t>the Regulator</w:t>
      </w:r>
      <w:r w:rsidR="00E75A01" w:rsidRPr="00120D5F">
        <w:rPr>
          <w:rFonts w:cstheme="minorHAnsi"/>
        </w:rPr>
        <w:t xml:space="preserve"> (Hydro Tas</w:t>
      </w:r>
      <w:r w:rsidR="00E75A01">
        <w:rPr>
          <w:rFonts w:cstheme="minorHAnsi"/>
        </w:rPr>
        <w:t>mania</w:t>
      </w:r>
      <w:r w:rsidR="00E75A01" w:rsidRPr="00120D5F">
        <w:rPr>
          <w:rFonts w:cstheme="minorHAnsi"/>
        </w:rPr>
        <w:t>, Woodside</w:t>
      </w:r>
      <w:r w:rsidR="00C32248">
        <w:rPr>
          <w:rFonts w:cstheme="minorHAnsi"/>
        </w:rPr>
        <w:t>, Carbon Friendly, GreenCollar</w:t>
      </w:r>
      <w:r w:rsidR="00E75A01" w:rsidRPr="00120D5F">
        <w:rPr>
          <w:rFonts w:cstheme="minorHAnsi"/>
        </w:rPr>
        <w:t xml:space="preserve">). </w:t>
      </w:r>
    </w:p>
    <w:p w14:paraId="32AE5351" w14:textId="3BC0161D" w:rsidR="00CA1F6D" w:rsidRDefault="00AC12A3" w:rsidP="00CA1F6D">
      <w:pPr>
        <w:spacing w:after="0"/>
        <w:textAlignment w:val="baseline"/>
        <w:rPr>
          <w:rFonts w:eastAsia="Times New Roman" w:cs="Arial"/>
          <w:szCs w:val="20"/>
          <w:lang w:eastAsia="en-AU"/>
        </w:rPr>
      </w:pPr>
      <w:r>
        <w:rPr>
          <w:rFonts w:eastAsia="Times New Roman" w:cs="Arial"/>
          <w:szCs w:val="20"/>
          <w:lang w:eastAsia="en-AU"/>
        </w:rPr>
        <w:t>However, i</w:t>
      </w:r>
      <w:r w:rsidR="00E14007">
        <w:rPr>
          <w:rFonts w:eastAsia="Times New Roman" w:cs="Arial"/>
          <w:szCs w:val="20"/>
          <w:lang w:eastAsia="en-AU"/>
        </w:rPr>
        <w:t xml:space="preserve">n </w:t>
      </w:r>
      <w:r w:rsidR="00CA1F6D">
        <w:rPr>
          <w:rFonts w:eastAsia="Times New Roman" w:cs="Arial"/>
          <w:szCs w:val="20"/>
          <w:lang w:eastAsia="en-AU"/>
        </w:rPr>
        <w:t xml:space="preserve">addition to its administrative functions, the Regulator also </w:t>
      </w:r>
      <w:r w:rsidR="00D247C5">
        <w:rPr>
          <w:rFonts w:eastAsia="Times New Roman" w:cs="Arial"/>
          <w:szCs w:val="20"/>
          <w:lang w:eastAsia="en-AU"/>
        </w:rPr>
        <w:t xml:space="preserve">issues ACCUs to </w:t>
      </w:r>
      <w:r w:rsidR="00CA1F6D">
        <w:rPr>
          <w:rFonts w:eastAsia="Times New Roman" w:cs="Arial"/>
          <w:szCs w:val="20"/>
          <w:lang w:eastAsia="en-AU"/>
        </w:rPr>
        <w:t>projects and purchases ACCUs</w:t>
      </w:r>
      <w:r w:rsidR="00D247C5">
        <w:rPr>
          <w:rFonts w:eastAsia="Times New Roman" w:cs="Arial"/>
          <w:szCs w:val="20"/>
          <w:lang w:eastAsia="en-AU"/>
        </w:rPr>
        <w:t xml:space="preserve"> via ERF auctions</w:t>
      </w:r>
      <w:r w:rsidR="00CA1F6D">
        <w:rPr>
          <w:rFonts w:eastAsia="Times New Roman" w:cs="Arial"/>
          <w:szCs w:val="20"/>
          <w:lang w:eastAsia="en-AU"/>
        </w:rPr>
        <w:t>.</w:t>
      </w:r>
      <w:r w:rsidR="00CA1F6D" w:rsidRPr="001C1A0B">
        <w:rPr>
          <w:rFonts w:eastAsia="Times New Roman" w:cs="Arial"/>
          <w:szCs w:val="20"/>
          <w:lang w:eastAsia="en-AU"/>
        </w:rPr>
        <w:t xml:space="preserve"> </w:t>
      </w:r>
      <w:r w:rsidRPr="001C1A0B">
        <w:rPr>
          <w:rFonts w:eastAsia="Times New Roman" w:cs="Arial"/>
          <w:szCs w:val="20"/>
          <w:lang w:eastAsia="en-AU"/>
        </w:rPr>
        <w:t>Now that the Regulator has</w:t>
      </w:r>
      <w:r>
        <w:rPr>
          <w:rFonts w:ascii="Calibri" w:eastAsia="Calibri" w:hAnsi="Calibri" w:cs="Times New Roman"/>
          <w:color w:val="2E74B5"/>
          <w:sz w:val="22"/>
        </w:rPr>
        <w:t xml:space="preserve"> </w:t>
      </w:r>
      <w:r w:rsidR="00CA1F6D" w:rsidRPr="00CA1F6D">
        <w:rPr>
          <w:rFonts w:eastAsia="Times New Roman" w:cs="Arial"/>
          <w:szCs w:val="20"/>
          <w:lang w:eastAsia="en-AU"/>
        </w:rPr>
        <w:t>responsibility for method development and variation</w:t>
      </w:r>
      <w:r w:rsidR="00CB05EB">
        <w:rPr>
          <w:rFonts w:eastAsia="Times New Roman" w:cs="Arial"/>
          <w:szCs w:val="20"/>
          <w:lang w:eastAsia="en-AU"/>
        </w:rPr>
        <w:t>s</w:t>
      </w:r>
      <w:r w:rsidR="00202FF1">
        <w:rPr>
          <w:rFonts w:eastAsia="Times New Roman" w:cs="Arial"/>
          <w:szCs w:val="20"/>
          <w:lang w:eastAsia="en-AU"/>
        </w:rPr>
        <w:t xml:space="preserve">, </w:t>
      </w:r>
      <w:r>
        <w:rPr>
          <w:rFonts w:eastAsia="Times New Roman" w:cs="Arial"/>
          <w:szCs w:val="20"/>
          <w:lang w:eastAsia="en-AU"/>
        </w:rPr>
        <w:t xml:space="preserve">in addition to approving projects, </w:t>
      </w:r>
      <w:r w:rsidR="00CA1F6D" w:rsidRPr="00CA1F6D">
        <w:rPr>
          <w:rFonts w:eastAsia="Times New Roman" w:cs="Arial"/>
          <w:szCs w:val="20"/>
          <w:lang w:eastAsia="en-AU"/>
        </w:rPr>
        <w:t>compliance and enforcement</w:t>
      </w:r>
      <w:r w:rsidR="00202FF1">
        <w:rPr>
          <w:rFonts w:eastAsia="Times New Roman" w:cs="Arial"/>
          <w:szCs w:val="20"/>
          <w:lang w:eastAsia="en-AU"/>
        </w:rPr>
        <w:t>,</w:t>
      </w:r>
      <w:r w:rsidR="00CA1F6D" w:rsidRPr="00CA1F6D">
        <w:rPr>
          <w:rFonts w:eastAsia="Times New Roman" w:cs="Arial"/>
          <w:szCs w:val="20"/>
          <w:lang w:eastAsia="en-AU"/>
        </w:rPr>
        <w:t xml:space="preserve"> </w:t>
      </w:r>
      <w:r>
        <w:rPr>
          <w:rFonts w:eastAsia="Times New Roman" w:cs="Arial"/>
          <w:szCs w:val="20"/>
          <w:lang w:eastAsia="en-AU"/>
        </w:rPr>
        <w:t xml:space="preserve">creating </w:t>
      </w:r>
      <w:r w:rsidR="00CA1F6D" w:rsidRPr="00CA1F6D">
        <w:rPr>
          <w:rFonts w:eastAsia="Times New Roman" w:cs="Arial"/>
          <w:szCs w:val="20"/>
          <w:lang w:eastAsia="en-AU"/>
        </w:rPr>
        <w:t xml:space="preserve">interpretative guidance and rules around project implementation </w:t>
      </w:r>
      <w:r w:rsidR="00202FF1">
        <w:rPr>
          <w:rFonts w:eastAsia="Times New Roman" w:cs="Arial"/>
          <w:szCs w:val="20"/>
          <w:lang w:eastAsia="en-AU"/>
        </w:rPr>
        <w:t>and</w:t>
      </w:r>
      <w:r w:rsidR="001B29BB">
        <w:rPr>
          <w:rFonts w:eastAsia="Times New Roman" w:cs="Arial"/>
          <w:szCs w:val="20"/>
          <w:lang w:eastAsia="en-AU"/>
        </w:rPr>
        <w:t xml:space="preserve"> </w:t>
      </w:r>
      <w:r w:rsidR="00CA1F6D" w:rsidRPr="00CA1F6D">
        <w:rPr>
          <w:rFonts w:eastAsia="Times New Roman" w:cs="Arial"/>
          <w:szCs w:val="20"/>
          <w:lang w:eastAsia="en-AU"/>
        </w:rPr>
        <w:t>the crediting and purchasing functions</w:t>
      </w:r>
      <w:r w:rsidR="001B29BB">
        <w:rPr>
          <w:rFonts w:eastAsia="Times New Roman" w:cs="Arial"/>
          <w:szCs w:val="20"/>
          <w:lang w:eastAsia="en-AU"/>
        </w:rPr>
        <w:t xml:space="preserve"> of the ERF</w:t>
      </w:r>
      <w:r w:rsidR="00CA1F6D" w:rsidRPr="00CA1F6D">
        <w:rPr>
          <w:rFonts w:eastAsia="Times New Roman" w:cs="Arial"/>
          <w:szCs w:val="20"/>
          <w:lang w:eastAsia="en-AU"/>
        </w:rPr>
        <w:t>, real and perceived conflict of interests could arise.</w:t>
      </w:r>
      <w:r w:rsidR="00CA1F6D">
        <w:rPr>
          <w:rFonts w:ascii="Calibri" w:eastAsia="Calibri" w:hAnsi="Calibri" w:cs="Times New Roman"/>
          <w:color w:val="2E74B5"/>
          <w:sz w:val="22"/>
        </w:rPr>
        <w:t xml:space="preserve"> </w:t>
      </w:r>
      <w:r w:rsidR="00CA1F6D" w:rsidRPr="00CA1F6D">
        <w:rPr>
          <w:rFonts w:eastAsia="Times New Roman" w:cs="Arial"/>
          <w:szCs w:val="20"/>
          <w:lang w:eastAsia="en-AU"/>
        </w:rPr>
        <w:t xml:space="preserve"> </w:t>
      </w:r>
    </w:p>
    <w:p w14:paraId="0FD444EF" w14:textId="77777777" w:rsidR="00CA1F6D" w:rsidRDefault="00CA1F6D" w:rsidP="00CA1F6D">
      <w:pPr>
        <w:spacing w:after="0"/>
        <w:textAlignment w:val="baseline"/>
        <w:rPr>
          <w:rFonts w:eastAsia="Times New Roman" w:cs="Arial"/>
          <w:szCs w:val="20"/>
          <w:lang w:eastAsia="en-AU"/>
        </w:rPr>
      </w:pPr>
    </w:p>
    <w:p w14:paraId="09DC697D" w14:textId="455AE091" w:rsidR="00E713FE" w:rsidRDefault="00CA1F6D" w:rsidP="00DC3A77">
      <w:pPr>
        <w:spacing w:after="0"/>
        <w:textAlignment w:val="baseline"/>
        <w:rPr>
          <w:rFonts w:eastAsia="Times New Roman" w:cs="Arial"/>
          <w:szCs w:val="20"/>
          <w:lang w:eastAsia="en-AU"/>
        </w:rPr>
      </w:pPr>
      <w:r>
        <w:rPr>
          <w:rFonts w:eastAsia="Times New Roman" w:cs="Arial"/>
          <w:szCs w:val="20"/>
          <w:lang w:eastAsia="en-AU"/>
        </w:rPr>
        <w:t>In particular, one of the primary considerations in the development and variation of a method should be compliance with the Offset</w:t>
      </w:r>
      <w:r w:rsidR="00330874">
        <w:rPr>
          <w:rFonts w:eastAsia="Times New Roman" w:cs="Arial"/>
          <w:szCs w:val="20"/>
          <w:lang w:eastAsia="en-AU"/>
        </w:rPr>
        <w:t>s</w:t>
      </w:r>
      <w:r>
        <w:rPr>
          <w:rFonts w:eastAsia="Times New Roman" w:cs="Arial"/>
          <w:szCs w:val="20"/>
          <w:lang w:eastAsia="en-AU"/>
        </w:rPr>
        <w:t xml:space="preserve"> Integrity Standards. As explained in </w:t>
      </w:r>
      <w:r w:rsidRPr="001C1A0B">
        <w:rPr>
          <w:rFonts w:eastAsia="Times New Roman" w:cs="Arial"/>
          <w:szCs w:val="20"/>
          <w:lang w:eastAsia="en-AU"/>
        </w:rPr>
        <w:t>Chapter 5</w:t>
      </w:r>
      <w:r>
        <w:rPr>
          <w:rFonts w:eastAsia="Times New Roman" w:cs="Arial"/>
          <w:szCs w:val="20"/>
          <w:lang w:eastAsia="en-AU"/>
        </w:rPr>
        <w:t xml:space="preserve">, </w:t>
      </w:r>
      <w:r w:rsidR="00125B9E">
        <w:rPr>
          <w:rFonts w:eastAsia="Times New Roman" w:cs="Arial"/>
          <w:szCs w:val="20"/>
          <w:lang w:eastAsia="en-AU"/>
        </w:rPr>
        <w:t xml:space="preserve">the creation of genuine, additional abatement, </w:t>
      </w:r>
      <w:r w:rsidR="008549F8">
        <w:rPr>
          <w:rFonts w:eastAsia="Times New Roman" w:cs="Arial"/>
          <w:szCs w:val="20"/>
          <w:lang w:eastAsia="en-AU"/>
        </w:rPr>
        <w:t xml:space="preserve">is </w:t>
      </w:r>
      <w:r w:rsidRPr="00447B70">
        <w:t xml:space="preserve">an essential component of an offsets scheme because the primary purpose of </w:t>
      </w:r>
      <w:r w:rsidR="00330874">
        <w:t xml:space="preserve">an </w:t>
      </w:r>
      <w:r w:rsidRPr="00447B70">
        <w:t>offset is to replace higher cost emissions elsewhere</w:t>
      </w:r>
      <w:r>
        <w:t xml:space="preserve">. </w:t>
      </w:r>
      <w:r w:rsidR="00004958">
        <w:rPr>
          <w:lang w:val="en-US"/>
        </w:rPr>
        <w:t>The</w:t>
      </w:r>
      <w:r w:rsidR="00043F74">
        <w:rPr>
          <w:lang w:val="en-US"/>
        </w:rPr>
        <w:t xml:space="preserve">re is a fine balance to be struck between upholding </w:t>
      </w:r>
      <w:r w:rsidR="00004958">
        <w:rPr>
          <w:lang w:val="en-US"/>
        </w:rPr>
        <w:t xml:space="preserve">the </w:t>
      </w:r>
      <w:r w:rsidR="00043F74">
        <w:rPr>
          <w:lang w:val="en-US"/>
        </w:rPr>
        <w:t xml:space="preserve">intent of the </w:t>
      </w:r>
      <w:r w:rsidR="00004958">
        <w:rPr>
          <w:lang w:val="en-US"/>
        </w:rPr>
        <w:t>Offset</w:t>
      </w:r>
      <w:r w:rsidR="00486911">
        <w:rPr>
          <w:lang w:val="en-US"/>
        </w:rPr>
        <w:t>s</w:t>
      </w:r>
      <w:r w:rsidR="00004958">
        <w:rPr>
          <w:lang w:val="en-US"/>
        </w:rPr>
        <w:t xml:space="preserve"> Integrity Standards</w:t>
      </w:r>
      <w:r w:rsidR="001D6D48">
        <w:rPr>
          <w:lang w:val="en-US"/>
        </w:rPr>
        <w:t xml:space="preserve"> in the </w:t>
      </w:r>
      <w:r w:rsidR="00043F74">
        <w:rPr>
          <w:lang w:val="en-US"/>
        </w:rPr>
        <w:t>development and variation of methods on the one hand and</w:t>
      </w:r>
      <w:r w:rsidR="001D6D48">
        <w:rPr>
          <w:lang w:val="en-US"/>
        </w:rPr>
        <w:t xml:space="preserve"> </w:t>
      </w:r>
      <w:r w:rsidR="00043F74">
        <w:rPr>
          <w:lang w:val="en-US"/>
        </w:rPr>
        <w:t xml:space="preserve">in </w:t>
      </w:r>
      <w:r w:rsidR="001D6D48">
        <w:rPr>
          <w:lang w:val="en-US"/>
        </w:rPr>
        <w:t xml:space="preserve">the pursuit of </w:t>
      </w:r>
      <w:r w:rsidR="00E91832">
        <w:rPr>
          <w:lang w:val="en-US"/>
        </w:rPr>
        <w:t xml:space="preserve">more </w:t>
      </w:r>
      <w:r w:rsidR="00125B9E">
        <w:rPr>
          <w:lang w:val="en-US"/>
        </w:rPr>
        <w:t xml:space="preserve">credits </w:t>
      </w:r>
      <w:r w:rsidR="00E91832">
        <w:rPr>
          <w:lang w:val="en-US"/>
        </w:rPr>
        <w:t xml:space="preserve">at a lower cost </w:t>
      </w:r>
      <w:r w:rsidR="00043F74">
        <w:rPr>
          <w:lang w:val="en-US"/>
        </w:rPr>
        <w:t>through ERF purchasing on the other</w:t>
      </w:r>
      <w:r w:rsidR="00E713FE">
        <w:rPr>
          <w:rFonts w:eastAsia="Times New Roman" w:cs="Arial"/>
          <w:szCs w:val="20"/>
          <w:lang w:eastAsia="en-AU"/>
        </w:rPr>
        <w:t xml:space="preserve">. </w:t>
      </w:r>
      <w:r w:rsidR="00043F74">
        <w:rPr>
          <w:rFonts w:eastAsia="Times New Roman" w:cs="Arial"/>
          <w:szCs w:val="20"/>
          <w:lang w:eastAsia="en-AU"/>
        </w:rPr>
        <w:t>Consolidating these functions within a single institution could give rise to a</w:t>
      </w:r>
      <w:r w:rsidR="00E713FE">
        <w:rPr>
          <w:rFonts w:eastAsia="Times New Roman" w:cs="Arial"/>
          <w:szCs w:val="20"/>
          <w:lang w:eastAsia="en-AU"/>
        </w:rPr>
        <w:t xml:space="preserve"> </w:t>
      </w:r>
      <w:r w:rsidR="002D73CC">
        <w:rPr>
          <w:rFonts w:eastAsia="Times New Roman" w:cs="Arial"/>
          <w:szCs w:val="20"/>
          <w:lang w:eastAsia="en-AU"/>
        </w:rPr>
        <w:t xml:space="preserve">perception of a conflict </w:t>
      </w:r>
      <w:r w:rsidR="00043F74">
        <w:rPr>
          <w:rFonts w:eastAsia="Times New Roman" w:cs="Arial"/>
          <w:szCs w:val="20"/>
          <w:lang w:eastAsia="en-AU"/>
        </w:rPr>
        <w:t xml:space="preserve">of interest, which </w:t>
      </w:r>
      <w:r w:rsidR="002D73CC">
        <w:rPr>
          <w:rFonts w:eastAsia="Times New Roman" w:cs="Arial"/>
          <w:szCs w:val="20"/>
          <w:lang w:eastAsia="en-AU"/>
        </w:rPr>
        <w:t xml:space="preserve">could undermine </w:t>
      </w:r>
      <w:r w:rsidR="00D871AF">
        <w:rPr>
          <w:rFonts w:eastAsia="Times New Roman" w:cs="Arial"/>
          <w:szCs w:val="20"/>
          <w:lang w:eastAsia="en-AU"/>
        </w:rPr>
        <w:t>the reputation of</w:t>
      </w:r>
      <w:r w:rsidR="002D73CC">
        <w:rPr>
          <w:rFonts w:eastAsia="Times New Roman" w:cs="Arial"/>
          <w:szCs w:val="20"/>
          <w:lang w:eastAsia="en-AU"/>
        </w:rPr>
        <w:t xml:space="preserve"> the </w:t>
      </w:r>
      <w:r w:rsidR="00043F74">
        <w:rPr>
          <w:rFonts w:eastAsia="Times New Roman" w:cs="Arial"/>
          <w:szCs w:val="20"/>
          <w:lang w:eastAsia="en-AU"/>
        </w:rPr>
        <w:t>scheme</w:t>
      </w:r>
      <w:r w:rsidR="002D73CC">
        <w:rPr>
          <w:rFonts w:eastAsia="Times New Roman" w:cs="Arial"/>
          <w:szCs w:val="20"/>
          <w:lang w:eastAsia="en-AU"/>
        </w:rPr>
        <w:t xml:space="preserve">. </w:t>
      </w:r>
    </w:p>
    <w:p w14:paraId="69B8F16C" w14:textId="77777777" w:rsidR="00AC12A3" w:rsidRDefault="00AC12A3" w:rsidP="00DC3A77">
      <w:pPr>
        <w:spacing w:after="0"/>
        <w:textAlignment w:val="baseline"/>
        <w:rPr>
          <w:rFonts w:eastAsia="Calibri" w:cs="Arial"/>
          <w:szCs w:val="20"/>
        </w:rPr>
      </w:pPr>
    </w:p>
    <w:p w14:paraId="6BF38E2E" w14:textId="5449C632" w:rsidR="008549F8" w:rsidRDefault="002E55EF" w:rsidP="003C55EE">
      <w:pPr>
        <w:spacing w:after="0"/>
        <w:textAlignment w:val="baseline"/>
      </w:pPr>
      <w:r>
        <w:rPr>
          <w:rFonts w:eastAsia="Calibri" w:cs="Arial"/>
          <w:szCs w:val="20"/>
        </w:rPr>
        <w:t>Robust</w:t>
      </w:r>
      <w:r w:rsidR="00CB05EB">
        <w:rPr>
          <w:rFonts w:eastAsia="Calibri" w:cs="Arial"/>
          <w:szCs w:val="20"/>
        </w:rPr>
        <w:t xml:space="preserve"> probity measures will need to be </w:t>
      </w:r>
      <w:r w:rsidR="008549F8">
        <w:rPr>
          <w:rFonts w:eastAsia="Calibri" w:cs="Arial"/>
          <w:szCs w:val="20"/>
        </w:rPr>
        <w:t xml:space="preserve">maintained </w:t>
      </w:r>
      <w:r w:rsidR="00CB05EB">
        <w:rPr>
          <w:rFonts w:eastAsia="Calibri" w:cs="Arial"/>
          <w:szCs w:val="20"/>
        </w:rPr>
        <w:t xml:space="preserve">to ensure the proper operation of the different ERF functions </w:t>
      </w:r>
      <w:r w:rsidR="006814D1">
        <w:rPr>
          <w:rFonts w:eastAsia="Calibri" w:cs="Arial"/>
          <w:szCs w:val="20"/>
        </w:rPr>
        <w:t>–</w:t>
      </w:r>
      <w:r w:rsidR="00CB05EB">
        <w:rPr>
          <w:rFonts w:eastAsia="Calibri" w:cs="Arial"/>
          <w:szCs w:val="20"/>
        </w:rPr>
        <w:t xml:space="preserve"> </w:t>
      </w:r>
      <w:r w:rsidR="006814D1">
        <w:rPr>
          <w:rFonts w:eastAsia="Calibri" w:cs="Arial"/>
          <w:szCs w:val="20"/>
        </w:rPr>
        <w:t xml:space="preserve">particularly </w:t>
      </w:r>
      <w:r w:rsidR="00CB05EB">
        <w:rPr>
          <w:rFonts w:eastAsia="Calibri" w:cs="Arial"/>
          <w:szCs w:val="20"/>
        </w:rPr>
        <w:t>method development and variation, compliance and enforcement</w:t>
      </w:r>
      <w:r w:rsidR="00D871AF">
        <w:rPr>
          <w:rFonts w:eastAsia="Calibri" w:cs="Arial"/>
          <w:szCs w:val="20"/>
        </w:rPr>
        <w:t>,</w:t>
      </w:r>
      <w:r w:rsidR="00CB05EB">
        <w:rPr>
          <w:rFonts w:eastAsia="Calibri" w:cs="Arial"/>
          <w:szCs w:val="20"/>
        </w:rPr>
        <w:t xml:space="preserve"> and crediting and purchasing. </w:t>
      </w:r>
      <w:r w:rsidR="008549F8">
        <w:rPr>
          <w:rFonts w:eastAsia="Calibri" w:cs="Arial"/>
          <w:szCs w:val="20"/>
        </w:rPr>
        <w:t xml:space="preserve">Within </w:t>
      </w:r>
      <w:r w:rsidR="003B246E">
        <w:rPr>
          <w:rFonts w:eastAsia="Calibri" w:cs="Arial"/>
          <w:szCs w:val="20"/>
        </w:rPr>
        <w:t xml:space="preserve">the Regulator, </w:t>
      </w:r>
      <w:r w:rsidR="003B246E">
        <w:t>s</w:t>
      </w:r>
      <w:r w:rsidR="00CB05EB">
        <w:t xml:space="preserve">eparate decision makers should </w:t>
      </w:r>
      <w:r w:rsidR="003B246E">
        <w:t>continue to</w:t>
      </w:r>
      <w:r w:rsidR="00CB05EB">
        <w:t xml:space="preserve"> </w:t>
      </w:r>
      <w:r w:rsidR="003B246E">
        <w:t xml:space="preserve">have responsibility for </w:t>
      </w:r>
      <w:r w:rsidR="00CB05EB">
        <w:t>each of the key functions</w:t>
      </w:r>
      <w:r w:rsidR="003B246E">
        <w:t>, including the new method development function,</w:t>
      </w:r>
      <w:r w:rsidR="00CB05EB">
        <w:t xml:space="preserve"> in order to ensure a clear separation of powers</w:t>
      </w:r>
      <w:r w:rsidR="003B246E">
        <w:t xml:space="preserve"> is maintained</w:t>
      </w:r>
      <w:r w:rsidR="00CB05EB">
        <w:t xml:space="preserve">. The Regulator should </w:t>
      </w:r>
      <w:r w:rsidR="00CA12D8">
        <w:t>obtain independent probity advice on the operation and separation of these key functions</w:t>
      </w:r>
      <w:r w:rsidR="00AF7E10">
        <w:t xml:space="preserve">, building </w:t>
      </w:r>
      <w:r w:rsidR="008549F8">
        <w:t xml:space="preserve">its </w:t>
      </w:r>
      <w:r w:rsidR="00AF7E10">
        <w:t xml:space="preserve">on existing probity and </w:t>
      </w:r>
      <w:r w:rsidR="00C32248">
        <w:t xml:space="preserve">governance </w:t>
      </w:r>
      <w:r w:rsidR="00AF7E10">
        <w:t>measures</w:t>
      </w:r>
      <w:r w:rsidR="00CA12D8">
        <w:t>.</w:t>
      </w:r>
      <w:r w:rsidR="00CB05EB">
        <w:t xml:space="preserve"> </w:t>
      </w:r>
      <w:r w:rsidR="008549F8">
        <w:t xml:space="preserve">The Authority recommends that </w:t>
      </w:r>
      <w:r w:rsidR="008549F8">
        <w:rPr>
          <w:rFonts w:eastAsia="Calibri" w:cs="Arial"/>
          <w:szCs w:val="20"/>
        </w:rPr>
        <w:t>t</w:t>
      </w:r>
      <w:r w:rsidR="00333851">
        <w:rPr>
          <w:rFonts w:eastAsia="Calibri" w:cs="Arial"/>
          <w:szCs w:val="20"/>
        </w:rPr>
        <w:t xml:space="preserve">he </w:t>
      </w:r>
      <w:r w:rsidR="00333851">
        <w:t>Australian National Audit Office (ANAO) undertake a</w:t>
      </w:r>
      <w:r w:rsidR="008549F8">
        <w:t xml:space="preserve"> performance</w:t>
      </w:r>
      <w:r w:rsidR="00333851">
        <w:t xml:space="preserve"> audit</w:t>
      </w:r>
      <w:r w:rsidR="0077614F">
        <w:t xml:space="preserve"> of the consolidated operations</w:t>
      </w:r>
      <w:r w:rsidR="00333851">
        <w:t xml:space="preserve"> </w:t>
      </w:r>
      <w:r w:rsidR="00614D9B">
        <w:t>after two years</w:t>
      </w:r>
      <w:r w:rsidR="008549F8">
        <w:t xml:space="preserve"> to provide assurance over the Regulator’s handling of its many responsibilities under the ERF.</w:t>
      </w:r>
    </w:p>
    <w:p w14:paraId="48981AE0" w14:textId="58A7B496" w:rsidR="00182A7D" w:rsidRPr="00DA2FDD" w:rsidRDefault="00182A7D" w:rsidP="00182A7D">
      <w:pPr>
        <w:pStyle w:val="ListParagraph"/>
        <w:spacing w:after="0" w:line="240" w:lineRule="auto"/>
        <w:ind w:left="771" w:firstLine="0"/>
        <w:textAlignment w:val="baseline"/>
      </w:pPr>
    </w:p>
    <w:p w14:paraId="60D25929" w14:textId="77777777" w:rsidR="009D0234" w:rsidRPr="00DA2FDD" w:rsidRDefault="009D0234" w:rsidP="009D0234">
      <w:pPr>
        <w:spacing w:after="0" w:line="240" w:lineRule="auto"/>
        <w:textAlignment w:val="baseline"/>
      </w:pPr>
    </w:p>
    <w:tbl>
      <w:tblPr>
        <w:tblStyle w:val="TableGrid"/>
        <w:tblW w:w="0" w:type="auto"/>
        <w:tblLook w:val="04A0" w:firstRow="1" w:lastRow="0" w:firstColumn="1" w:lastColumn="0" w:noHBand="0" w:noVBand="1"/>
      </w:tblPr>
      <w:tblGrid>
        <w:gridCol w:w="9016"/>
      </w:tblGrid>
      <w:tr w:rsidR="00A05071" w14:paraId="61D7B896" w14:textId="77777777" w:rsidTr="004E11C5">
        <w:tc>
          <w:tcPr>
            <w:tcW w:w="9016" w:type="dxa"/>
          </w:tcPr>
          <w:p w14:paraId="7FC91B20" w14:textId="644DA3F0" w:rsidR="00D33ED1" w:rsidRPr="00DF7FFD" w:rsidRDefault="00A05071" w:rsidP="00D33ED1">
            <w:pPr>
              <w:textAlignment w:val="baseline"/>
              <w:rPr>
                <w:rStyle w:val="normaltextrun1"/>
                <w:rFonts w:cs="Arial"/>
                <w:b/>
                <w:szCs w:val="20"/>
              </w:rPr>
            </w:pPr>
            <w:r w:rsidRPr="00DF7FFD">
              <w:rPr>
                <w:rStyle w:val="normaltextrun1"/>
                <w:rFonts w:cs="Arial"/>
                <w:b/>
                <w:szCs w:val="20"/>
              </w:rPr>
              <w:t>Recommendation</w:t>
            </w:r>
            <w:r w:rsidR="00DF7FFD">
              <w:rPr>
                <w:rStyle w:val="normaltextrun1"/>
                <w:rFonts w:cs="Arial"/>
                <w:b/>
                <w:szCs w:val="20"/>
              </w:rPr>
              <w:t xml:space="preserve"> 1</w:t>
            </w:r>
            <w:r w:rsidR="00A11306">
              <w:rPr>
                <w:rStyle w:val="normaltextrun1"/>
                <w:rFonts w:cs="Arial"/>
                <w:b/>
                <w:szCs w:val="20"/>
              </w:rPr>
              <w:t>2</w:t>
            </w:r>
          </w:p>
          <w:p w14:paraId="178A7B2B" w14:textId="77777777" w:rsidR="00D72F5E" w:rsidRDefault="00D72F5E" w:rsidP="007251F7">
            <w:pPr>
              <w:textAlignment w:val="baseline"/>
              <w:rPr>
                <w:rFonts w:eastAsia="Calibri" w:cs="Arial"/>
                <w:b/>
                <w:szCs w:val="20"/>
              </w:rPr>
            </w:pPr>
          </w:p>
          <w:p w14:paraId="4CE5A1F9" w14:textId="36A3F06C" w:rsidR="007251F7" w:rsidRPr="00D72F5E" w:rsidRDefault="007251F7" w:rsidP="007251F7">
            <w:pPr>
              <w:textAlignment w:val="baseline"/>
              <w:rPr>
                <w:rFonts w:eastAsia="Calibri" w:cs="Arial"/>
                <w:b/>
                <w:szCs w:val="20"/>
              </w:rPr>
            </w:pPr>
            <w:r w:rsidRPr="00D72F5E">
              <w:rPr>
                <w:rFonts w:eastAsia="Calibri" w:cs="Arial"/>
                <w:b/>
                <w:szCs w:val="20"/>
              </w:rPr>
              <w:t>To ensure ongoing confidence in the administration of the ERF under consolidated responsibilities, the Regulator build on its existing probity and governance measures by:</w:t>
            </w:r>
          </w:p>
          <w:p w14:paraId="2083B383" w14:textId="77777777" w:rsidR="007251F7" w:rsidRPr="004479E4" w:rsidRDefault="007251F7" w:rsidP="00004274">
            <w:pPr>
              <w:pStyle w:val="ListParagraph"/>
              <w:numPr>
                <w:ilvl w:val="0"/>
                <w:numId w:val="40"/>
              </w:numPr>
              <w:textAlignment w:val="baseline"/>
              <w:rPr>
                <w:rFonts w:eastAsia="Calibri" w:cs="Arial"/>
                <w:b/>
                <w:szCs w:val="20"/>
              </w:rPr>
            </w:pPr>
            <w:r w:rsidRPr="00D72F5E">
              <w:rPr>
                <w:rFonts w:eastAsia="Calibri" w:cs="Arial"/>
                <w:b/>
                <w:szCs w:val="20"/>
              </w:rPr>
              <w:t>maintaining</w:t>
            </w:r>
            <w:r w:rsidRPr="004479E4">
              <w:rPr>
                <w:rFonts w:eastAsia="Calibri" w:cs="Arial"/>
                <w:b/>
                <w:szCs w:val="20"/>
              </w:rPr>
              <w:t xml:space="preserve"> </w:t>
            </w:r>
            <w:r w:rsidRPr="004479E4">
              <w:rPr>
                <w:rFonts w:cs="Arial"/>
                <w:b/>
                <w:szCs w:val="20"/>
              </w:rPr>
              <w:t xml:space="preserve">separate decision makers, including at senior executive level, for each of </w:t>
            </w:r>
            <w:r w:rsidRPr="00D72F5E">
              <w:rPr>
                <w:rFonts w:cs="Arial"/>
                <w:b/>
                <w:szCs w:val="20"/>
              </w:rPr>
              <w:t>its</w:t>
            </w:r>
            <w:r w:rsidRPr="004479E4">
              <w:rPr>
                <w:rFonts w:cs="Arial"/>
                <w:b/>
                <w:szCs w:val="20"/>
              </w:rPr>
              <w:t xml:space="preserve"> key functions – method development and variation; compliance and enforcement; and crediting and purchasing of ACCUs</w:t>
            </w:r>
          </w:p>
          <w:p w14:paraId="778A6B33" w14:textId="77777777" w:rsidR="007251F7" w:rsidRPr="004479E4" w:rsidRDefault="007251F7" w:rsidP="00004274">
            <w:pPr>
              <w:pStyle w:val="ListParagraph"/>
              <w:numPr>
                <w:ilvl w:val="0"/>
                <w:numId w:val="40"/>
              </w:numPr>
              <w:textAlignment w:val="baseline"/>
              <w:rPr>
                <w:rFonts w:eastAsia="Calibri" w:cs="Arial"/>
                <w:b/>
                <w:szCs w:val="20"/>
              </w:rPr>
            </w:pPr>
            <w:r w:rsidRPr="004479E4">
              <w:rPr>
                <w:rFonts w:eastAsia="Calibri" w:cs="Arial"/>
                <w:b/>
                <w:szCs w:val="20"/>
              </w:rPr>
              <w:t xml:space="preserve">obtaining independent probity advice on the operation and separation of the key functions. </w:t>
            </w:r>
          </w:p>
          <w:p w14:paraId="143F6FBA" w14:textId="77777777" w:rsidR="007251F7" w:rsidRPr="004479E4" w:rsidRDefault="007251F7" w:rsidP="007251F7">
            <w:pPr>
              <w:pStyle w:val="ListParagraph"/>
              <w:tabs>
                <w:tab w:val="left" w:pos="3608"/>
              </w:tabs>
              <w:textAlignment w:val="baseline"/>
              <w:rPr>
                <w:rFonts w:eastAsia="Calibri" w:cs="Arial"/>
                <w:b/>
                <w:szCs w:val="20"/>
              </w:rPr>
            </w:pPr>
            <w:r w:rsidRPr="004479E4">
              <w:rPr>
                <w:rFonts w:eastAsia="Calibri" w:cs="Arial"/>
                <w:b/>
                <w:szCs w:val="20"/>
              </w:rPr>
              <w:tab/>
            </w:r>
          </w:p>
          <w:p w14:paraId="5155C0F1" w14:textId="2425954E" w:rsidR="00A05071" w:rsidRPr="006A507C" w:rsidRDefault="007251F7" w:rsidP="007251F7">
            <w:pPr>
              <w:rPr>
                <w:rFonts w:cs="Arial"/>
                <w:b/>
                <w:szCs w:val="20"/>
              </w:rPr>
            </w:pPr>
            <w:r w:rsidRPr="004479E4">
              <w:rPr>
                <w:rFonts w:eastAsia="Calibri" w:cs="Arial"/>
                <w:b/>
                <w:szCs w:val="20"/>
              </w:rPr>
              <w:t xml:space="preserve">The </w:t>
            </w:r>
            <w:r w:rsidRPr="004479E4">
              <w:rPr>
                <w:rFonts w:cs="Arial"/>
                <w:b/>
                <w:szCs w:val="20"/>
              </w:rPr>
              <w:t xml:space="preserve">Australian National Audit Office undertake a performance audit </w:t>
            </w:r>
            <w:r w:rsidRPr="004479E4" w:rsidDel="00A2110D">
              <w:rPr>
                <w:rFonts w:cs="Arial"/>
                <w:b/>
                <w:szCs w:val="20"/>
              </w:rPr>
              <w:t xml:space="preserve">after the first two years of </w:t>
            </w:r>
            <w:r w:rsidRPr="004479E4">
              <w:rPr>
                <w:rFonts w:cs="Arial"/>
                <w:b/>
                <w:szCs w:val="20"/>
              </w:rPr>
              <w:t>the consolidation of functions within the Regulator</w:t>
            </w:r>
            <w:r w:rsidRPr="00D72F5E">
              <w:rPr>
                <w:rFonts w:cs="Arial"/>
                <w:b/>
                <w:szCs w:val="20"/>
              </w:rPr>
              <w:t>.</w:t>
            </w:r>
            <w:r w:rsidRPr="00D72F5E">
              <w:rPr>
                <w:rStyle w:val="normaltextrun1"/>
                <w:rFonts w:cs="Arial"/>
                <w:b/>
                <w:szCs w:val="20"/>
              </w:rPr>
              <w:t xml:space="preserve"> </w:t>
            </w:r>
            <w:r>
              <w:rPr>
                <w:rFonts w:eastAsia="Calibri" w:cs="Arial"/>
                <w:b/>
                <w:szCs w:val="20"/>
              </w:rPr>
              <w:tab/>
            </w:r>
          </w:p>
        </w:tc>
      </w:tr>
    </w:tbl>
    <w:p w14:paraId="23316166" w14:textId="77777777" w:rsidR="00182A7D" w:rsidRPr="00FE5249" w:rsidRDefault="00182A7D" w:rsidP="00FE5249"/>
    <w:p w14:paraId="79CD84D3" w14:textId="5AE639F8" w:rsidR="00142E61" w:rsidRPr="007D697F" w:rsidRDefault="000E48B5" w:rsidP="00004274">
      <w:pPr>
        <w:pStyle w:val="Heading2"/>
        <w:numPr>
          <w:ilvl w:val="1"/>
          <w:numId w:val="47"/>
        </w:numPr>
        <w:rPr>
          <w:color w:val="0070AE" w:themeColor="accent2" w:themeTint="BF"/>
        </w:rPr>
      </w:pPr>
      <w:bookmarkStart w:id="2527" w:name="_Toc49350838"/>
      <w:bookmarkStart w:id="2528" w:name="_Toc49352818"/>
      <w:bookmarkStart w:id="2529" w:name="_Toc49354194"/>
      <w:bookmarkStart w:id="2530" w:name="_Toc49355520"/>
      <w:bookmarkStart w:id="2531" w:name="_Toc49429278"/>
      <w:bookmarkStart w:id="2532" w:name="_Toc49434035"/>
      <w:bookmarkStart w:id="2533" w:name="_Toc49441028"/>
      <w:bookmarkStart w:id="2534" w:name="_Toc49441218"/>
      <w:bookmarkStart w:id="2535" w:name="_Toc49442221"/>
      <w:bookmarkStart w:id="2536" w:name="_Toc49508952"/>
      <w:bookmarkStart w:id="2537" w:name="_Toc49519762"/>
      <w:bookmarkStart w:id="2538" w:name="_Toc49521480"/>
      <w:bookmarkStart w:id="2539" w:name="_Toc49524552"/>
      <w:bookmarkStart w:id="2540" w:name="_Toc49524690"/>
      <w:bookmarkStart w:id="2541" w:name="_Toc49527159"/>
      <w:bookmarkStart w:id="2542" w:name="_Toc49527997"/>
      <w:bookmarkStart w:id="2543" w:name="_Toc49692150"/>
      <w:bookmarkStart w:id="2544" w:name="_Toc49710523"/>
      <w:bookmarkStart w:id="2545" w:name="_Toc49710695"/>
      <w:bookmarkStart w:id="2546" w:name="_Toc49713248"/>
      <w:bookmarkStart w:id="2547" w:name="_Toc49713450"/>
      <w:bookmarkStart w:id="2548" w:name="_Toc49776388"/>
      <w:bookmarkStart w:id="2549" w:name="_Toc49784947"/>
      <w:bookmarkStart w:id="2550" w:name="_Toc49786273"/>
      <w:bookmarkStart w:id="2551" w:name="_Toc49787322"/>
      <w:bookmarkStart w:id="2552" w:name="_Toc49787377"/>
      <w:bookmarkStart w:id="2553" w:name="_Toc49850691"/>
      <w:bookmarkStart w:id="2554" w:name="_Toc49852933"/>
      <w:bookmarkStart w:id="2555" w:name="_Toc49854350"/>
      <w:bookmarkStart w:id="2556" w:name="_Toc49856946"/>
      <w:bookmarkStart w:id="2557" w:name="_Toc49858262"/>
      <w:bookmarkStart w:id="2558" w:name="_Toc49858317"/>
      <w:bookmarkStart w:id="2559" w:name="_Toc49863019"/>
      <w:bookmarkStart w:id="2560" w:name="_Toc49867742"/>
      <w:bookmarkStart w:id="2561" w:name="_Toc49870578"/>
      <w:bookmarkStart w:id="2562" w:name="_Toc49871321"/>
      <w:bookmarkStart w:id="2563" w:name="_Toc49872001"/>
      <w:bookmarkStart w:id="2564" w:name="_Toc49872554"/>
      <w:bookmarkStart w:id="2565" w:name="_Toc50027766"/>
      <w:bookmarkStart w:id="2566" w:name="_Toc50029460"/>
      <w:bookmarkStart w:id="2567" w:name="_Toc50043891"/>
      <w:bookmarkStart w:id="2568" w:name="_Toc50057743"/>
      <w:bookmarkStart w:id="2569" w:name="_Toc50553620"/>
      <w:bookmarkStart w:id="2570" w:name="_Toc50555383"/>
      <w:bookmarkStart w:id="2571" w:name="_Toc50559843"/>
      <w:bookmarkStart w:id="2572" w:name="_Toc50559896"/>
      <w:bookmarkStart w:id="2573" w:name="_Toc50563830"/>
      <w:bookmarkStart w:id="2574" w:name="_Toc50711383"/>
      <w:bookmarkStart w:id="2575" w:name="_Toc50720965"/>
      <w:bookmarkStart w:id="2576" w:name="_Toc50730689"/>
      <w:bookmarkStart w:id="2577" w:name="_Toc50734915"/>
      <w:bookmarkStart w:id="2578" w:name="_Toc50735518"/>
      <w:bookmarkStart w:id="2579" w:name="_Toc50905537"/>
      <w:bookmarkStart w:id="2580" w:name="_Toc51587021"/>
      <w:bookmarkStart w:id="2581" w:name="_Toc51594881"/>
      <w:bookmarkStart w:id="2582" w:name="_Toc51599484"/>
      <w:bookmarkStart w:id="2583" w:name="_Toc51613520"/>
      <w:bookmarkStart w:id="2584" w:name="_Toc51669631"/>
      <w:bookmarkStart w:id="2585" w:name="_Toc51669726"/>
      <w:bookmarkStart w:id="2586" w:name="_Toc51672875"/>
      <w:bookmarkStart w:id="2587" w:name="_Toc51673925"/>
      <w:bookmarkStart w:id="2588" w:name="_Toc51680742"/>
      <w:bookmarkStart w:id="2589" w:name="_Toc51683271"/>
      <w:bookmarkStart w:id="2590" w:name="_Toc51686007"/>
      <w:bookmarkStart w:id="2591" w:name="_Toc51687745"/>
      <w:bookmarkStart w:id="2592" w:name="_Toc51687889"/>
      <w:bookmarkStart w:id="2593" w:name="_Toc51705767"/>
      <w:bookmarkStart w:id="2594" w:name="_Toc51770713"/>
      <w:bookmarkStart w:id="2595" w:name="_Toc51770899"/>
      <w:bookmarkStart w:id="2596" w:name="_Toc52359242"/>
      <w:bookmarkStart w:id="2597" w:name="_Toc52367275"/>
      <w:bookmarkStart w:id="2598" w:name="_Toc52371615"/>
      <w:bookmarkStart w:id="2599" w:name="_Toc52374763"/>
      <w:bookmarkStart w:id="2600" w:name="_Toc52377301"/>
      <w:bookmarkStart w:id="2601" w:name="_Toc52379223"/>
      <w:bookmarkStart w:id="2602" w:name="_Toc52379578"/>
      <w:bookmarkStart w:id="2603" w:name="_Toc52532788"/>
      <w:bookmarkStart w:id="2604" w:name="_Toc52535683"/>
      <w:bookmarkStart w:id="2605" w:name="_Toc52537501"/>
      <w:bookmarkStart w:id="2606" w:name="_Toc52544064"/>
      <w:bookmarkStart w:id="2607" w:name="_Toc52545668"/>
      <w:bookmarkStart w:id="2608" w:name="_Toc52547900"/>
      <w:bookmarkStart w:id="2609" w:name="_Toc52548589"/>
      <w:bookmarkStart w:id="2610" w:name="_Toc52890881"/>
      <w:bookmarkStart w:id="2611" w:name="_Toc52895084"/>
      <w:bookmarkStart w:id="2612" w:name="_Toc52896608"/>
      <w:bookmarkStart w:id="2613" w:name="_Toc52977785"/>
      <w:bookmarkStart w:id="2614" w:name="_Toc53129471"/>
      <w:r w:rsidRPr="007D697F">
        <w:rPr>
          <w:color w:val="0070AE" w:themeColor="accent2" w:themeTint="BF"/>
        </w:rPr>
        <w:t xml:space="preserve">Establishing </w:t>
      </w:r>
      <w:r w:rsidR="00764CB9" w:rsidRPr="007D697F">
        <w:rPr>
          <w:color w:val="0070AE" w:themeColor="accent2" w:themeTint="BF"/>
        </w:rPr>
        <w:t>a</w:t>
      </w:r>
      <w:r w:rsidR="00670980" w:rsidRPr="007D697F">
        <w:rPr>
          <w:color w:val="0070AE" w:themeColor="accent2" w:themeTint="BF"/>
        </w:rPr>
        <w:t xml:space="preserve"> Steering Committee </w:t>
      </w:r>
      <w:r w:rsidRPr="007D697F">
        <w:rPr>
          <w:color w:val="0070AE" w:themeColor="accent2" w:themeTint="BF"/>
        </w:rPr>
        <w:t>for method processes</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p>
    <w:p w14:paraId="5C6D8059" w14:textId="29E2DA4B" w:rsidR="00142E61" w:rsidRPr="00C91399" w:rsidRDefault="00142E61" w:rsidP="00DC3A77">
      <w:pPr>
        <w:spacing w:after="0"/>
        <w:textAlignment w:val="baseline"/>
        <w:rPr>
          <w:rFonts w:eastAsia="Times New Roman" w:cs="Arial"/>
          <w:szCs w:val="20"/>
          <w:lang w:eastAsia="en-AU"/>
        </w:rPr>
      </w:pPr>
      <w:r w:rsidRPr="00C91399">
        <w:rPr>
          <w:rFonts w:eastAsia="Times New Roman" w:cs="Arial"/>
          <w:szCs w:val="20"/>
          <w:lang w:eastAsia="en-AU"/>
        </w:rPr>
        <w:t xml:space="preserve">Technical Working Groups </w:t>
      </w:r>
      <w:r w:rsidR="00D871AF">
        <w:rPr>
          <w:rFonts w:eastAsia="Times New Roman" w:cs="Arial"/>
          <w:szCs w:val="20"/>
          <w:lang w:eastAsia="en-AU"/>
        </w:rPr>
        <w:t>(TWGs)</w:t>
      </w:r>
      <w:r w:rsidRPr="00C91399">
        <w:rPr>
          <w:rFonts w:eastAsia="Times New Roman" w:cs="Arial"/>
          <w:szCs w:val="20"/>
          <w:lang w:eastAsia="en-AU"/>
        </w:rPr>
        <w:t xml:space="preserve"> made up of industry and other experts and government repr</w:t>
      </w:r>
      <w:r w:rsidR="005F681B">
        <w:rPr>
          <w:rFonts w:eastAsia="Times New Roman" w:cs="Arial"/>
          <w:szCs w:val="20"/>
          <w:lang w:eastAsia="en-AU"/>
        </w:rPr>
        <w:t>esentatives, including from the R</w:t>
      </w:r>
      <w:r w:rsidR="00432740">
        <w:rPr>
          <w:rFonts w:eastAsia="Times New Roman" w:cs="Arial"/>
          <w:szCs w:val="20"/>
          <w:lang w:eastAsia="en-AU"/>
        </w:rPr>
        <w:t>egulator</w:t>
      </w:r>
      <w:r>
        <w:rPr>
          <w:rFonts w:eastAsia="Times New Roman" w:cs="Arial"/>
          <w:szCs w:val="20"/>
          <w:lang w:eastAsia="en-AU"/>
        </w:rPr>
        <w:t>,</w:t>
      </w:r>
      <w:r w:rsidRPr="00C91399">
        <w:rPr>
          <w:rFonts w:eastAsia="Times New Roman" w:cs="Arial"/>
          <w:szCs w:val="20"/>
          <w:lang w:eastAsia="en-AU"/>
        </w:rPr>
        <w:t xml:space="preserve"> </w:t>
      </w:r>
      <w:r w:rsidR="00D871AF">
        <w:rPr>
          <w:rFonts w:eastAsia="Times New Roman" w:cs="Arial"/>
          <w:szCs w:val="20"/>
          <w:lang w:eastAsia="en-AU"/>
        </w:rPr>
        <w:t>have</w:t>
      </w:r>
      <w:r w:rsidRPr="00C91399">
        <w:rPr>
          <w:rFonts w:eastAsia="Times New Roman" w:cs="Arial"/>
          <w:szCs w:val="20"/>
          <w:lang w:eastAsia="en-AU"/>
        </w:rPr>
        <w:t xml:space="preserve"> assist</w:t>
      </w:r>
      <w:r w:rsidR="00D871AF">
        <w:rPr>
          <w:rFonts w:eastAsia="Times New Roman" w:cs="Arial"/>
          <w:szCs w:val="20"/>
          <w:lang w:eastAsia="en-AU"/>
        </w:rPr>
        <w:t>ed</w:t>
      </w:r>
      <w:r w:rsidRPr="00C91399">
        <w:rPr>
          <w:rFonts w:eastAsia="Times New Roman" w:cs="Arial"/>
          <w:szCs w:val="20"/>
          <w:lang w:eastAsia="en-AU"/>
        </w:rPr>
        <w:t xml:space="preserve"> the Department in</w:t>
      </w:r>
      <w:r>
        <w:rPr>
          <w:rFonts w:eastAsia="Times New Roman" w:cs="Arial"/>
          <w:szCs w:val="20"/>
          <w:lang w:eastAsia="en-AU"/>
        </w:rPr>
        <w:t xml:space="preserve"> the development of</w:t>
      </w:r>
      <w:r w:rsidRPr="00C91399">
        <w:rPr>
          <w:rFonts w:eastAsia="Times New Roman" w:cs="Arial"/>
          <w:szCs w:val="20"/>
          <w:lang w:eastAsia="en-AU"/>
        </w:rPr>
        <w:t xml:space="preserve"> </w:t>
      </w:r>
      <w:r>
        <w:rPr>
          <w:rFonts w:eastAsia="Times New Roman" w:cs="Arial"/>
          <w:szCs w:val="20"/>
          <w:lang w:eastAsia="en-AU"/>
        </w:rPr>
        <w:t xml:space="preserve">ERF </w:t>
      </w:r>
      <w:r w:rsidRPr="00C91399">
        <w:rPr>
          <w:rFonts w:eastAsia="Times New Roman" w:cs="Arial"/>
          <w:szCs w:val="20"/>
          <w:lang w:eastAsia="en-AU"/>
        </w:rPr>
        <w:t>methodologies</w:t>
      </w:r>
      <w:r>
        <w:rPr>
          <w:rFonts w:eastAsia="Times New Roman" w:cs="Arial"/>
          <w:szCs w:val="20"/>
          <w:lang w:eastAsia="en-AU"/>
        </w:rPr>
        <w:t xml:space="preserve"> </w:t>
      </w:r>
      <w:r w:rsidRPr="00C91399">
        <w:rPr>
          <w:rFonts w:eastAsia="Times New Roman" w:cs="Arial"/>
          <w:szCs w:val="20"/>
          <w:lang w:eastAsia="en-AU"/>
        </w:rPr>
        <w:t>(</w:t>
      </w:r>
      <w:r w:rsidRPr="00C267E4">
        <w:rPr>
          <w:rFonts w:eastAsia="Times New Roman" w:cs="Arial"/>
          <w:szCs w:val="20"/>
          <w:lang w:eastAsia="en-AU"/>
        </w:rPr>
        <w:t>DEE 2015</w:t>
      </w:r>
      <w:r w:rsidRPr="00C91399">
        <w:rPr>
          <w:rFonts w:eastAsia="Times New Roman" w:cs="Arial"/>
          <w:szCs w:val="20"/>
          <w:lang w:eastAsia="en-AU"/>
        </w:rPr>
        <w:t>)</w:t>
      </w:r>
      <w:r>
        <w:rPr>
          <w:rFonts w:eastAsia="Times New Roman" w:cs="Arial"/>
          <w:szCs w:val="20"/>
          <w:lang w:eastAsia="en-AU"/>
        </w:rPr>
        <w:t xml:space="preserve">. </w:t>
      </w:r>
      <w:r w:rsidRPr="00F12A55">
        <w:rPr>
          <w:rFonts w:eastAsia="Times New Roman" w:cs="Arial"/>
          <w:szCs w:val="20"/>
          <w:lang w:eastAsia="en-AU"/>
        </w:rPr>
        <w:t xml:space="preserve">The </w:t>
      </w:r>
      <w:r w:rsidRPr="00370433">
        <w:rPr>
          <w:rFonts w:eastAsia="Times New Roman" w:cs="Arial"/>
          <w:szCs w:val="20"/>
          <w:lang w:eastAsia="en-AU"/>
        </w:rPr>
        <w:t xml:space="preserve">Explanatory Memorandum to the </w:t>
      </w:r>
      <w:r w:rsidRPr="00370433">
        <w:rPr>
          <w:rFonts w:eastAsia="Times New Roman" w:cs="Arial"/>
          <w:i/>
          <w:szCs w:val="20"/>
          <w:lang w:eastAsia="en-AU"/>
        </w:rPr>
        <w:t>Carbon Farming Initiative Amendment Bill 2014</w:t>
      </w:r>
      <w:r>
        <w:rPr>
          <w:rFonts w:eastAsia="Times New Roman" w:cs="Arial"/>
          <w:szCs w:val="20"/>
          <w:lang w:eastAsia="en-AU"/>
        </w:rPr>
        <w:t xml:space="preserve"> describes the </w:t>
      </w:r>
      <w:r w:rsidRPr="00D621AC">
        <w:rPr>
          <w:rFonts w:eastAsia="Times New Roman" w:cs="Arial"/>
          <w:szCs w:val="20"/>
          <w:lang w:eastAsia="en-AU"/>
        </w:rPr>
        <w:t>TWGs</w:t>
      </w:r>
      <w:r w:rsidRPr="00C91399">
        <w:rPr>
          <w:rFonts w:eastAsia="Times New Roman" w:cs="Arial"/>
          <w:szCs w:val="20"/>
          <w:lang w:eastAsia="en-AU"/>
        </w:rPr>
        <w:t xml:space="preserve"> </w:t>
      </w:r>
      <w:r>
        <w:rPr>
          <w:rFonts w:eastAsia="Times New Roman" w:cs="Arial"/>
          <w:szCs w:val="20"/>
          <w:lang w:eastAsia="en-AU"/>
        </w:rPr>
        <w:t>as a</w:t>
      </w:r>
      <w:r w:rsidRPr="00C91399">
        <w:rPr>
          <w:rFonts w:eastAsia="Times New Roman" w:cs="Arial"/>
          <w:szCs w:val="20"/>
          <w:lang w:eastAsia="en-AU"/>
        </w:rPr>
        <w:t xml:space="preserve"> mechanism through which government</w:t>
      </w:r>
      <w:r>
        <w:rPr>
          <w:rFonts w:eastAsia="Times New Roman" w:cs="Arial"/>
          <w:szCs w:val="20"/>
          <w:lang w:eastAsia="en-AU"/>
        </w:rPr>
        <w:t xml:space="preserve"> can consult and work collaboratively with industry</w:t>
      </w:r>
      <w:r w:rsidR="00B5306B">
        <w:rPr>
          <w:rFonts w:eastAsia="Times New Roman" w:cs="Arial"/>
          <w:szCs w:val="20"/>
          <w:lang w:eastAsia="en-AU"/>
        </w:rPr>
        <w:t>.</w:t>
      </w:r>
      <w:r w:rsidRPr="00C91399">
        <w:rPr>
          <w:rFonts w:eastAsia="Times New Roman" w:cs="Arial"/>
          <w:szCs w:val="20"/>
          <w:lang w:eastAsia="en-AU"/>
        </w:rPr>
        <w:t xml:space="preserve"> </w:t>
      </w:r>
    </w:p>
    <w:p w14:paraId="6FE1AD2C" w14:textId="77777777" w:rsidR="00142E61" w:rsidRDefault="00142E61" w:rsidP="00DC3A77">
      <w:pPr>
        <w:spacing w:after="0"/>
        <w:textAlignment w:val="baseline"/>
        <w:rPr>
          <w:rFonts w:eastAsia="Times New Roman" w:cs="Arial"/>
          <w:szCs w:val="20"/>
          <w:lang w:eastAsia="en-AU"/>
        </w:rPr>
      </w:pPr>
    </w:p>
    <w:p w14:paraId="4755583B" w14:textId="6061246E" w:rsidR="00397A78" w:rsidRDefault="00142E61" w:rsidP="00DC3A77">
      <w:pPr>
        <w:spacing w:after="0"/>
        <w:textAlignment w:val="baseline"/>
        <w:rPr>
          <w:rFonts w:eastAsia="Times New Roman" w:cs="Arial"/>
          <w:szCs w:val="20"/>
          <w:lang w:eastAsia="en-AU"/>
        </w:rPr>
      </w:pPr>
      <w:r>
        <w:rPr>
          <w:rFonts w:eastAsia="Times New Roman" w:cs="Arial"/>
          <w:szCs w:val="20"/>
          <w:lang w:eastAsia="en-AU"/>
        </w:rPr>
        <w:t>Submissions from stakeholders highlight that while TWGs continue to be established</w:t>
      </w:r>
      <w:r w:rsidR="000E48B5">
        <w:rPr>
          <w:rFonts w:eastAsia="Times New Roman" w:cs="Arial"/>
          <w:szCs w:val="20"/>
          <w:lang w:eastAsia="en-AU"/>
        </w:rPr>
        <w:t xml:space="preserve"> and utilised </w:t>
      </w:r>
      <w:r>
        <w:rPr>
          <w:rFonts w:eastAsia="Times New Roman" w:cs="Arial"/>
          <w:szCs w:val="20"/>
          <w:lang w:eastAsia="en-AU"/>
        </w:rPr>
        <w:t xml:space="preserve">for </w:t>
      </w:r>
      <w:r w:rsidR="000E48B5">
        <w:rPr>
          <w:rFonts w:eastAsia="Times New Roman" w:cs="Arial"/>
          <w:szCs w:val="20"/>
          <w:lang w:eastAsia="en-AU"/>
        </w:rPr>
        <w:t>the development of individual methods</w:t>
      </w:r>
      <w:r>
        <w:rPr>
          <w:rFonts w:eastAsia="Times New Roman" w:cs="Arial"/>
          <w:szCs w:val="20"/>
          <w:lang w:eastAsia="en-AU"/>
        </w:rPr>
        <w:t xml:space="preserve">, opportunities for stakeholder input </w:t>
      </w:r>
      <w:r w:rsidR="008549F8">
        <w:rPr>
          <w:rFonts w:eastAsia="Times New Roman" w:cs="Arial"/>
          <w:szCs w:val="20"/>
          <w:lang w:eastAsia="en-AU"/>
        </w:rPr>
        <w:t>is</w:t>
      </w:r>
      <w:r>
        <w:rPr>
          <w:rFonts w:eastAsia="Times New Roman" w:cs="Arial"/>
          <w:szCs w:val="20"/>
          <w:lang w:eastAsia="en-AU"/>
        </w:rPr>
        <w:t xml:space="preserve"> not being fully realised</w:t>
      </w:r>
      <w:r w:rsidR="00CF1917">
        <w:rPr>
          <w:rFonts w:eastAsia="Times New Roman" w:cs="Arial"/>
          <w:szCs w:val="20"/>
          <w:lang w:eastAsia="en-AU"/>
        </w:rPr>
        <w:t xml:space="preserve"> (Greening Australia)</w:t>
      </w:r>
      <w:r>
        <w:rPr>
          <w:rFonts w:eastAsia="Times New Roman" w:cs="Arial"/>
          <w:szCs w:val="20"/>
          <w:lang w:eastAsia="en-AU"/>
        </w:rPr>
        <w:t>. The Australian Aluminium Council state</w:t>
      </w:r>
      <w:r w:rsidR="00AF16E8">
        <w:rPr>
          <w:rFonts w:eastAsia="Times New Roman" w:cs="Arial"/>
          <w:szCs w:val="20"/>
          <w:lang w:eastAsia="en-AU"/>
        </w:rPr>
        <w:t>d</w:t>
      </w:r>
      <w:r>
        <w:rPr>
          <w:rFonts w:eastAsia="Times New Roman" w:cs="Arial"/>
          <w:szCs w:val="20"/>
          <w:lang w:eastAsia="en-AU"/>
        </w:rPr>
        <w:t xml:space="preserve"> that </w:t>
      </w:r>
      <w:r w:rsidR="00CF1917">
        <w:rPr>
          <w:rFonts w:eastAsia="Times New Roman" w:cs="Arial"/>
          <w:szCs w:val="20"/>
          <w:lang w:eastAsia="en-AU"/>
        </w:rPr>
        <w:t>in principle,</w:t>
      </w:r>
      <w:r>
        <w:rPr>
          <w:rFonts w:eastAsia="Times New Roman" w:cs="Arial"/>
          <w:szCs w:val="20"/>
          <w:lang w:eastAsia="en-AU"/>
        </w:rPr>
        <w:t xml:space="preserve"> industry expertise</w:t>
      </w:r>
      <w:r>
        <w:rPr>
          <w:rFonts w:eastAsia="Times New Roman" w:cs="Arial"/>
          <w:i/>
          <w:szCs w:val="20"/>
          <w:lang w:eastAsia="en-AU"/>
        </w:rPr>
        <w:t xml:space="preserve"> </w:t>
      </w:r>
      <w:r w:rsidR="007E4A3D">
        <w:rPr>
          <w:rFonts w:eastAsia="Times New Roman" w:cs="Arial"/>
          <w:szCs w:val="20"/>
          <w:lang w:eastAsia="en-AU"/>
        </w:rPr>
        <w:t>‘</w:t>
      </w:r>
      <w:r w:rsidRPr="00335EF3">
        <w:rPr>
          <w:rFonts w:eastAsia="Times New Roman" w:cs="Arial"/>
          <w:i/>
          <w:szCs w:val="20"/>
          <w:lang w:eastAsia="en-AU"/>
        </w:rPr>
        <w:t>should be utilised as much as possible, to help optimise the practical application and update of</w:t>
      </w:r>
      <w:r>
        <w:rPr>
          <w:rFonts w:eastAsia="Times New Roman" w:cs="Arial"/>
          <w:i/>
          <w:szCs w:val="20"/>
          <w:lang w:eastAsia="en-AU"/>
        </w:rPr>
        <w:t xml:space="preserve"> these </w:t>
      </w:r>
      <w:r w:rsidRPr="00335EF3">
        <w:rPr>
          <w:rFonts w:eastAsia="Times New Roman" w:cs="Arial"/>
          <w:i/>
          <w:szCs w:val="20"/>
          <w:lang w:eastAsia="en-AU"/>
        </w:rPr>
        <w:t>methods</w:t>
      </w:r>
      <w:r w:rsidR="007E4A3D">
        <w:rPr>
          <w:rFonts w:eastAsia="Times New Roman" w:cs="Arial"/>
          <w:szCs w:val="20"/>
          <w:lang w:eastAsia="en-AU"/>
        </w:rPr>
        <w:t>’</w:t>
      </w:r>
      <w:r>
        <w:rPr>
          <w:rFonts w:eastAsia="Times New Roman" w:cs="Arial"/>
          <w:szCs w:val="20"/>
          <w:lang w:eastAsia="en-AU"/>
        </w:rPr>
        <w:t xml:space="preserve"> (</w:t>
      </w:r>
      <w:r w:rsidRPr="00B23A2B">
        <w:rPr>
          <w:rFonts w:eastAsia="Times New Roman" w:cs="Arial"/>
          <w:szCs w:val="20"/>
          <w:lang w:eastAsia="en-AU"/>
        </w:rPr>
        <w:t>p. 4</w:t>
      </w:r>
      <w:r>
        <w:rPr>
          <w:rFonts w:eastAsia="Times New Roman" w:cs="Arial"/>
          <w:szCs w:val="20"/>
          <w:lang w:eastAsia="en-AU"/>
        </w:rPr>
        <w:t xml:space="preserve">). Several submissions also suggest that method </w:t>
      </w:r>
      <w:r w:rsidR="00A47A78">
        <w:rPr>
          <w:rFonts w:eastAsia="Times New Roman" w:cs="Arial"/>
          <w:szCs w:val="20"/>
          <w:lang w:eastAsia="en-AU"/>
        </w:rPr>
        <w:t>prioritisation</w:t>
      </w:r>
      <w:r>
        <w:rPr>
          <w:rFonts w:eastAsia="Times New Roman" w:cs="Arial"/>
          <w:szCs w:val="20"/>
          <w:lang w:eastAsia="en-AU"/>
        </w:rPr>
        <w:t>, development and review processes lack efficiency and transparency (</w:t>
      </w:r>
      <w:r w:rsidR="00410797" w:rsidRPr="003C55EE">
        <w:rPr>
          <w:rFonts w:eastAsia="Times New Roman" w:cs="Arial"/>
          <w:szCs w:val="20"/>
          <w:lang w:eastAsia="en-AU"/>
        </w:rPr>
        <w:t xml:space="preserve">Carbon X p. 4; </w:t>
      </w:r>
      <w:r w:rsidRPr="00B23A2B">
        <w:rPr>
          <w:rFonts w:eastAsia="Times New Roman" w:cs="Arial"/>
          <w:szCs w:val="20"/>
          <w:lang w:eastAsia="en-AU"/>
        </w:rPr>
        <w:t>Energy Savings Industry Association p.</w:t>
      </w:r>
      <w:r w:rsidR="00B81E9D" w:rsidRPr="00B23A2B">
        <w:rPr>
          <w:rFonts w:eastAsia="Times New Roman" w:cs="Arial"/>
          <w:szCs w:val="20"/>
          <w:lang w:eastAsia="en-AU"/>
        </w:rPr>
        <w:t xml:space="preserve"> </w:t>
      </w:r>
      <w:r w:rsidRPr="00B23A2B">
        <w:rPr>
          <w:rFonts w:eastAsia="Times New Roman" w:cs="Arial"/>
          <w:szCs w:val="20"/>
          <w:lang w:eastAsia="en-AU"/>
        </w:rPr>
        <w:t>3; EDL p. 2</w:t>
      </w:r>
      <w:r>
        <w:rPr>
          <w:rFonts w:eastAsia="Times New Roman" w:cs="Arial"/>
          <w:szCs w:val="20"/>
          <w:lang w:eastAsia="en-AU"/>
        </w:rPr>
        <w:t>), in part owing to the fact that both the Department and the ERAC have limited resources to carry out the substantial and often technical work involved in methodology processes (</w:t>
      </w:r>
      <w:r w:rsidRPr="00B23A2B">
        <w:rPr>
          <w:rFonts w:eastAsia="Times New Roman" w:cs="Arial"/>
          <w:szCs w:val="20"/>
          <w:lang w:eastAsia="en-AU"/>
        </w:rPr>
        <w:t>Greening Australia p 2; EDL p. 2</w:t>
      </w:r>
      <w:r>
        <w:rPr>
          <w:rFonts w:eastAsia="Times New Roman" w:cs="Arial"/>
          <w:szCs w:val="20"/>
          <w:lang w:eastAsia="en-AU"/>
        </w:rPr>
        <w:t xml:space="preserve">). </w:t>
      </w:r>
      <w:r w:rsidR="005A057A">
        <w:rPr>
          <w:rFonts w:eastAsia="Times New Roman" w:cs="Arial"/>
          <w:szCs w:val="20"/>
          <w:lang w:eastAsia="en-AU"/>
        </w:rPr>
        <w:t>S</w:t>
      </w:r>
      <w:r>
        <w:rPr>
          <w:rFonts w:eastAsia="Times New Roman" w:cs="Arial"/>
          <w:szCs w:val="20"/>
          <w:lang w:eastAsia="en-AU"/>
        </w:rPr>
        <w:t xml:space="preserve">ome stakeholders have recommended formalising arrangements for greater </w:t>
      </w:r>
      <w:r w:rsidR="00DB6303">
        <w:rPr>
          <w:rFonts w:eastAsia="Times New Roman" w:cs="Arial"/>
          <w:szCs w:val="20"/>
          <w:lang w:eastAsia="en-AU"/>
        </w:rPr>
        <w:t>industry</w:t>
      </w:r>
      <w:r>
        <w:rPr>
          <w:rFonts w:eastAsia="Times New Roman" w:cs="Arial"/>
          <w:szCs w:val="20"/>
          <w:lang w:eastAsia="en-AU"/>
        </w:rPr>
        <w:t xml:space="preserve"> engagement (</w:t>
      </w:r>
      <w:r w:rsidRPr="00B23A2B">
        <w:rPr>
          <w:rFonts w:eastAsia="Times New Roman" w:cs="Arial"/>
          <w:szCs w:val="20"/>
          <w:lang w:eastAsia="en-AU"/>
        </w:rPr>
        <w:t xml:space="preserve">EDL </w:t>
      </w:r>
      <w:r w:rsidR="00657AAB" w:rsidRPr="00B23A2B">
        <w:rPr>
          <w:rFonts w:eastAsia="Times New Roman" w:cs="Arial"/>
          <w:szCs w:val="20"/>
          <w:lang w:eastAsia="en-AU"/>
        </w:rPr>
        <w:t>p. 2;</w:t>
      </w:r>
      <w:r w:rsidRPr="00B23A2B">
        <w:rPr>
          <w:rFonts w:eastAsia="Times New Roman" w:cs="Arial"/>
          <w:szCs w:val="20"/>
          <w:lang w:eastAsia="en-AU"/>
        </w:rPr>
        <w:t xml:space="preserve"> Greening Australia p. 2</w:t>
      </w:r>
      <w:r>
        <w:rPr>
          <w:rFonts w:eastAsia="Times New Roman" w:cs="Arial"/>
          <w:szCs w:val="20"/>
          <w:lang w:eastAsia="en-AU"/>
        </w:rPr>
        <w:t>), pointing out that industry―from which extensive, up-to-date expert knowledge can be drawn―is alr</w:t>
      </w:r>
      <w:r w:rsidR="00B03004">
        <w:rPr>
          <w:rFonts w:eastAsia="Times New Roman" w:cs="Arial"/>
          <w:szCs w:val="20"/>
          <w:lang w:eastAsia="en-AU"/>
        </w:rPr>
        <w:t>eady heavily invested in methodology</w:t>
      </w:r>
      <w:r>
        <w:rPr>
          <w:rFonts w:eastAsia="Times New Roman" w:cs="Arial"/>
          <w:szCs w:val="20"/>
          <w:lang w:eastAsia="en-AU"/>
        </w:rPr>
        <w:t xml:space="preserve"> processes (</w:t>
      </w:r>
      <w:r w:rsidRPr="00B23A2B">
        <w:rPr>
          <w:rFonts w:eastAsia="Times New Roman" w:cs="Arial"/>
          <w:szCs w:val="20"/>
          <w:lang w:eastAsia="en-AU"/>
        </w:rPr>
        <w:t>Energy Savings Industry Association p. 3</w:t>
      </w:r>
      <w:r>
        <w:rPr>
          <w:rFonts w:eastAsia="Times New Roman" w:cs="Arial"/>
          <w:szCs w:val="20"/>
          <w:lang w:eastAsia="en-AU"/>
        </w:rPr>
        <w:t xml:space="preserve">). </w:t>
      </w:r>
    </w:p>
    <w:p w14:paraId="09FCAC49" w14:textId="77777777" w:rsidR="008D1E7C" w:rsidRDefault="008D1E7C" w:rsidP="00DC3A77">
      <w:pPr>
        <w:spacing w:after="0"/>
        <w:textAlignment w:val="baseline"/>
      </w:pPr>
    </w:p>
    <w:p w14:paraId="7F4AC35A" w14:textId="62DB0E23" w:rsidR="00D050C5" w:rsidRDefault="00403273" w:rsidP="009E6C42">
      <w:pPr>
        <w:spacing w:after="0"/>
        <w:textAlignment w:val="baseline"/>
        <w:rPr>
          <w:rFonts w:eastAsia="Times New Roman" w:cs="Arial"/>
          <w:szCs w:val="20"/>
          <w:lang w:eastAsia="en-AU"/>
        </w:rPr>
      </w:pPr>
      <w:r>
        <w:rPr>
          <w:rFonts w:eastAsia="Times New Roman" w:cs="Arial"/>
          <w:szCs w:val="20"/>
          <w:lang w:eastAsia="en-AU"/>
        </w:rPr>
        <w:t xml:space="preserve">Historically, </w:t>
      </w:r>
      <w:r w:rsidR="00B61C74">
        <w:rPr>
          <w:rFonts w:eastAsia="Times New Roman" w:cs="Arial"/>
          <w:szCs w:val="20"/>
          <w:lang w:eastAsia="en-AU"/>
        </w:rPr>
        <w:t>under the Carbon Farming Initiative</w:t>
      </w:r>
      <w:r w:rsidR="008948C4">
        <w:rPr>
          <w:rFonts w:eastAsia="Times New Roman" w:cs="Arial"/>
          <w:szCs w:val="20"/>
          <w:lang w:eastAsia="en-AU"/>
        </w:rPr>
        <w:t xml:space="preserve"> (CFI)</w:t>
      </w:r>
      <w:r w:rsidR="00B61C74">
        <w:rPr>
          <w:rFonts w:eastAsia="Times New Roman" w:cs="Arial"/>
          <w:szCs w:val="20"/>
          <w:lang w:eastAsia="en-AU"/>
        </w:rPr>
        <w:t>,</w:t>
      </w:r>
      <w:r>
        <w:rPr>
          <w:rFonts w:eastAsia="Times New Roman" w:cs="Arial"/>
          <w:szCs w:val="20"/>
          <w:lang w:eastAsia="en-AU"/>
        </w:rPr>
        <w:t xml:space="preserve"> third-parties </w:t>
      </w:r>
      <w:r w:rsidR="00B61C74">
        <w:rPr>
          <w:rFonts w:eastAsia="Times New Roman" w:cs="Arial"/>
          <w:szCs w:val="20"/>
          <w:lang w:eastAsia="en-AU"/>
        </w:rPr>
        <w:t xml:space="preserve">were permitted to </w:t>
      </w:r>
      <w:r>
        <w:rPr>
          <w:rFonts w:eastAsia="Times New Roman" w:cs="Arial"/>
          <w:szCs w:val="20"/>
          <w:lang w:eastAsia="en-AU"/>
        </w:rPr>
        <w:t>propose and prepare methods.</w:t>
      </w:r>
      <w:r w:rsidR="00B61C74">
        <w:rPr>
          <w:rFonts w:eastAsia="Times New Roman" w:cs="Arial"/>
          <w:szCs w:val="20"/>
          <w:lang w:eastAsia="en-AU"/>
        </w:rPr>
        <w:t xml:space="preserve"> </w:t>
      </w:r>
      <w:r w:rsidR="00562FAE">
        <w:rPr>
          <w:rFonts w:eastAsia="Times New Roman" w:cs="Arial"/>
          <w:szCs w:val="20"/>
          <w:lang w:eastAsia="en-AU"/>
        </w:rPr>
        <w:t>Third-party p</w:t>
      </w:r>
      <w:r w:rsidR="00B61C74">
        <w:rPr>
          <w:rFonts w:eastAsia="Times New Roman" w:cs="Arial"/>
          <w:szCs w:val="20"/>
          <w:lang w:eastAsia="en-AU"/>
        </w:rPr>
        <w:t>roposed methods were assessed by the Domestic Offsets Integrity Committee (the precursor to the ERAC) and, if endorsed, would be formalised by the Department and Minister (</w:t>
      </w:r>
      <w:r w:rsidR="00B61C74" w:rsidRPr="00B23A2B">
        <w:rPr>
          <w:rFonts w:eastAsia="Times New Roman" w:cs="Arial"/>
          <w:szCs w:val="20"/>
          <w:lang w:eastAsia="en-AU"/>
        </w:rPr>
        <w:t>CFI Act</w:t>
      </w:r>
      <w:r w:rsidR="008948C4" w:rsidRPr="00B23A2B">
        <w:rPr>
          <w:rFonts w:eastAsia="Times New Roman" w:cs="Arial"/>
          <w:i/>
          <w:szCs w:val="20"/>
          <w:lang w:eastAsia="en-AU"/>
        </w:rPr>
        <w:t xml:space="preserve"> </w:t>
      </w:r>
      <w:r w:rsidR="008948C4" w:rsidRPr="00B23A2B">
        <w:rPr>
          <w:rFonts w:eastAsia="Times New Roman" w:cs="Arial"/>
          <w:szCs w:val="20"/>
          <w:lang w:eastAsia="en-AU"/>
        </w:rPr>
        <w:t>2011 (superseded</w:t>
      </w:r>
      <w:r w:rsidR="00846A22" w:rsidRPr="00B23A2B">
        <w:rPr>
          <w:rFonts w:eastAsia="Times New Roman" w:cs="Arial"/>
          <w:szCs w:val="20"/>
          <w:lang w:eastAsia="en-AU"/>
        </w:rPr>
        <w:t>),</w:t>
      </w:r>
      <w:r w:rsidR="00846A22" w:rsidRPr="00B23A2B">
        <w:rPr>
          <w:rFonts w:eastAsia="Times New Roman" w:cs="Arial"/>
          <w:i/>
          <w:szCs w:val="20"/>
          <w:lang w:eastAsia="en-AU"/>
        </w:rPr>
        <w:t xml:space="preserve"> </w:t>
      </w:r>
      <w:r w:rsidR="00846A22" w:rsidRPr="00B23A2B">
        <w:rPr>
          <w:rFonts w:eastAsia="Times New Roman" w:cs="Arial"/>
          <w:szCs w:val="20"/>
          <w:lang w:eastAsia="en-AU"/>
        </w:rPr>
        <w:t>ss 108; 112</w:t>
      </w:r>
      <w:r w:rsidR="00846A22">
        <w:rPr>
          <w:rFonts w:eastAsia="Times New Roman" w:cs="Arial"/>
          <w:szCs w:val="20"/>
          <w:lang w:eastAsia="en-AU"/>
        </w:rPr>
        <w:t>)</w:t>
      </w:r>
      <w:r w:rsidR="00AC1F01">
        <w:rPr>
          <w:rFonts w:eastAsia="Times New Roman" w:cs="Arial"/>
          <w:szCs w:val="20"/>
          <w:lang w:eastAsia="en-AU"/>
        </w:rPr>
        <w:t>.</w:t>
      </w:r>
      <w:r w:rsidR="00B61C74">
        <w:rPr>
          <w:rFonts w:eastAsia="Times New Roman" w:cs="Arial"/>
          <w:szCs w:val="20"/>
          <w:lang w:eastAsia="en-AU"/>
        </w:rPr>
        <w:t xml:space="preserve"> This process was abandoned when the </w:t>
      </w:r>
      <w:r w:rsidR="008948C4">
        <w:rPr>
          <w:rFonts w:eastAsia="Times New Roman" w:cs="Arial"/>
          <w:szCs w:val="20"/>
          <w:lang w:eastAsia="en-AU"/>
        </w:rPr>
        <w:t xml:space="preserve">CFI was </w:t>
      </w:r>
      <w:r w:rsidR="005505FF">
        <w:rPr>
          <w:rFonts w:eastAsia="Times New Roman" w:cs="Arial"/>
          <w:szCs w:val="20"/>
          <w:lang w:eastAsia="en-AU"/>
        </w:rPr>
        <w:t>replaced by</w:t>
      </w:r>
      <w:r w:rsidR="00B61C74">
        <w:rPr>
          <w:rFonts w:eastAsia="Times New Roman" w:cs="Arial"/>
          <w:szCs w:val="20"/>
          <w:lang w:eastAsia="en-AU"/>
        </w:rPr>
        <w:t xml:space="preserve"> the ERF in 2014, partially on the basis that it </w:t>
      </w:r>
      <w:r w:rsidR="005505FF">
        <w:rPr>
          <w:rFonts w:eastAsia="Times New Roman" w:cs="Arial"/>
          <w:szCs w:val="20"/>
          <w:lang w:eastAsia="en-AU"/>
        </w:rPr>
        <w:t xml:space="preserve">had </w:t>
      </w:r>
      <w:r w:rsidR="00B61C74">
        <w:rPr>
          <w:rFonts w:eastAsia="Times New Roman" w:cs="Arial"/>
          <w:szCs w:val="20"/>
          <w:lang w:eastAsia="en-AU"/>
        </w:rPr>
        <w:t>resulted in a diversion of scar</w:t>
      </w:r>
      <w:r w:rsidR="00562FAE">
        <w:rPr>
          <w:rFonts w:eastAsia="Times New Roman" w:cs="Arial"/>
          <w:szCs w:val="20"/>
          <w:lang w:eastAsia="en-AU"/>
        </w:rPr>
        <w:t>c</w:t>
      </w:r>
      <w:r w:rsidR="00B61C74">
        <w:rPr>
          <w:rFonts w:eastAsia="Times New Roman" w:cs="Arial"/>
          <w:szCs w:val="20"/>
          <w:lang w:eastAsia="en-AU"/>
        </w:rPr>
        <w:t>e departmental resources toward methods</w:t>
      </w:r>
      <w:r w:rsidR="00562FAE">
        <w:rPr>
          <w:rFonts w:eastAsia="Times New Roman" w:cs="Arial"/>
          <w:szCs w:val="20"/>
          <w:lang w:eastAsia="en-AU"/>
        </w:rPr>
        <w:t xml:space="preserve"> that were </w:t>
      </w:r>
      <w:r w:rsidR="00760D71">
        <w:rPr>
          <w:rFonts w:eastAsia="Times New Roman" w:cs="Arial"/>
          <w:szCs w:val="20"/>
          <w:lang w:eastAsia="en-AU"/>
        </w:rPr>
        <w:t>often</w:t>
      </w:r>
      <w:r w:rsidR="00562FAE">
        <w:rPr>
          <w:rFonts w:eastAsia="Times New Roman" w:cs="Arial"/>
          <w:szCs w:val="20"/>
          <w:lang w:eastAsia="en-AU"/>
        </w:rPr>
        <w:t xml:space="preserve"> </w:t>
      </w:r>
      <w:r w:rsidR="00B61C74">
        <w:rPr>
          <w:rFonts w:eastAsia="Times New Roman" w:cs="Arial"/>
          <w:szCs w:val="20"/>
          <w:lang w:eastAsia="en-AU"/>
        </w:rPr>
        <w:t xml:space="preserve">narrow </w:t>
      </w:r>
      <w:r w:rsidR="00562FAE">
        <w:rPr>
          <w:rFonts w:eastAsia="Times New Roman" w:cs="Arial"/>
          <w:szCs w:val="20"/>
          <w:lang w:eastAsia="en-AU"/>
        </w:rPr>
        <w:t xml:space="preserve">in </w:t>
      </w:r>
      <w:r w:rsidR="00B61C74">
        <w:rPr>
          <w:rFonts w:eastAsia="Times New Roman" w:cs="Arial"/>
          <w:szCs w:val="20"/>
          <w:lang w:eastAsia="en-AU"/>
        </w:rPr>
        <w:t xml:space="preserve">scope </w:t>
      </w:r>
      <w:r w:rsidR="00B61C74" w:rsidRPr="00764422">
        <w:rPr>
          <w:rFonts w:eastAsia="Times New Roman" w:cs="Arial"/>
          <w:szCs w:val="20"/>
          <w:lang w:eastAsia="en-AU"/>
        </w:rPr>
        <w:t>(</w:t>
      </w:r>
      <w:r w:rsidR="000049E6" w:rsidRPr="00764422">
        <w:t xml:space="preserve">Australian Government </w:t>
      </w:r>
      <w:r w:rsidR="000049E6" w:rsidRPr="009C394A">
        <w:rPr>
          <w:rFonts w:eastAsia="Times New Roman" w:cs="Arial"/>
          <w:szCs w:val="20"/>
          <w:lang w:eastAsia="en-AU"/>
        </w:rPr>
        <w:t>2020</w:t>
      </w:r>
      <w:r w:rsidR="000049E6">
        <w:rPr>
          <w:rFonts w:eastAsia="Times New Roman" w:cs="Arial"/>
          <w:szCs w:val="20"/>
          <w:lang w:eastAsia="en-AU"/>
        </w:rPr>
        <w:t>b</w:t>
      </w:r>
      <w:r w:rsidR="00B61C74">
        <w:rPr>
          <w:rFonts w:eastAsia="Times New Roman" w:cs="Arial"/>
          <w:szCs w:val="20"/>
          <w:lang w:eastAsia="en-AU"/>
        </w:rPr>
        <w:t xml:space="preserve">). While acknowledging this </w:t>
      </w:r>
      <w:r w:rsidR="00AF16E8">
        <w:rPr>
          <w:rFonts w:eastAsia="Times New Roman" w:cs="Arial"/>
          <w:szCs w:val="20"/>
          <w:lang w:eastAsia="en-AU"/>
        </w:rPr>
        <w:t>move had benefits</w:t>
      </w:r>
      <w:r w:rsidR="00B61C74">
        <w:rPr>
          <w:rFonts w:eastAsia="Times New Roman" w:cs="Arial"/>
          <w:szCs w:val="20"/>
          <w:lang w:eastAsia="en-AU"/>
        </w:rPr>
        <w:t>, the</w:t>
      </w:r>
      <w:r w:rsidR="00562FAE">
        <w:rPr>
          <w:rFonts w:eastAsia="Times New Roman" w:cs="Arial"/>
          <w:szCs w:val="20"/>
          <w:lang w:eastAsia="en-AU"/>
        </w:rPr>
        <w:t xml:space="preserve"> </w:t>
      </w:r>
      <w:r w:rsidR="00545E7B">
        <w:rPr>
          <w:rFonts w:eastAsia="Times New Roman" w:cs="Arial"/>
          <w:szCs w:val="20"/>
          <w:lang w:eastAsia="en-AU"/>
        </w:rPr>
        <w:t xml:space="preserve">King </w:t>
      </w:r>
      <w:r w:rsidR="009841F1">
        <w:rPr>
          <w:rFonts w:eastAsia="Times New Roman" w:cs="Arial"/>
          <w:szCs w:val="20"/>
          <w:lang w:eastAsia="en-AU"/>
        </w:rPr>
        <w:t>Review</w:t>
      </w:r>
      <w:r w:rsidR="00562FAE">
        <w:rPr>
          <w:rFonts w:eastAsia="Times New Roman" w:cs="Arial"/>
          <w:szCs w:val="20"/>
          <w:lang w:eastAsia="en-AU"/>
        </w:rPr>
        <w:t xml:space="preserve"> </w:t>
      </w:r>
      <w:r w:rsidR="00AF16E8" w:rsidDel="00245DEA">
        <w:rPr>
          <w:rFonts w:eastAsia="Times New Roman" w:cs="Arial"/>
          <w:szCs w:val="20"/>
          <w:lang w:eastAsia="en-AU"/>
        </w:rPr>
        <w:t xml:space="preserve">recommended </w:t>
      </w:r>
      <w:r w:rsidR="00562FAE">
        <w:rPr>
          <w:rFonts w:eastAsia="Times New Roman" w:cs="Arial"/>
          <w:szCs w:val="20"/>
          <w:lang w:eastAsia="en-AU"/>
        </w:rPr>
        <w:t xml:space="preserve">that </w:t>
      </w:r>
      <w:r w:rsidR="00B61C74">
        <w:rPr>
          <w:rFonts w:eastAsia="Times New Roman" w:cs="Arial"/>
          <w:szCs w:val="20"/>
          <w:lang w:eastAsia="en-AU"/>
        </w:rPr>
        <w:t xml:space="preserve">greater opportunities </w:t>
      </w:r>
      <w:r w:rsidR="00245DEA">
        <w:rPr>
          <w:rFonts w:eastAsia="Times New Roman" w:cs="Arial"/>
          <w:szCs w:val="20"/>
          <w:lang w:eastAsia="en-AU"/>
        </w:rPr>
        <w:t xml:space="preserve">should </w:t>
      </w:r>
      <w:r w:rsidR="00562FAE">
        <w:rPr>
          <w:rFonts w:eastAsia="Times New Roman" w:cs="Arial"/>
          <w:szCs w:val="20"/>
          <w:lang w:eastAsia="en-AU"/>
        </w:rPr>
        <w:t xml:space="preserve">be made available </w:t>
      </w:r>
      <w:r w:rsidR="00B61C74">
        <w:rPr>
          <w:rFonts w:eastAsia="Times New Roman" w:cs="Arial"/>
          <w:szCs w:val="20"/>
          <w:lang w:eastAsia="en-AU"/>
        </w:rPr>
        <w:t xml:space="preserve">for third-parties to </w:t>
      </w:r>
      <w:r w:rsidR="00760D71">
        <w:rPr>
          <w:rFonts w:eastAsia="Times New Roman" w:cs="Arial"/>
          <w:szCs w:val="20"/>
          <w:lang w:eastAsia="en-AU"/>
        </w:rPr>
        <w:t xml:space="preserve">engage in </w:t>
      </w:r>
      <w:r w:rsidR="00B61C74">
        <w:rPr>
          <w:rFonts w:eastAsia="Times New Roman" w:cs="Arial"/>
          <w:szCs w:val="20"/>
          <w:lang w:eastAsia="en-AU"/>
        </w:rPr>
        <w:t>develop</w:t>
      </w:r>
      <w:r w:rsidR="00760D71">
        <w:rPr>
          <w:rFonts w:eastAsia="Times New Roman" w:cs="Arial"/>
          <w:szCs w:val="20"/>
          <w:lang w:eastAsia="en-AU"/>
        </w:rPr>
        <w:t>ing</w:t>
      </w:r>
      <w:r w:rsidR="00B61C74">
        <w:rPr>
          <w:rFonts w:eastAsia="Times New Roman" w:cs="Arial"/>
          <w:szCs w:val="20"/>
          <w:lang w:eastAsia="en-AU"/>
        </w:rPr>
        <w:t xml:space="preserve"> methods </w:t>
      </w:r>
      <w:r w:rsidR="00245DEA">
        <w:rPr>
          <w:rFonts w:eastAsia="Times New Roman" w:cs="Arial"/>
          <w:szCs w:val="20"/>
          <w:lang w:eastAsia="en-AU"/>
        </w:rPr>
        <w:t xml:space="preserve">while avoiding previous pitfalls </w:t>
      </w:r>
      <w:r w:rsidR="00B61C74">
        <w:rPr>
          <w:rFonts w:eastAsia="Times New Roman" w:cs="Arial"/>
          <w:szCs w:val="20"/>
          <w:lang w:eastAsia="en-AU"/>
        </w:rPr>
        <w:t>(</w:t>
      </w:r>
      <w:r w:rsidR="000049E6" w:rsidRPr="00764422">
        <w:t xml:space="preserve">Australian Government </w:t>
      </w:r>
      <w:r w:rsidR="000049E6" w:rsidRPr="009C394A">
        <w:rPr>
          <w:rFonts w:eastAsia="Times New Roman" w:cs="Arial"/>
          <w:szCs w:val="20"/>
          <w:lang w:eastAsia="en-AU"/>
        </w:rPr>
        <w:t>2020</w:t>
      </w:r>
      <w:r w:rsidR="000049E6">
        <w:rPr>
          <w:rFonts w:eastAsia="Times New Roman" w:cs="Arial"/>
          <w:szCs w:val="20"/>
          <w:lang w:eastAsia="en-AU"/>
        </w:rPr>
        <w:t>b</w:t>
      </w:r>
      <w:r w:rsidR="00B61C74">
        <w:rPr>
          <w:rFonts w:eastAsia="Times New Roman" w:cs="Arial"/>
          <w:szCs w:val="20"/>
          <w:lang w:eastAsia="en-AU"/>
        </w:rPr>
        <w:t xml:space="preserve">). </w:t>
      </w:r>
      <w:r w:rsidR="005A057A">
        <w:rPr>
          <w:rFonts w:eastAsia="Times New Roman" w:cs="Arial"/>
          <w:szCs w:val="20"/>
          <w:lang w:eastAsia="en-AU"/>
        </w:rPr>
        <w:t xml:space="preserve">The Carbon Market Institute is supportive of the King Review recommendation and </w:t>
      </w:r>
      <w:r w:rsidR="007E4A3D">
        <w:rPr>
          <w:rFonts w:eastAsia="Times New Roman" w:cs="Arial"/>
          <w:szCs w:val="20"/>
          <w:lang w:eastAsia="en-AU"/>
        </w:rPr>
        <w:t>“</w:t>
      </w:r>
      <w:r w:rsidR="005A057A">
        <w:rPr>
          <w:rFonts w:eastAsia="Times New Roman" w:cs="Arial"/>
          <w:szCs w:val="20"/>
          <w:lang w:eastAsia="en-AU"/>
        </w:rPr>
        <w:t>welcomes avenues for industry and technical experts to be involved in ERF method development</w:t>
      </w:r>
      <w:r w:rsidR="007E4A3D">
        <w:rPr>
          <w:rFonts w:eastAsia="Times New Roman" w:cs="Arial"/>
          <w:szCs w:val="20"/>
          <w:lang w:eastAsia="en-AU"/>
        </w:rPr>
        <w:t>”</w:t>
      </w:r>
      <w:r w:rsidR="005A057A">
        <w:rPr>
          <w:rFonts w:eastAsia="Times New Roman" w:cs="Arial"/>
          <w:szCs w:val="20"/>
          <w:lang w:eastAsia="en-AU"/>
        </w:rPr>
        <w:t xml:space="preserve"> (CMI submission</w:t>
      </w:r>
      <w:r w:rsidR="007E4A3D">
        <w:rPr>
          <w:rFonts w:eastAsia="Times New Roman" w:cs="Arial"/>
          <w:szCs w:val="20"/>
          <w:lang w:eastAsia="en-AU"/>
        </w:rPr>
        <w:t xml:space="preserve"> p.6</w:t>
      </w:r>
      <w:r w:rsidR="005A057A">
        <w:rPr>
          <w:rFonts w:eastAsia="Times New Roman" w:cs="Arial"/>
          <w:szCs w:val="20"/>
          <w:lang w:eastAsia="en-AU"/>
        </w:rPr>
        <w:t>)</w:t>
      </w:r>
      <w:r w:rsidR="00CF1917">
        <w:rPr>
          <w:rFonts w:eastAsia="Times New Roman" w:cs="Arial"/>
          <w:szCs w:val="20"/>
          <w:lang w:eastAsia="en-AU"/>
        </w:rPr>
        <w:t xml:space="preserve"> as do other stakeholders (Farmers for Climate Action p.3, Australian Forest Products Association p. 5).</w:t>
      </w:r>
    </w:p>
    <w:p w14:paraId="49E81CD5" w14:textId="77777777" w:rsidR="00F436C5" w:rsidRDefault="00F436C5" w:rsidP="00F436C5">
      <w:pPr>
        <w:spacing w:after="0"/>
        <w:textAlignment w:val="baseline"/>
        <w:rPr>
          <w:rFonts w:eastAsia="Times New Roman" w:cs="Arial"/>
          <w:szCs w:val="20"/>
          <w:lang w:eastAsia="en-AU"/>
        </w:rPr>
      </w:pPr>
    </w:p>
    <w:p w14:paraId="17485126" w14:textId="47F884BC" w:rsidR="00F436C5" w:rsidRDefault="00F436C5" w:rsidP="00F436C5">
      <w:pPr>
        <w:spacing w:after="0"/>
        <w:textAlignment w:val="baseline"/>
        <w:rPr>
          <w:rFonts w:eastAsia="Times New Roman" w:cs="Arial"/>
          <w:szCs w:val="20"/>
          <w:lang w:eastAsia="en-AU"/>
        </w:rPr>
      </w:pPr>
      <w:r>
        <w:rPr>
          <w:rFonts w:eastAsia="Times New Roman" w:cs="Arial"/>
          <w:szCs w:val="20"/>
          <w:lang w:eastAsia="en-AU"/>
        </w:rPr>
        <w:t>In response to the King Review’s recommendation, the Government agreed to investigate options for deeper industry involvement in method development with a focus on in-kind support, such as procuring new datasets to help certify the scientific integrity of a method</w:t>
      </w:r>
      <w:r w:rsidR="008549F8">
        <w:rPr>
          <w:rFonts w:eastAsia="Times New Roman" w:cs="Arial"/>
          <w:szCs w:val="20"/>
          <w:lang w:eastAsia="en-AU"/>
        </w:rPr>
        <w:t>. The Government has also recently announced</w:t>
      </w:r>
      <w:r>
        <w:rPr>
          <w:rFonts w:eastAsia="Times New Roman" w:cs="Arial"/>
          <w:szCs w:val="20"/>
          <w:lang w:eastAsia="en-AU"/>
        </w:rPr>
        <w:t xml:space="preserve"> </w:t>
      </w:r>
      <w:r w:rsidR="008549F8">
        <w:rPr>
          <w:rFonts w:eastAsia="Times New Roman" w:cs="Arial"/>
          <w:szCs w:val="20"/>
          <w:lang w:eastAsia="en-AU"/>
        </w:rPr>
        <w:t>it</w:t>
      </w:r>
      <w:r w:rsidR="00034516">
        <w:rPr>
          <w:rFonts w:eastAsia="Times New Roman" w:cs="Arial"/>
          <w:szCs w:val="20"/>
          <w:lang w:eastAsia="en-AU"/>
        </w:rPr>
        <w:t xml:space="preserve"> will seek to slash the time taken to develop new ERF methods from 24 months or more to less than 12 months, involving industry in a co-design process (</w:t>
      </w:r>
      <w:r w:rsidR="00081CD9" w:rsidRPr="009B65DB">
        <w:t>Australian Government 2020a</w:t>
      </w:r>
      <w:r w:rsidR="00D87E61">
        <w:rPr>
          <w:rFonts w:eastAsia="Times New Roman" w:cs="Arial"/>
          <w:szCs w:val="20"/>
          <w:lang w:eastAsia="en-AU"/>
        </w:rPr>
        <w:t xml:space="preserve">, </w:t>
      </w:r>
      <w:r w:rsidR="00034516">
        <w:rPr>
          <w:rFonts w:eastAsia="Times New Roman" w:cs="Arial"/>
          <w:szCs w:val="20"/>
          <w:lang w:eastAsia="en-AU"/>
        </w:rPr>
        <w:t xml:space="preserve">Taylor A 2020). </w:t>
      </w:r>
      <w:r>
        <w:rPr>
          <w:rFonts w:eastAsia="Times New Roman" w:cs="Arial"/>
          <w:szCs w:val="20"/>
          <w:lang w:eastAsia="en-AU"/>
        </w:rPr>
        <w:t xml:space="preserve">The Authority </w:t>
      </w:r>
      <w:r w:rsidR="00034516">
        <w:rPr>
          <w:rFonts w:eastAsia="Times New Roman" w:cs="Arial"/>
          <w:szCs w:val="20"/>
          <w:lang w:eastAsia="en-AU"/>
        </w:rPr>
        <w:t xml:space="preserve">welcomes the Government’s announcement and </w:t>
      </w:r>
      <w:r>
        <w:rPr>
          <w:rFonts w:eastAsia="Times New Roman" w:cs="Arial"/>
          <w:szCs w:val="20"/>
          <w:lang w:eastAsia="en-AU"/>
        </w:rPr>
        <w:t>sees value in establishing a more</w:t>
      </w:r>
      <w:r w:rsidRPr="00836308">
        <w:rPr>
          <w:rFonts w:eastAsia="Times New Roman" w:cs="Arial"/>
          <w:szCs w:val="20"/>
          <w:lang w:eastAsia="en-AU"/>
        </w:rPr>
        <w:t xml:space="preserve"> formal</w:t>
      </w:r>
      <w:r>
        <w:rPr>
          <w:rFonts w:eastAsia="Times New Roman" w:cs="Arial"/>
          <w:szCs w:val="20"/>
          <w:lang w:eastAsia="en-AU"/>
        </w:rPr>
        <w:t xml:space="preserve"> mechanism </w:t>
      </w:r>
      <w:r w:rsidR="006814D1">
        <w:rPr>
          <w:rFonts w:eastAsia="Times New Roman" w:cs="Arial"/>
          <w:szCs w:val="20"/>
          <w:lang w:eastAsia="en-AU"/>
        </w:rPr>
        <w:t xml:space="preserve">to optimise </w:t>
      </w:r>
      <w:r>
        <w:rPr>
          <w:rFonts w:eastAsia="Times New Roman" w:cs="Arial"/>
          <w:szCs w:val="20"/>
          <w:lang w:eastAsia="en-AU"/>
        </w:rPr>
        <w:t xml:space="preserve">industry involvement and participation in method processes. </w:t>
      </w:r>
    </w:p>
    <w:p w14:paraId="1E389BDE" w14:textId="444E24CD" w:rsidR="00F436C5" w:rsidRDefault="00F436C5" w:rsidP="009E6C42">
      <w:pPr>
        <w:spacing w:after="0"/>
        <w:textAlignment w:val="baseline"/>
        <w:rPr>
          <w:rFonts w:eastAsia="Times New Roman" w:cs="Arial"/>
          <w:szCs w:val="20"/>
          <w:lang w:eastAsia="en-AU"/>
        </w:rPr>
      </w:pPr>
    </w:p>
    <w:p w14:paraId="21B24257" w14:textId="49260066" w:rsidR="00DB6303" w:rsidRDefault="00142E61" w:rsidP="00B23A2B">
      <w:pPr>
        <w:spacing w:after="0"/>
        <w:textAlignment w:val="baseline"/>
        <w:rPr>
          <w:rFonts w:eastAsia="Times New Roman" w:cs="Arial"/>
          <w:szCs w:val="20"/>
          <w:lang w:eastAsia="en-AU"/>
        </w:rPr>
      </w:pPr>
      <w:r>
        <w:rPr>
          <w:rFonts w:eastAsia="Times New Roman" w:cs="Arial"/>
          <w:szCs w:val="20"/>
          <w:lang w:eastAsia="en-AU"/>
        </w:rPr>
        <w:t xml:space="preserve">The management of fisheries under the </w:t>
      </w:r>
      <w:r>
        <w:rPr>
          <w:rFonts w:eastAsia="Times New Roman" w:cs="Arial"/>
          <w:i/>
          <w:szCs w:val="20"/>
          <w:lang w:eastAsia="en-AU"/>
        </w:rPr>
        <w:t xml:space="preserve">Fisheries Management Act 1991 </w:t>
      </w:r>
      <w:r>
        <w:rPr>
          <w:rFonts w:eastAsia="Times New Roman" w:cs="Arial"/>
          <w:szCs w:val="20"/>
          <w:lang w:eastAsia="en-AU"/>
        </w:rPr>
        <w:t>(Cth</w:t>
      </w:r>
      <w:r w:rsidRPr="00836308">
        <w:rPr>
          <w:rFonts w:eastAsia="Times New Roman" w:cs="Arial"/>
          <w:szCs w:val="20"/>
          <w:lang w:eastAsia="en-AU"/>
        </w:rPr>
        <w:t>)</w:t>
      </w:r>
      <w:r w:rsidR="00654D5C">
        <w:rPr>
          <w:rFonts w:eastAsia="Times New Roman" w:cs="Arial"/>
          <w:szCs w:val="20"/>
          <w:lang w:eastAsia="en-AU"/>
        </w:rPr>
        <w:t xml:space="preserve">, </w:t>
      </w:r>
      <w:r>
        <w:rPr>
          <w:rFonts w:eastAsia="Times New Roman" w:cs="Arial"/>
          <w:szCs w:val="20"/>
          <w:lang w:eastAsia="en-AU"/>
        </w:rPr>
        <w:t xml:space="preserve">the administration and development of the Australian Building </w:t>
      </w:r>
      <w:r w:rsidRPr="00836308">
        <w:rPr>
          <w:rFonts w:eastAsia="Times New Roman" w:cs="Arial"/>
          <w:szCs w:val="20"/>
          <w:lang w:eastAsia="en-AU"/>
        </w:rPr>
        <w:t>Code</w:t>
      </w:r>
      <w:r w:rsidR="00F436C5">
        <w:rPr>
          <w:rFonts w:eastAsia="Times New Roman" w:cs="Arial"/>
          <w:szCs w:val="20"/>
          <w:lang w:eastAsia="en-AU"/>
        </w:rPr>
        <w:t>s</w:t>
      </w:r>
      <w:r>
        <w:rPr>
          <w:rFonts w:eastAsia="Times New Roman" w:cs="Arial"/>
          <w:szCs w:val="20"/>
          <w:lang w:eastAsia="en-AU"/>
        </w:rPr>
        <w:t xml:space="preserve"> </w:t>
      </w:r>
      <w:r w:rsidR="00654D5C">
        <w:rPr>
          <w:rFonts w:eastAsia="Times New Roman" w:cs="Arial"/>
          <w:szCs w:val="20"/>
          <w:lang w:eastAsia="en-AU"/>
        </w:rPr>
        <w:t>and the</w:t>
      </w:r>
      <w:r w:rsidR="00F436C5">
        <w:rPr>
          <w:rFonts w:eastAsia="Times New Roman" w:cs="Arial"/>
          <w:szCs w:val="20"/>
          <w:lang w:eastAsia="en-AU"/>
        </w:rPr>
        <w:t xml:space="preserve"> </w:t>
      </w:r>
      <w:r w:rsidR="00654D5C">
        <w:rPr>
          <w:rFonts w:eastAsia="Times New Roman" w:cs="Arial"/>
          <w:szCs w:val="20"/>
          <w:lang w:eastAsia="en-AU"/>
        </w:rPr>
        <w:t>Takeovers Panel, to advise on company mergers and acquisitions</w:t>
      </w:r>
      <w:r w:rsidR="00AB17A8">
        <w:rPr>
          <w:rFonts w:eastAsia="Times New Roman" w:cs="Arial"/>
          <w:szCs w:val="20"/>
          <w:lang w:eastAsia="en-AU"/>
        </w:rPr>
        <w:t>,</w:t>
      </w:r>
      <w:r w:rsidR="00654D5C">
        <w:rPr>
          <w:rFonts w:eastAsia="Times New Roman" w:cs="Arial"/>
          <w:szCs w:val="20"/>
          <w:lang w:eastAsia="en-AU"/>
        </w:rPr>
        <w:t xml:space="preserve"> under the </w:t>
      </w:r>
      <w:r w:rsidR="00654D5C" w:rsidRPr="00B23A2B">
        <w:rPr>
          <w:rFonts w:eastAsia="Times New Roman" w:cs="Arial"/>
          <w:i/>
          <w:szCs w:val="20"/>
          <w:lang w:eastAsia="en-AU"/>
        </w:rPr>
        <w:t>Australian Securities and Investments Commission Act</w:t>
      </w:r>
      <w:r w:rsidR="00654D5C">
        <w:rPr>
          <w:rFonts w:eastAsia="Times New Roman" w:cs="Arial"/>
          <w:szCs w:val="20"/>
          <w:lang w:eastAsia="en-AU"/>
        </w:rPr>
        <w:t xml:space="preserve"> (Cth)</w:t>
      </w:r>
      <w:r w:rsidR="00DB5ECE">
        <w:rPr>
          <w:rFonts w:eastAsia="Times New Roman" w:cs="Arial"/>
          <w:szCs w:val="20"/>
          <w:lang w:eastAsia="en-AU"/>
        </w:rPr>
        <w:t>,</w:t>
      </w:r>
      <w:r w:rsidR="00654D5C">
        <w:rPr>
          <w:rFonts w:eastAsia="Times New Roman" w:cs="Arial"/>
          <w:szCs w:val="20"/>
          <w:lang w:eastAsia="en-AU"/>
        </w:rPr>
        <w:t xml:space="preserve"> </w:t>
      </w:r>
      <w:r w:rsidR="00432740" w:rsidRPr="00836308">
        <w:rPr>
          <w:rFonts w:eastAsia="Times New Roman" w:cs="Arial"/>
          <w:szCs w:val="20"/>
          <w:lang w:eastAsia="en-AU"/>
        </w:rPr>
        <w:t>are</w:t>
      </w:r>
      <w:r w:rsidR="00654D5C">
        <w:rPr>
          <w:rFonts w:eastAsia="Times New Roman" w:cs="Arial"/>
          <w:szCs w:val="20"/>
          <w:lang w:eastAsia="en-AU"/>
        </w:rPr>
        <w:t xml:space="preserve"> all </w:t>
      </w:r>
      <w:r w:rsidR="00432740">
        <w:rPr>
          <w:rFonts w:eastAsia="Times New Roman" w:cs="Arial"/>
          <w:szCs w:val="20"/>
          <w:lang w:eastAsia="en-AU"/>
        </w:rPr>
        <w:t>example</w:t>
      </w:r>
      <w:r w:rsidR="003134DB">
        <w:rPr>
          <w:rFonts w:eastAsia="Times New Roman" w:cs="Arial"/>
          <w:szCs w:val="20"/>
          <w:lang w:eastAsia="en-AU"/>
        </w:rPr>
        <w:t>s</w:t>
      </w:r>
      <w:r w:rsidR="00432740">
        <w:rPr>
          <w:rFonts w:eastAsia="Times New Roman" w:cs="Arial"/>
          <w:szCs w:val="20"/>
          <w:lang w:eastAsia="en-AU"/>
        </w:rPr>
        <w:t xml:space="preserve"> of </w:t>
      </w:r>
      <w:r w:rsidR="00836308">
        <w:rPr>
          <w:rFonts w:eastAsia="Times New Roman" w:cs="Arial"/>
          <w:szCs w:val="20"/>
          <w:lang w:eastAsia="en-AU"/>
        </w:rPr>
        <w:t>different ways</w:t>
      </w:r>
      <w:r w:rsidR="00432740">
        <w:rPr>
          <w:rFonts w:eastAsia="Times New Roman" w:cs="Arial"/>
          <w:szCs w:val="20"/>
          <w:lang w:eastAsia="en-AU"/>
        </w:rPr>
        <w:t xml:space="preserve"> industry, government and other expert</w:t>
      </w:r>
      <w:r w:rsidR="00CE3F77">
        <w:rPr>
          <w:rFonts w:eastAsia="Times New Roman" w:cs="Arial"/>
          <w:szCs w:val="20"/>
          <w:lang w:eastAsia="en-AU"/>
        </w:rPr>
        <w:t>s</w:t>
      </w:r>
      <w:r w:rsidR="00432740">
        <w:rPr>
          <w:rFonts w:eastAsia="Times New Roman" w:cs="Arial"/>
          <w:szCs w:val="20"/>
          <w:lang w:eastAsia="en-AU"/>
        </w:rPr>
        <w:t xml:space="preserve"> can engage </w:t>
      </w:r>
      <w:r w:rsidR="003134DB">
        <w:rPr>
          <w:rFonts w:eastAsia="Times New Roman" w:cs="Arial"/>
          <w:szCs w:val="20"/>
          <w:lang w:eastAsia="en-AU"/>
        </w:rPr>
        <w:t>in a formalised</w:t>
      </w:r>
      <w:r w:rsidR="00CE3F77">
        <w:rPr>
          <w:rFonts w:eastAsia="Times New Roman" w:cs="Arial"/>
          <w:szCs w:val="20"/>
          <w:lang w:eastAsia="en-AU"/>
        </w:rPr>
        <w:t>,</w:t>
      </w:r>
      <w:r w:rsidR="003134DB">
        <w:rPr>
          <w:rFonts w:eastAsia="Times New Roman" w:cs="Arial"/>
          <w:szCs w:val="20"/>
          <w:lang w:eastAsia="en-AU"/>
        </w:rPr>
        <w:t xml:space="preserve"> ongoing way</w:t>
      </w:r>
      <w:r w:rsidR="00432740">
        <w:rPr>
          <w:rFonts w:eastAsia="Times New Roman" w:cs="Arial"/>
          <w:szCs w:val="20"/>
          <w:lang w:eastAsia="en-AU"/>
        </w:rPr>
        <w:t xml:space="preserve"> to </w:t>
      </w:r>
      <w:r w:rsidR="00F436C5">
        <w:rPr>
          <w:rFonts w:eastAsia="Times New Roman" w:cs="Arial"/>
          <w:szCs w:val="20"/>
          <w:lang w:eastAsia="en-AU"/>
        </w:rPr>
        <w:t>harness</w:t>
      </w:r>
      <w:r w:rsidR="00432740">
        <w:rPr>
          <w:rFonts w:eastAsia="Times New Roman" w:cs="Arial"/>
          <w:szCs w:val="20"/>
          <w:lang w:eastAsia="en-AU"/>
        </w:rPr>
        <w:t xml:space="preserve"> </w:t>
      </w:r>
      <w:r w:rsidR="00CE3F77">
        <w:rPr>
          <w:rFonts w:eastAsia="Times New Roman" w:cs="Arial"/>
          <w:szCs w:val="20"/>
          <w:lang w:eastAsia="en-AU"/>
        </w:rPr>
        <w:t>greater</w:t>
      </w:r>
      <w:r w:rsidR="00432740">
        <w:rPr>
          <w:rFonts w:eastAsia="Times New Roman" w:cs="Arial"/>
          <w:szCs w:val="20"/>
          <w:lang w:eastAsia="en-AU"/>
        </w:rPr>
        <w:t xml:space="preserve"> </w:t>
      </w:r>
      <w:r w:rsidR="00F436C5">
        <w:rPr>
          <w:rFonts w:eastAsia="Times New Roman" w:cs="Arial"/>
          <w:szCs w:val="20"/>
          <w:lang w:eastAsia="en-AU"/>
        </w:rPr>
        <w:t xml:space="preserve">technical expertise </w:t>
      </w:r>
      <w:r w:rsidR="00392343">
        <w:rPr>
          <w:rFonts w:eastAsia="Times New Roman" w:cs="Arial"/>
          <w:szCs w:val="20"/>
          <w:lang w:eastAsia="en-AU"/>
        </w:rPr>
        <w:t xml:space="preserve">(Box </w:t>
      </w:r>
      <w:r w:rsidR="00392343" w:rsidRPr="00B23A2B">
        <w:rPr>
          <w:rFonts w:eastAsia="Times New Roman" w:cs="Arial"/>
          <w:szCs w:val="20"/>
          <w:lang w:eastAsia="en-AU"/>
        </w:rPr>
        <w:t>6.1)</w:t>
      </w:r>
      <w:r w:rsidR="00432740" w:rsidRPr="00B23A2B">
        <w:rPr>
          <w:rFonts w:eastAsia="Times New Roman" w:cs="Arial"/>
          <w:szCs w:val="20"/>
          <w:lang w:eastAsia="en-AU"/>
        </w:rPr>
        <w:t>.</w:t>
      </w:r>
      <w:r w:rsidR="00432740">
        <w:rPr>
          <w:rFonts w:eastAsia="Times New Roman" w:cs="Arial"/>
          <w:szCs w:val="20"/>
          <w:lang w:eastAsia="en-AU"/>
        </w:rPr>
        <w:t xml:space="preserve"> Analysis of these models shows</w:t>
      </w:r>
      <w:r w:rsidR="00DB6303">
        <w:rPr>
          <w:rFonts w:eastAsia="Times New Roman" w:cs="Arial"/>
          <w:szCs w:val="20"/>
          <w:lang w:eastAsia="en-AU"/>
        </w:rPr>
        <w:t xml:space="preserve"> </w:t>
      </w:r>
      <w:r>
        <w:rPr>
          <w:rFonts w:eastAsia="Times New Roman" w:cs="Arial"/>
          <w:szCs w:val="20"/>
          <w:lang w:eastAsia="en-AU"/>
        </w:rPr>
        <w:t>that</w:t>
      </w:r>
      <w:r w:rsidR="00D72C27">
        <w:rPr>
          <w:rFonts w:eastAsia="Times New Roman" w:cs="Arial"/>
          <w:szCs w:val="20"/>
          <w:lang w:eastAsia="en-AU"/>
        </w:rPr>
        <w:t>,</w:t>
      </w:r>
      <w:r>
        <w:rPr>
          <w:rFonts w:eastAsia="Times New Roman" w:cs="Arial"/>
          <w:szCs w:val="20"/>
          <w:lang w:eastAsia="en-AU"/>
        </w:rPr>
        <w:t xml:space="preserve"> as complex </w:t>
      </w:r>
      <w:r w:rsidR="00432740">
        <w:rPr>
          <w:rFonts w:eastAsia="Times New Roman" w:cs="Arial"/>
          <w:szCs w:val="20"/>
          <w:lang w:eastAsia="en-AU"/>
        </w:rPr>
        <w:t>and highly technical</w:t>
      </w:r>
      <w:r>
        <w:rPr>
          <w:rFonts w:eastAsia="Times New Roman" w:cs="Arial"/>
          <w:szCs w:val="20"/>
          <w:lang w:eastAsia="en-AU"/>
        </w:rPr>
        <w:t xml:space="preserve"> regulatory schemes mature,</w:t>
      </w:r>
      <w:r w:rsidR="00F16051">
        <w:rPr>
          <w:rFonts w:eastAsia="Times New Roman" w:cs="Arial"/>
          <w:szCs w:val="20"/>
          <w:lang w:eastAsia="en-AU"/>
        </w:rPr>
        <w:t xml:space="preserve"> </w:t>
      </w:r>
      <w:r>
        <w:rPr>
          <w:rFonts w:eastAsia="Times New Roman" w:cs="Arial"/>
          <w:szCs w:val="20"/>
          <w:lang w:eastAsia="en-AU"/>
        </w:rPr>
        <w:t>technical knowledge and expertise housed within industry</w:t>
      </w:r>
      <w:r w:rsidR="00F16051">
        <w:rPr>
          <w:rFonts w:eastAsia="Times New Roman" w:cs="Arial"/>
          <w:szCs w:val="20"/>
          <w:lang w:eastAsia="en-AU"/>
        </w:rPr>
        <w:t xml:space="preserve"> become</w:t>
      </w:r>
      <w:r w:rsidR="00B03004">
        <w:rPr>
          <w:rFonts w:eastAsia="Times New Roman" w:cs="Arial"/>
          <w:szCs w:val="20"/>
          <w:lang w:eastAsia="en-AU"/>
        </w:rPr>
        <w:t>s an</w:t>
      </w:r>
      <w:r w:rsidR="00F16051">
        <w:rPr>
          <w:rFonts w:eastAsia="Times New Roman" w:cs="Arial"/>
          <w:szCs w:val="20"/>
          <w:lang w:eastAsia="en-AU"/>
        </w:rPr>
        <w:t xml:space="preserve"> increasingly valuable policy resource</w:t>
      </w:r>
      <w:r w:rsidR="00B03004">
        <w:rPr>
          <w:rFonts w:eastAsia="Times New Roman" w:cs="Arial"/>
          <w:szCs w:val="20"/>
          <w:lang w:eastAsia="en-AU"/>
        </w:rPr>
        <w:t xml:space="preserve"> that can be and often is</w:t>
      </w:r>
      <w:r w:rsidR="00DB6303">
        <w:rPr>
          <w:rFonts w:eastAsia="Times New Roman" w:cs="Arial"/>
          <w:szCs w:val="20"/>
          <w:lang w:eastAsia="en-AU"/>
        </w:rPr>
        <w:t xml:space="preserve"> drawn</w:t>
      </w:r>
      <w:r w:rsidR="0005154F">
        <w:rPr>
          <w:rFonts w:eastAsia="Times New Roman" w:cs="Arial"/>
          <w:szCs w:val="20"/>
          <w:lang w:eastAsia="en-AU"/>
        </w:rPr>
        <w:t xml:space="preserve"> heavily</w:t>
      </w:r>
      <w:r w:rsidR="00DB6303">
        <w:rPr>
          <w:rFonts w:eastAsia="Times New Roman" w:cs="Arial"/>
          <w:szCs w:val="20"/>
          <w:lang w:eastAsia="en-AU"/>
        </w:rPr>
        <w:t xml:space="preserve"> upon by government departments and regulatory agencies. </w:t>
      </w:r>
    </w:p>
    <w:p w14:paraId="75F1AE9D" w14:textId="77777777" w:rsidR="008D7B36" w:rsidRDefault="008D7B36" w:rsidP="00B23A2B">
      <w:pPr>
        <w:spacing w:after="0"/>
        <w:textAlignment w:val="baseline"/>
        <w:rPr>
          <w:lang w:eastAsia="en-AU"/>
        </w:rPr>
      </w:pPr>
    </w:p>
    <w:p w14:paraId="3D0FC552" w14:textId="77777777" w:rsidR="008D7B36" w:rsidRDefault="008D7B36">
      <w:pPr>
        <w:spacing w:line="259" w:lineRule="auto"/>
        <w:rPr>
          <w:lang w:eastAsia="en-AU"/>
        </w:rPr>
      </w:pPr>
      <w:r>
        <w:rPr>
          <w:lang w:eastAsia="en-AU"/>
        </w:rPr>
        <w:br w:type="page"/>
      </w:r>
    </w:p>
    <w:p w14:paraId="5D7E988B" w14:textId="53C4B991" w:rsidR="008D7B36" w:rsidRPr="00C9117F" w:rsidRDefault="008D7B36" w:rsidP="00B23A2B">
      <w:pPr>
        <w:spacing w:after="0"/>
        <w:textAlignment w:val="baseline"/>
        <w:rPr>
          <w:lang w:eastAsia="en-AU"/>
        </w:rPr>
      </w:pPr>
    </w:p>
    <w:tbl>
      <w:tblPr>
        <w:tblStyle w:val="TableGrid"/>
        <w:tblpPr w:leftFromText="180" w:rightFromText="180" w:vertAnchor="text" w:horzAnchor="margin" w:tblpY="180"/>
        <w:tblW w:w="0" w:type="auto"/>
        <w:tblLook w:val="04A0" w:firstRow="1" w:lastRow="0" w:firstColumn="1" w:lastColumn="0" w:noHBand="0" w:noVBand="1"/>
      </w:tblPr>
      <w:tblGrid>
        <w:gridCol w:w="9016"/>
      </w:tblGrid>
      <w:tr w:rsidR="00142E61" w14:paraId="60E0A51A" w14:textId="77777777" w:rsidTr="000E0E85">
        <w:tc>
          <w:tcPr>
            <w:tcW w:w="9016" w:type="dxa"/>
          </w:tcPr>
          <w:p w14:paraId="17954418" w14:textId="3D759C6F" w:rsidR="00142E61" w:rsidRPr="009D643E" w:rsidRDefault="00DC15E5" w:rsidP="009D643E">
            <w:pPr>
              <w:pStyle w:val="Box"/>
              <w:pBdr>
                <w:top w:val="none" w:sz="0" w:space="0" w:color="auto"/>
                <w:left w:val="none" w:sz="0" w:space="0" w:color="auto"/>
                <w:bottom w:val="none" w:sz="0" w:space="0" w:color="auto"/>
                <w:right w:val="none" w:sz="0" w:space="0" w:color="auto"/>
              </w:pBdr>
            </w:pPr>
            <w:bookmarkStart w:id="2615" w:name="_Toc53129524"/>
            <w:r w:rsidRPr="009D643E">
              <w:t xml:space="preserve">Box 6.1 </w:t>
            </w:r>
            <w:r w:rsidR="00DB5ECE" w:rsidRPr="009D643E">
              <w:t>Examples of</w:t>
            </w:r>
            <w:r w:rsidRPr="009D643E">
              <w:t xml:space="preserve"> </w:t>
            </w:r>
            <w:r w:rsidR="00924B38" w:rsidRPr="009D643E">
              <w:t>formalised industry input on regulatory matters</w:t>
            </w:r>
            <w:bookmarkEnd w:id="2615"/>
            <w:r w:rsidR="00142E61" w:rsidRPr="009D643E">
              <w:t xml:space="preserve"> </w:t>
            </w:r>
          </w:p>
          <w:p w14:paraId="0BE2277E" w14:textId="77777777" w:rsidR="00DC3A77" w:rsidRPr="000B3A92" w:rsidRDefault="00DC3A77" w:rsidP="00397A78">
            <w:pPr>
              <w:spacing w:line="240" w:lineRule="auto"/>
              <w:textAlignment w:val="baseline"/>
              <w:rPr>
                <w:rFonts w:eastAsia="Times New Roman" w:cs="Arial"/>
                <w:i/>
                <w:color w:val="00A7E2"/>
                <w:szCs w:val="20"/>
                <w:lang w:eastAsia="en-AU"/>
              </w:rPr>
            </w:pPr>
          </w:p>
          <w:p w14:paraId="24BFE80D" w14:textId="38B87397" w:rsidR="00C35B4E" w:rsidRDefault="00392343" w:rsidP="00836308">
            <w:pPr>
              <w:rPr>
                <w:rFonts w:eastAsia="Times New Roman" w:cstheme="minorHAnsi"/>
                <w:lang w:eastAsia="en-AU"/>
              </w:rPr>
            </w:pPr>
            <w:r>
              <w:rPr>
                <w:rFonts w:eastAsia="Times New Roman" w:cstheme="minorHAnsi"/>
                <w:lang w:eastAsia="en-AU"/>
              </w:rPr>
              <w:t xml:space="preserve">The Takeovers Panel established </w:t>
            </w:r>
            <w:r w:rsidR="00C35B4E">
              <w:rPr>
                <w:rFonts w:eastAsia="Times New Roman" w:cstheme="minorHAnsi"/>
                <w:lang w:eastAsia="en-AU"/>
              </w:rPr>
              <w:t xml:space="preserve">under section 171 of the </w:t>
            </w:r>
            <w:r w:rsidR="00C35B4E" w:rsidRPr="00B23A2B">
              <w:rPr>
                <w:rFonts w:eastAsia="Times New Roman" w:cstheme="minorHAnsi"/>
                <w:i/>
                <w:lang w:eastAsia="en-AU"/>
              </w:rPr>
              <w:t xml:space="preserve">Australian Securities and Investment Commission Act </w:t>
            </w:r>
            <w:r w:rsidR="00C35B4E">
              <w:rPr>
                <w:rFonts w:eastAsia="Times New Roman" w:cstheme="minorHAnsi"/>
                <w:lang w:eastAsia="en-AU"/>
              </w:rPr>
              <w:t xml:space="preserve">(Cth) (ASIC ACT), comprises a panel of expert members based on their relevant </w:t>
            </w:r>
            <w:r w:rsidR="003A3E90">
              <w:rPr>
                <w:rFonts w:eastAsia="Times New Roman" w:cstheme="minorHAnsi"/>
                <w:lang w:eastAsia="en-AU"/>
              </w:rPr>
              <w:t xml:space="preserve">professional </w:t>
            </w:r>
            <w:r w:rsidR="00C35B4E">
              <w:rPr>
                <w:rFonts w:eastAsia="Times New Roman" w:cstheme="minorHAnsi"/>
                <w:lang w:eastAsia="en-AU"/>
              </w:rPr>
              <w:t xml:space="preserve">knowledge and expertise in mergers and acquisitions. The members serve on a part-time basis for a period of three years and may be re-appointed. The panel is </w:t>
            </w:r>
            <w:r w:rsidR="003A3E90">
              <w:rPr>
                <w:rFonts w:eastAsia="Times New Roman" w:cstheme="minorHAnsi"/>
                <w:lang w:eastAsia="en-AU"/>
              </w:rPr>
              <w:t xml:space="preserve">primarily </w:t>
            </w:r>
            <w:r w:rsidR="00C35B4E">
              <w:rPr>
                <w:rFonts w:eastAsia="Times New Roman" w:cstheme="minorHAnsi"/>
                <w:lang w:eastAsia="en-AU"/>
              </w:rPr>
              <w:t>drawn on to make decisions on Australian Company takeovers (</w:t>
            </w:r>
            <w:r w:rsidR="00C35B4E" w:rsidRPr="00370433">
              <w:rPr>
                <w:rFonts w:eastAsia="Times New Roman" w:cstheme="minorHAnsi"/>
                <w:lang w:eastAsia="en-AU"/>
              </w:rPr>
              <w:t>Australian Government Takeovers Panel n.d</w:t>
            </w:r>
            <w:r w:rsidR="00370433">
              <w:rPr>
                <w:rFonts w:eastAsia="Times New Roman" w:cstheme="minorHAnsi"/>
                <w:lang w:eastAsia="en-AU"/>
              </w:rPr>
              <w:t>.</w:t>
            </w:r>
            <w:r w:rsidR="00C35B4E">
              <w:rPr>
                <w:rFonts w:eastAsia="Times New Roman" w:cstheme="minorHAnsi"/>
                <w:lang w:eastAsia="en-AU"/>
              </w:rPr>
              <w:t>)</w:t>
            </w:r>
          </w:p>
          <w:p w14:paraId="3FAEED4A" w14:textId="77777777" w:rsidR="00C35B4E" w:rsidRDefault="00C35B4E" w:rsidP="00AC68F2">
            <w:pPr>
              <w:rPr>
                <w:rFonts w:eastAsia="Times New Roman" w:cstheme="minorHAnsi"/>
                <w:lang w:eastAsia="en-AU"/>
              </w:rPr>
            </w:pPr>
          </w:p>
          <w:p w14:paraId="480995C8" w14:textId="738E5EE0" w:rsidR="00836308" w:rsidRDefault="00836308" w:rsidP="00DC3A77">
            <w:pPr>
              <w:rPr>
                <w:rFonts w:eastAsia="Times New Roman" w:cstheme="minorHAnsi"/>
                <w:lang w:eastAsia="en-AU"/>
              </w:rPr>
            </w:pPr>
            <w:r>
              <w:rPr>
                <w:rFonts w:eastAsia="Times New Roman" w:cstheme="minorHAnsi"/>
                <w:lang w:eastAsia="en-AU"/>
              </w:rPr>
              <w:t xml:space="preserve">The Australian Building Codes Board comprises representatives from all levels of government and </w:t>
            </w:r>
            <w:r w:rsidR="00924B38">
              <w:rPr>
                <w:rFonts w:eastAsia="Times New Roman" w:cstheme="minorHAnsi"/>
                <w:lang w:eastAsia="en-AU"/>
              </w:rPr>
              <w:t>industry representatives to advise on the development and maintenance of Australia’s building codes. The board is informed by Building Codes Committees that advise on proposals for change advanced by stakeholders</w:t>
            </w:r>
            <w:r w:rsidR="00AC68F2">
              <w:rPr>
                <w:rFonts w:eastAsia="Times New Roman" w:cstheme="minorHAnsi"/>
                <w:lang w:eastAsia="en-AU"/>
              </w:rPr>
              <w:t xml:space="preserve"> </w:t>
            </w:r>
            <w:r w:rsidR="00AC68F2" w:rsidRPr="005F2967">
              <w:rPr>
                <w:rFonts w:eastAsia="Times New Roman" w:cstheme="minorHAnsi"/>
                <w:lang w:eastAsia="en-AU"/>
              </w:rPr>
              <w:t>(ABCB n.d.)</w:t>
            </w:r>
            <w:r w:rsidR="00163046" w:rsidRPr="005F2967">
              <w:rPr>
                <w:rFonts w:eastAsia="Times New Roman" w:cstheme="minorHAnsi"/>
                <w:lang w:eastAsia="en-AU"/>
              </w:rPr>
              <w:t>.</w:t>
            </w:r>
          </w:p>
          <w:p w14:paraId="6E970C9F" w14:textId="77777777" w:rsidR="00836308" w:rsidRDefault="00836308" w:rsidP="00DC3A77">
            <w:pPr>
              <w:rPr>
                <w:rFonts w:eastAsia="Times New Roman" w:cstheme="minorHAnsi"/>
                <w:lang w:eastAsia="en-AU"/>
              </w:rPr>
            </w:pPr>
          </w:p>
          <w:p w14:paraId="4F3289E3" w14:textId="33E3CDF6" w:rsidR="000E0E85" w:rsidRPr="00843261" w:rsidRDefault="00B03004" w:rsidP="00DC3A77">
            <w:pPr>
              <w:rPr>
                <w:rFonts w:eastAsia="Times New Roman" w:cstheme="minorHAnsi"/>
                <w:lang w:eastAsia="en-AU"/>
              </w:rPr>
            </w:pPr>
            <w:r>
              <w:rPr>
                <w:rFonts w:eastAsia="Times New Roman" w:cstheme="minorHAnsi"/>
                <w:lang w:eastAsia="en-AU"/>
              </w:rPr>
              <w:t xml:space="preserve">Management Advisory </w:t>
            </w:r>
            <w:r w:rsidR="005207E1">
              <w:rPr>
                <w:rFonts w:eastAsia="Times New Roman" w:cstheme="minorHAnsi"/>
                <w:lang w:eastAsia="en-AU"/>
              </w:rPr>
              <w:t>Committees (MAC</w:t>
            </w:r>
            <w:r w:rsidR="00142E61">
              <w:rPr>
                <w:rFonts w:eastAsia="Times New Roman" w:cstheme="minorHAnsi"/>
                <w:lang w:eastAsia="en-AU"/>
              </w:rPr>
              <w:t xml:space="preserve">s) are statutory committees established under the </w:t>
            </w:r>
            <w:r w:rsidR="00142E61">
              <w:rPr>
                <w:rFonts w:eastAsia="Times New Roman" w:cstheme="minorHAnsi"/>
                <w:i/>
                <w:lang w:eastAsia="en-AU"/>
              </w:rPr>
              <w:t xml:space="preserve">Fisheries Administration Act 1991 </w:t>
            </w:r>
            <w:r w:rsidR="00142E61">
              <w:rPr>
                <w:rFonts w:eastAsia="Times New Roman" w:cstheme="minorHAnsi"/>
                <w:lang w:eastAsia="en-AU"/>
              </w:rPr>
              <w:t>(Cth) (s 56</w:t>
            </w:r>
            <w:r w:rsidR="000E0E85">
              <w:rPr>
                <w:rFonts w:eastAsia="Times New Roman" w:cstheme="minorHAnsi"/>
                <w:lang w:eastAsia="en-AU"/>
              </w:rPr>
              <w:t xml:space="preserve">). </w:t>
            </w:r>
            <w:r w:rsidR="00142E61">
              <w:rPr>
                <w:rFonts w:eastAsia="Times New Roman" w:cstheme="minorHAnsi"/>
                <w:lang w:eastAsia="en-AU"/>
              </w:rPr>
              <w:t>Each Commonwe</w:t>
            </w:r>
            <w:r>
              <w:rPr>
                <w:rFonts w:eastAsia="Times New Roman" w:cstheme="minorHAnsi"/>
                <w:lang w:eastAsia="en-AU"/>
              </w:rPr>
              <w:t xml:space="preserve">alth fishery is covered by a </w:t>
            </w:r>
            <w:r w:rsidR="005207E1">
              <w:rPr>
                <w:rFonts w:eastAsia="Times New Roman" w:cstheme="minorHAnsi"/>
                <w:lang w:eastAsia="en-AU"/>
              </w:rPr>
              <w:t>MAC</w:t>
            </w:r>
            <w:r w:rsidR="00142E61">
              <w:rPr>
                <w:rFonts w:eastAsia="Times New Roman" w:cstheme="minorHAnsi"/>
                <w:lang w:eastAsia="en-AU"/>
              </w:rPr>
              <w:t xml:space="preserve"> comprising expert members </w:t>
            </w:r>
            <w:r w:rsidR="003A3E90">
              <w:rPr>
                <w:rFonts w:eastAsia="Times New Roman" w:cstheme="minorHAnsi"/>
                <w:lang w:eastAsia="en-AU"/>
              </w:rPr>
              <w:t xml:space="preserve">drawn </w:t>
            </w:r>
            <w:r w:rsidR="00142E61">
              <w:rPr>
                <w:rFonts w:eastAsia="Times New Roman" w:cstheme="minorHAnsi"/>
                <w:lang w:eastAsia="en-AU"/>
              </w:rPr>
              <w:t xml:space="preserve">from industry, government, conservation, </w:t>
            </w:r>
            <w:r w:rsidR="00DB6303">
              <w:rPr>
                <w:rFonts w:eastAsia="Times New Roman" w:cstheme="minorHAnsi"/>
                <w:lang w:eastAsia="en-AU"/>
              </w:rPr>
              <w:t>research</w:t>
            </w:r>
            <w:r w:rsidR="003A3E90">
              <w:rPr>
                <w:rFonts w:eastAsia="Times New Roman" w:cstheme="minorHAnsi"/>
                <w:lang w:eastAsia="en-AU"/>
              </w:rPr>
              <w:t xml:space="preserve">, </w:t>
            </w:r>
            <w:r w:rsidR="0060727C">
              <w:rPr>
                <w:rFonts w:eastAsia="Times New Roman" w:cstheme="minorHAnsi"/>
                <w:lang w:eastAsia="en-AU"/>
              </w:rPr>
              <w:t>I</w:t>
            </w:r>
            <w:r w:rsidR="003A3E90">
              <w:rPr>
                <w:rFonts w:eastAsia="Times New Roman" w:cstheme="minorHAnsi"/>
                <w:lang w:eastAsia="en-AU"/>
              </w:rPr>
              <w:t>ndigenous</w:t>
            </w:r>
            <w:r w:rsidR="00DB6303">
              <w:rPr>
                <w:rFonts w:eastAsia="Times New Roman" w:cstheme="minorHAnsi"/>
                <w:lang w:eastAsia="en-AU"/>
              </w:rPr>
              <w:t xml:space="preserve"> and recreational groups</w:t>
            </w:r>
            <w:r w:rsidR="0060727C">
              <w:rPr>
                <w:rFonts w:eastAsia="Times New Roman" w:cstheme="minorHAnsi"/>
                <w:lang w:eastAsia="en-AU"/>
              </w:rPr>
              <w:t xml:space="preserve"> (</w:t>
            </w:r>
            <w:r w:rsidR="0060727C" w:rsidRPr="0072065C">
              <w:rPr>
                <w:rFonts w:eastAsia="Times New Roman" w:cstheme="minorHAnsi"/>
                <w:lang w:eastAsia="en-AU"/>
              </w:rPr>
              <w:t>AFMA 2018</w:t>
            </w:r>
            <w:r w:rsidR="0060727C">
              <w:rPr>
                <w:rFonts w:eastAsia="Times New Roman" w:cstheme="minorHAnsi"/>
                <w:lang w:eastAsia="en-AU"/>
              </w:rPr>
              <w:t>)</w:t>
            </w:r>
            <w:r w:rsidR="004E59C6">
              <w:rPr>
                <w:rFonts w:eastAsia="Times New Roman" w:cstheme="minorHAnsi"/>
                <w:lang w:eastAsia="en-AU"/>
              </w:rPr>
              <w:t>.</w:t>
            </w:r>
            <w:r>
              <w:rPr>
                <w:rFonts w:eastAsia="Times New Roman" w:cstheme="minorHAnsi"/>
                <w:lang w:eastAsia="en-AU"/>
              </w:rPr>
              <w:t xml:space="preserve"> </w:t>
            </w:r>
            <w:r w:rsidR="00DB6303">
              <w:rPr>
                <w:rFonts w:eastAsia="Times New Roman" w:cstheme="minorHAnsi"/>
                <w:lang w:eastAsia="en-AU"/>
              </w:rPr>
              <w:t>A</w:t>
            </w:r>
            <w:r w:rsidR="000E0E85">
              <w:rPr>
                <w:rFonts w:eastAsia="Times New Roman" w:cstheme="minorHAnsi"/>
                <w:lang w:eastAsia="en-AU"/>
              </w:rPr>
              <w:t xml:space="preserve"> </w:t>
            </w:r>
            <w:r w:rsidR="005207E1">
              <w:rPr>
                <w:rFonts w:eastAsia="Times New Roman" w:cstheme="minorHAnsi"/>
                <w:lang w:eastAsia="en-AU"/>
              </w:rPr>
              <w:t>MAC</w:t>
            </w:r>
            <w:r w:rsidR="00142E61">
              <w:rPr>
                <w:rFonts w:eastAsia="Times New Roman" w:cstheme="minorHAnsi"/>
                <w:lang w:eastAsia="en-AU"/>
              </w:rPr>
              <w:t xml:space="preserve"> undertake</w:t>
            </w:r>
            <w:r w:rsidR="00DB6303">
              <w:rPr>
                <w:rFonts w:eastAsia="Times New Roman" w:cstheme="minorHAnsi"/>
                <w:lang w:eastAsia="en-AU"/>
              </w:rPr>
              <w:t>s</w:t>
            </w:r>
            <w:r w:rsidR="00142E61">
              <w:rPr>
                <w:rFonts w:eastAsia="Times New Roman" w:cstheme="minorHAnsi"/>
                <w:lang w:eastAsia="en-AU"/>
              </w:rPr>
              <w:t xml:space="preserve"> several </w:t>
            </w:r>
            <w:r>
              <w:rPr>
                <w:rFonts w:eastAsia="Times New Roman" w:cstheme="minorHAnsi"/>
                <w:lang w:eastAsia="en-AU"/>
              </w:rPr>
              <w:t xml:space="preserve">core </w:t>
            </w:r>
            <w:r w:rsidR="00142E61">
              <w:rPr>
                <w:rFonts w:eastAsia="Times New Roman" w:cstheme="minorHAnsi"/>
                <w:lang w:eastAsia="en-AU"/>
              </w:rPr>
              <w:t xml:space="preserve">functions, including the provision of advice and reporting on scientific, economic and other information about a </w:t>
            </w:r>
            <w:r w:rsidR="00DB6303">
              <w:rPr>
                <w:rFonts w:eastAsia="Times New Roman" w:cstheme="minorHAnsi"/>
                <w:lang w:eastAsia="en-AU"/>
              </w:rPr>
              <w:t xml:space="preserve">specific </w:t>
            </w:r>
            <w:r w:rsidR="00142E61">
              <w:rPr>
                <w:rFonts w:eastAsia="Times New Roman" w:cstheme="minorHAnsi"/>
                <w:lang w:eastAsia="en-AU"/>
              </w:rPr>
              <w:t xml:space="preserve">fishery to the </w:t>
            </w:r>
            <w:r w:rsidR="00AC68F2">
              <w:rPr>
                <w:rFonts w:eastAsia="Times New Roman" w:cstheme="minorHAnsi"/>
                <w:lang w:eastAsia="en-AU"/>
              </w:rPr>
              <w:t>A</w:t>
            </w:r>
            <w:r w:rsidR="00C47877">
              <w:rPr>
                <w:rFonts w:eastAsia="Times New Roman" w:cstheme="minorHAnsi"/>
                <w:lang w:eastAsia="en-AU"/>
              </w:rPr>
              <w:t xml:space="preserve">ustralian </w:t>
            </w:r>
            <w:r w:rsidR="00AC68F2">
              <w:rPr>
                <w:rFonts w:eastAsia="Times New Roman" w:cstheme="minorHAnsi"/>
                <w:lang w:eastAsia="en-AU"/>
              </w:rPr>
              <w:t>F</w:t>
            </w:r>
            <w:r w:rsidR="00C47877">
              <w:rPr>
                <w:rFonts w:eastAsia="Times New Roman" w:cstheme="minorHAnsi"/>
                <w:lang w:eastAsia="en-AU"/>
              </w:rPr>
              <w:t xml:space="preserve">isheries </w:t>
            </w:r>
            <w:r w:rsidR="00AC68F2">
              <w:rPr>
                <w:rFonts w:eastAsia="Times New Roman" w:cstheme="minorHAnsi"/>
                <w:lang w:eastAsia="en-AU"/>
              </w:rPr>
              <w:t>M</w:t>
            </w:r>
            <w:r w:rsidR="00C47877">
              <w:rPr>
                <w:rFonts w:eastAsia="Times New Roman" w:cstheme="minorHAnsi"/>
                <w:lang w:eastAsia="en-AU"/>
              </w:rPr>
              <w:t xml:space="preserve">anagement </w:t>
            </w:r>
            <w:r w:rsidR="00AC68F2">
              <w:rPr>
                <w:rFonts w:eastAsia="Times New Roman" w:cstheme="minorHAnsi"/>
                <w:lang w:eastAsia="en-AU"/>
              </w:rPr>
              <w:t>A</w:t>
            </w:r>
            <w:r w:rsidR="00C47877">
              <w:rPr>
                <w:rFonts w:eastAsia="Times New Roman" w:cstheme="minorHAnsi"/>
                <w:lang w:eastAsia="en-AU"/>
              </w:rPr>
              <w:t>ssociation</w:t>
            </w:r>
            <w:r w:rsidR="00AC68F2">
              <w:rPr>
                <w:rFonts w:eastAsia="Times New Roman" w:cstheme="minorHAnsi"/>
                <w:lang w:eastAsia="en-AU"/>
              </w:rPr>
              <w:t xml:space="preserve"> (</w:t>
            </w:r>
            <w:r w:rsidR="004E59C6">
              <w:rPr>
                <w:rFonts w:eastAsia="Times New Roman" w:cstheme="minorHAnsi"/>
                <w:lang w:eastAsia="en-AU"/>
              </w:rPr>
              <w:t>s</w:t>
            </w:r>
            <w:r w:rsidR="00AC68F2">
              <w:rPr>
                <w:rFonts w:eastAsia="Times New Roman" w:cstheme="minorHAnsi"/>
                <w:lang w:eastAsia="en-AU"/>
              </w:rPr>
              <w:t xml:space="preserve"> 57). </w:t>
            </w:r>
          </w:p>
        </w:tc>
      </w:tr>
    </w:tbl>
    <w:p w14:paraId="43AE2FBC" w14:textId="56524586" w:rsidR="00AC68F2" w:rsidRDefault="00AC68F2" w:rsidP="00CE17B6">
      <w:pPr>
        <w:spacing w:after="0"/>
        <w:textAlignment w:val="baseline"/>
        <w:rPr>
          <w:rFonts w:eastAsia="Times New Roman" w:cs="Arial"/>
          <w:szCs w:val="20"/>
          <w:lang w:eastAsia="en-AU"/>
        </w:rPr>
      </w:pPr>
    </w:p>
    <w:p w14:paraId="729F1729" w14:textId="5C97E9AE" w:rsidR="000B6C3E" w:rsidRDefault="00816BA6">
      <w:pPr>
        <w:spacing w:after="0"/>
        <w:textAlignment w:val="baseline"/>
        <w:rPr>
          <w:rFonts w:eastAsia="Times New Roman"/>
          <w:lang w:eastAsia="en-AU"/>
        </w:rPr>
      </w:pPr>
      <w:r>
        <w:rPr>
          <w:rFonts w:eastAsia="Times New Roman" w:cs="Arial"/>
          <w:szCs w:val="20"/>
          <w:lang w:eastAsia="en-AU"/>
        </w:rPr>
        <w:t xml:space="preserve">Drawing on </w:t>
      </w:r>
      <w:r w:rsidR="00670980">
        <w:rPr>
          <w:rFonts w:eastAsia="Times New Roman" w:cs="Arial"/>
          <w:szCs w:val="20"/>
          <w:lang w:eastAsia="en-AU"/>
        </w:rPr>
        <w:t xml:space="preserve">different models of how </w:t>
      </w:r>
      <w:r w:rsidR="00AB17A8">
        <w:rPr>
          <w:rFonts w:eastAsia="Times New Roman" w:cs="Arial"/>
          <w:szCs w:val="20"/>
          <w:lang w:eastAsia="en-AU"/>
        </w:rPr>
        <w:t xml:space="preserve">industry expertise </w:t>
      </w:r>
      <w:r w:rsidR="00670980">
        <w:rPr>
          <w:rFonts w:eastAsia="Times New Roman" w:cs="Arial"/>
          <w:szCs w:val="20"/>
          <w:lang w:eastAsia="en-AU"/>
        </w:rPr>
        <w:t>has been used in</w:t>
      </w:r>
      <w:r w:rsidR="00AB17A8" w:rsidDel="00670980">
        <w:rPr>
          <w:rFonts w:eastAsia="Times New Roman" w:cs="Arial"/>
          <w:szCs w:val="20"/>
          <w:lang w:eastAsia="en-AU"/>
        </w:rPr>
        <w:t xml:space="preserve"> </w:t>
      </w:r>
      <w:r w:rsidR="00AB17A8">
        <w:rPr>
          <w:rFonts w:eastAsia="Times New Roman" w:cs="Arial"/>
          <w:szCs w:val="20"/>
          <w:lang w:eastAsia="en-AU"/>
        </w:rPr>
        <w:t>complex regulatory environments</w:t>
      </w:r>
      <w:r>
        <w:rPr>
          <w:rFonts w:eastAsia="Times New Roman" w:cs="Arial"/>
          <w:szCs w:val="20"/>
          <w:lang w:eastAsia="en-AU"/>
        </w:rPr>
        <w:t xml:space="preserve">, </w:t>
      </w:r>
      <w:r w:rsidR="0032246E">
        <w:rPr>
          <w:rFonts w:eastAsia="Times New Roman" w:cs="Arial"/>
          <w:szCs w:val="20"/>
          <w:lang w:eastAsia="en-AU"/>
        </w:rPr>
        <w:t>f</w:t>
      </w:r>
      <w:r w:rsidR="001743EF">
        <w:rPr>
          <w:rFonts w:eastAsia="Times New Roman" w:cs="Arial"/>
          <w:szCs w:val="20"/>
          <w:lang w:eastAsia="en-AU"/>
        </w:rPr>
        <w:t>ormalised</w:t>
      </w:r>
      <w:r w:rsidR="00AC68F2">
        <w:rPr>
          <w:rFonts w:eastAsia="Times New Roman" w:cs="Arial"/>
          <w:szCs w:val="20"/>
          <w:lang w:eastAsia="en-AU"/>
        </w:rPr>
        <w:t xml:space="preserve"> industry involvement could take the form of a</w:t>
      </w:r>
      <w:r w:rsidR="00670980">
        <w:rPr>
          <w:rFonts w:eastAsia="Times New Roman" w:cs="Arial"/>
          <w:szCs w:val="20"/>
          <w:lang w:eastAsia="en-AU"/>
        </w:rPr>
        <w:t xml:space="preserve"> Steering Committee</w:t>
      </w:r>
      <w:r w:rsidR="00AC68F2">
        <w:rPr>
          <w:rFonts w:eastAsia="Times New Roman" w:cs="Arial"/>
          <w:szCs w:val="20"/>
          <w:lang w:eastAsia="en-AU"/>
        </w:rPr>
        <w:t xml:space="preserve"> </w:t>
      </w:r>
      <w:r w:rsidR="00163046">
        <w:rPr>
          <w:rFonts w:eastAsia="Times New Roman" w:cs="Arial"/>
          <w:szCs w:val="20"/>
          <w:lang w:eastAsia="en-AU"/>
        </w:rPr>
        <w:t xml:space="preserve">comprised of </w:t>
      </w:r>
      <w:r w:rsidR="00670980">
        <w:rPr>
          <w:rFonts w:eastAsia="Times New Roman" w:cs="Arial"/>
          <w:szCs w:val="20"/>
          <w:lang w:eastAsia="en-AU"/>
        </w:rPr>
        <w:t xml:space="preserve">the representatives from </w:t>
      </w:r>
      <w:r w:rsidR="00142E61">
        <w:rPr>
          <w:rFonts w:eastAsia="Times New Roman" w:cs="Arial"/>
          <w:szCs w:val="20"/>
          <w:lang w:eastAsia="en-AU"/>
        </w:rPr>
        <w:t>industry</w:t>
      </w:r>
      <w:r w:rsidR="00FE3650">
        <w:rPr>
          <w:rFonts w:eastAsia="Times New Roman" w:cs="Arial"/>
          <w:szCs w:val="20"/>
          <w:lang w:eastAsia="en-AU"/>
        </w:rPr>
        <w:t>,</w:t>
      </w:r>
      <w:r w:rsidR="00670980">
        <w:rPr>
          <w:rFonts w:eastAsia="Times New Roman" w:cs="Arial"/>
          <w:szCs w:val="20"/>
          <w:lang w:eastAsia="en-AU"/>
        </w:rPr>
        <w:t xml:space="preserve"> the Regulator, the Department, </w:t>
      </w:r>
      <w:r w:rsidR="00FE3650">
        <w:rPr>
          <w:rFonts w:eastAsia="Times New Roman" w:cs="Arial"/>
          <w:szCs w:val="20"/>
          <w:lang w:eastAsia="en-AU"/>
        </w:rPr>
        <w:t xml:space="preserve">the CSIRO </w:t>
      </w:r>
      <w:r w:rsidR="00670980">
        <w:rPr>
          <w:rFonts w:eastAsia="Times New Roman" w:cs="Arial"/>
          <w:szCs w:val="20"/>
          <w:lang w:eastAsia="en-AU"/>
        </w:rPr>
        <w:t>and the ERAC</w:t>
      </w:r>
      <w:r w:rsidR="0005154F">
        <w:rPr>
          <w:rFonts w:eastAsia="Times New Roman" w:cs="Arial"/>
          <w:szCs w:val="20"/>
          <w:lang w:eastAsia="en-AU"/>
        </w:rPr>
        <w:t>.</w:t>
      </w:r>
      <w:r w:rsidR="00163046" w:rsidDel="00670980">
        <w:rPr>
          <w:rFonts w:eastAsia="Times New Roman" w:cs="Arial"/>
          <w:szCs w:val="20"/>
          <w:lang w:eastAsia="en-AU"/>
        </w:rPr>
        <w:t xml:space="preserve"> </w:t>
      </w:r>
      <w:r w:rsidR="005429E4">
        <w:rPr>
          <w:rFonts w:eastAsia="Times New Roman" w:cs="Arial"/>
          <w:szCs w:val="20"/>
          <w:lang w:eastAsia="en-AU"/>
        </w:rPr>
        <w:t>The</w:t>
      </w:r>
      <w:r w:rsidR="00F436C5">
        <w:rPr>
          <w:rFonts w:eastAsia="Times New Roman" w:cs="Arial"/>
          <w:szCs w:val="20"/>
          <w:lang w:eastAsia="en-AU"/>
        </w:rPr>
        <w:t xml:space="preserve"> </w:t>
      </w:r>
      <w:r w:rsidR="00670980">
        <w:rPr>
          <w:rFonts w:eastAsia="Times New Roman" w:cs="Arial"/>
          <w:szCs w:val="20"/>
          <w:lang w:eastAsia="en-AU"/>
        </w:rPr>
        <w:t>Steering Committee</w:t>
      </w:r>
      <w:r w:rsidR="00F436C5">
        <w:rPr>
          <w:rFonts w:eastAsia="Times New Roman" w:cs="Arial"/>
          <w:szCs w:val="20"/>
          <w:lang w:eastAsia="en-AU"/>
        </w:rPr>
        <w:t xml:space="preserve"> </w:t>
      </w:r>
      <w:r w:rsidR="005429E4">
        <w:rPr>
          <w:rFonts w:eastAsia="Times New Roman" w:cs="Arial"/>
          <w:szCs w:val="20"/>
          <w:lang w:eastAsia="en-AU"/>
        </w:rPr>
        <w:t xml:space="preserve">members </w:t>
      </w:r>
      <w:r w:rsidR="00F436C5">
        <w:rPr>
          <w:rFonts w:eastAsia="Times New Roman" w:cs="Arial"/>
          <w:szCs w:val="20"/>
          <w:lang w:eastAsia="en-AU"/>
        </w:rPr>
        <w:t xml:space="preserve">would be appointed by Government </w:t>
      </w:r>
      <w:r w:rsidR="005429E4">
        <w:rPr>
          <w:rFonts w:eastAsia="Times New Roman" w:cs="Arial"/>
          <w:szCs w:val="20"/>
          <w:lang w:eastAsia="en-AU"/>
        </w:rPr>
        <w:t xml:space="preserve">for a specified </w:t>
      </w:r>
      <w:r w:rsidR="00AB17A8">
        <w:rPr>
          <w:rFonts w:eastAsia="Times New Roman" w:cs="Arial"/>
          <w:szCs w:val="20"/>
          <w:lang w:eastAsia="en-AU"/>
        </w:rPr>
        <w:t xml:space="preserve">(renewable) </w:t>
      </w:r>
      <w:r w:rsidR="005429E4">
        <w:rPr>
          <w:rFonts w:eastAsia="Times New Roman" w:cs="Arial"/>
          <w:szCs w:val="20"/>
          <w:lang w:eastAsia="en-AU"/>
        </w:rPr>
        <w:t xml:space="preserve">period </w:t>
      </w:r>
      <w:r w:rsidR="00F436C5">
        <w:rPr>
          <w:rFonts w:eastAsia="Times New Roman" w:cs="Arial"/>
          <w:szCs w:val="20"/>
          <w:lang w:eastAsia="en-AU"/>
        </w:rPr>
        <w:t>and operate on a part-time basis</w:t>
      </w:r>
      <w:r w:rsidR="005429E4">
        <w:rPr>
          <w:rFonts w:eastAsia="Times New Roman" w:cs="Arial"/>
          <w:szCs w:val="20"/>
          <w:lang w:eastAsia="en-AU"/>
        </w:rPr>
        <w:t xml:space="preserve">. </w:t>
      </w:r>
      <w:r w:rsidR="00AB17A8">
        <w:rPr>
          <w:rFonts w:eastAsia="Times New Roman" w:cs="Arial"/>
          <w:szCs w:val="20"/>
          <w:lang w:eastAsia="en-AU"/>
        </w:rPr>
        <w:t xml:space="preserve">The </w:t>
      </w:r>
      <w:r w:rsidR="00670980">
        <w:rPr>
          <w:rFonts w:eastAsia="Times New Roman" w:cs="Arial"/>
          <w:szCs w:val="20"/>
          <w:lang w:eastAsia="en-AU"/>
        </w:rPr>
        <w:t>Committee should</w:t>
      </w:r>
      <w:r w:rsidR="00AB17A8">
        <w:rPr>
          <w:rFonts w:eastAsia="Times New Roman" w:cs="Arial"/>
          <w:szCs w:val="20"/>
          <w:lang w:eastAsia="en-AU"/>
        </w:rPr>
        <w:t xml:space="preserve"> comprise </w:t>
      </w:r>
      <w:r w:rsidR="000B6C3E">
        <w:rPr>
          <w:rFonts w:eastAsia="Times New Roman" w:cs="Arial"/>
          <w:szCs w:val="20"/>
          <w:lang w:eastAsia="en-AU"/>
        </w:rPr>
        <w:t>members</w:t>
      </w:r>
      <w:r w:rsidR="00AB17A8">
        <w:rPr>
          <w:rFonts w:eastAsia="Times New Roman" w:cs="Arial"/>
          <w:szCs w:val="20"/>
          <w:lang w:eastAsia="en-AU"/>
        </w:rPr>
        <w:t xml:space="preserve"> with expertise in carbon markets, scientific knowledge</w:t>
      </w:r>
      <w:r w:rsidR="00BE0CFC">
        <w:rPr>
          <w:rFonts w:eastAsia="Times New Roman"/>
          <w:lang w:eastAsia="en-AU"/>
        </w:rPr>
        <w:t>,</w:t>
      </w:r>
      <w:r w:rsidR="00BE0CFC" w:rsidRPr="00B71059">
        <w:rPr>
          <w:rFonts w:eastAsia="Times New Roman"/>
          <w:lang w:eastAsia="en-AU"/>
        </w:rPr>
        <w:t xml:space="preserve"> </w:t>
      </w:r>
      <w:r w:rsidR="00BE0CFC">
        <w:rPr>
          <w:rFonts w:eastAsia="Times New Roman"/>
          <w:lang w:eastAsia="en-AU"/>
        </w:rPr>
        <w:t>carbon sequestration</w:t>
      </w:r>
      <w:r w:rsidR="00BE0CFC" w:rsidRPr="00B71059">
        <w:rPr>
          <w:rFonts w:eastAsia="Times New Roman" w:cs="Arial"/>
          <w:szCs w:val="20"/>
          <w:lang w:eastAsia="en-AU"/>
        </w:rPr>
        <w:t xml:space="preserve"> and </w:t>
      </w:r>
      <w:r w:rsidR="00BE0CFC">
        <w:rPr>
          <w:rFonts w:eastAsia="Times New Roman"/>
          <w:lang w:eastAsia="en-AU"/>
        </w:rPr>
        <w:t>emissions avoidance</w:t>
      </w:r>
      <w:r w:rsidR="00BE0CFC" w:rsidRPr="00B71059">
        <w:rPr>
          <w:rFonts w:eastAsia="Times New Roman"/>
          <w:lang w:eastAsia="en-AU"/>
        </w:rPr>
        <w:t xml:space="preserve"> </w:t>
      </w:r>
      <w:r w:rsidR="00BE0CFC" w:rsidRPr="00B71059">
        <w:rPr>
          <w:rFonts w:eastAsia="Times New Roman" w:cs="Arial"/>
          <w:szCs w:val="20"/>
          <w:lang w:eastAsia="en-AU"/>
        </w:rPr>
        <w:t>expertise</w:t>
      </w:r>
      <w:r w:rsidR="00BE0CFC" w:rsidDel="00BE0CFC">
        <w:rPr>
          <w:rFonts w:eastAsia="Times New Roman" w:cs="Arial"/>
          <w:szCs w:val="20"/>
          <w:lang w:eastAsia="en-AU"/>
        </w:rPr>
        <w:t xml:space="preserve"> </w:t>
      </w:r>
      <w:r w:rsidR="000B6C3E">
        <w:rPr>
          <w:rFonts w:eastAsia="Times New Roman" w:cs="Arial"/>
          <w:szCs w:val="20"/>
          <w:lang w:eastAsia="en-AU"/>
        </w:rPr>
        <w:t>and</w:t>
      </w:r>
      <w:r w:rsidR="00AB17A8" w:rsidDel="00FE3650">
        <w:rPr>
          <w:rFonts w:eastAsia="Times New Roman" w:cs="Arial"/>
          <w:szCs w:val="20"/>
          <w:lang w:eastAsia="en-AU"/>
        </w:rPr>
        <w:t xml:space="preserve"> </w:t>
      </w:r>
      <w:r w:rsidR="0014012A">
        <w:rPr>
          <w:rFonts w:eastAsia="Times New Roman" w:cs="Arial"/>
          <w:szCs w:val="20"/>
          <w:lang w:eastAsia="en-AU"/>
        </w:rPr>
        <w:t xml:space="preserve">the </w:t>
      </w:r>
      <w:r w:rsidR="00AB17A8" w:rsidRPr="00B23A2B">
        <w:rPr>
          <w:rFonts w:eastAsia="Times New Roman" w:cs="Arial"/>
          <w:szCs w:val="20"/>
          <w:lang w:eastAsia="en-AU"/>
        </w:rPr>
        <w:t>National Greenhouse Gas Inventory</w:t>
      </w:r>
      <w:r w:rsidR="0014012A">
        <w:rPr>
          <w:rFonts w:eastAsia="Times New Roman" w:cs="Arial"/>
          <w:szCs w:val="20"/>
          <w:lang w:eastAsia="en-AU"/>
        </w:rPr>
        <w:t>.</w:t>
      </w:r>
      <w:r w:rsidR="00B50280" w:rsidDel="00B50280">
        <w:rPr>
          <w:rFonts w:eastAsia="Times New Roman" w:cs="Arial"/>
          <w:szCs w:val="20"/>
          <w:lang w:eastAsia="en-AU"/>
        </w:rPr>
        <w:t xml:space="preserve"> </w:t>
      </w:r>
    </w:p>
    <w:p w14:paraId="77414499" w14:textId="77777777" w:rsidR="000B6C3E" w:rsidRDefault="000B6C3E">
      <w:pPr>
        <w:spacing w:after="0"/>
        <w:textAlignment w:val="baseline"/>
        <w:rPr>
          <w:rFonts w:eastAsia="Times New Roman"/>
          <w:lang w:eastAsia="en-AU"/>
        </w:rPr>
      </w:pPr>
    </w:p>
    <w:p w14:paraId="787EB7E1" w14:textId="3E0CCF59" w:rsidR="000B6C3E" w:rsidRPr="00830CAF" w:rsidRDefault="000B3C6D" w:rsidP="000B6C3E">
      <w:pPr>
        <w:spacing w:after="0"/>
        <w:textAlignment w:val="baseline"/>
        <w:rPr>
          <w:rStyle w:val="normaltextrun1"/>
          <w:rFonts w:eastAsia="Times New Roman" w:cs="Arial"/>
          <w:szCs w:val="20"/>
          <w:lang w:eastAsia="en-AU"/>
        </w:rPr>
      </w:pPr>
      <w:r>
        <w:rPr>
          <w:rFonts w:eastAsia="Times New Roman"/>
          <w:lang w:eastAsia="en-AU"/>
        </w:rPr>
        <w:t xml:space="preserve">Unlike </w:t>
      </w:r>
      <w:r w:rsidR="00284CAC">
        <w:rPr>
          <w:rFonts w:eastAsia="Times New Roman" w:cs="Arial"/>
          <w:szCs w:val="20"/>
          <w:lang w:eastAsia="en-AU"/>
        </w:rPr>
        <w:t>the Technical</w:t>
      </w:r>
      <w:r w:rsidR="00B202E4">
        <w:rPr>
          <w:rFonts w:eastAsia="Times New Roman" w:cs="Arial"/>
          <w:szCs w:val="20"/>
          <w:lang w:eastAsia="en-AU"/>
        </w:rPr>
        <w:t xml:space="preserve"> Working Groups</w:t>
      </w:r>
      <w:r w:rsidR="00284CAC">
        <w:rPr>
          <w:rFonts w:eastAsia="Times New Roman" w:cs="Arial"/>
          <w:szCs w:val="20"/>
          <w:lang w:eastAsia="en-AU"/>
        </w:rPr>
        <w:t>, which are currently formed</w:t>
      </w:r>
      <w:r w:rsidR="00B202E4">
        <w:rPr>
          <w:rFonts w:eastAsia="Times New Roman" w:cs="Arial"/>
          <w:szCs w:val="20"/>
          <w:lang w:eastAsia="en-AU"/>
        </w:rPr>
        <w:t xml:space="preserve"> on an </w:t>
      </w:r>
      <w:r w:rsidR="003A3E90">
        <w:rPr>
          <w:rFonts w:eastAsia="Times New Roman" w:cs="Arial"/>
          <w:szCs w:val="20"/>
          <w:lang w:eastAsia="en-AU"/>
        </w:rPr>
        <w:t xml:space="preserve">ad hoc basis when a particular method is being developed, the </w:t>
      </w:r>
      <w:r w:rsidR="000B6C3E">
        <w:rPr>
          <w:rFonts w:eastAsia="Times New Roman" w:cs="Arial"/>
          <w:szCs w:val="20"/>
          <w:lang w:eastAsia="en-AU"/>
        </w:rPr>
        <w:t xml:space="preserve">Steering Committee </w:t>
      </w:r>
      <w:r w:rsidR="00850983">
        <w:rPr>
          <w:rFonts w:eastAsia="Times New Roman" w:cs="Arial"/>
          <w:szCs w:val="20"/>
          <w:lang w:eastAsia="en-AU"/>
        </w:rPr>
        <w:t xml:space="preserve">would oversee the method processes including </w:t>
      </w:r>
      <w:r w:rsidR="00850983" w:rsidRPr="00B71059">
        <w:rPr>
          <w:rStyle w:val="normaltextrun1"/>
          <w:rFonts w:cs="Arial"/>
          <w:szCs w:val="20"/>
        </w:rPr>
        <w:t xml:space="preserve">guidance of how methods are applied and tools for measuring and monitoring </w:t>
      </w:r>
      <w:r w:rsidR="00850983" w:rsidRPr="00B71059" w:rsidDel="005429E4">
        <w:rPr>
          <w:rStyle w:val="normaltextrun1"/>
          <w:rFonts w:cs="Arial"/>
          <w:szCs w:val="20"/>
        </w:rPr>
        <w:t>them</w:t>
      </w:r>
      <w:r w:rsidR="00850983">
        <w:rPr>
          <w:rFonts w:eastAsia="Times New Roman" w:cs="Arial"/>
          <w:szCs w:val="20"/>
          <w:lang w:eastAsia="en-AU"/>
        </w:rPr>
        <w:t xml:space="preserve">, and enable a process for </w:t>
      </w:r>
      <w:r w:rsidR="003A3E90">
        <w:rPr>
          <w:rFonts w:eastAsia="Times New Roman" w:cs="Arial"/>
          <w:szCs w:val="20"/>
          <w:lang w:eastAsia="en-AU"/>
        </w:rPr>
        <w:t xml:space="preserve">additional relevant industry and other specialists </w:t>
      </w:r>
      <w:r w:rsidR="00850983">
        <w:rPr>
          <w:rFonts w:eastAsia="Times New Roman" w:cs="Arial"/>
          <w:szCs w:val="20"/>
          <w:lang w:eastAsia="en-AU"/>
        </w:rPr>
        <w:t xml:space="preserve">to participate </w:t>
      </w:r>
      <w:r w:rsidR="00284CAC">
        <w:rPr>
          <w:rFonts w:eastAsia="Times New Roman" w:cs="Arial"/>
          <w:szCs w:val="20"/>
          <w:lang w:eastAsia="en-AU"/>
        </w:rPr>
        <w:t xml:space="preserve">in targeted working groups </w:t>
      </w:r>
      <w:r w:rsidR="000B6C3E">
        <w:rPr>
          <w:rFonts w:eastAsia="Times New Roman" w:cs="Arial"/>
          <w:szCs w:val="20"/>
          <w:lang w:eastAsia="en-AU"/>
        </w:rPr>
        <w:t>on a method specific basis</w:t>
      </w:r>
      <w:r w:rsidR="00850983">
        <w:rPr>
          <w:rFonts w:eastAsia="Times New Roman" w:cs="Arial"/>
          <w:szCs w:val="20"/>
          <w:lang w:eastAsia="en-AU"/>
        </w:rPr>
        <w:t xml:space="preserve">. </w:t>
      </w:r>
      <w:r w:rsidR="00284CAC">
        <w:rPr>
          <w:rFonts w:eastAsia="Times New Roman" w:cs="Arial"/>
          <w:szCs w:val="20"/>
          <w:lang w:eastAsia="en-AU"/>
        </w:rPr>
        <w:t>To this end, t</w:t>
      </w:r>
      <w:r w:rsidR="00B55B8B">
        <w:rPr>
          <w:rFonts w:eastAsia="Times New Roman" w:cs="Arial"/>
          <w:szCs w:val="20"/>
          <w:lang w:eastAsia="en-AU"/>
        </w:rPr>
        <w:t xml:space="preserve">he Steering Committee should develop a stakeholder engagement plan, which sets out a process for stakeholders to participate in the working groups for individual methods. </w:t>
      </w:r>
    </w:p>
    <w:p w14:paraId="5291CA48" w14:textId="678C1F93" w:rsidR="003A3E90" w:rsidRDefault="003A3E90" w:rsidP="003A3E90">
      <w:pPr>
        <w:spacing w:after="0"/>
        <w:textAlignment w:val="baseline"/>
      </w:pPr>
    </w:p>
    <w:p w14:paraId="4CE657B7" w14:textId="16907175" w:rsidR="0035614F" w:rsidRDefault="000B6C3E">
      <w:pPr>
        <w:spacing w:after="0"/>
        <w:textAlignment w:val="baseline"/>
        <w:rPr>
          <w:rFonts w:eastAsia="Times New Roman" w:cs="Arial"/>
          <w:szCs w:val="20"/>
          <w:lang w:eastAsia="en-AU"/>
        </w:rPr>
      </w:pPr>
      <w:r>
        <w:t>The Steering Committee</w:t>
      </w:r>
      <w:r w:rsidR="003A3E90">
        <w:t xml:space="preserve"> </w:t>
      </w:r>
      <w:r w:rsidR="00BB7801">
        <w:t>would</w:t>
      </w:r>
      <w:r w:rsidR="00BB7801">
        <w:rPr>
          <w:rFonts w:eastAsia="Times New Roman" w:cs="Arial"/>
          <w:szCs w:val="20"/>
          <w:lang w:eastAsia="en-AU"/>
        </w:rPr>
        <w:t xml:space="preserve"> </w:t>
      </w:r>
      <w:r w:rsidR="002A36F0">
        <w:rPr>
          <w:rFonts w:eastAsia="Times New Roman" w:cs="Arial"/>
          <w:szCs w:val="20"/>
          <w:lang w:eastAsia="en-AU"/>
        </w:rPr>
        <w:t>facilitate</w:t>
      </w:r>
      <w:r w:rsidR="00BB7801">
        <w:rPr>
          <w:rFonts w:eastAsia="Times New Roman" w:cs="Arial"/>
          <w:szCs w:val="20"/>
          <w:lang w:eastAsia="en-AU"/>
        </w:rPr>
        <w:t xml:space="preserve"> continuity of </w:t>
      </w:r>
      <w:r w:rsidR="002A36F0">
        <w:rPr>
          <w:rFonts w:eastAsia="Times New Roman" w:cs="Arial"/>
          <w:szCs w:val="20"/>
          <w:lang w:eastAsia="en-AU"/>
        </w:rPr>
        <w:t xml:space="preserve">industry </w:t>
      </w:r>
      <w:r w:rsidR="00D871AF">
        <w:rPr>
          <w:rFonts w:eastAsia="Times New Roman" w:cs="Arial"/>
          <w:szCs w:val="20"/>
          <w:lang w:eastAsia="en-AU"/>
        </w:rPr>
        <w:t xml:space="preserve">and expert </w:t>
      </w:r>
      <w:r w:rsidR="00BB7801">
        <w:rPr>
          <w:rFonts w:eastAsia="Times New Roman" w:cs="Arial"/>
          <w:szCs w:val="20"/>
          <w:lang w:eastAsia="en-AU"/>
        </w:rPr>
        <w:t xml:space="preserve">input when methods are </w:t>
      </w:r>
      <w:r w:rsidR="00850983">
        <w:rPr>
          <w:rFonts w:eastAsia="Times New Roman" w:cs="Arial"/>
          <w:szCs w:val="20"/>
          <w:lang w:eastAsia="en-AU"/>
        </w:rPr>
        <w:t xml:space="preserve">developed, </w:t>
      </w:r>
      <w:r w:rsidR="00BB7801">
        <w:rPr>
          <w:rFonts w:eastAsia="Times New Roman" w:cs="Arial"/>
          <w:szCs w:val="20"/>
          <w:lang w:eastAsia="en-AU"/>
        </w:rPr>
        <w:t>varied and reviewed</w:t>
      </w:r>
      <w:r w:rsidR="00853F2F">
        <w:rPr>
          <w:rFonts w:eastAsia="Times New Roman" w:cs="Arial"/>
          <w:szCs w:val="20"/>
          <w:lang w:eastAsia="en-AU"/>
        </w:rPr>
        <w:t xml:space="preserve">. </w:t>
      </w:r>
      <w:r w:rsidR="00B202E4">
        <w:rPr>
          <w:rFonts w:eastAsia="Times New Roman" w:cs="Arial"/>
          <w:szCs w:val="20"/>
          <w:lang w:eastAsia="en-AU"/>
        </w:rPr>
        <w:t xml:space="preserve">It would also provide additional skills, resources and knowledge to method processes and help ensure better usability of methods. </w:t>
      </w:r>
      <w:r w:rsidR="002A36F0">
        <w:rPr>
          <w:rFonts w:eastAsia="Times New Roman" w:cs="Arial"/>
          <w:szCs w:val="20"/>
          <w:lang w:eastAsia="en-AU"/>
        </w:rPr>
        <w:t xml:space="preserve">This will improve transparency on how methods are developed and varied, which currently has led to considerable market uncertainty </w:t>
      </w:r>
      <w:r w:rsidR="008252F0">
        <w:rPr>
          <w:rFonts w:eastAsia="Times New Roman" w:cs="Arial"/>
          <w:szCs w:val="20"/>
          <w:lang w:eastAsia="en-AU"/>
        </w:rPr>
        <w:t xml:space="preserve">(see </w:t>
      </w:r>
      <w:r w:rsidR="002A36F0">
        <w:rPr>
          <w:rFonts w:eastAsia="Times New Roman" w:cs="Arial"/>
          <w:szCs w:val="20"/>
          <w:lang w:eastAsia="en-AU"/>
        </w:rPr>
        <w:t>Chapter 7</w:t>
      </w:r>
      <w:r w:rsidR="008252F0">
        <w:rPr>
          <w:rFonts w:eastAsia="Times New Roman" w:cs="Arial"/>
          <w:szCs w:val="20"/>
          <w:lang w:eastAsia="en-AU"/>
        </w:rPr>
        <w:t>)</w:t>
      </w:r>
      <w:r w:rsidR="002A36F0">
        <w:rPr>
          <w:rFonts w:eastAsia="Times New Roman" w:cs="Arial"/>
          <w:szCs w:val="20"/>
          <w:lang w:eastAsia="en-AU"/>
        </w:rPr>
        <w:t xml:space="preserve">. </w:t>
      </w:r>
      <w:r w:rsidR="00F436C5">
        <w:rPr>
          <w:rFonts w:eastAsia="Times New Roman" w:cs="Arial"/>
          <w:szCs w:val="20"/>
          <w:lang w:eastAsia="en-AU"/>
        </w:rPr>
        <w:t xml:space="preserve">The ERAC could also call on </w:t>
      </w:r>
      <w:r w:rsidR="00F436C5" w:rsidRPr="005429E4">
        <w:rPr>
          <w:rFonts w:eastAsia="Times New Roman" w:cs="Arial"/>
          <w:szCs w:val="20"/>
          <w:lang w:eastAsia="en-AU"/>
        </w:rPr>
        <w:t>the</w:t>
      </w:r>
      <w:r w:rsidR="00F436C5" w:rsidRPr="00B23A2B">
        <w:rPr>
          <w:rFonts w:eastAsia="Times New Roman" w:cs="Arial"/>
          <w:szCs w:val="20"/>
          <w:lang w:eastAsia="en-AU"/>
        </w:rPr>
        <w:t xml:space="preserve"> </w:t>
      </w:r>
      <w:r>
        <w:rPr>
          <w:rFonts w:eastAsia="Times New Roman" w:cs="Arial"/>
          <w:szCs w:val="20"/>
          <w:lang w:eastAsia="en-AU"/>
        </w:rPr>
        <w:t xml:space="preserve">Steering Committee </w:t>
      </w:r>
      <w:r w:rsidR="00F436C5" w:rsidRPr="00B23A2B">
        <w:rPr>
          <w:rFonts w:eastAsia="Times New Roman" w:cs="Arial"/>
          <w:szCs w:val="20"/>
          <w:lang w:eastAsia="en-AU"/>
        </w:rPr>
        <w:t>for information when undertaking method reviews.</w:t>
      </w:r>
      <w:r w:rsidR="005A30BC">
        <w:rPr>
          <w:rFonts w:eastAsia="Times New Roman" w:cs="Arial"/>
          <w:szCs w:val="20"/>
          <w:lang w:eastAsia="en-AU"/>
        </w:rPr>
        <w:t xml:space="preserve"> </w:t>
      </w:r>
      <w:r w:rsidR="0035614F">
        <w:rPr>
          <w:rFonts w:eastAsia="Times New Roman" w:cs="Arial"/>
          <w:szCs w:val="20"/>
          <w:lang w:eastAsia="en-AU"/>
        </w:rPr>
        <w:t xml:space="preserve">Importantly, the </w:t>
      </w:r>
      <w:r w:rsidR="0005154F">
        <w:rPr>
          <w:rFonts w:eastAsia="Times New Roman" w:cs="Arial"/>
          <w:szCs w:val="20"/>
          <w:lang w:eastAsia="en-AU"/>
        </w:rPr>
        <w:t xml:space="preserve">establishment of </w:t>
      </w:r>
      <w:r w:rsidR="0032246E">
        <w:rPr>
          <w:rFonts w:eastAsia="Times New Roman" w:cs="Arial"/>
          <w:szCs w:val="20"/>
          <w:lang w:eastAsia="en-AU"/>
        </w:rPr>
        <w:t xml:space="preserve">a </w:t>
      </w:r>
      <w:r>
        <w:rPr>
          <w:rFonts w:eastAsia="Times New Roman" w:cs="Arial"/>
          <w:szCs w:val="20"/>
          <w:lang w:eastAsia="en-AU"/>
        </w:rPr>
        <w:t>formal Steering Committee</w:t>
      </w:r>
      <w:r w:rsidR="0032246E">
        <w:rPr>
          <w:rFonts w:eastAsia="Times New Roman" w:cs="Arial"/>
          <w:szCs w:val="20"/>
          <w:lang w:eastAsia="en-AU"/>
        </w:rPr>
        <w:t xml:space="preserve"> </w:t>
      </w:r>
      <w:r w:rsidR="0035614F">
        <w:rPr>
          <w:rFonts w:eastAsia="Times New Roman" w:cs="Arial"/>
          <w:szCs w:val="20"/>
          <w:lang w:eastAsia="en-AU"/>
        </w:rPr>
        <w:t>to oversee and manage the method processes will alleviate some of the perceived and potential conflicts of interest in relation to the Regulators</w:t>
      </w:r>
      <w:r w:rsidR="008252F0">
        <w:rPr>
          <w:rFonts w:eastAsia="Times New Roman" w:cs="Arial"/>
          <w:szCs w:val="20"/>
          <w:lang w:eastAsia="en-AU"/>
        </w:rPr>
        <w:t>’</w:t>
      </w:r>
      <w:r w:rsidR="0035614F">
        <w:rPr>
          <w:rFonts w:eastAsia="Times New Roman" w:cs="Arial"/>
          <w:szCs w:val="20"/>
          <w:lang w:eastAsia="en-AU"/>
        </w:rPr>
        <w:t xml:space="preserve"> multiple functions of developing method rules, purchasing abatement in accordance with the rules and enforcing the rules.  </w:t>
      </w:r>
    </w:p>
    <w:p w14:paraId="705BEDA2" w14:textId="7B3233AF" w:rsidR="001515AC" w:rsidRPr="00DD089B" w:rsidRDefault="00DD089B" w:rsidP="008D7B36">
      <w:pPr>
        <w:spacing w:before="240" w:after="0"/>
        <w:textAlignment w:val="baseline"/>
        <w:rPr>
          <w:rFonts w:eastAsia="Times New Roman" w:cs="Arial"/>
          <w:szCs w:val="20"/>
          <w:lang w:eastAsia="en-AU"/>
        </w:rPr>
      </w:pPr>
      <w:r>
        <w:rPr>
          <w:rFonts w:eastAsia="Times New Roman" w:cs="Arial"/>
          <w:szCs w:val="20"/>
          <w:lang w:eastAsia="en-AU"/>
        </w:rPr>
        <w:t>The</w:t>
      </w:r>
      <w:r w:rsidR="003474E0">
        <w:rPr>
          <w:rFonts w:eastAsia="Times New Roman" w:cs="Arial"/>
          <w:szCs w:val="20"/>
          <w:lang w:eastAsia="en-AU"/>
        </w:rPr>
        <w:t xml:space="preserve"> Committee will impose an</w:t>
      </w:r>
      <w:r>
        <w:rPr>
          <w:rFonts w:eastAsia="Times New Roman" w:cs="Arial"/>
          <w:szCs w:val="20"/>
          <w:lang w:eastAsia="en-AU"/>
        </w:rPr>
        <w:t xml:space="preserve"> additional cost to </w:t>
      </w:r>
      <w:r w:rsidR="0005154F">
        <w:rPr>
          <w:rFonts w:eastAsia="Times New Roman" w:cs="Arial"/>
          <w:szCs w:val="20"/>
          <w:lang w:eastAsia="en-AU"/>
        </w:rPr>
        <w:t xml:space="preserve">Government, </w:t>
      </w:r>
      <w:r>
        <w:rPr>
          <w:rFonts w:eastAsia="Times New Roman" w:cs="Arial"/>
          <w:szCs w:val="20"/>
          <w:lang w:eastAsia="en-AU"/>
        </w:rPr>
        <w:t xml:space="preserve">however, it could bolster technical expertise in the </w:t>
      </w:r>
      <w:r w:rsidR="0032246E">
        <w:rPr>
          <w:rFonts w:eastAsia="Times New Roman" w:cs="Arial"/>
          <w:szCs w:val="20"/>
          <w:lang w:eastAsia="en-AU"/>
        </w:rPr>
        <w:t>ERF scheme</w:t>
      </w:r>
      <w:r w:rsidR="00E4081E">
        <w:rPr>
          <w:rFonts w:eastAsia="Times New Roman" w:cs="Arial"/>
          <w:szCs w:val="20"/>
          <w:lang w:eastAsia="en-AU"/>
        </w:rPr>
        <w:t xml:space="preserve"> </w:t>
      </w:r>
      <w:r>
        <w:rPr>
          <w:rFonts w:eastAsia="Times New Roman" w:cs="Arial"/>
          <w:szCs w:val="20"/>
          <w:lang w:eastAsia="en-AU"/>
        </w:rPr>
        <w:t xml:space="preserve">and facilitate better industry participation and market certainty, which could lead to the scheme operating more effectively and efficiently in the medium-to-long term. The Government would need to undertake a cost benefit analysis to assess whether the benefits of establishing </w:t>
      </w:r>
      <w:r w:rsidR="00853F2F">
        <w:rPr>
          <w:rFonts w:eastAsia="Times New Roman" w:cs="Arial"/>
          <w:szCs w:val="20"/>
          <w:lang w:eastAsia="en-AU"/>
        </w:rPr>
        <w:t xml:space="preserve">such a </w:t>
      </w:r>
      <w:r w:rsidR="000B6C3E">
        <w:rPr>
          <w:rFonts w:eastAsia="Times New Roman" w:cs="Arial"/>
          <w:szCs w:val="20"/>
          <w:lang w:eastAsia="en-AU"/>
        </w:rPr>
        <w:t>Committee</w:t>
      </w:r>
      <w:r w:rsidR="00853F2F" w:rsidDel="000B6C3E">
        <w:rPr>
          <w:rFonts w:eastAsia="Times New Roman" w:cs="Arial"/>
          <w:szCs w:val="20"/>
          <w:lang w:eastAsia="en-AU"/>
        </w:rPr>
        <w:t xml:space="preserve"> </w:t>
      </w:r>
      <w:r>
        <w:rPr>
          <w:rFonts w:eastAsia="Times New Roman" w:cs="Arial"/>
          <w:szCs w:val="20"/>
          <w:lang w:eastAsia="en-AU"/>
        </w:rPr>
        <w:t>outweigh</w:t>
      </w:r>
      <w:r w:rsidR="0032246E">
        <w:rPr>
          <w:rFonts w:eastAsia="Times New Roman" w:cs="Arial"/>
          <w:szCs w:val="20"/>
          <w:lang w:eastAsia="en-AU"/>
        </w:rPr>
        <w:t>s</w:t>
      </w:r>
      <w:r>
        <w:rPr>
          <w:rFonts w:eastAsia="Times New Roman" w:cs="Arial"/>
          <w:szCs w:val="20"/>
          <w:lang w:eastAsia="en-AU"/>
        </w:rPr>
        <w:t xml:space="preserve"> the additional cost to Government.</w:t>
      </w:r>
    </w:p>
    <w:tbl>
      <w:tblPr>
        <w:tblStyle w:val="TableGrid"/>
        <w:tblW w:w="0" w:type="auto"/>
        <w:tblLook w:val="04A0" w:firstRow="1" w:lastRow="0" w:firstColumn="1" w:lastColumn="0" w:noHBand="0" w:noVBand="1"/>
      </w:tblPr>
      <w:tblGrid>
        <w:gridCol w:w="9016"/>
      </w:tblGrid>
      <w:tr w:rsidR="00142E61" w14:paraId="2FEA5E92" w14:textId="77777777" w:rsidTr="000E0E85">
        <w:tc>
          <w:tcPr>
            <w:tcW w:w="9016" w:type="dxa"/>
          </w:tcPr>
          <w:p w14:paraId="0B27D105" w14:textId="288D958A" w:rsidR="00FE5249" w:rsidRPr="00DF7FFD" w:rsidRDefault="00142E61" w:rsidP="000E0E85">
            <w:pPr>
              <w:textAlignment w:val="baseline"/>
              <w:rPr>
                <w:rStyle w:val="normaltextrun1"/>
                <w:rFonts w:cs="Arial"/>
                <w:b/>
                <w:szCs w:val="20"/>
              </w:rPr>
            </w:pPr>
            <w:r w:rsidRPr="00DF7FFD">
              <w:rPr>
                <w:rStyle w:val="normaltextrun1"/>
                <w:rFonts w:cs="Arial"/>
                <w:b/>
                <w:szCs w:val="20"/>
              </w:rPr>
              <w:t>Recommendation</w:t>
            </w:r>
            <w:r w:rsidR="00F77E47">
              <w:rPr>
                <w:rStyle w:val="normaltextrun1"/>
                <w:rFonts w:cs="Arial"/>
                <w:b/>
                <w:szCs w:val="20"/>
              </w:rPr>
              <w:t xml:space="preserve"> </w:t>
            </w:r>
            <w:r w:rsidR="00DF7FFD">
              <w:rPr>
                <w:rStyle w:val="normaltextrun1"/>
                <w:rFonts w:cs="Arial"/>
                <w:b/>
                <w:szCs w:val="20"/>
              </w:rPr>
              <w:t>1</w:t>
            </w:r>
            <w:r w:rsidR="00D87E61">
              <w:rPr>
                <w:rStyle w:val="normaltextrun1"/>
                <w:rFonts w:cs="Arial"/>
                <w:b/>
                <w:szCs w:val="20"/>
              </w:rPr>
              <w:t>3</w:t>
            </w:r>
            <w:r w:rsidR="00B23A2B">
              <w:rPr>
                <w:rStyle w:val="normaltextrun1"/>
                <w:rFonts w:cs="Arial"/>
                <w:b/>
                <w:szCs w:val="20"/>
              </w:rPr>
              <w:t xml:space="preserve"> </w:t>
            </w:r>
          </w:p>
          <w:p w14:paraId="259CCF50" w14:textId="77777777" w:rsidR="002B50A0" w:rsidRDefault="002B50A0" w:rsidP="002B50A0">
            <w:pPr>
              <w:textAlignment w:val="baseline"/>
              <w:rPr>
                <w:rStyle w:val="normaltextrun1"/>
                <w:rFonts w:cs="Arial"/>
                <w:szCs w:val="20"/>
              </w:rPr>
            </w:pPr>
          </w:p>
          <w:p w14:paraId="0716C2F4" w14:textId="77777777" w:rsidR="00E108E3" w:rsidRPr="00D72F5E" w:rsidRDefault="00E108E3" w:rsidP="00E108E3">
            <w:pPr>
              <w:textAlignment w:val="baseline"/>
              <w:rPr>
                <w:rStyle w:val="normaltextrun1"/>
                <w:rFonts w:cs="Arial"/>
                <w:b/>
                <w:szCs w:val="20"/>
              </w:rPr>
            </w:pPr>
            <w:r w:rsidRPr="00D72F5E">
              <w:rPr>
                <w:rStyle w:val="normaltextrun1"/>
                <w:rFonts w:cs="Arial"/>
                <w:b/>
                <w:szCs w:val="20"/>
              </w:rPr>
              <w:t xml:space="preserve">To give industry a greater opportunity to contribute to the development of new methods and increase transparency, the Government consider establishing a Steering Committee under a regulatory instrument to the CFI Act to oversee method development and variations. The Steering Committee should comprise representatives of the CSIRO, the Department (including from the National Greenhouse Gas Inventory team), the Regulator, the carbon industry, and as an observer, the ERAC. </w:t>
            </w:r>
          </w:p>
          <w:p w14:paraId="0F41C324" w14:textId="77777777" w:rsidR="00E108E3" w:rsidRPr="00D72F5E" w:rsidRDefault="00E108E3" w:rsidP="00E108E3">
            <w:pPr>
              <w:textAlignment w:val="baseline"/>
              <w:rPr>
                <w:rStyle w:val="normaltextrun1"/>
                <w:rFonts w:cs="Arial"/>
                <w:b/>
                <w:szCs w:val="20"/>
              </w:rPr>
            </w:pPr>
          </w:p>
          <w:p w14:paraId="68E7EDE7" w14:textId="77777777" w:rsidR="00E108E3" w:rsidRPr="00D72F5E" w:rsidRDefault="00E108E3" w:rsidP="00E108E3">
            <w:pPr>
              <w:textAlignment w:val="baseline"/>
              <w:rPr>
                <w:rStyle w:val="normaltextrun1"/>
                <w:rFonts w:cs="Arial"/>
                <w:b/>
                <w:szCs w:val="20"/>
              </w:rPr>
            </w:pPr>
            <w:r w:rsidRPr="00D72F5E">
              <w:rPr>
                <w:rStyle w:val="normaltextrun1"/>
                <w:rFonts w:cs="Arial"/>
                <w:b/>
                <w:szCs w:val="20"/>
              </w:rPr>
              <w:t xml:space="preserve">To enable relevant industry, scientific, carbon market, carbon sequestration and emissions avoidance experts to participate, the Steering Committee convene working groups on a method specific basis. </w:t>
            </w:r>
          </w:p>
          <w:p w14:paraId="249EAF1B" w14:textId="77777777" w:rsidR="00E108E3" w:rsidRPr="00D72F5E" w:rsidRDefault="00E108E3" w:rsidP="00E108E3">
            <w:pPr>
              <w:textAlignment w:val="baseline"/>
              <w:rPr>
                <w:rStyle w:val="normaltextrun1"/>
                <w:rFonts w:cs="Arial"/>
                <w:b/>
                <w:szCs w:val="20"/>
              </w:rPr>
            </w:pPr>
          </w:p>
          <w:p w14:paraId="1BDAB1F9" w14:textId="351A2301" w:rsidR="00DB6303" w:rsidRPr="001743EF" w:rsidRDefault="00E108E3" w:rsidP="00E108E3">
            <w:pPr>
              <w:textAlignment w:val="baseline"/>
              <w:rPr>
                <w:rFonts w:cs="Arial"/>
                <w:b/>
                <w:szCs w:val="20"/>
              </w:rPr>
            </w:pPr>
            <w:r w:rsidRPr="00D72F5E">
              <w:rPr>
                <w:rFonts w:eastAsia="Times New Roman"/>
                <w:b/>
                <w:lang w:eastAsia="en-AU"/>
              </w:rPr>
              <w:t>To</w:t>
            </w:r>
            <w:r w:rsidRPr="00D72F5E">
              <w:rPr>
                <w:rFonts w:eastAsia="Times New Roman" w:cs="Arial"/>
                <w:b/>
                <w:szCs w:val="20"/>
                <w:lang w:eastAsia="en-AU"/>
              </w:rPr>
              <w:t xml:space="preserve"> strengthen industry participation,</w:t>
            </w:r>
            <w:r w:rsidRPr="00D72F5E">
              <w:rPr>
                <w:rStyle w:val="normaltextrun1"/>
                <w:rFonts w:cs="Arial"/>
                <w:b/>
                <w:szCs w:val="20"/>
              </w:rPr>
              <w:t xml:space="preserve"> the Committee develop and publish a stakeholder engagement plan.</w:t>
            </w:r>
          </w:p>
        </w:tc>
      </w:tr>
    </w:tbl>
    <w:p w14:paraId="4D3ADAF5" w14:textId="77777777" w:rsidR="00142E61" w:rsidRDefault="00142E61" w:rsidP="00142E61">
      <w:pPr>
        <w:spacing w:after="0" w:line="240" w:lineRule="auto"/>
        <w:textAlignment w:val="baseline"/>
        <w:rPr>
          <w:rFonts w:eastAsia="Times New Roman" w:cs="Arial"/>
          <w:b/>
          <w:szCs w:val="20"/>
          <w:lang w:eastAsia="en-AU"/>
        </w:rPr>
      </w:pPr>
    </w:p>
    <w:p w14:paraId="12E682BB" w14:textId="04D34779" w:rsidR="004C5A63" w:rsidRPr="00004361" w:rsidRDefault="00E4081E" w:rsidP="002E55EF">
      <w:pPr>
        <w:spacing w:before="240" w:after="0"/>
        <w:textAlignment w:val="baseline"/>
        <w:rPr>
          <w:rFonts w:eastAsia="Times New Roman" w:cs="Arial"/>
          <w:szCs w:val="20"/>
          <w:lang w:eastAsia="en-AU"/>
        </w:rPr>
      </w:pPr>
      <w:r>
        <w:rPr>
          <w:rFonts w:eastAsia="Times New Roman" w:cs="Arial"/>
          <w:szCs w:val="20"/>
          <w:lang w:eastAsia="en-AU"/>
        </w:rPr>
        <w:t>To enhance the method development process, the King Review also suggested that a pilot method program be established to test new method ideas and expedite method preparation. This recommendation was supported by Government in its response to the King Review (</w:t>
      </w:r>
      <w:r w:rsidR="000049E6" w:rsidRPr="00764422">
        <w:t xml:space="preserve">Australian Government </w:t>
      </w:r>
      <w:r w:rsidR="000049E6" w:rsidRPr="009C394A">
        <w:rPr>
          <w:rFonts w:eastAsia="Times New Roman" w:cs="Arial"/>
          <w:szCs w:val="20"/>
          <w:lang w:eastAsia="en-AU"/>
        </w:rPr>
        <w:t>2020</w:t>
      </w:r>
      <w:r w:rsidR="000049E6">
        <w:rPr>
          <w:rFonts w:eastAsia="Times New Roman" w:cs="Arial"/>
          <w:szCs w:val="20"/>
          <w:lang w:eastAsia="en-AU"/>
        </w:rPr>
        <w:t>b</w:t>
      </w:r>
      <w:r w:rsidRPr="00FA6786">
        <w:rPr>
          <w:rFonts w:eastAsia="Times New Roman" w:cs="Arial"/>
          <w:szCs w:val="20"/>
          <w:lang w:eastAsia="en-AU"/>
        </w:rPr>
        <w:t>).</w:t>
      </w:r>
      <w:r>
        <w:rPr>
          <w:rFonts w:eastAsia="Times New Roman" w:cs="Arial"/>
          <w:szCs w:val="20"/>
          <w:lang w:eastAsia="en-AU"/>
        </w:rPr>
        <w:t xml:space="preserve"> </w:t>
      </w:r>
      <w:r w:rsidR="00997299">
        <w:rPr>
          <w:lang w:eastAsia="en-AU"/>
        </w:rPr>
        <w:t xml:space="preserve">Stakeholders including the AFPA [p.5], Farmers for Climate Action [p.4] and Australian Energy Council support this initiative </w:t>
      </w:r>
      <w:r w:rsidR="00997299" w:rsidRPr="00B23A2B">
        <w:rPr>
          <w:rFonts w:eastAsia="Times New Roman" w:cs="Arial"/>
          <w:szCs w:val="20"/>
          <w:lang w:eastAsia="en-AU"/>
        </w:rPr>
        <w:t>(submissions).</w:t>
      </w:r>
      <w:r w:rsidR="004C5A63" w:rsidRPr="004C5A63">
        <w:rPr>
          <w:lang w:eastAsia="en-AU"/>
        </w:rPr>
        <w:t xml:space="preserve"> </w:t>
      </w:r>
      <w:r w:rsidR="004C5A63" w:rsidRPr="00004361">
        <w:rPr>
          <w:lang w:eastAsia="en-AU"/>
        </w:rPr>
        <w:t>The CMI stated that allowing pilot activities to generate ACCUs, if the method is successful, would ‘incentivise private sector investment</w:t>
      </w:r>
      <w:r w:rsidR="005B6AE0">
        <w:rPr>
          <w:lang w:eastAsia="en-AU"/>
        </w:rPr>
        <w:t xml:space="preserve"> </w:t>
      </w:r>
      <w:r w:rsidR="004C5A63" w:rsidRPr="00004361">
        <w:rPr>
          <w:lang w:eastAsia="en-AU"/>
        </w:rPr>
        <w:t>partnerships and that when determining how this</w:t>
      </w:r>
      <w:r w:rsidR="004C5A63">
        <w:rPr>
          <w:lang w:eastAsia="en-AU"/>
        </w:rPr>
        <w:t xml:space="preserve"> is done “as for all responses social and environmental integrity is paramount</w:t>
      </w:r>
      <w:r w:rsidR="000F32CD">
        <w:rPr>
          <w:lang w:eastAsia="en-AU"/>
        </w:rPr>
        <w:t>”</w:t>
      </w:r>
      <w:r w:rsidR="004C5A63">
        <w:rPr>
          <w:lang w:eastAsia="en-AU"/>
        </w:rPr>
        <w:t xml:space="preserve"> (CMI submission</w:t>
      </w:r>
      <w:r w:rsidR="007E4A3D">
        <w:rPr>
          <w:lang w:eastAsia="en-AU"/>
        </w:rPr>
        <w:t xml:space="preserve"> p.6</w:t>
      </w:r>
      <w:r w:rsidR="004C5A63">
        <w:rPr>
          <w:lang w:eastAsia="en-AU"/>
        </w:rPr>
        <w:t>).</w:t>
      </w:r>
    </w:p>
    <w:p w14:paraId="427F5301" w14:textId="737A9EDB" w:rsidR="00E4081E" w:rsidRPr="00B23A2B" w:rsidRDefault="00997299" w:rsidP="002E55EF">
      <w:pPr>
        <w:spacing w:before="240" w:after="0"/>
        <w:textAlignment w:val="baseline"/>
        <w:rPr>
          <w:rFonts w:eastAsia="Times New Roman" w:cs="Arial"/>
          <w:szCs w:val="20"/>
          <w:lang w:eastAsia="en-AU"/>
        </w:rPr>
      </w:pPr>
      <w:r>
        <w:rPr>
          <w:lang w:eastAsia="en-AU"/>
        </w:rPr>
        <w:t xml:space="preserve">The Authority considers that a </w:t>
      </w:r>
      <w:r w:rsidR="00BE0CFC">
        <w:rPr>
          <w:lang w:eastAsia="en-AU"/>
        </w:rPr>
        <w:t xml:space="preserve">formal </w:t>
      </w:r>
      <w:r w:rsidR="00850983">
        <w:rPr>
          <w:lang w:eastAsia="en-AU"/>
        </w:rPr>
        <w:t>Steering Committee</w:t>
      </w:r>
      <w:r>
        <w:rPr>
          <w:lang w:eastAsia="en-AU"/>
        </w:rPr>
        <w:t xml:space="preserve"> would be well suited to helping inform or advise on a pilot program, and that a pilot approach could be beneficial in order to test the feasibility and workability of methods prior to their adoption. This should be done in a way that upholds the integrity of the scheme. </w:t>
      </w:r>
    </w:p>
    <w:p w14:paraId="3512CEEB" w14:textId="12EEBCE5" w:rsidR="00FE5249" w:rsidRPr="007D697F" w:rsidRDefault="00A12282" w:rsidP="00004274">
      <w:pPr>
        <w:pStyle w:val="Heading2"/>
        <w:numPr>
          <w:ilvl w:val="1"/>
          <w:numId w:val="47"/>
        </w:numPr>
        <w:rPr>
          <w:color w:val="0070AE" w:themeColor="accent2" w:themeTint="BF"/>
        </w:rPr>
      </w:pPr>
      <w:bookmarkStart w:id="2616" w:name="_Toc49350839"/>
      <w:bookmarkStart w:id="2617" w:name="_Toc49352819"/>
      <w:bookmarkStart w:id="2618" w:name="_Toc49354195"/>
      <w:bookmarkStart w:id="2619" w:name="_Toc49355521"/>
      <w:bookmarkStart w:id="2620" w:name="_Toc49429279"/>
      <w:bookmarkStart w:id="2621" w:name="_Toc49434036"/>
      <w:bookmarkStart w:id="2622" w:name="_Toc49441029"/>
      <w:bookmarkStart w:id="2623" w:name="_Toc49441219"/>
      <w:bookmarkStart w:id="2624" w:name="_Toc49442222"/>
      <w:bookmarkStart w:id="2625" w:name="_Toc49508953"/>
      <w:bookmarkStart w:id="2626" w:name="_Toc49519763"/>
      <w:bookmarkStart w:id="2627" w:name="_Toc49521481"/>
      <w:bookmarkStart w:id="2628" w:name="_Toc49524553"/>
      <w:bookmarkStart w:id="2629" w:name="_Toc49524691"/>
      <w:bookmarkStart w:id="2630" w:name="_Toc49527160"/>
      <w:bookmarkStart w:id="2631" w:name="_Toc49527998"/>
      <w:bookmarkStart w:id="2632" w:name="_Toc49692151"/>
      <w:bookmarkStart w:id="2633" w:name="_Toc49710524"/>
      <w:bookmarkStart w:id="2634" w:name="_Toc49710696"/>
      <w:bookmarkStart w:id="2635" w:name="_Toc49713249"/>
      <w:bookmarkStart w:id="2636" w:name="_Toc49713451"/>
      <w:bookmarkStart w:id="2637" w:name="_Toc49776389"/>
      <w:bookmarkStart w:id="2638" w:name="_Toc49784948"/>
      <w:bookmarkStart w:id="2639" w:name="_Toc49786274"/>
      <w:bookmarkStart w:id="2640" w:name="_Toc49787323"/>
      <w:bookmarkStart w:id="2641" w:name="_Toc49787378"/>
      <w:bookmarkStart w:id="2642" w:name="_Toc49850692"/>
      <w:bookmarkStart w:id="2643" w:name="_Toc49852934"/>
      <w:bookmarkStart w:id="2644" w:name="_Toc49854351"/>
      <w:bookmarkStart w:id="2645" w:name="_Toc49856947"/>
      <w:bookmarkStart w:id="2646" w:name="_Toc49858263"/>
      <w:bookmarkStart w:id="2647" w:name="_Toc49858318"/>
      <w:bookmarkStart w:id="2648" w:name="_Toc49863020"/>
      <w:bookmarkStart w:id="2649" w:name="_Toc49867743"/>
      <w:bookmarkStart w:id="2650" w:name="_Toc49870579"/>
      <w:bookmarkStart w:id="2651" w:name="_Toc49871322"/>
      <w:bookmarkStart w:id="2652" w:name="_Toc49872002"/>
      <w:bookmarkStart w:id="2653" w:name="_Toc49872555"/>
      <w:bookmarkStart w:id="2654" w:name="_Toc50027767"/>
      <w:bookmarkStart w:id="2655" w:name="_Toc50029461"/>
      <w:bookmarkStart w:id="2656" w:name="_Toc50043892"/>
      <w:bookmarkStart w:id="2657" w:name="_Toc50057744"/>
      <w:bookmarkStart w:id="2658" w:name="_Toc50553621"/>
      <w:bookmarkStart w:id="2659" w:name="_Toc50555384"/>
      <w:bookmarkStart w:id="2660" w:name="_Toc50559844"/>
      <w:bookmarkStart w:id="2661" w:name="_Toc50559897"/>
      <w:bookmarkStart w:id="2662" w:name="_Toc50563831"/>
      <w:bookmarkStart w:id="2663" w:name="_Toc50711384"/>
      <w:bookmarkStart w:id="2664" w:name="_Toc50720966"/>
      <w:bookmarkStart w:id="2665" w:name="_Toc50730690"/>
      <w:bookmarkStart w:id="2666" w:name="_Toc50734916"/>
      <w:bookmarkStart w:id="2667" w:name="_Toc50735519"/>
      <w:bookmarkStart w:id="2668" w:name="_Toc50905538"/>
      <w:bookmarkStart w:id="2669" w:name="_Toc51587022"/>
      <w:bookmarkStart w:id="2670" w:name="_Toc51594882"/>
      <w:bookmarkStart w:id="2671" w:name="_Toc51599485"/>
      <w:bookmarkStart w:id="2672" w:name="_Toc51613521"/>
      <w:bookmarkStart w:id="2673" w:name="_Toc51669632"/>
      <w:bookmarkStart w:id="2674" w:name="_Toc51669727"/>
      <w:bookmarkStart w:id="2675" w:name="_Toc51672876"/>
      <w:bookmarkStart w:id="2676" w:name="_Toc51673926"/>
      <w:bookmarkStart w:id="2677" w:name="_Toc51680743"/>
      <w:bookmarkStart w:id="2678" w:name="_Toc51683272"/>
      <w:bookmarkStart w:id="2679" w:name="_Toc51686008"/>
      <w:bookmarkStart w:id="2680" w:name="_Toc51687746"/>
      <w:bookmarkStart w:id="2681" w:name="_Toc51687890"/>
      <w:bookmarkStart w:id="2682" w:name="_Toc51705768"/>
      <w:bookmarkStart w:id="2683" w:name="_Toc51770714"/>
      <w:bookmarkStart w:id="2684" w:name="_Toc51770900"/>
      <w:bookmarkStart w:id="2685" w:name="_Toc52359243"/>
      <w:bookmarkStart w:id="2686" w:name="_Toc52367276"/>
      <w:bookmarkStart w:id="2687" w:name="_Toc52371616"/>
      <w:bookmarkStart w:id="2688" w:name="_Toc52374764"/>
      <w:bookmarkStart w:id="2689" w:name="_Toc52377302"/>
      <w:bookmarkStart w:id="2690" w:name="_Toc52379224"/>
      <w:bookmarkStart w:id="2691" w:name="_Toc52379579"/>
      <w:bookmarkStart w:id="2692" w:name="_Toc52532789"/>
      <w:bookmarkStart w:id="2693" w:name="_Toc52535684"/>
      <w:bookmarkStart w:id="2694" w:name="_Toc52537502"/>
      <w:bookmarkStart w:id="2695" w:name="_Toc52544065"/>
      <w:bookmarkStart w:id="2696" w:name="_Toc52545669"/>
      <w:bookmarkStart w:id="2697" w:name="_Toc52547901"/>
      <w:bookmarkStart w:id="2698" w:name="_Toc52548590"/>
      <w:bookmarkStart w:id="2699" w:name="_Toc52890882"/>
      <w:bookmarkStart w:id="2700" w:name="_Toc52895085"/>
      <w:bookmarkStart w:id="2701" w:name="_Toc52896609"/>
      <w:bookmarkStart w:id="2702" w:name="_Toc52977786"/>
      <w:bookmarkStart w:id="2703" w:name="_Toc53129472"/>
      <w:r w:rsidRPr="007D697F">
        <w:rPr>
          <w:color w:val="0070AE" w:themeColor="accent2" w:themeTint="BF"/>
        </w:rPr>
        <w:t>Maintaining scheme integrity through the E</w:t>
      </w:r>
      <w:r w:rsidR="00511D09">
        <w:rPr>
          <w:color w:val="0070AE" w:themeColor="accent2" w:themeTint="BF"/>
        </w:rPr>
        <w:t>missions Reduction Assurance Committee</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r w:rsidR="005F681B" w:rsidRPr="007D697F">
        <w:rPr>
          <w:color w:val="0070AE" w:themeColor="accent2" w:themeTint="BF"/>
        </w:rPr>
        <w:t xml:space="preserve"> </w:t>
      </w:r>
    </w:p>
    <w:p w14:paraId="75E572A3" w14:textId="47704926" w:rsidR="00517B21" w:rsidRDefault="004D17FA" w:rsidP="00DC3A77">
      <w:pPr>
        <w:spacing w:after="0"/>
        <w:textAlignment w:val="baseline"/>
        <w:rPr>
          <w:rFonts w:eastAsia="Times New Roman" w:cs="Arial"/>
          <w:szCs w:val="20"/>
          <w:lang w:eastAsia="en-AU"/>
        </w:rPr>
      </w:pPr>
      <w:r>
        <w:rPr>
          <w:rFonts w:eastAsia="Times New Roman" w:cs="Arial"/>
          <w:szCs w:val="20"/>
          <w:lang w:eastAsia="en-AU"/>
        </w:rPr>
        <w:t xml:space="preserve">The ERAC </w:t>
      </w:r>
      <w:r w:rsidR="00C32845">
        <w:rPr>
          <w:rFonts w:eastAsia="Times New Roman" w:cs="Arial"/>
          <w:szCs w:val="20"/>
          <w:lang w:eastAsia="en-AU"/>
        </w:rPr>
        <w:t xml:space="preserve">is an independent </w:t>
      </w:r>
      <w:r w:rsidRPr="00443D52">
        <w:rPr>
          <w:rFonts w:eastAsia="Times New Roman" w:cs="Arial"/>
          <w:szCs w:val="20"/>
          <w:lang w:eastAsia="en-AU"/>
        </w:rPr>
        <w:t>body established under the</w:t>
      </w:r>
      <w:r w:rsidR="00DA733B">
        <w:rPr>
          <w:rFonts w:eastAsia="Times New Roman" w:cs="Arial"/>
          <w:szCs w:val="20"/>
          <w:lang w:eastAsia="en-AU"/>
        </w:rPr>
        <w:t xml:space="preserve"> </w:t>
      </w:r>
      <w:r w:rsidR="00DA733B" w:rsidRPr="003C59C1">
        <w:rPr>
          <w:rFonts w:eastAsia="Times New Roman" w:cs="Arial"/>
          <w:szCs w:val="20"/>
          <w:lang w:eastAsia="en-AU"/>
        </w:rPr>
        <w:t>CFI</w:t>
      </w:r>
      <w:r w:rsidRPr="003C59C1">
        <w:rPr>
          <w:rFonts w:eastAsia="Times New Roman" w:cs="Arial"/>
          <w:szCs w:val="20"/>
          <w:lang w:eastAsia="en-AU"/>
        </w:rPr>
        <w:t xml:space="preserve"> Act</w:t>
      </w:r>
      <w:r w:rsidRPr="003C59C1">
        <w:rPr>
          <w:rFonts w:eastAsia="Times New Roman" w:cs="Arial"/>
          <w:iCs/>
          <w:szCs w:val="20"/>
          <w:lang w:eastAsia="en-AU"/>
        </w:rPr>
        <w:t xml:space="preserve"> </w:t>
      </w:r>
      <w:r w:rsidRPr="003C59C1">
        <w:rPr>
          <w:rFonts w:eastAsia="Times New Roman" w:cs="Arial"/>
          <w:szCs w:val="20"/>
          <w:lang w:eastAsia="en-AU"/>
        </w:rPr>
        <w:t>(</w:t>
      </w:r>
      <w:r>
        <w:rPr>
          <w:rFonts w:eastAsia="Times New Roman" w:cs="Arial"/>
          <w:szCs w:val="20"/>
          <w:lang w:eastAsia="en-AU"/>
        </w:rPr>
        <w:t xml:space="preserve">s 254). </w:t>
      </w:r>
      <w:r w:rsidR="00C32845">
        <w:rPr>
          <w:rFonts w:eastAsia="Times New Roman" w:cs="Arial"/>
          <w:szCs w:val="20"/>
          <w:lang w:eastAsia="en-AU"/>
        </w:rPr>
        <w:t>It</w:t>
      </w:r>
      <w:r>
        <w:rPr>
          <w:rFonts w:eastAsia="Times New Roman" w:cs="Arial"/>
          <w:szCs w:val="20"/>
          <w:lang w:eastAsia="en-AU"/>
        </w:rPr>
        <w:t xml:space="preserve"> </w:t>
      </w:r>
      <w:r w:rsidRPr="00443D52">
        <w:rPr>
          <w:rFonts w:eastAsia="Times New Roman" w:cs="Arial"/>
          <w:szCs w:val="20"/>
          <w:lang w:eastAsia="en-AU"/>
        </w:rPr>
        <w:t>ensu</w:t>
      </w:r>
      <w:r>
        <w:rPr>
          <w:rFonts w:eastAsia="Times New Roman" w:cs="Arial"/>
          <w:szCs w:val="20"/>
          <w:lang w:eastAsia="en-AU"/>
        </w:rPr>
        <w:t>res</w:t>
      </w:r>
      <w:r w:rsidRPr="00443D52">
        <w:rPr>
          <w:rFonts w:eastAsia="Times New Roman" w:cs="Arial"/>
          <w:szCs w:val="20"/>
          <w:lang w:eastAsia="en-AU"/>
        </w:rPr>
        <w:t xml:space="preserve"> that</w:t>
      </w:r>
      <w:r w:rsidR="00DA733B">
        <w:rPr>
          <w:rFonts w:eastAsia="Times New Roman" w:cs="Arial"/>
          <w:szCs w:val="20"/>
          <w:lang w:eastAsia="en-AU"/>
        </w:rPr>
        <w:t xml:space="preserve"> proposed and existing</w:t>
      </w:r>
      <w:r w:rsidRPr="00443D52">
        <w:rPr>
          <w:rFonts w:eastAsia="Times New Roman" w:cs="Arial"/>
          <w:szCs w:val="20"/>
          <w:lang w:eastAsia="en-AU"/>
        </w:rPr>
        <w:t xml:space="preserve"> methods adhere to the Offsets Integrity Standards</w:t>
      </w:r>
      <w:r w:rsidR="00667469">
        <w:rPr>
          <w:rFonts w:eastAsia="Times New Roman" w:cs="Arial"/>
          <w:szCs w:val="20"/>
          <w:lang w:eastAsia="en-AU"/>
        </w:rPr>
        <w:t xml:space="preserve">. </w:t>
      </w:r>
      <w:r>
        <w:rPr>
          <w:rFonts w:eastAsia="Times New Roman" w:cs="Arial"/>
          <w:szCs w:val="20"/>
          <w:lang w:eastAsia="en-AU"/>
        </w:rPr>
        <w:t xml:space="preserve">It therefore plays a key </w:t>
      </w:r>
      <w:r w:rsidR="00DA733B">
        <w:rPr>
          <w:rFonts w:eastAsia="Times New Roman" w:cs="Arial"/>
          <w:szCs w:val="20"/>
          <w:lang w:eastAsia="en-AU"/>
        </w:rPr>
        <w:t xml:space="preserve">and ongoing </w:t>
      </w:r>
      <w:r>
        <w:rPr>
          <w:rFonts w:eastAsia="Times New Roman" w:cs="Arial"/>
          <w:szCs w:val="20"/>
          <w:lang w:eastAsia="en-AU"/>
        </w:rPr>
        <w:t xml:space="preserve">role in </w:t>
      </w:r>
      <w:r w:rsidRPr="00443D52">
        <w:rPr>
          <w:rFonts w:eastAsia="Times New Roman" w:cs="Arial"/>
          <w:szCs w:val="20"/>
          <w:lang w:eastAsia="en-AU"/>
        </w:rPr>
        <w:t>protecti</w:t>
      </w:r>
      <w:r>
        <w:rPr>
          <w:rFonts w:eastAsia="Times New Roman" w:cs="Arial"/>
          <w:szCs w:val="20"/>
          <w:lang w:eastAsia="en-AU"/>
        </w:rPr>
        <w:t xml:space="preserve">ng the integrity of the ERF </w:t>
      </w:r>
      <w:r w:rsidRPr="00443D52">
        <w:rPr>
          <w:rFonts w:eastAsia="Times New Roman" w:cs="Arial"/>
          <w:szCs w:val="20"/>
          <w:lang w:eastAsia="en-AU"/>
        </w:rPr>
        <w:t>(</w:t>
      </w:r>
      <w:r w:rsidRPr="00870FC1">
        <w:rPr>
          <w:rFonts w:eastAsia="Times New Roman" w:cs="Arial"/>
          <w:szCs w:val="20"/>
          <w:lang w:eastAsia="en-AU"/>
        </w:rPr>
        <w:t>ERAC 2019</w:t>
      </w:r>
      <w:r w:rsidR="00F14191" w:rsidRPr="00A34917">
        <w:rPr>
          <w:rFonts w:eastAsia="Times New Roman" w:cs="Arial"/>
          <w:szCs w:val="20"/>
          <w:lang w:eastAsia="en-AU"/>
        </w:rPr>
        <w:t>a</w:t>
      </w:r>
      <w:r w:rsidRPr="00443D52">
        <w:rPr>
          <w:rFonts w:eastAsia="Times New Roman" w:cs="Arial"/>
          <w:szCs w:val="20"/>
          <w:lang w:eastAsia="en-AU"/>
        </w:rPr>
        <w:t>)</w:t>
      </w:r>
      <w:r>
        <w:rPr>
          <w:rFonts w:eastAsia="Times New Roman" w:cs="Arial"/>
          <w:szCs w:val="20"/>
          <w:lang w:eastAsia="en-AU"/>
        </w:rPr>
        <w:t>.</w:t>
      </w:r>
      <w:r w:rsidR="00A75C76" w:rsidRPr="00A75C76">
        <w:rPr>
          <w:rFonts w:eastAsia="Times New Roman" w:cs="Arial"/>
          <w:szCs w:val="20"/>
          <w:lang w:eastAsia="en-AU"/>
        </w:rPr>
        <w:t xml:space="preserve"> </w:t>
      </w:r>
      <w:r w:rsidR="00A75C76" w:rsidRPr="00443D52">
        <w:rPr>
          <w:rFonts w:eastAsia="Times New Roman" w:cs="Arial"/>
          <w:szCs w:val="20"/>
          <w:lang w:eastAsia="en-AU"/>
        </w:rPr>
        <w:t>The Department</w:t>
      </w:r>
      <w:r w:rsidR="00A75C76">
        <w:rPr>
          <w:rFonts w:eastAsia="Times New Roman" w:cs="Arial"/>
          <w:szCs w:val="20"/>
          <w:lang w:eastAsia="en-AU"/>
        </w:rPr>
        <w:t xml:space="preserve"> and the Regulator may also</w:t>
      </w:r>
      <w:r w:rsidR="00A75C76" w:rsidRPr="00443D52">
        <w:rPr>
          <w:rFonts w:eastAsia="Times New Roman" w:cs="Arial"/>
          <w:szCs w:val="20"/>
          <w:lang w:eastAsia="en-AU"/>
        </w:rPr>
        <w:t xml:space="preserve"> provide information, advice, secretariat </w:t>
      </w:r>
      <w:r w:rsidR="00A75C76">
        <w:rPr>
          <w:rFonts w:eastAsia="Times New Roman" w:cs="Arial"/>
          <w:szCs w:val="20"/>
          <w:lang w:eastAsia="en-AU"/>
        </w:rPr>
        <w:t>and other</w:t>
      </w:r>
      <w:r w:rsidR="00A75C76" w:rsidRPr="00443D52">
        <w:rPr>
          <w:rFonts w:eastAsia="Times New Roman" w:cs="Arial"/>
          <w:szCs w:val="20"/>
          <w:lang w:eastAsia="en-AU"/>
        </w:rPr>
        <w:t xml:space="preserve"> support to the </w:t>
      </w:r>
      <w:r w:rsidR="00A75C76">
        <w:rPr>
          <w:rFonts w:eastAsia="Times New Roman" w:cs="Arial"/>
          <w:szCs w:val="20"/>
          <w:lang w:eastAsia="en-AU"/>
        </w:rPr>
        <w:t xml:space="preserve">ERAC for method reviews </w:t>
      </w:r>
      <w:r w:rsidR="00A75C76" w:rsidRPr="00443D52">
        <w:rPr>
          <w:rFonts w:eastAsia="Times New Roman" w:cs="Arial"/>
          <w:szCs w:val="20"/>
          <w:lang w:eastAsia="en-AU"/>
        </w:rPr>
        <w:t>(</w:t>
      </w:r>
      <w:r w:rsidR="00A75C76">
        <w:rPr>
          <w:rFonts w:eastAsia="Times New Roman" w:cs="Arial"/>
          <w:szCs w:val="20"/>
          <w:lang w:eastAsia="en-AU"/>
        </w:rPr>
        <w:t>s 269)</w:t>
      </w:r>
      <w:r w:rsidR="00A75C76" w:rsidRPr="00443D52">
        <w:rPr>
          <w:rFonts w:eastAsia="Times New Roman" w:cs="Arial"/>
          <w:szCs w:val="20"/>
          <w:lang w:eastAsia="en-AU"/>
        </w:rPr>
        <w:t>. </w:t>
      </w:r>
      <w:r w:rsidR="00A75C76" w:rsidRPr="00443D52">
        <w:rPr>
          <w:rFonts w:eastAsia="Times New Roman" w:cs="Arial"/>
          <w:szCs w:val="20"/>
          <w:lang w:val="en-US" w:eastAsia="en-AU"/>
        </w:rPr>
        <w:t> </w:t>
      </w:r>
    </w:p>
    <w:p w14:paraId="7BDB5260" w14:textId="77777777" w:rsidR="00517B21" w:rsidRDefault="00517B21" w:rsidP="00DC3A77">
      <w:pPr>
        <w:spacing w:after="0"/>
        <w:textAlignment w:val="baseline"/>
        <w:rPr>
          <w:rFonts w:eastAsia="Times New Roman" w:cs="Arial"/>
          <w:szCs w:val="20"/>
          <w:lang w:eastAsia="en-AU"/>
        </w:rPr>
      </w:pPr>
    </w:p>
    <w:p w14:paraId="33BB4443" w14:textId="0A44D45C" w:rsidR="00DF56EC" w:rsidRPr="00737153" w:rsidRDefault="004D17FA" w:rsidP="00DC3A77">
      <w:pPr>
        <w:spacing w:after="0"/>
        <w:textAlignment w:val="baseline"/>
        <w:rPr>
          <w:rFonts w:eastAsia="Times New Roman" w:cs="Arial"/>
          <w:szCs w:val="20"/>
          <w:lang w:eastAsia="en-AU"/>
        </w:rPr>
      </w:pPr>
      <w:r>
        <w:rPr>
          <w:rFonts w:eastAsia="Times New Roman" w:cs="Arial"/>
          <w:szCs w:val="20"/>
          <w:lang w:eastAsia="en-AU"/>
        </w:rPr>
        <w:t>The</w:t>
      </w:r>
      <w:r w:rsidRPr="00443D52">
        <w:rPr>
          <w:rFonts w:eastAsia="Times New Roman" w:cs="Arial"/>
          <w:szCs w:val="20"/>
          <w:lang w:eastAsia="en-AU"/>
        </w:rPr>
        <w:t xml:space="preserve"> Minister can</w:t>
      </w:r>
      <w:r>
        <w:rPr>
          <w:rFonts w:eastAsia="Times New Roman" w:cs="Arial"/>
          <w:szCs w:val="20"/>
          <w:lang w:eastAsia="en-AU"/>
        </w:rPr>
        <w:t xml:space="preserve"> only approve a proposed method </w:t>
      </w:r>
      <w:r w:rsidRPr="00443D52">
        <w:rPr>
          <w:rFonts w:eastAsia="Times New Roman" w:cs="Arial"/>
          <w:szCs w:val="20"/>
          <w:lang w:eastAsia="en-AU"/>
        </w:rPr>
        <w:t xml:space="preserve">if the </w:t>
      </w:r>
      <w:r>
        <w:rPr>
          <w:rFonts w:eastAsia="Times New Roman" w:cs="Arial"/>
          <w:szCs w:val="20"/>
          <w:lang w:eastAsia="en-AU"/>
        </w:rPr>
        <w:t>ERAC</w:t>
      </w:r>
      <w:r w:rsidRPr="00443D52">
        <w:rPr>
          <w:rFonts w:eastAsia="Times New Roman" w:cs="Arial"/>
          <w:szCs w:val="20"/>
          <w:lang w:eastAsia="en-AU"/>
        </w:rPr>
        <w:t xml:space="preserve"> determines that it adheres to the Offsets </w:t>
      </w:r>
      <w:r w:rsidRPr="004D17FA">
        <w:rPr>
          <w:rFonts w:eastAsia="Times New Roman" w:cs="Arial"/>
          <w:szCs w:val="20"/>
          <w:lang w:eastAsia="en-AU"/>
        </w:rPr>
        <w:t>Integrity Standards</w:t>
      </w:r>
      <w:r>
        <w:rPr>
          <w:rFonts w:eastAsia="Times New Roman" w:cs="Arial"/>
          <w:szCs w:val="20"/>
          <w:lang w:eastAsia="en-AU"/>
        </w:rPr>
        <w:t xml:space="preserve"> (</w:t>
      </w:r>
      <w:r w:rsidRPr="00B23A2B">
        <w:rPr>
          <w:rFonts w:eastAsia="Times New Roman" w:cs="Arial"/>
          <w:szCs w:val="20"/>
          <w:lang w:eastAsia="en-AU"/>
        </w:rPr>
        <w:t xml:space="preserve">s </w:t>
      </w:r>
      <w:r w:rsidR="00C82C7C" w:rsidRPr="00B23A2B">
        <w:rPr>
          <w:rFonts w:eastAsia="Times New Roman" w:cs="Arial"/>
          <w:szCs w:val="20"/>
          <w:lang w:eastAsia="en-AU"/>
        </w:rPr>
        <w:t>106(4B)</w:t>
      </w:r>
      <w:r>
        <w:rPr>
          <w:rFonts w:eastAsia="Times New Roman" w:cs="Arial"/>
          <w:szCs w:val="20"/>
          <w:lang w:eastAsia="en-AU"/>
        </w:rPr>
        <w:t>).</w:t>
      </w:r>
      <w:r w:rsidRPr="00443D52">
        <w:rPr>
          <w:rFonts w:eastAsia="Times New Roman" w:cs="Arial"/>
          <w:szCs w:val="20"/>
          <w:lang w:eastAsia="en-AU"/>
        </w:rPr>
        <w:t xml:space="preserve"> </w:t>
      </w:r>
      <w:r>
        <w:rPr>
          <w:rFonts w:eastAsia="Times New Roman" w:cs="Arial"/>
          <w:szCs w:val="20"/>
          <w:lang w:eastAsia="en-AU"/>
        </w:rPr>
        <w:t xml:space="preserve">In </w:t>
      </w:r>
      <w:r w:rsidR="00BE4539">
        <w:rPr>
          <w:rFonts w:eastAsia="Times New Roman" w:cs="Arial"/>
          <w:szCs w:val="20"/>
          <w:lang w:eastAsia="en-AU"/>
        </w:rPr>
        <w:t>undertaking method</w:t>
      </w:r>
      <w:r w:rsidR="00DA733B">
        <w:rPr>
          <w:rFonts w:eastAsia="Times New Roman" w:cs="Arial"/>
          <w:szCs w:val="20"/>
          <w:lang w:eastAsia="en-AU"/>
        </w:rPr>
        <w:t xml:space="preserve"> review</w:t>
      </w:r>
      <w:r w:rsidR="00BE4539">
        <w:rPr>
          <w:rFonts w:eastAsia="Times New Roman" w:cs="Arial"/>
          <w:szCs w:val="20"/>
          <w:lang w:eastAsia="en-AU"/>
        </w:rPr>
        <w:t>s</w:t>
      </w:r>
      <w:r w:rsidR="0081519E">
        <w:rPr>
          <w:rFonts w:eastAsia="Times New Roman" w:cs="Arial"/>
          <w:szCs w:val="20"/>
          <w:lang w:eastAsia="en-AU"/>
        </w:rPr>
        <w:t>, if</w:t>
      </w:r>
      <w:r w:rsidRPr="00443D52">
        <w:rPr>
          <w:rFonts w:eastAsia="Times New Roman" w:cs="Arial"/>
          <w:szCs w:val="20"/>
          <w:lang w:eastAsia="en-AU"/>
        </w:rPr>
        <w:t xml:space="preserve"> there is reasonable evidence to suggest that a method no longer complies with the Offsets In</w:t>
      </w:r>
      <w:r>
        <w:rPr>
          <w:rFonts w:eastAsia="Times New Roman" w:cs="Arial"/>
          <w:szCs w:val="20"/>
          <w:lang w:eastAsia="en-AU"/>
        </w:rPr>
        <w:t>tegrity Standards, the ERAC</w:t>
      </w:r>
      <w:r w:rsidR="00DA733B">
        <w:rPr>
          <w:rFonts w:eastAsia="Times New Roman" w:cs="Arial"/>
          <w:szCs w:val="20"/>
          <w:lang w:eastAsia="en-AU"/>
        </w:rPr>
        <w:t xml:space="preserve"> may suspend that method</w:t>
      </w:r>
      <w:r w:rsidRPr="00443D52">
        <w:rPr>
          <w:rFonts w:eastAsia="Times New Roman" w:cs="Arial"/>
          <w:szCs w:val="20"/>
          <w:lang w:eastAsia="en-AU"/>
        </w:rPr>
        <w:t xml:space="preserve"> for up to 12 months, during which time new projects cannot be approved (</w:t>
      </w:r>
      <w:r>
        <w:rPr>
          <w:rFonts w:eastAsia="Times New Roman" w:cs="Arial"/>
          <w:szCs w:val="20"/>
          <w:lang w:eastAsia="en-AU"/>
        </w:rPr>
        <w:t>s 27A</w:t>
      </w:r>
      <w:r w:rsidRPr="00443D52">
        <w:rPr>
          <w:rFonts w:eastAsia="Times New Roman" w:cs="Arial"/>
          <w:szCs w:val="20"/>
          <w:lang w:eastAsia="en-AU"/>
        </w:rPr>
        <w:t xml:space="preserve">). </w:t>
      </w:r>
      <w:r w:rsidR="001E062C">
        <w:rPr>
          <w:rFonts w:eastAsia="Times New Roman" w:cs="Arial"/>
          <w:szCs w:val="20"/>
          <w:lang w:eastAsia="en-AU"/>
        </w:rPr>
        <w:t>The ERAC carries out two types of method review under the scheme:</w:t>
      </w:r>
      <w:r>
        <w:rPr>
          <w:rFonts w:eastAsia="Times New Roman" w:cs="Arial"/>
          <w:szCs w:val="20"/>
          <w:lang w:eastAsia="en-AU"/>
        </w:rPr>
        <w:t xml:space="preserve"> periodic method review</w:t>
      </w:r>
      <w:r w:rsidR="001E062C">
        <w:rPr>
          <w:rFonts w:eastAsia="Times New Roman" w:cs="Arial"/>
          <w:szCs w:val="20"/>
          <w:lang w:eastAsia="en-AU"/>
        </w:rPr>
        <w:t>s</w:t>
      </w:r>
      <w:r>
        <w:rPr>
          <w:rFonts w:eastAsia="Times New Roman" w:cs="Arial"/>
          <w:szCs w:val="20"/>
          <w:lang w:eastAsia="en-AU"/>
        </w:rPr>
        <w:t xml:space="preserve"> and credi</w:t>
      </w:r>
      <w:r w:rsidR="00737153">
        <w:rPr>
          <w:rFonts w:eastAsia="Times New Roman" w:cs="Arial"/>
          <w:szCs w:val="20"/>
          <w:lang w:eastAsia="en-AU"/>
        </w:rPr>
        <w:t xml:space="preserve">ting period extension reviews. </w:t>
      </w:r>
      <w:r w:rsidR="00940B49">
        <w:rPr>
          <w:rFonts w:cs="Arial"/>
          <w:szCs w:val="20"/>
        </w:rPr>
        <w:t>In addition to method reviews, the ERAC provides advice to the Minister on new methods, and on variations to or revocations of existing methods</w:t>
      </w:r>
      <w:r w:rsidR="00940B49" w:rsidRPr="18ED2FFD">
        <w:rPr>
          <w:rFonts w:cs="Arial"/>
          <w:szCs w:val="20"/>
        </w:rPr>
        <w:t xml:space="preserve"> (</w:t>
      </w:r>
      <w:r w:rsidR="00940B49" w:rsidRPr="00B23A2B">
        <w:rPr>
          <w:rFonts w:cs="Arial"/>
          <w:szCs w:val="20"/>
        </w:rPr>
        <w:t>s 123A</w:t>
      </w:r>
      <w:r w:rsidR="00940B49" w:rsidRPr="18ED2FFD">
        <w:rPr>
          <w:rFonts w:cs="Arial"/>
          <w:szCs w:val="20"/>
        </w:rPr>
        <w:t>).</w:t>
      </w:r>
    </w:p>
    <w:p w14:paraId="7E7BEF6D" w14:textId="6C2DC70D" w:rsidR="00136AAA" w:rsidRDefault="00136AAA" w:rsidP="00782EDE">
      <w:pPr>
        <w:spacing w:after="0" w:line="240" w:lineRule="auto"/>
        <w:textAlignment w:val="baseline"/>
        <w:rPr>
          <w:rFonts w:eastAsia="Times New Roman" w:cs="Arial"/>
          <w:szCs w:val="20"/>
          <w:lang w:eastAsia="en-AU"/>
        </w:rPr>
      </w:pPr>
    </w:p>
    <w:p w14:paraId="700B7482" w14:textId="0DDC8796" w:rsidR="00136AAA" w:rsidRPr="007D697F" w:rsidRDefault="00136AAA" w:rsidP="00136AAA">
      <w:pPr>
        <w:pStyle w:val="Heading3"/>
        <w:rPr>
          <w:i/>
          <w:color w:val="0070AE" w:themeColor="accent2" w:themeTint="BF"/>
        </w:rPr>
      </w:pPr>
      <w:r w:rsidRPr="007D697F">
        <w:rPr>
          <w:i/>
          <w:color w:val="0070AE" w:themeColor="accent2" w:themeTint="BF"/>
        </w:rPr>
        <w:t xml:space="preserve">Resourcing the ERAC </w:t>
      </w:r>
    </w:p>
    <w:p w14:paraId="33983424" w14:textId="33FA6276" w:rsidR="00A64795" w:rsidRDefault="00A64795" w:rsidP="00DC3A77">
      <w:pPr>
        <w:contextualSpacing/>
        <w:rPr>
          <w:rFonts w:eastAsia="Times New Roman" w:cs="Arial"/>
          <w:szCs w:val="20"/>
          <w:lang w:eastAsia="en-AU"/>
        </w:rPr>
      </w:pPr>
      <w:r>
        <w:rPr>
          <w:rFonts w:eastAsia="Times New Roman" w:cs="Arial"/>
          <w:szCs w:val="20"/>
          <w:lang w:eastAsia="en-AU"/>
        </w:rPr>
        <w:t xml:space="preserve">Under the </w:t>
      </w:r>
      <w:r w:rsidRPr="003C59C1">
        <w:rPr>
          <w:rFonts w:eastAsia="Times New Roman" w:cs="Arial"/>
          <w:szCs w:val="20"/>
          <w:lang w:eastAsia="en-AU"/>
        </w:rPr>
        <w:t>CFI Act</w:t>
      </w:r>
      <w:r>
        <w:rPr>
          <w:rFonts w:eastAsia="Times New Roman" w:cs="Arial"/>
          <w:i/>
          <w:szCs w:val="20"/>
          <w:lang w:eastAsia="en-AU"/>
        </w:rPr>
        <w:t xml:space="preserve">, </w:t>
      </w:r>
      <w:r>
        <w:rPr>
          <w:rFonts w:eastAsia="Times New Roman" w:cs="Arial"/>
          <w:szCs w:val="20"/>
          <w:lang w:eastAsia="en-AU"/>
        </w:rPr>
        <w:t xml:space="preserve">the </w:t>
      </w:r>
      <w:r w:rsidR="00787481">
        <w:rPr>
          <w:rFonts w:eastAsia="Times New Roman" w:cs="Arial"/>
          <w:szCs w:val="20"/>
          <w:lang w:eastAsia="en-AU"/>
        </w:rPr>
        <w:t>ERAC</w:t>
      </w:r>
      <w:r w:rsidR="0081519E">
        <w:rPr>
          <w:rFonts w:eastAsia="Times New Roman" w:cs="Arial"/>
          <w:szCs w:val="20"/>
          <w:lang w:eastAsia="en-AU"/>
        </w:rPr>
        <w:t xml:space="preserve"> may be</w:t>
      </w:r>
      <w:r w:rsidR="00745ED1" w:rsidRPr="00443D52">
        <w:rPr>
          <w:rFonts w:eastAsia="Times New Roman" w:cs="Arial"/>
          <w:szCs w:val="20"/>
          <w:lang w:eastAsia="en-AU"/>
        </w:rPr>
        <w:t xml:space="preserve"> assisted by </w:t>
      </w:r>
      <w:r w:rsidR="00B81E9D">
        <w:rPr>
          <w:rFonts w:eastAsia="Times New Roman" w:cs="Arial"/>
          <w:szCs w:val="20"/>
          <w:lang w:eastAsia="en-AU"/>
        </w:rPr>
        <w:t xml:space="preserve">both </w:t>
      </w:r>
      <w:r w:rsidR="00745ED1" w:rsidRPr="00443D52">
        <w:rPr>
          <w:rFonts w:eastAsia="Times New Roman" w:cs="Arial"/>
          <w:szCs w:val="20"/>
          <w:lang w:eastAsia="en-AU"/>
        </w:rPr>
        <w:t xml:space="preserve">the Department and </w:t>
      </w:r>
      <w:r w:rsidR="003356D4">
        <w:rPr>
          <w:rFonts w:eastAsia="Times New Roman" w:cs="Arial"/>
          <w:szCs w:val="20"/>
          <w:lang w:eastAsia="en-AU"/>
        </w:rPr>
        <w:t xml:space="preserve">the </w:t>
      </w:r>
      <w:r w:rsidR="00745ED1" w:rsidRPr="00443D52">
        <w:rPr>
          <w:rFonts w:eastAsia="Times New Roman" w:cs="Arial"/>
          <w:szCs w:val="20"/>
          <w:lang w:eastAsia="en-AU"/>
        </w:rPr>
        <w:t>Regulator</w:t>
      </w:r>
      <w:r w:rsidR="0081519E">
        <w:rPr>
          <w:rFonts w:eastAsia="Times New Roman" w:cs="Arial"/>
          <w:szCs w:val="20"/>
          <w:lang w:eastAsia="en-AU"/>
        </w:rPr>
        <w:t xml:space="preserve"> in</w:t>
      </w:r>
      <w:r w:rsidR="00E358A9">
        <w:rPr>
          <w:rFonts w:eastAsia="Times New Roman" w:cs="Arial"/>
          <w:szCs w:val="20"/>
          <w:lang w:eastAsia="en-AU"/>
        </w:rPr>
        <w:t xml:space="preserve"> </w:t>
      </w:r>
      <w:r w:rsidR="0081519E">
        <w:rPr>
          <w:rFonts w:eastAsia="Times New Roman" w:cs="Arial"/>
          <w:szCs w:val="20"/>
          <w:lang w:eastAsia="en-AU"/>
        </w:rPr>
        <w:t>revi</w:t>
      </w:r>
      <w:r w:rsidR="00E358A9">
        <w:rPr>
          <w:rFonts w:eastAsia="Times New Roman" w:cs="Arial"/>
          <w:szCs w:val="20"/>
          <w:lang w:eastAsia="en-AU"/>
        </w:rPr>
        <w:t>ewing</w:t>
      </w:r>
      <w:r w:rsidR="00657AAB">
        <w:rPr>
          <w:rFonts w:eastAsia="Times New Roman" w:cs="Arial"/>
          <w:szCs w:val="20"/>
          <w:lang w:eastAsia="en-AU"/>
        </w:rPr>
        <w:t xml:space="preserve"> a method. This assistance</w:t>
      </w:r>
      <w:r>
        <w:rPr>
          <w:rFonts w:eastAsia="Times New Roman" w:cs="Arial"/>
          <w:szCs w:val="20"/>
          <w:lang w:eastAsia="en-AU"/>
        </w:rPr>
        <w:t xml:space="preserve"> can</w:t>
      </w:r>
      <w:r w:rsidR="001B1198">
        <w:rPr>
          <w:rFonts w:eastAsia="Times New Roman" w:cs="Arial"/>
          <w:szCs w:val="20"/>
          <w:lang w:eastAsia="en-AU"/>
        </w:rPr>
        <w:t xml:space="preserve"> take the form of</w:t>
      </w:r>
      <w:r w:rsidR="0081519E">
        <w:rPr>
          <w:rFonts w:eastAsia="Times New Roman" w:cs="Arial"/>
          <w:szCs w:val="20"/>
          <w:lang w:eastAsia="en-AU"/>
        </w:rPr>
        <w:t xml:space="preserve"> information, advice, secretariat and related support </w:t>
      </w:r>
      <w:r w:rsidR="001B1198">
        <w:rPr>
          <w:rFonts w:eastAsia="Times New Roman" w:cs="Arial"/>
          <w:szCs w:val="20"/>
          <w:lang w:eastAsia="en-AU"/>
        </w:rPr>
        <w:t>(</w:t>
      </w:r>
      <w:r w:rsidR="0081519E" w:rsidRPr="00B23A2B">
        <w:rPr>
          <w:rFonts w:eastAsia="Times New Roman" w:cs="Arial"/>
          <w:szCs w:val="20"/>
          <w:lang w:eastAsia="en-AU"/>
        </w:rPr>
        <w:t>s</w:t>
      </w:r>
      <w:r w:rsidR="00913F14">
        <w:rPr>
          <w:rFonts w:eastAsia="Times New Roman" w:cs="Arial"/>
          <w:szCs w:val="20"/>
          <w:lang w:eastAsia="en-AU"/>
        </w:rPr>
        <w:t> </w:t>
      </w:r>
      <w:r w:rsidR="0081519E" w:rsidRPr="00B23A2B">
        <w:rPr>
          <w:rFonts w:eastAsia="Times New Roman" w:cs="Arial"/>
          <w:szCs w:val="20"/>
          <w:lang w:eastAsia="en-AU"/>
        </w:rPr>
        <w:t xml:space="preserve"> 269</w:t>
      </w:r>
      <w:r w:rsidR="0081519E">
        <w:rPr>
          <w:rFonts w:eastAsia="Times New Roman" w:cs="Arial"/>
          <w:szCs w:val="20"/>
          <w:lang w:eastAsia="en-AU"/>
        </w:rPr>
        <w:t>)</w:t>
      </w:r>
      <w:r w:rsidR="0081519E" w:rsidRPr="00443D52">
        <w:rPr>
          <w:rFonts w:eastAsia="Times New Roman" w:cs="Arial"/>
          <w:szCs w:val="20"/>
          <w:lang w:eastAsia="en-AU"/>
        </w:rPr>
        <w:t>.</w:t>
      </w:r>
      <w:r w:rsidR="001B1198">
        <w:rPr>
          <w:rFonts w:eastAsia="Times New Roman" w:cs="Arial"/>
          <w:szCs w:val="20"/>
          <w:lang w:eastAsia="en-AU"/>
        </w:rPr>
        <w:t xml:space="preserve"> </w:t>
      </w:r>
      <w:r w:rsidR="00B5306B">
        <w:rPr>
          <w:rFonts w:eastAsia="Times New Roman" w:cs="Arial"/>
          <w:szCs w:val="20"/>
          <w:lang w:eastAsia="en-AU"/>
        </w:rPr>
        <w:t>Prior to the Government</w:t>
      </w:r>
      <w:r w:rsidR="005B6AE0">
        <w:rPr>
          <w:rFonts w:eastAsia="Times New Roman" w:cs="Arial"/>
          <w:szCs w:val="20"/>
          <w:lang w:eastAsia="en-AU"/>
        </w:rPr>
        <w:t>’</w:t>
      </w:r>
      <w:r w:rsidR="00B5306B">
        <w:rPr>
          <w:rFonts w:eastAsia="Times New Roman" w:cs="Arial"/>
          <w:szCs w:val="20"/>
          <w:lang w:eastAsia="en-AU"/>
        </w:rPr>
        <w:t>s recent announcement to transfer the ERAC secretariat functions to the Regulator, t</w:t>
      </w:r>
      <w:r w:rsidR="001B1198">
        <w:rPr>
          <w:rFonts w:eastAsia="Times New Roman" w:cs="Arial"/>
          <w:szCs w:val="20"/>
          <w:lang w:eastAsia="en-AU"/>
        </w:rPr>
        <w:t>he Department</w:t>
      </w:r>
      <w:r w:rsidR="00A62DF9">
        <w:rPr>
          <w:rFonts w:eastAsia="Times New Roman" w:cs="Arial"/>
          <w:szCs w:val="20"/>
          <w:lang w:eastAsia="en-AU"/>
        </w:rPr>
        <w:t xml:space="preserve"> </w:t>
      </w:r>
      <w:r w:rsidR="00CC7B7A">
        <w:rPr>
          <w:rFonts w:eastAsia="Times New Roman" w:cs="Arial"/>
          <w:szCs w:val="20"/>
          <w:lang w:eastAsia="en-AU"/>
        </w:rPr>
        <w:t>ha</w:t>
      </w:r>
      <w:r w:rsidR="00B5306B">
        <w:rPr>
          <w:rFonts w:eastAsia="Times New Roman" w:cs="Arial"/>
          <w:szCs w:val="20"/>
          <w:lang w:eastAsia="en-AU"/>
        </w:rPr>
        <w:t>d</w:t>
      </w:r>
      <w:r w:rsidR="00CC7B7A">
        <w:rPr>
          <w:rFonts w:eastAsia="Times New Roman" w:cs="Arial"/>
          <w:szCs w:val="20"/>
          <w:lang w:eastAsia="en-AU"/>
        </w:rPr>
        <w:t xml:space="preserve"> been providing</w:t>
      </w:r>
      <w:r w:rsidR="00A62DF9">
        <w:rPr>
          <w:rFonts w:eastAsia="Times New Roman" w:cs="Arial"/>
          <w:szCs w:val="20"/>
          <w:lang w:eastAsia="en-AU"/>
        </w:rPr>
        <w:t xml:space="preserve"> secretariat </w:t>
      </w:r>
      <w:r w:rsidR="00CC7B7A">
        <w:rPr>
          <w:rFonts w:eastAsia="Times New Roman" w:cs="Arial"/>
          <w:szCs w:val="20"/>
          <w:lang w:eastAsia="en-AU"/>
        </w:rPr>
        <w:t>servi</w:t>
      </w:r>
      <w:r w:rsidR="00A62DF9">
        <w:rPr>
          <w:rFonts w:eastAsia="Times New Roman" w:cs="Arial"/>
          <w:szCs w:val="20"/>
          <w:lang w:eastAsia="en-AU"/>
        </w:rPr>
        <w:t>ces to the ERAC</w:t>
      </w:r>
      <w:r w:rsidR="00B5306B">
        <w:rPr>
          <w:rFonts w:eastAsia="Times New Roman" w:cs="Arial"/>
          <w:szCs w:val="20"/>
          <w:lang w:eastAsia="en-AU"/>
        </w:rPr>
        <w:t xml:space="preserve">. </w:t>
      </w:r>
    </w:p>
    <w:p w14:paraId="3802F95D" w14:textId="77777777" w:rsidR="0081519E" w:rsidRDefault="0081519E" w:rsidP="00DC3A77">
      <w:pPr>
        <w:contextualSpacing/>
        <w:rPr>
          <w:rFonts w:eastAsia="Times New Roman" w:cs="Arial"/>
          <w:szCs w:val="20"/>
          <w:lang w:eastAsia="en-AU"/>
        </w:rPr>
      </w:pPr>
    </w:p>
    <w:p w14:paraId="1429A63E" w14:textId="5E7C945F" w:rsidR="001B1198" w:rsidRDefault="00CB6F70" w:rsidP="00DC3A77">
      <w:pPr>
        <w:contextualSpacing/>
        <w:rPr>
          <w:rFonts w:eastAsia="Calibri" w:cs="Arial"/>
          <w:szCs w:val="20"/>
        </w:rPr>
      </w:pPr>
      <w:r>
        <w:rPr>
          <w:rFonts w:eastAsia="Times New Roman" w:cs="Arial"/>
          <w:szCs w:val="20"/>
          <w:lang w:eastAsia="en-AU"/>
        </w:rPr>
        <w:t>In its</w:t>
      </w:r>
      <w:r w:rsidR="00A64795">
        <w:rPr>
          <w:rFonts w:eastAsia="Times New Roman" w:cs="Arial"/>
          <w:szCs w:val="20"/>
          <w:lang w:eastAsia="en-AU"/>
        </w:rPr>
        <w:t xml:space="preserve"> recommendation to review the ERF governance arrangements</w:t>
      </w:r>
      <w:r w:rsidR="00657AAB">
        <w:rPr>
          <w:rFonts w:eastAsia="Times New Roman" w:cs="Arial"/>
          <w:szCs w:val="20"/>
          <w:lang w:eastAsia="en-AU"/>
        </w:rPr>
        <w:t xml:space="preserve"> for efficiency and effectiveness</w:t>
      </w:r>
      <w:r w:rsidR="00A64795">
        <w:rPr>
          <w:rFonts w:eastAsia="Times New Roman" w:cs="Arial"/>
          <w:szCs w:val="20"/>
          <w:lang w:eastAsia="en-AU"/>
        </w:rPr>
        <w:t xml:space="preserve">, </w:t>
      </w:r>
      <w:r w:rsidR="00B92BA5">
        <w:rPr>
          <w:rFonts w:eastAsia="Calibri" w:cs="Arial"/>
          <w:szCs w:val="20"/>
        </w:rPr>
        <w:t xml:space="preserve">the </w:t>
      </w:r>
      <w:r w:rsidR="00545E7B">
        <w:rPr>
          <w:rFonts w:eastAsia="Calibri" w:cs="Arial"/>
          <w:szCs w:val="20"/>
        </w:rPr>
        <w:t xml:space="preserve">King </w:t>
      </w:r>
      <w:r w:rsidR="009841F1">
        <w:rPr>
          <w:rFonts w:eastAsia="Calibri" w:cs="Arial"/>
          <w:szCs w:val="20"/>
        </w:rPr>
        <w:t>Review</w:t>
      </w:r>
      <w:r w:rsidR="00B92BA5">
        <w:rPr>
          <w:rFonts w:eastAsia="Calibri" w:cs="Arial"/>
          <w:szCs w:val="20"/>
        </w:rPr>
        <w:t xml:space="preserve"> proposed</w:t>
      </w:r>
      <w:r w:rsidR="00A64795">
        <w:rPr>
          <w:rFonts w:eastAsia="Calibri" w:cs="Arial"/>
          <w:szCs w:val="20"/>
        </w:rPr>
        <w:t xml:space="preserve"> t</w:t>
      </w:r>
      <w:r w:rsidR="005D00C8">
        <w:rPr>
          <w:rFonts w:eastAsia="Calibri" w:cs="Arial"/>
          <w:szCs w:val="20"/>
        </w:rPr>
        <w:t>hat</w:t>
      </w:r>
      <w:r w:rsidR="00745ED1" w:rsidRPr="00F77E47">
        <w:rPr>
          <w:rFonts w:eastAsia="Calibri" w:cs="Arial"/>
          <w:szCs w:val="20"/>
        </w:rPr>
        <w:t xml:space="preserve"> the </w:t>
      </w:r>
      <w:r w:rsidR="00A64795">
        <w:rPr>
          <w:rFonts w:eastAsia="Calibri" w:cs="Arial"/>
          <w:szCs w:val="20"/>
        </w:rPr>
        <w:t>structure and staffing of the ERAC</w:t>
      </w:r>
      <w:r w:rsidR="00745ED1">
        <w:rPr>
          <w:rFonts w:eastAsia="Calibri" w:cs="Arial"/>
          <w:szCs w:val="20"/>
        </w:rPr>
        <w:t xml:space="preserve"> </w:t>
      </w:r>
      <w:r w:rsidR="00A64795">
        <w:rPr>
          <w:rFonts w:eastAsia="Calibri" w:cs="Arial"/>
          <w:szCs w:val="20"/>
        </w:rPr>
        <w:t>be</w:t>
      </w:r>
      <w:r w:rsidR="00F16D2E">
        <w:rPr>
          <w:rFonts w:eastAsia="Calibri" w:cs="Arial"/>
          <w:szCs w:val="20"/>
        </w:rPr>
        <w:t xml:space="preserve"> specifically</w:t>
      </w:r>
      <w:r w:rsidR="00A64795">
        <w:rPr>
          <w:rFonts w:eastAsia="Calibri" w:cs="Arial"/>
          <w:szCs w:val="20"/>
        </w:rPr>
        <w:t xml:space="preserve"> </w:t>
      </w:r>
      <w:r w:rsidR="00B81E9D">
        <w:rPr>
          <w:rFonts w:eastAsia="Calibri" w:cs="Arial"/>
          <w:szCs w:val="20"/>
        </w:rPr>
        <w:t>examin</w:t>
      </w:r>
      <w:r w:rsidR="00B92BA5">
        <w:rPr>
          <w:rFonts w:eastAsia="Calibri" w:cs="Arial"/>
          <w:szCs w:val="20"/>
        </w:rPr>
        <w:t>ed. In particular, it suggested</w:t>
      </w:r>
      <w:r w:rsidR="00545768">
        <w:rPr>
          <w:rFonts w:eastAsia="Calibri" w:cs="Arial"/>
          <w:szCs w:val="20"/>
        </w:rPr>
        <w:t xml:space="preserve"> an </w:t>
      </w:r>
      <w:r w:rsidR="00F16D2E">
        <w:rPr>
          <w:rFonts w:eastAsia="Calibri" w:cs="Arial"/>
          <w:szCs w:val="20"/>
        </w:rPr>
        <w:t>analysis</w:t>
      </w:r>
      <w:r w:rsidR="00545768">
        <w:rPr>
          <w:rFonts w:eastAsia="Calibri" w:cs="Arial"/>
          <w:szCs w:val="20"/>
        </w:rPr>
        <w:t xml:space="preserve"> </w:t>
      </w:r>
      <w:r w:rsidR="00F16D2E">
        <w:rPr>
          <w:rFonts w:eastAsia="Calibri" w:cs="Arial"/>
          <w:szCs w:val="20"/>
        </w:rPr>
        <w:t xml:space="preserve">be undertaken </w:t>
      </w:r>
      <w:r w:rsidR="00545768">
        <w:rPr>
          <w:rFonts w:eastAsia="Calibri" w:cs="Arial"/>
          <w:szCs w:val="20"/>
        </w:rPr>
        <w:t>of</w:t>
      </w:r>
      <w:r w:rsidR="00B81E9D">
        <w:rPr>
          <w:rFonts w:eastAsia="Calibri" w:cs="Arial"/>
          <w:szCs w:val="20"/>
        </w:rPr>
        <w:t xml:space="preserve"> whether the ERAC should be </w:t>
      </w:r>
      <w:r w:rsidR="00745ED1">
        <w:rPr>
          <w:rFonts w:eastAsia="Calibri" w:cs="Arial"/>
          <w:szCs w:val="20"/>
        </w:rPr>
        <w:t xml:space="preserve">staffed and supported </w:t>
      </w:r>
      <w:r w:rsidR="001B1198">
        <w:rPr>
          <w:rFonts w:eastAsia="Calibri" w:cs="Arial"/>
          <w:szCs w:val="20"/>
        </w:rPr>
        <w:t>by officers</w:t>
      </w:r>
      <w:r w:rsidR="00745ED1">
        <w:rPr>
          <w:rFonts w:eastAsia="Calibri" w:cs="Arial"/>
          <w:szCs w:val="20"/>
        </w:rPr>
        <w:t xml:space="preserve"> from the Department,</w:t>
      </w:r>
      <w:r w:rsidR="001B1198">
        <w:rPr>
          <w:rFonts w:eastAsia="Calibri" w:cs="Arial"/>
          <w:szCs w:val="20"/>
        </w:rPr>
        <w:t xml:space="preserve"> the R</w:t>
      </w:r>
      <w:r w:rsidR="004667C2">
        <w:rPr>
          <w:rFonts w:eastAsia="Calibri" w:cs="Arial"/>
          <w:szCs w:val="20"/>
        </w:rPr>
        <w:t>egulator</w:t>
      </w:r>
      <w:r w:rsidR="001B1198">
        <w:rPr>
          <w:rFonts w:eastAsia="Calibri" w:cs="Arial"/>
          <w:szCs w:val="20"/>
        </w:rPr>
        <w:t xml:space="preserve"> or an alternate </w:t>
      </w:r>
      <w:r w:rsidR="00745ED1">
        <w:rPr>
          <w:rFonts w:eastAsia="Calibri" w:cs="Arial"/>
          <w:szCs w:val="20"/>
        </w:rPr>
        <w:t>agency (</w:t>
      </w:r>
      <w:r w:rsidR="00745ED1" w:rsidRPr="00B23A2B">
        <w:rPr>
          <w:rFonts w:eastAsia="Calibri" w:cs="Arial"/>
          <w:szCs w:val="20"/>
        </w:rPr>
        <w:t>R. 6.4</w:t>
      </w:r>
      <w:r w:rsidR="00745ED1">
        <w:rPr>
          <w:rFonts w:eastAsia="Calibri" w:cs="Arial"/>
          <w:szCs w:val="20"/>
        </w:rPr>
        <w:t>).</w:t>
      </w:r>
      <w:r w:rsidR="001B1198">
        <w:rPr>
          <w:rFonts w:eastAsia="Calibri" w:cs="Arial"/>
          <w:szCs w:val="20"/>
        </w:rPr>
        <w:t xml:space="preserve"> In making this</w:t>
      </w:r>
      <w:r w:rsidR="00BA3716">
        <w:rPr>
          <w:rFonts w:eastAsia="Calibri" w:cs="Arial"/>
          <w:szCs w:val="20"/>
        </w:rPr>
        <w:t xml:space="preserve"> recommendation, </w:t>
      </w:r>
      <w:r w:rsidR="00673B5A">
        <w:rPr>
          <w:rFonts w:eastAsia="Calibri" w:cs="Arial"/>
          <w:szCs w:val="20"/>
        </w:rPr>
        <w:t xml:space="preserve">the </w:t>
      </w:r>
      <w:r w:rsidR="0083583A">
        <w:rPr>
          <w:rFonts w:eastAsia="Calibri" w:cs="Arial"/>
          <w:szCs w:val="20"/>
        </w:rPr>
        <w:t>King Review</w:t>
      </w:r>
      <w:r w:rsidR="00B92BA5">
        <w:rPr>
          <w:rFonts w:eastAsia="Calibri" w:cs="Arial"/>
          <w:szCs w:val="20"/>
        </w:rPr>
        <w:t xml:space="preserve"> </w:t>
      </w:r>
      <w:r w:rsidR="0083583A">
        <w:rPr>
          <w:rFonts w:eastAsia="Calibri" w:cs="Arial"/>
          <w:szCs w:val="20"/>
        </w:rPr>
        <w:t>observ</w:t>
      </w:r>
      <w:r w:rsidR="00B92BA5">
        <w:rPr>
          <w:rFonts w:eastAsia="Calibri" w:cs="Arial"/>
          <w:szCs w:val="20"/>
        </w:rPr>
        <w:t>ed</w:t>
      </w:r>
      <w:r w:rsidR="00B25A01">
        <w:rPr>
          <w:rFonts w:eastAsia="Calibri" w:cs="Arial"/>
          <w:szCs w:val="20"/>
        </w:rPr>
        <w:t xml:space="preserve"> that</w:t>
      </w:r>
      <w:r w:rsidR="00BA3716">
        <w:rPr>
          <w:rFonts w:eastAsia="Calibri" w:cs="Arial"/>
          <w:szCs w:val="20"/>
        </w:rPr>
        <w:t xml:space="preserve"> information </w:t>
      </w:r>
      <w:r w:rsidR="00BA3716" w:rsidRPr="00B25A01">
        <w:rPr>
          <w:rFonts w:eastAsia="Calibri" w:cs="Arial"/>
          <w:i/>
          <w:szCs w:val="20"/>
        </w:rPr>
        <w:t>‘has not always been openly shared between the entities and the extent of collaboration has not always been optimal</w:t>
      </w:r>
      <w:r w:rsidR="00B92BA5">
        <w:rPr>
          <w:rFonts w:eastAsia="Calibri" w:cs="Arial"/>
          <w:i/>
          <w:szCs w:val="20"/>
        </w:rPr>
        <w:t xml:space="preserve">’ </w:t>
      </w:r>
      <w:r w:rsidR="00B92BA5">
        <w:rPr>
          <w:rFonts w:eastAsia="Calibri" w:cs="Arial"/>
          <w:szCs w:val="20"/>
        </w:rPr>
        <w:t xml:space="preserve">and </w:t>
      </w:r>
      <w:r w:rsidR="00545768">
        <w:rPr>
          <w:rFonts w:eastAsia="Calibri" w:cs="Arial"/>
          <w:szCs w:val="20"/>
        </w:rPr>
        <w:t xml:space="preserve">discussed </w:t>
      </w:r>
      <w:r w:rsidR="00657AAB">
        <w:rPr>
          <w:rFonts w:eastAsia="Calibri" w:cs="Arial"/>
          <w:szCs w:val="20"/>
        </w:rPr>
        <w:t>several</w:t>
      </w:r>
      <w:r w:rsidR="0039268F">
        <w:rPr>
          <w:rFonts w:eastAsia="Calibri" w:cs="Arial"/>
          <w:szCs w:val="20"/>
        </w:rPr>
        <w:t xml:space="preserve"> </w:t>
      </w:r>
      <w:r w:rsidR="00657AAB">
        <w:rPr>
          <w:rFonts w:eastAsia="Calibri" w:cs="Arial"/>
          <w:szCs w:val="20"/>
        </w:rPr>
        <w:t xml:space="preserve">likely </w:t>
      </w:r>
      <w:r w:rsidR="0039268F">
        <w:rPr>
          <w:rFonts w:eastAsia="Calibri" w:cs="Arial"/>
          <w:szCs w:val="20"/>
        </w:rPr>
        <w:t xml:space="preserve">reasons for this, including that the part-time nature of </w:t>
      </w:r>
      <w:r w:rsidR="00B81E9D">
        <w:rPr>
          <w:rFonts w:eastAsia="Calibri" w:cs="Arial"/>
          <w:szCs w:val="20"/>
        </w:rPr>
        <w:t xml:space="preserve">current </w:t>
      </w:r>
      <w:r w:rsidR="0039268F">
        <w:rPr>
          <w:rFonts w:eastAsia="Calibri" w:cs="Arial"/>
          <w:szCs w:val="20"/>
        </w:rPr>
        <w:t>board memberships leaves the ERAC heavily</w:t>
      </w:r>
      <w:r w:rsidR="00B25A01">
        <w:rPr>
          <w:rFonts w:eastAsia="Calibri" w:cs="Arial"/>
          <w:szCs w:val="20"/>
        </w:rPr>
        <w:t xml:space="preserve"> dependent</w:t>
      </w:r>
      <w:r w:rsidR="0039268F">
        <w:rPr>
          <w:rFonts w:eastAsia="Calibri" w:cs="Arial"/>
          <w:szCs w:val="20"/>
        </w:rPr>
        <w:t xml:space="preserve"> on a</w:t>
      </w:r>
      <w:r w:rsidR="00B25A01">
        <w:rPr>
          <w:rFonts w:eastAsia="Calibri" w:cs="Arial"/>
          <w:szCs w:val="20"/>
        </w:rPr>
        <w:t xml:space="preserve"> secretariat to fulfil its statutory mandate </w:t>
      </w:r>
      <w:r w:rsidR="00B25A01" w:rsidRPr="00764422">
        <w:rPr>
          <w:rFonts w:eastAsia="Calibri" w:cs="Arial"/>
          <w:szCs w:val="20"/>
        </w:rPr>
        <w:t>(</w:t>
      </w:r>
      <w:r w:rsidR="000049E6" w:rsidRPr="00764422">
        <w:t xml:space="preserve">Australian Government </w:t>
      </w:r>
      <w:r w:rsidR="000049E6" w:rsidRPr="009C394A">
        <w:rPr>
          <w:rFonts w:eastAsia="Times New Roman" w:cs="Arial"/>
          <w:szCs w:val="20"/>
          <w:lang w:eastAsia="en-AU"/>
        </w:rPr>
        <w:t>2020</w:t>
      </w:r>
      <w:r w:rsidR="000049E6">
        <w:rPr>
          <w:rFonts w:eastAsia="Times New Roman" w:cs="Arial"/>
          <w:szCs w:val="20"/>
          <w:lang w:eastAsia="en-AU"/>
        </w:rPr>
        <w:t>b</w:t>
      </w:r>
      <w:r w:rsidR="00B25A01">
        <w:rPr>
          <w:rFonts w:eastAsia="Calibri" w:cs="Arial"/>
          <w:szCs w:val="20"/>
        </w:rPr>
        <w:t>)</w:t>
      </w:r>
      <w:r w:rsidR="001B1198">
        <w:rPr>
          <w:rFonts w:eastAsia="Calibri" w:cs="Arial"/>
          <w:szCs w:val="20"/>
        </w:rPr>
        <w:t xml:space="preserve">. </w:t>
      </w:r>
    </w:p>
    <w:p w14:paraId="76357D6C" w14:textId="77777777" w:rsidR="0039268F" w:rsidRDefault="0039268F" w:rsidP="00DC3A77">
      <w:pPr>
        <w:contextualSpacing/>
        <w:rPr>
          <w:rFonts w:eastAsia="Calibri" w:cs="Arial"/>
          <w:szCs w:val="20"/>
        </w:rPr>
      </w:pPr>
    </w:p>
    <w:p w14:paraId="3B0CFFFB" w14:textId="1CE6A8C7" w:rsidR="00657AAB" w:rsidRDefault="00545768" w:rsidP="00DC3A77">
      <w:pPr>
        <w:contextualSpacing/>
        <w:rPr>
          <w:rFonts w:eastAsia="Calibri" w:cs="Arial"/>
          <w:szCs w:val="20"/>
        </w:rPr>
      </w:pPr>
      <w:r>
        <w:rPr>
          <w:rFonts w:eastAsia="Calibri" w:cs="Arial"/>
          <w:szCs w:val="20"/>
        </w:rPr>
        <w:t>Some stakeholder submissions also raised concerns</w:t>
      </w:r>
      <w:r w:rsidR="00657AAB">
        <w:rPr>
          <w:rFonts w:eastAsia="Calibri" w:cs="Arial"/>
          <w:szCs w:val="20"/>
        </w:rPr>
        <w:t xml:space="preserve"> about the efficiency </w:t>
      </w:r>
      <w:r w:rsidR="00787481">
        <w:rPr>
          <w:rFonts w:eastAsia="Calibri" w:cs="Arial"/>
          <w:szCs w:val="20"/>
        </w:rPr>
        <w:t xml:space="preserve">and effectiveness of </w:t>
      </w:r>
      <w:r w:rsidR="00B81E9D">
        <w:rPr>
          <w:rFonts w:eastAsia="Calibri" w:cs="Arial"/>
          <w:szCs w:val="20"/>
        </w:rPr>
        <w:t xml:space="preserve">the </w:t>
      </w:r>
      <w:r w:rsidR="00657AAB">
        <w:rPr>
          <w:rFonts w:eastAsia="Calibri" w:cs="Arial"/>
          <w:szCs w:val="20"/>
        </w:rPr>
        <w:t>methods review</w:t>
      </w:r>
      <w:r w:rsidR="00B81E9D">
        <w:rPr>
          <w:rFonts w:eastAsia="Calibri" w:cs="Arial"/>
          <w:szCs w:val="20"/>
        </w:rPr>
        <w:t xml:space="preserve"> process (</w:t>
      </w:r>
      <w:r w:rsidR="00B81E9D" w:rsidRPr="00B23A2B">
        <w:rPr>
          <w:rFonts w:eastAsia="Calibri" w:cs="Arial"/>
          <w:szCs w:val="20"/>
        </w:rPr>
        <w:t>EDL p. 2; ESIA p. 3</w:t>
      </w:r>
      <w:r w:rsidR="00B81E9D">
        <w:rPr>
          <w:rFonts w:eastAsia="Calibri" w:cs="Arial"/>
          <w:szCs w:val="20"/>
        </w:rPr>
        <w:t>)</w:t>
      </w:r>
      <w:r w:rsidR="00657AAB">
        <w:rPr>
          <w:rFonts w:eastAsia="Calibri" w:cs="Arial"/>
          <w:szCs w:val="20"/>
        </w:rPr>
        <w:t>. EDL’s submission</w:t>
      </w:r>
      <w:r w:rsidR="00B81E9D">
        <w:rPr>
          <w:rFonts w:eastAsia="Calibri" w:cs="Arial"/>
          <w:szCs w:val="20"/>
        </w:rPr>
        <w:t xml:space="preserve"> expressly</w:t>
      </w:r>
      <w:r w:rsidR="00657AAB">
        <w:rPr>
          <w:rFonts w:eastAsia="Calibri" w:cs="Arial"/>
          <w:szCs w:val="20"/>
        </w:rPr>
        <w:t xml:space="preserve"> recommend</w:t>
      </w:r>
      <w:r>
        <w:rPr>
          <w:rFonts w:eastAsia="Calibri" w:cs="Arial"/>
          <w:szCs w:val="20"/>
        </w:rPr>
        <w:t>ed</w:t>
      </w:r>
      <w:r w:rsidR="00657AAB">
        <w:rPr>
          <w:rFonts w:eastAsia="Calibri" w:cs="Arial"/>
          <w:szCs w:val="20"/>
        </w:rPr>
        <w:t xml:space="preserve"> additional Departmental and ERAC resourcing to address these concerns (</w:t>
      </w:r>
      <w:r w:rsidR="00657AAB" w:rsidRPr="00B23A2B">
        <w:rPr>
          <w:rFonts w:eastAsia="Calibri" w:cs="Arial"/>
          <w:szCs w:val="20"/>
        </w:rPr>
        <w:t>EDL p. 2</w:t>
      </w:r>
      <w:r>
        <w:rPr>
          <w:rFonts w:eastAsia="Calibri" w:cs="Arial"/>
          <w:szCs w:val="20"/>
        </w:rPr>
        <w:t>).</w:t>
      </w:r>
      <w:r w:rsidR="00B92BA5">
        <w:rPr>
          <w:rFonts w:eastAsia="Calibri" w:cs="Arial"/>
          <w:szCs w:val="20"/>
        </w:rPr>
        <w:t xml:space="preserve"> </w:t>
      </w:r>
      <w:r w:rsidR="00442B1D">
        <w:rPr>
          <w:rFonts w:eastAsia="Calibri" w:cs="Arial"/>
          <w:szCs w:val="20"/>
        </w:rPr>
        <w:t xml:space="preserve">These issues were clearly reflected in </w:t>
      </w:r>
      <w:r>
        <w:rPr>
          <w:rFonts w:eastAsia="Calibri" w:cs="Arial"/>
          <w:szCs w:val="20"/>
        </w:rPr>
        <w:t xml:space="preserve">the </w:t>
      </w:r>
      <w:r w:rsidR="00545E7B">
        <w:rPr>
          <w:rFonts w:eastAsia="Calibri" w:cs="Arial"/>
          <w:szCs w:val="20"/>
        </w:rPr>
        <w:t xml:space="preserve">King </w:t>
      </w:r>
      <w:r w:rsidR="009841F1">
        <w:rPr>
          <w:rFonts w:eastAsia="Calibri" w:cs="Arial"/>
          <w:szCs w:val="20"/>
        </w:rPr>
        <w:t>Review</w:t>
      </w:r>
      <w:r>
        <w:rPr>
          <w:rFonts w:eastAsia="Calibri" w:cs="Arial"/>
          <w:szCs w:val="20"/>
        </w:rPr>
        <w:t>’</w:t>
      </w:r>
      <w:r w:rsidR="00455E0A">
        <w:rPr>
          <w:rFonts w:eastAsia="Calibri" w:cs="Arial"/>
          <w:szCs w:val="20"/>
        </w:rPr>
        <w:t>s recommendation</w:t>
      </w:r>
      <w:r w:rsidR="00442B1D">
        <w:rPr>
          <w:rFonts w:eastAsia="Calibri" w:cs="Arial"/>
          <w:szCs w:val="20"/>
        </w:rPr>
        <w:t xml:space="preserve">. </w:t>
      </w:r>
    </w:p>
    <w:p w14:paraId="74B12029" w14:textId="77777777" w:rsidR="00657AAB" w:rsidRDefault="00657AAB" w:rsidP="00DC3A77">
      <w:pPr>
        <w:contextualSpacing/>
        <w:rPr>
          <w:rFonts w:eastAsia="Calibri" w:cs="Arial"/>
          <w:szCs w:val="20"/>
        </w:rPr>
      </w:pPr>
    </w:p>
    <w:p w14:paraId="05B160FE" w14:textId="57492139" w:rsidR="009213ED" w:rsidRDefault="00E358A9" w:rsidP="00DC3A77">
      <w:pPr>
        <w:contextualSpacing/>
        <w:rPr>
          <w:rFonts w:eastAsia="Calibri" w:cs="Arial"/>
          <w:szCs w:val="20"/>
        </w:rPr>
      </w:pPr>
      <w:r>
        <w:rPr>
          <w:rFonts w:eastAsia="Calibri" w:cs="Arial"/>
          <w:szCs w:val="20"/>
        </w:rPr>
        <w:t xml:space="preserve">In its </w:t>
      </w:r>
      <w:r w:rsidR="00657AAB">
        <w:rPr>
          <w:rFonts w:eastAsia="Calibri" w:cs="Arial"/>
          <w:szCs w:val="20"/>
        </w:rPr>
        <w:t>review of t</w:t>
      </w:r>
      <w:r>
        <w:rPr>
          <w:rFonts w:eastAsia="Calibri" w:cs="Arial"/>
          <w:szCs w:val="20"/>
        </w:rPr>
        <w:t xml:space="preserve">he ERF in 2017, </w:t>
      </w:r>
      <w:r w:rsidR="00447E24">
        <w:rPr>
          <w:rFonts w:eastAsia="Calibri" w:cs="Arial"/>
          <w:szCs w:val="20"/>
        </w:rPr>
        <w:t>the Authority identified that a potential or perceived conflict of interest could arise from</w:t>
      </w:r>
      <w:r w:rsidR="008567BC">
        <w:rPr>
          <w:rFonts w:eastAsia="Calibri" w:cs="Arial"/>
          <w:szCs w:val="20"/>
        </w:rPr>
        <w:t xml:space="preserve"> </w:t>
      </w:r>
      <w:r w:rsidR="00447E24">
        <w:rPr>
          <w:rFonts w:eastAsia="Calibri" w:cs="Arial"/>
          <w:szCs w:val="20"/>
        </w:rPr>
        <w:t>the</w:t>
      </w:r>
      <w:r w:rsidR="008567BC">
        <w:rPr>
          <w:rFonts w:eastAsia="Calibri" w:cs="Arial"/>
          <w:szCs w:val="20"/>
        </w:rPr>
        <w:t xml:space="preserve"> Department being</w:t>
      </w:r>
      <w:r w:rsidR="00545768">
        <w:rPr>
          <w:rFonts w:eastAsia="Calibri" w:cs="Arial"/>
          <w:szCs w:val="20"/>
        </w:rPr>
        <w:t xml:space="preserve"> made</w:t>
      </w:r>
      <w:r w:rsidR="00447E24">
        <w:rPr>
          <w:rFonts w:eastAsia="Calibri" w:cs="Arial"/>
          <w:szCs w:val="20"/>
        </w:rPr>
        <w:t xml:space="preserve"> accountable for both the ERAC secretariat function and the method development function </w:t>
      </w:r>
      <w:r w:rsidR="008567BC">
        <w:rPr>
          <w:rFonts w:eastAsia="Calibri" w:cs="Arial"/>
          <w:szCs w:val="20"/>
        </w:rPr>
        <w:t>(</w:t>
      </w:r>
      <w:r w:rsidR="008567BC" w:rsidRPr="005E1241">
        <w:rPr>
          <w:rFonts w:eastAsia="Calibri" w:cs="Arial"/>
          <w:szCs w:val="20"/>
        </w:rPr>
        <w:t>CCA 2017</w:t>
      </w:r>
      <w:r w:rsidR="00E649B2" w:rsidRPr="005E1241">
        <w:rPr>
          <w:rFonts w:eastAsia="Calibri" w:cs="Arial"/>
          <w:szCs w:val="20"/>
        </w:rPr>
        <w:t>a</w:t>
      </w:r>
      <w:r w:rsidR="008567BC">
        <w:rPr>
          <w:rFonts w:eastAsia="Calibri" w:cs="Arial"/>
          <w:szCs w:val="20"/>
        </w:rPr>
        <w:t>).</w:t>
      </w:r>
      <w:r w:rsidR="008252F0">
        <w:rPr>
          <w:rFonts w:eastAsia="Calibri" w:cs="Arial"/>
          <w:szCs w:val="20"/>
        </w:rPr>
        <w:t xml:space="preserve"> </w:t>
      </w:r>
      <w:r w:rsidR="008567BC">
        <w:rPr>
          <w:rFonts w:eastAsia="Calibri" w:cs="Arial"/>
          <w:szCs w:val="20"/>
        </w:rPr>
        <w:t xml:space="preserve">On this basis, it recommended that </w:t>
      </w:r>
      <w:r w:rsidR="00926F35">
        <w:rPr>
          <w:rFonts w:eastAsia="Calibri" w:cs="Arial"/>
          <w:szCs w:val="20"/>
        </w:rPr>
        <w:t xml:space="preserve">the </w:t>
      </w:r>
      <w:r w:rsidR="008567BC">
        <w:rPr>
          <w:rFonts w:eastAsia="Calibri" w:cs="Arial"/>
          <w:szCs w:val="20"/>
        </w:rPr>
        <w:t>senior</w:t>
      </w:r>
      <w:r w:rsidR="005B6AE0">
        <w:rPr>
          <w:rFonts w:eastAsia="Calibri" w:cs="Arial"/>
          <w:szCs w:val="20"/>
        </w:rPr>
        <w:t xml:space="preserve"> </w:t>
      </w:r>
      <w:r w:rsidR="008567BC">
        <w:rPr>
          <w:rFonts w:eastAsia="Calibri" w:cs="Arial"/>
          <w:szCs w:val="20"/>
        </w:rPr>
        <w:t xml:space="preserve">executive </w:t>
      </w:r>
      <w:r w:rsidR="00926F35">
        <w:rPr>
          <w:rFonts w:eastAsia="Calibri" w:cs="Arial"/>
          <w:szCs w:val="20"/>
        </w:rPr>
        <w:t>accountable</w:t>
      </w:r>
      <w:r w:rsidR="008567BC">
        <w:rPr>
          <w:rFonts w:eastAsia="Calibri" w:cs="Arial"/>
          <w:szCs w:val="20"/>
        </w:rPr>
        <w:t xml:space="preserve"> for the ERAC secretariat be </w:t>
      </w:r>
      <w:r w:rsidR="00926F35">
        <w:rPr>
          <w:rFonts w:eastAsia="Calibri" w:cs="Arial"/>
          <w:szCs w:val="20"/>
        </w:rPr>
        <w:t>different</w:t>
      </w:r>
      <w:r w:rsidR="008567BC">
        <w:rPr>
          <w:rFonts w:eastAsia="Calibri" w:cs="Arial"/>
          <w:szCs w:val="20"/>
        </w:rPr>
        <w:t xml:space="preserve"> from </w:t>
      </w:r>
      <w:r w:rsidR="00926F35">
        <w:rPr>
          <w:rFonts w:eastAsia="Calibri" w:cs="Arial"/>
          <w:szCs w:val="20"/>
        </w:rPr>
        <w:t>the senior executive responsible for</w:t>
      </w:r>
      <w:r w:rsidR="008567BC">
        <w:rPr>
          <w:rFonts w:eastAsia="Calibri" w:cs="Arial"/>
          <w:szCs w:val="20"/>
        </w:rPr>
        <w:t xml:space="preserve"> method development (</w:t>
      </w:r>
      <w:r w:rsidR="008567BC" w:rsidRPr="00B23A2B">
        <w:rPr>
          <w:rFonts w:eastAsia="Calibri" w:cs="Arial"/>
          <w:szCs w:val="20"/>
        </w:rPr>
        <w:t>R. 3</w:t>
      </w:r>
      <w:r w:rsidR="008567BC">
        <w:rPr>
          <w:rFonts w:eastAsia="Calibri" w:cs="Arial"/>
          <w:szCs w:val="20"/>
        </w:rPr>
        <w:t xml:space="preserve">). </w:t>
      </w:r>
      <w:r w:rsidR="00297F97">
        <w:rPr>
          <w:rFonts w:eastAsia="Calibri" w:cs="Arial"/>
          <w:szCs w:val="20"/>
        </w:rPr>
        <w:t xml:space="preserve">This </w:t>
      </w:r>
      <w:r w:rsidR="00781F74">
        <w:rPr>
          <w:rFonts w:eastAsia="Calibri" w:cs="Arial"/>
          <w:szCs w:val="20"/>
        </w:rPr>
        <w:t>w</w:t>
      </w:r>
      <w:r w:rsidR="00297F97">
        <w:rPr>
          <w:rFonts w:eastAsia="Calibri" w:cs="Arial"/>
          <w:szCs w:val="20"/>
        </w:rPr>
        <w:t xml:space="preserve">as subsequently implemented by the Department. </w:t>
      </w:r>
      <w:r w:rsidR="008567BC">
        <w:rPr>
          <w:rFonts w:eastAsia="Calibri" w:cs="Arial"/>
          <w:szCs w:val="20"/>
        </w:rPr>
        <w:t xml:space="preserve">The </w:t>
      </w:r>
      <w:r w:rsidR="00545E7B">
        <w:rPr>
          <w:rFonts w:eastAsia="Calibri" w:cs="Arial"/>
          <w:szCs w:val="20"/>
        </w:rPr>
        <w:t>King</w:t>
      </w:r>
      <w:r w:rsidR="009841F1">
        <w:rPr>
          <w:rFonts w:eastAsia="Calibri" w:cs="Arial"/>
          <w:szCs w:val="20"/>
        </w:rPr>
        <w:t xml:space="preserve"> Review</w:t>
      </w:r>
      <w:r w:rsidR="008567BC">
        <w:rPr>
          <w:rFonts w:eastAsia="Calibri" w:cs="Arial"/>
          <w:szCs w:val="20"/>
        </w:rPr>
        <w:t xml:space="preserve"> supported this analysis, pointing to the </w:t>
      </w:r>
      <w:r w:rsidR="005F6F4C">
        <w:rPr>
          <w:rFonts w:eastAsia="Calibri" w:cs="Arial"/>
          <w:szCs w:val="20"/>
        </w:rPr>
        <w:t xml:space="preserve">difficulties inherent in </w:t>
      </w:r>
      <w:r w:rsidR="00442B1D">
        <w:rPr>
          <w:rFonts w:eastAsia="Calibri" w:cs="Arial"/>
          <w:szCs w:val="20"/>
        </w:rPr>
        <w:t>serving</w:t>
      </w:r>
      <w:r w:rsidR="00673B5A">
        <w:rPr>
          <w:rFonts w:eastAsia="Calibri" w:cs="Arial"/>
          <w:szCs w:val="20"/>
        </w:rPr>
        <w:t xml:space="preserve"> the ERA</w:t>
      </w:r>
      <w:r w:rsidR="00545768">
        <w:rPr>
          <w:rFonts w:eastAsia="Calibri" w:cs="Arial"/>
          <w:szCs w:val="20"/>
        </w:rPr>
        <w:t>C independently and impartially when doing so may</w:t>
      </w:r>
      <w:r w:rsidR="00442B1D">
        <w:rPr>
          <w:rFonts w:eastAsia="Calibri" w:cs="Arial"/>
          <w:szCs w:val="20"/>
        </w:rPr>
        <w:t xml:space="preserve"> involve secretariat staff</w:t>
      </w:r>
      <w:r w:rsidR="00545768">
        <w:rPr>
          <w:rFonts w:eastAsia="Calibri" w:cs="Arial"/>
          <w:szCs w:val="20"/>
        </w:rPr>
        <w:t xml:space="preserve"> having to critique their own work and </w:t>
      </w:r>
      <w:r w:rsidR="005F6F4C">
        <w:rPr>
          <w:rFonts w:eastAsia="Calibri" w:cs="Arial"/>
          <w:szCs w:val="20"/>
        </w:rPr>
        <w:t xml:space="preserve">then </w:t>
      </w:r>
      <w:r w:rsidR="00545768">
        <w:rPr>
          <w:rFonts w:eastAsia="Calibri" w:cs="Arial"/>
          <w:szCs w:val="20"/>
        </w:rPr>
        <w:t>provide that critique to their Minister</w:t>
      </w:r>
      <w:r w:rsidR="005F6F4C">
        <w:rPr>
          <w:rFonts w:eastAsia="Calibri" w:cs="Arial"/>
          <w:szCs w:val="20"/>
        </w:rPr>
        <w:t xml:space="preserve">. The </w:t>
      </w:r>
      <w:r w:rsidR="00CC7B7A">
        <w:rPr>
          <w:rFonts w:eastAsia="Calibri" w:cs="Arial"/>
          <w:szCs w:val="20"/>
        </w:rPr>
        <w:t>King Review</w:t>
      </w:r>
      <w:r w:rsidR="005F6F4C">
        <w:rPr>
          <w:rFonts w:eastAsia="Calibri" w:cs="Arial"/>
          <w:szCs w:val="20"/>
        </w:rPr>
        <w:t xml:space="preserve"> raise</w:t>
      </w:r>
      <w:r w:rsidR="00CC7B7A">
        <w:rPr>
          <w:rFonts w:eastAsia="Calibri" w:cs="Arial"/>
          <w:szCs w:val="20"/>
        </w:rPr>
        <w:t>d</w:t>
      </w:r>
      <w:r w:rsidR="005F6F4C">
        <w:rPr>
          <w:rFonts w:eastAsia="Calibri" w:cs="Arial"/>
          <w:szCs w:val="20"/>
        </w:rPr>
        <w:t xml:space="preserve"> the option of moving the responsibility for the ERAC </w:t>
      </w:r>
      <w:r w:rsidR="005872C0">
        <w:rPr>
          <w:rFonts w:eastAsia="Calibri" w:cs="Arial"/>
          <w:szCs w:val="20"/>
        </w:rPr>
        <w:t>s</w:t>
      </w:r>
      <w:r w:rsidR="005F6F4C">
        <w:rPr>
          <w:rFonts w:eastAsia="Calibri" w:cs="Arial"/>
          <w:szCs w:val="20"/>
        </w:rPr>
        <w:t xml:space="preserve">ecretariat to the Regulator and seconding Departmental staff to the Regulator as required for reviews and </w:t>
      </w:r>
      <w:r w:rsidR="009213ED">
        <w:rPr>
          <w:rFonts w:eastAsia="Calibri" w:cs="Arial"/>
          <w:szCs w:val="20"/>
        </w:rPr>
        <w:t>other ERAC</w:t>
      </w:r>
      <w:r w:rsidR="005F6F4C">
        <w:rPr>
          <w:rFonts w:eastAsia="Calibri" w:cs="Arial"/>
          <w:szCs w:val="20"/>
        </w:rPr>
        <w:t xml:space="preserve"> processes </w:t>
      </w:r>
      <w:r w:rsidR="005F6F4C" w:rsidRPr="00764422">
        <w:rPr>
          <w:rFonts w:eastAsia="Calibri" w:cs="Arial"/>
          <w:szCs w:val="20"/>
        </w:rPr>
        <w:t>(</w:t>
      </w:r>
      <w:r w:rsidR="000049E6" w:rsidRPr="00764422">
        <w:t xml:space="preserve">Australian Government </w:t>
      </w:r>
      <w:r w:rsidR="000049E6" w:rsidRPr="009C394A">
        <w:rPr>
          <w:rFonts w:eastAsia="Times New Roman" w:cs="Arial"/>
          <w:szCs w:val="20"/>
          <w:lang w:eastAsia="en-AU"/>
        </w:rPr>
        <w:t>2020</w:t>
      </w:r>
      <w:r w:rsidR="000049E6">
        <w:rPr>
          <w:rFonts w:eastAsia="Times New Roman" w:cs="Arial"/>
          <w:szCs w:val="20"/>
          <w:lang w:eastAsia="en-AU"/>
        </w:rPr>
        <w:t>b</w:t>
      </w:r>
      <w:r w:rsidR="005F6F4C">
        <w:rPr>
          <w:rFonts w:eastAsia="Calibri" w:cs="Arial"/>
          <w:szCs w:val="20"/>
        </w:rPr>
        <w:t xml:space="preserve">). </w:t>
      </w:r>
    </w:p>
    <w:p w14:paraId="10DC17FF" w14:textId="77777777" w:rsidR="009213ED" w:rsidRDefault="009213ED" w:rsidP="00DC3A77">
      <w:pPr>
        <w:contextualSpacing/>
        <w:rPr>
          <w:rFonts w:eastAsia="Calibri" w:cs="Arial"/>
          <w:szCs w:val="20"/>
        </w:rPr>
      </w:pPr>
    </w:p>
    <w:p w14:paraId="4395DF3A" w14:textId="2B8C6212" w:rsidR="00AF5BE8" w:rsidRDefault="006725C6" w:rsidP="00AF5BE8">
      <w:pPr>
        <w:spacing w:after="0"/>
        <w:textAlignment w:val="baseline"/>
      </w:pPr>
      <w:r>
        <w:t xml:space="preserve">Based on consultations for this review, </w:t>
      </w:r>
      <w:r w:rsidR="004740EC">
        <w:t>the Authority</w:t>
      </w:r>
      <w:r w:rsidR="00105ECC">
        <w:t xml:space="preserve"> has </w:t>
      </w:r>
      <w:r w:rsidR="008D4F8C">
        <w:t>concluded</w:t>
      </w:r>
      <w:r w:rsidR="00105ECC">
        <w:t xml:space="preserve"> </w:t>
      </w:r>
      <w:r w:rsidR="004740EC">
        <w:t>that</w:t>
      </w:r>
      <w:r w:rsidR="00105ECC">
        <w:t xml:space="preserve"> </w:t>
      </w:r>
      <w:r>
        <w:t xml:space="preserve">the </w:t>
      </w:r>
      <w:r w:rsidR="00FA36E8">
        <w:t>work of the ERAC is closely li</w:t>
      </w:r>
      <w:r w:rsidR="00992E85">
        <w:t xml:space="preserve">nked to the method development and </w:t>
      </w:r>
      <w:r w:rsidR="00FA36E8">
        <w:t xml:space="preserve">variation processes, and </w:t>
      </w:r>
      <w:r>
        <w:t xml:space="preserve">the </w:t>
      </w:r>
      <w:r w:rsidR="00105ECC">
        <w:t>ERAC’s resourcing shortfall can</w:t>
      </w:r>
      <w:r>
        <w:t>not be pragmatic</w:t>
      </w:r>
      <w:r w:rsidR="00A6655F">
        <w:t>ally</w:t>
      </w:r>
      <w:r>
        <w:t xml:space="preserve"> redressed</w:t>
      </w:r>
      <w:r w:rsidR="00105ECC">
        <w:t xml:space="preserve"> </w:t>
      </w:r>
      <w:r w:rsidR="00FA36E8">
        <w:t xml:space="preserve">by </w:t>
      </w:r>
      <w:r w:rsidR="00297F97">
        <w:t xml:space="preserve">completely separating </w:t>
      </w:r>
      <w:r w:rsidR="005872C0">
        <w:t xml:space="preserve">the ERAC </w:t>
      </w:r>
      <w:r w:rsidR="00297F97">
        <w:t>secretariat from</w:t>
      </w:r>
      <w:r w:rsidR="005872C0">
        <w:t xml:space="preserve"> the </w:t>
      </w:r>
      <w:r w:rsidR="00297F97">
        <w:t xml:space="preserve">method </w:t>
      </w:r>
      <w:r w:rsidR="00992E85">
        <w:t>processes</w:t>
      </w:r>
      <w:r w:rsidR="00297F97">
        <w:t xml:space="preserve">. </w:t>
      </w:r>
      <w:r w:rsidR="00DA0300">
        <w:t xml:space="preserve">Accordingly, the Authority supports the </w:t>
      </w:r>
      <w:r w:rsidR="00B5306B">
        <w:t xml:space="preserve">Government’s decision to </w:t>
      </w:r>
      <w:r w:rsidR="00DA0300">
        <w:t>relocat</w:t>
      </w:r>
      <w:r w:rsidR="00B5306B">
        <w:t>e</w:t>
      </w:r>
      <w:r w:rsidR="00DA0300">
        <w:t xml:space="preserve"> the ERAC secretariat functions to the Regulator together with the method development and variations. This will help ensure the </w:t>
      </w:r>
      <w:r w:rsidR="00297F97" w:rsidRPr="00C11065">
        <w:t>ERAC</w:t>
      </w:r>
      <w:r w:rsidR="00DA0300">
        <w:t xml:space="preserve"> has </w:t>
      </w:r>
      <w:r w:rsidR="00105ECC">
        <w:t xml:space="preserve">the </w:t>
      </w:r>
      <w:r>
        <w:t>technical skills, knowledge and information</w:t>
      </w:r>
      <w:r w:rsidR="00297F97">
        <w:t xml:space="preserve"> necessary </w:t>
      </w:r>
      <w:r w:rsidR="00DA0300">
        <w:t xml:space="preserve">to </w:t>
      </w:r>
      <w:r w:rsidR="00297F97">
        <w:t>undertake its functions</w:t>
      </w:r>
      <w:r w:rsidR="00992E85">
        <w:t>.</w:t>
      </w:r>
      <w:r w:rsidR="005872C0">
        <w:t xml:space="preserve"> </w:t>
      </w:r>
      <w:r w:rsidR="004C752D">
        <w:t>However</w:t>
      </w:r>
      <w:r w:rsidR="00B77E06">
        <w:t>,</w:t>
      </w:r>
      <w:r w:rsidR="00297F97">
        <w:t xml:space="preserve"> the </w:t>
      </w:r>
      <w:r w:rsidR="005872C0">
        <w:t xml:space="preserve">Authority </w:t>
      </w:r>
      <w:r w:rsidR="00297F97">
        <w:t>remains</w:t>
      </w:r>
      <w:r w:rsidR="006F3542">
        <w:t xml:space="preserve"> of the view that </w:t>
      </w:r>
      <w:r w:rsidR="00297F97">
        <w:t>internal governance arrangement</w:t>
      </w:r>
      <w:r w:rsidR="00B77E06">
        <w:t>s, which</w:t>
      </w:r>
      <w:r w:rsidR="00297F97">
        <w:t xml:space="preserve"> </w:t>
      </w:r>
      <w:r w:rsidR="00B77E06">
        <w:t>ensure</w:t>
      </w:r>
      <w:r w:rsidR="00297F97">
        <w:t xml:space="preserve"> </w:t>
      </w:r>
      <w:r w:rsidR="00B77E06">
        <w:t xml:space="preserve">a separation of </w:t>
      </w:r>
      <w:r w:rsidR="005872C0">
        <w:t xml:space="preserve">senior executive responsible for </w:t>
      </w:r>
      <w:r w:rsidR="00297F97">
        <w:t>the method processes and the ERAC secretariat, should be retained</w:t>
      </w:r>
      <w:r w:rsidR="00B77E06">
        <w:t xml:space="preserve"> </w:t>
      </w:r>
      <w:r w:rsidR="004C752D">
        <w:t>at the Regulator</w:t>
      </w:r>
      <w:r w:rsidR="00297F97">
        <w:t xml:space="preserve">. </w:t>
      </w:r>
    </w:p>
    <w:p w14:paraId="25E0F5D3" w14:textId="77777777" w:rsidR="006F3542" w:rsidRDefault="006F3542" w:rsidP="00AF5BE8">
      <w:pPr>
        <w:spacing w:after="0"/>
        <w:textAlignment w:val="baseline"/>
      </w:pPr>
    </w:p>
    <w:p w14:paraId="0466BFCB" w14:textId="4BFD369A" w:rsidR="00DB2AF0" w:rsidRPr="00F94E82" w:rsidRDefault="00DA0300" w:rsidP="00DB2AF0">
      <w:r>
        <w:t xml:space="preserve">Notwithstanding the shift of the ERAC secretariat function to the </w:t>
      </w:r>
      <w:r w:rsidR="006F3542">
        <w:t xml:space="preserve">Regulator, it may still require some technical skills and information </w:t>
      </w:r>
      <w:r w:rsidR="00D6644B">
        <w:t xml:space="preserve">currently </w:t>
      </w:r>
      <w:r w:rsidR="00B77E06">
        <w:t>housed</w:t>
      </w:r>
      <w:r w:rsidR="006F3542">
        <w:t xml:space="preserve"> in the Department</w:t>
      </w:r>
      <w:r w:rsidR="008252F0">
        <w:t>. Where necessary t</w:t>
      </w:r>
      <w:r w:rsidR="00B77E06">
        <w:t>he</w:t>
      </w:r>
      <w:r w:rsidR="00D6644B">
        <w:t xml:space="preserve"> Department </w:t>
      </w:r>
      <w:r w:rsidR="008252F0">
        <w:t xml:space="preserve">should </w:t>
      </w:r>
      <w:r w:rsidR="00960C28">
        <w:t xml:space="preserve">continue </w:t>
      </w:r>
      <w:r w:rsidR="00D6644B">
        <w:t>to provide support to the ERAC for method reviews in the form of information</w:t>
      </w:r>
      <w:r w:rsidR="00B5306B">
        <w:t xml:space="preserve"> and</w:t>
      </w:r>
      <w:r w:rsidR="00D6644B">
        <w:t xml:space="preserve"> advice. </w:t>
      </w:r>
      <w:r w:rsidR="00B77E06">
        <w:t>T</w:t>
      </w:r>
      <w:r w:rsidR="00960C28">
        <w:t xml:space="preserve">he ERAC </w:t>
      </w:r>
      <w:r w:rsidR="00B77E06">
        <w:t>also requires</w:t>
      </w:r>
      <w:r w:rsidR="00960C28">
        <w:t xml:space="preserve"> access to the timely provision of information </w:t>
      </w:r>
      <w:r w:rsidR="00DB2AF0">
        <w:t>(including protected information</w:t>
      </w:r>
      <w:r w:rsidR="008915FE">
        <w:t>)</w:t>
      </w:r>
      <w:r w:rsidR="008915FE">
        <w:rPr>
          <w:rStyle w:val="FootnoteReference"/>
        </w:rPr>
        <w:footnoteReference w:id="11"/>
      </w:r>
      <w:r w:rsidR="00DB2AF0">
        <w:t xml:space="preserve"> </w:t>
      </w:r>
      <w:r w:rsidR="00992E85">
        <w:t xml:space="preserve">from the Regulator </w:t>
      </w:r>
      <w:r w:rsidR="00B77E06">
        <w:t>in order to fulfil its duties effectively</w:t>
      </w:r>
      <w:r w:rsidR="00A62DF9">
        <w:t xml:space="preserve"> during the sitting times of the ERAC.</w:t>
      </w:r>
      <w:r w:rsidR="00DB2AF0" w:rsidRPr="00DB2AF0">
        <w:rPr>
          <w:rFonts w:cs="Arial"/>
          <w:sz w:val="18"/>
          <w:szCs w:val="18"/>
        </w:rPr>
        <w:t xml:space="preserve"> </w:t>
      </w:r>
      <w:r w:rsidR="00DB2AF0" w:rsidRPr="00F94E82">
        <w:t xml:space="preserve">Under the Clean Energy Regulator Act </w:t>
      </w:r>
      <w:r w:rsidR="00DB2AF0">
        <w:t>(</w:t>
      </w:r>
      <w:r w:rsidR="00DB2AF0" w:rsidRPr="00F94E82">
        <w:rPr>
          <w:i/>
        </w:rPr>
        <w:t>Cth</w:t>
      </w:r>
      <w:r w:rsidR="00DB2AF0">
        <w:t xml:space="preserve">) </w:t>
      </w:r>
      <w:r w:rsidR="00DB2AF0" w:rsidRPr="00F94E82">
        <w:t>2011</w:t>
      </w:r>
      <w:r w:rsidR="00DB2AF0">
        <w:t>,</w:t>
      </w:r>
      <w:r w:rsidR="00DB2AF0" w:rsidRPr="00F94E82">
        <w:t xml:space="preserve"> </w:t>
      </w:r>
      <w:r w:rsidR="008B111C" w:rsidRPr="0066003B">
        <w:t xml:space="preserve">the </w:t>
      </w:r>
      <w:r w:rsidR="008B111C">
        <w:t>R</w:t>
      </w:r>
      <w:r w:rsidR="00DB2AF0" w:rsidRPr="00F94E82">
        <w:t>egulator is prohibited from di</w:t>
      </w:r>
      <w:r w:rsidR="00150658" w:rsidRPr="00150658">
        <w:t>sclosing protected information</w:t>
      </w:r>
      <w:r w:rsidR="00150658">
        <w:t>,</w:t>
      </w:r>
      <w:r w:rsidR="00DB2AF0" w:rsidRPr="00F94E82">
        <w:t xml:space="preserve"> unless specifically authorised. </w:t>
      </w:r>
      <w:r w:rsidR="00150658">
        <w:t>S</w:t>
      </w:r>
      <w:r w:rsidR="00DB2AF0" w:rsidRPr="00F94E82">
        <w:t>ection 44 of the Act allows the Regulator to disclose or use protected information if the disclosure is for the p</w:t>
      </w:r>
      <w:r w:rsidR="00150658" w:rsidRPr="008B111C">
        <w:t>urpose of a climate change law</w:t>
      </w:r>
      <w:r w:rsidR="00150658">
        <w:t xml:space="preserve"> —t</w:t>
      </w:r>
      <w:r w:rsidR="00DB2AF0" w:rsidRPr="00F94E82">
        <w:t>his is likely to cover disclosures to the ERAC.</w:t>
      </w:r>
      <w:r w:rsidR="00DB2AF0" w:rsidRPr="006D1800">
        <w:rPr>
          <w:rFonts w:cs="Arial"/>
          <w:sz w:val="18"/>
          <w:szCs w:val="18"/>
        </w:rPr>
        <w:t xml:space="preserve"> </w:t>
      </w:r>
    </w:p>
    <w:p w14:paraId="7279502E" w14:textId="77777777" w:rsidR="00DB2AF0" w:rsidRDefault="00DB2AF0" w:rsidP="00AF5BE8">
      <w:pPr>
        <w:spacing w:after="0"/>
        <w:textAlignment w:val="baseline"/>
      </w:pPr>
      <w:r>
        <w:t xml:space="preserve"> </w:t>
      </w:r>
    </w:p>
    <w:p w14:paraId="56D19918" w14:textId="00153001" w:rsidR="008A748F" w:rsidRDefault="00150658" w:rsidP="00AF5BE8">
      <w:pPr>
        <w:spacing w:after="0"/>
        <w:textAlignment w:val="baseline"/>
      </w:pPr>
      <w:r>
        <w:t>The Regulator currently has a memorandum of understanding with the ERAC on the disclosure of requested information</w:t>
      </w:r>
      <w:r w:rsidR="008B111C">
        <w:t>, however this currently does not cover protected information (CER pers com</w:t>
      </w:r>
      <w:r w:rsidR="005B4DA7">
        <w:t>m.</w:t>
      </w:r>
      <w:r w:rsidR="008B111C">
        <w:t xml:space="preserve">), </w:t>
      </w:r>
      <w:r w:rsidR="008B111C" w:rsidRPr="005449E7">
        <w:t>which may be pertinent to the ERAC bei</w:t>
      </w:r>
      <w:r w:rsidR="008B111C" w:rsidRPr="00150658">
        <w:t>ng able to undertake its duties</w:t>
      </w:r>
      <w:r w:rsidR="008B111C">
        <w:t>.</w:t>
      </w:r>
      <w:r>
        <w:t xml:space="preserve"> </w:t>
      </w:r>
      <w:r w:rsidR="008B111C">
        <w:t>The memorandum of understanding between the ERAC and the Regulator</w:t>
      </w:r>
      <w:r>
        <w:t xml:space="preserve"> should be expanded to ensure there is a clear authorising framework with</w:t>
      </w:r>
      <w:r w:rsidR="00A62DF9">
        <w:t xml:space="preserve"> timeframes for the request and provision of</w:t>
      </w:r>
      <w:r w:rsidR="00DB2AF0">
        <w:t xml:space="preserve"> </w:t>
      </w:r>
      <w:r w:rsidR="00A62DF9">
        <w:t>information</w:t>
      </w:r>
      <w:r>
        <w:t>, including protected information.</w:t>
      </w:r>
    </w:p>
    <w:p w14:paraId="3A09DDF9" w14:textId="77777777" w:rsidR="00BD6F09" w:rsidRDefault="00BD6F09" w:rsidP="00AF5BE8">
      <w:pPr>
        <w:spacing w:after="0"/>
        <w:textAlignment w:val="baseline"/>
      </w:pPr>
    </w:p>
    <w:tbl>
      <w:tblPr>
        <w:tblStyle w:val="TableGrid"/>
        <w:tblW w:w="0" w:type="auto"/>
        <w:tblLook w:val="04A0" w:firstRow="1" w:lastRow="0" w:firstColumn="1" w:lastColumn="0" w:noHBand="0" w:noVBand="1"/>
      </w:tblPr>
      <w:tblGrid>
        <w:gridCol w:w="9016"/>
      </w:tblGrid>
      <w:tr w:rsidR="00442586" w14:paraId="0A5716B7" w14:textId="77777777" w:rsidTr="00442586">
        <w:tc>
          <w:tcPr>
            <w:tcW w:w="9016" w:type="dxa"/>
          </w:tcPr>
          <w:p w14:paraId="7000E1E8" w14:textId="3A202CB5" w:rsidR="00442586" w:rsidRDefault="00442586" w:rsidP="00442586">
            <w:pPr>
              <w:textAlignment w:val="baseline"/>
              <w:rPr>
                <w:rStyle w:val="normaltextrun1"/>
                <w:rFonts w:cs="Arial"/>
                <w:szCs w:val="20"/>
              </w:rPr>
            </w:pPr>
            <w:r w:rsidRPr="00657D37">
              <w:rPr>
                <w:b/>
              </w:rPr>
              <w:t>Recommendation 1</w:t>
            </w:r>
            <w:r w:rsidR="00D87E61">
              <w:rPr>
                <w:b/>
              </w:rPr>
              <w:t>4</w:t>
            </w:r>
            <w:r>
              <w:rPr>
                <w:b/>
              </w:rPr>
              <w:t xml:space="preserve"> </w:t>
            </w:r>
          </w:p>
          <w:p w14:paraId="57208051" w14:textId="77777777" w:rsidR="00EF2C6B" w:rsidRDefault="00EF2C6B" w:rsidP="00EF2C6B">
            <w:pPr>
              <w:rPr>
                <w:rStyle w:val="normaltextrun1"/>
                <w:rFonts w:cs="Arial"/>
                <w:sz w:val="18"/>
                <w:szCs w:val="18"/>
              </w:rPr>
            </w:pPr>
          </w:p>
          <w:p w14:paraId="519CE056" w14:textId="4A920981" w:rsidR="00442586" w:rsidRPr="007D697F" w:rsidRDefault="00DF33B2" w:rsidP="00DF33B2">
            <w:pPr>
              <w:rPr>
                <w:rFonts w:cs="Arial"/>
                <w:b/>
                <w:szCs w:val="20"/>
              </w:rPr>
            </w:pPr>
            <w:r w:rsidRPr="00812BEE">
              <w:rPr>
                <w:rFonts w:cs="Arial"/>
                <w:b/>
                <w:color w:val="000000"/>
                <w:szCs w:val="20"/>
              </w:rPr>
              <w:t>To assist the ERAC to perform its functions and duties as set out in the CFI Act</w:t>
            </w:r>
            <w:r w:rsidRPr="00812BEE">
              <w:rPr>
                <w:rFonts w:cs="Arial"/>
                <w:b/>
                <w:i/>
                <w:color w:val="000000"/>
                <w:szCs w:val="20"/>
              </w:rPr>
              <w:t>,</w:t>
            </w:r>
            <w:r w:rsidRPr="00812BEE">
              <w:rPr>
                <w:rFonts w:cs="Arial"/>
                <w:b/>
                <w:color w:val="000000"/>
                <w:szCs w:val="20"/>
              </w:rPr>
              <w:t xml:space="preserve"> </w:t>
            </w:r>
            <w:r w:rsidRPr="00812BEE">
              <w:rPr>
                <w:rStyle w:val="normaltextrun1"/>
                <w:rFonts w:cs="Arial"/>
                <w:b/>
                <w:szCs w:val="20"/>
              </w:rPr>
              <w:t>the Regulator establish a</w:t>
            </w:r>
            <w:r w:rsidR="00267222">
              <w:rPr>
                <w:rStyle w:val="normaltextrun1"/>
                <w:rFonts w:cs="Arial"/>
                <w:b/>
                <w:szCs w:val="20"/>
              </w:rPr>
              <w:t>n enhanced</w:t>
            </w:r>
            <w:r w:rsidRPr="00812BEE">
              <w:rPr>
                <w:rStyle w:val="normaltextrun1"/>
                <w:rFonts w:cs="Arial"/>
                <w:b/>
                <w:szCs w:val="20"/>
              </w:rPr>
              <w:t xml:space="preserve"> agreement with the ERAC </w:t>
            </w:r>
            <w:r w:rsidRPr="00812BEE">
              <w:rPr>
                <w:b/>
                <w:color w:val="000000"/>
                <w:szCs w:val="20"/>
              </w:rPr>
              <w:t>on the</w:t>
            </w:r>
            <w:r w:rsidRPr="00812BEE">
              <w:rPr>
                <w:rFonts w:cs="Arial"/>
                <w:b/>
                <w:color w:val="000000"/>
                <w:szCs w:val="20"/>
              </w:rPr>
              <w:t xml:space="preserve"> disclosure of requested information, including a timeline for provision of requested information and the manner in which to treat protected information</w:t>
            </w:r>
            <w:r w:rsidRPr="00812BEE">
              <w:rPr>
                <w:rStyle w:val="normaltextrun1"/>
                <w:rFonts w:cs="Arial"/>
                <w:b/>
                <w:szCs w:val="20"/>
              </w:rPr>
              <w:t>.</w:t>
            </w:r>
          </w:p>
        </w:tc>
      </w:tr>
    </w:tbl>
    <w:p w14:paraId="01D692FD" w14:textId="77777777" w:rsidR="00397A78" w:rsidRDefault="00397A78" w:rsidP="00992E85">
      <w:pPr>
        <w:contextualSpacing/>
      </w:pPr>
    </w:p>
    <w:p w14:paraId="0616CA97" w14:textId="56730127" w:rsidR="00DB5ECE" w:rsidRPr="00DB5ECE" w:rsidRDefault="00DB5ECE" w:rsidP="00DB5ECE">
      <w:pPr>
        <w:contextualSpacing/>
        <w:rPr>
          <w:rFonts w:eastAsia="Calibri" w:cs="Arial"/>
          <w:szCs w:val="20"/>
        </w:rPr>
      </w:pPr>
      <w:r w:rsidRPr="00DB5ECE">
        <w:rPr>
          <w:rFonts w:eastAsia="Calibri" w:cs="Arial"/>
          <w:szCs w:val="20"/>
        </w:rPr>
        <w:t xml:space="preserve">Of the 34 ERF methods that are available for new projects to use, </w:t>
      </w:r>
      <w:r w:rsidR="008252F0">
        <w:rPr>
          <w:rFonts w:eastAsia="Calibri" w:cs="Arial"/>
          <w:szCs w:val="20"/>
        </w:rPr>
        <w:t>9</w:t>
      </w:r>
      <w:r w:rsidR="001344DD" w:rsidRPr="00D72F5E">
        <w:rPr>
          <w:rFonts w:eastAsia="Calibri" w:cs="Arial"/>
          <w:szCs w:val="20"/>
        </w:rPr>
        <w:t xml:space="preserve"> methods</w:t>
      </w:r>
      <w:r w:rsidR="001344DD">
        <w:rPr>
          <w:rFonts w:eastAsia="Calibri" w:cs="Arial"/>
          <w:szCs w:val="20"/>
        </w:rPr>
        <w:t xml:space="preserve"> </w:t>
      </w:r>
      <w:r w:rsidRPr="008C1911">
        <w:rPr>
          <w:rFonts w:eastAsia="Calibri" w:cs="Arial"/>
          <w:szCs w:val="20"/>
        </w:rPr>
        <w:t>currently have few or no projects registered under them and are yet to generate meaningful abatement under the scheme</w:t>
      </w:r>
      <w:r w:rsidR="00B74B25" w:rsidRPr="00DB5ECE">
        <w:rPr>
          <w:rFonts w:eastAsia="Calibri" w:cs="Arial"/>
          <w:szCs w:val="20"/>
        </w:rPr>
        <w:t>(</w:t>
      </w:r>
      <w:r w:rsidR="00B74B25" w:rsidRPr="009B65DB">
        <w:rPr>
          <w:rFonts w:eastAsia="Times New Roman" w:cs="Arial"/>
          <w:color w:val="000000" w:themeColor="text1"/>
          <w:szCs w:val="20"/>
          <w:lang w:eastAsia="en-AU"/>
        </w:rPr>
        <w:t>CER 2020e</w:t>
      </w:r>
      <w:r w:rsidR="00B74B25" w:rsidRPr="00DB5ECE">
        <w:rPr>
          <w:rFonts w:eastAsia="Calibri" w:cs="Arial"/>
          <w:szCs w:val="20"/>
        </w:rPr>
        <w:t>).</w:t>
      </w:r>
      <w:r w:rsidRPr="008C1911">
        <w:rPr>
          <w:rFonts w:eastAsia="Calibri" w:cs="Arial"/>
          <w:szCs w:val="20"/>
          <w:vertAlign w:val="superscript"/>
        </w:rPr>
        <w:footnoteReference w:id="12"/>
      </w:r>
      <w:r w:rsidRPr="00DB5ECE">
        <w:rPr>
          <w:rFonts w:eastAsia="Calibri" w:cs="Arial"/>
          <w:szCs w:val="20"/>
        </w:rPr>
        <w:t xml:space="preserve"> All </w:t>
      </w:r>
      <w:r w:rsidR="003B0C9D">
        <w:rPr>
          <w:rFonts w:eastAsia="Calibri" w:cs="Arial"/>
          <w:szCs w:val="20"/>
        </w:rPr>
        <w:t>available</w:t>
      </w:r>
      <w:r w:rsidRPr="00DB5ECE">
        <w:rPr>
          <w:rFonts w:eastAsia="Calibri" w:cs="Arial"/>
          <w:szCs w:val="20"/>
        </w:rPr>
        <w:t xml:space="preserve"> methods, regardless of whether there are projects registered, require the Department and the Regulator to retain a level of expertise and resources in relation to that method. Once a method is developed the ERAC also has the ongoing role of monitoring the compliance of the method with the Offsets Integrity Standard, again this is regardless of whether there are projects registered (s255). </w:t>
      </w:r>
    </w:p>
    <w:p w14:paraId="3366A7A5" w14:textId="77777777" w:rsidR="00DB5ECE" w:rsidRPr="00DB5ECE" w:rsidRDefault="00DB5ECE" w:rsidP="00DB5ECE">
      <w:pPr>
        <w:contextualSpacing/>
        <w:rPr>
          <w:rFonts w:eastAsia="Calibri" w:cs="Arial"/>
          <w:szCs w:val="20"/>
        </w:rPr>
      </w:pPr>
    </w:p>
    <w:p w14:paraId="043A45E7" w14:textId="7BED147E" w:rsidR="00DB5ECE" w:rsidRPr="00DB5ECE" w:rsidRDefault="00DB5ECE" w:rsidP="00DB5ECE">
      <w:pPr>
        <w:contextualSpacing/>
        <w:rPr>
          <w:rFonts w:eastAsia="Calibri" w:cs="Arial"/>
          <w:szCs w:val="20"/>
        </w:rPr>
      </w:pPr>
      <w:r w:rsidRPr="00DB5ECE">
        <w:rPr>
          <w:rFonts w:eastAsia="Calibri" w:cs="Arial"/>
          <w:szCs w:val="20"/>
        </w:rPr>
        <w:t xml:space="preserve">To further ensure that the ERAC, Department and the Regulator’s resources are allocated efficiently and effectively, the Minister could request the ERAC undertake an audit of existing methods to advise the Minister which methods should be revoked based on current and likely future uptake of the method, complexity of maintaining the method and whether the method is likely to continue meet the Offsets Integrity Standards. The ERAC could also have regard to whether there are other programs or policies under the Government’s climate policy suite that would be better suited to incentivising abatement for a particular activity or technology. The Ministerial request could be made under s 123(2) of the CFI Act, which requires the Minister to request the ERAC to provide advice about whether the Minister should revoke the determination prior to doing so. </w:t>
      </w:r>
    </w:p>
    <w:p w14:paraId="4A98640B" w14:textId="77777777" w:rsidR="00DB5ECE" w:rsidRPr="00DB5ECE" w:rsidRDefault="00DB5ECE" w:rsidP="00DB5ECE">
      <w:pPr>
        <w:contextualSpacing/>
        <w:rPr>
          <w:rFonts w:eastAsia="Calibri" w:cs="Arial"/>
          <w:szCs w:val="20"/>
        </w:rPr>
      </w:pPr>
    </w:p>
    <w:p w14:paraId="07B9BA61" w14:textId="65C2181B" w:rsidR="00DB5ECE" w:rsidRDefault="00DB5ECE" w:rsidP="00DB5ECE">
      <w:pPr>
        <w:contextualSpacing/>
      </w:pPr>
      <w:r w:rsidRPr="00DB5ECE">
        <w:rPr>
          <w:rFonts w:eastAsia="Calibri" w:cs="Arial"/>
          <w:szCs w:val="20"/>
        </w:rPr>
        <w:t>Revoking methods that have had little or no uptake and that are unlikely to generate any meaningful abatement in the future could alleviate the administrative burden associated with maintaining these methods, thereby freeing up valuable resources</w:t>
      </w:r>
      <w:r w:rsidR="005B6AE0">
        <w:rPr>
          <w:rFonts w:eastAsia="Calibri" w:cs="Arial"/>
          <w:szCs w:val="20"/>
        </w:rPr>
        <w:t>.</w:t>
      </w:r>
    </w:p>
    <w:p w14:paraId="40A091A9" w14:textId="0ED19693" w:rsidR="00737153" w:rsidRPr="007D697F" w:rsidRDefault="00A12282" w:rsidP="007E177F">
      <w:pPr>
        <w:pStyle w:val="Heading3"/>
        <w:rPr>
          <w:i/>
          <w:color w:val="0070AE" w:themeColor="accent2" w:themeTint="BF"/>
        </w:rPr>
      </w:pPr>
      <w:r w:rsidRPr="007D697F">
        <w:rPr>
          <w:i/>
          <w:color w:val="0070AE" w:themeColor="accent2" w:themeTint="BF"/>
        </w:rPr>
        <w:t xml:space="preserve">Periodic method reviews </w:t>
      </w:r>
    </w:p>
    <w:p w14:paraId="63446753" w14:textId="66DEA9D0" w:rsidR="00403273" w:rsidRDefault="00737153" w:rsidP="00DC3A77">
      <w:pPr>
        <w:spacing w:after="0"/>
        <w:textAlignment w:val="baseline"/>
        <w:rPr>
          <w:rFonts w:eastAsia="Times New Roman" w:cs="Arial"/>
          <w:szCs w:val="20"/>
          <w:lang w:val="en-US" w:eastAsia="en-AU"/>
        </w:rPr>
      </w:pPr>
      <w:r>
        <w:rPr>
          <w:rFonts w:eastAsia="Times New Roman" w:cs="Arial"/>
          <w:szCs w:val="20"/>
          <w:lang w:eastAsia="en-AU"/>
        </w:rPr>
        <w:t>The ERAC is required to</w:t>
      </w:r>
      <w:r w:rsidRPr="004D17FA">
        <w:rPr>
          <w:rFonts w:eastAsia="Times New Roman" w:cs="Arial"/>
          <w:szCs w:val="20"/>
          <w:lang w:eastAsia="en-AU"/>
        </w:rPr>
        <w:t xml:space="preserve"> periodically examine whether a method continues to comply with the Offsets Integrity Standards (</w:t>
      </w:r>
      <w:r w:rsidR="00322782">
        <w:rPr>
          <w:rFonts w:eastAsia="Times New Roman" w:cs="Arial"/>
          <w:szCs w:val="20"/>
          <w:lang w:eastAsia="en-AU"/>
        </w:rPr>
        <w:t>s</w:t>
      </w:r>
      <w:r>
        <w:rPr>
          <w:rFonts w:eastAsia="Times New Roman" w:cs="Arial"/>
          <w:szCs w:val="20"/>
          <w:lang w:eastAsia="en-AU"/>
        </w:rPr>
        <w:t>25</w:t>
      </w:r>
      <w:r w:rsidR="000D68FE">
        <w:rPr>
          <w:rFonts w:eastAsia="Times New Roman" w:cs="Arial"/>
          <w:szCs w:val="20"/>
          <w:lang w:eastAsia="en-AU"/>
        </w:rPr>
        <w:t>5</w:t>
      </w:r>
      <w:r w:rsidRPr="004D17FA">
        <w:rPr>
          <w:rFonts w:eastAsia="Times New Roman" w:cs="Arial"/>
          <w:szCs w:val="20"/>
          <w:lang w:eastAsia="en-AU"/>
        </w:rPr>
        <w:t xml:space="preserve">). According to the </w:t>
      </w:r>
      <w:r w:rsidRPr="004D17FA">
        <w:rPr>
          <w:rFonts w:eastAsia="Times New Roman" w:cs="Arial"/>
          <w:i/>
          <w:iCs/>
          <w:szCs w:val="20"/>
          <w:lang w:eastAsia="en-AU"/>
        </w:rPr>
        <w:t>Emissions Reduction Fund White Paper</w:t>
      </w:r>
      <w:r>
        <w:rPr>
          <w:rFonts w:eastAsia="Times New Roman" w:cs="Arial"/>
          <w:szCs w:val="20"/>
          <w:lang w:eastAsia="en-AU"/>
        </w:rPr>
        <w:t xml:space="preserve">, the </w:t>
      </w:r>
      <w:r w:rsidR="004A45E7">
        <w:rPr>
          <w:rFonts w:eastAsia="Times New Roman" w:cs="Arial"/>
          <w:szCs w:val="20"/>
          <w:lang w:eastAsia="en-AU"/>
        </w:rPr>
        <w:t xml:space="preserve">Government’s original intention was for the </w:t>
      </w:r>
      <w:r>
        <w:rPr>
          <w:rFonts w:eastAsia="Times New Roman" w:cs="Arial"/>
          <w:szCs w:val="20"/>
          <w:lang w:eastAsia="en-AU"/>
        </w:rPr>
        <w:t xml:space="preserve">ERAC </w:t>
      </w:r>
      <w:r w:rsidR="004A45E7">
        <w:rPr>
          <w:rFonts w:eastAsia="Times New Roman" w:cs="Arial"/>
          <w:szCs w:val="20"/>
          <w:lang w:eastAsia="en-AU"/>
        </w:rPr>
        <w:t xml:space="preserve">to </w:t>
      </w:r>
      <w:r w:rsidRPr="004D17FA">
        <w:rPr>
          <w:rFonts w:eastAsia="Times New Roman" w:cs="Arial"/>
          <w:szCs w:val="20"/>
          <w:lang w:eastAsia="en-AU"/>
        </w:rPr>
        <w:t>review</w:t>
      </w:r>
      <w:r w:rsidR="004A45E7">
        <w:rPr>
          <w:rFonts w:eastAsia="Times New Roman" w:cs="Arial"/>
          <w:szCs w:val="20"/>
          <w:lang w:eastAsia="en-AU"/>
        </w:rPr>
        <w:t xml:space="preserve"> each</w:t>
      </w:r>
      <w:r w:rsidRPr="004D17FA">
        <w:rPr>
          <w:rFonts w:eastAsia="Times New Roman" w:cs="Arial"/>
          <w:szCs w:val="20"/>
          <w:lang w:eastAsia="en-AU"/>
        </w:rPr>
        <w:t xml:space="preserve"> method at least once every four years (</w:t>
      </w:r>
      <w:r w:rsidR="00814F78">
        <w:rPr>
          <w:rFonts w:eastAsia="Times New Roman" w:cs="Arial"/>
          <w:szCs w:val="20"/>
          <w:lang w:eastAsia="en-AU"/>
        </w:rPr>
        <w:t>Australian Government</w:t>
      </w:r>
      <w:r w:rsidRPr="004E719A">
        <w:rPr>
          <w:rFonts w:eastAsia="Times New Roman" w:cs="Arial"/>
          <w:szCs w:val="20"/>
          <w:lang w:eastAsia="en-AU"/>
        </w:rPr>
        <w:t xml:space="preserve"> 2014</w:t>
      </w:r>
      <w:r w:rsidRPr="004D17FA">
        <w:rPr>
          <w:rFonts w:eastAsia="Times New Roman" w:cs="Arial"/>
          <w:szCs w:val="20"/>
          <w:lang w:eastAsia="en-AU"/>
        </w:rPr>
        <w:t>). </w:t>
      </w:r>
      <w:r w:rsidR="003356D4">
        <w:rPr>
          <w:rFonts w:eastAsia="Times New Roman" w:cs="Arial"/>
          <w:szCs w:val="20"/>
          <w:lang w:eastAsia="en-AU"/>
        </w:rPr>
        <w:t xml:space="preserve">There </w:t>
      </w:r>
      <w:r w:rsidR="004A45E7">
        <w:rPr>
          <w:rFonts w:eastAsia="Times New Roman" w:cs="Arial"/>
          <w:szCs w:val="20"/>
          <w:lang w:eastAsia="en-AU"/>
        </w:rPr>
        <w:t>is</w:t>
      </w:r>
      <w:r w:rsidR="003356D4">
        <w:rPr>
          <w:rFonts w:eastAsia="Times New Roman" w:cs="Arial"/>
          <w:szCs w:val="20"/>
          <w:lang w:eastAsia="en-AU"/>
        </w:rPr>
        <w:t xml:space="preserve"> currently no formalised schedule or rule for </w:t>
      </w:r>
      <w:r w:rsidR="00FD2029">
        <w:rPr>
          <w:rFonts w:eastAsia="Times New Roman" w:cs="Arial"/>
          <w:szCs w:val="20"/>
          <w:lang w:eastAsia="en-AU"/>
        </w:rPr>
        <w:t xml:space="preserve">the </w:t>
      </w:r>
      <w:r w:rsidR="003356D4">
        <w:rPr>
          <w:rFonts w:eastAsia="Times New Roman" w:cs="Arial"/>
          <w:szCs w:val="20"/>
          <w:lang w:eastAsia="en-AU"/>
        </w:rPr>
        <w:t xml:space="preserve">prioritisation </w:t>
      </w:r>
      <w:r w:rsidR="00FD2029">
        <w:rPr>
          <w:rFonts w:eastAsia="Times New Roman" w:cs="Arial"/>
          <w:szCs w:val="20"/>
          <w:lang w:eastAsia="en-AU"/>
        </w:rPr>
        <w:t xml:space="preserve">of </w:t>
      </w:r>
      <w:r w:rsidR="0020112A">
        <w:rPr>
          <w:rFonts w:eastAsia="Times New Roman" w:cs="Arial"/>
          <w:szCs w:val="20"/>
          <w:lang w:eastAsia="en-AU"/>
        </w:rPr>
        <w:t>method</w:t>
      </w:r>
      <w:r w:rsidR="003356D4">
        <w:rPr>
          <w:rFonts w:eastAsia="Times New Roman" w:cs="Arial"/>
          <w:szCs w:val="20"/>
          <w:lang w:eastAsia="en-AU"/>
        </w:rPr>
        <w:t xml:space="preserve"> review</w:t>
      </w:r>
      <w:r w:rsidR="0020112A">
        <w:rPr>
          <w:rFonts w:eastAsia="Times New Roman" w:cs="Arial"/>
          <w:szCs w:val="20"/>
          <w:lang w:eastAsia="en-AU"/>
        </w:rPr>
        <w:t>s</w:t>
      </w:r>
      <w:r w:rsidR="003356D4">
        <w:rPr>
          <w:rFonts w:eastAsia="Times New Roman" w:cs="Arial"/>
          <w:szCs w:val="20"/>
          <w:lang w:eastAsia="en-AU"/>
        </w:rPr>
        <w:t xml:space="preserve">. </w:t>
      </w:r>
    </w:p>
    <w:p w14:paraId="7F7C547C" w14:textId="77777777" w:rsidR="00403273" w:rsidRDefault="00403273" w:rsidP="00DC3A77">
      <w:pPr>
        <w:spacing w:after="0"/>
        <w:textAlignment w:val="baseline"/>
        <w:rPr>
          <w:rFonts w:eastAsia="Times New Roman" w:cs="Arial"/>
          <w:szCs w:val="20"/>
          <w:lang w:val="en-US" w:eastAsia="en-AU"/>
        </w:rPr>
      </w:pPr>
    </w:p>
    <w:p w14:paraId="3F107D46" w14:textId="570728FB" w:rsidR="00607114" w:rsidRDefault="00DB5ECE" w:rsidP="00DC3A77">
      <w:pPr>
        <w:spacing w:after="0"/>
        <w:textAlignment w:val="baseline"/>
        <w:rPr>
          <w:rFonts w:eastAsia="Times New Roman" w:cs="Arial"/>
          <w:szCs w:val="20"/>
          <w:lang w:eastAsia="en-AU"/>
        </w:rPr>
      </w:pPr>
      <w:r>
        <w:rPr>
          <w:rFonts w:eastAsia="Times New Roman" w:cs="Arial"/>
          <w:szCs w:val="20"/>
          <w:lang w:val="en-US" w:eastAsia="en-AU"/>
        </w:rPr>
        <w:t xml:space="preserve">Of the </w:t>
      </w:r>
      <w:r w:rsidR="00D14CA4" w:rsidRPr="00D14CA4">
        <w:rPr>
          <w:rFonts w:eastAsia="Times New Roman" w:cs="Arial"/>
          <w:szCs w:val="20"/>
          <w:lang w:eastAsia="en-AU"/>
        </w:rPr>
        <w:t xml:space="preserve">34 new methods </w:t>
      </w:r>
      <w:r>
        <w:rPr>
          <w:rFonts w:eastAsia="Times New Roman" w:cs="Arial"/>
          <w:szCs w:val="20"/>
          <w:lang w:eastAsia="en-AU"/>
        </w:rPr>
        <w:t xml:space="preserve">available for use in </w:t>
      </w:r>
      <w:r w:rsidR="00D14CA4" w:rsidRPr="00D14CA4">
        <w:rPr>
          <w:rFonts w:eastAsia="Times New Roman" w:cs="Arial"/>
          <w:szCs w:val="20"/>
          <w:lang w:eastAsia="en-AU"/>
        </w:rPr>
        <w:t>December 2017(</w:t>
      </w:r>
      <w:r w:rsidR="00D14CA4" w:rsidRPr="005E1241">
        <w:rPr>
          <w:rFonts w:eastAsia="Times New Roman" w:cs="Arial"/>
          <w:szCs w:val="20"/>
          <w:lang w:eastAsia="en-AU"/>
        </w:rPr>
        <w:t>CCA 2017</w:t>
      </w:r>
      <w:r w:rsidR="00002296" w:rsidRPr="005E1241">
        <w:rPr>
          <w:rFonts w:eastAsia="Times New Roman" w:cs="Arial"/>
          <w:szCs w:val="20"/>
          <w:lang w:eastAsia="en-AU"/>
        </w:rPr>
        <w:t>a</w:t>
      </w:r>
      <w:r w:rsidR="00607114" w:rsidRPr="004E719A">
        <w:rPr>
          <w:rFonts w:eastAsia="Times New Roman" w:cs="Arial"/>
          <w:szCs w:val="20"/>
          <w:lang w:eastAsia="en-AU"/>
        </w:rPr>
        <w:t>)</w:t>
      </w:r>
      <w:r w:rsidR="005B6AE0">
        <w:rPr>
          <w:rFonts w:eastAsia="Times New Roman" w:cs="Arial"/>
          <w:szCs w:val="20"/>
          <w:lang w:eastAsia="en-AU"/>
        </w:rPr>
        <w:t>,</w:t>
      </w:r>
      <w:r w:rsidR="00872EE6" w:rsidRPr="004E719A">
        <w:rPr>
          <w:rFonts w:eastAsia="Times New Roman" w:cs="Arial"/>
          <w:szCs w:val="20"/>
          <w:lang w:eastAsia="en-AU"/>
        </w:rPr>
        <w:t xml:space="preserve"> </w:t>
      </w:r>
      <w:r w:rsidR="00902D61" w:rsidRPr="004E719A">
        <w:rPr>
          <w:rFonts w:eastAsia="Times New Roman" w:cs="Arial"/>
          <w:szCs w:val="20"/>
          <w:lang w:eastAsia="en-AU"/>
        </w:rPr>
        <w:t>15</w:t>
      </w:r>
      <w:r w:rsidR="00872EE6" w:rsidRPr="004E719A">
        <w:rPr>
          <w:rFonts w:eastAsia="Times New Roman" w:cs="Arial"/>
          <w:szCs w:val="20"/>
          <w:lang w:eastAsia="en-AU"/>
        </w:rPr>
        <w:t xml:space="preserve"> have been reviewed or are currently under review by the ERAC</w:t>
      </w:r>
      <w:r w:rsidR="00410797" w:rsidRPr="004E719A">
        <w:rPr>
          <w:rFonts w:eastAsia="Times New Roman" w:cs="Arial"/>
          <w:szCs w:val="20"/>
          <w:lang w:eastAsia="en-AU"/>
        </w:rPr>
        <w:t xml:space="preserve"> (DEE 2020). </w:t>
      </w:r>
      <w:r>
        <w:rPr>
          <w:rFonts w:eastAsia="Times New Roman" w:cs="Arial"/>
          <w:szCs w:val="20"/>
          <w:lang w:eastAsia="en-AU"/>
        </w:rPr>
        <w:t>The number of</w:t>
      </w:r>
      <w:r w:rsidR="00410797" w:rsidRPr="004E719A" w:rsidDel="00DB5ECE">
        <w:rPr>
          <w:rFonts w:eastAsia="Times New Roman" w:cs="Arial"/>
          <w:szCs w:val="20"/>
          <w:lang w:eastAsia="en-AU"/>
        </w:rPr>
        <w:t xml:space="preserve"> </w:t>
      </w:r>
      <w:r>
        <w:rPr>
          <w:rFonts w:eastAsia="Times New Roman" w:cs="Arial"/>
          <w:szCs w:val="20"/>
          <w:lang w:eastAsia="en-AU"/>
        </w:rPr>
        <w:t>s</w:t>
      </w:r>
      <w:r w:rsidR="0020112A">
        <w:rPr>
          <w:rFonts w:eastAsia="Times New Roman" w:cs="Arial"/>
          <w:szCs w:val="20"/>
          <w:lang w:eastAsia="en-AU"/>
        </w:rPr>
        <w:t xml:space="preserve">uccessive method reviews </w:t>
      </w:r>
      <w:r>
        <w:rPr>
          <w:rFonts w:eastAsia="Times New Roman" w:cs="Arial"/>
          <w:szCs w:val="20"/>
          <w:lang w:eastAsia="en-AU"/>
        </w:rPr>
        <w:t xml:space="preserve">is </w:t>
      </w:r>
      <w:r w:rsidR="0020112A">
        <w:rPr>
          <w:rFonts w:eastAsia="Times New Roman" w:cs="Arial"/>
          <w:szCs w:val="20"/>
          <w:lang w:eastAsia="en-AU"/>
        </w:rPr>
        <w:t>plac</w:t>
      </w:r>
      <w:r>
        <w:rPr>
          <w:rFonts w:eastAsia="Times New Roman" w:cs="Arial"/>
          <w:szCs w:val="20"/>
          <w:lang w:eastAsia="en-AU"/>
        </w:rPr>
        <w:t>ing</w:t>
      </w:r>
      <w:r w:rsidR="00607114">
        <w:rPr>
          <w:rFonts w:eastAsia="Times New Roman" w:cs="Arial"/>
          <w:szCs w:val="20"/>
          <w:lang w:eastAsia="en-AU"/>
        </w:rPr>
        <w:t xml:space="preserve"> </w:t>
      </w:r>
      <w:r w:rsidR="00D14CA4">
        <w:rPr>
          <w:rFonts w:eastAsia="Times New Roman" w:cs="Arial"/>
          <w:szCs w:val="20"/>
          <w:lang w:eastAsia="en-AU"/>
        </w:rPr>
        <w:t xml:space="preserve">strain on the ERAC’s already </w:t>
      </w:r>
      <w:r w:rsidR="00F901A2">
        <w:rPr>
          <w:rFonts w:eastAsia="Times New Roman" w:cs="Arial"/>
          <w:szCs w:val="20"/>
          <w:lang w:eastAsia="en-AU"/>
        </w:rPr>
        <w:t>limited resources</w:t>
      </w:r>
      <w:r w:rsidR="00607114">
        <w:rPr>
          <w:rFonts w:eastAsia="Times New Roman" w:cs="Arial"/>
          <w:szCs w:val="20"/>
          <w:lang w:eastAsia="en-AU"/>
        </w:rPr>
        <w:t xml:space="preserve">, </w:t>
      </w:r>
      <w:r w:rsidR="0098134D">
        <w:rPr>
          <w:rFonts w:eastAsia="Times New Roman" w:cs="Arial"/>
          <w:szCs w:val="20"/>
          <w:lang w:eastAsia="en-AU"/>
        </w:rPr>
        <w:t>potentially limiting the extent</w:t>
      </w:r>
      <w:r w:rsidR="00F901A2">
        <w:rPr>
          <w:rFonts w:eastAsia="Times New Roman" w:cs="Arial"/>
          <w:szCs w:val="20"/>
          <w:lang w:eastAsia="en-AU"/>
        </w:rPr>
        <w:t xml:space="preserve"> to </w:t>
      </w:r>
      <w:r w:rsidR="0098134D">
        <w:rPr>
          <w:rFonts w:eastAsia="Times New Roman" w:cs="Arial"/>
          <w:szCs w:val="20"/>
          <w:lang w:eastAsia="en-AU"/>
        </w:rPr>
        <w:t>which the ERAC can undertake a thorough analysis</w:t>
      </w:r>
      <w:r w:rsidR="00607114">
        <w:rPr>
          <w:rFonts w:eastAsia="Times New Roman" w:cs="Arial"/>
          <w:szCs w:val="20"/>
          <w:lang w:eastAsia="en-AU"/>
        </w:rPr>
        <w:t xml:space="preserve"> of </w:t>
      </w:r>
      <w:r w:rsidR="0098134D">
        <w:rPr>
          <w:rFonts w:eastAsia="Times New Roman" w:cs="Arial"/>
          <w:szCs w:val="20"/>
          <w:lang w:eastAsia="en-AU"/>
        </w:rPr>
        <w:t>empirical evidence</w:t>
      </w:r>
      <w:r w:rsidR="00F901A2">
        <w:rPr>
          <w:rFonts w:eastAsia="Times New Roman" w:cs="Arial"/>
          <w:szCs w:val="20"/>
          <w:lang w:eastAsia="en-AU"/>
        </w:rPr>
        <w:t xml:space="preserve"> of </w:t>
      </w:r>
      <w:r w:rsidR="0098134D">
        <w:rPr>
          <w:rFonts w:eastAsia="Times New Roman" w:cs="Arial"/>
          <w:szCs w:val="20"/>
          <w:lang w:eastAsia="en-AU"/>
        </w:rPr>
        <w:t>actual projects</w:t>
      </w:r>
      <w:r>
        <w:rPr>
          <w:rFonts w:eastAsia="Times New Roman" w:cs="Arial"/>
          <w:szCs w:val="20"/>
          <w:lang w:eastAsia="en-AU"/>
        </w:rPr>
        <w:t xml:space="preserve"> and delaying when a review of a method </w:t>
      </w:r>
      <w:r w:rsidR="005B6AE0">
        <w:rPr>
          <w:rFonts w:eastAsia="Times New Roman" w:cs="Arial"/>
          <w:szCs w:val="20"/>
          <w:lang w:eastAsia="en-AU"/>
        </w:rPr>
        <w:t>i</w:t>
      </w:r>
      <w:r>
        <w:rPr>
          <w:rFonts w:eastAsia="Times New Roman" w:cs="Arial"/>
          <w:szCs w:val="20"/>
          <w:lang w:eastAsia="en-AU"/>
        </w:rPr>
        <w:t>s able to be undertaken</w:t>
      </w:r>
      <w:r w:rsidR="0098134D">
        <w:rPr>
          <w:rFonts w:eastAsia="Times New Roman" w:cs="Arial"/>
          <w:szCs w:val="20"/>
          <w:lang w:eastAsia="en-AU"/>
        </w:rPr>
        <w:t>.</w:t>
      </w:r>
      <w:r w:rsidR="00607114">
        <w:rPr>
          <w:rFonts w:eastAsia="Times New Roman" w:cs="Arial"/>
          <w:szCs w:val="20"/>
          <w:lang w:eastAsia="en-AU"/>
        </w:rPr>
        <w:t xml:space="preserve"> </w:t>
      </w:r>
    </w:p>
    <w:p w14:paraId="59F6A86C" w14:textId="77777777" w:rsidR="00607114" w:rsidRPr="00397A78" w:rsidRDefault="00607114" w:rsidP="00DC3A77">
      <w:pPr>
        <w:spacing w:after="0"/>
        <w:textAlignment w:val="baseline"/>
        <w:rPr>
          <w:rFonts w:eastAsia="Times New Roman" w:cs="Arial"/>
          <w:szCs w:val="20"/>
          <w:lang w:eastAsia="en-AU"/>
        </w:rPr>
      </w:pPr>
    </w:p>
    <w:p w14:paraId="18814E09" w14:textId="4547C185" w:rsidR="00DB5ECE" w:rsidRDefault="00397A78" w:rsidP="00DC3A77">
      <w:pPr>
        <w:spacing w:after="0"/>
        <w:textAlignment w:val="baseline"/>
        <w:rPr>
          <w:rFonts w:eastAsia="Times New Roman" w:cs="Arial"/>
          <w:i/>
          <w:color w:val="000000"/>
          <w:szCs w:val="20"/>
          <w:lang w:eastAsia="en-AU"/>
        </w:rPr>
      </w:pPr>
      <w:r w:rsidRPr="00397A78">
        <w:rPr>
          <w:rFonts w:eastAsia="Times New Roman" w:cs="Arial"/>
          <w:szCs w:val="20"/>
          <w:lang w:eastAsia="en-AU"/>
        </w:rPr>
        <w:t xml:space="preserve">In its submission to this review, EDL </w:t>
      </w:r>
      <w:r w:rsidR="00F901A2">
        <w:rPr>
          <w:rFonts w:eastAsia="Times New Roman" w:cs="Arial"/>
          <w:szCs w:val="20"/>
          <w:lang w:eastAsia="en-AU"/>
        </w:rPr>
        <w:t>note</w:t>
      </w:r>
      <w:r w:rsidR="00FD2029">
        <w:rPr>
          <w:rFonts w:eastAsia="Times New Roman" w:cs="Arial"/>
          <w:szCs w:val="20"/>
          <w:lang w:eastAsia="en-AU"/>
        </w:rPr>
        <w:t>d</w:t>
      </w:r>
      <w:r w:rsidR="00F901A2">
        <w:rPr>
          <w:rFonts w:eastAsia="Times New Roman" w:cs="Arial"/>
          <w:szCs w:val="20"/>
          <w:lang w:eastAsia="en-AU"/>
        </w:rPr>
        <w:t xml:space="preserve"> the difficulties in obtaining </w:t>
      </w:r>
      <w:r w:rsidR="000F32CD">
        <w:rPr>
          <w:rFonts w:eastAsia="Times New Roman" w:cs="Arial"/>
          <w:color w:val="000000"/>
          <w:szCs w:val="20"/>
          <w:lang w:eastAsia="en-AU"/>
        </w:rPr>
        <w:t>‘</w:t>
      </w:r>
      <w:r w:rsidRPr="00397A78">
        <w:rPr>
          <w:rFonts w:eastAsia="Times New Roman" w:cs="Arial"/>
          <w:i/>
          <w:color w:val="000000"/>
          <w:szCs w:val="20"/>
          <w:lang w:eastAsia="en-AU"/>
        </w:rPr>
        <w:t>a clear picture from the Department as to how ERF-related reviews were being prioritised, timetabled and resourced</w:t>
      </w:r>
      <w:r w:rsidR="000F32CD">
        <w:rPr>
          <w:rFonts w:eastAsia="Times New Roman" w:cs="Arial"/>
          <w:i/>
          <w:color w:val="000000"/>
          <w:szCs w:val="20"/>
          <w:lang w:eastAsia="en-AU"/>
        </w:rPr>
        <w:t>’</w:t>
      </w:r>
      <w:r w:rsidR="00F901A2">
        <w:rPr>
          <w:rFonts w:eastAsia="Times New Roman" w:cs="Arial"/>
          <w:i/>
          <w:color w:val="000000"/>
          <w:szCs w:val="20"/>
          <w:lang w:eastAsia="en-AU"/>
        </w:rPr>
        <w:t xml:space="preserve"> </w:t>
      </w:r>
      <w:r w:rsidR="00F901A2" w:rsidRPr="00F94E82">
        <w:rPr>
          <w:rFonts w:eastAsia="Times New Roman" w:cs="Arial"/>
          <w:i/>
          <w:color w:val="000000"/>
          <w:szCs w:val="20"/>
          <w:lang w:eastAsia="en-AU"/>
        </w:rPr>
        <w:t>(p. 3)</w:t>
      </w:r>
      <w:r w:rsidR="00F901A2" w:rsidRPr="00150658">
        <w:rPr>
          <w:rFonts w:eastAsia="Times New Roman" w:cs="Arial"/>
          <w:i/>
          <w:color w:val="000000"/>
          <w:szCs w:val="20"/>
          <w:lang w:eastAsia="en-AU"/>
        </w:rPr>
        <w:t>.</w:t>
      </w:r>
      <w:r w:rsidR="00F901A2">
        <w:rPr>
          <w:rFonts w:eastAsia="Times New Roman" w:cs="Arial"/>
          <w:i/>
          <w:color w:val="000000"/>
          <w:szCs w:val="20"/>
          <w:lang w:eastAsia="en-AU"/>
        </w:rPr>
        <w:t xml:space="preserve"> </w:t>
      </w:r>
    </w:p>
    <w:p w14:paraId="1B81CB04" w14:textId="5F412DCD" w:rsidR="00D14CA4" w:rsidRPr="00F901A2" w:rsidRDefault="00D14CA4" w:rsidP="00DC3A77">
      <w:pPr>
        <w:spacing w:after="0"/>
        <w:textAlignment w:val="baseline"/>
        <w:rPr>
          <w:rFonts w:eastAsia="Times New Roman" w:cs="Arial"/>
          <w:color w:val="000000"/>
          <w:szCs w:val="20"/>
          <w:lang w:eastAsia="en-AU"/>
        </w:rPr>
      </w:pPr>
    </w:p>
    <w:p w14:paraId="58865D8A" w14:textId="60ADCE82" w:rsidR="00A12282" w:rsidRDefault="00A12282" w:rsidP="00DC3A77">
      <w:pPr>
        <w:spacing w:after="0"/>
        <w:textAlignment w:val="baseline"/>
        <w:rPr>
          <w:rFonts w:eastAsia="Calibri" w:cs="Arial"/>
          <w:szCs w:val="20"/>
        </w:rPr>
      </w:pPr>
      <w:r w:rsidRPr="00397A78">
        <w:rPr>
          <w:rFonts w:eastAsia="Calibri" w:cs="Arial"/>
          <w:szCs w:val="20"/>
        </w:rPr>
        <w:t xml:space="preserve">In order to ensure </w:t>
      </w:r>
      <w:r w:rsidR="00D14CA4" w:rsidRPr="00397A78">
        <w:rPr>
          <w:rFonts w:eastAsia="Calibri" w:cs="Arial"/>
          <w:szCs w:val="20"/>
        </w:rPr>
        <w:t xml:space="preserve">that </w:t>
      </w:r>
      <w:r w:rsidR="00AE0A0F">
        <w:rPr>
          <w:rFonts w:eastAsia="Calibri" w:cs="Arial"/>
          <w:szCs w:val="20"/>
        </w:rPr>
        <w:t>it</w:t>
      </w:r>
      <w:r w:rsidR="003356D4">
        <w:rPr>
          <w:rFonts w:eastAsia="Calibri" w:cs="Arial"/>
          <w:szCs w:val="20"/>
        </w:rPr>
        <w:t xml:space="preserve"> is able to undertake its responsibilities</w:t>
      </w:r>
      <w:r w:rsidRPr="00397A78">
        <w:rPr>
          <w:rFonts w:eastAsia="Calibri" w:cs="Arial"/>
          <w:szCs w:val="20"/>
        </w:rPr>
        <w:t xml:space="preserve"> in the most effic</w:t>
      </w:r>
      <w:r w:rsidR="003356D4">
        <w:rPr>
          <w:rFonts w:eastAsia="Calibri" w:cs="Arial"/>
          <w:szCs w:val="20"/>
        </w:rPr>
        <w:t>ient and effective manner with</w:t>
      </w:r>
      <w:r w:rsidRPr="00397A78">
        <w:rPr>
          <w:rFonts w:eastAsia="Calibri" w:cs="Arial"/>
          <w:szCs w:val="20"/>
        </w:rPr>
        <w:t xml:space="preserve"> the resources</w:t>
      </w:r>
      <w:r w:rsidR="00F901A2">
        <w:rPr>
          <w:rFonts w:eastAsia="Calibri" w:cs="Arial"/>
          <w:szCs w:val="20"/>
        </w:rPr>
        <w:t xml:space="preserve"> it has available</w:t>
      </w:r>
      <w:r w:rsidR="003356D4">
        <w:rPr>
          <w:rFonts w:eastAsia="Calibri" w:cs="Arial"/>
          <w:szCs w:val="20"/>
        </w:rPr>
        <w:t xml:space="preserve"> to it</w:t>
      </w:r>
      <w:r w:rsidR="00F901A2">
        <w:rPr>
          <w:rFonts w:eastAsia="Calibri" w:cs="Arial"/>
          <w:szCs w:val="20"/>
        </w:rPr>
        <w:t xml:space="preserve">, </w:t>
      </w:r>
      <w:r w:rsidR="00C679D9">
        <w:rPr>
          <w:rFonts w:eastAsia="Calibri" w:cs="Arial"/>
          <w:szCs w:val="20"/>
        </w:rPr>
        <w:t>the</w:t>
      </w:r>
      <w:r w:rsidR="00F901A2">
        <w:rPr>
          <w:rFonts w:eastAsia="Calibri" w:cs="Arial"/>
          <w:szCs w:val="20"/>
        </w:rPr>
        <w:t xml:space="preserve"> </w:t>
      </w:r>
      <w:r w:rsidRPr="00397A78">
        <w:rPr>
          <w:rFonts w:eastAsia="Calibri" w:cs="Arial"/>
          <w:szCs w:val="20"/>
        </w:rPr>
        <w:t xml:space="preserve">ERAC </w:t>
      </w:r>
      <w:r w:rsidR="0098134D">
        <w:rPr>
          <w:rFonts w:eastAsia="Calibri" w:cs="Arial"/>
          <w:szCs w:val="20"/>
        </w:rPr>
        <w:t>could</w:t>
      </w:r>
      <w:r w:rsidR="003356D4">
        <w:rPr>
          <w:rFonts w:eastAsia="Calibri" w:cs="Arial"/>
          <w:szCs w:val="20"/>
        </w:rPr>
        <w:t xml:space="preserve"> establish a </w:t>
      </w:r>
      <w:r w:rsidR="0098134D">
        <w:rPr>
          <w:rFonts w:eastAsia="Calibri" w:cs="Arial"/>
          <w:szCs w:val="20"/>
        </w:rPr>
        <w:t xml:space="preserve">framework for the </w:t>
      </w:r>
      <w:r w:rsidR="003356D4">
        <w:rPr>
          <w:rFonts w:eastAsia="Calibri" w:cs="Arial"/>
          <w:szCs w:val="20"/>
        </w:rPr>
        <w:t xml:space="preserve">prioritisation </w:t>
      </w:r>
      <w:r w:rsidR="0098134D">
        <w:rPr>
          <w:rFonts w:eastAsia="Calibri" w:cs="Arial"/>
          <w:szCs w:val="20"/>
        </w:rPr>
        <w:t>of</w:t>
      </w:r>
      <w:r w:rsidRPr="00397A78">
        <w:rPr>
          <w:rFonts w:eastAsia="Calibri" w:cs="Arial"/>
          <w:szCs w:val="20"/>
        </w:rPr>
        <w:t xml:space="preserve"> periodic method</w:t>
      </w:r>
      <w:r w:rsidRPr="00136AAA">
        <w:rPr>
          <w:rFonts w:eastAsia="Calibri" w:cs="Arial"/>
          <w:szCs w:val="20"/>
        </w:rPr>
        <w:t xml:space="preserve"> revie</w:t>
      </w:r>
      <w:r w:rsidR="00F901A2">
        <w:rPr>
          <w:rFonts w:eastAsia="Calibri" w:cs="Arial"/>
          <w:szCs w:val="20"/>
        </w:rPr>
        <w:t>ws</w:t>
      </w:r>
      <w:r w:rsidR="00DB5ECE">
        <w:rPr>
          <w:rFonts w:eastAsia="Calibri" w:cs="Arial"/>
          <w:szCs w:val="20"/>
        </w:rPr>
        <w:t>, rather than reviewing methods on a 4-year cycle as proposed by the White Paper (</w:t>
      </w:r>
      <w:r w:rsidR="000049E6" w:rsidRPr="00764422">
        <w:t xml:space="preserve">Australian Government </w:t>
      </w:r>
      <w:r w:rsidR="000049E6" w:rsidRPr="009C394A">
        <w:rPr>
          <w:rFonts w:eastAsia="Times New Roman" w:cs="Arial"/>
          <w:szCs w:val="20"/>
          <w:lang w:eastAsia="en-AU"/>
        </w:rPr>
        <w:t>2020</w:t>
      </w:r>
      <w:r w:rsidR="000049E6">
        <w:rPr>
          <w:rFonts w:eastAsia="Times New Roman" w:cs="Arial"/>
          <w:szCs w:val="20"/>
          <w:lang w:eastAsia="en-AU"/>
        </w:rPr>
        <w:t>b</w:t>
      </w:r>
      <w:r w:rsidR="00DB5ECE">
        <w:rPr>
          <w:rFonts w:eastAsia="Calibri" w:cs="Arial"/>
          <w:szCs w:val="20"/>
        </w:rPr>
        <w:t>)</w:t>
      </w:r>
      <w:r w:rsidR="00277CD9">
        <w:rPr>
          <w:rFonts w:eastAsia="Calibri" w:cs="Arial"/>
          <w:szCs w:val="20"/>
        </w:rPr>
        <w:t>. This</w:t>
      </w:r>
      <w:r w:rsidR="003356D4">
        <w:rPr>
          <w:rFonts w:eastAsia="Calibri" w:cs="Arial"/>
          <w:szCs w:val="20"/>
        </w:rPr>
        <w:t xml:space="preserve"> </w:t>
      </w:r>
      <w:r w:rsidR="00F901A2">
        <w:rPr>
          <w:rFonts w:eastAsia="Calibri" w:cs="Arial"/>
          <w:szCs w:val="20"/>
        </w:rPr>
        <w:t>c</w:t>
      </w:r>
      <w:r w:rsidRPr="00136AAA">
        <w:rPr>
          <w:rFonts w:eastAsia="Calibri" w:cs="Arial"/>
          <w:szCs w:val="20"/>
        </w:rPr>
        <w:t>ould</w:t>
      </w:r>
      <w:r w:rsidR="003356D4">
        <w:rPr>
          <w:rFonts w:eastAsia="Calibri" w:cs="Arial"/>
          <w:szCs w:val="20"/>
        </w:rPr>
        <w:t xml:space="preserve"> </w:t>
      </w:r>
      <w:r w:rsidR="008252F0">
        <w:rPr>
          <w:rFonts w:eastAsia="Calibri" w:cs="Arial"/>
          <w:szCs w:val="20"/>
        </w:rPr>
        <w:t xml:space="preserve">help </w:t>
      </w:r>
      <w:r w:rsidR="00F901A2">
        <w:rPr>
          <w:rFonts w:eastAsia="Calibri" w:cs="Arial"/>
          <w:szCs w:val="20"/>
        </w:rPr>
        <w:t>free up ERAC resources, allowing it to</w:t>
      </w:r>
      <w:r w:rsidRPr="00136AAA">
        <w:rPr>
          <w:rFonts w:eastAsia="Calibri" w:cs="Arial"/>
          <w:szCs w:val="20"/>
        </w:rPr>
        <w:t xml:space="preserve"> undertake more comprehensive</w:t>
      </w:r>
      <w:r w:rsidR="003356D4">
        <w:rPr>
          <w:rFonts w:eastAsia="Calibri" w:cs="Arial"/>
          <w:szCs w:val="20"/>
        </w:rPr>
        <w:t xml:space="preserve"> </w:t>
      </w:r>
      <w:r w:rsidRPr="00136AAA">
        <w:rPr>
          <w:rFonts w:eastAsia="Calibri" w:cs="Arial"/>
          <w:szCs w:val="20"/>
        </w:rPr>
        <w:t xml:space="preserve">reviews </w:t>
      </w:r>
      <w:r w:rsidR="00F901A2">
        <w:rPr>
          <w:rFonts w:eastAsia="Calibri" w:cs="Arial"/>
          <w:szCs w:val="20"/>
        </w:rPr>
        <w:t xml:space="preserve">of </w:t>
      </w:r>
      <w:r w:rsidR="00802E9F">
        <w:rPr>
          <w:rFonts w:eastAsia="Calibri" w:cs="Arial"/>
          <w:szCs w:val="20"/>
        </w:rPr>
        <w:t xml:space="preserve">how </w:t>
      </w:r>
      <w:r w:rsidR="00F901A2">
        <w:rPr>
          <w:rFonts w:eastAsia="Calibri" w:cs="Arial"/>
          <w:szCs w:val="20"/>
        </w:rPr>
        <w:t>methods</w:t>
      </w:r>
      <w:r w:rsidR="00802E9F">
        <w:rPr>
          <w:rFonts w:eastAsia="Calibri" w:cs="Arial"/>
          <w:szCs w:val="20"/>
        </w:rPr>
        <w:t xml:space="preserve"> are operating</w:t>
      </w:r>
      <w:r w:rsidR="00F901A2">
        <w:rPr>
          <w:rFonts w:eastAsia="Calibri" w:cs="Arial"/>
          <w:szCs w:val="20"/>
        </w:rPr>
        <w:t xml:space="preserve"> on the ground</w:t>
      </w:r>
      <w:r w:rsidR="003356D4">
        <w:rPr>
          <w:rFonts w:eastAsia="Calibri" w:cs="Arial"/>
          <w:szCs w:val="20"/>
        </w:rPr>
        <w:t xml:space="preserve">, </w:t>
      </w:r>
      <w:r w:rsidR="00802E9F">
        <w:rPr>
          <w:rFonts w:eastAsia="Calibri" w:cs="Arial"/>
          <w:szCs w:val="20"/>
        </w:rPr>
        <w:t xml:space="preserve">and prioritising reviews of methods that have a higher </w:t>
      </w:r>
      <w:r w:rsidR="00532023">
        <w:rPr>
          <w:rFonts w:eastAsia="Calibri" w:cs="Arial"/>
          <w:szCs w:val="20"/>
        </w:rPr>
        <w:t xml:space="preserve">risk of non-compliance with </w:t>
      </w:r>
      <w:r w:rsidR="003356D4">
        <w:rPr>
          <w:rFonts w:eastAsia="Calibri" w:cs="Arial"/>
          <w:szCs w:val="20"/>
        </w:rPr>
        <w:t xml:space="preserve">the </w:t>
      </w:r>
      <w:r w:rsidR="00532023">
        <w:rPr>
          <w:rFonts w:eastAsia="Calibri" w:cs="Arial"/>
          <w:szCs w:val="20"/>
        </w:rPr>
        <w:t>Offset</w:t>
      </w:r>
      <w:r w:rsidR="00486911">
        <w:rPr>
          <w:rFonts w:eastAsia="Calibri" w:cs="Arial"/>
          <w:szCs w:val="20"/>
        </w:rPr>
        <w:t>s</w:t>
      </w:r>
      <w:r w:rsidR="00532023">
        <w:rPr>
          <w:rFonts w:eastAsia="Calibri" w:cs="Arial"/>
          <w:szCs w:val="20"/>
        </w:rPr>
        <w:t xml:space="preserve"> Integrity Standards</w:t>
      </w:r>
      <w:r w:rsidR="00C679D9">
        <w:rPr>
          <w:rFonts w:eastAsia="Calibri" w:cs="Arial"/>
          <w:szCs w:val="20"/>
        </w:rPr>
        <w:t xml:space="preserve"> as well as those methods that drive greater levels of emissions abatement</w:t>
      </w:r>
      <w:r w:rsidR="003356D4" w:rsidRPr="00532023">
        <w:rPr>
          <w:rFonts w:eastAsia="Calibri" w:cs="Arial"/>
          <w:szCs w:val="20"/>
        </w:rPr>
        <w:t>.</w:t>
      </w:r>
      <w:r w:rsidR="003356D4">
        <w:rPr>
          <w:rFonts w:eastAsia="Calibri" w:cs="Arial"/>
          <w:szCs w:val="20"/>
        </w:rPr>
        <w:t xml:space="preserve"> A prioritisation process would also</w:t>
      </w:r>
      <w:r w:rsidR="00F901A2">
        <w:rPr>
          <w:rFonts w:eastAsia="Calibri" w:cs="Arial"/>
          <w:szCs w:val="20"/>
        </w:rPr>
        <w:t xml:space="preserve"> provide stakeholders with </w:t>
      </w:r>
      <w:r w:rsidR="00CC7B7A">
        <w:rPr>
          <w:rFonts w:eastAsia="Calibri" w:cs="Arial"/>
          <w:szCs w:val="20"/>
        </w:rPr>
        <w:t>more</w:t>
      </w:r>
      <w:r w:rsidR="00F901A2">
        <w:rPr>
          <w:rFonts w:eastAsia="Calibri" w:cs="Arial"/>
          <w:szCs w:val="20"/>
        </w:rPr>
        <w:t xml:space="preserve"> certainty and transparency in relation to the </w:t>
      </w:r>
      <w:r w:rsidR="003356D4">
        <w:rPr>
          <w:rFonts w:eastAsia="Calibri" w:cs="Arial"/>
          <w:szCs w:val="20"/>
        </w:rPr>
        <w:t xml:space="preserve">methods </w:t>
      </w:r>
      <w:r w:rsidR="00F901A2">
        <w:rPr>
          <w:rFonts w:eastAsia="Calibri" w:cs="Arial"/>
          <w:szCs w:val="20"/>
        </w:rPr>
        <w:t>review process</w:t>
      </w:r>
      <w:r w:rsidR="003356D4">
        <w:rPr>
          <w:rFonts w:eastAsia="Calibri" w:cs="Arial"/>
          <w:szCs w:val="20"/>
        </w:rPr>
        <w:t>.</w:t>
      </w:r>
    </w:p>
    <w:p w14:paraId="6967FD2B" w14:textId="77777777" w:rsidR="008E485E" w:rsidRDefault="008E485E" w:rsidP="00DC3A77">
      <w:pPr>
        <w:spacing w:after="0"/>
        <w:textAlignment w:val="baseline"/>
        <w:rPr>
          <w:rFonts w:eastAsia="Calibri" w:cs="Arial"/>
          <w:szCs w:val="20"/>
        </w:rPr>
      </w:pPr>
    </w:p>
    <w:tbl>
      <w:tblPr>
        <w:tblStyle w:val="TableGrid"/>
        <w:tblW w:w="0" w:type="auto"/>
        <w:tblLook w:val="04A0" w:firstRow="1" w:lastRow="0" w:firstColumn="1" w:lastColumn="0" w:noHBand="0" w:noVBand="1"/>
      </w:tblPr>
      <w:tblGrid>
        <w:gridCol w:w="9016"/>
      </w:tblGrid>
      <w:tr w:rsidR="00A5211A" w14:paraId="1C788A58" w14:textId="77777777" w:rsidTr="00A5211A">
        <w:tc>
          <w:tcPr>
            <w:tcW w:w="9016" w:type="dxa"/>
          </w:tcPr>
          <w:p w14:paraId="6EB4CA23" w14:textId="00AAFE07" w:rsidR="00A5211A" w:rsidRDefault="00A5211A" w:rsidP="00A5211A">
            <w:pPr>
              <w:rPr>
                <w:rFonts w:ascii="Calibri" w:eastAsia="Calibri" w:hAnsi="Calibri" w:cs="Times New Roman"/>
                <w:b/>
                <w:sz w:val="22"/>
              </w:rPr>
            </w:pPr>
            <w:r w:rsidRPr="00657D37">
              <w:rPr>
                <w:b/>
              </w:rPr>
              <w:t>Recommendation 1</w:t>
            </w:r>
            <w:r w:rsidR="00D87E61">
              <w:rPr>
                <w:b/>
              </w:rPr>
              <w:t>5</w:t>
            </w:r>
          </w:p>
          <w:p w14:paraId="44CDF72A" w14:textId="77777777" w:rsidR="00A5211A" w:rsidRDefault="00A5211A" w:rsidP="00A5211A">
            <w:pPr>
              <w:textAlignment w:val="baseline"/>
              <w:rPr>
                <w:rFonts w:eastAsia="Calibri" w:cs="Arial"/>
                <w:b/>
                <w:szCs w:val="20"/>
              </w:rPr>
            </w:pPr>
          </w:p>
          <w:p w14:paraId="7675B39D" w14:textId="3142BFC0" w:rsidR="00A5211A" w:rsidRPr="007D697F" w:rsidRDefault="00D34038" w:rsidP="00D72F5E">
            <w:pPr>
              <w:rPr>
                <w:b/>
              </w:rPr>
            </w:pPr>
            <w:r w:rsidRPr="00D72F5E">
              <w:rPr>
                <w:rFonts w:eastAsia="Calibri" w:cs="Arial"/>
                <w:b/>
                <w:szCs w:val="20"/>
              </w:rPr>
              <w:t>To enable it to efficiently maintain the quality of ERF methods, the ERAC develop a framework for prioritising its periodic method reviews, taking into account the current and likely future uptake of the method, the complexity of the method, the likelihood of breaches of compliance with the Offsets Integrity Standards and any relevant legislative rule changes.</w:t>
            </w:r>
          </w:p>
        </w:tc>
      </w:tr>
    </w:tbl>
    <w:p w14:paraId="3D06B856" w14:textId="77777777" w:rsidR="00215964" w:rsidRPr="00345096" w:rsidRDefault="00215964" w:rsidP="00345096">
      <w:pPr>
        <w:spacing w:line="240" w:lineRule="auto"/>
        <w:contextualSpacing/>
        <w:rPr>
          <w:rFonts w:eastAsia="Calibri" w:cs="Arial"/>
          <w:szCs w:val="20"/>
        </w:rPr>
      </w:pPr>
    </w:p>
    <w:p w14:paraId="22FFB668" w14:textId="0EE3D662" w:rsidR="00A12282" w:rsidRPr="007D697F" w:rsidRDefault="00A12282" w:rsidP="00A12282">
      <w:pPr>
        <w:pStyle w:val="Heading3"/>
        <w:rPr>
          <w:i/>
          <w:color w:val="0070AE" w:themeColor="accent2" w:themeTint="BF"/>
        </w:rPr>
      </w:pPr>
      <w:r w:rsidRPr="007D697F">
        <w:rPr>
          <w:i/>
          <w:color w:val="0070AE" w:themeColor="accent2" w:themeTint="BF"/>
        </w:rPr>
        <w:t xml:space="preserve">Crediting period extension reviews  </w:t>
      </w:r>
    </w:p>
    <w:p w14:paraId="46D2880D" w14:textId="1E44AF8E" w:rsidR="005D0D12" w:rsidRPr="00737153" w:rsidRDefault="00A95BCE" w:rsidP="005D0D12">
      <w:pPr>
        <w:spacing w:after="0"/>
        <w:textAlignment w:val="baseline"/>
        <w:rPr>
          <w:rFonts w:eastAsia="Times New Roman" w:cs="Arial"/>
          <w:szCs w:val="20"/>
          <w:lang w:eastAsia="en-AU"/>
        </w:rPr>
      </w:pPr>
      <w:r>
        <w:rPr>
          <w:rFonts w:eastAsia="Times New Roman" w:cs="Arial"/>
          <w:szCs w:val="20"/>
          <w:lang w:eastAsia="en-AU"/>
        </w:rPr>
        <w:t xml:space="preserve">In </w:t>
      </w:r>
      <w:r w:rsidR="00737153" w:rsidRPr="00443D52">
        <w:rPr>
          <w:rFonts w:eastAsia="Times New Roman" w:cs="Arial"/>
          <w:szCs w:val="20"/>
          <w:lang w:eastAsia="en-AU"/>
        </w:rPr>
        <w:t xml:space="preserve">conducting </w:t>
      </w:r>
      <w:r w:rsidR="005D0D12" w:rsidRPr="00443D52">
        <w:rPr>
          <w:rFonts w:eastAsia="Times New Roman" w:cs="Arial"/>
          <w:szCs w:val="20"/>
          <w:lang w:eastAsia="en-AU"/>
        </w:rPr>
        <w:t>a</w:t>
      </w:r>
      <w:r w:rsidR="005D0D12">
        <w:rPr>
          <w:rFonts w:eastAsia="Times New Roman" w:cs="Arial"/>
          <w:szCs w:val="20"/>
          <w:lang w:eastAsia="en-AU"/>
        </w:rPr>
        <w:t xml:space="preserve"> crediting period </w:t>
      </w:r>
      <w:r w:rsidR="00737153" w:rsidRPr="00443D52">
        <w:rPr>
          <w:rFonts w:eastAsia="Times New Roman" w:cs="Arial"/>
          <w:szCs w:val="20"/>
          <w:lang w:eastAsia="en-AU"/>
        </w:rPr>
        <w:t xml:space="preserve">extension review, the </w:t>
      </w:r>
      <w:r w:rsidR="00737153">
        <w:rPr>
          <w:rFonts w:eastAsia="Times New Roman" w:cs="Arial"/>
          <w:szCs w:val="20"/>
          <w:lang w:eastAsia="en-AU"/>
        </w:rPr>
        <w:t>ERAC</w:t>
      </w:r>
      <w:r w:rsidR="00737153" w:rsidRPr="00443D52">
        <w:rPr>
          <w:rFonts w:eastAsia="Times New Roman" w:cs="Arial"/>
          <w:szCs w:val="20"/>
          <w:lang w:eastAsia="en-AU"/>
        </w:rPr>
        <w:t xml:space="preserve"> considers whether a </w:t>
      </w:r>
      <w:r w:rsidR="009F3BA8">
        <w:rPr>
          <w:rFonts w:eastAsia="Times New Roman" w:cs="Arial"/>
          <w:szCs w:val="20"/>
          <w:lang w:eastAsia="en-AU"/>
        </w:rPr>
        <w:t>method</w:t>
      </w:r>
      <w:r w:rsidR="00737153" w:rsidRPr="00443D52">
        <w:rPr>
          <w:rFonts w:eastAsia="Times New Roman" w:cs="Arial"/>
          <w:szCs w:val="20"/>
          <w:lang w:eastAsia="en-AU"/>
        </w:rPr>
        <w:t xml:space="preserve"> should be varied so as to extend the crediting period for eligible offsets projects covered by the determination </w:t>
      </w:r>
      <w:r w:rsidR="005D0D12">
        <w:rPr>
          <w:rFonts w:eastAsia="Times New Roman" w:cs="Arial"/>
          <w:szCs w:val="20"/>
          <w:lang w:eastAsia="en-AU"/>
        </w:rPr>
        <w:t xml:space="preserve">by considering whether the emissions reduction activity continues to be additional </w:t>
      </w:r>
      <w:r w:rsidR="00737153" w:rsidRPr="00443D52">
        <w:rPr>
          <w:rFonts w:eastAsia="Times New Roman" w:cs="Arial"/>
          <w:szCs w:val="20"/>
          <w:lang w:eastAsia="en-AU"/>
        </w:rPr>
        <w:t>(</w:t>
      </w:r>
      <w:r w:rsidR="00737153">
        <w:rPr>
          <w:rFonts w:eastAsia="Times New Roman" w:cs="Arial"/>
          <w:szCs w:val="20"/>
          <w:lang w:eastAsia="en-AU"/>
        </w:rPr>
        <w:t>s 255(ha); 255A(1</w:t>
      </w:r>
      <w:r w:rsidR="005D0D12">
        <w:rPr>
          <w:rFonts w:eastAsia="Times New Roman" w:cs="Arial"/>
          <w:szCs w:val="20"/>
          <w:lang w:eastAsia="en-AU"/>
        </w:rPr>
        <w:t>)</w:t>
      </w:r>
      <w:r w:rsidR="00C65DF3">
        <w:rPr>
          <w:rFonts w:eastAsia="Times New Roman" w:cs="Arial"/>
          <w:szCs w:val="20"/>
          <w:lang w:eastAsia="en-AU"/>
        </w:rPr>
        <w:t>,</w:t>
      </w:r>
      <w:r w:rsidR="005D0D12">
        <w:rPr>
          <w:rFonts w:eastAsia="Times New Roman" w:cs="Arial"/>
          <w:szCs w:val="20"/>
          <w:lang w:eastAsia="en-AU"/>
        </w:rPr>
        <w:t xml:space="preserve"> 133(a)(1)</w:t>
      </w:r>
      <w:r w:rsidR="008252F0">
        <w:rPr>
          <w:rFonts w:eastAsia="Times New Roman" w:cs="Arial"/>
          <w:szCs w:val="20"/>
          <w:lang w:eastAsia="en-AU"/>
        </w:rPr>
        <w:t>;</w:t>
      </w:r>
      <w:r w:rsidR="005D0D12">
        <w:rPr>
          <w:rFonts w:eastAsia="Times New Roman" w:cs="Arial"/>
          <w:szCs w:val="20"/>
          <w:lang w:eastAsia="en-AU"/>
        </w:rPr>
        <w:t xml:space="preserve"> </w:t>
      </w:r>
      <w:r w:rsidR="005D0D12" w:rsidRPr="00D72F5E">
        <w:rPr>
          <w:rFonts w:eastAsia="Times New Roman" w:cs="Arial"/>
          <w:szCs w:val="20"/>
          <w:lang w:eastAsia="en-AU"/>
        </w:rPr>
        <w:t>ERAC 2018</w:t>
      </w:r>
      <w:r w:rsidR="005D0D12" w:rsidRPr="005D0D12">
        <w:rPr>
          <w:rFonts w:eastAsia="Times New Roman" w:cs="Arial"/>
          <w:szCs w:val="20"/>
          <w:lang w:eastAsia="en-AU"/>
        </w:rPr>
        <w:t>).</w:t>
      </w:r>
      <w:r w:rsidR="00737153" w:rsidRPr="00443D52">
        <w:rPr>
          <w:rFonts w:eastAsia="Times New Roman" w:cs="Arial"/>
          <w:szCs w:val="20"/>
          <w:lang w:eastAsia="en-AU"/>
        </w:rPr>
        <w:t xml:space="preserve"> The </w:t>
      </w:r>
      <w:r w:rsidR="00737153">
        <w:rPr>
          <w:rFonts w:eastAsia="Times New Roman" w:cs="Arial"/>
          <w:szCs w:val="20"/>
          <w:lang w:eastAsia="en-AU"/>
        </w:rPr>
        <w:t>ERAC</w:t>
      </w:r>
      <w:r w:rsidR="00737153" w:rsidRPr="00443D52">
        <w:rPr>
          <w:rFonts w:eastAsia="Times New Roman" w:cs="Arial"/>
          <w:szCs w:val="20"/>
          <w:lang w:eastAsia="en-AU"/>
        </w:rPr>
        <w:t xml:space="preserve"> must ensure that it completes a review before a project </w:t>
      </w:r>
      <w:r w:rsidR="005D0D12" w:rsidRPr="005D0D12">
        <w:rPr>
          <w:rFonts w:eastAsia="Times New Roman" w:cs="Arial"/>
          <w:szCs w:val="20"/>
          <w:lang w:eastAsia="en-AU"/>
        </w:rPr>
        <w:t xml:space="preserve">using the method </w:t>
      </w:r>
      <w:r w:rsidR="00737153" w:rsidRPr="00443D52">
        <w:rPr>
          <w:rFonts w:eastAsia="Times New Roman" w:cs="Arial"/>
          <w:szCs w:val="20"/>
          <w:lang w:eastAsia="en-AU"/>
        </w:rPr>
        <w:t>enters the last 12 months of its crediting period (</w:t>
      </w:r>
      <w:r w:rsidR="00A5211A">
        <w:rPr>
          <w:rFonts w:eastAsia="Times New Roman" w:cs="Arial"/>
          <w:szCs w:val="20"/>
          <w:lang w:eastAsia="en-AU"/>
        </w:rPr>
        <w:t>s255A</w:t>
      </w:r>
      <w:r w:rsidR="00737153">
        <w:rPr>
          <w:rFonts w:eastAsia="Times New Roman" w:cs="Arial"/>
          <w:szCs w:val="20"/>
          <w:lang w:eastAsia="en-AU"/>
        </w:rPr>
        <w:t>(4)</w:t>
      </w:r>
      <w:r w:rsidR="00737153" w:rsidRPr="00443D52">
        <w:rPr>
          <w:rFonts w:eastAsia="Times New Roman" w:cs="Arial"/>
          <w:szCs w:val="20"/>
          <w:lang w:eastAsia="en-AU"/>
        </w:rPr>
        <w:t>), and is required to undertake such public consultation</w:t>
      </w:r>
      <w:r w:rsidR="008252F0">
        <w:rPr>
          <w:rFonts w:eastAsia="Times New Roman" w:cs="Arial"/>
          <w:szCs w:val="20"/>
          <w:lang w:eastAsia="en-AU"/>
        </w:rPr>
        <w:t xml:space="preserve"> as</w:t>
      </w:r>
      <w:r w:rsidR="00737153" w:rsidRPr="00443D52">
        <w:rPr>
          <w:rFonts w:eastAsia="Times New Roman" w:cs="Arial"/>
          <w:szCs w:val="20"/>
          <w:lang w:eastAsia="en-AU"/>
        </w:rPr>
        <w:t xml:space="preserve"> it considers </w:t>
      </w:r>
      <w:r w:rsidR="00FB0900">
        <w:rPr>
          <w:rFonts w:eastAsia="Times New Roman" w:cs="Arial"/>
          <w:szCs w:val="20"/>
          <w:lang w:eastAsia="en-AU"/>
        </w:rPr>
        <w:t>appropriate</w:t>
      </w:r>
      <w:r w:rsidR="00737153" w:rsidRPr="00443D52">
        <w:rPr>
          <w:rFonts w:eastAsia="Times New Roman" w:cs="Arial"/>
          <w:szCs w:val="20"/>
          <w:lang w:eastAsia="en-AU"/>
        </w:rPr>
        <w:t xml:space="preserve"> (</w:t>
      </w:r>
      <w:r w:rsidR="00737153">
        <w:rPr>
          <w:rFonts w:eastAsia="Times New Roman" w:cs="Arial"/>
          <w:szCs w:val="20"/>
          <w:lang w:eastAsia="en-AU"/>
        </w:rPr>
        <w:t xml:space="preserve">s 255(hb); </w:t>
      </w:r>
      <w:r w:rsidR="00A5211A">
        <w:rPr>
          <w:rFonts w:eastAsia="Times New Roman" w:cs="Arial"/>
          <w:szCs w:val="20"/>
          <w:lang w:eastAsia="en-AU"/>
        </w:rPr>
        <w:t>s255A</w:t>
      </w:r>
      <w:r w:rsidR="00737153">
        <w:rPr>
          <w:rFonts w:eastAsia="Times New Roman" w:cs="Arial"/>
          <w:szCs w:val="20"/>
          <w:lang w:eastAsia="en-AU"/>
        </w:rPr>
        <w:t>(3)</w:t>
      </w:r>
      <w:r w:rsidR="00737153" w:rsidRPr="00443D52">
        <w:rPr>
          <w:rFonts w:eastAsia="Times New Roman" w:cs="Arial"/>
          <w:szCs w:val="20"/>
          <w:lang w:eastAsia="en-AU"/>
        </w:rPr>
        <w:t xml:space="preserve">). The </w:t>
      </w:r>
      <w:r w:rsidR="00737153">
        <w:rPr>
          <w:rFonts w:eastAsia="Times New Roman" w:cs="Arial"/>
          <w:szCs w:val="20"/>
          <w:lang w:eastAsia="en-AU"/>
        </w:rPr>
        <w:t>ERAC</w:t>
      </w:r>
      <w:r w:rsidR="00544C35">
        <w:rPr>
          <w:rFonts w:eastAsia="Times New Roman" w:cs="Arial"/>
          <w:szCs w:val="20"/>
          <w:lang w:eastAsia="en-AU"/>
        </w:rPr>
        <w:t xml:space="preserve"> then</w:t>
      </w:r>
      <w:r w:rsidR="00737153">
        <w:rPr>
          <w:rFonts w:eastAsia="Times New Roman" w:cs="Arial"/>
          <w:szCs w:val="20"/>
          <w:lang w:eastAsia="en-AU"/>
        </w:rPr>
        <w:t xml:space="preserve"> </w:t>
      </w:r>
      <w:r w:rsidR="00544C35">
        <w:rPr>
          <w:rFonts w:eastAsia="Times New Roman" w:cs="Arial"/>
          <w:szCs w:val="20"/>
          <w:lang w:eastAsia="en-AU"/>
        </w:rPr>
        <w:t>advises the Minister of</w:t>
      </w:r>
      <w:r w:rsidR="00737153" w:rsidRPr="00443D52">
        <w:rPr>
          <w:rFonts w:eastAsia="Times New Roman" w:cs="Arial"/>
          <w:szCs w:val="20"/>
          <w:lang w:eastAsia="en-AU"/>
        </w:rPr>
        <w:t xml:space="preserve"> the outcomes of the review (</w:t>
      </w:r>
      <w:r w:rsidR="00737153">
        <w:rPr>
          <w:rFonts w:eastAsia="Times New Roman" w:cs="Arial"/>
          <w:szCs w:val="20"/>
          <w:lang w:eastAsia="en-AU"/>
        </w:rPr>
        <w:t>s 255(hc)</w:t>
      </w:r>
      <w:r w:rsidR="00544C35">
        <w:rPr>
          <w:rFonts w:eastAsia="Times New Roman" w:cs="Arial"/>
          <w:szCs w:val="20"/>
          <w:lang w:eastAsia="en-AU"/>
        </w:rPr>
        <w:t xml:space="preserve">). </w:t>
      </w:r>
      <w:r w:rsidR="00544C35" w:rsidRPr="00443D52">
        <w:rPr>
          <w:rFonts w:eastAsia="Times New Roman" w:cs="Arial"/>
          <w:szCs w:val="20"/>
          <w:lang w:eastAsia="en-AU"/>
        </w:rPr>
        <w:t xml:space="preserve"> </w:t>
      </w:r>
    </w:p>
    <w:p w14:paraId="3367D773" w14:textId="77777777" w:rsidR="00136AAA" w:rsidRPr="00136AAA" w:rsidRDefault="00136AAA" w:rsidP="00DC3A77">
      <w:pPr>
        <w:contextualSpacing/>
        <w:rPr>
          <w:rFonts w:eastAsia="Calibri" w:cs="Arial"/>
          <w:szCs w:val="20"/>
        </w:rPr>
      </w:pPr>
    </w:p>
    <w:p w14:paraId="17B212F7" w14:textId="77777777" w:rsidR="008D7B36" w:rsidRDefault="00136AAA" w:rsidP="00DC3A77">
      <w:pPr>
        <w:contextualSpacing/>
        <w:rPr>
          <w:rFonts w:eastAsia="Calibri" w:cs="Arial"/>
          <w:szCs w:val="20"/>
        </w:rPr>
      </w:pPr>
      <w:r w:rsidRPr="00136AAA">
        <w:rPr>
          <w:rFonts w:eastAsia="Calibri" w:cs="Arial"/>
          <w:szCs w:val="20"/>
        </w:rPr>
        <w:t>Currently</w:t>
      </w:r>
      <w:r w:rsidR="00A926FF">
        <w:rPr>
          <w:rFonts w:eastAsia="Calibri" w:cs="Arial"/>
          <w:szCs w:val="20"/>
        </w:rPr>
        <w:t>,</w:t>
      </w:r>
      <w:r w:rsidRPr="00136AAA">
        <w:rPr>
          <w:rFonts w:eastAsia="Calibri" w:cs="Arial"/>
          <w:szCs w:val="20"/>
        </w:rPr>
        <w:t xml:space="preserve"> the Act prohibits the Minister from varying a method to ex</w:t>
      </w:r>
      <w:r w:rsidR="00A926FF">
        <w:rPr>
          <w:rFonts w:eastAsia="Calibri" w:cs="Arial"/>
          <w:szCs w:val="20"/>
        </w:rPr>
        <w:t xml:space="preserve">tend crediting periods when the ERAC </w:t>
      </w:r>
      <w:r w:rsidRPr="00136AAA">
        <w:rPr>
          <w:rFonts w:eastAsia="Calibri" w:cs="Arial"/>
          <w:szCs w:val="20"/>
        </w:rPr>
        <w:t>has previously advised the Minister not to extend a crediting period</w:t>
      </w:r>
      <w:r w:rsidR="00A5211A">
        <w:rPr>
          <w:rFonts w:eastAsia="Calibri" w:cs="Arial"/>
          <w:szCs w:val="20"/>
        </w:rPr>
        <w:t>.</w:t>
      </w:r>
      <w:r w:rsidR="00A926FF">
        <w:rPr>
          <w:rFonts w:eastAsia="Calibri" w:cs="Arial"/>
          <w:szCs w:val="20"/>
        </w:rPr>
        <w:t xml:space="preserve"> This has led to a </w:t>
      </w:r>
      <w:r w:rsidRPr="00136AAA">
        <w:rPr>
          <w:rFonts w:eastAsia="Calibri" w:cs="Arial"/>
          <w:szCs w:val="20"/>
        </w:rPr>
        <w:t xml:space="preserve">situation </w:t>
      </w:r>
      <w:r w:rsidR="0092677A">
        <w:rPr>
          <w:rFonts w:eastAsia="Calibri" w:cs="Arial"/>
          <w:szCs w:val="20"/>
        </w:rPr>
        <w:t>where</w:t>
      </w:r>
      <w:r w:rsidRPr="00136AAA">
        <w:rPr>
          <w:rFonts w:eastAsia="Calibri" w:cs="Arial"/>
          <w:szCs w:val="20"/>
        </w:rPr>
        <w:t xml:space="preserve"> </w:t>
      </w:r>
      <w:r w:rsidR="00B5306B">
        <w:rPr>
          <w:rFonts w:eastAsia="Calibri" w:cs="Arial"/>
          <w:szCs w:val="20"/>
        </w:rPr>
        <w:t xml:space="preserve">the Minister cannot extend a crediting period based on subsequent ERAC advice which reflects the </w:t>
      </w:r>
      <w:r w:rsidRPr="00136AAA">
        <w:rPr>
          <w:rFonts w:eastAsia="Calibri" w:cs="Arial"/>
          <w:szCs w:val="20"/>
        </w:rPr>
        <w:t>changed circumstances</w:t>
      </w:r>
      <w:r w:rsidR="00B5306B">
        <w:rPr>
          <w:rFonts w:eastAsia="Calibri" w:cs="Arial"/>
          <w:szCs w:val="20"/>
        </w:rPr>
        <w:t xml:space="preserve">. </w:t>
      </w:r>
      <w:r w:rsidR="00002DC4">
        <w:rPr>
          <w:rFonts w:eastAsia="Calibri" w:cs="Arial"/>
          <w:szCs w:val="20"/>
        </w:rPr>
        <w:t xml:space="preserve">This issue </w:t>
      </w:r>
      <w:r w:rsidR="005D0D12">
        <w:rPr>
          <w:rFonts w:eastAsia="Calibri" w:cs="Arial"/>
          <w:szCs w:val="20"/>
        </w:rPr>
        <w:t>appears to have arisen</w:t>
      </w:r>
      <w:r w:rsidR="00002DC4">
        <w:rPr>
          <w:rFonts w:eastAsia="Calibri" w:cs="Arial"/>
          <w:szCs w:val="20"/>
        </w:rPr>
        <w:t xml:space="preserve"> in respect of the landfill gas method</w:t>
      </w:r>
      <w:r w:rsidR="00DC15E5">
        <w:rPr>
          <w:rFonts w:eastAsia="Calibri" w:cs="Arial"/>
          <w:szCs w:val="20"/>
        </w:rPr>
        <w:t xml:space="preserve"> (</w:t>
      </w:r>
      <w:r w:rsidR="00DC15E5" w:rsidRPr="00A5211A">
        <w:rPr>
          <w:rFonts w:eastAsia="Calibri" w:cs="Arial"/>
          <w:szCs w:val="20"/>
        </w:rPr>
        <w:t>Box 6.2)</w:t>
      </w:r>
      <w:r w:rsidR="00DB79E8" w:rsidRPr="00A5211A">
        <w:rPr>
          <w:rFonts w:eastAsia="Calibri" w:cs="Arial"/>
          <w:szCs w:val="20"/>
        </w:rPr>
        <w:t>.</w:t>
      </w:r>
    </w:p>
    <w:p w14:paraId="503594AF" w14:textId="77777777" w:rsidR="008D7B36" w:rsidRDefault="008D7B36">
      <w:pPr>
        <w:spacing w:line="259" w:lineRule="auto"/>
        <w:rPr>
          <w:rFonts w:eastAsia="Calibri" w:cs="Arial"/>
          <w:szCs w:val="20"/>
        </w:rPr>
      </w:pPr>
      <w:r>
        <w:rPr>
          <w:rFonts w:eastAsia="Calibri" w:cs="Arial"/>
          <w:szCs w:val="20"/>
        </w:rPr>
        <w:br w:type="page"/>
      </w:r>
    </w:p>
    <w:p w14:paraId="788F63E7" w14:textId="78D9A255" w:rsidR="006F2EE4" w:rsidRDefault="003B774C" w:rsidP="00DC3A77">
      <w:pPr>
        <w:contextualSpacing/>
        <w:rPr>
          <w:rFonts w:eastAsia="Calibri" w:cs="Arial"/>
          <w:szCs w:val="20"/>
        </w:rPr>
      </w:pPr>
      <w:r>
        <w:rPr>
          <w:rFonts w:eastAsia="Calibri" w:cs="Arial"/>
          <w:szCs w:val="20"/>
        </w:rPr>
        <w:t xml:space="preserve"> </w:t>
      </w:r>
      <w:r w:rsidR="00A07C94">
        <w:rPr>
          <w:rFonts w:eastAsia="Calibri" w:cs="Arial"/>
          <w:szCs w:val="20"/>
        </w:rPr>
        <w:t xml:space="preserve"> </w:t>
      </w:r>
    </w:p>
    <w:tbl>
      <w:tblPr>
        <w:tblStyle w:val="TableGrid"/>
        <w:tblpPr w:leftFromText="180" w:rightFromText="180" w:vertAnchor="text" w:horzAnchor="margin" w:tblpY="180"/>
        <w:tblW w:w="0" w:type="auto"/>
        <w:tblLook w:val="04A0" w:firstRow="1" w:lastRow="0" w:firstColumn="1" w:lastColumn="0" w:noHBand="0" w:noVBand="1"/>
      </w:tblPr>
      <w:tblGrid>
        <w:gridCol w:w="9016"/>
      </w:tblGrid>
      <w:tr w:rsidR="00A07C94" w14:paraId="1FD64CC6" w14:textId="77777777" w:rsidTr="00A07C94">
        <w:tc>
          <w:tcPr>
            <w:tcW w:w="9016" w:type="dxa"/>
          </w:tcPr>
          <w:p w14:paraId="2E1B901A" w14:textId="65AABE3A" w:rsidR="00A07C94" w:rsidRPr="009D643E" w:rsidRDefault="00DC15E5" w:rsidP="009D643E">
            <w:pPr>
              <w:pStyle w:val="Box"/>
              <w:pBdr>
                <w:top w:val="none" w:sz="0" w:space="0" w:color="auto"/>
                <w:left w:val="none" w:sz="0" w:space="0" w:color="auto"/>
                <w:bottom w:val="none" w:sz="0" w:space="0" w:color="auto"/>
                <w:right w:val="none" w:sz="0" w:space="0" w:color="auto"/>
              </w:pBdr>
            </w:pPr>
            <w:bookmarkStart w:id="2704" w:name="_Toc53129525"/>
            <w:r w:rsidRPr="009D643E">
              <w:t xml:space="preserve">Box 6.2 </w:t>
            </w:r>
            <w:r w:rsidR="00A07C94" w:rsidRPr="009D643E">
              <w:t>Case study: Review of the landfill gas method</w:t>
            </w:r>
            <w:bookmarkEnd w:id="2704"/>
            <w:r w:rsidR="00A07C94" w:rsidRPr="009D643E">
              <w:t xml:space="preserve"> </w:t>
            </w:r>
          </w:p>
          <w:p w14:paraId="7273FE59" w14:textId="77777777" w:rsidR="00A07C94" w:rsidRDefault="00A07C94" w:rsidP="00A07C94"/>
          <w:p w14:paraId="66F1926B" w14:textId="782F75F7" w:rsidR="00A07C94" w:rsidRDefault="00A07C94" w:rsidP="00A07C94">
            <w:r>
              <w:t>Landfill gas is generated when organic material decomposes in landfill. The landfill gas method provides an incentive to install new landfill gas collection systems, upgrade existing systems or recommence operation of non-operational systems. Projects capture the gas and combust it, either through flaring or internal combustion. L</w:t>
            </w:r>
            <w:r w:rsidRPr="00B32198">
              <w:t>andfill gas projects have been effective at driving emissions</w:t>
            </w:r>
            <w:r>
              <w:t xml:space="preserve"> reductions in the waste sector. As of 22 June 2020, they are responsible for 30</w:t>
            </w:r>
            <w:r w:rsidR="00DE065E">
              <w:t xml:space="preserve"> per cent</w:t>
            </w:r>
            <w:r>
              <w:t xml:space="preserve"> of total ACCUs issued (22.7 million tonnes of avoided CO2</w:t>
            </w:r>
            <w:r w:rsidRPr="00665E32">
              <w:rPr>
                <w:vertAlign w:val="subscript"/>
              </w:rPr>
              <w:t>e</w:t>
            </w:r>
            <w:r>
              <w:t>) and comprise 13</w:t>
            </w:r>
            <w:r w:rsidR="00DE065E">
              <w:t xml:space="preserve"> per cent</w:t>
            </w:r>
            <w:r>
              <w:t xml:space="preserve"> of Commonwealth contracted abatement, against which they have successfully delivered 57</w:t>
            </w:r>
            <w:r w:rsidR="00DE065E">
              <w:t xml:space="preserve"> per cent</w:t>
            </w:r>
            <w:r>
              <w:t>.</w:t>
            </w:r>
          </w:p>
          <w:p w14:paraId="5C8AF6E6" w14:textId="77777777" w:rsidR="00A07C94" w:rsidRPr="005644F5" w:rsidRDefault="00A07C94" w:rsidP="00A07C94">
            <w:r>
              <w:t xml:space="preserve">  </w:t>
            </w:r>
          </w:p>
          <w:p w14:paraId="5A2EC233" w14:textId="082E0739" w:rsidR="00A07C94" w:rsidRDefault="00A07C94" w:rsidP="00A07C94">
            <w:pPr>
              <w:rPr>
                <w:rFonts w:eastAsia="Calibri" w:cs="Arial"/>
                <w:szCs w:val="20"/>
              </w:rPr>
            </w:pPr>
            <w:r>
              <w:t>T</w:t>
            </w:r>
            <w:r w:rsidRPr="00B32198">
              <w:t>he crediting period for most</w:t>
            </w:r>
            <w:r>
              <w:t xml:space="preserve"> landfill gas projects</w:t>
            </w:r>
            <w:r w:rsidRPr="00B32198">
              <w:t xml:space="preserve"> expire</w:t>
            </w:r>
            <w:r>
              <w:t>s</w:t>
            </w:r>
            <w:r w:rsidRPr="00B32198">
              <w:t xml:space="preserve"> in 2021.</w:t>
            </w:r>
            <w:r>
              <w:t xml:space="preserve"> Under the </w:t>
            </w:r>
            <w:r w:rsidRPr="003C59C1">
              <w:t>CFI Act,</w:t>
            </w:r>
            <w:r>
              <w:t xml:space="preserve"> only one crediting period is granted for projects (7 years, in the case of landfill gas). A crediting period review is </w:t>
            </w:r>
            <w:r w:rsidRPr="002C6788">
              <w:t xml:space="preserve">required to extend the method to projects for a second crediting period. </w:t>
            </w:r>
            <w:r w:rsidRPr="00136AAA">
              <w:rPr>
                <w:rFonts w:eastAsia="Calibri" w:cs="Arial"/>
                <w:szCs w:val="20"/>
              </w:rPr>
              <w:t>The ERAC’s 2017 crediting period extension review of the landfill gas method recommended that the crediting period for el</w:t>
            </w:r>
            <w:r>
              <w:rPr>
                <w:rFonts w:eastAsia="Calibri" w:cs="Arial"/>
                <w:szCs w:val="20"/>
              </w:rPr>
              <w:t xml:space="preserve">ectricity generation projects </w:t>
            </w:r>
            <w:r w:rsidRPr="00136AAA">
              <w:rPr>
                <w:rFonts w:eastAsia="Calibri" w:cs="Arial"/>
                <w:szCs w:val="20"/>
              </w:rPr>
              <w:t xml:space="preserve">not be extended due to there being a high risk of crediting </w:t>
            </w:r>
            <w:r>
              <w:rPr>
                <w:rFonts w:eastAsia="Calibri" w:cs="Arial"/>
                <w:szCs w:val="20"/>
              </w:rPr>
              <w:t>emissions reductions</w:t>
            </w:r>
            <w:r w:rsidRPr="00136AAA">
              <w:rPr>
                <w:rFonts w:eastAsia="Calibri" w:cs="Arial"/>
                <w:szCs w:val="20"/>
              </w:rPr>
              <w:t xml:space="preserve"> </w:t>
            </w:r>
            <w:r>
              <w:rPr>
                <w:rFonts w:eastAsia="Calibri" w:cs="Arial"/>
                <w:szCs w:val="20"/>
              </w:rPr>
              <w:t xml:space="preserve">that were </w:t>
            </w:r>
            <w:r w:rsidRPr="00136AAA">
              <w:rPr>
                <w:rFonts w:eastAsia="Calibri" w:cs="Arial"/>
                <w:szCs w:val="20"/>
              </w:rPr>
              <w:t>likely to occur in the ordinary course of events</w:t>
            </w:r>
            <w:r>
              <w:rPr>
                <w:rFonts w:eastAsia="Calibri" w:cs="Arial"/>
                <w:szCs w:val="20"/>
              </w:rPr>
              <w:t xml:space="preserve"> (</w:t>
            </w:r>
            <w:r w:rsidRPr="00D72F5E">
              <w:rPr>
                <w:rFonts w:eastAsia="Calibri" w:cs="Arial"/>
                <w:szCs w:val="20"/>
              </w:rPr>
              <w:t>ERAC 2018</w:t>
            </w:r>
            <w:r>
              <w:rPr>
                <w:rFonts w:eastAsia="Calibri" w:cs="Arial"/>
                <w:szCs w:val="20"/>
              </w:rPr>
              <w:t xml:space="preserve">). </w:t>
            </w:r>
          </w:p>
          <w:p w14:paraId="4EDD06E7" w14:textId="77777777" w:rsidR="00A07C94" w:rsidRDefault="00A07C94" w:rsidP="00A07C94">
            <w:pPr>
              <w:rPr>
                <w:rFonts w:eastAsia="Calibri" w:cs="Arial"/>
                <w:szCs w:val="20"/>
              </w:rPr>
            </w:pPr>
          </w:p>
          <w:p w14:paraId="1A2F3378" w14:textId="0DF0DF43" w:rsidR="00A07C94" w:rsidRPr="00A5211A" w:rsidRDefault="00A07C94" w:rsidP="00F43A90">
            <w:pPr>
              <w:rPr>
                <w:rFonts w:eastAsia="Calibri" w:cs="Arial"/>
                <w:szCs w:val="20"/>
                <w:highlight w:val="yellow"/>
              </w:rPr>
            </w:pPr>
            <w:r>
              <w:rPr>
                <w:rFonts w:eastAsia="Calibri" w:cs="Arial"/>
                <w:szCs w:val="20"/>
              </w:rPr>
              <w:t xml:space="preserve">Since that review, </w:t>
            </w:r>
            <w:r w:rsidRPr="00136AAA">
              <w:rPr>
                <w:rFonts w:eastAsia="Calibri" w:cs="Arial"/>
                <w:szCs w:val="20"/>
              </w:rPr>
              <w:t>industry</w:t>
            </w:r>
            <w:r>
              <w:rPr>
                <w:rFonts w:eastAsia="Calibri" w:cs="Arial"/>
                <w:szCs w:val="20"/>
              </w:rPr>
              <w:t xml:space="preserve"> stakeholders have questioned th</w:t>
            </w:r>
            <w:r w:rsidR="008D3A1A">
              <w:rPr>
                <w:rFonts w:eastAsia="Calibri" w:cs="Arial"/>
                <w:szCs w:val="20"/>
              </w:rPr>
              <w:t>is</w:t>
            </w:r>
            <w:r>
              <w:rPr>
                <w:rFonts w:eastAsia="Calibri" w:cs="Arial"/>
                <w:szCs w:val="20"/>
              </w:rPr>
              <w:t xml:space="preserve"> finding and</w:t>
            </w:r>
            <w:r w:rsidRPr="00136AAA">
              <w:rPr>
                <w:rFonts w:eastAsia="Calibri" w:cs="Arial"/>
                <w:szCs w:val="20"/>
              </w:rPr>
              <w:t xml:space="preserve"> provided additional data for </w:t>
            </w:r>
            <w:r>
              <w:rPr>
                <w:rFonts w:eastAsia="Calibri" w:cs="Arial"/>
                <w:szCs w:val="20"/>
              </w:rPr>
              <w:t xml:space="preserve">the </w:t>
            </w:r>
            <w:r w:rsidRPr="00136AAA">
              <w:rPr>
                <w:rFonts w:eastAsia="Calibri" w:cs="Arial"/>
                <w:szCs w:val="20"/>
              </w:rPr>
              <w:t>ERAC to consider in support of it</w:t>
            </w:r>
            <w:r>
              <w:rPr>
                <w:rFonts w:eastAsia="Calibri" w:cs="Arial"/>
                <w:szCs w:val="20"/>
              </w:rPr>
              <w:t>s view that projects which</w:t>
            </w:r>
            <w:r w:rsidRPr="00136AAA">
              <w:rPr>
                <w:rFonts w:eastAsia="Calibri" w:cs="Arial"/>
                <w:szCs w:val="20"/>
              </w:rPr>
              <w:t xml:space="preserve"> generate electricity may not be viable without </w:t>
            </w:r>
            <w:r>
              <w:rPr>
                <w:rFonts w:eastAsia="Calibri" w:cs="Arial"/>
                <w:szCs w:val="20"/>
              </w:rPr>
              <w:t>the financial support provided through the ERF. Industry has informed the Authority that</w:t>
            </w:r>
            <w:r w:rsidRPr="00136AAA">
              <w:rPr>
                <w:rFonts w:eastAsia="Calibri" w:cs="Arial"/>
                <w:szCs w:val="20"/>
              </w:rPr>
              <w:t xml:space="preserve"> it is timely that this information be considered, as the crediting period for a number of landfill gas proje</w:t>
            </w:r>
            <w:r>
              <w:rPr>
                <w:rFonts w:eastAsia="Calibri" w:cs="Arial"/>
                <w:szCs w:val="20"/>
              </w:rPr>
              <w:t>c</w:t>
            </w:r>
            <w:r w:rsidR="00E5702E">
              <w:rPr>
                <w:rFonts w:eastAsia="Calibri" w:cs="Arial"/>
                <w:szCs w:val="20"/>
              </w:rPr>
              <w:t>ts will finish in 2020 or 2021</w:t>
            </w:r>
            <w:r w:rsidR="00667469" w:rsidRPr="007D697F">
              <w:rPr>
                <w:rFonts w:eastAsia="Calibri" w:cs="Arial"/>
                <w:szCs w:val="20"/>
              </w:rPr>
              <w:t>.</w:t>
            </w:r>
            <w:r w:rsidR="00667469">
              <w:rPr>
                <w:rFonts w:eastAsia="Calibri" w:cs="Arial"/>
                <w:szCs w:val="20"/>
              </w:rPr>
              <w:t xml:space="preserve"> </w:t>
            </w:r>
            <w:r w:rsidR="008D3A1A">
              <w:rPr>
                <w:rFonts w:eastAsia="Calibri" w:cs="Arial"/>
                <w:szCs w:val="20"/>
              </w:rPr>
              <w:t xml:space="preserve">However, </w:t>
            </w:r>
            <w:r>
              <w:t>The</w:t>
            </w:r>
            <w:r w:rsidR="0059166D">
              <w:t xml:space="preserve"> Minister is</w:t>
            </w:r>
            <w:r w:rsidR="008D3A1A">
              <w:t xml:space="preserve"> </w:t>
            </w:r>
            <w:r w:rsidR="0059166D">
              <w:t xml:space="preserve">not able to </w:t>
            </w:r>
            <w:r w:rsidR="00B267CB">
              <w:t>extend a</w:t>
            </w:r>
            <w:r w:rsidR="0059166D">
              <w:t xml:space="preserve"> crediting period </w:t>
            </w:r>
            <w:r>
              <w:t xml:space="preserve">irrespective of </w:t>
            </w:r>
            <w:r w:rsidR="0059166D">
              <w:t>the</w:t>
            </w:r>
            <w:r>
              <w:t xml:space="preserve"> merit</w:t>
            </w:r>
            <w:r w:rsidR="0059166D">
              <w:t xml:space="preserve"> of the new information</w:t>
            </w:r>
            <w:r>
              <w:t xml:space="preserve">, as the </w:t>
            </w:r>
            <w:r w:rsidRPr="003C59C1">
              <w:t>CFI Act</w:t>
            </w:r>
            <w:r>
              <w:t xml:space="preserve"> does not allow the </w:t>
            </w:r>
            <w:r w:rsidR="0059166D">
              <w:t xml:space="preserve">Minister to </w:t>
            </w:r>
            <w:r w:rsidR="00B267CB">
              <w:t xml:space="preserve">extend a </w:t>
            </w:r>
            <w:r w:rsidR="0059166D">
              <w:t xml:space="preserve">crediting period where the ERAC has previously determined that it should not be </w:t>
            </w:r>
            <w:r w:rsidR="00B267CB">
              <w:t>extended</w:t>
            </w:r>
            <w:r w:rsidR="0059166D">
              <w:t>.</w:t>
            </w:r>
          </w:p>
        </w:tc>
      </w:tr>
    </w:tbl>
    <w:p w14:paraId="455A1B96" w14:textId="3DB59C64" w:rsidR="00A07C94" w:rsidRDefault="00A07C94" w:rsidP="00DC3A77">
      <w:pPr>
        <w:contextualSpacing/>
        <w:rPr>
          <w:rFonts w:eastAsia="Calibri" w:cs="Arial"/>
          <w:szCs w:val="20"/>
        </w:rPr>
      </w:pPr>
    </w:p>
    <w:p w14:paraId="3A437711" w14:textId="2499C2B1" w:rsidR="00C9117F" w:rsidRPr="00F94E82" w:rsidRDefault="0092677A" w:rsidP="00F94E82">
      <w:r w:rsidRPr="00F94E82">
        <w:t>A</w:t>
      </w:r>
      <w:r w:rsidR="0084374D" w:rsidRPr="00F94E82">
        <w:t xml:space="preserve">n amendment to the </w:t>
      </w:r>
      <w:r w:rsidR="00A926FF" w:rsidRPr="00F94E82">
        <w:t xml:space="preserve">CFI Act to allow the ERAC to </w:t>
      </w:r>
      <w:r w:rsidR="00565648" w:rsidRPr="00F94E82">
        <w:t>re-open a</w:t>
      </w:r>
      <w:r w:rsidR="00A926FF" w:rsidRPr="00F94E82">
        <w:t xml:space="preserve"> crediting period extension review of a method</w:t>
      </w:r>
      <w:r w:rsidR="00565648" w:rsidRPr="00F94E82">
        <w:t>, in circumstances where information becomes available that could materially change the ERAC</w:t>
      </w:r>
      <w:r w:rsidR="008D3A1A">
        <w:t>’</w:t>
      </w:r>
      <w:r w:rsidR="00565648" w:rsidRPr="00F94E82">
        <w:t>s advice on a matter relevant to additionality,</w:t>
      </w:r>
      <w:r w:rsidR="00A926FF" w:rsidRPr="00F94E82">
        <w:t xml:space="preserve"> </w:t>
      </w:r>
      <w:r w:rsidRPr="00F94E82">
        <w:t>would</w:t>
      </w:r>
      <w:r w:rsidR="00A926FF" w:rsidRPr="00F94E82">
        <w:t xml:space="preserve"> enable the Minister to make a variation based on the most current </w:t>
      </w:r>
      <w:r w:rsidR="006277EB" w:rsidRPr="00F94E82">
        <w:t xml:space="preserve">ERAC </w:t>
      </w:r>
      <w:r w:rsidR="00A926FF" w:rsidRPr="00F94E82">
        <w:t>advice (regardless of previous advice)</w:t>
      </w:r>
      <w:r w:rsidR="002D5744" w:rsidRPr="00F94E82">
        <w:t xml:space="preserve"> </w:t>
      </w:r>
      <w:r w:rsidRPr="00F94E82">
        <w:t>and prevent</w:t>
      </w:r>
      <w:r w:rsidR="002D5744" w:rsidRPr="00F94E82">
        <w:t xml:space="preserve"> </w:t>
      </w:r>
      <w:r w:rsidR="00601B57" w:rsidRPr="00F94E82">
        <w:t xml:space="preserve">industry stakeholders from being </w:t>
      </w:r>
      <w:r w:rsidR="008F3B43" w:rsidRPr="00F94E82">
        <w:t xml:space="preserve">arbitrarily </w:t>
      </w:r>
      <w:r w:rsidR="002D5744" w:rsidRPr="00F94E82">
        <w:t>disadvantaged</w:t>
      </w:r>
      <w:r w:rsidR="00A926FF" w:rsidRPr="00F94E82">
        <w:t xml:space="preserve">. </w:t>
      </w:r>
    </w:p>
    <w:p w14:paraId="120D7009" w14:textId="77777777" w:rsidR="00A5211A" w:rsidRDefault="00A5211A" w:rsidP="00A5211A">
      <w:pPr>
        <w:spacing w:line="240" w:lineRule="auto"/>
        <w:contextualSpacing/>
        <w:rPr>
          <w:rFonts w:eastAsia="Calibri" w:cs="Arial"/>
          <w:szCs w:val="20"/>
        </w:rPr>
      </w:pPr>
    </w:p>
    <w:tbl>
      <w:tblPr>
        <w:tblStyle w:val="TableGrid"/>
        <w:tblW w:w="0" w:type="auto"/>
        <w:tblLook w:val="04A0" w:firstRow="1" w:lastRow="0" w:firstColumn="1" w:lastColumn="0" w:noHBand="0" w:noVBand="1"/>
      </w:tblPr>
      <w:tblGrid>
        <w:gridCol w:w="9016"/>
      </w:tblGrid>
      <w:tr w:rsidR="00A5211A" w14:paraId="7C37CD8B" w14:textId="77777777" w:rsidTr="00A5211A">
        <w:tc>
          <w:tcPr>
            <w:tcW w:w="9016" w:type="dxa"/>
          </w:tcPr>
          <w:p w14:paraId="2735733E" w14:textId="493649BF" w:rsidR="00A5211A" w:rsidRPr="00A5211A" w:rsidRDefault="00A5211A" w:rsidP="00A5211A">
            <w:pPr>
              <w:rPr>
                <w:rFonts w:eastAsia="Calibri" w:cs="Arial"/>
                <w:b/>
                <w:szCs w:val="20"/>
              </w:rPr>
            </w:pPr>
            <w:r w:rsidRPr="00A5211A">
              <w:rPr>
                <w:rFonts w:eastAsia="Calibri" w:cs="Arial"/>
                <w:b/>
                <w:szCs w:val="20"/>
              </w:rPr>
              <w:t>Recommendation 1</w:t>
            </w:r>
            <w:r w:rsidR="008C3DD8">
              <w:rPr>
                <w:rFonts w:eastAsia="Calibri" w:cs="Arial"/>
                <w:b/>
                <w:szCs w:val="20"/>
              </w:rPr>
              <w:t>6</w:t>
            </w:r>
          </w:p>
          <w:p w14:paraId="4892EB70" w14:textId="77777777" w:rsidR="00A5211A" w:rsidRDefault="00A5211A" w:rsidP="00A5211A">
            <w:pPr>
              <w:rPr>
                <w:rFonts w:eastAsia="Calibri" w:cs="Arial"/>
                <w:szCs w:val="20"/>
              </w:rPr>
            </w:pPr>
          </w:p>
          <w:p w14:paraId="7C12E713" w14:textId="1CCB6695" w:rsidR="00A5211A" w:rsidRPr="007D697F" w:rsidRDefault="00085B03" w:rsidP="00085B03">
            <w:pPr>
              <w:rPr>
                <w:rFonts w:eastAsia="Calibri" w:cs="Arial"/>
                <w:szCs w:val="20"/>
              </w:rPr>
            </w:pPr>
            <w:r w:rsidRPr="00085B03">
              <w:rPr>
                <w:rFonts w:eastAsia="Calibri" w:cs="Arial"/>
                <w:b/>
                <w:szCs w:val="20"/>
              </w:rPr>
              <w:t>To enable crediting periods to be based on up-to-date information, the Government amend the CFI Act to allow the Minister to extend a crediting period, based on advice from the ERAC, regardless of whether the ERAC had previously advised against an extension</w:t>
            </w:r>
            <w:r>
              <w:rPr>
                <w:rFonts w:eastAsia="Calibri" w:cs="Arial"/>
                <w:szCs w:val="20"/>
              </w:rPr>
              <w:t>.</w:t>
            </w:r>
            <w:r w:rsidRPr="00EF2C6B">
              <w:rPr>
                <w:rFonts w:eastAsia="Calibri" w:cs="Arial"/>
                <w:szCs w:val="20"/>
              </w:rPr>
              <w:t xml:space="preserve"> </w:t>
            </w:r>
          </w:p>
        </w:tc>
      </w:tr>
    </w:tbl>
    <w:p w14:paraId="1AAA2381" w14:textId="77777777" w:rsidR="00A5211A" w:rsidRDefault="00A5211A" w:rsidP="00A5211A">
      <w:pPr>
        <w:spacing w:line="240" w:lineRule="auto"/>
        <w:contextualSpacing/>
        <w:rPr>
          <w:rFonts w:eastAsia="Times New Roman" w:cs="Arial"/>
          <w:b/>
          <w:szCs w:val="20"/>
          <w:lang w:eastAsia="en-AU"/>
        </w:rPr>
      </w:pPr>
    </w:p>
    <w:p w14:paraId="3AEFA4A2" w14:textId="51CAD88C" w:rsidR="00A05071" w:rsidRPr="007D697F" w:rsidRDefault="00367D9B" w:rsidP="00367D9B">
      <w:pPr>
        <w:pStyle w:val="Heading3"/>
        <w:rPr>
          <w:i/>
          <w:color w:val="0070AE" w:themeColor="accent2" w:themeTint="BF"/>
        </w:rPr>
      </w:pPr>
      <w:bookmarkStart w:id="2705" w:name="_Ref50386529"/>
      <w:r w:rsidRPr="007D697F">
        <w:rPr>
          <w:i/>
          <w:color w:val="0070AE" w:themeColor="accent2" w:themeTint="BF"/>
        </w:rPr>
        <w:t>Native title holder consent</w:t>
      </w:r>
      <w:bookmarkEnd w:id="2705"/>
    </w:p>
    <w:p w14:paraId="237A9EA0" w14:textId="0C7A90FD" w:rsidR="00667469" w:rsidRPr="00667469" w:rsidRDefault="00667469" w:rsidP="00667469">
      <w:r w:rsidRPr="00667469">
        <w:t>Savanna burning projects and vegetation projects, as ‘area-based projects’, both require eligible interest holder consent to be obtained prior to ACCUs being issued to the project (CFI Act). However, area-based projects can currently be conditionally registered without this consent, with the requirement that the project proponent subsequently obtains eligible interest holder consent prior to the end of the first reporting period (up to five-years</w:t>
      </w:r>
      <w:r w:rsidR="0059166D">
        <w:t xml:space="preserve"> for sequestration projects</w:t>
      </w:r>
      <w:r w:rsidRPr="00667469">
        <w:t xml:space="preserve">). For projects that are being established on land with a recognised native title holder this will include consent from the holder. While submissions acknowledged </w:t>
      </w:r>
      <w:r w:rsidR="008D3A1A">
        <w:t>the ERF scheme can provide</w:t>
      </w:r>
      <w:r w:rsidRPr="00667469">
        <w:t xml:space="preserve"> opportunities for holders of native title rights, they also identified that when and how native title consent is obtained for ERF projects could be improved (ALFA, KLC, ICIN and members). Kimberly Land Council (KLC) noted in their submission that </w:t>
      </w:r>
      <w:r w:rsidR="000F32CD">
        <w:rPr>
          <w:i/>
        </w:rPr>
        <w:t>‘</w:t>
      </w:r>
      <w:r w:rsidRPr="00667469">
        <w:rPr>
          <w:i/>
        </w:rPr>
        <w:t>without proper checks and balances, underpinned by the principles of free prior and informed consent, there is a risk of projects resulting in disempowerment of Traditional Owners</w:t>
      </w:r>
      <w:r w:rsidR="000F32CD">
        <w:rPr>
          <w:i/>
        </w:rPr>
        <w:t>’</w:t>
      </w:r>
      <w:r w:rsidRPr="00667469">
        <w:t xml:space="preserve"> (KLC p.2).</w:t>
      </w:r>
      <w:r w:rsidR="00125A6B">
        <w:t xml:space="preserve"> This issue has been primarily raised in relation to savanna burning projects.</w:t>
      </w:r>
    </w:p>
    <w:p w14:paraId="0FD5C7FC" w14:textId="1C766784" w:rsidR="00367D9B" w:rsidRDefault="00667469" w:rsidP="00367D9B">
      <w:r w:rsidRPr="00667469">
        <w:t>In the 2017 ERF review, the Authority recommended that the Regulator seek to clarify expectations on consultation with Indigenous communities (</w:t>
      </w:r>
      <w:r w:rsidRPr="005E1241">
        <w:t>CCA 2017</w:t>
      </w:r>
      <w:r w:rsidR="00002296" w:rsidRPr="005E1241">
        <w:t>a</w:t>
      </w:r>
      <w:r w:rsidRPr="00667469">
        <w:t>). Since the Authority’s 2017 review, the Regulator has published a guidance document that clarifies the law and practice of how projects under the ERF must consider the rights of native title groups and state and territory law (</w:t>
      </w:r>
      <w:r w:rsidRPr="00A34917">
        <w:t>CER 2018</w:t>
      </w:r>
      <w:r w:rsidR="001E6A6F" w:rsidRPr="00A34917">
        <w:t>a</w:t>
      </w:r>
      <w:r w:rsidRPr="00667469">
        <w:t xml:space="preserve">). In </w:t>
      </w:r>
      <w:r w:rsidR="008D3A1A">
        <w:t>its</w:t>
      </w:r>
      <w:r w:rsidRPr="00667469">
        <w:t xml:space="preserve"> submission to this review, the Indigenous Carbon Industry Network (ICIN) welcomed the guidance document for taking </w:t>
      </w:r>
      <w:r w:rsidR="000F32CD">
        <w:t>‘</w:t>
      </w:r>
      <w:r w:rsidRPr="00667469">
        <w:rPr>
          <w:i/>
        </w:rPr>
        <w:t>more proactive steps towards protecting the rights and interests of native title holders</w:t>
      </w:r>
      <w:r w:rsidR="000F32CD">
        <w:rPr>
          <w:i/>
        </w:rPr>
        <w:t>’</w:t>
      </w:r>
      <w:r w:rsidRPr="00667469">
        <w:rPr>
          <w:i/>
        </w:rPr>
        <w:t xml:space="preserve"> </w:t>
      </w:r>
      <w:r w:rsidRPr="00667469">
        <w:t xml:space="preserve">(p. 4). However, </w:t>
      </w:r>
      <w:r w:rsidR="008D3A1A">
        <w:t>it</w:t>
      </w:r>
      <w:r w:rsidRPr="00667469">
        <w:t xml:space="preserve"> also noted more improvements could be made to </w:t>
      </w:r>
      <w:r w:rsidR="000F32CD">
        <w:rPr>
          <w:i/>
        </w:rPr>
        <w:t>‘</w:t>
      </w:r>
      <w:r w:rsidRPr="00667469">
        <w:rPr>
          <w:i/>
        </w:rPr>
        <w:t>ensure that the carbon industry is best practice</w:t>
      </w:r>
      <w:r w:rsidR="000F32CD">
        <w:rPr>
          <w:i/>
        </w:rPr>
        <w:t>’</w:t>
      </w:r>
      <w:r w:rsidRPr="00667469">
        <w:t xml:space="preserve"> (p. 4). Submissions to this review also reflected positively on interactions with the Regulator and acknowledged improved consultation with the Indigenous carbon industry (ALFA, KLC, ICIN submissions).</w:t>
      </w:r>
      <w:r w:rsidR="00CC7B7A">
        <w:t xml:space="preserve"> </w:t>
      </w:r>
      <w:r w:rsidRPr="00667469">
        <w:t>In their submissions, ICIN</w:t>
      </w:r>
      <w:r w:rsidR="00367D9B">
        <w:t>, KLC and Arnhem Land Fire Abatement recommend implementing legislative and policy changes to ensure carbon projects can no longer be registered prior to obtaining consent from native title holders, as is currently the case for new areas being added to existing projects (s23(1)(c) CFI Rule).</w:t>
      </w:r>
      <w:r w:rsidRPr="00667469">
        <w:t xml:space="preserve"> </w:t>
      </w:r>
      <w:r w:rsidR="00367D9B">
        <w:t xml:space="preserve">KLC stated in their submission to this review: </w:t>
      </w:r>
    </w:p>
    <w:p w14:paraId="1765D07D" w14:textId="595E2AF4" w:rsidR="00367D9B" w:rsidRDefault="000F32CD" w:rsidP="00367D9B">
      <w:pPr>
        <w:ind w:left="720"/>
      </w:pPr>
      <w:r>
        <w:rPr>
          <w:i/>
        </w:rPr>
        <w:t>‘</w:t>
      </w:r>
      <w:r w:rsidR="00367D9B" w:rsidRPr="00707A7D">
        <w:rPr>
          <w:i/>
        </w:rPr>
        <w:t>Remove the ability to ‘conditionally’ register projects on native title lands (prior to obtaining Indigenous consent), thereby preventing delivery of carbon and co-benefits being delayed and land being ‘locked up’ by conditional project declarations that do not generate carbon credits; and implement legislative and policy change to ensure carbon projects can no longer be declared prior to obtaining consent from native title holders</w:t>
      </w:r>
      <w:r>
        <w:rPr>
          <w:i/>
        </w:rPr>
        <w:t>’</w:t>
      </w:r>
      <w:r w:rsidR="00367D9B" w:rsidRPr="00707A7D">
        <w:rPr>
          <w:i/>
        </w:rPr>
        <w:t xml:space="preserve"> </w:t>
      </w:r>
      <w:r w:rsidR="00367D9B">
        <w:t>(p. 4).</w:t>
      </w:r>
    </w:p>
    <w:p w14:paraId="37FBF8E4" w14:textId="77777777" w:rsidR="00F23658" w:rsidRDefault="00F23658" w:rsidP="00367D9B">
      <w:r>
        <w:t xml:space="preserve">Seeking consent </w:t>
      </w:r>
      <w:r w:rsidR="006F0A78">
        <w:t xml:space="preserve">prior to project registration </w:t>
      </w:r>
      <w:r>
        <w:t>is considered industry best practice. The Administrator of the Australian Industry Code of Conduct (the Code) encourages signatories to apply the ICIN best practice guidance for carbon project developers</w:t>
      </w:r>
      <w:r w:rsidR="006F0A78">
        <w:t xml:space="preserve"> seeking</w:t>
      </w:r>
      <w:r w:rsidR="006F0A78" w:rsidRPr="006F0A78">
        <w:t xml:space="preserve"> </w:t>
      </w:r>
      <w:r w:rsidR="006F0A78">
        <w:t xml:space="preserve">free, prior and informed </w:t>
      </w:r>
      <w:r>
        <w:t xml:space="preserve">consent </w:t>
      </w:r>
      <w:r w:rsidR="006F0A78">
        <w:t>(</w:t>
      </w:r>
      <w:r w:rsidR="006F0A78" w:rsidRPr="000F6F89">
        <w:t>ICIN 2020</w:t>
      </w:r>
      <w:r w:rsidR="006F0A78">
        <w:t>)</w:t>
      </w:r>
      <w:r>
        <w:t xml:space="preserve">. A recent review of the Code recommended that it be clarified that </w:t>
      </w:r>
      <w:r w:rsidR="006F0A78">
        <w:t>receiving consent prior to project registration</w:t>
      </w:r>
      <w:r>
        <w:t xml:space="preserve"> is a requirement for a carbon service provider to meet ‘best practice’ standards</w:t>
      </w:r>
      <w:r w:rsidR="00013478">
        <w:t xml:space="preserve"> (</w:t>
      </w:r>
      <w:r w:rsidR="00013478" w:rsidRPr="00227807">
        <w:t xml:space="preserve">Administrator </w:t>
      </w:r>
      <w:r w:rsidR="00E4086A" w:rsidRPr="00227807">
        <w:t xml:space="preserve">of the Code </w:t>
      </w:r>
      <w:r w:rsidR="00013478" w:rsidRPr="00227807">
        <w:t>2020</w:t>
      </w:r>
      <w:r w:rsidR="00013478">
        <w:t>)</w:t>
      </w:r>
      <w:r>
        <w:t>.</w:t>
      </w:r>
    </w:p>
    <w:p w14:paraId="65EF37B0" w14:textId="4E514E79" w:rsidR="008D3A1A" w:rsidRDefault="00367D9B" w:rsidP="00367D9B">
      <w:r>
        <w:t xml:space="preserve">The Authority notes that while there have been improvements through </w:t>
      </w:r>
      <w:r w:rsidR="004A7910">
        <w:t xml:space="preserve">Government </w:t>
      </w:r>
      <w:r>
        <w:t xml:space="preserve">guidance documents and legislative rule changes, work still needs to be done to foster positive Indigenous participation and ensure there is free, prior and informed consent before ERF projects are registered and allowed to bid </w:t>
      </w:r>
      <w:r w:rsidR="00667469" w:rsidRPr="00667469">
        <w:t>for a fixed</w:t>
      </w:r>
      <w:r w:rsidR="00B370A6">
        <w:t xml:space="preserve"> </w:t>
      </w:r>
      <w:r w:rsidR="00667469" w:rsidRPr="00667469">
        <w:t>delivery contract at auction.</w:t>
      </w:r>
      <w:r w:rsidR="00E4429D">
        <w:t xml:space="preserve"> </w:t>
      </w:r>
    </w:p>
    <w:p w14:paraId="74BE946F" w14:textId="5D4A7EAD" w:rsidR="00E4429D" w:rsidRDefault="00E4429D" w:rsidP="00E4429D">
      <w:pPr>
        <w:spacing w:line="259" w:lineRule="auto"/>
      </w:pPr>
    </w:p>
    <w:tbl>
      <w:tblPr>
        <w:tblStyle w:val="TableGrid"/>
        <w:tblW w:w="0" w:type="auto"/>
        <w:tblLook w:val="04A0" w:firstRow="1" w:lastRow="0" w:firstColumn="1" w:lastColumn="0" w:noHBand="0" w:noVBand="1"/>
      </w:tblPr>
      <w:tblGrid>
        <w:gridCol w:w="9016"/>
      </w:tblGrid>
      <w:tr w:rsidR="008925B1" w14:paraId="502638DF" w14:textId="77777777" w:rsidTr="008925B1">
        <w:tc>
          <w:tcPr>
            <w:tcW w:w="9016" w:type="dxa"/>
          </w:tcPr>
          <w:p w14:paraId="2389A0C3" w14:textId="4CA302AA" w:rsidR="008925B1" w:rsidRDefault="008925B1" w:rsidP="008925B1">
            <w:r w:rsidRPr="00657D37">
              <w:rPr>
                <w:b/>
              </w:rPr>
              <w:t>Recommendation 1</w:t>
            </w:r>
            <w:r w:rsidR="00235D83">
              <w:rPr>
                <w:b/>
              </w:rPr>
              <w:t>7</w:t>
            </w:r>
          </w:p>
          <w:p w14:paraId="71E92FFB" w14:textId="77777777" w:rsidR="008925B1" w:rsidRPr="008925B1" w:rsidRDefault="008925B1" w:rsidP="008925B1">
            <w:pPr>
              <w:rPr>
                <w:b/>
              </w:rPr>
            </w:pPr>
          </w:p>
          <w:p w14:paraId="4F06BA4F" w14:textId="240AD285" w:rsidR="008925B1" w:rsidRDefault="008D3C78" w:rsidP="005B4DA7">
            <w:r w:rsidRPr="008D3C78">
              <w:rPr>
                <w:b/>
              </w:rPr>
              <w:t>To align with best practice, the</w:t>
            </w:r>
            <w:r w:rsidR="008925B1" w:rsidRPr="008925B1">
              <w:rPr>
                <w:b/>
              </w:rPr>
              <w:t xml:space="preserve"> Government</w:t>
            </w:r>
            <w:r w:rsidR="005B4DA7">
              <w:rPr>
                <w:b/>
              </w:rPr>
              <w:t>,</w:t>
            </w:r>
            <w:r w:rsidR="005B4DA7" w:rsidRPr="008925B1">
              <w:rPr>
                <w:b/>
              </w:rPr>
              <w:t xml:space="preserve"> following a formal consultation process with Indigenous stakeholders</w:t>
            </w:r>
            <w:r w:rsidR="005B4DA7">
              <w:rPr>
                <w:b/>
              </w:rPr>
              <w:t>,</w:t>
            </w:r>
            <w:r w:rsidR="008925B1" w:rsidRPr="008925B1">
              <w:rPr>
                <w:b/>
              </w:rPr>
              <w:t xml:space="preserve"> amend the CFI Act to ensure free, prior and informed consent from native title holders prior to the registration of area-based ERF projects on native title land. </w:t>
            </w:r>
          </w:p>
        </w:tc>
      </w:tr>
    </w:tbl>
    <w:p w14:paraId="4032526F" w14:textId="77777777" w:rsidR="008925B1" w:rsidRDefault="008925B1" w:rsidP="008925B1"/>
    <w:p w14:paraId="54BA3453" w14:textId="5A60871B" w:rsidR="00F9610C" w:rsidRDefault="002963B1">
      <w:pPr>
        <w:spacing w:line="259" w:lineRule="auto"/>
        <w:rPr>
          <w:rFonts w:eastAsiaTheme="majorEastAsia" w:cstheme="majorBidi"/>
          <w:caps/>
          <w:color w:val="0C9FCD"/>
          <w:sz w:val="40"/>
          <w:szCs w:val="32"/>
        </w:rPr>
      </w:pPr>
      <w:r>
        <w:br w:type="page"/>
      </w:r>
      <w:bookmarkStart w:id="2706" w:name="_Toc49350840"/>
      <w:bookmarkStart w:id="2707" w:name="_Toc49352820"/>
      <w:bookmarkStart w:id="2708" w:name="_Toc49354196"/>
      <w:bookmarkStart w:id="2709" w:name="_Toc49355522"/>
      <w:bookmarkStart w:id="2710" w:name="_Toc49429280"/>
      <w:bookmarkStart w:id="2711" w:name="_Toc49434037"/>
      <w:bookmarkStart w:id="2712" w:name="_Toc49441030"/>
      <w:bookmarkStart w:id="2713" w:name="_Toc49441220"/>
      <w:bookmarkStart w:id="2714" w:name="_Toc49442223"/>
      <w:bookmarkStart w:id="2715" w:name="_Toc49508954"/>
      <w:bookmarkStart w:id="2716" w:name="_Toc49519764"/>
      <w:bookmarkStart w:id="2717" w:name="_Toc49521482"/>
      <w:bookmarkStart w:id="2718" w:name="_Toc49524554"/>
      <w:bookmarkStart w:id="2719" w:name="_Toc49524692"/>
      <w:bookmarkStart w:id="2720" w:name="_Toc49527161"/>
      <w:bookmarkStart w:id="2721" w:name="_Toc49527999"/>
      <w:bookmarkStart w:id="2722" w:name="_Toc49692152"/>
      <w:bookmarkStart w:id="2723" w:name="_Toc49710525"/>
      <w:bookmarkStart w:id="2724" w:name="_Toc49710697"/>
      <w:bookmarkStart w:id="2725" w:name="_Toc49713250"/>
      <w:bookmarkStart w:id="2726" w:name="_Toc49713452"/>
      <w:bookmarkStart w:id="2727" w:name="_Toc49776390"/>
      <w:bookmarkStart w:id="2728" w:name="_Toc49784949"/>
      <w:bookmarkStart w:id="2729" w:name="_Toc49786275"/>
      <w:bookmarkStart w:id="2730" w:name="_Toc49787324"/>
      <w:bookmarkStart w:id="2731" w:name="_Toc49787379"/>
      <w:bookmarkStart w:id="2732" w:name="_Toc49850693"/>
      <w:bookmarkStart w:id="2733" w:name="_Toc48996317"/>
    </w:p>
    <w:p w14:paraId="675FAD22" w14:textId="52792DEA" w:rsidR="0069405B" w:rsidRPr="00E4429D" w:rsidRDefault="00BB22A7" w:rsidP="00E4429D">
      <w:pPr>
        <w:pStyle w:val="Heading1"/>
        <w:ind w:left="0" w:firstLine="0"/>
        <w:rPr>
          <w:color w:val="0070AE" w:themeColor="accent2" w:themeTint="BF"/>
        </w:rPr>
      </w:pPr>
      <w:bookmarkStart w:id="2734" w:name="_Toc49852935"/>
      <w:bookmarkStart w:id="2735" w:name="_Toc49854352"/>
      <w:bookmarkStart w:id="2736" w:name="_Toc49856948"/>
      <w:bookmarkStart w:id="2737" w:name="_Toc49858264"/>
      <w:bookmarkStart w:id="2738" w:name="_Toc49858319"/>
      <w:bookmarkStart w:id="2739" w:name="_Toc49863021"/>
      <w:bookmarkStart w:id="2740" w:name="_Toc49867744"/>
      <w:bookmarkStart w:id="2741" w:name="_Toc49870580"/>
      <w:bookmarkStart w:id="2742" w:name="_Toc49871323"/>
      <w:bookmarkStart w:id="2743" w:name="_Toc49872003"/>
      <w:bookmarkStart w:id="2744" w:name="_Toc49872556"/>
      <w:bookmarkStart w:id="2745" w:name="_Toc50027768"/>
      <w:bookmarkStart w:id="2746" w:name="_Toc50029462"/>
      <w:bookmarkStart w:id="2747" w:name="_Toc50043893"/>
      <w:bookmarkStart w:id="2748" w:name="_Toc50057745"/>
      <w:bookmarkStart w:id="2749" w:name="_Toc50553622"/>
      <w:bookmarkStart w:id="2750" w:name="_Toc50555385"/>
      <w:bookmarkStart w:id="2751" w:name="_Toc50559845"/>
      <w:bookmarkStart w:id="2752" w:name="_Toc50559898"/>
      <w:bookmarkStart w:id="2753" w:name="_Toc50563832"/>
      <w:bookmarkStart w:id="2754" w:name="_Toc50711385"/>
      <w:bookmarkStart w:id="2755" w:name="_Toc50720967"/>
      <w:bookmarkStart w:id="2756" w:name="_Toc50730691"/>
      <w:bookmarkStart w:id="2757" w:name="_Toc50734917"/>
      <w:bookmarkStart w:id="2758" w:name="_Toc50735520"/>
      <w:bookmarkStart w:id="2759" w:name="_Toc50905539"/>
      <w:bookmarkStart w:id="2760" w:name="_Toc51587023"/>
      <w:bookmarkStart w:id="2761" w:name="_Toc51594883"/>
      <w:bookmarkStart w:id="2762" w:name="_Toc51599486"/>
      <w:bookmarkStart w:id="2763" w:name="_Toc51613522"/>
      <w:bookmarkStart w:id="2764" w:name="_Toc51669633"/>
      <w:bookmarkStart w:id="2765" w:name="_Toc51669728"/>
      <w:bookmarkStart w:id="2766" w:name="_Toc51672877"/>
      <w:bookmarkStart w:id="2767" w:name="_Toc51673927"/>
      <w:bookmarkStart w:id="2768" w:name="_Toc51680744"/>
      <w:bookmarkStart w:id="2769" w:name="_Toc51683273"/>
      <w:bookmarkStart w:id="2770" w:name="_Toc51686009"/>
      <w:bookmarkStart w:id="2771" w:name="_Toc51687747"/>
      <w:bookmarkStart w:id="2772" w:name="_Toc51687891"/>
      <w:bookmarkStart w:id="2773" w:name="_Toc51705769"/>
      <w:bookmarkStart w:id="2774" w:name="_Toc51770715"/>
      <w:bookmarkStart w:id="2775" w:name="_Toc51770901"/>
      <w:bookmarkStart w:id="2776" w:name="_Toc52359244"/>
      <w:bookmarkStart w:id="2777" w:name="_Toc52367277"/>
      <w:bookmarkStart w:id="2778" w:name="_Toc52371617"/>
      <w:bookmarkStart w:id="2779" w:name="_Toc52374765"/>
      <w:bookmarkStart w:id="2780" w:name="_Toc52377303"/>
      <w:bookmarkStart w:id="2781" w:name="_Toc52379225"/>
      <w:bookmarkStart w:id="2782" w:name="_Toc52379580"/>
      <w:bookmarkStart w:id="2783" w:name="_Toc52532790"/>
      <w:bookmarkStart w:id="2784" w:name="_Toc52535685"/>
      <w:bookmarkStart w:id="2785" w:name="_Toc52537503"/>
      <w:bookmarkStart w:id="2786" w:name="_Toc52544066"/>
      <w:bookmarkStart w:id="2787" w:name="_Toc52545670"/>
      <w:bookmarkStart w:id="2788" w:name="_Toc52547902"/>
      <w:bookmarkStart w:id="2789" w:name="_Toc52548591"/>
      <w:bookmarkStart w:id="2790" w:name="_Toc52890883"/>
      <w:bookmarkStart w:id="2791" w:name="_Toc52895086"/>
      <w:bookmarkStart w:id="2792" w:name="_Toc52896610"/>
      <w:bookmarkStart w:id="2793" w:name="_Toc52977787"/>
      <w:bookmarkStart w:id="2794" w:name="_Toc53129473"/>
      <w:r w:rsidRPr="007D697F">
        <w:rPr>
          <w:color w:val="0070AE" w:themeColor="accent2" w:themeTint="BF"/>
        </w:rPr>
        <w:t xml:space="preserve">Chapter </w:t>
      </w:r>
      <w:r w:rsidR="00B51ECE" w:rsidRPr="007D697F">
        <w:rPr>
          <w:color w:val="0070AE" w:themeColor="accent2" w:themeTint="BF"/>
        </w:rPr>
        <w:t xml:space="preserve">7: Method and tool variation </w:t>
      </w:r>
      <w:r w:rsidRPr="007D697F">
        <w:rPr>
          <w:color w:val="0070AE" w:themeColor="accent2" w:themeTint="BF"/>
        </w:rPr>
        <w:t>risk sharing framework</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r w:rsidR="00B51ECE" w:rsidRPr="007D697F">
        <w:rPr>
          <w:color w:val="0070AE" w:themeColor="accent2" w:themeTint="BF"/>
        </w:rPr>
        <w:t xml:space="preserve"> </w:t>
      </w:r>
      <w:bookmarkEnd w:id="2733"/>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73AF" w:themeFill="accent6"/>
        <w:tblLayout w:type="fixed"/>
        <w:tblLook w:val="04A0" w:firstRow="1" w:lastRow="0" w:firstColumn="1" w:lastColumn="0" w:noHBand="0" w:noVBand="1"/>
      </w:tblPr>
      <w:tblGrid>
        <w:gridCol w:w="9741"/>
      </w:tblGrid>
      <w:tr w:rsidR="0069405B" w:rsidRPr="00B32198" w14:paraId="0AF0A481" w14:textId="77777777" w:rsidTr="0044463C">
        <w:tc>
          <w:tcPr>
            <w:tcW w:w="9741" w:type="dxa"/>
            <w:shd w:val="clear" w:color="auto" w:fill="B0E9FF" w:themeFill="text2" w:themeFillTint="33"/>
          </w:tcPr>
          <w:p w14:paraId="46733585" w14:textId="5DC93B40" w:rsidR="0022526F" w:rsidRDefault="00653F11" w:rsidP="00996B9D">
            <w:pPr>
              <w:pStyle w:val="BodyText"/>
            </w:pPr>
            <w:r>
              <w:t xml:space="preserve">ERF </w:t>
            </w:r>
            <w:r w:rsidR="002B6B66">
              <w:t>subordinate legislation, tools and supporting guidance documents</w:t>
            </w:r>
            <w:r>
              <w:t xml:space="preserve"> need to keep pace with developments in science and technology to ensure that estimates of emissions reductions are as accurate as is practical and the integrity of ACCUs is maintained.</w:t>
            </w:r>
            <w:r w:rsidR="0022526F">
              <w:t xml:space="preserve"> However, changes </w:t>
            </w:r>
            <w:r w:rsidR="002B6B66">
              <w:t>made by the Government</w:t>
            </w:r>
            <w:r w:rsidR="0022526F">
              <w:t xml:space="preserve"> to these instruments may result in material changes to a proposed or existing project’s abatement potential and business viability. </w:t>
            </w:r>
          </w:p>
          <w:p w14:paraId="3E1B8B60" w14:textId="77777777" w:rsidR="0022526F" w:rsidRDefault="0022526F" w:rsidP="00996B9D">
            <w:pPr>
              <w:pStyle w:val="BodyText"/>
            </w:pPr>
          </w:p>
          <w:p w14:paraId="10B1AAC3" w14:textId="5501D4B2" w:rsidR="00653F11" w:rsidRPr="00910ECF" w:rsidRDefault="002B6B66" w:rsidP="00996B9D">
            <w:pPr>
              <w:pStyle w:val="BodyText"/>
            </w:pPr>
            <w:r>
              <w:t xml:space="preserve">Changes to the scheme, that impact on the value of existing and future ERF projects, can be managed through development of </w:t>
            </w:r>
            <w:r w:rsidRPr="006E168E">
              <w:t>a</w:t>
            </w:r>
            <w:r w:rsidR="00653F11">
              <w:t xml:space="preserve"> robust and transparent framework for </w:t>
            </w:r>
            <w:r w:rsidR="00BA7BBF">
              <w:t xml:space="preserve">risk </w:t>
            </w:r>
            <w:r w:rsidR="00653F11">
              <w:t>sharing between the Government and ERF project owners</w:t>
            </w:r>
            <w:r w:rsidRPr="006E168E">
              <w:t>.</w:t>
            </w:r>
          </w:p>
        </w:tc>
      </w:tr>
    </w:tbl>
    <w:p w14:paraId="1D940915" w14:textId="77777777" w:rsidR="0069405B" w:rsidRDefault="0069405B" w:rsidP="00BB22A7"/>
    <w:p w14:paraId="107FE9D8" w14:textId="6294A2BD" w:rsidR="0022526F" w:rsidRPr="007D697F" w:rsidRDefault="0022526F" w:rsidP="00004274">
      <w:pPr>
        <w:pStyle w:val="Heading2"/>
        <w:numPr>
          <w:ilvl w:val="1"/>
          <w:numId w:val="50"/>
        </w:numPr>
        <w:rPr>
          <w:color w:val="0070AE" w:themeColor="accent2" w:themeTint="BF"/>
        </w:rPr>
      </w:pPr>
      <w:bookmarkStart w:id="2795" w:name="_Toc51587024"/>
      <w:bookmarkStart w:id="2796" w:name="_Toc51594884"/>
      <w:bookmarkStart w:id="2797" w:name="_Toc51599487"/>
      <w:bookmarkStart w:id="2798" w:name="_Toc51613523"/>
      <w:bookmarkStart w:id="2799" w:name="_Toc51669634"/>
      <w:bookmarkStart w:id="2800" w:name="_Toc51669729"/>
      <w:bookmarkStart w:id="2801" w:name="_Toc51672878"/>
      <w:bookmarkStart w:id="2802" w:name="_Toc51673928"/>
      <w:bookmarkStart w:id="2803" w:name="_Toc51680745"/>
      <w:bookmarkStart w:id="2804" w:name="_Toc51683274"/>
      <w:bookmarkStart w:id="2805" w:name="_Toc51686010"/>
      <w:bookmarkStart w:id="2806" w:name="_Toc51687748"/>
      <w:bookmarkStart w:id="2807" w:name="_Toc51687892"/>
      <w:bookmarkStart w:id="2808" w:name="_Toc51705770"/>
      <w:bookmarkStart w:id="2809" w:name="_Toc51770716"/>
      <w:bookmarkStart w:id="2810" w:name="_Toc51770902"/>
      <w:bookmarkStart w:id="2811" w:name="_Toc52359245"/>
      <w:bookmarkStart w:id="2812" w:name="_Toc52367278"/>
      <w:bookmarkStart w:id="2813" w:name="_Toc52371618"/>
      <w:bookmarkStart w:id="2814" w:name="_Toc52374766"/>
      <w:bookmarkStart w:id="2815" w:name="_Toc52377304"/>
      <w:bookmarkStart w:id="2816" w:name="_Toc52379226"/>
      <w:bookmarkStart w:id="2817" w:name="_Toc52379581"/>
      <w:bookmarkStart w:id="2818" w:name="_Toc52532791"/>
      <w:bookmarkStart w:id="2819" w:name="_Toc52535686"/>
      <w:bookmarkStart w:id="2820" w:name="_Toc52537504"/>
      <w:bookmarkStart w:id="2821" w:name="_Toc52544067"/>
      <w:bookmarkStart w:id="2822" w:name="_Toc52545671"/>
      <w:bookmarkStart w:id="2823" w:name="_Toc52547903"/>
      <w:bookmarkStart w:id="2824" w:name="_Toc52548592"/>
      <w:bookmarkStart w:id="2825" w:name="_Toc52890884"/>
      <w:bookmarkStart w:id="2826" w:name="_Toc52895087"/>
      <w:bookmarkStart w:id="2827" w:name="_Toc52896611"/>
      <w:bookmarkStart w:id="2828" w:name="_Toc52977788"/>
      <w:bookmarkStart w:id="2829" w:name="_Toc53129474"/>
      <w:r w:rsidRPr="007D697F">
        <w:rPr>
          <w:color w:val="0070AE" w:themeColor="accent2" w:themeTint="BF"/>
        </w:rPr>
        <w:t>Method and tool variation</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p>
    <w:p w14:paraId="6DA1CDD9" w14:textId="56C24E3F" w:rsidR="009D1F37" w:rsidRDefault="007958EE" w:rsidP="00BB22A7">
      <w:r>
        <w:t xml:space="preserve">The ERF is governed by the CFI Act and subordinate legislative instruments including </w:t>
      </w:r>
      <w:r w:rsidR="006074F8">
        <w:t xml:space="preserve">CFI Regulation, CFI Rule and </w:t>
      </w:r>
      <w:r>
        <w:t>Ministerial determinations made under the Act.</w:t>
      </w:r>
      <w:r w:rsidRPr="007958EE">
        <w:t xml:space="preserve"> </w:t>
      </w:r>
      <w:r w:rsidR="00CB5505">
        <w:t xml:space="preserve">The </w:t>
      </w:r>
      <w:r w:rsidR="00154926">
        <w:t>methods</w:t>
      </w:r>
      <w:r>
        <w:t xml:space="preserve"> which set out the rules for how to implement emissions reduction project</w:t>
      </w:r>
      <w:r w:rsidR="004E2F1C">
        <w:t xml:space="preserve">s </w:t>
      </w:r>
      <w:r>
        <w:t xml:space="preserve">are made via Ministerial determination. Several other documents and information on methods are incorporated through reference in the subordinate legislative instruments. These include </w:t>
      </w:r>
      <w:r w:rsidR="00BB22A7">
        <w:t>tools, calculators, guides and scientific literature</w:t>
      </w:r>
      <w:r w:rsidR="00144F2B">
        <w:t xml:space="preserve"> </w:t>
      </w:r>
      <w:r w:rsidR="00144F2B" w:rsidRPr="00241539">
        <w:t>(</w:t>
      </w:r>
      <w:r w:rsidR="00CD4E09" w:rsidRPr="00241539">
        <w:t>F</w:t>
      </w:r>
      <w:r w:rsidR="00144F2B" w:rsidRPr="00241539">
        <w:t xml:space="preserve">igure </w:t>
      </w:r>
      <w:r w:rsidR="0070582C" w:rsidRPr="00241539">
        <w:t>7.1</w:t>
      </w:r>
      <w:r w:rsidR="00144F2B">
        <w:t>)</w:t>
      </w:r>
      <w:r>
        <w:t>.</w:t>
      </w:r>
      <w:r w:rsidR="00CE0C16">
        <w:t xml:space="preserve"> </w:t>
      </w:r>
    </w:p>
    <w:p w14:paraId="09DD5ABC" w14:textId="7D993A4B" w:rsidR="00B04AC7" w:rsidRPr="007D697F" w:rsidRDefault="00A24917" w:rsidP="00366F5A">
      <w:pPr>
        <w:pStyle w:val="Figure"/>
      </w:pPr>
      <w:bookmarkStart w:id="2830" w:name="_Toc53130459"/>
      <w:r w:rsidRPr="007D697F">
        <w:t>Figure 7</w:t>
      </w:r>
      <w:r w:rsidR="00570347">
        <w:t xml:space="preserve">.1. </w:t>
      </w:r>
      <w:r w:rsidR="00B04AC7" w:rsidRPr="007D697F">
        <w:t xml:space="preserve">Hierarchy of </w:t>
      </w:r>
      <w:r w:rsidR="0070582C" w:rsidRPr="007D697F">
        <w:t xml:space="preserve">the </w:t>
      </w:r>
      <w:r w:rsidR="00B04AC7" w:rsidRPr="007D697F">
        <w:t>legislative framework for the emissions reduction fund</w:t>
      </w:r>
      <w:bookmarkEnd w:id="2830"/>
    </w:p>
    <w:p w14:paraId="3F792715" w14:textId="40943071" w:rsidR="003543BE" w:rsidRDefault="00B9767B" w:rsidP="00BB22A7">
      <w:r>
        <w:rPr>
          <w:noProof/>
          <w:lang w:eastAsia="en-AU"/>
        </w:rPr>
        <w:drawing>
          <wp:inline distT="0" distB="0" distL="0" distR="0" wp14:anchorId="6676F1DA" wp14:editId="1537FEB3">
            <wp:extent cx="5979160" cy="3752850"/>
            <wp:effectExtent l="0" t="0" r="2540" b="0"/>
            <wp:docPr id="30" name="Picture 30" descr="Figure 7.1 is a schematic that describes the hierarchy of the legislative framework for the Emissions Reduction Fund. The CFI Act is the primary legislation. It is supported by CFI regulations, a CFI rule, methods, other instruments and carbon abatement contracts. Guidelines and tools are incorporated by reference. User guides and technical guides are referenced in incorporated documents." title="Figure 7.1. Hierarchy of the legislative framework for the emissions reducti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notation 2020-09-03 092905.jpg"/>
                    <pic:cNvPicPr/>
                  </pic:nvPicPr>
                  <pic:blipFill>
                    <a:blip r:embed="rId28">
                      <a:extLst>
                        <a:ext uri="{28A0092B-C50C-407E-A947-70E740481C1C}">
                          <a14:useLocalDpi xmlns:a14="http://schemas.microsoft.com/office/drawing/2010/main" val="0"/>
                        </a:ext>
                      </a:extLst>
                    </a:blip>
                    <a:stretch>
                      <a:fillRect/>
                    </a:stretch>
                  </pic:blipFill>
                  <pic:spPr>
                    <a:xfrm>
                      <a:off x="0" y="0"/>
                      <a:ext cx="5979160" cy="3752850"/>
                    </a:xfrm>
                    <a:prstGeom prst="rect">
                      <a:avLst/>
                    </a:prstGeom>
                  </pic:spPr>
                </pic:pic>
              </a:graphicData>
            </a:graphic>
          </wp:inline>
        </w:drawing>
      </w:r>
    </w:p>
    <w:p w14:paraId="429AF320" w14:textId="27E46F77" w:rsidR="00690659" w:rsidRDefault="00690659" w:rsidP="00690659">
      <w:bookmarkStart w:id="2831" w:name="_Toc49350841"/>
      <w:bookmarkStart w:id="2832" w:name="_Toc49352821"/>
      <w:bookmarkStart w:id="2833" w:name="_Toc49354197"/>
      <w:bookmarkStart w:id="2834" w:name="_Toc49355523"/>
      <w:bookmarkStart w:id="2835" w:name="_Toc49429281"/>
      <w:bookmarkStart w:id="2836" w:name="_Toc49434038"/>
      <w:bookmarkStart w:id="2837" w:name="_Toc49441031"/>
      <w:bookmarkStart w:id="2838" w:name="_Toc49441221"/>
      <w:bookmarkStart w:id="2839" w:name="_Toc49442224"/>
      <w:bookmarkStart w:id="2840" w:name="_Toc49508955"/>
      <w:bookmarkStart w:id="2841" w:name="_Toc49519765"/>
      <w:bookmarkStart w:id="2842" w:name="_Toc49521483"/>
      <w:bookmarkStart w:id="2843" w:name="_Toc49524555"/>
      <w:bookmarkStart w:id="2844" w:name="_Toc49524693"/>
      <w:bookmarkStart w:id="2845" w:name="_Toc49527162"/>
      <w:bookmarkStart w:id="2846" w:name="_Toc49528000"/>
      <w:bookmarkStart w:id="2847" w:name="_Toc49692153"/>
      <w:bookmarkStart w:id="2848" w:name="_Toc49710526"/>
      <w:bookmarkStart w:id="2849" w:name="_Toc49710698"/>
      <w:bookmarkStart w:id="2850" w:name="_Toc49713251"/>
      <w:bookmarkStart w:id="2851" w:name="_Toc49713453"/>
      <w:bookmarkStart w:id="2852" w:name="_Toc49776391"/>
      <w:bookmarkStart w:id="2853" w:name="_Toc49784950"/>
      <w:bookmarkStart w:id="2854" w:name="_Toc49786276"/>
      <w:bookmarkStart w:id="2855" w:name="_Toc49787325"/>
      <w:bookmarkStart w:id="2856" w:name="_Toc49787380"/>
      <w:bookmarkStart w:id="2857" w:name="_Toc49850694"/>
      <w:bookmarkStart w:id="2858" w:name="_Toc49852936"/>
      <w:bookmarkStart w:id="2859" w:name="_Toc49854353"/>
      <w:bookmarkStart w:id="2860" w:name="_Toc49856949"/>
      <w:bookmarkStart w:id="2861" w:name="_Toc49858265"/>
      <w:bookmarkStart w:id="2862" w:name="_Toc49858320"/>
      <w:bookmarkStart w:id="2863" w:name="_Toc49863022"/>
      <w:bookmarkStart w:id="2864" w:name="_Toc49867745"/>
      <w:bookmarkStart w:id="2865" w:name="_Toc49870581"/>
      <w:bookmarkStart w:id="2866" w:name="_Toc49871324"/>
      <w:bookmarkStart w:id="2867" w:name="_Toc49872004"/>
      <w:bookmarkStart w:id="2868" w:name="_Toc49872557"/>
      <w:bookmarkStart w:id="2869" w:name="_Toc50027769"/>
      <w:bookmarkStart w:id="2870" w:name="_Toc50029463"/>
      <w:bookmarkStart w:id="2871" w:name="_Toc50043894"/>
      <w:bookmarkStart w:id="2872" w:name="_Toc50057746"/>
      <w:bookmarkStart w:id="2873" w:name="_Toc50553623"/>
      <w:bookmarkStart w:id="2874" w:name="_Toc50555386"/>
      <w:bookmarkStart w:id="2875" w:name="_Toc50559846"/>
      <w:bookmarkStart w:id="2876" w:name="_Toc50559899"/>
      <w:bookmarkStart w:id="2877" w:name="_Toc50563833"/>
      <w:bookmarkStart w:id="2878" w:name="_Toc50711386"/>
      <w:bookmarkStart w:id="2879" w:name="_Toc50720968"/>
      <w:bookmarkStart w:id="2880" w:name="_Toc50730692"/>
      <w:bookmarkStart w:id="2881" w:name="_Toc50734918"/>
      <w:bookmarkStart w:id="2882" w:name="_Toc50735521"/>
      <w:bookmarkStart w:id="2883" w:name="_Toc50905540"/>
      <w:r>
        <w:t>The ERF and CFI design envisaged that methods would need to change and evolve over time with developments in estimation techniques, the science underpinning abatement (particularly for the land sector with its natural systems and inherent variability) and, with respect to additionality, in light of changes in technologies and practice (</w:t>
      </w:r>
      <w:r w:rsidRPr="005E1241">
        <w:rPr>
          <w:rFonts w:cs="Arial"/>
          <w:szCs w:val="20"/>
          <w:lang w:eastAsia="en-AU"/>
        </w:rPr>
        <w:t>CCA 2017a</w:t>
      </w:r>
      <w:r>
        <w:t xml:space="preserve"> p. 30) (</w:t>
      </w:r>
      <w:r w:rsidRPr="007A1187">
        <w:t>Box 7.1).</w:t>
      </w:r>
      <w:r>
        <w:t xml:space="preserve"> The White Paper intended </w:t>
      </w:r>
      <w:r w:rsidR="000F32CD">
        <w:rPr>
          <w:i/>
        </w:rPr>
        <w:t>‘</w:t>
      </w:r>
      <w:r w:rsidRPr="00ED7404">
        <w:rPr>
          <w:i/>
        </w:rPr>
        <w:t>estimates of emissions reductions must be as accurate as practical… Where methods rely on models, these must be unbiased and based on credible scientific evidence or data</w:t>
      </w:r>
      <w:r w:rsidR="000F32CD">
        <w:rPr>
          <w:i/>
        </w:rPr>
        <w:t>’</w:t>
      </w:r>
      <w:r w:rsidRPr="00ED7404">
        <w:rPr>
          <w:i/>
        </w:rPr>
        <w:t xml:space="preserve"> </w:t>
      </w:r>
      <w:r>
        <w:t>(</w:t>
      </w:r>
      <w:r w:rsidRPr="004B3E7E">
        <w:rPr>
          <w:rFonts w:cs="Arial"/>
          <w:szCs w:val="20"/>
        </w:rPr>
        <w:t>Australian Government 2014</w:t>
      </w:r>
      <w:r>
        <w:t xml:space="preserve">). </w:t>
      </w:r>
    </w:p>
    <w:p w14:paraId="6AE5A2A3" w14:textId="3F5E6653" w:rsidR="00CE460A" w:rsidRDefault="00690659" w:rsidP="00F94E82">
      <w:r>
        <w:t>Reviewing methods, including the crediting period of abatement under a method, is the responsibility of the ERAC. The ERAC has a statutory obligation to periodically review each method, which it does with the assistance of the Government and the Regulator. ERAC reviews examine whether the method continues to comply with the Offsets Integrity Standards</w:t>
      </w:r>
      <w:r w:rsidR="00C43383">
        <w:t>, i</w:t>
      </w:r>
      <w:r>
        <w:t>n particular whether the activity under the method is still additional</w:t>
      </w:r>
      <w:r w:rsidDel="006F2A60">
        <w:t xml:space="preserve"> </w:t>
      </w:r>
      <w:r>
        <w:t>(</w:t>
      </w:r>
      <w:r w:rsidRPr="004A7D55">
        <w:t>ERAC 2019</w:t>
      </w:r>
      <w:r w:rsidR="00F41A6A" w:rsidRPr="004A7D55">
        <w:t>a</w:t>
      </w:r>
      <w:r w:rsidRPr="004A7D55">
        <w:t>;</w:t>
      </w:r>
      <w:r>
        <w:t xml:space="preserve"> </w:t>
      </w:r>
      <w:r w:rsidRPr="005E1241">
        <w:t>CCA 2017a</w:t>
      </w:r>
      <w:r>
        <w:t>).</w:t>
      </w:r>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p>
    <w:tbl>
      <w:tblPr>
        <w:tblStyle w:val="TableGrid"/>
        <w:tblpPr w:leftFromText="180" w:rightFromText="180" w:vertAnchor="text" w:horzAnchor="margin" w:tblpY="180"/>
        <w:tblW w:w="0" w:type="auto"/>
        <w:tblLook w:val="04A0" w:firstRow="1" w:lastRow="0" w:firstColumn="1" w:lastColumn="0" w:noHBand="0" w:noVBand="1"/>
      </w:tblPr>
      <w:tblGrid>
        <w:gridCol w:w="9016"/>
      </w:tblGrid>
      <w:tr w:rsidR="00DC3D07" w14:paraId="56C87E9A" w14:textId="77777777" w:rsidTr="009910BD">
        <w:tc>
          <w:tcPr>
            <w:tcW w:w="9016" w:type="dxa"/>
          </w:tcPr>
          <w:p w14:paraId="7450C8FF" w14:textId="2F8EE670" w:rsidR="00DC3D07" w:rsidRPr="00F60747" w:rsidRDefault="0070582C" w:rsidP="00F60747">
            <w:pPr>
              <w:rPr>
                <w:b/>
                <w:color w:val="0070AE" w:themeColor="accent2" w:themeTint="BF"/>
              </w:rPr>
            </w:pPr>
            <w:bookmarkStart w:id="2884" w:name="_Toc53129526"/>
            <w:r w:rsidRPr="00F60747">
              <w:rPr>
                <w:rStyle w:val="BoxChar"/>
              </w:rPr>
              <w:t xml:space="preserve">Box 7.1 </w:t>
            </w:r>
            <w:r w:rsidR="00DC3D07" w:rsidRPr="00F60747">
              <w:rPr>
                <w:rStyle w:val="BoxChar"/>
              </w:rPr>
              <w:t xml:space="preserve">Example of where </w:t>
            </w:r>
            <w:r w:rsidR="00524A42" w:rsidRPr="00F60747">
              <w:rPr>
                <w:rStyle w:val="BoxChar"/>
              </w:rPr>
              <w:t>methods could evolve over time</w:t>
            </w:r>
            <w:bookmarkEnd w:id="2884"/>
            <w:r w:rsidR="00524A42" w:rsidRPr="00F60747">
              <w:t xml:space="preserve"> </w:t>
            </w:r>
            <w:r w:rsidR="00524A42" w:rsidRPr="00F60747">
              <w:rPr>
                <w:b/>
                <w:color w:val="0070AE" w:themeColor="accent2" w:themeTint="BF"/>
              </w:rPr>
              <w:t xml:space="preserve">with developments in estimation techniques and the science underpinning abatement </w:t>
            </w:r>
          </w:p>
          <w:p w14:paraId="7BA7EA5F" w14:textId="77777777" w:rsidR="003A5E3D" w:rsidRDefault="003A5E3D" w:rsidP="00F975A3">
            <w:pPr>
              <w:rPr>
                <w:lang w:eastAsia="en-AU"/>
              </w:rPr>
            </w:pPr>
          </w:p>
          <w:p w14:paraId="7CA4CBE7" w14:textId="6D9E150E" w:rsidR="004D7303" w:rsidRDefault="00917AD5" w:rsidP="00F975A3">
            <w:r>
              <w:t>Land-based projects are subject to natural processes that affect carbon pools (vegetation and soil carbon) that are being credited (</w:t>
            </w:r>
            <w:r w:rsidR="00CD4E09" w:rsidRPr="00BA125B">
              <w:t>CSIRO 2020</w:t>
            </w:r>
            <w:r>
              <w:t>). For example, scientific research has shown that the ability of soils to sequester carbon is more influenced by factors like rainfall, soil type and topography of the land than the management action taking place on the land (</w:t>
            </w:r>
            <w:r w:rsidRPr="00117E17">
              <w:t>Rabbi et al. 2015</w:t>
            </w:r>
            <w:r w:rsidRPr="0064045B">
              <w:t xml:space="preserve">; </w:t>
            </w:r>
            <w:r w:rsidR="001A7404" w:rsidRPr="009E7399">
              <w:t>Badgery</w:t>
            </w:r>
            <w:r w:rsidRPr="009E7399" w:rsidDel="001A7404">
              <w:t xml:space="preserve"> et al. </w:t>
            </w:r>
            <w:r w:rsidR="001A7404" w:rsidRPr="009E7399">
              <w:t>2020</w:t>
            </w:r>
            <w:r w:rsidRPr="0064045B">
              <w:t>)</w:t>
            </w:r>
            <w:r>
              <w:t xml:space="preserve">. </w:t>
            </w:r>
            <w:r w:rsidR="00B718E4">
              <w:t xml:space="preserve">The CSIRO states in its report that </w:t>
            </w:r>
            <w:r w:rsidR="000F32CD">
              <w:rPr>
                <w:i/>
              </w:rPr>
              <w:t>‘</w:t>
            </w:r>
            <w:r w:rsidR="00B718E4" w:rsidRPr="0064045B">
              <w:rPr>
                <w:i/>
              </w:rPr>
              <w:t>further work is required to tease apart the relative sensitivities to soil carbon loss and gain for each climate impact factor</w:t>
            </w:r>
            <w:r w:rsidR="000F32CD">
              <w:rPr>
                <w:i/>
              </w:rPr>
              <w:t>’</w:t>
            </w:r>
            <w:r w:rsidR="00B718E4">
              <w:rPr>
                <w:i/>
              </w:rPr>
              <w:t xml:space="preserve"> </w:t>
            </w:r>
            <w:r w:rsidR="00B718E4">
              <w:t>(</w:t>
            </w:r>
            <w:r w:rsidR="00B718E4" w:rsidRPr="00BA125B">
              <w:t>CSIRO 2020</w:t>
            </w:r>
            <w:r w:rsidR="00B718E4">
              <w:t>).</w:t>
            </w:r>
          </w:p>
          <w:p w14:paraId="63F52D51" w14:textId="77777777" w:rsidR="00AF795C" w:rsidRDefault="00AF795C" w:rsidP="00F975A3"/>
          <w:p w14:paraId="0D2240A4" w14:textId="4FD86E77" w:rsidR="00524A42" w:rsidRDefault="00917AD5" w:rsidP="00F975A3">
            <w:r>
              <w:t xml:space="preserve">ERF methods and measurement tools are designed to credit for long-term </w:t>
            </w:r>
            <w:r w:rsidR="00481673">
              <w:t xml:space="preserve">management </w:t>
            </w:r>
            <w:r>
              <w:t xml:space="preserve">changes in carbon storage that distinguish shorter-term </w:t>
            </w:r>
            <w:r w:rsidR="00481673">
              <w:t xml:space="preserve">natural </w:t>
            </w:r>
            <w:r>
              <w:t xml:space="preserve">variation. This is embedded in abatement calculations within the methods. </w:t>
            </w:r>
          </w:p>
          <w:p w14:paraId="5856809F" w14:textId="77777777" w:rsidR="00524A42" w:rsidRDefault="00524A42" w:rsidP="00F975A3"/>
          <w:p w14:paraId="1103B878" w14:textId="06EC126A" w:rsidR="00DC3D07" w:rsidRPr="00843261" w:rsidRDefault="00917AD5" w:rsidP="009910BD">
            <w:pPr>
              <w:rPr>
                <w:rFonts w:eastAsia="Times New Roman" w:cstheme="minorHAnsi"/>
                <w:lang w:eastAsia="en-AU"/>
              </w:rPr>
            </w:pPr>
            <w:r>
              <w:t>There may be cases where new studies on natural processes that affect carbon pools challenge the additionality of the activities of a method. As new science emerges, methods will need to be updated to reflect changes in potential abatement.</w:t>
            </w:r>
          </w:p>
        </w:tc>
      </w:tr>
    </w:tbl>
    <w:p w14:paraId="03EDF1BA" w14:textId="77777777" w:rsidR="00DC3D07" w:rsidRDefault="00DC3D07" w:rsidP="00186DC3"/>
    <w:p w14:paraId="5CFDA2F3" w14:textId="2EDD0E50" w:rsidR="00186DC3" w:rsidRDefault="00186DC3" w:rsidP="00186DC3">
      <w:r w:rsidRPr="00186DC3">
        <w:t xml:space="preserve">Since 2017, the </w:t>
      </w:r>
      <w:r>
        <w:t>ERAC</w:t>
      </w:r>
      <w:r w:rsidRPr="00186DC3">
        <w:t xml:space="preserve"> ha</w:t>
      </w:r>
      <w:r w:rsidR="004E2F1C">
        <w:t>s</w:t>
      </w:r>
      <w:r w:rsidRPr="00186DC3">
        <w:t xml:space="preserve"> reviewed </w:t>
      </w:r>
      <w:r w:rsidR="006074F8">
        <w:t xml:space="preserve">seven </w:t>
      </w:r>
      <w:r w:rsidRPr="00186DC3">
        <w:t>methods</w:t>
      </w:r>
      <w:r w:rsidR="00B41F9F">
        <w:t>,</w:t>
      </w:r>
      <w:r w:rsidR="002505DA">
        <w:t xml:space="preserve"> </w:t>
      </w:r>
      <w:r w:rsidR="006074F8">
        <w:t xml:space="preserve">a further eight are currently under review, and a number </w:t>
      </w:r>
      <w:r w:rsidRPr="00186DC3">
        <w:t xml:space="preserve">have </w:t>
      </w:r>
      <w:r w:rsidR="005D1083">
        <w:t>subsequently</w:t>
      </w:r>
      <w:r w:rsidRPr="00186DC3">
        <w:t xml:space="preserve"> been varied to incorporate the </w:t>
      </w:r>
      <w:r w:rsidR="005B1880">
        <w:t>ERAC’s</w:t>
      </w:r>
      <w:r w:rsidRPr="00186DC3">
        <w:t xml:space="preserve"> recommendations</w:t>
      </w:r>
      <w:r w:rsidR="00D36AFA">
        <w:t>.</w:t>
      </w:r>
      <w:r w:rsidR="005B1880">
        <w:t xml:space="preserve"> </w:t>
      </w:r>
      <w:r w:rsidR="00313517">
        <w:t>The Department</w:t>
      </w:r>
      <w:r w:rsidR="00284B50">
        <w:t xml:space="preserve"> and the Regulator</w:t>
      </w:r>
      <w:r w:rsidR="003543BE">
        <w:t>,</w:t>
      </w:r>
      <w:r w:rsidR="00313517">
        <w:t xml:space="preserve"> </w:t>
      </w:r>
      <w:r w:rsidR="00C148C2">
        <w:t>on behalf of the Government</w:t>
      </w:r>
      <w:r w:rsidR="00284B50">
        <w:t>,</w:t>
      </w:r>
      <w:r w:rsidR="00313517">
        <w:t xml:space="preserve"> also publish </w:t>
      </w:r>
      <w:r w:rsidR="00B92A5A">
        <w:t xml:space="preserve">and update </w:t>
      </w:r>
      <w:r w:rsidR="00C9053D">
        <w:t>supporting resources such as</w:t>
      </w:r>
      <w:r w:rsidR="00313517">
        <w:t xml:space="preserve"> guid</w:t>
      </w:r>
      <w:r w:rsidR="00C9053D">
        <w:t>elines</w:t>
      </w:r>
      <w:r w:rsidR="00F94E82">
        <w:t xml:space="preserve">, supplements, </w:t>
      </w:r>
      <w:r w:rsidR="00B92A5A">
        <w:t xml:space="preserve">calculators and/or emissions factors. </w:t>
      </w:r>
      <w:r w:rsidR="003C7C1A">
        <w:t>While these supporting resources are incorporated through reference in legislative instruments, c</w:t>
      </w:r>
      <w:r w:rsidR="00C9053D">
        <w:t>hanges</w:t>
      </w:r>
      <w:r w:rsidR="00C9053D" w:rsidDel="003C7C1A">
        <w:t xml:space="preserve"> </w:t>
      </w:r>
      <w:r w:rsidR="00C9053D">
        <w:t>do not necessarily coincide with ERAC reviews.</w:t>
      </w:r>
      <w:r w:rsidR="00313517">
        <w:t xml:space="preserve"> </w:t>
      </w:r>
    </w:p>
    <w:p w14:paraId="16FB400F" w14:textId="7388B835" w:rsidR="001B6138" w:rsidRDefault="00BB22A7" w:rsidP="00BB22A7">
      <w:r>
        <w:t xml:space="preserve">The CFI Act protects </w:t>
      </w:r>
      <w:r w:rsidR="00D06280">
        <w:t xml:space="preserve">an </w:t>
      </w:r>
      <w:r>
        <w:t xml:space="preserve">existing project from </w:t>
      </w:r>
      <w:r w:rsidR="00C148C2">
        <w:t>variations</w:t>
      </w:r>
      <w:r>
        <w:t xml:space="preserve"> </w:t>
      </w:r>
      <w:r w:rsidR="00704603">
        <w:t>or revocations</w:t>
      </w:r>
      <w:r>
        <w:t xml:space="preserve"> to </w:t>
      </w:r>
      <w:r w:rsidR="006248A9">
        <w:t>a</w:t>
      </w:r>
      <w:r>
        <w:t xml:space="preserve"> method</w:t>
      </w:r>
      <w:r w:rsidR="005A65F7">
        <w:t xml:space="preserve"> </w:t>
      </w:r>
      <w:r w:rsidR="00D06280">
        <w:t xml:space="preserve">– the method continues to apply unchanged to projects that were registered prior to the variation or revocation taking effect, </w:t>
      </w:r>
      <w:r w:rsidR="005A65F7">
        <w:t xml:space="preserve">unless the </w:t>
      </w:r>
      <w:r w:rsidR="00D06280">
        <w:t>project proponent</w:t>
      </w:r>
      <w:r w:rsidR="005A65F7">
        <w:t xml:space="preserve"> applies to the Regulator to </w:t>
      </w:r>
      <w:r w:rsidR="007F69F4">
        <w:t>switch</w:t>
      </w:r>
      <w:r w:rsidR="005A65F7">
        <w:t xml:space="preserve"> </w:t>
      </w:r>
      <w:r w:rsidR="00545E0D">
        <w:t>(ss</w:t>
      </w:r>
      <w:r w:rsidR="00553841">
        <w:t xml:space="preserve"> 125</w:t>
      </w:r>
      <w:r w:rsidR="00975B3F">
        <w:t xml:space="preserve">; 130 of the </w:t>
      </w:r>
      <w:r w:rsidR="005B022C">
        <w:t>CFI Act)</w:t>
      </w:r>
      <w:r w:rsidR="005A65F7">
        <w:t xml:space="preserve">. </w:t>
      </w:r>
      <w:r w:rsidR="001B6138" w:rsidRPr="001B6138">
        <w:t>Scheme participants may be incentivised to move across to new methods if they provide benefits, i</w:t>
      </w:r>
      <w:r w:rsidR="00801637">
        <w:t xml:space="preserve">ncluding increased abatement, </w:t>
      </w:r>
      <w:r w:rsidR="001B6138" w:rsidRPr="001B6138">
        <w:t>increased flexibility or reduced measurement and reporting costs. They are unlikely to switch over to a varied or new method if it provides them with fewer ACCUs and less financial return (</w:t>
      </w:r>
      <w:r w:rsidR="001B6138" w:rsidRPr="005E1241">
        <w:t>CCA 2017a</w:t>
      </w:r>
      <w:r w:rsidR="001B6138" w:rsidRPr="001B6138">
        <w:t xml:space="preserve">).  </w:t>
      </w:r>
    </w:p>
    <w:p w14:paraId="7C24CBA0" w14:textId="5A391181" w:rsidR="00B43B5C" w:rsidRDefault="00BB22A7" w:rsidP="00F975A3">
      <w:r>
        <w:t xml:space="preserve">While this </w:t>
      </w:r>
      <w:r w:rsidR="007D4E13">
        <w:t>approach</w:t>
      </w:r>
      <w:r>
        <w:t xml:space="preserve"> </w:t>
      </w:r>
      <w:r w:rsidR="005D1083">
        <w:t xml:space="preserve">enhances certainty for project investors, it comes with the risk of undermining </w:t>
      </w:r>
      <w:r>
        <w:t xml:space="preserve">the </w:t>
      </w:r>
      <w:r w:rsidR="00D6346F">
        <w:t>integrity of ACCU</w:t>
      </w:r>
      <w:r w:rsidR="005D1083">
        <w:t>s i</w:t>
      </w:r>
      <w:r w:rsidR="00932668">
        <w:t>f projects are perceived to be receiving more ACCUs than would be the case under the revised method</w:t>
      </w:r>
      <w:r w:rsidR="00D6346F">
        <w:t xml:space="preserve">. </w:t>
      </w:r>
      <w:r>
        <w:t xml:space="preserve"> </w:t>
      </w:r>
      <w:r w:rsidR="005D1083" w:rsidRPr="007E59F8">
        <w:t>The</w:t>
      </w:r>
      <w:r w:rsidRPr="007E59F8">
        <w:t xml:space="preserve"> Government bears the risk </w:t>
      </w:r>
      <w:r w:rsidR="00312C4D">
        <w:t xml:space="preserve">if it </w:t>
      </w:r>
      <w:r w:rsidR="00D6346F" w:rsidRPr="007E59F8">
        <w:t>purchas</w:t>
      </w:r>
      <w:r w:rsidR="00312C4D">
        <w:t>es</w:t>
      </w:r>
      <w:r w:rsidR="00D6346F" w:rsidRPr="007E59F8">
        <w:t xml:space="preserve"> low integrity ACCUs</w:t>
      </w:r>
      <w:r w:rsidR="00481673">
        <w:t xml:space="preserve">. </w:t>
      </w:r>
      <w:r w:rsidR="00845B73">
        <w:t xml:space="preserve">Additionally, </w:t>
      </w:r>
      <w:r w:rsidR="00481673">
        <w:t>a</w:t>
      </w:r>
      <w:r w:rsidR="007E59F8">
        <w:t xml:space="preserve"> loss of market confidence in the integrity of ACCUs will adversely affect the Australian carbon </w:t>
      </w:r>
      <w:r w:rsidR="00D6346F">
        <w:t>industry</w:t>
      </w:r>
      <w:r w:rsidR="00D6346F" w:rsidRPr="007E59F8">
        <w:t xml:space="preserve"> </w:t>
      </w:r>
      <w:r w:rsidR="00917AD5">
        <w:t>(</w:t>
      </w:r>
      <w:r w:rsidR="00C777C1">
        <w:t>Woodside</w:t>
      </w:r>
      <w:r w:rsidR="005E19C4">
        <w:t xml:space="preserve"> p. </w:t>
      </w:r>
      <w:r w:rsidR="00C777C1">
        <w:t>3</w:t>
      </w:r>
      <w:r w:rsidR="005E19C4">
        <w:t xml:space="preserve">; </w:t>
      </w:r>
      <w:r w:rsidR="00C777C1">
        <w:t>ICIN p. 4</w:t>
      </w:r>
      <w:r w:rsidR="00E162A0">
        <w:t xml:space="preserve">; </w:t>
      </w:r>
      <w:r w:rsidR="00845B73">
        <w:t>ESIA</w:t>
      </w:r>
      <w:r w:rsidR="00E162A0">
        <w:t xml:space="preserve"> p. 4</w:t>
      </w:r>
      <w:r w:rsidR="00845B73">
        <w:t xml:space="preserve"> submissions</w:t>
      </w:r>
      <w:r w:rsidR="00917AD5">
        <w:t>)</w:t>
      </w:r>
      <w:r w:rsidR="00D6346F">
        <w:t xml:space="preserve">. </w:t>
      </w:r>
    </w:p>
    <w:p w14:paraId="1BD92A7C" w14:textId="33044D91" w:rsidR="002D4B9F" w:rsidRDefault="002D4B9F" w:rsidP="002D4B9F">
      <w:r>
        <w:t xml:space="preserve">An analysis of </w:t>
      </w:r>
      <w:r w:rsidR="00BB0D85">
        <w:t>emissions avoidance</w:t>
      </w:r>
      <w:r>
        <w:t xml:space="preserve"> and carbon sequestration opportunities from rural land use by CSIRO in 2009 cautioned </w:t>
      </w:r>
      <w:r w:rsidR="00BB0D85">
        <w:t xml:space="preserve">that there will be fast and continuing improvements in the ability to quantify the volume of emissions reductions and sequestration and said </w:t>
      </w:r>
      <w:r w:rsidR="000F32CD">
        <w:t>‘</w:t>
      </w:r>
      <w:r w:rsidRPr="001E5288">
        <w:rPr>
          <w:i/>
        </w:rPr>
        <w:t>Accordingly the trading policies and terms enacted should be couched in forms that can be readily and routinely updated and upgraded to accommodate improvement in the science without disadvantaging early bona fide investors</w:t>
      </w:r>
      <w:r w:rsidR="000F32CD">
        <w:rPr>
          <w:i/>
        </w:rPr>
        <w:t>’</w:t>
      </w:r>
      <w:r>
        <w:t xml:space="preserve"> (</w:t>
      </w:r>
      <w:r w:rsidRPr="00312870">
        <w:t>CSIRO 2009</w:t>
      </w:r>
      <w:r>
        <w:t xml:space="preserve">). </w:t>
      </w:r>
    </w:p>
    <w:p w14:paraId="5234F421" w14:textId="2EE44209" w:rsidR="0093125F" w:rsidRDefault="00E309FC" w:rsidP="00BB22A7">
      <w:r>
        <w:t>W</w:t>
      </w:r>
      <w:r w:rsidR="003D0854">
        <w:t xml:space="preserve">hen variations are made </w:t>
      </w:r>
      <w:r w:rsidR="00154926">
        <w:t xml:space="preserve">outside of </w:t>
      </w:r>
      <w:r w:rsidR="006C6044">
        <w:t>methods</w:t>
      </w:r>
      <w:r w:rsidR="00EC6B62">
        <w:t>,</w:t>
      </w:r>
      <w:r w:rsidR="00154926">
        <w:t xml:space="preserve"> such as</w:t>
      </w:r>
      <w:r w:rsidR="003D0854">
        <w:t xml:space="preserve"> to the statutory rule</w:t>
      </w:r>
      <w:r w:rsidR="00EC6B62">
        <w:t xml:space="preserve"> or other supporting resources</w:t>
      </w:r>
      <w:r w:rsidR="003D0854">
        <w:t xml:space="preserve">, the risk of any commercial impact is </w:t>
      </w:r>
      <w:r w:rsidR="007E14CA">
        <w:t>borne</w:t>
      </w:r>
      <w:r w:rsidR="003D0854">
        <w:t xml:space="preserve"> by </w:t>
      </w:r>
      <w:r w:rsidR="006C6044">
        <w:t xml:space="preserve">existing </w:t>
      </w:r>
      <w:r w:rsidR="005B022C">
        <w:t>scheme participants</w:t>
      </w:r>
      <w:r w:rsidR="003D0854">
        <w:t xml:space="preserve"> unless the Government decides otherwise at the time of the variation. Stakeholders have raised this as a</w:t>
      </w:r>
      <w:r w:rsidR="007E59F8">
        <w:t xml:space="preserve"> significant</w:t>
      </w:r>
      <w:r w:rsidR="003D0854">
        <w:t xml:space="preserve"> issue</w:t>
      </w:r>
      <w:r w:rsidR="007E59F8">
        <w:t xml:space="preserve"> (Box</w:t>
      </w:r>
      <w:r w:rsidR="003113CE">
        <w:t xml:space="preserve"> </w:t>
      </w:r>
      <w:r w:rsidR="007E59F8">
        <w:t>7.2).</w:t>
      </w:r>
      <w:r w:rsidR="00EC6B62">
        <w:t xml:space="preserve"> </w:t>
      </w:r>
      <w:r w:rsidR="00D633B4">
        <w:t xml:space="preserve">Kimberley Land Council </w:t>
      </w:r>
      <w:r w:rsidR="00EF15D0">
        <w:t xml:space="preserve">and ICIN </w:t>
      </w:r>
      <w:r w:rsidR="00D633B4">
        <w:t xml:space="preserve">recommended removing </w:t>
      </w:r>
      <w:r w:rsidR="000F32CD">
        <w:rPr>
          <w:i/>
        </w:rPr>
        <w:t>‘</w:t>
      </w:r>
      <w:r w:rsidR="00D633B4" w:rsidRPr="00BA2FDD">
        <w:rPr>
          <w:i/>
        </w:rPr>
        <w:t xml:space="preserve">uncertainty created by potential changes to the Technical Guidance Document </w:t>
      </w:r>
      <w:r w:rsidR="00D633B4" w:rsidRPr="00BB3567">
        <w:t>[of savanna burning projects]</w:t>
      </w:r>
      <w:r w:rsidR="00D633B4" w:rsidRPr="00BA2FDD">
        <w:rPr>
          <w:i/>
        </w:rPr>
        <w:t>… in order to provide certainty to proponents</w:t>
      </w:r>
      <w:r w:rsidR="000F32CD">
        <w:rPr>
          <w:i/>
        </w:rPr>
        <w:t>’</w:t>
      </w:r>
      <w:r w:rsidR="00D633B4">
        <w:t xml:space="preserve"> (</w:t>
      </w:r>
      <w:r w:rsidR="00EF15D0">
        <w:t xml:space="preserve">KLC </w:t>
      </w:r>
      <w:r w:rsidR="00D633B4">
        <w:t>p.</w:t>
      </w:r>
      <w:r w:rsidR="004F245B">
        <w:t xml:space="preserve"> </w:t>
      </w:r>
      <w:r w:rsidR="00D633B4">
        <w:t xml:space="preserve">8). </w:t>
      </w:r>
      <w:r w:rsidR="007F69F4">
        <w:t>In most cases</w:t>
      </w:r>
      <w:r w:rsidR="00E33EA1">
        <w:t>,</w:t>
      </w:r>
      <w:r w:rsidR="007F69F4">
        <w:t xml:space="preserve"> changes to guidance and tools outside of the method are retrospective, unless the Government decides otherwise </w:t>
      </w:r>
      <w:r w:rsidR="00E33EA1">
        <w:t>at the time. F</w:t>
      </w:r>
      <w:r w:rsidR="007F69F4">
        <w:t xml:space="preserve">or example, </w:t>
      </w:r>
      <w:r w:rsidR="00E33EA1">
        <w:t xml:space="preserve">recent updates to the Full Carbon Accounting Model (FullCAM) includes two options; </w:t>
      </w:r>
      <w:r w:rsidR="00171C67">
        <w:t>e</w:t>
      </w:r>
      <w:r w:rsidR="00E33EA1">
        <w:t>xisting projects can use either the 2020 or 2016 option within the 2020 FullCAM version</w:t>
      </w:r>
      <w:r w:rsidR="003152BF">
        <w:t xml:space="preserve"> </w:t>
      </w:r>
      <w:r w:rsidR="003152BF" w:rsidRPr="00312870">
        <w:t>(CER 2020</w:t>
      </w:r>
      <w:r w:rsidR="00DD2AEB">
        <w:t>j</w:t>
      </w:r>
      <w:r w:rsidR="003152BF">
        <w:t>)</w:t>
      </w:r>
      <w:r w:rsidR="00E33EA1">
        <w:t xml:space="preserve">. </w:t>
      </w:r>
      <w:r w:rsidR="00EC6B62">
        <w:t xml:space="preserve">The 2016 option ‘grandfathers’ the model version from 2016. </w:t>
      </w:r>
      <w:r w:rsidR="007F69F4">
        <w:t xml:space="preserve">The case study in </w:t>
      </w:r>
      <w:r w:rsidR="007D53F9" w:rsidRPr="007E59F8">
        <w:t>B</w:t>
      </w:r>
      <w:r w:rsidR="007F69F4" w:rsidRPr="007E59F8">
        <w:t xml:space="preserve">ox </w:t>
      </w:r>
      <w:r w:rsidR="007F69F4">
        <w:t xml:space="preserve">7.2 describes the impact on native forest regeneration projects </w:t>
      </w:r>
      <w:r w:rsidR="00EC6B62">
        <w:t>due to</w:t>
      </w:r>
      <w:r w:rsidR="007F69F4">
        <w:t xml:space="preserve"> variations made outside of the methodology determinations.</w:t>
      </w:r>
    </w:p>
    <w:p w14:paraId="5EA5DABA" w14:textId="1F4D1661" w:rsidR="002D4B9F" w:rsidRDefault="009B1FB3" w:rsidP="002D4B9F">
      <w:r>
        <w:t>The Authority considered this issue i</w:t>
      </w:r>
      <w:r w:rsidR="003D0854">
        <w:t xml:space="preserve">n its </w:t>
      </w:r>
      <w:r w:rsidR="00BB22A7">
        <w:t xml:space="preserve">2017 </w:t>
      </w:r>
      <w:r w:rsidR="00EF61A5">
        <w:t>r</w:t>
      </w:r>
      <w:r w:rsidR="00BB22A7">
        <w:t>eview</w:t>
      </w:r>
      <w:r>
        <w:t xml:space="preserve"> of the ERF and </w:t>
      </w:r>
      <w:r w:rsidR="00BB22A7">
        <w:t xml:space="preserve">recommended </w:t>
      </w:r>
      <w:r w:rsidR="007E55B5">
        <w:t>the M</w:t>
      </w:r>
      <w:r>
        <w:t>inister make improvements to methods to mai</w:t>
      </w:r>
      <w:r w:rsidR="00C43383">
        <w:t>ntain their alignment with the Offsets Integrity S</w:t>
      </w:r>
      <w:r>
        <w:t>tandards and require scheme participants to move to the new method within two years if a variation is made</w:t>
      </w:r>
      <w:r w:rsidR="00FD6455" w:rsidRPr="0093125F">
        <w:t xml:space="preserve"> (</w:t>
      </w:r>
      <w:r w:rsidR="00FD6455" w:rsidRPr="005E1241">
        <w:t>CCA 2017a</w:t>
      </w:r>
      <w:r w:rsidR="00FD6455">
        <w:t xml:space="preserve"> Rec. 4)</w:t>
      </w:r>
      <w:r w:rsidR="00BB22A7" w:rsidRPr="0065618A">
        <w:t>.</w:t>
      </w:r>
      <w:r w:rsidR="00BB22A7">
        <w:t xml:space="preserve"> </w:t>
      </w:r>
      <w:r>
        <w:t>The Government notes requiring projects to transition to new or varied methods would help support the integrity of the scheme, but that it must be balanced with considerations of fa</w:t>
      </w:r>
      <w:r w:rsidR="007E55B5">
        <w:t>i</w:t>
      </w:r>
      <w:r>
        <w:t xml:space="preserve">rness to existing participants </w:t>
      </w:r>
      <w:r w:rsidR="00FD6455">
        <w:t>(</w:t>
      </w:r>
      <w:r w:rsidR="00FD6455" w:rsidRPr="002A4EC1">
        <w:rPr>
          <w:rFonts w:cs="Arial"/>
          <w:szCs w:val="20"/>
        </w:rPr>
        <w:t>Australian Government 2019</w:t>
      </w:r>
      <w:r w:rsidR="00F94A3A">
        <w:rPr>
          <w:rFonts w:cs="Arial"/>
          <w:szCs w:val="20"/>
        </w:rPr>
        <w:t>c</w:t>
      </w:r>
      <w:r w:rsidR="0065618A" w:rsidRPr="0093125F">
        <w:rPr>
          <w:rFonts w:cs="Arial"/>
          <w:szCs w:val="20"/>
        </w:rPr>
        <w:t>)</w:t>
      </w:r>
      <w:r w:rsidR="00BB22A7" w:rsidRPr="0065618A">
        <w:t xml:space="preserve">. </w:t>
      </w:r>
    </w:p>
    <w:p w14:paraId="741E67AC" w14:textId="3D9970EE" w:rsidR="00BB22A7" w:rsidRDefault="00BB22A7" w:rsidP="00BB22A7">
      <w:r>
        <w:t xml:space="preserve">The </w:t>
      </w:r>
      <w:r w:rsidR="00545E7B">
        <w:t xml:space="preserve">King </w:t>
      </w:r>
      <w:r w:rsidR="009841F1">
        <w:t>Review</w:t>
      </w:r>
      <w:r>
        <w:t xml:space="preserve"> noted this approach would reduce the integrity risks associated with method errors and science improvements. However, it would </w:t>
      </w:r>
      <w:r w:rsidR="000F32CD">
        <w:rPr>
          <w:i/>
        </w:rPr>
        <w:t>‘</w:t>
      </w:r>
      <w:r w:rsidRPr="7943B309">
        <w:rPr>
          <w:i/>
        </w:rPr>
        <w:t>exacerbate the concerns surrounding retrospective rule changes… This could deter participation in the scheme, while also potentially acting as a barrier to method improvements, as proponents and aggregators of existing projects would be likely to oppose any variations</w:t>
      </w:r>
      <w:r w:rsidR="000F32CD">
        <w:rPr>
          <w:i/>
        </w:rPr>
        <w:t>’</w:t>
      </w:r>
      <w:r w:rsidRPr="7943B309">
        <w:rPr>
          <w:i/>
        </w:rPr>
        <w:t xml:space="preserve"> </w:t>
      </w:r>
      <w:r w:rsidR="004E2F1C">
        <w:t>(</w:t>
      </w:r>
      <w:r w:rsidR="000049E6" w:rsidRPr="00764422">
        <w:t xml:space="preserve">Australian Government </w:t>
      </w:r>
      <w:r w:rsidR="000049E6" w:rsidRPr="009C394A">
        <w:rPr>
          <w:rFonts w:eastAsia="Times New Roman" w:cs="Arial"/>
          <w:szCs w:val="20"/>
          <w:lang w:eastAsia="en-AU"/>
        </w:rPr>
        <w:t>2020</w:t>
      </w:r>
      <w:r w:rsidR="000049E6">
        <w:rPr>
          <w:rFonts w:eastAsia="Times New Roman" w:cs="Arial"/>
          <w:szCs w:val="20"/>
          <w:lang w:eastAsia="en-AU"/>
        </w:rPr>
        <w:t>b</w:t>
      </w:r>
      <w:r w:rsidR="005F5E79" w:rsidRPr="0093125F">
        <w:rPr>
          <w:rFonts w:cs="Arial"/>
          <w:szCs w:val="20"/>
        </w:rPr>
        <w:t>).</w:t>
      </w:r>
    </w:p>
    <w:p w14:paraId="4D7C349C" w14:textId="783914B8" w:rsidR="00BB22A7" w:rsidRDefault="00BB22A7" w:rsidP="00BB22A7">
      <w:r>
        <w:t xml:space="preserve">The </w:t>
      </w:r>
      <w:r w:rsidR="00545E7B">
        <w:t xml:space="preserve">King </w:t>
      </w:r>
      <w:r w:rsidR="009841F1">
        <w:t>Review</w:t>
      </w:r>
      <w:r>
        <w:t xml:space="preserve"> </w:t>
      </w:r>
      <w:r w:rsidR="00171C67">
        <w:t>suggested</w:t>
      </w:r>
      <w:r w:rsidR="00C82A1E">
        <w:t>, but did not formally recommend,</w:t>
      </w:r>
      <w:r w:rsidR="00171C67">
        <w:t xml:space="preserve"> a solution </w:t>
      </w:r>
      <w:r w:rsidR="00A754EE">
        <w:t>for method variations</w:t>
      </w:r>
      <w:r w:rsidR="00171C67">
        <w:t xml:space="preserve"> incorporating the following elements</w:t>
      </w:r>
      <w:r>
        <w:t>:</w:t>
      </w:r>
    </w:p>
    <w:p w14:paraId="30FB19B7" w14:textId="009ABE70" w:rsidR="00BB22A7" w:rsidRDefault="007E14CA" w:rsidP="00FE3F8C">
      <w:pPr>
        <w:pStyle w:val="ListParagraph"/>
        <w:numPr>
          <w:ilvl w:val="0"/>
          <w:numId w:val="11"/>
        </w:numPr>
      </w:pPr>
      <w:r>
        <w:t>a</w:t>
      </w:r>
      <w:r w:rsidR="00BB22A7">
        <w:t>mend the CFI Act to require proponents to transition to new methods within two years</w:t>
      </w:r>
      <w:r w:rsidR="00B41F9F">
        <w:t>,</w:t>
      </w:r>
      <w:r w:rsidR="00BB22A7">
        <w:t xml:space="preserve"> </w:t>
      </w:r>
    </w:p>
    <w:p w14:paraId="2C16618A" w14:textId="7D3D8E4A" w:rsidR="00BB22A7" w:rsidRDefault="007E14CA" w:rsidP="00FE3F8C">
      <w:pPr>
        <w:pStyle w:val="ListParagraph"/>
        <w:numPr>
          <w:ilvl w:val="0"/>
          <w:numId w:val="11"/>
        </w:numPr>
      </w:pPr>
      <w:r>
        <w:t>a</w:t>
      </w:r>
      <w:r w:rsidR="00BB22A7">
        <w:t>mend the CFI Act to enable the inclusion of transitional arrangements in varied methods, or</w:t>
      </w:r>
    </w:p>
    <w:p w14:paraId="71A8BFB9" w14:textId="3A45231B" w:rsidR="00BB22A7" w:rsidRDefault="007E14CA" w:rsidP="00FE3F8C">
      <w:pPr>
        <w:pStyle w:val="ListParagraph"/>
        <w:numPr>
          <w:ilvl w:val="0"/>
          <w:numId w:val="11"/>
        </w:numPr>
      </w:pPr>
      <w:r>
        <w:t>e</w:t>
      </w:r>
      <w:r w:rsidR="00BB22A7">
        <w:t xml:space="preserve">stablish a risk sharing framework in the Regulations to govern the development of transitional arrangements. </w:t>
      </w:r>
    </w:p>
    <w:p w14:paraId="240A955A" w14:textId="60F8D8F6" w:rsidR="00293150" w:rsidRDefault="008A748A" w:rsidP="00BB22A7">
      <w:r>
        <w:t xml:space="preserve">The ERAC </w:t>
      </w:r>
      <w:r w:rsidR="00171C67">
        <w:t>has previously stated its support for</w:t>
      </w:r>
      <w:r>
        <w:t xml:space="preserve"> </w:t>
      </w:r>
      <w:r w:rsidR="000F32CD">
        <w:t>‘</w:t>
      </w:r>
      <w:r w:rsidR="003113CE" w:rsidRPr="008925B1">
        <w:rPr>
          <w:i/>
        </w:rPr>
        <w:t>further consideration be given to</w:t>
      </w:r>
      <w:r w:rsidDel="003113CE">
        <w:rPr>
          <w:i/>
        </w:rPr>
        <w:t xml:space="preserve"> </w:t>
      </w:r>
      <w:r w:rsidRPr="7943B309">
        <w:rPr>
          <w:i/>
        </w:rPr>
        <w:t>how the risks associated with method errors can be shared between the Government and proponents</w:t>
      </w:r>
      <w:r w:rsidR="000F32CD">
        <w:rPr>
          <w:i/>
        </w:rPr>
        <w:t>’</w:t>
      </w:r>
      <w:r w:rsidR="003113CE">
        <w:rPr>
          <w:i/>
        </w:rPr>
        <w:t xml:space="preserve">. </w:t>
      </w:r>
      <w:r w:rsidR="003113CE" w:rsidRPr="008925B1">
        <w:t>They gave their</w:t>
      </w:r>
      <w:r w:rsidR="00545E7B">
        <w:t xml:space="preserve"> view </w:t>
      </w:r>
      <w:r>
        <w:t xml:space="preserve">that there is </w:t>
      </w:r>
      <w:r w:rsidR="000F32CD">
        <w:rPr>
          <w:i/>
        </w:rPr>
        <w:t>‘</w:t>
      </w:r>
      <w:r w:rsidRPr="7943B309">
        <w:rPr>
          <w:i/>
        </w:rPr>
        <w:t>a need for a risk sharing framework that strikes an appropriate balance between the need for flexibility to address method errors and maintain high integrity, while also providing proponents with sufficient certainty to invest in projects</w:t>
      </w:r>
      <w:r w:rsidR="000F32CD">
        <w:rPr>
          <w:i/>
        </w:rPr>
        <w:t>’</w:t>
      </w:r>
      <w:r w:rsidRPr="7943B309">
        <w:rPr>
          <w:i/>
        </w:rPr>
        <w:t xml:space="preserve"> </w:t>
      </w:r>
      <w:r w:rsidRPr="00646A60">
        <w:t>(</w:t>
      </w:r>
      <w:r w:rsidRPr="00D81DE4">
        <w:t>ERAC 2019d</w:t>
      </w:r>
      <w:r w:rsidRPr="00646A60">
        <w:t>)</w:t>
      </w:r>
      <w:r w:rsidRPr="00B96627">
        <w:t>.</w:t>
      </w:r>
    </w:p>
    <w:p w14:paraId="218956A3" w14:textId="45A844A3" w:rsidR="007D697F" w:rsidRDefault="002D4B9F" w:rsidP="00C43383">
      <w:r>
        <w:t>The Authority remains of the view that 25 years is a long time to allow projects to keep generating ACCUs if a problem is identified with a method (</w:t>
      </w:r>
      <w:r w:rsidRPr="005E1241">
        <w:t>CCA 2017</w:t>
      </w:r>
      <w:r w:rsidR="00FB5985" w:rsidRPr="005E1241">
        <w:t>a</w:t>
      </w:r>
      <w:r>
        <w:t>). Developing an adaptive risk sharing framework to incorporate changes</w:t>
      </w:r>
      <w:r w:rsidR="005B022C">
        <w:t xml:space="preserve"> in </w:t>
      </w:r>
      <w:r w:rsidR="00526AC1">
        <w:t xml:space="preserve">subordinate legislative instruments, and other documents/tools incorporated through reference, will </w:t>
      </w:r>
      <w:r w:rsidR="0093125F">
        <w:t>help strike the balance between maintaining integrity of the scheme and provide certainty to scheme participants.</w:t>
      </w:r>
      <w:r w:rsidR="0093125F" w:rsidDel="0093125F">
        <w:t xml:space="preserve"> </w:t>
      </w:r>
      <w:r w:rsidR="000D7B5B">
        <w:t>This is discussed further in Section 7.2 below.</w:t>
      </w:r>
    </w:p>
    <w:p w14:paraId="44BB30FE" w14:textId="77777777" w:rsidR="001B1984" w:rsidRDefault="001B1984" w:rsidP="00C43383"/>
    <w:p w14:paraId="05923241" w14:textId="77777777" w:rsidR="001B1984" w:rsidRDefault="001B1984">
      <w:pPr>
        <w:spacing w:line="259" w:lineRule="auto"/>
      </w:pPr>
      <w:r>
        <w:br w:type="page"/>
      </w:r>
    </w:p>
    <w:p w14:paraId="04C29D05" w14:textId="5C535FE1" w:rsidR="001B1984" w:rsidRDefault="001B1984" w:rsidP="00C43383"/>
    <w:tbl>
      <w:tblPr>
        <w:tblStyle w:val="TableGrid"/>
        <w:tblW w:w="0" w:type="auto"/>
        <w:tblLook w:val="04A0" w:firstRow="1" w:lastRow="0" w:firstColumn="1" w:lastColumn="0" w:noHBand="0" w:noVBand="1"/>
      </w:tblPr>
      <w:tblGrid>
        <w:gridCol w:w="9016"/>
      </w:tblGrid>
      <w:tr w:rsidR="007F69F4" w14:paraId="397E79FC" w14:textId="77777777" w:rsidTr="00DB2AA7">
        <w:tc>
          <w:tcPr>
            <w:tcW w:w="9016" w:type="dxa"/>
          </w:tcPr>
          <w:p w14:paraId="70D12694" w14:textId="77777777" w:rsidR="007F69F4" w:rsidRPr="0093125F" w:rsidRDefault="007F69F4" w:rsidP="00366F5A">
            <w:pPr>
              <w:pStyle w:val="Box"/>
              <w:pBdr>
                <w:top w:val="none" w:sz="0" w:space="0" w:color="auto"/>
                <w:left w:val="none" w:sz="0" w:space="0" w:color="auto"/>
                <w:bottom w:val="none" w:sz="0" w:space="0" w:color="auto"/>
                <w:right w:val="none" w:sz="0" w:space="0" w:color="auto"/>
              </w:pBdr>
              <w:rPr>
                <w:rFonts w:eastAsia="Times New Roman" w:cs="Arial"/>
                <w:b w:val="0"/>
                <w:color w:val="00A7E2"/>
                <w:szCs w:val="20"/>
                <w:lang w:eastAsia="en-AU"/>
              </w:rPr>
            </w:pPr>
            <w:bookmarkStart w:id="2885" w:name="_Toc53129527"/>
            <w:r w:rsidRPr="007D697F">
              <w:rPr>
                <w:lang w:eastAsia="en-AU"/>
              </w:rPr>
              <w:t>Box 7.2 - Case study: Variations to native forest regeneration projects</w:t>
            </w:r>
            <w:bookmarkEnd w:id="2885"/>
          </w:p>
          <w:p w14:paraId="22C1EA49" w14:textId="77777777" w:rsidR="007F69F4" w:rsidRPr="00AD3453" w:rsidRDefault="007F69F4" w:rsidP="00DB2AA7"/>
          <w:p w14:paraId="0445C95E" w14:textId="77777777" w:rsidR="007F69F4" w:rsidRDefault="007F69F4" w:rsidP="00DB2AA7">
            <w:pPr>
              <w:shd w:val="clear" w:color="auto" w:fill="FFFFFF" w:themeFill="background1"/>
              <w:tabs>
                <w:tab w:val="left" w:pos="5345"/>
              </w:tabs>
            </w:pPr>
            <w:r>
              <w:t xml:space="preserve">The most prevalent projects under the ERF are those that regenerate native vegetation using one of two methods: </w:t>
            </w:r>
          </w:p>
          <w:p w14:paraId="044ABC45" w14:textId="2E3BA5C1" w:rsidR="007F69F4" w:rsidRDefault="007F69F4" w:rsidP="00FE3F8C">
            <w:pPr>
              <w:pStyle w:val="ListParagraph"/>
              <w:numPr>
                <w:ilvl w:val="0"/>
                <w:numId w:val="21"/>
              </w:numPr>
              <w:shd w:val="clear" w:color="auto" w:fill="FFFFFF" w:themeFill="background1"/>
              <w:tabs>
                <w:tab w:val="left" w:pos="5345"/>
              </w:tabs>
            </w:pPr>
            <w:r>
              <w:t>human-induced regeneration of permanent even-aged native forest</w:t>
            </w:r>
            <w:r w:rsidR="00C347ED">
              <w:t xml:space="preserve"> (HIR)</w:t>
            </w:r>
          </w:p>
          <w:p w14:paraId="4225617B" w14:textId="1C1389D5" w:rsidR="007F69F4" w:rsidRDefault="007F69F4" w:rsidP="00FE3F8C">
            <w:pPr>
              <w:pStyle w:val="ListParagraph"/>
              <w:numPr>
                <w:ilvl w:val="0"/>
                <w:numId w:val="21"/>
              </w:numPr>
              <w:shd w:val="clear" w:color="auto" w:fill="FFFFFF" w:themeFill="background1"/>
              <w:tabs>
                <w:tab w:val="left" w:pos="5345"/>
              </w:tabs>
            </w:pPr>
            <w:r>
              <w:t>native forest from managed regrowth</w:t>
            </w:r>
            <w:r w:rsidR="00C347ED">
              <w:t xml:space="preserve"> (NFMR)</w:t>
            </w:r>
            <w:r>
              <w:t xml:space="preserve">. </w:t>
            </w:r>
          </w:p>
          <w:p w14:paraId="2F19914A" w14:textId="77777777" w:rsidR="007F69F4" w:rsidRDefault="007F69F4" w:rsidP="00DB2AA7">
            <w:pPr>
              <w:shd w:val="clear" w:color="auto" w:fill="FFFFFF" w:themeFill="background1"/>
              <w:tabs>
                <w:tab w:val="left" w:pos="5345"/>
              </w:tabs>
            </w:pPr>
          </w:p>
          <w:p w14:paraId="02E7830D" w14:textId="63526098" w:rsidR="007F69F4" w:rsidRDefault="007F69F4" w:rsidP="0093125F">
            <w:pPr>
              <w:tabs>
                <w:tab w:val="left" w:pos="5345"/>
              </w:tabs>
            </w:pPr>
            <w:r>
              <w:t xml:space="preserve">Together, projects using these methods contribute </w:t>
            </w:r>
            <w:r w:rsidR="001416FE">
              <w:t xml:space="preserve">approximately </w:t>
            </w:r>
            <w:r w:rsidR="001416FE" w:rsidRPr="00F65A43">
              <w:t>51</w:t>
            </w:r>
            <w:r w:rsidR="00380606" w:rsidRPr="00F65A43">
              <w:t xml:space="preserve"> per cent </w:t>
            </w:r>
            <w:r w:rsidR="001416FE" w:rsidRPr="00F65A43">
              <w:t>(98,</w:t>
            </w:r>
            <w:r w:rsidR="00B41F9F">
              <w:t>7 million</w:t>
            </w:r>
            <w:r w:rsidR="001416FE" w:rsidRPr="00F65A43">
              <w:t>)</w:t>
            </w:r>
            <w:r w:rsidR="001416FE">
              <w:t xml:space="preserve"> of total contracted abatement</w:t>
            </w:r>
            <w:r>
              <w:t xml:space="preserve"> </w:t>
            </w:r>
            <w:r w:rsidR="001416FE">
              <w:t>(</w:t>
            </w:r>
            <w:r w:rsidR="00B41F9F">
              <w:t>b</w:t>
            </w:r>
            <w:r w:rsidR="001416FE" w:rsidRPr="00F65A43">
              <w:t>as</w:t>
            </w:r>
            <w:r w:rsidR="00975B3F">
              <w:t>ed on CER 2020e</w:t>
            </w:r>
            <w:r w:rsidR="001416FE" w:rsidRPr="00F65A43">
              <w:t xml:space="preserve"> as at 22 June 2020</w:t>
            </w:r>
            <w:r w:rsidR="001416FE">
              <w:t xml:space="preserve">). </w:t>
            </w:r>
            <w:r>
              <w:t xml:space="preserve"> </w:t>
            </w:r>
          </w:p>
          <w:p w14:paraId="069B41EC" w14:textId="77777777" w:rsidR="007F69F4" w:rsidRDefault="007F69F4" w:rsidP="00DB2AA7"/>
          <w:p w14:paraId="6D476705" w14:textId="6A8204D2" w:rsidR="007F69F4" w:rsidRDefault="007F69F4" w:rsidP="00DB2AA7">
            <w:r>
              <w:t xml:space="preserve">In </w:t>
            </w:r>
            <w:r w:rsidR="00C43383">
              <w:t xml:space="preserve">its </w:t>
            </w:r>
            <w:r>
              <w:t xml:space="preserve">2017 ERF </w:t>
            </w:r>
            <w:r w:rsidR="00EF61A5">
              <w:t>r</w:t>
            </w:r>
            <w:r>
              <w:t>eview,</w:t>
            </w:r>
            <w:r w:rsidR="00C347ED">
              <w:t xml:space="preserve"> </w:t>
            </w:r>
            <w:r w:rsidR="00C43383">
              <w:t>t</w:t>
            </w:r>
            <w:r w:rsidR="00C347ED">
              <w:t xml:space="preserve">he Authority recommended </w:t>
            </w:r>
            <w:r w:rsidR="00C43383">
              <w:t xml:space="preserve">the </w:t>
            </w:r>
            <w:r w:rsidR="00C347ED">
              <w:t>ERAC examine estimation and project requirements for HIR and the additionality of project activities and baselines</w:t>
            </w:r>
            <w:r w:rsidR="00951AE5">
              <w:t xml:space="preserve"> for NFMR</w:t>
            </w:r>
            <w:r>
              <w:t xml:space="preserve"> (</w:t>
            </w:r>
            <w:r w:rsidRPr="005E1241">
              <w:t>CCA 2017</w:t>
            </w:r>
            <w:r w:rsidR="0056602A" w:rsidRPr="005E1241">
              <w:t>a</w:t>
            </w:r>
            <w:r w:rsidR="002D79AF">
              <w:t xml:space="preserve"> Rec. 5</w:t>
            </w:r>
            <w:r w:rsidR="009D643E">
              <w:t xml:space="preserve">). </w:t>
            </w:r>
            <w:r>
              <w:t xml:space="preserve">Since the Authority’s 2017 </w:t>
            </w:r>
            <w:r w:rsidR="00EF61A5">
              <w:t>r</w:t>
            </w:r>
            <w:r>
              <w:t>eview</w:t>
            </w:r>
            <w:r w:rsidR="00FC346B">
              <w:t>,</w:t>
            </w:r>
            <w:r>
              <w:t xml:space="preserve"> updated guidance has been issued, the methods have been reviewed, there have been rule changes, and an updated tool for measuring abatement </w:t>
            </w:r>
            <w:r w:rsidR="00FC346B">
              <w:t>(FullCAM)</w:t>
            </w:r>
            <w:r>
              <w:t xml:space="preserve"> has been introduced. The changes are set out in the table below. </w:t>
            </w:r>
          </w:p>
          <w:p w14:paraId="67481EAE" w14:textId="77777777" w:rsidR="007F69F4" w:rsidRDefault="007F69F4" w:rsidP="00DB2AA7"/>
          <w:p w14:paraId="54CDF9DD" w14:textId="77777777" w:rsidR="007F69F4" w:rsidRPr="00705370" w:rsidRDefault="007F69F4" w:rsidP="00DB2AA7">
            <w:pPr>
              <w:pStyle w:val="FigureTableHeader"/>
              <w:spacing w:line="240" w:lineRule="auto"/>
              <w:jc w:val="both"/>
            </w:pPr>
            <w:r w:rsidRPr="007D697F">
              <w:rPr>
                <w:color w:val="0070AE" w:themeColor="accent2" w:themeTint="BF"/>
              </w:rPr>
              <w:t>Variations affecting native forest regeneration projects under the ERF</w:t>
            </w:r>
          </w:p>
          <w:tbl>
            <w:tblPr>
              <w:tblStyle w:val="TableGrid"/>
              <w:tblW w:w="0" w:type="auto"/>
              <w:tblLook w:val="04A0" w:firstRow="1" w:lastRow="0" w:firstColumn="1" w:lastColumn="0" w:noHBand="0" w:noVBand="1"/>
            </w:tblPr>
            <w:tblGrid>
              <w:gridCol w:w="1533"/>
              <w:gridCol w:w="1805"/>
              <w:gridCol w:w="3511"/>
              <w:gridCol w:w="1941"/>
            </w:tblGrid>
            <w:tr w:rsidR="007F69F4" w14:paraId="33EDAF78" w14:textId="77777777" w:rsidTr="00DB2AA7">
              <w:tc>
                <w:tcPr>
                  <w:tcW w:w="0" w:type="auto"/>
                  <w:tcBorders>
                    <w:top w:val="single" w:sz="4" w:space="0" w:color="auto"/>
                    <w:left w:val="single" w:sz="4" w:space="0" w:color="auto"/>
                    <w:bottom w:val="single" w:sz="4" w:space="0" w:color="auto"/>
                    <w:right w:val="single" w:sz="4" w:space="0" w:color="auto"/>
                  </w:tcBorders>
                  <w:shd w:val="clear" w:color="auto" w:fill="6D6F72" w:themeFill="accent1" w:themeFillShade="BF"/>
                  <w:hideMark/>
                </w:tcPr>
                <w:p w14:paraId="7CF76866" w14:textId="77777777" w:rsidR="007F69F4" w:rsidRDefault="007F69F4" w:rsidP="00DB2AA7">
                  <w:pPr>
                    <w:pStyle w:val="TableHeadingRightAligned"/>
                    <w:jc w:val="center"/>
                  </w:pPr>
                  <w:r>
                    <w:t>Date process was completed</w:t>
                  </w:r>
                </w:p>
              </w:tc>
              <w:tc>
                <w:tcPr>
                  <w:tcW w:w="0" w:type="auto"/>
                  <w:tcBorders>
                    <w:top w:val="single" w:sz="4" w:space="0" w:color="auto"/>
                    <w:left w:val="single" w:sz="4" w:space="0" w:color="auto"/>
                    <w:bottom w:val="single" w:sz="4" w:space="0" w:color="auto"/>
                    <w:right w:val="single" w:sz="4" w:space="0" w:color="auto"/>
                  </w:tcBorders>
                  <w:shd w:val="clear" w:color="auto" w:fill="6D6F72" w:themeFill="accent1" w:themeFillShade="BF"/>
                  <w:hideMark/>
                </w:tcPr>
                <w:p w14:paraId="3A6D1E72" w14:textId="77777777" w:rsidR="007F69F4" w:rsidRDefault="007F69F4" w:rsidP="00DB2AA7">
                  <w:pPr>
                    <w:pStyle w:val="TableHeadingRightAligned"/>
                    <w:jc w:val="center"/>
                  </w:pPr>
                  <w:r>
                    <w:t>Process</w:t>
                  </w:r>
                </w:p>
              </w:tc>
              <w:tc>
                <w:tcPr>
                  <w:tcW w:w="0" w:type="auto"/>
                  <w:tcBorders>
                    <w:top w:val="single" w:sz="4" w:space="0" w:color="auto"/>
                    <w:left w:val="single" w:sz="4" w:space="0" w:color="auto"/>
                    <w:bottom w:val="single" w:sz="4" w:space="0" w:color="auto"/>
                    <w:right w:val="single" w:sz="4" w:space="0" w:color="auto"/>
                  </w:tcBorders>
                  <w:shd w:val="clear" w:color="auto" w:fill="6D6F72" w:themeFill="accent1" w:themeFillShade="BF"/>
                  <w:hideMark/>
                </w:tcPr>
                <w:p w14:paraId="0735CBF7" w14:textId="77777777" w:rsidR="007F69F4" w:rsidRDefault="007F69F4" w:rsidP="00DB2AA7">
                  <w:pPr>
                    <w:pStyle w:val="TableHeadingRightAligned"/>
                    <w:jc w:val="center"/>
                  </w:pPr>
                  <w:r>
                    <w:t>Change</w:t>
                  </w:r>
                </w:p>
              </w:tc>
              <w:tc>
                <w:tcPr>
                  <w:tcW w:w="0" w:type="auto"/>
                  <w:tcBorders>
                    <w:top w:val="single" w:sz="4" w:space="0" w:color="auto"/>
                    <w:left w:val="single" w:sz="4" w:space="0" w:color="auto"/>
                    <w:bottom w:val="single" w:sz="4" w:space="0" w:color="auto"/>
                    <w:right w:val="single" w:sz="4" w:space="0" w:color="auto"/>
                  </w:tcBorders>
                  <w:shd w:val="clear" w:color="auto" w:fill="6D6F72" w:themeFill="accent1" w:themeFillShade="BF"/>
                  <w:hideMark/>
                </w:tcPr>
                <w:p w14:paraId="35DE8053" w14:textId="77777777" w:rsidR="007F69F4" w:rsidRDefault="007F69F4" w:rsidP="00DB2AA7">
                  <w:pPr>
                    <w:pStyle w:val="TableHeadingRightAligned"/>
                    <w:jc w:val="center"/>
                    <w:rPr>
                      <w:rFonts w:cstheme="minorBidi"/>
                      <w:color w:val="auto"/>
                      <w:lang w:eastAsia="en-US"/>
                    </w:rPr>
                  </w:pPr>
                  <w:r>
                    <w:t>Applied to new, existing or all projects</w:t>
                  </w:r>
                </w:p>
              </w:tc>
            </w:tr>
            <w:tr w:rsidR="007F69F4" w14:paraId="3C11F859" w14:textId="77777777" w:rsidTr="00DB2AA7">
              <w:tc>
                <w:tcPr>
                  <w:tcW w:w="0" w:type="auto"/>
                  <w:tcBorders>
                    <w:top w:val="single" w:sz="4" w:space="0" w:color="auto"/>
                    <w:left w:val="single" w:sz="4" w:space="0" w:color="auto"/>
                    <w:bottom w:val="single" w:sz="4" w:space="0" w:color="auto"/>
                    <w:right w:val="single" w:sz="4" w:space="0" w:color="auto"/>
                  </w:tcBorders>
                  <w:hideMark/>
                </w:tcPr>
                <w:p w14:paraId="407154BA" w14:textId="77777777" w:rsidR="007F69F4" w:rsidRDefault="007F69F4" w:rsidP="00DB2AA7">
                  <w:pPr>
                    <w:pStyle w:val="Tablebody"/>
                    <w:jc w:val="center"/>
                  </w:pPr>
                  <w:r>
                    <w:t>November 2017</w:t>
                  </w:r>
                </w:p>
              </w:tc>
              <w:tc>
                <w:tcPr>
                  <w:tcW w:w="0" w:type="auto"/>
                  <w:tcBorders>
                    <w:top w:val="single" w:sz="4" w:space="0" w:color="auto"/>
                    <w:left w:val="single" w:sz="4" w:space="0" w:color="auto"/>
                    <w:bottom w:val="single" w:sz="4" w:space="0" w:color="auto"/>
                    <w:right w:val="single" w:sz="4" w:space="0" w:color="auto"/>
                  </w:tcBorders>
                  <w:hideMark/>
                </w:tcPr>
                <w:p w14:paraId="56CC3E02" w14:textId="77777777" w:rsidR="007F69F4" w:rsidRDefault="007F69F4" w:rsidP="00DB2AA7">
                  <w:pPr>
                    <w:pStyle w:val="Tablebody"/>
                  </w:pPr>
                  <w:r>
                    <w:t>Regulator issues interim guidance</w:t>
                  </w:r>
                </w:p>
              </w:tc>
              <w:tc>
                <w:tcPr>
                  <w:tcW w:w="0" w:type="auto"/>
                  <w:tcBorders>
                    <w:top w:val="single" w:sz="4" w:space="0" w:color="auto"/>
                    <w:left w:val="single" w:sz="4" w:space="0" w:color="auto"/>
                    <w:bottom w:val="single" w:sz="4" w:space="0" w:color="auto"/>
                    <w:right w:val="single" w:sz="4" w:space="0" w:color="auto"/>
                  </w:tcBorders>
                  <w:hideMark/>
                </w:tcPr>
                <w:p w14:paraId="7473B5C7" w14:textId="77777777" w:rsidR="007F69F4" w:rsidRDefault="007F69F4" w:rsidP="00DB2AA7">
                  <w:pPr>
                    <w:pStyle w:val="Tablebody"/>
                  </w:pPr>
                  <w:r>
                    <w:t>Clarified method requirements for stratifying project areas to exclude areas that do not have forest potential or are unable to achieve forest cover.</w:t>
                  </w:r>
                </w:p>
              </w:tc>
              <w:tc>
                <w:tcPr>
                  <w:tcW w:w="0" w:type="auto"/>
                  <w:tcBorders>
                    <w:top w:val="single" w:sz="4" w:space="0" w:color="auto"/>
                    <w:left w:val="single" w:sz="4" w:space="0" w:color="auto"/>
                    <w:bottom w:val="single" w:sz="4" w:space="0" w:color="auto"/>
                    <w:right w:val="single" w:sz="4" w:space="0" w:color="auto"/>
                  </w:tcBorders>
                  <w:hideMark/>
                </w:tcPr>
                <w:p w14:paraId="16119872" w14:textId="77777777" w:rsidR="007F69F4" w:rsidRDefault="007F69F4" w:rsidP="00DB2AA7">
                  <w:pPr>
                    <w:pStyle w:val="Tablebody"/>
                  </w:pPr>
                  <w:r>
                    <w:t>All</w:t>
                  </w:r>
                </w:p>
              </w:tc>
            </w:tr>
            <w:tr w:rsidR="007F69F4" w14:paraId="0184CCE8" w14:textId="77777777" w:rsidTr="00DB2AA7">
              <w:tc>
                <w:tcPr>
                  <w:tcW w:w="0" w:type="auto"/>
                  <w:tcBorders>
                    <w:top w:val="single" w:sz="4" w:space="0" w:color="auto"/>
                    <w:left w:val="single" w:sz="4" w:space="0" w:color="auto"/>
                    <w:bottom w:val="single" w:sz="4" w:space="0" w:color="auto"/>
                    <w:right w:val="single" w:sz="4" w:space="0" w:color="auto"/>
                  </w:tcBorders>
                </w:tcPr>
                <w:p w14:paraId="18714B3F" w14:textId="77777777" w:rsidR="007F69F4" w:rsidRDefault="007F69F4" w:rsidP="00DB2AA7">
                  <w:pPr>
                    <w:pStyle w:val="Tablebody"/>
                    <w:jc w:val="center"/>
                  </w:pPr>
                  <w:r>
                    <w:t>November 2018 and March 2019</w:t>
                  </w:r>
                </w:p>
              </w:tc>
              <w:tc>
                <w:tcPr>
                  <w:tcW w:w="0" w:type="auto"/>
                  <w:tcBorders>
                    <w:top w:val="single" w:sz="4" w:space="0" w:color="auto"/>
                    <w:left w:val="single" w:sz="4" w:space="0" w:color="auto"/>
                    <w:bottom w:val="single" w:sz="4" w:space="0" w:color="auto"/>
                    <w:right w:val="single" w:sz="4" w:space="0" w:color="auto"/>
                  </w:tcBorders>
                </w:tcPr>
                <w:p w14:paraId="4D606C5A" w14:textId="77777777" w:rsidR="007F69F4" w:rsidRDefault="007F69F4" w:rsidP="00DB2AA7">
                  <w:pPr>
                    <w:pStyle w:val="Tablebody"/>
                  </w:pPr>
                  <w:r>
                    <w:t xml:space="preserve">Change to </w:t>
                  </w:r>
                  <w:r w:rsidRPr="7943B309">
                    <w:rPr>
                      <w:i/>
                    </w:rPr>
                    <w:t>Carbon Credits (Carbon Farming Initiative) Rule 2015</w:t>
                  </w:r>
                </w:p>
              </w:tc>
              <w:tc>
                <w:tcPr>
                  <w:tcW w:w="0" w:type="auto"/>
                  <w:tcBorders>
                    <w:top w:val="single" w:sz="4" w:space="0" w:color="auto"/>
                    <w:left w:val="single" w:sz="4" w:space="0" w:color="auto"/>
                    <w:bottom w:val="single" w:sz="4" w:space="0" w:color="auto"/>
                    <w:right w:val="single" w:sz="4" w:space="0" w:color="auto"/>
                  </w:tcBorders>
                </w:tcPr>
                <w:p w14:paraId="2D3DF6D2" w14:textId="7F203879" w:rsidR="00260B60" w:rsidRDefault="00260B60" w:rsidP="00DB2AA7">
                  <w:pPr>
                    <w:pStyle w:val="Tablebody"/>
                  </w:pPr>
                  <w:r>
                    <w:t xml:space="preserve">More directly linked continued crediting to attainment of forest cover. </w:t>
                  </w:r>
                </w:p>
                <w:p w14:paraId="6442DCC5" w14:textId="248F6C64" w:rsidR="007F69F4" w:rsidRDefault="007F69F4" w:rsidP="00DB2AA7">
                  <w:pPr>
                    <w:pStyle w:val="Tablebody"/>
                  </w:pPr>
                  <w:r>
                    <w:t>Required enhanced evidence of growth.</w:t>
                  </w:r>
                </w:p>
              </w:tc>
              <w:tc>
                <w:tcPr>
                  <w:tcW w:w="0" w:type="auto"/>
                  <w:tcBorders>
                    <w:top w:val="single" w:sz="4" w:space="0" w:color="auto"/>
                    <w:left w:val="single" w:sz="4" w:space="0" w:color="auto"/>
                    <w:bottom w:val="single" w:sz="4" w:space="0" w:color="auto"/>
                    <w:right w:val="single" w:sz="4" w:space="0" w:color="auto"/>
                  </w:tcBorders>
                </w:tcPr>
                <w:p w14:paraId="741C6CBF" w14:textId="77777777" w:rsidR="007F69F4" w:rsidRDefault="007F69F4" w:rsidP="00DB2AA7">
                  <w:pPr>
                    <w:pStyle w:val="Tablebody"/>
                  </w:pPr>
                  <w:r>
                    <w:t>All</w:t>
                  </w:r>
                </w:p>
              </w:tc>
            </w:tr>
            <w:tr w:rsidR="007F69F4" w14:paraId="6EB0CA84" w14:textId="77777777" w:rsidTr="00DB2AA7">
              <w:tc>
                <w:tcPr>
                  <w:tcW w:w="0" w:type="auto"/>
                  <w:tcBorders>
                    <w:top w:val="single" w:sz="4" w:space="0" w:color="auto"/>
                    <w:left w:val="single" w:sz="4" w:space="0" w:color="auto"/>
                    <w:bottom w:val="single" w:sz="4" w:space="0" w:color="auto"/>
                    <w:right w:val="single" w:sz="4" w:space="0" w:color="auto"/>
                  </w:tcBorders>
                  <w:hideMark/>
                </w:tcPr>
                <w:p w14:paraId="5EB59AF3" w14:textId="77777777" w:rsidR="007F69F4" w:rsidRDefault="007F69F4" w:rsidP="00DB2AA7">
                  <w:pPr>
                    <w:pStyle w:val="Tablebody"/>
                    <w:jc w:val="center"/>
                  </w:pPr>
                  <w:r>
                    <w:t>March 2019</w:t>
                  </w:r>
                </w:p>
              </w:tc>
              <w:tc>
                <w:tcPr>
                  <w:tcW w:w="0" w:type="auto"/>
                  <w:tcBorders>
                    <w:top w:val="single" w:sz="4" w:space="0" w:color="auto"/>
                    <w:left w:val="single" w:sz="4" w:space="0" w:color="auto"/>
                    <w:bottom w:val="single" w:sz="4" w:space="0" w:color="auto"/>
                    <w:right w:val="single" w:sz="4" w:space="0" w:color="auto"/>
                  </w:tcBorders>
                  <w:hideMark/>
                </w:tcPr>
                <w:p w14:paraId="78063EBB" w14:textId="77777777" w:rsidR="007F69F4" w:rsidRDefault="007F69F4" w:rsidP="00DB2AA7">
                  <w:pPr>
                    <w:pStyle w:val="Tablebody"/>
                  </w:pPr>
                  <w:r>
                    <w:t>ERAC review of both methods</w:t>
                  </w:r>
                </w:p>
              </w:tc>
              <w:tc>
                <w:tcPr>
                  <w:tcW w:w="0" w:type="auto"/>
                  <w:tcBorders>
                    <w:top w:val="single" w:sz="4" w:space="0" w:color="auto"/>
                    <w:left w:val="single" w:sz="4" w:space="0" w:color="auto"/>
                    <w:bottom w:val="single" w:sz="4" w:space="0" w:color="auto"/>
                    <w:right w:val="single" w:sz="4" w:space="0" w:color="auto"/>
                  </w:tcBorders>
                </w:tcPr>
                <w:p w14:paraId="22A18B2A" w14:textId="3D6DFA26" w:rsidR="007F69F4" w:rsidRDefault="007F69F4" w:rsidP="00DB2AA7">
                  <w:pPr>
                    <w:pStyle w:val="Tablebody"/>
                  </w:pPr>
                  <w:r>
                    <w:t>ERAC found the methods satisfy the Offsets Integrity Standards due to additional guidance and change to the rules and made 13 recommendations to further improve integrity and workability of the methods.</w:t>
                  </w:r>
                </w:p>
              </w:tc>
              <w:tc>
                <w:tcPr>
                  <w:tcW w:w="0" w:type="auto"/>
                  <w:tcBorders>
                    <w:top w:val="single" w:sz="4" w:space="0" w:color="auto"/>
                    <w:left w:val="single" w:sz="4" w:space="0" w:color="auto"/>
                    <w:bottom w:val="single" w:sz="4" w:space="0" w:color="auto"/>
                    <w:right w:val="single" w:sz="4" w:space="0" w:color="auto"/>
                  </w:tcBorders>
                  <w:hideMark/>
                </w:tcPr>
                <w:p w14:paraId="2A648E38" w14:textId="77777777" w:rsidR="007F69F4" w:rsidRDefault="007F69F4" w:rsidP="00DB2AA7">
                  <w:pPr>
                    <w:pStyle w:val="Tablebody"/>
                  </w:pPr>
                  <w:r>
                    <w:t>New</w:t>
                  </w:r>
                </w:p>
              </w:tc>
            </w:tr>
            <w:tr w:rsidR="007F69F4" w14:paraId="619981C9" w14:textId="77777777" w:rsidTr="00DB2AA7">
              <w:tc>
                <w:tcPr>
                  <w:tcW w:w="0" w:type="auto"/>
                  <w:tcBorders>
                    <w:top w:val="single" w:sz="4" w:space="0" w:color="auto"/>
                    <w:left w:val="single" w:sz="4" w:space="0" w:color="auto"/>
                    <w:bottom w:val="single" w:sz="4" w:space="0" w:color="auto"/>
                    <w:right w:val="single" w:sz="4" w:space="0" w:color="auto"/>
                  </w:tcBorders>
                  <w:hideMark/>
                </w:tcPr>
                <w:p w14:paraId="0F56116F" w14:textId="77777777" w:rsidR="007F69F4" w:rsidRDefault="007F69F4" w:rsidP="00DB2AA7">
                  <w:pPr>
                    <w:pStyle w:val="Tablebody"/>
                    <w:jc w:val="center"/>
                  </w:pPr>
                  <w:r>
                    <w:t>May 2019</w:t>
                  </w:r>
                </w:p>
              </w:tc>
              <w:tc>
                <w:tcPr>
                  <w:tcW w:w="0" w:type="auto"/>
                  <w:tcBorders>
                    <w:top w:val="single" w:sz="4" w:space="0" w:color="auto"/>
                    <w:left w:val="single" w:sz="4" w:space="0" w:color="auto"/>
                    <w:bottom w:val="single" w:sz="4" w:space="0" w:color="auto"/>
                    <w:right w:val="single" w:sz="4" w:space="0" w:color="auto"/>
                  </w:tcBorders>
                  <w:hideMark/>
                </w:tcPr>
                <w:p w14:paraId="73E77CF4" w14:textId="77777777" w:rsidR="007F69F4" w:rsidRDefault="007F69F4" w:rsidP="00DB2AA7">
                  <w:pPr>
                    <w:pStyle w:val="Tablebody"/>
                  </w:pPr>
                  <w:r>
                    <w:t>Regulator issues updated guidance</w:t>
                  </w:r>
                </w:p>
              </w:tc>
              <w:tc>
                <w:tcPr>
                  <w:tcW w:w="0" w:type="auto"/>
                  <w:tcBorders>
                    <w:top w:val="single" w:sz="4" w:space="0" w:color="auto"/>
                    <w:left w:val="single" w:sz="4" w:space="0" w:color="auto"/>
                    <w:bottom w:val="single" w:sz="4" w:space="0" w:color="auto"/>
                    <w:right w:val="single" w:sz="4" w:space="0" w:color="auto"/>
                  </w:tcBorders>
                  <w:hideMark/>
                </w:tcPr>
                <w:p w14:paraId="12B18E3C" w14:textId="77777777" w:rsidR="007F69F4" w:rsidRDefault="007F69F4" w:rsidP="00DB2AA7">
                  <w:pPr>
                    <w:pStyle w:val="Tablebody"/>
                  </w:pPr>
                  <w:r>
                    <w:t>Supported the changes made to the carbon rule. Included requirement for proponents to provide information at 5</w:t>
                  </w:r>
                  <w:r>
                    <w:noBreakHyphen/>
                    <w:t xml:space="preserve">yearly intervals to demonstrate vegetation is regenerating. </w:t>
                  </w:r>
                </w:p>
              </w:tc>
              <w:tc>
                <w:tcPr>
                  <w:tcW w:w="0" w:type="auto"/>
                  <w:tcBorders>
                    <w:top w:val="single" w:sz="4" w:space="0" w:color="auto"/>
                    <w:left w:val="single" w:sz="4" w:space="0" w:color="auto"/>
                    <w:bottom w:val="single" w:sz="4" w:space="0" w:color="auto"/>
                    <w:right w:val="single" w:sz="4" w:space="0" w:color="auto"/>
                  </w:tcBorders>
                  <w:hideMark/>
                </w:tcPr>
                <w:p w14:paraId="40AA555C" w14:textId="77777777" w:rsidR="007F69F4" w:rsidRDefault="007F69F4" w:rsidP="00DB2AA7">
                  <w:pPr>
                    <w:pStyle w:val="Tablebody"/>
                  </w:pPr>
                  <w:r>
                    <w:t>All</w:t>
                  </w:r>
                </w:p>
              </w:tc>
            </w:tr>
            <w:tr w:rsidR="007F69F4" w14:paraId="2C699DB1" w14:textId="77777777" w:rsidTr="00DB2AA7">
              <w:tc>
                <w:tcPr>
                  <w:tcW w:w="0" w:type="auto"/>
                  <w:tcBorders>
                    <w:top w:val="single" w:sz="4" w:space="0" w:color="auto"/>
                    <w:left w:val="single" w:sz="4" w:space="0" w:color="auto"/>
                    <w:bottom w:val="single" w:sz="4" w:space="0" w:color="auto"/>
                    <w:right w:val="single" w:sz="4" w:space="0" w:color="auto"/>
                  </w:tcBorders>
                  <w:hideMark/>
                </w:tcPr>
                <w:p w14:paraId="5914F447" w14:textId="77777777" w:rsidR="007F69F4" w:rsidRDefault="007F69F4" w:rsidP="00DB2AA7">
                  <w:pPr>
                    <w:pStyle w:val="Tablebody"/>
                    <w:jc w:val="center"/>
                  </w:pPr>
                  <w:r>
                    <w:t>December 2019</w:t>
                  </w:r>
                </w:p>
                <w:p w14:paraId="13EC3617" w14:textId="6AB3CD34" w:rsidR="007F69F4" w:rsidRDefault="007F69F4" w:rsidP="00DB2AA7">
                  <w:pPr>
                    <w:pStyle w:val="Tablebody"/>
                    <w:jc w:val="center"/>
                  </w:pPr>
                  <w:r>
                    <w:t>(launched 2020)</w:t>
                  </w:r>
                </w:p>
              </w:tc>
              <w:tc>
                <w:tcPr>
                  <w:tcW w:w="0" w:type="auto"/>
                  <w:tcBorders>
                    <w:top w:val="single" w:sz="4" w:space="0" w:color="auto"/>
                    <w:left w:val="single" w:sz="4" w:space="0" w:color="auto"/>
                    <w:bottom w:val="single" w:sz="4" w:space="0" w:color="auto"/>
                    <w:right w:val="single" w:sz="4" w:space="0" w:color="auto"/>
                  </w:tcBorders>
                  <w:hideMark/>
                </w:tcPr>
                <w:p w14:paraId="67E3D237" w14:textId="77777777" w:rsidR="007F69F4" w:rsidRDefault="007F69F4" w:rsidP="00DB2AA7">
                  <w:pPr>
                    <w:pStyle w:val="Tablebody"/>
                    <w:rPr>
                      <w:caps/>
                    </w:rPr>
                  </w:pPr>
                  <w:r>
                    <w:t>Transition arrangements for use of updated carbon model (FullCAM)</w:t>
                  </w:r>
                </w:p>
              </w:tc>
              <w:tc>
                <w:tcPr>
                  <w:tcW w:w="0" w:type="auto"/>
                  <w:tcBorders>
                    <w:top w:val="single" w:sz="4" w:space="0" w:color="auto"/>
                    <w:left w:val="single" w:sz="4" w:space="0" w:color="auto"/>
                    <w:bottom w:val="single" w:sz="4" w:space="0" w:color="auto"/>
                    <w:right w:val="single" w:sz="4" w:space="0" w:color="auto"/>
                  </w:tcBorders>
                  <w:hideMark/>
                </w:tcPr>
                <w:p w14:paraId="2A047B39" w14:textId="1E88419A" w:rsidR="007F69F4" w:rsidRDefault="007F69F4" w:rsidP="00DB2AA7">
                  <w:pPr>
                    <w:pStyle w:val="Tablebody"/>
                  </w:pPr>
                  <w:r>
                    <w:t xml:space="preserve">Grandfathered existing projects so they could choose to continue to use the </w:t>
                  </w:r>
                  <w:r w:rsidR="00FC346B">
                    <w:t xml:space="preserve">2016 </w:t>
                  </w:r>
                  <w:r>
                    <w:t>version of FullCAM.</w:t>
                  </w:r>
                </w:p>
              </w:tc>
              <w:tc>
                <w:tcPr>
                  <w:tcW w:w="0" w:type="auto"/>
                  <w:tcBorders>
                    <w:top w:val="single" w:sz="4" w:space="0" w:color="auto"/>
                    <w:left w:val="single" w:sz="4" w:space="0" w:color="auto"/>
                    <w:bottom w:val="single" w:sz="4" w:space="0" w:color="auto"/>
                    <w:right w:val="single" w:sz="4" w:space="0" w:color="auto"/>
                  </w:tcBorders>
                  <w:hideMark/>
                </w:tcPr>
                <w:p w14:paraId="08F7FB20" w14:textId="77777777" w:rsidR="007F69F4" w:rsidRDefault="007F69F4" w:rsidP="00DB2AA7">
                  <w:pPr>
                    <w:pStyle w:val="Tablebody"/>
                  </w:pPr>
                  <w:r>
                    <w:t>Existing</w:t>
                  </w:r>
                </w:p>
              </w:tc>
            </w:tr>
            <w:tr w:rsidR="007F69F4" w14:paraId="73CAD258" w14:textId="77777777" w:rsidTr="00DB2AA7">
              <w:tc>
                <w:tcPr>
                  <w:tcW w:w="0" w:type="auto"/>
                  <w:tcBorders>
                    <w:top w:val="single" w:sz="4" w:space="0" w:color="auto"/>
                    <w:left w:val="single" w:sz="4" w:space="0" w:color="auto"/>
                    <w:bottom w:val="single" w:sz="4" w:space="0" w:color="auto"/>
                    <w:right w:val="single" w:sz="4" w:space="0" w:color="auto"/>
                  </w:tcBorders>
                </w:tcPr>
                <w:p w14:paraId="6AD36970" w14:textId="77777777" w:rsidR="007F69F4" w:rsidRDefault="007F69F4" w:rsidP="00DB2AA7">
                  <w:pPr>
                    <w:pStyle w:val="Tablebody"/>
                    <w:jc w:val="center"/>
                  </w:pPr>
                  <w:r>
                    <w:t>September 2020</w:t>
                  </w:r>
                </w:p>
              </w:tc>
              <w:tc>
                <w:tcPr>
                  <w:tcW w:w="0" w:type="auto"/>
                  <w:tcBorders>
                    <w:top w:val="single" w:sz="4" w:space="0" w:color="auto"/>
                    <w:left w:val="single" w:sz="4" w:space="0" w:color="auto"/>
                    <w:bottom w:val="single" w:sz="4" w:space="0" w:color="auto"/>
                    <w:right w:val="single" w:sz="4" w:space="0" w:color="auto"/>
                  </w:tcBorders>
                </w:tcPr>
                <w:p w14:paraId="4B80DB3B" w14:textId="18E0CE04" w:rsidR="007F69F4" w:rsidRDefault="00B06A38" w:rsidP="00DB2AA7">
                  <w:pPr>
                    <w:pStyle w:val="Tablebody"/>
                  </w:pPr>
                  <w:r>
                    <w:t xml:space="preserve">2020 version of </w:t>
                  </w:r>
                  <w:r w:rsidR="007F69F4">
                    <w:t>FullCAM launched</w:t>
                  </w:r>
                </w:p>
              </w:tc>
              <w:tc>
                <w:tcPr>
                  <w:tcW w:w="0" w:type="auto"/>
                  <w:tcBorders>
                    <w:top w:val="single" w:sz="4" w:space="0" w:color="auto"/>
                    <w:left w:val="single" w:sz="4" w:space="0" w:color="auto"/>
                    <w:bottom w:val="single" w:sz="4" w:space="0" w:color="auto"/>
                    <w:right w:val="single" w:sz="4" w:space="0" w:color="auto"/>
                  </w:tcBorders>
                </w:tcPr>
                <w:p w14:paraId="296755DB" w14:textId="0225D1E9" w:rsidR="007F69F4" w:rsidRDefault="007F69F4" w:rsidP="00DB2AA7">
                  <w:pPr>
                    <w:pStyle w:val="Tablebody"/>
                  </w:pPr>
                  <w:r>
                    <w:t>The updated FullCAM modelled changes to growth rates of native forest regrowth</w:t>
                  </w:r>
                  <w:r w:rsidR="00260B60">
                    <w:t xml:space="preserve"> and other changes to enhance accuracy</w:t>
                  </w:r>
                  <w:r>
                    <w:t>.</w:t>
                  </w:r>
                </w:p>
              </w:tc>
              <w:tc>
                <w:tcPr>
                  <w:tcW w:w="0" w:type="auto"/>
                  <w:tcBorders>
                    <w:top w:val="single" w:sz="4" w:space="0" w:color="auto"/>
                    <w:left w:val="single" w:sz="4" w:space="0" w:color="auto"/>
                    <w:bottom w:val="single" w:sz="4" w:space="0" w:color="auto"/>
                    <w:right w:val="single" w:sz="4" w:space="0" w:color="auto"/>
                  </w:tcBorders>
                </w:tcPr>
                <w:p w14:paraId="7C5569DA" w14:textId="6E457B40" w:rsidR="007F69F4" w:rsidRDefault="00B06A38" w:rsidP="00DB2AA7">
                  <w:pPr>
                    <w:pStyle w:val="Tablebody"/>
                  </w:pPr>
                  <w:r>
                    <w:t>Existing projects that choose this option or new p</w:t>
                  </w:r>
                  <w:r w:rsidR="007F69F4">
                    <w:t xml:space="preserve">rojects registered after </w:t>
                  </w:r>
                  <w:r>
                    <w:t xml:space="preserve">1 September </w:t>
                  </w:r>
                  <w:r w:rsidR="007F69F4">
                    <w:t>2020</w:t>
                  </w:r>
                </w:p>
              </w:tc>
            </w:tr>
          </w:tbl>
          <w:p w14:paraId="2C55A0E2" w14:textId="34A151CD" w:rsidR="00FB5985" w:rsidRDefault="007F69F4" w:rsidP="00DB2AA7">
            <w:pPr>
              <w:pStyle w:val="Footnote"/>
            </w:pPr>
            <w:r w:rsidRPr="7943B309">
              <w:rPr>
                <w:b/>
              </w:rPr>
              <w:t>Sources</w:t>
            </w:r>
            <w:r>
              <w:t xml:space="preserve">: </w:t>
            </w:r>
            <w:r w:rsidRPr="00D81DE4">
              <w:t>CER 201</w:t>
            </w:r>
            <w:r w:rsidR="00E03536" w:rsidRPr="00D81DE4">
              <w:t>7</w:t>
            </w:r>
            <w:r w:rsidR="00702481">
              <w:t>c</w:t>
            </w:r>
            <w:r w:rsidR="00FB5985">
              <w:t>;</w:t>
            </w:r>
            <w:r w:rsidRPr="00E03536" w:rsidDel="00FB5985">
              <w:t xml:space="preserve"> </w:t>
            </w:r>
            <w:r w:rsidR="006F2132" w:rsidRPr="00B74530">
              <w:t>CFI Amendment Rule 2018</w:t>
            </w:r>
            <w:r w:rsidR="00FB5985">
              <w:t>;</w:t>
            </w:r>
            <w:r w:rsidR="006F2132" w:rsidRPr="006F2132">
              <w:t xml:space="preserve"> </w:t>
            </w:r>
            <w:r w:rsidR="008D6D66" w:rsidRPr="00B74530">
              <w:t>CFI Amendment Rule 2019</w:t>
            </w:r>
            <w:r w:rsidR="00FB5985">
              <w:t>;</w:t>
            </w:r>
            <w:r w:rsidR="008D6D66">
              <w:t xml:space="preserve"> </w:t>
            </w:r>
            <w:r w:rsidR="00FB5985" w:rsidRPr="00840C24">
              <w:t>ERAC 2019</w:t>
            </w:r>
            <w:r w:rsidR="00E71E24">
              <w:t>e</w:t>
            </w:r>
            <w:r w:rsidR="00FB5985">
              <w:t xml:space="preserve">; </w:t>
            </w:r>
            <w:r w:rsidR="00FB5985" w:rsidRPr="00F071DE">
              <w:t>DAWE 2019</w:t>
            </w:r>
            <w:r w:rsidR="00FB5985">
              <w:t xml:space="preserve">; CER 2019; </w:t>
            </w:r>
            <w:r w:rsidR="00FB5985" w:rsidRPr="00312870">
              <w:t>CER 2020</w:t>
            </w:r>
            <w:r w:rsidR="00DD2AEB">
              <w:t>j</w:t>
            </w:r>
            <w:r w:rsidR="00FB5985">
              <w:t xml:space="preserve">; </w:t>
            </w:r>
            <w:r w:rsidR="00FB5985" w:rsidRPr="00771C27">
              <w:t>DISER 2020</w:t>
            </w:r>
            <w:r w:rsidR="00C36014">
              <w:t>b</w:t>
            </w:r>
            <w:r w:rsidR="00FB5985">
              <w:t>.</w:t>
            </w:r>
            <w:r w:rsidR="00FB5985" w:rsidRPr="00FB5985">
              <w:rPr>
                <w:highlight w:val="yellow"/>
              </w:rPr>
              <w:t xml:space="preserve"> </w:t>
            </w:r>
          </w:p>
          <w:p w14:paraId="29311C10" w14:textId="7446ACA2" w:rsidR="007F69F4" w:rsidRDefault="007F69F4" w:rsidP="00DB2AA7">
            <w:r>
              <w:t>These changes addressed a number of the concerns raised by the Authority in 2017 and improved the integrity of the methods. The changes had the following implications for many existing projects:</w:t>
            </w:r>
          </w:p>
          <w:p w14:paraId="5C0E6CA0" w14:textId="77777777" w:rsidR="007F69F4" w:rsidRDefault="007F69F4" w:rsidP="00DB2AA7"/>
          <w:p w14:paraId="306A15A9" w14:textId="6A5097C2" w:rsidR="007F69F4" w:rsidRDefault="007F69F4" w:rsidP="00FE3F8C">
            <w:pPr>
              <w:pStyle w:val="ListParagraph"/>
              <w:numPr>
                <w:ilvl w:val="0"/>
                <w:numId w:val="9"/>
              </w:numPr>
            </w:pPr>
            <w:r>
              <w:t>more stringent and consistent data must be used to demonstrate attainment of forest cover</w:t>
            </w:r>
          </w:p>
          <w:p w14:paraId="70CDBE92" w14:textId="77777777" w:rsidR="007F69F4" w:rsidRDefault="007F69F4" w:rsidP="00FE3F8C">
            <w:pPr>
              <w:pStyle w:val="ListParagraph"/>
              <w:numPr>
                <w:ilvl w:val="0"/>
                <w:numId w:val="9"/>
              </w:numPr>
            </w:pPr>
            <w:r>
              <w:t xml:space="preserve">project areas must be re-stratified to meet the new guidance and rules. In some cases areas were removed from projects as they did not meet the required characteristics, for example where continuing regeneration towards forest cover could not be demonstrated on the land.  </w:t>
            </w:r>
          </w:p>
          <w:p w14:paraId="2014E080" w14:textId="77777777" w:rsidR="007F69F4" w:rsidRDefault="007F69F4" w:rsidP="00DB2AA7"/>
          <w:p w14:paraId="5BF552E8" w14:textId="49436655" w:rsidR="007F69F4" w:rsidRDefault="007F69F4" w:rsidP="00DB2AA7">
            <w:r>
              <w:t>This cycle of method improvement is necessary and important (</w:t>
            </w:r>
            <w:r w:rsidRPr="005B01BD">
              <w:t>ERAC 2019</w:t>
            </w:r>
            <w:r w:rsidR="007B0847" w:rsidRPr="005B01BD">
              <w:t>d</w:t>
            </w:r>
            <w:r>
              <w:t xml:space="preserve">). Without these improvements, there were risks of forward-crediting (crediting before the forest growth was achieved) and over-crediting (crediting abatement that was not real). </w:t>
            </w:r>
          </w:p>
          <w:p w14:paraId="6D7A8843" w14:textId="77777777" w:rsidR="007F69F4" w:rsidRDefault="007F69F4" w:rsidP="00DB2AA7"/>
          <w:p w14:paraId="6E3D8876" w14:textId="306C1056" w:rsidR="0082031C" w:rsidRDefault="004D7303" w:rsidP="00DB2AA7">
            <w:pPr>
              <w:rPr>
                <w:rFonts w:eastAsia="Times New Roman"/>
                <w:lang w:val="en" w:eastAsia="en-AU"/>
              </w:rPr>
            </w:pPr>
            <w:r>
              <w:t>However, the</w:t>
            </w:r>
            <w:r w:rsidR="007F69F4">
              <w:t xml:space="preserve"> numerous review processes have been very time consuming and disruptive for stakeholders. Consultation for each process and each change required stakeholders to familiarise themselves with the proposed changes and the potential impact these could have on their businesses. The process added costs to existing projects and caused project proponents to pause the development of new projects (</w:t>
            </w:r>
            <w:r w:rsidR="00C43383">
              <w:t>c</w:t>
            </w:r>
            <w:r w:rsidR="006412E3">
              <w:t>arbon service providers pers comm</w:t>
            </w:r>
            <w:r w:rsidR="00C43383">
              <w:t>.</w:t>
            </w:r>
            <w:r w:rsidR="006412E3">
              <w:t>)</w:t>
            </w:r>
            <w:r w:rsidR="007F69F4">
              <w:t xml:space="preserve">. </w:t>
            </w:r>
            <w:r w:rsidR="007F69F4">
              <w:rPr>
                <w:rFonts w:eastAsia="Times New Roman"/>
                <w:lang w:val="en" w:eastAsia="en-AU"/>
              </w:rPr>
              <w:t xml:space="preserve">The rule changes </w:t>
            </w:r>
            <w:r w:rsidR="001416FE">
              <w:rPr>
                <w:rFonts w:eastAsia="Times New Roman"/>
                <w:lang w:val="en" w:eastAsia="en-AU"/>
              </w:rPr>
              <w:t>and publication of the stratification guidance</w:t>
            </w:r>
            <w:r w:rsidR="007F69F4">
              <w:rPr>
                <w:rFonts w:eastAsia="Times New Roman"/>
                <w:lang w:val="en" w:eastAsia="en-AU"/>
              </w:rPr>
              <w:t xml:space="preserve"> have also impacted the ACCU delivery schedule for several large projects </w:t>
            </w:r>
            <w:r w:rsidR="00D02282">
              <w:rPr>
                <w:rFonts w:eastAsia="Times New Roman"/>
                <w:lang w:val="en" w:eastAsia="en-AU"/>
              </w:rPr>
              <w:t>associated with Government contracts (discussed in Chapter 8.1)</w:t>
            </w:r>
            <w:r w:rsidR="001416FE">
              <w:rPr>
                <w:rFonts w:eastAsia="Times New Roman"/>
                <w:lang w:val="en" w:eastAsia="en-AU"/>
              </w:rPr>
              <w:t>. The Regulator agreed to changes in the timing of delivery milestones (</w:t>
            </w:r>
            <w:r w:rsidR="00DF2DD6" w:rsidRPr="009B65DB">
              <w:t>CER 2020f</w:t>
            </w:r>
            <w:r w:rsidR="001416FE">
              <w:rPr>
                <w:rFonts w:eastAsia="Times New Roman"/>
                <w:lang w:val="en" w:eastAsia="en-AU"/>
              </w:rPr>
              <w:t>)</w:t>
            </w:r>
            <w:r w:rsidR="0082031C">
              <w:rPr>
                <w:rFonts w:eastAsia="Times New Roman"/>
                <w:lang w:val="en" w:eastAsia="en-AU"/>
              </w:rPr>
              <w:t>.</w:t>
            </w:r>
          </w:p>
          <w:p w14:paraId="675BC310" w14:textId="32173274" w:rsidR="007F69F4" w:rsidRDefault="007F69F4" w:rsidP="00DB2AA7">
            <w:pPr>
              <w:rPr>
                <w:rFonts w:eastAsia="Times New Roman"/>
                <w:lang w:val="en" w:eastAsia="en-AU"/>
              </w:rPr>
            </w:pPr>
          </w:p>
          <w:p w14:paraId="46571C32" w14:textId="03D41847" w:rsidR="007F69F4" w:rsidRDefault="007F69F4" w:rsidP="00DB2AA7">
            <w:r>
              <w:t xml:space="preserve">Following the tightening of rules and guidelines, the Government updated the FullCAM carbon model tool. </w:t>
            </w:r>
            <w:r w:rsidR="00DA45C9">
              <w:t xml:space="preserve">The update reflects a significant advance in </w:t>
            </w:r>
            <w:r w:rsidR="00EA5E40">
              <w:t>the</w:t>
            </w:r>
            <w:r w:rsidR="00DA45C9">
              <w:t xml:space="preserve"> science </w:t>
            </w:r>
            <w:r w:rsidR="00DA45C9" w:rsidDel="002702D6">
              <w:t xml:space="preserve">now </w:t>
            </w:r>
            <w:r w:rsidR="00DA45C9">
              <w:t>part of the calculations used for Australia’s national carbon accounts</w:t>
            </w:r>
            <w:r w:rsidR="002702D6">
              <w:t xml:space="preserve"> (</w:t>
            </w:r>
            <w:r w:rsidR="002702D6" w:rsidRPr="00F071DE">
              <w:t>DAWE 2019</w:t>
            </w:r>
            <w:r w:rsidR="002702D6">
              <w:t>)</w:t>
            </w:r>
            <w:r w:rsidR="00DA45C9">
              <w:t>.</w:t>
            </w:r>
            <w:r>
              <w:t xml:space="preserve"> The new version of FullCAM changed the abatement estimates for some projects. When all ERF projects are considered over their lifetimes, the net result is expected to be an increase in abatement (</w:t>
            </w:r>
            <w:r w:rsidRPr="00F071DE">
              <w:t>D</w:t>
            </w:r>
            <w:r w:rsidR="00200C00" w:rsidRPr="00F071DE">
              <w:t>AWE</w:t>
            </w:r>
            <w:r w:rsidRPr="00F071DE">
              <w:t xml:space="preserve"> 2019</w:t>
            </w:r>
            <w:r>
              <w:t xml:space="preserve">). The Government’s </w:t>
            </w:r>
            <w:r>
              <w:rPr>
                <w:rFonts w:eastAsia="Times New Roman"/>
                <w:lang w:val="en" w:eastAsia="en-AU"/>
              </w:rPr>
              <w:t>preliminary analysis of the effects of the updated FullCAM on native forest regeneration projects estimated a delay in abatement using the latest science due to slower growth rates in young vegetation. Some projects, may continue to have lower estimates for the entire project and some projects may have higher overall growth as the vegetation matures (</w:t>
            </w:r>
            <w:r w:rsidR="00D13474" w:rsidRPr="00F071DE">
              <w:rPr>
                <w:rFonts w:eastAsia="Times New Roman"/>
                <w:lang w:val="en" w:eastAsia="en-AU"/>
              </w:rPr>
              <w:t xml:space="preserve">DAWE </w:t>
            </w:r>
            <w:r w:rsidRPr="00F071DE">
              <w:rPr>
                <w:rFonts w:eastAsia="Times New Roman"/>
                <w:lang w:val="en" w:eastAsia="en-AU"/>
              </w:rPr>
              <w:t>2019</w:t>
            </w:r>
            <w:r>
              <w:rPr>
                <w:rFonts w:eastAsia="Times New Roman"/>
                <w:lang w:val="en" w:eastAsia="en-AU"/>
              </w:rPr>
              <w:t xml:space="preserve">). </w:t>
            </w:r>
            <w:r w:rsidR="00C43383">
              <w:rPr>
                <w:rFonts w:eastAsia="Times New Roman"/>
                <w:lang w:val="en" w:eastAsia="en-AU"/>
              </w:rPr>
              <w:t xml:space="preserve">The </w:t>
            </w:r>
            <w:r w:rsidR="00260B60">
              <w:rPr>
                <w:rFonts w:eastAsia="Times New Roman"/>
                <w:lang w:val="en" w:eastAsia="en-AU"/>
              </w:rPr>
              <w:t xml:space="preserve">Government </w:t>
            </w:r>
            <w:r>
              <w:t xml:space="preserve">made the decision to continue to allow existing projects to use the </w:t>
            </w:r>
            <w:r w:rsidR="0082031C">
              <w:t>2016 option in the updated 2020 FullCAM version</w:t>
            </w:r>
            <w:r>
              <w:t xml:space="preserve"> in order to balance environment</w:t>
            </w:r>
            <w:r w:rsidR="00C43383">
              <w:t>al</w:t>
            </w:r>
            <w:r>
              <w:t xml:space="preserve"> integrity with the need to provide market certainty to those investing in these ERF projects</w:t>
            </w:r>
            <w:r w:rsidR="0082031C">
              <w:t xml:space="preserve"> (</w:t>
            </w:r>
            <w:r w:rsidR="0082031C" w:rsidRPr="00A8028C">
              <w:t>CER 2020</w:t>
            </w:r>
            <w:r w:rsidR="0005234C">
              <w:t>k</w:t>
            </w:r>
            <w:r w:rsidR="0082031C">
              <w:t xml:space="preserve">; </w:t>
            </w:r>
            <w:r w:rsidR="00756032" w:rsidRPr="00A8028C">
              <w:t>DISER 2020</w:t>
            </w:r>
            <w:r w:rsidR="00C36014">
              <w:t>b</w:t>
            </w:r>
            <w:r w:rsidR="00756032">
              <w:t>)</w:t>
            </w:r>
            <w:r>
              <w:t xml:space="preserve">. </w:t>
            </w:r>
          </w:p>
          <w:p w14:paraId="2FD35504" w14:textId="773A18AC" w:rsidR="00781134" w:rsidRDefault="00781134" w:rsidP="00DB2AA7"/>
          <w:p w14:paraId="2AAFE8B0" w14:textId="51575D3A" w:rsidR="007F69F4" w:rsidRDefault="007F69F4" w:rsidP="00DB2AA7">
            <w:r>
              <w:t>The ERAC’s review of the native forest regeneration methods recommended varying both methods to enhance their integrity, consistency and useability (</w:t>
            </w:r>
            <w:r w:rsidRPr="005B01BD">
              <w:t>ERAC 2019</w:t>
            </w:r>
            <w:r w:rsidR="008F6114" w:rsidRPr="005B01BD">
              <w:t>d</w:t>
            </w:r>
            <w:r>
              <w:t xml:space="preserve">). This included recommending that the human-induced regeneration method be varied to strengthen the evidence required for demonstrating that projects will result in additional abatement. </w:t>
            </w:r>
            <w:r w:rsidRPr="00AC772A">
              <w:t>During public consultation</w:t>
            </w:r>
            <w:r>
              <w:t>,</w:t>
            </w:r>
            <w:r w:rsidRPr="00AC772A">
              <w:t xml:space="preserve"> the Authority heard some </w:t>
            </w:r>
            <w:r w:rsidR="00781134">
              <w:t xml:space="preserve">anecdotal </w:t>
            </w:r>
            <w:r w:rsidRPr="00AC772A">
              <w:t xml:space="preserve">concerns around whether </w:t>
            </w:r>
            <w:r>
              <w:t xml:space="preserve">native forest regeneration </w:t>
            </w:r>
            <w:r w:rsidRPr="00AC772A">
              <w:t>projects were being credited for genuine management changes</w:t>
            </w:r>
            <w:r>
              <w:t>,</w:t>
            </w:r>
            <w:r w:rsidRPr="00AC772A">
              <w:t xml:space="preserve"> or </w:t>
            </w:r>
            <w:r>
              <w:t xml:space="preserve">for </w:t>
            </w:r>
            <w:r w:rsidRPr="00AC772A">
              <w:t xml:space="preserve">growth </w:t>
            </w:r>
            <w:r>
              <w:t xml:space="preserve">happening regardless of management </w:t>
            </w:r>
            <w:r w:rsidRPr="00AC772A">
              <w:t xml:space="preserve">due to natural regeneration associated with </w:t>
            </w:r>
            <w:r>
              <w:t>climate cycles</w:t>
            </w:r>
            <w:r w:rsidRPr="00AC772A">
              <w:t xml:space="preserve">. </w:t>
            </w:r>
            <w:r>
              <w:t xml:space="preserve">One way to </w:t>
            </w:r>
            <w:r w:rsidR="007619D4">
              <w:t xml:space="preserve">investigate the </w:t>
            </w:r>
            <w:r w:rsidR="008C7C49">
              <w:t>validity of such concerns</w:t>
            </w:r>
            <w:r>
              <w:t xml:space="preserve"> would be to compare native forest regeneration occurring inside and </w:t>
            </w:r>
            <w:r w:rsidRPr="007C3E44">
              <w:t>outside of projects areas</w:t>
            </w:r>
            <w:r>
              <w:t xml:space="preserve">, for example using remotely-sensed data. </w:t>
            </w:r>
            <w:r w:rsidRPr="001F1BAE">
              <w:t xml:space="preserve">The </w:t>
            </w:r>
            <w:r>
              <w:t xml:space="preserve">Authority supports the variation of the regeneration methods as recommended by ERAC. </w:t>
            </w:r>
          </w:p>
        </w:tc>
      </w:tr>
    </w:tbl>
    <w:p w14:paraId="2E8B6B69" w14:textId="77777777" w:rsidR="00E4429D" w:rsidRDefault="00E4429D" w:rsidP="00BB22A7"/>
    <w:p w14:paraId="4AD4727C" w14:textId="3973D3F8" w:rsidR="00882CD1" w:rsidRPr="007D697F" w:rsidRDefault="00882CD1" w:rsidP="00004274">
      <w:pPr>
        <w:pStyle w:val="Heading2"/>
        <w:numPr>
          <w:ilvl w:val="1"/>
          <w:numId w:val="50"/>
        </w:numPr>
        <w:rPr>
          <w:color w:val="0070AE" w:themeColor="accent2" w:themeTint="BF"/>
        </w:rPr>
      </w:pPr>
      <w:bookmarkStart w:id="2886" w:name="_Toc49350842"/>
      <w:bookmarkStart w:id="2887" w:name="_Toc49352822"/>
      <w:bookmarkStart w:id="2888" w:name="_Toc49354198"/>
      <w:bookmarkStart w:id="2889" w:name="_Toc49355524"/>
      <w:bookmarkStart w:id="2890" w:name="_Toc49429282"/>
      <w:bookmarkStart w:id="2891" w:name="_Toc49434039"/>
      <w:bookmarkStart w:id="2892" w:name="_Toc49441032"/>
      <w:bookmarkStart w:id="2893" w:name="_Toc49441222"/>
      <w:bookmarkStart w:id="2894" w:name="_Toc49442225"/>
      <w:bookmarkStart w:id="2895" w:name="_Toc49508956"/>
      <w:bookmarkStart w:id="2896" w:name="_Toc49519766"/>
      <w:bookmarkStart w:id="2897" w:name="_Toc49521484"/>
      <w:bookmarkStart w:id="2898" w:name="_Toc49524556"/>
      <w:bookmarkStart w:id="2899" w:name="_Toc49524694"/>
      <w:bookmarkStart w:id="2900" w:name="_Toc49527163"/>
      <w:bookmarkStart w:id="2901" w:name="_Toc49528001"/>
      <w:bookmarkStart w:id="2902" w:name="_Toc49692154"/>
      <w:bookmarkStart w:id="2903" w:name="_Toc49710527"/>
      <w:bookmarkStart w:id="2904" w:name="_Toc49710699"/>
      <w:bookmarkStart w:id="2905" w:name="_Toc49713252"/>
      <w:bookmarkStart w:id="2906" w:name="_Toc49713454"/>
      <w:bookmarkStart w:id="2907" w:name="_Toc49776392"/>
      <w:bookmarkStart w:id="2908" w:name="_Toc49784951"/>
      <w:bookmarkStart w:id="2909" w:name="_Toc49786277"/>
      <w:bookmarkStart w:id="2910" w:name="_Toc49787326"/>
      <w:bookmarkStart w:id="2911" w:name="_Toc49787381"/>
      <w:bookmarkStart w:id="2912" w:name="_Toc49850695"/>
      <w:bookmarkStart w:id="2913" w:name="_Toc49852937"/>
      <w:bookmarkStart w:id="2914" w:name="_Toc49854354"/>
      <w:bookmarkStart w:id="2915" w:name="_Toc49856950"/>
      <w:bookmarkStart w:id="2916" w:name="_Toc49858266"/>
      <w:bookmarkStart w:id="2917" w:name="_Toc49858321"/>
      <w:bookmarkStart w:id="2918" w:name="_Toc49863023"/>
      <w:bookmarkStart w:id="2919" w:name="_Toc49867746"/>
      <w:bookmarkStart w:id="2920" w:name="_Toc49870582"/>
      <w:bookmarkStart w:id="2921" w:name="_Toc49871325"/>
      <w:bookmarkStart w:id="2922" w:name="_Toc49872005"/>
      <w:bookmarkStart w:id="2923" w:name="_Toc49872558"/>
      <w:bookmarkStart w:id="2924" w:name="_Toc50027770"/>
      <w:bookmarkStart w:id="2925" w:name="_Toc50029464"/>
      <w:bookmarkStart w:id="2926" w:name="_Toc50043895"/>
      <w:bookmarkStart w:id="2927" w:name="_Toc50057747"/>
      <w:bookmarkStart w:id="2928" w:name="_Toc50553624"/>
      <w:bookmarkStart w:id="2929" w:name="_Toc50555387"/>
      <w:bookmarkStart w:id="2930" w:name="_Toc50559847"/>
      <w:bookmarkStart w:id="2931" w:name="_Toc50559900"/>
      <w:bookmarkStart w:id="2932" w:name="_Toc50563834"/>
      <w:bookmarkStart w:id="2933" w:name="_Toc50711387"/>
      <w:bookmarkStart w:id="2934" w:name="_Toc50720969"/>
      <w:bookmarkStart w:id="2935" w:name="_Toc50730693"/>
      <w:bookmarkStart w:id="2936" w:name="_Toc50734919"/>
      <w:bookmarkStart w:id="2937" w:name="_Toc50735522"/>
      <w:bookmarkStart w:id="2938" w:name="_Toc50905541"/>
      <w:bookmarkStart w:id="2939" w:name="_Toc51587025"/>
      <w:bookmarkStart w:id="2940" w:name="_Toc51594885"/>
      <w:bookmarkStart w:id="2941" w:name="_Toc51599488"/>
      <w:bookmarkStart w:id="2942" w:name="_Toc51613524"/>
      <w:bookmarkStart w:id="2943" w:name="_Toc51669635"/>
      <w:bookmarkStart w:id="2944" w:name="_Toc51669730"/>
      <w:bookmarkStart w:id="2945" w:name="_Toc51672879"/>
      <w:bookmarkStart w:id="2946" w:name="_Toc51673929"/>
      <w:bookmarkStart w:id="2947" w:name="_Toc51680746"/>
      <w:bookmarkStart w:id="2948" w:name="_Toc51683275"/>
      <w:bookmarkStart w:id="2949" w:name="_Toc51686011"/>
      <w:bookmarkStart w:id="2950" w:name="_Toc51687749"/>
      <w:bookmarkStart w:id="2951" w:name="_Toc51687893"/>
      <w:bookmarkStart w:id="2952" w:name="_Toc51705771"/>
      <w:bookmarkStart w:id="2953" w:name="_Toc51770717"/>
      <w:bookmarkStart w:id="2954" w:name="_Toc51770903"/>
      <w:bookmarkStart w:id="2955" w:name="_Toc52359246"/>
      <w:bookmarkStart w:id="2956" w:name="_Toc52367279"/>
      <w:bookmarkStart w:id="2957" w:name="_Toc52371619"/>
      <w:bookmarkStart w:id="2958" w:name="_Toc52374767"/>
      <w:bookmarkStart w:id="2959" w:name="_Toc52377305"/>
      <w:bookmarkStart w:id="2960" w:name="_Toc52379227"/>
      <w:bookmarkStart w:id="2961" w:name="_Toc52379582"/>
      <w:bookmarkStart w:id="2962" w:name="_Toc52532792"/>
      <w:bookmarkStart w:id="2963" w:name="_Toc52535687"/>
      <w:bookmarkStart w:id="2964" w:name="_Toc52537505"/>
      <w:bookmarkStart w:id="2965" w:name="_Toc52544068"/>
      <w:bookmarkStart w:id="2966" w:name="_Toc52545672"/>
      <w:bookmarkStart w:id="2967" w:name="_Toc52547904"/>
      <w:bookmarkStart w:id="2968" w:name="_Toc52548593"/>
      <w:bookmarkStart w:id="2969" w:name="_Toc52890885"/>
      <w:bookmarkStart w:id="2970" w:name="_Toc52895088"/>
      <w:bookmarkStart w:id="2971" w:name="_Toc52896612"/>
      <w:bookmarkStart w:id="2972" w:name="_Toc52977789"/>
      <w:bookmarkStart w:id="2973" w:name="_Toc53129475"/>
      <w:r w:rsidRPr="007D697F">
        <w:rPr>
          <w:color w:val="0070AE" w:themeColor="accent2" w:themeTint="BF"/>
        </w:rPr>
        <w:t>Risk sharing framework</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14:paraId="12E28AFE" w14:textId="14DB5B28" w:rsidR="00AA6C89" w:rsidRDefault="00C43383" w:rsidP="00BB22A7">
      <w:r>
        <w:t xml:space="preserve">A recommendation from the ERACs </w:t>
      </w:r>
      <w:r w:rsidR="007160F7">
        <w:t xml:space="preserve">reviews </w:t>
      </w:r>
      <w:r w:rsidR="00FB0B55">
        <w:t>of the native vegetation methods</w:t>
      </w:r>
      <w:r>
        <w:t xml:space="preserve">, </w:t>
      </w:r>
      <w:r w:rsidR="007160F7">
        <w:t xml:space="preserve">was for the Government to develop a </w:t>
      </w:r>
      <w:r w:rsidR="00183D1F">
        <w:t xml:space="preserve">risk-sharing </w:t>
      </w:r>
      <w:r w:rsidR="007160F7">
        <w:t>framework between project proponents and the Government</w:t>
      </w:r>
      <w:r w:rsidR="00183D1F">
        <w:t>. A risk-sharing framework would enable changes to be</w:t>
      </w:r>
      <w:r w:rsidR="007160F7">
        <w:t xml:space="preserve"> made to methods and tools in the future in a way that maintains high integrity and provides sufficient certainty to invest in projects (</w:t>
      </w:r>
      <w:r w:rsidR="007160F7" w:rsidRPr="005B01BD">
        <w:t>ERAC 2019d</w:t>
      </w:r>
      <w:r w:rsidR="007160F7">
        <w:t>). The numerous overlapping processes also show the importance of properly resourcing and managing these changes</w:t>
      </w:r>
      <w:r w:rsidR="00DA66CD">
        <w:t xml:space="preserve"> including making provision for transitional arrangements between old and new methods. </w:t>
      </w:r>
      <w:r w:rsidR="00AA6C89">
        <w:t xml:space="preserve">The Government </w:t>
      </w:r>
      <w:r w:rsidR="00260B60">
        <w:t>has consulted stakeholders on this approach. The Authority supports the development of a risk sharing framework to deliver fair outcomes as changes and method variations are implemented.</w:t>
      </w:r>
      <w:r w:rsidR="00AA6C89">
        <w:t xml:space="preserve"> </w:t>
      </w:r>
    </w:p>
    <w:p w14:paraId="67E9545B" w14:textId="0694E0FC" w:rsidR="00DA66CD" w:rsidRDefault="00183D1F" w:rsidP="00BB22A7">
      <w:r>
        <w:t>The</w:t>
      </w:r>
      <w:r w:rsidR="002D6A31">
        <w:t xml:space="preserve"> </w:t>
      </w:r>
      <w:r w:rsidR="0073115B">
        <w:t>regulatory</w:t>
      </w:r>
      <w:r w:rsidR="002D6A31">
        <w:t xml:space="preserve"> risk-sharing framework be</w:t>
      </w:r>
      <w:r>
        <w:t>ing</w:t>
      </w:r>
      <w:r w:rsidR="002D6A31">
        <w:t xml:space="preserve"> developed</w:t>
      </w:r>
      <w:r>
        <w:t xml:space="preserve"> by the Government</w:t>
      </w:r>
      <w:r w:rsidR="002D6A31">
        <w:t xml:space="preserve"> in consultat</w:t>
      </w:r>
      <w:r>
        <w:t>ion with scheme participants</w:t>
      </w:r>
      <w:r w:rsidR="002D6A31">
        <w:t xml:space="preserve"> could include: </w:t>
      </w:r>
    </w:p>
    <w:p w14:paraId="01BAEBDF" w14:textId="6A76F37F" w:rsidR="002D6A31" w:rsidRDefault="0040215B" w:rsidP="00FE3F8C">
      <w:pPr>
        <w:pStyle w:val="ListParagraph"/>
        <w:numPr>
          <w:ilvl w:val="0"/>
          <w:numId w:val="22"/>
        </w:numPr>
      </w:pPr>
      <w:r>
        <w:t>a</w:t>
      </w:r>
      <w:r w:rsidR="002D6A31">
        <w:t>n identification of the reasons why amendments are made and when changes will be considered including:</w:t>
      </w:r>
    </w:p>
    <w:p w14:paraId="5ADD0C1C" w14:textId="2F44B7A0" w:rsidR="002D6A31" w:rsidRDefault="004D4CBC" w:rsidP="00FE3F8C">
      <w:pPr>
        <w:pStyle w:val="ListParagraph"/>
        <w:numPr>
          <w:ilvl w:val="1"/>
          <w:numId w:val="22"/>
        </w:numPr>
      </w:pPr>
      <w:r>
        <w:t>u</w:t>
      </w:r>
      <w:r w:rsidR="002D6A31">
        <w:t>pdated understanding of the science</w:t>
      </w:r>
    </w:p>
    <w:p w14:paraId="350D6EE1" w14:textId="21D7CFDA" w:rsidR="002D6A31" w:rsidRDefault="004D4CBC" w:rsidP="00FE3F8C">
      <w:pPr>
        <w:pStyle w:val="ListParagraph"/>
        <w:numPr>
          <w:ilvl w:val="1"/>
          <w:numId w:val="22"/>
        </w:numPr>
      </w:pPr>
      <w:r>
        <w:t>a</w:t>
      </w:r>
      <w:r w:rsidR="002D6A31">
        <w:t>djustments required to meet changes to international greenhouse accounting standards</w:t>
      </w:r>
    </w:p>
    <w:p w14:paraId="40344D36" w14:textId="79D93302" w:rsidR="002D6A31" w:rsidRDefault="004D4CBC" w:rsidP="00FE3F8C">
      <w:pPr>
        <w:pStyle w:val="ListParagraph"/>
        <w:numPr>
          <w:ilvl w:val="1"/>
          <w:numId w:val="22"/>
        </w:numPr>
      </w:pPr>
      <w:r>
        <w:t>i</w:t>
      </w:r>
      <w:r w:rsidR="002D6A31">
        <w:t>nnovations and improvements to measurement tools and technology</w:t>
      </w:r>
    </w:p>
    <w:p w14:paraId="283E65F9" w14:textId="2A1232AE" w:rsidR="002D6A31" w:rsidRDefault="004D4CBC" w:rsidP="00FE3F8C">
      <w:pPr>
        <w:pStyle w:val="ListParagraph"/>
        <w:numPr>
          <w:ilvl w:val="1"/>
          <w:numId w:val="22"/>
        </w:numPr>
      </w:pPr>
      <w:r>
        <w:t>c</w:t>
      </w:r>
      <w:r w:rsidR="002D6A31">
        <w:t>larifying misinterpretations or unintended applications of provisions in the scheme</w:t>
      </w:r>
    </w:p>
    <w:p w14:paraId="2854CBF7" w14:textId="29979549" w:rsidR="002D6A31" w:rsidRDefault="004D4CBC" w:rsidP="00FE3F8C">
      <w:pPr>
        <w:pStyle w:val="ListParagraph"/>
        <w:numPr>
          <w:ilvl w:val="1"/>
          <w:numId w:val="22"/>
        </w:numPr>
      </w:pPr>
      <w:r>
        <w:t>g</w:t>
      </w:r>
      <w:r w:rsidR="002D6A31">
        <w:t>overnment policy changes</w:t>
      </w:r>
    </w:p>
    <w:p w14:paraId="07E9A3AD" w14:textId="5A579177" w:rsidR="002D6A31" w:rsidRDefault="004D4CBC" w:rsidP="00FE3F8C">
      <w:pPr>
        <w:pStyle w:val="ListParagraph"/>
        <w:numPr>
          <w:ilvl w:val="1"/>
          <w:numId w:val="22"/>
        </w:numPr>
      </w:pPr>
      <w:r>
        <w:t>i</w:t>
      </w:r>
      <w:r w:rsidR="002D6A31">
        <w:t xml:space="preserve">mprovements to the integrity of the scheme including the application process, measurement, reporting and compliance with methods. </w:t>
      </w:r>
    </w:p>
    <w:p w14:paraId="3CC3A9D3" w14:textId="4E1504FB" w:rsidR="002D6A31" w:rsidRDefault="0040215B" w:rsidP="00FE3F8C">
      <w:pPr>
        <w:pStyle w:val="ListParagraph"/>
        <w:numPr>
          <w:ilvl w:val="0"/>
          <w:numId w:val="22"/>
        </w:numPr>
      </w:pPr>
      <w:r>
        <w:t>s</w:t>
      </w:r>
      <w:r w:rsidR="002D6A31">
        <w:t>et out factors the Government will take into account when determining whether the variation should apply to existing projects</w:t>
      </w:r>
    </w:p>
    <w:p w14:paraId="532F8D36" w14:textId="481A6081" w:rsidR="002D6A31" w:rsidRDefault="0040215B" w:rsidP="00FE3F8C">
      <w:pPr>
        <w:pStyle w:val="ListParagraph"/>
        <w:numPr>
          <w:ilvl w:val="0"/>
          <w:numId w:val="22"/>
        </w:numPr>
      </w:pPr>
      <w:r>
        <w:t>s</w:t>
      </w:r>
      <w:r w:rsidR="002D6A31">
        <w:t xml:space="preserve">et out ways potential </w:t>
      </w:r>
      <w:r w:rsidR="00465653">
        <w:t>additional costs</w:t>
      </w:r>
      <w:r w:rsidR="002D6A31">
        <w:t xml:space="preserve"> on existing projects will be managed, including </w:t>
      </w:r>
      <w:r w:rsidR="00AC5660">
        <w:t xml:space="preserve">transitional arrangements, discounting or a cap on downside risk </w:t>
      </w:r>
    </w:p>
    <w:p w14:paraId="6D8D612A" w14:textId="57307CA3" w:rsidR="00AC5660" w:rsidRDefault="0040215B" w:rsidP="00FE3F8C">
      <w:pPr>
        <w:pStyle w:val="ListParagraph"/>
        <w:numPr>
          <w:ilvl w:val="0"/>
          <w:numId w:val="22"/>
        </w:numPr>
      </w:pPr>
      <w:r>
        <w:t>s</w:t>
      </w:r>
      <w:r w:rsidR="00AC5660">
        <w:t xml:space="preserve">et out a formal process for consultation with scheme participants who are likely to be affected </w:t>
      </w:r>
    </w:p>
    <w:p w14:paraId="1DF273BB" w14:textId="0C891147" w:rsidR="0040215B" w:rsidRDefault="0040215B" w:rsidP="00FE3F8C">
      <w:pPr>
        <w:pStyle w:val="ListParagraph"/>
        <w:numPr>
          <w:ilvl w:val="0"/>
          <w:numId w:val="22"/>
        </w:numPr>
      </w:pPr>
      <w:r>
        <w:t xml:space="preserve">set out when and how scheme participants will be required to transition to updated methods.  </w:t>
      </w:r>
    </w:p>
    <w:p w14:paraId="7B9C550A" w14:textId="77777777" w:rsidR="00371A52" w:rsidRDefault="00371A52" w:rsidP="008925B1">
      <w:pPr>
        <w:ind w:left="360"/>
      </w:pPr>
    </w:p>
    <w:tbl>
      <w:tblPr>
        <w:tblStyle w:val="TableGrid"/>
        <w:tblW w:w="0" w:type="auto"/>
        <w:tblInd w:w="360" w:type="dxa"/>
        <w:tblLook w:val="04A0" w:firstRow="1" w:lastRow="0" w:firstColumn="1" w:lastColumn="0" w:noHBand="0" w:noVBand="1"/>
      </w:tblPr>
      <w:tblGrid>
        <w:gridCol w:w="8656"/>
      </w:tblGrid>
      <w:tr w:rsidR="008925B1" w14:paraId="16B5D79A" w14:textId="77777777" w:rsidTr="008925B1">
        <w:tc>
          <w:tcPr>
            <w:tcW w:w="9016" w:type="dxa"/>
          </w:tcPr>
          <w:p w14:paraId="591CDC20" w14:textId="14C889A4" w:rsidR="008925B1" w:rsidRPr="008925B1" w:rsidRDefault="008925B1" w:rsidP="008925B1">
            <w:pPr>
              <w:spacing w:after="160"/>
              <w:rPr>
                <w:b/>
              </w:rPr>
            </w:pPr>
            <w:r w:rsidRPr="008925B1">
              <w:rPr>
                <w:b/>
              </w:rPr>
              <w:t>Recommendation 1</w:t>
            </w:r>
            <w:r w:rsidR="008D3C78">
              <w:rPr>
                <w:b/>
              </w:rPr>
              <w:t>8</w:t>
            </w:r>
          </w:p>
          <w:p w14:paraId="3E4479A2" w14:textId="77777777" w:rsidR="00235D83" w:rsidRPr="00235D83" w:rsidRDefault="00235D83" w:rsidP="00235D83">
            <w:pPr>
              <w:spacing w:after="160"/>
              <w:rPr>
                <w:rFonts w:cs="Arial"/>
                <w:b/>
                <w:szCs w:val="20"/>
              </w:rPr>
            </w:pPr>
            <w:r w:rsidRPr="00235D83">
              <w:rPr>
                <w:rFonts w:cs="Arial"/>
                <w:b/>
                <w:szCs w:val="20"/>
              </w:rPr>
              <w:t>T</w:t>
            </w:r>
            <w:r w:rsidRPr="00235D83">
              <w:rPr>
                <w:b/>
              </w:rPr>
              <w:t>o deliver fair outcomes as changes and method variations are implemented,</w:t>
            </w:r>
            <w:r w:rsidRPr="00235D83">
              <w:rPr>
                <w:rFonts w:cs="Arial"/>
                <w:b/>
                <w:szCs w:val="20"/>
              </w:rPr>
              <w:t xml:space="preserve"> the Government’s ERF regulatory risk sharing framework (currently under development) include guidance on the circumstances under which:</w:t>
            </w:r>
          </w:p>
          <w:p w14:paraId="416AB41D" w14:textId="77777777" w:rsidR="00114374" w:rsidRPr="00114374" w:rsidRDefault="00114374" w:rsidP="00FE3F8C">
            <w:pPr>
              <w:pStyle w:val="ListParagraph"/>
              <w:numPr>
                <w:ilvl w:val="0"/>
                <w:numId w:val="23"/>
              </w:numPr>
              <w:rPr>
                <w:rFonts w:cs="Arial"/>
                <w:b/>
                <w:szCs w:val="20"/>
              </w:rPr>
            </w:pPr>
            <w:r w:rsidRPr="00114374">
              <w:rPr>
                <w:rFonts w:cs="Arial"/>
                <w:b/>
                <w:szCs w:val="20"/>
              </w:rPr>
              <w:t xml:space="preserve">variations and changes (to methods, rules, tools and guidance material) will apply to existing activities </w:t>
            </w:r>
          </w:p>
          <w:p w14:paraId="358CA4C3" w14:textId="77777777" w:rsidR="00114374" w:rsidRPr="00114374" w:rsidRDefault="00114374" w:rsidP="00FE3F8C">
            <w:pPr>
              <w:pStyle w:val="ListParagraph"/>
              <w:numPr>
                <w:ilvl w:val="0"/>
                <w:numId w:val="23"/>
              </w:numPr>
              <w:rPr>
                <w:rFonts w:cs="Arial"/>
                <w:b/>
                <w:szCs w:val="20"/>
              </w:rPr>
            </w:pPr>
            <w:r w:rsidRPr="00114374">
              <w:rPr>
                <w:rFonts w:cs="Arial"/>
                <w:b/>
                <w:szCs w:val="20"/>
              </w:rPr>
              <w:t>support will be made available to mitigate negative impacts cause by amendments that affect existing projects</w:t>
            </w:r>
          </w:p>
          <w:p w14:paraId="753BEB11" w14:textId="50C34062" w:rsidR="008925B1" w:rsidRPr="007D697F" w:rsidRDefault="00114374" w:rsidP="007D697F">
            <w:pPr>
              <w:pStyle w:val="ListParagraph"/>
              <w:numPr>
                <w:ilvl w:val="0"/>
                <w:numId w:val="23"/>
              </w:numPr>
              <w:rPr>
                <w:rFonts w:cs="Arial"/>
                <w:b/>
                <w:szCs w:val="20"/>
              </w:rPr>
            </w:pPr>
            <w:r w:rsidRPr="00114374">
              <w:rPr>
                <w:rFonts w:cs="Arial"/>
                <w:b/>
                <w:szCs w:val="20"/>
              </w:rPr>
              <w:t xml:space="preserve">scheme participants will be required to transition to updated methods.  </w:t>
            </w:r>
          </w:p>
        </w:tc>
      </w:tr>
    </w:tbl>
    <w:p w14:paraId="7726B285" w14:textId="397B5679" w:rsidR="008925B1" w:rsidRDefault="008925B1" w:rsidP="00693896"/>
    <w:p w14:paraId="4BB1245E" w14:textId="77777777" w:rsidR="00FE7069" w:rsidRDefault="00FE7069" w:rsidP="007749B9">
      <w:pPr>
        <w:rPr>
          <w:rFonts w:eastAsiaTheme="majorEastAsia" w:cstheme="majorBidi"/>
          <w:color w:val="0C9FCD"/>
          <w:sz w:val="40"/>
          <w:szCs w:val="32"/>
        </w:rPr>
      </w:pPr>
      <w:r>
        <w:br w:type="page"/>
      </w:r>
    </w:p>
    <w:p w14:paraId="245055C9" w14:textId="34892FCF" w:rsidR="00A6395A" w:rsidRPr="00570347" w:rsidRDefault="00B51ECE" w:rsidP="00570347">
      <w:pPr>
        <w:pStyle w:val="Heading1"/>
        <w:ind w:left="0" w:firstLine="0"/>
        <w:rPr>
          <w:color w:val="0070AE" w:themeColor="accent2" w:themeTint="BF"/>
        </w:rPr>
      </w:pPr>
      <w:bookmarkStart w:id="2974" w:name="_Toc49508957"/>
      <w:bookmarkStart w:id="2975" w:name="_Toc49519767"/>
      <w:bookmarkStart w:id="2976" w:name="_Toc49521485"/>
      <w:bookmarkStart w:id="2977" w:name="_Toc49524557"/>
      <w:bookmarkStart w:id="2978" w:name="_Toc49524695"/>
      <w:bookmarkStart w:id="2979" w:name="_Toc49527164"/>
      <w:bookmarkStart w:id="2980" w:name="_Toc49528002"/>
      <w:bookmarkStart w:id="2981" w:name="_Toc49692155"/>
      <w:bookmarkStart w:id="2982" w:name="_Toc49710528"/>
      <w:bookmarkStart w:id="2983" w:name="_Toc49710700"/>
      <w:bookmarkStart w:id="2984" w:name="_Toc49713253"/>
      <w:bookmarkStart w:id="2985" w:name="_Toc49713455"/>
      <w:bookmarkStart w:id="2986" w:name="_Toc49776393"/>
      <w:bookmarkStart w:id="2987" w:name="_Toc49784952"/>
      <w:bookmarkStart w:id="2988" w:name="_Toc49786278"/>
      <w:bookmarkStart w:id="2989" w:name="_Toc49787327"/>
      <w:bookmarkStart w:id="2990" w:name="_Toc49787382"/>
      <w:bookmarkStart w:id="2991" w:name="_Toc49850696"/>
      <w:bookmarkStart w:id="2992" w:name="_Toc49852938"/>
      <w:bookmarkStart w:id="2993" w:name="_Toc49854355"/>
      <w:bookmarkStart w:id="2994" w:name="_Toc49856951"/>
      <w:bookmarkStart w:id="2995" w:name="_Toc49858267"/>
      <w:bookmarkStart w:id="2996" w:name="_Toc49858322"/>
      <w:bookmarkStart w:id="2997" w:name="_Toc49863024"/>
      <w:bookmarkStart w:id="2998" w:name="_Toc49867747"/>
      <w:bookmarkStart w:id="2999" w:name="_Toc49870583"/>
      <w:bookmarkStart w:id="3000" w:name="_Toc49871326"/>
      <w:bookmarkStart w:id="3001" w:name="_Toc49872006"/>
      <w:bookmarkStart w:id="3002" w:name="_Toc49872559"/>
      <w:bookmarkStart w:id="3003" w:name="_Toc50027771"/>
      <w:bookmarkStart w:id="3004" w:name="_Toc50029465"/>
      <w:bookmarkStart w:id="3005" w:name="_Toc50043896"/>
      <w:bookmarkStart w:id="3006" w:name="_Toc50057748"/>
      <w:bookmarkStart w:id="3007" w:name="_Toc50553625"/>
      <w:bookmarkStart w:id="3008" w:name="_Toc50555388"/>
      <w:bookmarkStart w:id="3009" w:name="_Toc50559848"/>
      <w:bookmarkStart w:id="3010" w:name="_Toc50559901"/>
      <w:bookmarkStart w:id="3011" w:name="_Toc50563835"/>
      <w:bookmarkStart w:id="3012" w:name="_Toc50711388"/>
      <w:bookmarkStart w:id="3013" w:name="_Toc50720970"/>
      <w:bookmarkStart w:id="3014" w:name="_Toc50730694"/>
      <w:bookmarkStart w:id="3015" w:name="_Toc50734920"/>
      <w:bookmarkStart w:id="3016" w:name="_Toc50735523"/>
      <w:bookmarkStart w:id="3017" w:name="_Toc50905542"/>
      <w:bookmarkStart w:id="3018" w:name="_Toc51587026"/>
      <w:bookmarkStart w:id="3019" w:name="_Toc51594886"/>
      <w:bookmarkStart w:id="3020" w:name="_Toc51599489"/>
      <w:bookmarkStart w:id="3021" w:name="_Toc51613525"/>
      <w:bookmarkStart w:id="3022" w:name="_Toc51669636"/>
      <w:bookmarkStart w:id="3023" w:name="_Toc51669731"/>
      <w:bookmarkStart w:id="3024" w:name="_Toc51672880"/>
      <w:bookmarkStart w:id="3025" w:name="_Toc51673930"/>
      <w:bookmarkStart w:id="3026" w:name="_Toc51680747"/>
      <w:bookmarkStart w:id="3027" w:name="_Toc51683276"/>
      <w:bookmarkStart w:id="3028" w:name="_Toc51686012"/>
      <w:bookmarkStart w:id="3029" w:name="_Toc51687750"/>
      <w:bookmarkStart w:id="3030" w:name="_Toc51687894"/>
      <w:bookmarkStart w:id="3031" w:name="_Toc51705772"/>
      <w:bookmarkStart w:id="3032" w:name="_Toc51770718"/>
      <w:bookmarkStart w:id="3033" w:name="_Toc51770904"/>
      <w:bookmarkStart w:id="3034" w:name="_Toc52359247"/>
      <w:bookmarkStart w:id="3035" w:name="_Toc52367280"/>
      <w:bookmarkStart w:id="3036" w:name="_Toc52371620"/>
      <w:bookmarkStart w:id="3037" w:name="_Toc52374768"/>
      <w:bookmarkStart w:id="3038" w:name="_Toc52377306"/>
      <w:bookmarkStart w:id="3039" w:name="_Toc52379228"/>
      <w:bookmarkStart w:id="3040" w:name="_Toc52379583"/>
      <w:bookmarkStart w:id="3041" w:name="_Toc52532793"/>
      <w:bookmarkStart w:id="3042" w:name="_Toc52535688"/>
      <w:bookmarkStart w:id="3043" w:name="_Toc52537506"/>
      <w:bookmarkStart w:id="3044" w:name="_Toc52544069"/>
      <w:bookmarkStart w:id="3045" w:name="_Toc52545673"/>
      <w:bookmarkStart w:id="3046" w:name="_Toc52547905"/>
      <w:bookmarkStart w:id="3047" w:name="_Toc52548594"/>
      <w:bookmarkStart w:id="3048" w:name="_Toc52890886"/>
      <w:bookmarkStart w:id="3049" w:name="_Toc52895089"/>
      <w:bookmarkStart w:id="3050" w:name="_Toc52896613"/>
      <w:bookmarkStart w:id="3051" w:name="_Toc52977790"/>
      <w:bookmarkStart w:id="3052" w:name="_Toc53129476"/>
      <w:bookmarkStart w:id="3053" w:name="_Toc48996318"/>
      <w:bookmarkStart w:id="3054" w:name="_Toc49350843"/>
      <w:bookmarkStart w:id="3055" w:name="_Toc49352823"/>
      <w:bookmarkStart w:id="3056" w:name="_Toc49354199"/>
      <w:bookmarkStart w:id="3057" w:name="_Toc49355525"/>
      <w:bookmarkStart w:id="3058" w:name="_Toc49429283"/>
      <w:bookmarkStart w:id="3059" w:name="_Toc49434040"/>
      <w:bookmarkStart w:id="3060" w:name="_Toc49441033"/>
      <w:bookmarkStart w:id="3061" w:name="_Toc49441223"/>
      <w:bookmarkStart w:id="3062" w:name="_Toc49442226"/>
      <w:r w:rsidRPr="007D697F">
        <w:rPr>
          <w:color w:val="0070AE" w:themeColor="accent2" w:themeTint="BF"/>
        </w:rPr>
        <w:t xml:space="preserve">Chapter 8: </w:t>
      </w:r>
      <w:r w:rsidR="00EA07B2" w:rsidRPr="007D697F">
        <w:rPr>
          <w:color w:val="0070AE" w:themeColor="accent2" w:themeTint="BF"/>
        </w:rPr>
        <w:t xml:space="preserve">Risk of under-delivery of contracted </w:t>
      </w:r>
      <w:r w:rsidR="00192509" w:rsidRPr="007D697F">
        <w:rPr>
          <w:color w:val="0070AE" w:themeColor="accent2" w:themeTint="BF"/>
        </w:rPr>
        <w:t>abatement</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73AF" w:themeFill="accent6"/>
        <w:tblLayout w:type="fixed"/>
        <w:tblLook w:val="04A0" w:firstRow="1" w:lastRow="0" w:firstColumn="1" w:lastColumn="0" w:noHBand="0" w:noVBand="1"/>
      </w:tblPr>
      <w:tblGrid>
        <w:gridCol w:w="9741"/>
      </w:tblGrid>
      <w:tr w:rsidR="0069405B" w:rsidRPr="00B32198" w14:paraId="529526BA" w14:textId="77777777" w:rsidTr="0044463C">
        <w:tc>
          <w:tcPr>
            <w:tcW w:w="9741" w:type="dxa"/>
            <w:shd w:val="clear" w:color="auto" w:fill="B0E9FF" w:themeFill="text2" w:themeFillTint="33"/>
          </w:tcPr>
          <w:p w14:paraId="69C89A0D" w14:textId="6F0A5AFC" w:rsidR="00374F31" w:rsidRDefault="00A73224" w:rsidP="00996B9D">
            <w:pPr>
              <w:pStyle w:val="BodyText"/>
            </w:pPr>
            <w:r>
              <w:t xml:space="preserve">The purchase </w:t>
            </w:r>
            <w:r w:rsidR="00995B1E">
              <w:t xml:space="preserve">by the Government </w:t>
            </w:r>
            <w:r>
              <w:t xml:space="preserve">of abatement </w:t>
            </w:r>
            <w:r w:rsidR="00995B1E">
              <w:t xml:space="preserve">at least cost </w:t>
            </w:r>
            <w:r w:rsidR="00603F88">
              <w:t xml:space="preserve">is </w:t>
            </w:r>
            <w:r>
              <w:t>a central pillar of the ERF.</w:t>
            </w:r>
            <w:r w:rsidR="00603F88">
              <w:t xml:space="preserve"> Large a</w:t>
            </w:r>
            <w:r w:rsidR="00EE1AE9">
              <w:t>mounts of low cost abatement have</w:t>
            </w:r>
            <w:r w:rsidR="00603F88">
              <w:t xml:space="preserve"> been purchased </w:t>
            </w:r>
            <w:r w:rsidR="007444D5">
              <w:t xml:space="preserve">on behalf of the Government </w:t>
            </w:r>
            <w:r w:rsidR="00603F88">
              <w:t xml:space="preserve">by the Regulator under </w:t>
            </w:r>
            <w:r w:rsidR="006143B3">
              <w:t>long</w:t>
            </w:r>
            <w:r w:rsidR="00337782">
              <w:t>-</w:t>
            </w:r>
            <w:r w:rsidR="006143B3">
              <w:t xml:space="preserve">term </w:t>
            </w:r>
            <w:r w:rsidR="00603F88">
              <w:t>fixed</w:t>
            </w:r>
            <w:r w:rsidR="00B370A6">
              <w:t xml:space="preserve"> delivery</w:t>
            </w:r>
            <w:r w:rsidR="00603F88">
              <w:t xml:space="preserve"> contacts</w:t>
            </w:r>
            <w:r w:rsidR="00337782">
              <w:t xml:space="preserve">. </w:t>
            </w:r>
            <w:r w:rsidR="00603F88">
              <w:t>The</w:t>
            </w:r>
            <w:r w:rsidR="008719D6">
              <w:t xml:space="preserve"> price differential between the low fixed</w:t>
            </w:r>
            <w:r w:rsidR="00A62F1C">
              <w:t>-</w:t>
            </w:r>
            <w:r w:rsidR="008719D6">
              <w:t xml:space="preserve">price at which some abatement </w:t>
            </w:r>
            <w:r w:rsidR="006143B3">
              <w:t>is</w:t>
            </w:r>
            <w:r w:rsidR="008719D6">
              <w:t xml:space="preserve"> contracted for and the </w:t>
            </w:r>
            <w:r w:rsidR="00374F31">
              <w:t>current market price</w:t>
            </w:r>
            <w:r w:rsidR="008719D6">
              <w:t xml:space="preserve"> cou</w:t>
            </w:r>
            <w:r w:rsidR="00374F31">
              <w:t xml:space="preserve">ld </w:t>
            </w:r>
            <w:r w:rsidR="00C9325F">
              <w:t>—</w:t>
            </w:r>
            <w:r w:rsidR="00374F31">
              <w:t xml:space="preserve"> in the absence of well calibrated damages provisions for non-delivery </w:t>
            </w:r>
            <w:r w:rsidR="00C9325F">
              <w:t>—</w:t>
            </w:r>
            <w:r w:rsidR="00374F31">
              <w:t xml:space="preserve"> create </w:t>
            </w:r>
            <w:r w:rsidR="008719D6">
              <w:t>a disincent</w:t>
            </w:r>
            <w:r w:rsidR="00374F31">
              <w:t xml:space="preserve">ive to deliver </w:t>
            </w:r>
            <w:r w:rsidR="00995B1E">
              <w:t xml:space="preserve">ACCUs </w:t>
            </w:r>
            <w:r w:rsidR="008071D6">
              <w:t xml:space="preserve">under </w:t>
            </w:r>
            <w:r w:rsidR="00374F31">
              <w:t xml:space="preserve">current </w:t>
            </w:r>
            <w:r w:rsidR="00B370A6">
              <w:t xml:space="preserve">fixed delivery </w:t>
            </w:r>
            <w:r w:rsidR="00374F31">
              <w:t xml:space="preserve">contract </w:t>
            </w:r>
            <w:r w:rsidR="008071D6">
              <w:t>terms</w:t>
            </w:r>
            <w:r w:rsidR="00374F31">
              <w:t xml:space="preserve">. </w:t>
            </w:r>
          </w:p>
          <w:p w14:paraId="604C8863" w14:textId="77777777" w:rsidR="00EE1AE9" w:rsidRDefault="00EE1AE9" w:rsidP="00183D1F">
            <w:pPr>
              <w:spacing w:after="120"/>
            </w:pPr>
          </w:p>
          <w:p w14:paraId="7422EDE5" w14:textId="7319286F" w:rsidR="00183D1F" w:rsidRDefault="00183D1F" w:rsidP="00183D1F">
            <w:pPr>
              <w:spacing w:after="120"/>
            </w:pPr>
            <w:r w:rsidRPr="00432F1B">
              <w:t xml:space="preserve">In coming years, new fixed delivery contracts could increasingly source ACCUs from established projects whose contracts have ended (known as ‘post-contract’ supply) instead of establishing a new ERF project. </w:t>
            </w:r>
          </w:p>
          <w:p w14:paraId="7B0D6D2A" w14:textId="77777777" w:rsidR="00183D1F" w:rsidRDefault="00183D1F" w:rsidP="00183D1F">
            <w:pPr>
              <w:spacing w:after="120"/>
            </w:pPr>
            <w:r w:rsidRPr="00432F1B">
              <w:t xml:space="preserve">Post-contract supply is a valuable source of units for the secondary market, however if not managed, there is a risk that Government could effectively ‘mop up’ post-contract supply from established projects </w:t>
            </w:r>
            <w:r>
              <w:t xml:space="preserve">and </w:t>
            </w:r>
            <w:r w:rsidRPr="00432F1B">
              <w:t>crowd out new projects</w:t>
            </w:r>
            <w:r>
              <w:t>,</w:t>
            </w:r>
            <w:r w:rsidRPr="00432F1B">
              <w:t xml:space="preserve"> rather than incentivis</w:t>
            </w:r>
            <w:r>
              <w:t>e</w:t>
            </w:r>
            <w:r w:rsidRPr="00432F1B">
              <w:t xml:space="preserve"> new projects. </w:t>
            </w:r>
          </w:p>
          <w:p w14:paraId="20F0D7D7" w14:textId="4D21D194" w:rsidR="0069405B" w:rsidRPr="00910ECF" w:rsidRDefault="00183D1F" w:rsidP="00183D1F">
            <w:pPr>
              <w:pStyle w:val="BodyText"/>
            </w:pPr>
            <w:r>
              <w:t xml:space="preserve">The Authority has recommended the </w:t>
            </w:r>
            <w:r w:rsidRPr="00B71059">
              <w:t xml:space="preserve">Government </w:t>
            </w:r>
            <w:r>
              <w:t>adopt</w:t>
            </w:r>
            <w:r w:rsidRPr="00B71059">
              <w:t xml:space="preserve"> </w:t>
            </w:r>
            <w:r>
              <w:t xml:space="preserve">new fixed delivery </w:t>
            </w:r>
            <w:r w:rsidRPr="00B71059">
              <w:t>contract terms t</w:t>
            </w:r>
            <w:r>
              <w:t>o ensure it incentivises new projects</w:t>
            </w:r>
            <w:r w:rsidRPr="00D26967">
              <w:t>.</w:t>
            </w:r>
          </w:p>
        </w:tc>
      </w:tr>
    </w:tbl>
    <w:p w14:paraId="1A8090B2" w14:textId="0DDB5E3A" w:rsidR="0069405B" w:rsidRDefault="0069405B" w:rsidP="00192509"/>
    <w:p w14:paraId="35CCD385" w14:textId="481753E3" w:rsidR="0069405B" w:rsidRPr="007D697F" w:rsidRDefault="00A62F1C" w:rsidP="00004274">
      <w:pPr>
        <w:pStyle w:val="Heading2"/>
        <w:numPr>
          <w:ilvl w:val="1"/>
          <w:numId w:val="51"/>
        </w:numPr>
        <w:rPr>
          <w:color w:val="0070AE" w:themeColor="accent2" w:themeTint="BF"/>
        </w:rPr>
      </w:pPr>
      <w:bookmarkStart w:id="3063" w:name="_Toc50553626"/>
      <w:bookmarkStart w:id="3064" w:name="_Toc50555389"/>
      <w:bookmarkStart w:id="3065" w:name="_Toc50559849"/>
      <w:bookmarkStart w:id="3066" w:name="_Toc50559902"/>
      <w:bookmarkStart w:id="3067" w:name="_Toc50563836"/>
      <w:bookmarkStart w:id="3068" w:name="_Toc50711389"/>
      <w:bookmarkStart w:id="3069" w:name="_Toc50720971"/>
      <w:bookmarkStart w:id="3070" w:name="_Toc50730695"/>
      <w:bookmarkStart w:id="3071" w:name="_Toc50734921"/>
      <w:bookmarkStart w:id="3072" w:name="_Toc50735524"/>
      <w:bookmarkStart w:id="3073" w:name="_Toc50905543"/>
      <w:bookmarkStart w:id="3074" w:name="_Toc51587027"/>
      <w:bookmarkStart w:id="3075" w:name="_Toc51594887"/>
      <w:bookmarkStart w:id="3076" w:name="_Toc51599490"/>
      <w:bookmarkStart w:id="3077" w:name="_Toc51613526"/>
      <w:bookmarkStart w:id="3078" w:name="_Toc51669637"/>
      <w:bookmarkStart w:id="3079" w:name="_Toc51669732"/>
      <w:bookmarkStart w:id="3080" w:name="_Toc51672881"/>
      <w:bookmarkStart w:id="3081" w:name="_Toc51673931"/>
      <w:bookmarkStart w:id="3082" w:name="_Toc51680748"/>
      <w:bookmarkStart w:id="3083" w:name="_Toc51683277"/>
      <w:bookmarkStart w:id="3084" w:name="_Toc51686013"/>
      <w:bookmarkStart w:id="3085" w:name="_Toc51687751"/>
      <w:bookmarkStart w:id="3086" w:name="_Toc51687895"/>
      <w:bookmarkStart w:id="3087" w:name="_Toc51705773"/>
      <w:bookmarkStart w:id="3088" w:name="_Toc51770719"/>
      <w:bookmarkStart w:id="3089" w:name="_Toc51770905"/>
      <w:bookmarkStart w:id="3090" w:name="_Toc52359248"/>
      <w:bookmarkStart w:id="3091" w:name="_Toc52367281"/>
      <w:bookmarkStart w:id="3092" w:name="_Toc52371621"/>
      <w:bookmarkStart w:id="3093" w:name="_Toc52374769"/>
      <w:bookmarkStart w:id="3094" w:name="_Toc52377307"/>
      <w:bookmarkStart w:id="3095" w:name="_Toc52379229"/>
      <w:bookmarkStart w:id="3096" w:name="_Toc52379584"/>
      <w:bookmarkStart w:id="3097" w:name="_Toc52532794"/>
      <w:bookmarkStart w:id="3098" w:name="_Toc52535689"/>
      <w:bookmarkStart w:id="3099" w:name="_Toc52537507"/>
      <w:bookmarkStart w:id="3100" w:name="_Toc52544070"/>
      <w:bookmarkStart w:id="3101" w:name="_Toc52545674"/>
      <w:bookmarkStart w:id="3102" w:name="_Toc52547906"/>
      <w:bookmarkStart w:id="3103" w:name="_Toc52548595"/>
      <w:bookmarkStart w:id="3104" w:name="_Toc52890887"/>
      <w:bookmarkStart w:id="3105" w:name="_Toc52895090"/>
      <w:bookmarkStart w:id="3106" w:name="_Toc52896614"/>
      <w:bookmarkStart w:id="3107" w:name="_Toc52977791"/>
      <w:bookmarkStart w:id="3108" w:name="_Toc53129477"/>
      <w:r w:rsidRPr="007D697F">
        <w:rPr>
          <w:color w:val="0070AE" w:themeColor="accent2" w:themeTint="BF"/>
        </w:rPr>
        <w:t>The Government</w:t>
      </w:r>
      <w:r w:rsidR="007B610D" w:rsidRPr="007D697F">
        <w:rPr>
          <w:color w:val="0070AE" w:themeColor="accent2" w:themeTint="BF"/>
        </w:rPr>
        <w:t>’</w:t>
      </w:r>
      <w:r w:rsidRPr="007D697F">
        <w:rPr>
          <w:color w:val="0070AE" w:themeColor="accent2" w:themeTint="BF"/>
        </w:rPr>
        <w:t>s fixed</w:t>
      </w:r>
      <w:r w:rsidR="00307227" w:rsidRPr="007D697F">
        <w:rPr>
          <w:color w:val="0070AE" w:themeColor="accent2" w:themeTint="BF"/>
        </w:rPr>
        <w:t>-</w:t>
      </w:r>
      <w:r w:rsidRPr="007D697F">
        <w:rPr>
          <w:color w:val="0070AE" w:themeColor="accent2" w:themeTint="BF"/>
        </w:rPr>
        <w:t>cont</w:t>
      </w:r>
      <w:r w:rsidR="00260B60" w:rsidRPr="007D697F">
        <w:rPr>
          <w:color w:val="0070AE" w:themeColor="accent2" w:themeTint="BF"/>
        </w:rPr>
        <w:t>r</w:t>
      </w:r>
      <w:r w:rsidRPr="007D697F">
        <w:rPr>
          <w:color w:val="0070AE" w:themeColor="accent2" w:themeTint="BF"/>
        </w:rPr>
        <w:t>act portfolio</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r w:rsidRPr="007D697F">
        <w:rPr>
          <w:color w:val="0070AE" w:themeColor="accent2" w:themeTint="BF"/>
        </w:rPr>
        <w:t xml:space="preserve"> </w:t>
      </w:r>
    </w:p>
    <w:p w14:paraId="699D5FA5" w14:textId="14ED6855" w:rsidR="00192509" w:rsidRPr="005C2D07" w:rsidRDefault="00192509" w:rsidP="00192509">
      <w:r>
        <w:t xml:space="preserve">The first objective of the ERF is to reduce emissions and store carbon to meet Australia’s international emissions reduction obligations. </w:t>
      </w:r>
    </w:p>
    <w:p w14:paraId="5EE961CF" w14:textId="7BA6B126" w:rsidR="00387BCA" w:rsidRDefault="00387BCA" w:rsidP="00192509">
      <w:r>
        <w:t xml:space="preserve">The </w:t>
      </w:r>
      <w:r w:rsidR="0099523E">
        <w:t>Regulator</w:t>
      </w:r>
      <w:r>
        <w:t xml:space="preserve"> has </w:t>
      </w:r>
      <w:r w:rsidR="003644B2">
        <w:t xml:space="preserve">a portfolio of </w:t>
      </w:r>
      <w:r w:rsidR="0099523E">
        <w:t xml:space="preserve">fixed </w:t>
      </w:r>
      <w:r>
        <w:t>contracts for the delivery of 19</w:t>
      </w:r>
      <w:r w:rsidR="00097FF3">
        <w:t>2.1</w:t>
      </w:r>
      <w:r>
        <w:t xml:space="preserve"> million ACCUs between 2015 and 2032</w:t>
      </w:r>
      <w:r w:rsidR="003644B2">
        <w:t xml:space="preserve"> (auctions 1-11)</w:t>
      </w:r>
      <w:r w:rsidR="00B74B25">
        <w:t>.</w:t>
      </w:r>
      <w:r w:rsidR="004619BC">
        <w:rPr>
          <w:rStyle w:val="FootnoteReference"/>
        </w:rPr>
        <w:footnoteReference w:id="13"/>
      </w:r>
      <w:r>
        <w:t xml:space="preserve"> </w:t>
      </w:r>
      <w:r w:rsidR="00724C8A">
        <w:t xml:space="preserve">As of </w:t>
      </w:r>
      <w:r w:rsidR="003644B2">
        <w:t>18 September 2020</w:t>
      </w:r>
      <w:r w:rsidR="00724C8A">
        <w:t xml:space="preserve">, </w:t>
      </w:r>
      <w:r w:rsidR="00724C8A" w:rsidRPr="00C27DA1">
        <w:t>5</w:t>
      </w:r>
      <w:r w:rsidR="003644B2">
        <w:t>8</w:t>
      </w:r>
      <w:r w:rsidR="00724C8A" w:rsidRPr="00C27DA1">
        <w:t xml:space="preserve">.8 million ACCUs </w:t>
      </w:r>
      <w:r w:rsidR="00724C8A">
        <w:t>(3</w:t>
      </w:r>
      <w:r w:rsidR="003644B2">
        <w:t>1</w:t>
      </w:r>
      <w:r w:rsidR="00724C8A">
        <w:t xml:space="preserve"> per cent) </w:t>
      </w:r>
      <w:r w:rsidR="00724C8A" w:rsidRPr="00C27DA1">
        <w:t xml:space="preserve">have been delivered </w:t>
      </w:r>
      <w:r w:rsidR="00724C8A">
        <w:t>under</w:t>
      </w:r>
      <w:r w:rsidR="00724C8A" w:rsidRPr="00C27DA1">
        <w:t xml:space="preserve"> fixed delivery contracts</w:t>
      </w:r>
      <w:r w:rsidR="00724C8A">
        <w:t>.</w:t>
      </w:r>
      <w:r w:rsidR="00724C8A" w:rsidRPr="00C27DA1">
        <w:t xml:space="preserve"> </w:t>
      </w:r>
      <w:r w:rsidR="00724C8A">
        <w:t xml:space="preserve">This section analyses the risk of non-delivery of contracted abatement </w:t>
      </w:r>
      <w:r w:rsidR="003F4312">
        <w:t>under fixed</w:t>
      </w:r>
      <w:r w:rsidR="00B370A6">
        <w:t xml:space="preserve"> </w:t>
      </w:r>
      <w:r w:rsidR="003B3809">
        <w:t>delivery</w:t>
      </w:r>
      <w:r w:rsidR="003F4312">
        <w:t xml:space="preserve"> contracts </w:t>
      </w:r>
      <w:r w:rsidR="00724C8A">
        <w:t>and suggests ways to mitigate and manage this risk.</w:t>
      </w:r>
    </w:p>
    <w:p w14:paraId="53B733E1" w14:textId="50400859" w:rsidR="00380316" w:rsidRDefault="00192509" w:rsidP="00192509">
      <w:r>
        <w:t xml:space="preserve">The Regulator </w:t>
      </w:r>
      <w:r w:rsidR="00380316">
        <w:t xml:space="preserve">currently </w:t>
      </w:r>
      <w:r>
        <w:t>holds a portfolio of 4</w:t>
      </w:r>
      <w:r w:rsidR="003644B2">
        <w:t>61</w:t>
      </w:r>
      <w:r>
        <w:t xml:space="preserve"> fixed delivery contracts</w:t>
      </w:r>
      <w:r w:rsidR="003F4312">
        <w:t xml:space="preserve"> at a fixed-price</w:t>
      </w:r>
      <w:r w:rsidR="00387BCA">
        <w:t xml:space="preserve">, </w:t>
      </w:r>
      <w:r>
        <w:t>3</w:t>
      </w:r>
      <w:r w:rsidR="003644B2">
        <w:t>6</w:t>
      </w:r>
      <w:r>
        <w:t xml:space="preserve"> of which are completed</w:t>
      </w:r>
      <w:r w:rsidR="00380316">
        <w:t xml:space="preserve"> </w:t>
      </w:r>
      <w:r w:rsidRPr="00C27DA1">
        <w:t>(</w:t>
      </w:r>
      <w:r w:rsidR="00510B84">
        <w:t>CER 2020a</w:t>
      </w:r>
      <w:r w:rsidRPr="00C27DA1">
        <w:t xml:space="preserve">). </w:t>
      </w:r>
      <w:r>
        <w:t xml:space="preserve">Fixed delivery contracts vary </w:t>
      </w:r>
      <w:r w:rsidR="00380316">
        <w:t xml:space="preserve">in </w:t>
      </w:r>
      <w:r w:rsidR="00AC51A1">
        <w:t xml:space="preserve">size, </w:t>
      </w:r>
      <w:r>
        <w:t>length and delivery profile (when abatement is scheduled to be delivered</w:t>
      </w:r>
      <w:r w:rsidR="00380316">
        <w:t xml:space="preserve">) - </w:t>
      </w:r>
    </w:p>
    <w:p w14:paraId="6B8CCA10" w14:textId="06A33D5C" w:rsidR="00AC51A1" w:rsidRDefault="00AC51A1" w:rsidP="00FE3F8C">
      <w:pPr>
        <w:pStyle w:val="ListParagraph"/>
        <w:numPr>
          <w:ilvl w:val="0"/>
          <w:numId w:val="26"/>
        </w:numPr>
      </w:pPr>
      <w:r>
        <w:t>The largest contract awarded is for 15 million ACCUs and the smallest for just under 3</w:t>
      </w:r>
      <w:r w:rsidR="003644B2">
        <w:t>,</w:t>
      </w:r>
      <w:r>
        <w:t xml:space="preserve">500 ACCUs. The median contract size is for </w:t>
      </w:r>
      <w:r w:rsidR="003644B2">
        <w:t>184,</w:t>
      </w:r>
      <w:r w:rsidR="003027BA">
        <w:t xml:space="preserve">000 </w:t>
      </w:r>
      <w:r w:rsidRPr="002045B4">
        <w:t>ACCUs</w:t>
      </w:r>
      <w:r>
        <w:t xml:space="preserve">. </w:t>
      </w:r>
    </w:p>
    <w:p w14:paraId="2EA62AD6" w14:textId="4EACBDF7" w:rsidR="00380316" w:rsidRDefault="00192509" w:rsidP="00FE3F8C">
      <w:pPr>
        <w:pStyle w:val="ListParagraph"/>
        <w:numPr>
          <w:ilvl w:val="0"/>
          <w:numId w:val="26"/>
        </w:numPr>
      </w:pPr>
      <w:r>
        <w:t>Contracts can be awarded for a standard length, of 7 or 10 years</w:t>
      </w:r>
      <w:r w:rsidR="009C5AB0">
        <w:t xml:space="preserve"> (for the delivery period)</w:t>
      </w:r>
      <w:r>
        <w:t>, or for a shorter period, including for immediate delivery (</w:t>
      </w:r>
      <w:r w:rsidRPr="00D72F5E">
        <w:t>CER 2020</w:t>
      </w:r>
      <w:r w:rsidR="00945700">
        <w:t>l</w:t>
      </w:r>
      <w:r>
        <w:t xml:space="preserve">). </w:t>
      </w:r>
    </w:p>
    <w:p w14:paraId="77292129" w14:textId="471182D1" w:rsidR="00192509" w:rsidRDefault="00192509" w:rsidP="00FE3F8C">
      <w:pPr>
        <w:pStyle w:val="ListParagraph"/>
        <w:numPr>
          <w:ilvl w:val="0"/>
          <w:numId w:val="26"/>
        </w:numPr>
      </w:pPr>
      <w:r w:rsidRPr="002045B4">
        <w:t>Some contracts have delivered all contracted abatement in a short period and others have not yet delivered</w:t>
      </w:r>
      <w:r w:rsidR="005923B5">
        <w:t xml:space="preserve"> ACCUs against </w:t>
      </w:r>
      <w:r>
        <w:t>contract</w:t>
      </w:r>
      <w:r w:rsidR="005923B5">
        <w:t>s</w:t>
      </w:r>
      <w:r>
        <w:t xml:space="preserve"> awarded in 2015 or 2016.</w:t>
      </w:r>
    </w:p>
    <w:p w14:paraId="09641D70" w14:textId="0C67B413" w:rsidR="00036879" w:rsidRDefault="00036879" w:rsidP="006C3876">
      <w:r>
        <w:t xml:space="preserve">The differences in contract sizes and </w:t>
      </w:r>
      <w:r w:rsidR="002861C2">
        <w:t>timing</w:t>
      </w:r>
      <w:r>
        <w:t xml:space="preserve"> of delivery are partly explained by the different business models that contract holders are using to deliver against their contracts. Smaller contracts mostly deliver abatement from the project associated with their contract. Larger contracts are often known as ‘aggregat</w:t>
      </w:r>
      <w:r w:rsidR="001D4E1B">
        <w:t>e</w:t>
      </w:r>
      <w:r>
        <w:t xml:space="preserve"> contracts’, whereby one contract involves multiple projects, or one contract involves one project as an ‘anchor’ point with more projects added to meet the contracted volume of abatement. The latter approach seems to have been used by some carbon service providers as a way to grow their businesses by first securing a Government contract and then sourcing the abatement projects. All fixed delivery contracts are also able to purchase ACCUs on the secondary market to supply their contracted volume of ACCUs. </w:t>
      </w:r>
    </w:p>
    <w:p w14:paraId="244BE512" w14:textId="6E627762" w:rsidR="00A62F1C" w:rsidRPr="00234211" w:rsidRDefault="006143B3" w:rsidP="004A1DA2">
      <w:pPr>
        <w:pStyle w:val="Heading3"/>
        <w:rPr>
          <w:i/>
          <w:color w:val="0070AE" w:themeColor="accent2" w:themeTint="BF"/>
        </w:rPr>
      </w:pPr>
      <w:r w:rsidRPr="00234211">
        <w:rPr>
          <w:i/>
          <w:color w:val="0070AE" w:themeColor="accent2" w:themeTint="BF"/>
        </w:rPr>
        <w:t xml:space="preserve">Anticipated delivery of </w:t>
      </w:r>
      <w:r w:rsidR="00A62F1C" w:rsidRPr="00234211">
        <w:rPr>
          <w:i/>
          <w:color w:val="0070AE" w:themeColor="accent2" w:themeTint="BF"/>
        </w:rPr>
        <w:t>fixed contract</w:t>
      </w:r>
      <w:r w:rsidRPr="00234211">
        <w:rPr>
          <w:i/>
          <w:color w:val="0070AE" w:themeColor="accent2" w:themeTint="BF"/>
        </w:rPr>
        <w:t>s</w:t>
      </w:r>
    </w:p>
    <w:p w14:paraId="331EA0BB" w14:textId="422A5730" w:rsidR="004619BC" w:rsidRDefault="00192509" w:rsidP="004619BC">
      <w:r>
        <w:t xml:space="preserve">The portfolio of </w:t>
      </w:r>
      <w:r w:rsidR="000C2471">
        <w:t>4</w:t>
      </w:r>
      <w:r w:rsidR="00927D72">
        <w:t>61</w:t>
      </w:r>
      <w:r w:rsidR="000C2471">
        <w:t xml:space="preserve"> fixed</w:t>
      </w:r>
      <w:r w:rsidR="00B370A6">
        <w:t xml:space="preserve"> </w:t>
      </w:r>
      <w:r w:rsidR="000C2471">
        <w:t xml:space="preserve">delivery </w:t>
      </w:r>
      <w:r>
        <w:t xml:space="preserve">Government contracts, while ranging greatly in size, is highly concentrated in a number of large contracts. </w:t>
      </w:r>
      <w:r w:rsidR="004619BC">
        <w:t>There are 38 contracts in the Government portfolio with obligations to deliver over one million ACCUs, and these contracts are responsible for delivering 97.3</w:t>
      </w:r>
      <w:r w:rsidR="00D47382">
        <w:t> </w:t>
      </w:r>
      <w:r w:rsidR="004619BC">
        <w:t xml:space="preserve">million ACCUs – over half the total contracted abatement. Contracts of this size are likely to involve aggregating ACCUs from several projects to meet contract delivery schedules. </w:t>
      </w:r>
      <w:r w:rsidR="001D4E1B">
        <w:t>These contracts were awarded between 2015-</w:t>
      </w:r>
      <w:r w:rsidR="00D47382" w:rsidRPr="002045B4">
        <w:t>2017</w:t>
      </w:r>
      <w:r w:rsidR="001D4E1B">
        <w:t xml:space="preserve"> (</w:t>
      </w:r>
      <w:r w:rsidR="0039350C">
        <w:t>a</w:t>
      </w:r>
      <w:r w:rsidR="001D4E1B">
        <w:t>uctions 1-6) (</w:t>
      </w:r>
      <w:r w:rsidR="00510B84">
        <w:t>CER 2020a</w:t>
      </w:r>
      <w:r w:rsidR="001D4E1B">
        <w:t>).</w:t>
      </w:r>
    </w:p>
    <w:p w14:paraId="3C25A1BB" w14:textId="5ACC275F" w:rsidR="003213DC" w:rsidRDefault="00192509" w:rsidP="003213DC">
      <w:r w:rsidRPr="002F7DE8">
        <w:t xml:space="preserve">As of </w:t>
      </w:r>
      <w:r w:rsidR="00927D72">
        <w:t>18 September</w:t>
      </w:r>
      <w:r w:rsidRPr="002F7DE8">
        <w:t xml:space="preserve"> 2020, the 38</w:t>
      </w:r>
      <w:r w:rsidR="003213DC">
        <w:t> </w:t>
      </w:r>
      <w:r w:rsidR="00AE5BE8">
        <w:t xml:space="preserve">large </w:t>
      </w:r>
      <w:r w:rsidRPr="002F7DE8">
        <w:t>contracts have delivere</w:t>
      </w:r>
      <w:r w:rsidR="00A84942">
        <w:t>d a total of 16.</w:t>
      </w:r>
      <w:r w:rsidR="000E3C8D">
        <w:t>8</w:t>
      </w:r>
      <w:r w:rsidR="00A84942">
        <w:t xml:space="preserve"> million ACCUs</w:t>
      </w:r>
      <w:r w:rsidR="00557FF8">
        <w:t xml:space="preserve"> (</w:t>
      </w:r>
      <w:r w:rsidR="003315F7">
        <w:t>17 per </w:t>
      </w:r>
      <w:r w:rsidR="00557FF8">
        <w:t xml:space="preserve">cent of </w:t>
      </w:r>
      <w:r w:rsidR="003213DC">
        <w:t>their contracted amount</w:t>
      </w:r>
      <w:r w:rsidR="00557FF8">
        <w:t>)</w:t>
      </w:r>
      <w:r w:rsidR="00A84942">
        <w:t>.</w:t>
      </w:r>
      <w:r w:rsidR="00850793" w:rsidRPr="002F7DE8" w:rsidDel="003213DC">
        <w:t xml:space="preserve"> </w:t>
      </w:r>
      <w:r w:rsidR="00850793" w:rsidRPr="002F7DE8">
        <w:t>Of these large contracts, those that have delivered most</w:t>
      </w:r>
      <w:r w:rsidR="003213DC">
        <w:t xml:space="preserve"> </w:t>
      </w:r>
      <w:r w:rsidR="00AE5BE8">
        <w:t xml:space="preserve">of their contracted abatement </w:t>
      </w:r>
      <w:r w:rsidR="003213DC">
        <w:t>(6</w:t>
      </w:r>
      <w:r w:rsidR="00927D72">
        <w:t>7</w:t>
      </w:r>
      <w:r w:rsidR="003213DC">
        <w:t xml:space="preserve"> per cent; 6.4 million ACCUs)</w:t>
      </w:r>
      <w:r w:rsidR="00850793" w:rsidRPr="002F7DE8" w:rsidDel="003213DC">
        <w:t xml:space="preserve"> </w:t>
      </w:r>
      <w:r w:rsidR="00850793" w:rsidRPr="002F7DE8">
        <w:t>are associated with waste projects</w:t>
      </w:r>
      <w:r w:rsidR="00AE5BE8">
        <w:t xml:space="preserve">. These projects </w:t>
      </w:r>
      <w:r w:rsidR="003213DC">
        <w:t xml:space="preserve">were </w:t>
      </w:r>
      <w:r w:rsidR="00D47382">
        <w:t xml:space="preserve">also </w:t>
      </w:r>
      <w:r w:rsidR="00850793" w:rsidRPr="002F7DE8">
        <w:t>registered under the original Carbon Farming Initiative scheme, which then transitioned to the ERF. The fact</w:t>
      </w:r>
      <w:r w:rsidR="00850793" w:rsidRPr="002F7DE8" w:rsidDel="00AE5BE8">
        <w:t xml:space="preserve"> </w:t>
      </w:r>
      <w:r w:rsidR="00AE5BE8">
        <w:t>that</w:t>
      </w:r>
      <w:r w:rsidR="00850793" w:rsidRPr="002F7DE8">
        <w:t xml:space="preserve"> the </w:t>
      </w:r>
      <w:r w:rsidR="00557FF8">
        <w:t xml:space="preserve">waste </w:t>
      </w:r>
      <w:r w:rsidR="00850793" w:rsidRPr="002F7DE8">
        <w:t>projects were</w:t>
      </w:r>
      <w:r w:rsidR="00850793" w:rsidRPr="002F7DE8" w:rsidDel="00557FF8">
        <w:t xml:space="preserve"> </w:t>
      </w:r>
      <w:r w:rsidR="00850793" w:rsidRPr="002F7DE8">
        <w:t xml:space="preserve">established prior to the contract being awarded may have assisted </w:t>
      </w:r>
      <w:r w:rsidR="00AE5BE8">
        <w:t xml:space="preserve">with timely </w:t>
      </w:r>
      <w:r w:rsidR="00850793" w:rsidRPr="002F7DE8">
        <w:t>deliveries</w:t>
      </w:r>
      <w:r w:rsidR="00D47382">
        <w:t>, because the generation of ACCUs to fill the contracts did not rely on the establishment of new projects.</w:t>
      </w:r>
    </w:p>
    <w:p w14:paraId="150437DA" w14:textId="2007ADAC" w:rsidR="00192509" w:rsidRDefault="00192509" w:rsidP="00192509">
      <w:r w:rsidRPr="002F7DE8">
        <w:t>The remaining 4</w:t>
      </w:r>
      <w:r w:rsidR="00927D72">
        <w:t>23</w:t>
      </w:r>
      <w:r w:rsidRPr="002F7DE8">
        <w:t xml:space="preserve"> fixed delivery contracts (both active and completed)</w:t>
      </w:r>
      <w:r w:rsidR="00A832EF">
        <w:t xml:space="preserve"> of less than one million ACCUs each</w:t>
      </w:r>
      <w:r w:rsidRPr="002F7DE8">
        <w:t xml:space="preserve"> are responsible for </w:t>
      </w:r>
      <w:r w:rsidR="00A832EF">
        <w:t xml:space="preserve">the </w:t>
      </w:r>
      <w:r w:rsidRPr="002F7DE8">
        <w:t>remaining contracted abatement</w:t>
      </w:r>
      <w:r w:rsidR="00A832EF">
        <w:t xml:space="preserve"> (94</w:t>
      </w:r>
      <w:r w:rsidR="00927D72">
        <w:t>.7</w:t>
      </w:r>
      <w:r w:rsidR="00A832EF">
        <w:t xml:space="preserve"> million ACCUs)</w:t>
      </w:r>
      <w:r w:rsidR="00D47382">
        <w:t>. These contracts</w:t>
      </w:r>
      <w:r w:rsidR="00914E11">
        <w:t xml:space="preserve"> </w:t>
      </w:r>
      <w:r w:rsidRPr="002F7DE8">
        <w:t>have delivered a total of 4</w:t>
      </w:r>
      <w:r w:rsidR="00A84942">
        <w:t>2</w:t>
      </w:r>
      <w:r w:rsidR="00927D72">
        <w:t>.0</w:t>
      </w:r>
      <w:r w:rsidR="00A84942">
        <w:t xml:space="preserve"> million ACCUs (44 per cent</w:t>
      </w:r>
      <w:r w:rsidR="00557FF8">
        <w:t xml:space="preserve"> of amount to be delivered by these contracts</w:t>
      </w:r>
      <w:r w:rsidR="00A84942">
        <w:t>).</w:t>
      </w:r>
      <w:r w:rsidR="00983EE4">
        <w:t xml:space="preserve"> When the Authority analysed the average </w:t>
      </w:r>
      <w:r w:rsidR="00914E11">
        <w:t>proportion of abatement</w:t>
      </w:r>
      <w:r w:rsidR="00983EE4">
        <w:t xml:space="preserve"> delivered from these 4</w:t>
      </w:r>
      <w:r w:rsidR="00B2475D">
        <w:t>23</w:t>
      </w:r>
      <w:r w:rsidR="00983EE4">
        <w:t xml:space="preserve"> contracts</w:t>
      </w:r>
      <w:r w:rsidR="00914E11">
        <w:t>,</w:t>
      </w:r>
      <w:r w:rsidR="00983EE4">
        <w:t xml:space="preserve"> it found </w:t>
      </w:r>
      <w:r w:rsidR="00B2475D">
        <w:t xml:space="preserve">that </w:t>
      </w:r>
      <w:r w:rsidR="00375CAE">
        <w:t xml:space="preserve">overall, </w:t>
      </w:r>
      <w:r w:rsidR="00B2475D">
        <w:t>the l</w:t>
      </w:r>
      <w:r w:rsidR="00B2475D" w:rsidRPr="006830AD">
        <w:t>arger ‘aggregate contracts</w:t>
      </w:r>
      <w:r w:rsidR="006C03A7">
        <w:t>’</w:t>
      </w:r>
      <w:r w:rsidR="00B2475D" w:rsidRPr="006830AD">
        <w:t xml:space="preserve"> have delivered on average less than smaller contracts</w:t>
      </w:r>
      <w:r w:rsidR="00B2475D">
        <w:t xml:space="preserve"> (Figure 8.1)</w:t>
      </w:r>
      <w:r w:rsidR="00B2475D" w:rsidRPr="006830AD">
        <w:t>.</w:t>
      </w:r>
    </w:p>
    <w:p w14:paraId="3A1A5B99" w14:textId="77777777" w:rsidR="00C9325F" w:rsidRPr="002F7DE8" w:rsidRDefault="00C9325F" w:rsidP="00192509"/>
    <w:p w14:paraId="480A1DCA" w14:textId="047F9DB5" w:rsidR="00927D72" w:rsidRPr="00234211" w:rsidRDefault="00181FE4" w:rsidP="00366F5A">
      <w:pPr>
        <w:pStyle w:val="Figure"/>
      </w:pPr>
      <w:bookmarkStart w:id="3109" w:name="_Toc53130460"/>
      <w:r w:rsidRPr="00234211">
        <w:t>Figure 8.</w:t>
      </w:r>
      <w:r w:rsidR="00530582" w:rsidRPr="00234211">
        <w:t>1</w:t>
      </w:r>
      <w:r w:rsidRPr="00234211">
        <w:t xml:space="preserve">. ACCUs still to be delivered to the Government </w:t>
      </w:r>
      <w:r w:rsidR="000E3C8D" w:rsidRPr="00234211">
        <w:t>under fixed delivery contacts</w:t>
      </w:r>
      <w:bookmarkEnd w:id="3109"/>
    </w:p>
    <w:p w14:paraId="7166436B" w14:textId="5DC1F6FD" w:rsidR="00927D72" w:rsidRDefault="00181FE4" w:rsidP="00192509">
      <w:r>
        <w:rPr>
          <w:noProof/>
          <w:lang w:eastAsia="en-AU"/>
        </w:rPr>
        <w:drawing>
          <wp:inline distT="0" distB="0" distL="0" distR="0" wp14:anchorId="2029821A" wp14:editId="63DCDBF1">
            <wp:extent cx="5304661" cy="3266902"/>
            <wp:effectExtent l="0" t="0" r="0" b="0"/>
            <wp:docPr id="20" name="Picture 20" descr="Figure 8.1 is a stacked bar chart that shows the total volume of ACCUs to be delivered to the Government under fixed delivery contracts. The vertical axis is ACCUs contracted in millions and the horizontal axis is two categories. The first category is the sum of the 38 contracts of 1 million ACCUs or more. The second category is the 423 contracts of less than 1 million ACCUs. The first category is to deliver 97.3 million ACCUs with 83 percent still to be delivered. The second category is for 94.9 million ACCUs with 56 percent still to be delivered." title="Figure 8.1. ACCUs still to be delivered to the Government under fixed delivery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8928" cy="3294164"/>
                    </a:xfrm>
                    <a:prstGeom prst="rect">
                      <a:avLst/>
                    </a:prstGeom>
                    <a:noFill/>
                  </pic:spPr>
                </pic:pic>
              </a:graphicData>
            </a:graphic>
          </wp:inline>
        </w:drawing>
      </w:r>
    </w:p>
    <w:p w14:paraId="375953B3" w14:textId="4D6355E9" w:rsidR="00181FE4" w:rsidRDefault="00181FE4" w:rsidP="004E59C6">
      <w:pPr>
        <w:pStyle w:val="FootnoteText"/>
      </w:pPr>
      <w:r w:rsidRPr="00B370A6">
        <w:rPr>
          <w:rFonts w:eastAsia="Calibri" w:cs="Times New Roman"/>
          <w:b/>
          <w:color w:val="auto"/>
          <w:sz w:val="17"/>
          <w:szCs w:val="16"/>
        </w:rPr>
        <w:t>Note:</w:t>
      </w:r>
      <w:r w:rsidR="00530582" w:rsidRPr="00B370A6">
        <w:rPr>
          <w:rFonts w:eastAsia="Calibri" w:cs="Times New Roman"/>
          <w:b/>
          <w:color w:val="auto"/>
          <w:sz w:val="17"/>
          <w:szCs w:val="16"/>
        </w:rPr>
        <w:t xml:space="preserve"> </w:t>
      </w:r>
      <w:r w:rsidR="00530582" w:rsidRPr="00B370A6">
        <w:rPr>
          <w:rFonts w:eastAsia="Calibri" w:cs="Times New Roman"/>
          <w:color w:val="auto"/>
          <w:sz w:val="17"/>
          <w:szCs w:val="16"/>
        </w:rPr>
        <w:t>Figure compares</w:t>
      </w:r>
      <w:r w:rsidRPr="00B370A6">
        <w:rPr>
          <w:rFonts w:eastAsia="Calibri" w:cs="Times New Roman"/>
          <w:color w:val="auto"/>
          <w:sz w:val="17"/>
          <w:szCs w:val="16"/>
        </w:rPr>
        <w:t xml:space="preserve"> ACCUs</w:t>
      </w:r>
      <w:r w:rsidRPr="00B370A6" w:rsidDel="00530582">
        <w:rPr>
          <w:rFonts w:eastAsia="Calibri" w:cs="Times New Roman"/>
          <w:color w:val="auto"/>
          <w:sz w:val="17"/>
          <w:szCs w:val="16"/>
        </w:rPr>
        <w:t xml:space="preserve"> </w:t>
      </w:r>
      <w:r w:rsidR="00B2475D" w:rsidRPr="00B370A6">
        <w:rPr>
          <w:rFonts w:eastAsia="Calibri" w:cs="Times New Roman"/>
          <w:color w:val="auto"/>
          <w:sz w:val="17"/>
          <w:szCs w:val="16"/>
        </w:rPr>
        <w:t xml:space="preserve">delivered and remaining to be delivered from the </w:t>
      </w:r>
      <w:r w:rsidRPr="00B370A6">
        <w:rPr>
          <w:rFonts w:eastAsia="Calibri" w:cs="Times New Roman"/>
          <w:color w:val="auto"/>
          <w:sz w:val="17"/>
          <w:szCs w:val="16"/>
        </w:rPr>
        <w:t>38 largest contracts (97.3 million contracted) compared to 423 remaining contracts (94.7 million contracted).</w:t>
      </w:r>
    </w:p>
    <w:p w14:paraId="42BC34C8" w14:textId="77777777" w:rsidR="00B2475D" w:rsidRDefault="00B2475D" w:rsidP="004E59C6">
      <w:pPr>
        <w:pStyle w:val="FootnoteText"/>
      </w:pPr>
    </w:p>
    <w:p w14:paraId="1ADF16C1" w14:textId="65174E53" w:rsidR="000630C0" w:rsidRDefault="003249E8" w:rsidP="00192509">
      <w:r>
        <w:t>A</w:t>
      </w:r>
      <w:r w:rsidR="000630C0">
        <w:t xml:space="preserve">nalysis </w:t>
      </w:r>
      <w:r w:rsidRPr="00A2414C">
        <w:t>(Figures 8.</w:t>
      </w:r>
      <w:r w:rsidR="00530582">
        <w:t>2</w:t>
      </w:r>
      <w:r w:rsidRPr="00A2414C">
        <w:t xml:space="preserve"> and 8.</w:t>
      </w:r>
      <w:r w:rsidR="00530582">
        <w:t>3</w:t>
      </w:r>
      <w:r w:rsidRPr="00A2414C">
        <w:t>)</w:t>
      </w:r>
      <w:r>
        <w:t xml:space="preserve"> </w:t>
      </w:r>
      <w:r w:rsidR="000630C0">
        <w:t>of the 14 largest contract</w:t>
      </w:r>
      <w:r>
        <w:t>s</w:t>
      </w:r>
      <w:r w:rsidR="000D77E2">
        <w:t>, each for the delivery of 2.5 million ACCUs or more and</w:t>
      </w:r>
      <w:r>
        <w:t xml:space="preserve"> representing </w:t>
      </w:r>
      <w:r w:rsidR="000630C0">
        <w:t>a third of the total Government contracted abatement</w:t>
      </w:r>
      <w:r>
        <w:t xml:space="preserve"> (</w:t>
      </w:r>
      <w:r w:rsidR="000D77E2">
        <w:t>6</w:t>
      </w:r>
      <w:r>
        <w:t>2.9 million ACCUs)</w:t>
      </w:r>
      <w:r w:rsidR="000630C0">
        <w:t>, reveals:</w:t>
      </w:r>
    </w:p>
    <w:p w14:paraId="1C2367CC" w14:textId="6CF9D801" w:rsidR="000630C0" w:rsidRDefault="003249E8" w:rsidP="00FE3F8C">
      <w:pPr>
        <w:pStyle w:val="ListParagraph"/>
        <w:numPr>
          <w:ilvl w:val="0"/>
          <w:numId w:val="30"/>
        </w:numPr>
      </w:pPr>
      <w:r>
        <w:t>t</w:t>
      </w:r>
      <w:r w:rsidR="000630C0">
        <w:t>h</w:t>
      </w:r>
      <w:r>
        <w:t xml:space="preserve">is abatement is concentrated with a small number of </w:t>
      </w:r>
      <w:r w:rsidR="000630C0">
        <w:t>project proponents</w:t>
      </w:r>
      <w:r>
        <w:rPr>
          <w:rStyle w:val="FootnoteReference"/>
        </w:rPr>
        <w:footnoteReference w:id="14"/>
      </w:r>
    </w:p>
    <w:p w14:paraId="0DE87138" w14:textId="75047AB4" w:rsidR="000630C0" w:rsidRDefault="003249E8" w:rsidP="00FE3F8C">
      <w:pPr>
        <w:pStyle w:val="ListParagraph"/>
        <w:numPr>
          <w:ilvl w:val="0"/>
          <w:numId w:val="30"/>
        </w:numPr>
      </w:pPr>
      <w:r>
        <w:t xml:space="preserve">all these contracts were signed </w:t>
      </w:r>
      <w:r w:rsidR="00B10C7D">
        <w:t>between 2015 and 2017 (</w:t>
      </w:r>
      <w:r w:rsidR="0039350C">
        <w:t>a</w:t>
      </w:r>
      <w:r w:rsidR="00B10C7D">
        <w:t xml:space="preserve">uctions 1-5) </w:t>
      </w:r>
      <w:r>
        <w:t xml:space="preserve">at an average </w:t>
      </w:r>
      <w:r w:rsidRPr="00937E84">
        <w:t xml:space="preserve">price of </w:t>
      </w:r>
      <w:r>
        <w:t>$11.12</w:t>
      </w:r>
      <w:r w:rsidRPr="00937E84">
        <w:t xml:space="preserve"> per</w:t>
      </w:r>
      <w:r w:rsidR="00937E84">
        <w:t xml:space="preserve"> ACCU (compared to the average </w:t>
      </w:r>
      <w:r w:rsidR="00B2475D">
        <w:t>fixed price of</w:t>
      </w:r>
      <w:r w:rsidR="00937E84">
        <w:t xml:space="preserve"> </w:t>
      </w:r>
      <w:r w:rsidR="00937E84" w:rsidRPr="006C3876">
        <w:t>$16</w:t>
      </w:r>
      <w:r w:rsidR="00B10C7D" w:rsidRPr="006C3876">
        <w:t xml:space="preserve">.32 </w:t>
      </w:r>
      <w:r w:rsidR="00B2475D">
        <w:t>and $15.53</w:t>
      </w:r>
      <w:r w:rsidR="00B2475D" w:rsidRPr="00B2475D">
        <w:t xml:space="preserve"> </w:t>
      </w:r>
      <w:r w:rsidR="00B2475D">
        <w:t>for auctions 10 and 11 respectively)</w:t>
      </w:r>
    </w:p>
    <w:p w14:paraId="0D19181B" w14:textId="78AD565B" w:rsidR="003249E8" w:rsidRDefault="00B10C7D" w:rsidP="00FE3F8C">
      <w:pPr>
        <w:pStyle w:val="ListParagraph"/>
        <w:numPr>
          <w:ilvl w:val="0"/>
          <w:numId w:val="30"/>
        </w:numPr>
      </w:pPr>
      <w:r>
        <w:t>three</w:t>
      </w:r>
      <w:r w:rsidR="003249E8" w:rsidDel="00B10C7D">
        <w:t xml:space="preserve"> </w:t>
      </w:r>
      <w:r w:rsidR="003249E8">
        <w:t>of these contracts have been granted extensions beyond the sta</w:t>
      </w:r>
      <w:r w:rsidR="005575AF">
        <w:t>ndard</w:t>
      </w:r>
      <w:r w:rsidR="003249E8">
        <w:t xml:space="preserve"> 10 year contract </w:t>
      </w:r>
      <w:r w:rsidR="00036879" w:rsidRPr="006830AD">
        <w:t xml:space="preserve">delivery </w:t>
      </w:r>
      <w:r w:rsidR="003249E8">
        <w:t>period</w:t>
      </w:r>
      <w:r w:rsidR="00036879" w:rsidRPr="006830AD">
        <w:t>.</w:t>
      </w:r>
    </w:p>
    <w:p w14:paraId="3CD2BF52" w14:textId="3E3E3AB9" w:rsidR="003249E8" w:rsidRDefault="003249E8" w:rsidP="00FE3F8C">
      <w:pPr>
        <w:pStyle w:val="ListParagraph"/>
        <w:numPr>
          <w:ilvl w:val="0"/>
          <w:numId w:val="30"/>
        </w:numPr>
      </w:pPr>
      <w:r>
        <w:t xml:space="preserve">less than </w:t>
      </w:r>
      <w:r w:rsidR="000E3C8D">
        <w:t>10</w:t>
      </w:r>
      <w:r>
        <w:t xml:space="preserve"> per cent of abatement has been delivered</w:t>
      </w:r>
      <w:r w:rsidR="00FE65A3">
        <w:t xml:space="preserve"> (</w:t>
      </w:r>
      <w:r w:rsidR="000E3C8D">
        <w:t>with almost half the volume delivered from a single contract associated with</w:t>
      </w:r>
      <w:r w:rsidR="001C5903">
        <w:t xml:space="preserve"> waste </w:t>
      </w:r>
      <w:r w:rsidR="00FE65A3">
        <w:t>projects)</w:t>
      </w:r>
      <w:r>
        <w:t>, w</w:t>
      </w:r>
      <w:r w:rsidR="00600AED">
        <w:t>hile</w:t>
      </w:r>
      <w:r>
        <w:t xml:space="preserve"> five contracts representing 21 million ACCUs hav</w:t>
      </w:r>
      <w:r w:rsidR="00600AED">
        <w:t>e</w:t>
      </w:r>
      <w:r>
        <w:t xml:space="preserve"> not delivered anything to date. </w:t>
      </w:r>
    </w:p>
    <w:p w14:paraId="06EEFD2D" w14:textId="1FC738C7" w:rsidR="00B76E3E" w:rsidRDefault="00366F5A" w:rsidP="00366F5A">
      <w:pPr>
        <w:pStyle w:val="Figure"/>
      </w:pPr>
      <w:bookmarkStart w:id="3110" w:name="_Toc53130461"/>
      <w:r w:rsidRPr="00234211">
        <w:rPr>
          <w:caps w:val="0"/>
          <w:noProof/>
          <w:lang w:eastAsia="en-AU"/>
        </w:rPr>
        <w:drawing>
          <wp:anchor distT="0" distB="0" distL="114300" distR="114300" simplePos="0" relativeHeight="251658246" behindDoc="0" locked="0" layoutInCell="1" allowOverlap="1" wp14:anchorId="06AE5512" wp14:editId="016C7277">
            <wp:simplePos x="0" y="0"/>
            <wp:positionH relativeFrom="margin">
              <wp:posOffset>-113803</wp:posOffset>
            </wp:positionH>
            <wp:positionV relativeFrom="paragraph">
              <wp:posOffset>372110</wp:posOffset>
            </wp:positionV>
            <wp:extent cx="6038850" cy="4326255"/>
            <wp:effectExtent l="0" t="0" r="0" b="0"/>
            <wp:wrapTopAndBottom/>
            <wp:docPr id="7" name="Picture 7" descr="Figure 8.2 is a stacked bar chart that shows the length of the 14 largest contracts. The vertical axis lists the 14 largest contracts and the horizontal axis is time in years from 2015 to 2033. The chart shows the longest contract is 15 years (including conditions precedent). A further 9 contracts are longer than 10 years; three are 10 years in length and the shortest is 7 years." title="Figure 8.2: Contract delivery schedules, conditions precedent and extensions: largest 14 contr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8850" cy="4326255"/>
                    </a:xfrm>
                    <a:prstGeom prst="rect">
                      <a:avLst/>
                    </a:prstGeom>
                    <a:noFill/>
                  </pic:spPr>
                </pic:pic>
              </a:graphicData>
            </a:graphic>
            <wp14:sizeRelH relativeFrom="page">
              <wp14:pctWidth>0</wp14:pctWidth>
            </wp14:sizeRelH>
            <wp14:sizeRelV relativeFrom="page">
              <wp14:pctHeight>0</wp14:pctHeight>
            </wp14:sizeRelV>
          </wp:anchor>
        </w:drawing>
      </w:r>
      <w:r w:rsidR="00A84942" w:rsidRPr="00234211">
        <w:t>Figure 8.</w:t>
      </w:r>
      <w:r w:rsidR="006207E3" w:rsidRPr="00234211">
        <w:t>2</w:t>
      </w:r>
      <w:r w:rsidR="00A84942">
        <w:t xml:space="preserve">: </w:t>
      </w:r>
      <w:r w:rsidR="00A84942" w:rsidRPr="00234211">
        <w:t>Contract delivery schedules</w:t>
      </w:r>
      <w:r w:rsidR="00D52F76" w:rsidRPr="00234211">
        <w:t>, conditions precedent</w:t>
      </w:r>
      <w:r w:rsidR="0031681A">
        <w:t xml:space="preserve"> and extensions: </w:t>
      </w:r>
      <w:r w:rsidR="00A2414C" w:rsidRPr="00234211">
        <w:t>largest</w:t>
      </w:r>
      <w:r w:rsidR="00A84942" w:rsidRPr="00234211">
        <w:t xml:space="preserve"> 14 contract</w:t>
      </w:r>
      <w:r w:rsidR="008A61FE" w:rsidRPr="00234211">
        <w:t>s</w:t>
      </w:r>
      <w:bookmarkEnd w:id="3110"/>
    </w:p>
    <w:p w14:paraId="315874D5" w14:textId="31F21269" w:rsidR="00A84942" w:rsidRDefault="00A84942" w:rsidP="00192509"/>
    <w:p w14:paraId="449E4174" w14:textId="175AED07" w:rsidR="00A84942" w:rsidRDefault="00366F5A" w:rsidP="00366F5A">
      <w:pPr>
        <w:pStyle w:val="Figure"/>
      </w:pPr>
      <w:bookmarkStart w:id="3111" w:name="_Toc53130462"/>
      <w:bookmarkEnd w:id="3053"/>
      <w:bookmarkEnd w:id="3054"/>
      <w:bookmarkEnd w:id="3055"/>
      <w:bookmarkEnd w:id="3056"/>
      <w:bookmarkEnd w:id="3057"/>
      <w:bookmarkEnd w:id="3058"/>
      <w:bookmarkEnd w:id="3059"/>
      <w:bookmarkEnd w:id="3060"/>
      <w:bookmarkEnd w:id="3061"/>
      <w:bookmarkEnd w:id="3062"/>
      <w:r w:rsidRPr="00234211">
        <w:rPr>
          <w:noProof/>
          <w:lang w:eastAsia="en-AU"/>
        </w:rPr>
        <w:drawing>
          <wp:anchor distT="0" distB="0" distL="114300" distR="114300" simplePos="0" relativeHeight="251658248" behindDoc="0" locked="0" layoutInCell="1" allowOverlap="1" wp14:anchorId="0BF4EE8C" wp14:editId="6ACCA874">
            <wp:simplePos x="0" y="0"/>
            <wp:positionH relativeFrom="margin">
              <wp:posOffset>0</wp:posOffset>
            </wp:positionH>
            <wp:positionV relativeFrom="paragraph">
              <wp:posOffset>424733</wp:posOffset>
            </wp:positionV>
            <wp:extent cx="5773420" cy="5730875"/>
            <wp:effectExtent l="0" t="0" r="0" b="3175"/>
            <wp:wrapTopAndBottom/>
            <wp:docPr id="31" name="Picture 31" descr="Figure 8.3 is a stacked bar chart that shows the carbon abatement delivered and remaining for the 14 largest contracts. It shows that the contract that has delivered the most ACCUs to the Government has 27 per cent of its volume still to be delivered. The remaining 13 contracts have at least 64 per cent of abatement still to be delivered, including 5 contracts that are yet to deliver any abatement. " title="Figure 8.3: Carbon abatement delivered and remaining (ACCUs): largest 14 contr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3420" cy="5730875"/>
                    </a:xfrm>
                    <a:prstGeom prst="rect">
                      <a:avLst/>
                    </a:prstGeom>
                    <a:noFill/>
                  </pic:spPr>
                </pic:pic>
              </a:graphicData>
            </a:graphic>
          </wp:anchor>
        </w:drawing>
      </w:r>
      <w:r w:rsidR="00A84942" w:rsidRPr="00234211">
        <w:t>Figure 8.</w:t>
      </w:r>
      <w:r w:rsidR="006207E3" w:rsidRPr="00234211">
        <w:t>3</w:t>
      </w:r>
      <w:r w:rsidR="00A84942" w:rsidRPr="00234211">
        <w:t>: Carbon abatement deli</w:t>
      </w:r>
      <w:r w:rsidR="0031681A">
        <w:t xml:space="preserve">vered and remaining (ACCUs): </w:t>
      </w:r>
      <w:r w:rsidR="00A2414C" w:rsidRPr="00234211">
        <w:t>largest</w:t>
      </w:r>
      <w:r w:rsidR="00A84942" w:rsidRPr="00234211">
        <w:t xml:space="preserve"> 14 contracts</w:t>
      </w:r>
      <w:bookmarkEnd w:id="3111"/>
    </w:p>
    <w:p w14:paraId="4281E14B" w14:textId="7FF42E22" w:rsidR="00A84942" w:rsidRDefault="00A84942" w:rsidP="00BA2778"/>
    <w:p w14:paraId="04E138DB" w14:textId="08C210C9" w:rsidR="00BA2778" w:rsidRDefault="00192509" w:rsidP="00BA2778">
      <w:r>
        <w:t xml:space="preserve">The Authority understands </w:t>
      </w:r>
      <w:r w:rsidR="000C2471">
        <w:t xml:space="preserve">there are several reasons for the </w:t>
      </w:r>
      <w:r w:rsidR="00A871F3">
        <w:t xml:space="preserve">apparent </w:t>
      </w:r>
      <w:r w:rsidR="000C2471">
        <w:t>lag in abatement being delivered among the</w:t>
      </w:r>
      <w:r w:rsidR="0065264F">
        <w:t>se</w:t>
      </w:r>
      <w:r w:rsidR="000C2471">
        <w:t xml:space="preserve"> large </w:t>
      </w:r>
      <w:r w:rsidR="00D52D9F">
        <w:t xml:space="preserve">fixed delivery </w:t>
      </w:r>
      <w:r w:rsidR="000C2471">
        <w:t xml:space="preserve">contracts. Some </w:t>
      </w:r>
      <w:r>
        <w:t>carbon service providers have established, or are establishing, new projects to meet the delivery requirements</w:t>
      </w:r>
      <w:r w:rsidR="000C2471">
        <w:t xml:space="preserve"> of large contracts</w:t>
      </w:r>
      <w:r>
        <w:t xml:space="preserve">. </w:t>
      </w:r>
      <w:r w:rsidR="00C76E56">
        <w:t>There is s</w:t>
      </w:r>
      <w:r>
        <w:t xml:space="preserve">ome evidence of this </w:t>
      </w:r>
      <w:r w:rsidR="00C76E56">
        <w:t xml:space="preserve">through the </w:t>
      </w:r>
      <w:r w:rsidR="00E62F76">
        <w:t xml:space="preserve">registration of </w:t>
      </w:r>
      <w:r w:rsidR="000E3C8D">
        <w:t>a number of</w:t>
      </w:r>
      <w:r w:rsidRPr="003275CD">
        <w:t xml:space="preserve"> </w:t>
      </w:r>
      <w:r w:rsidR="00A871F3" w:rsidRPr="003275CD">
        <w:t>human</w:t>
      </w:r>
      <w:r w:rsidR="00A871F3">
        <w:t xml:space="preserve">-induced regeneration (HIR) </w:t>
      </w:r>
      <w:r>
        <w:t xml:space="preserve">projects </w:t>
      </w:r>
      <w:r w:rsidR="006D1E3B">
        <w:t xml:space="preserve">and </w:t>
      </w:r>
      <w:r w:rsidR="006D1E3B" w:rsidRPr="003275CD">
        <w:t>soil</w:t>
      </w:r>
      <w:r w:rsidR="006D1E3B">
        <w:t xml:space="preserve"> carbon projects </w:t>
      </w:r>
      <w:r w:rsidR="00A871F3">
        <w:t xml:space="preserve">since </w:t>
      </w:r>
      <w:r w:rsidR="003275CD">
        <w:t xml:space="preserve">May </w:t>
      </w:r>
      <w:r w:rsidR="00A871F3">
        <w:t xml:space="preserve">2017 </w:t>
      </w:r>
      <w:r w:rsidR="003275CD">
        <w:t xml:space="preserve">(following auction 5) </w:t>
      </w:r>
      <w:r w:rsidR="00FC5120" w:rsidRPr="003F50C7">
        <w:t>which do not have contracts</w:t>
      </w:r>
      <w:r w:rsidR="00912373" w:rsidRPr="003F50C7">
        <w:t xml:space="preserve"> (</w:t>
      </w:r>
      <w:r w:rsidR="00331920" w:rsidRPr="009B65DB">
        <w:rPr>
          <w:rFonts w:eastAsia="Times New Roman" w:cs="Arial"/>
          <w:color w:val="000000" w:themeColor="text1"/>
          <w:szCs w:val="20"/>
          <w:lang w:eastAsia="en-AU"/>
        </w:rPr>
        <w:t>CER 2020e</w:t>
      </w:r>
      <w:r w:rsidR="00912373" w:rsidRPr="003F50C7">
        <w:t>)</w:t>
      </w:r>
      <w:r w:rsidRPr="003F50C7">
        <w:t>.</w:t>
      </w:r>
      <w:r w:rsidRPr="003F50C7" w:rsidDel="003F50C7">
        <w:t xml:space="preserve"> </w:t>
      </w:r>
      <w:r w:rsidR="00997505">
        <w:t>Unless abatement from the contracted projects</w:t>
      </w:r>
      <w:r w:rsidR="00BD7F8D">
        <w:t xml:space="preserve">, and </w:t>
      </w:r>
      <w:r w:rsidR="00FC121E">
        <w:t xml:space="preserve">these </w:t>
      </w:r>
      <w:r w:rsidR="00BD7F8D">
        <w:t>new projects</w:t>
      </w:r>
      <w:r w:rsidR="00997505">
        <w:t xml:space="preserve"> increases, contracts </w:t>
      </w:r>
      <w:r w:rsidR="00BD7F8D">
        <w:t>w</w:t>
      </w:r>
      <w:r w:rsidR="00FC121E">
        <w:t>ill</w:t>
      </w:r>
      <w:r w:rsidR="00997505">
        <w:t xml:space="preserve"> </w:t>
      </w:r>
      <w:r w:rsidR="00BD7F8D">
        <w:t>need to</w:t>
      </w:r>
      <w:r w:rsidR="00997505">
        <w:t xml:space="preserve"> be met using offsets purchased from other projects on t</w:t>
      </w:r>
      <w:r>
        <w:t>he secondary market</w:t>
      </w:r>
      <w:r w:rsidR="00BA2778">
        <w:t>.</w:t>
      </w:r>
    </w:p>
    <w:p w14:paraId="3E5703E4" w14:textId="26B7F9B0" w:rsidR="00B544A1" w:rsidRDefault="00B544A1" w:rsidP="00B544A1">
      <w:r>
        <w:t xml:space="preserve">The secondary market plays an important role in helping project proponents to meet </w:t>
      </w:r>
      <w:r w:rsidR="00D52D9F">
        <w:t xml:space="preserve">fixed </w:t>
      </w:r>
      <w:r>
        <w:t>contract delivery obligations. The Authority notes that several submissions asked for the timely publication of information about holdings of ACCUs for prospective purchasers and a regular statement of opportunities to signal when new investment is needed (AIGN, Woodside</w:t>
      </w:r>
      <w:r w:rsidR="00912373">
        <w:t xml:space="preserve"> submissions</w:t>
      </w:r>
      <w:r>
        <w:t xml:space="preserve">). The </w:t>
      </w:r>
      <w:r w:rsidR="00747870">
        <w:t>Regulator’s June 2020 quarterly market report included information on ACCU holdings for the first time</w:t>
      </w:r>
      <w:r w:rsidR="00061C16">
        <w:t>,</w:t>
      </w:r>
      <w:r w:rsidR="00AC5340">
        <w:t xml:space="preserve"> which indicated the </w:t>
      </w:r>
      <w:r w:rsidR="009E613E">
        <w:t xml:space="preserve">secondary </w:t>
      </w:r>
      <w:r w:rsidR="00AC5340">
        <w:t xml:space="preserve">market </w:t>
      </w:r>
      <w:r w:rsidR="00061C16">
        <w:t xml:space="preserve">is </w:t>
      </w:r>
      <w:r w:rsidR="00AC5340">
        <w:t>becom</w:t>
      </w:r>
      <w:r w:rsidR="00061C16">
        <w:t>ing</w:t>
      </w:r>
      <w:r w:rsidR="00AC5340" w:rsidDel="00061C16">
        <w:t xml:space="preserve"> </w:t>
      </w:r>
      <w:r w:rsidR="00D52D9F">
        <w:t xml:space="preserve">more </w:t>
      </w:r>
      <w:r w:rsidR="00AC5340">
        <w:t xml:space="preserve">liquid, with 13 per cent of ACCUs being held by intermediaries </w:t>
      </w:r>
      <w:r w:rsidR="00B04F39">
        <w:t xml:space="preserve">in June 2020 compared to 0.3 per cent of </w:t>
      </w:r>
      <w:r w:rsidR="009E613E">
        <w:t xml:space="preserve">ACCUs at </w:t>
      </w:r>
      <w:r w:rsidR="00B04F39">
        <w:t>the start of 2018 (</w:t>
      </w:r>
      <w:r w:rsidR="005F2EF4" w:rsidRPr="008C60E5">
        <w:t>CER 2020</w:t>
      </w:r>
      <w:r w:rsidR="005F2EF4">
        <w:t>f</w:t>
      </w:r>
      <w:r w:rsidR="00B04F39">
        <w:t>).</w:t>
      </w:r>
      <w:r w:rsidR="00747870" w:rsidDel="00B04F39">
        <w:t xml:space="preserve"> </w:t>
      </w:r>
      <w:r>
        <w:t xml:space="preserve">The Authority agrees the risk of an ACCU shortfall could be further reduced if </w:t>
      </w:r>
      <w:r w:rsidR="00DF6DF8">
        <w:t xml:space="preserve">this type of information </w:t>
      </w:r>
      <w:r w:rsidR="005575AF">
        <w:t xml:space="preserve">continues to be </w:t>
      </w:r>
      <w:r w:rsidR="00DF6DF8">
        <w:t xml:space="preserve">shared </w:t>
      </w:r>
      <w:r w:rsidR="005575AF">
        <w:t xml:space="preserve">in the future </w:t>
      </w:r>
      <w:r w:rsidR="00DF6DF8">
        <w:t xml:space="preserve">to facilitate a more transparent and liquid </w:t>
      </w:r>
      <w:r>
        <w:t xml:space="preserve">secondary market. </w:t>
      </w:r>
    </w:p>
    <w:p w14:paraId="2ED091D2" w14:textId="25B266E0" w:rsidR="006C3876" w:rsidRPr="00234211" w:rsidRDefault="006C3876" w:rsidP="006E168E">
      <w:pPr>
        <w:pStyle w:val="Heading3"/>
        <w:rPr>
          <w:i/>
          <w:color w:val="0070AE" w:themeColor="accent2" w:themeTint="BF"/>
        </w:rPr>
      </w:pPr>
      <w:r w:rsidRPr="00234211">
        <w:rPr>
          <w:i/>
          <w:color w:val="0070AE" w:themeColor="accent2" w:themeTint="BF"/>
        </w:rPr>
        <w:t>Effect of option</w:t>
      </w:r>
      <w:r w:rsidR="004450E0" w:rsidRPr="00234211">
        <w:rPr>
          <w:i/>
          <w:color w:val="0070AE" w:themeColor="accent2" w:themeTint="BF"/>
        </w:rPr>
        <w:t>al delivery</w:t>
      </w:r>
      <w:r w:rsidRPr="00234211">
        <w:rPr>
          <w:i/>
          <w:color w:val="0070AE" w:themeColor="accent2" w:themeTint="BF"/>
        </w:rPr>
        <w:t xml:space="preserve"> contracts on fixed</w:t>
      </w:r>
      <w:r w:rsidR="00B370A6" w:rsidRPr="00234211">
        <w:rPr>
          <w:i/>
          <w:color w:val="0070AE" w:themeColor="accent2" w:themeTint="BF"/>
        </w:rPr>
        <w:t xml:space="preserve"> </w:t>
      </w:r>
      <w:r w:rsidRPr="00234211">
        <w:rPr>
          <w:i/>
          <w:color w:val="0070AE" w:themeColor="accent2" w:themeTint="BF"/>
        </w:rPr>
        <w:t xml:space="preserve">contract delivery </w:t>
      </w:r>
    </w:p>
    <w:p w14:paraId="481AA7AB" w14:textId="473890DB" w:rsidR="00853BA6" w:rsidRDefault="004450E0" w:rsidP="00CA452A">
      <w:r>
        <w:t>In March 2020</w:t>
      </w:r>
      <w:r w:rsidR="00C9325F">
        <w:t>,</w:t>
      </w:r>
      <w:r>
        <w:t xml:space="preserve"> the Regulator introduced optional delivery contracts. </w:t>
      </w:r>
      <w:r w:rsidR="00853BA6">
        <w:t>Unlike the standard fixed</w:t>
      </w:r>
      <w:r w:rsidR="00B370A6">
        <w:t xml:space="preserve"> </w:t>
      </w:r>
      <w:r w:rsidR="00853BA6">
        <w:t>delivery contracts, option</w:t>
      </w:r>
      <w:r w:rsidR="00E064A9">
        <w:t>al delivery</w:t>
      </w:r>
      <w:r w:rsidR="00853BA6">
        <w:t xml:space="preserve"> contracts allow project proponents to deliver abatement on the secondary market if the price is more favourable than what is agreed in the abatement contract with the </w:t>
      </w:r>
      <w:r w:rsidR="00D52D9F">
        <w:t>Government</w:t>
      </w:r>
      <w:r w:rsidR="00B370A6">
        <w:t>.</w:t>
      </w:r>
      <w:r w:rsidR="00853BA6">
        <w:t xml:space="preserve"> Unlike fixed</w:t>
      </w:r>
      <w:r w:rsidR="00B370A6">
        <w:t xml:space="preserve"> </w:t>
      </w:r>
      <w:r w:rsidR="00853BA6">
        <w:t xml:space="preserve">delivery contracts, the project proponent must deliver ACCUs from a single identified ERF project rather than </w:t>
      </w:r>
      <w:r w:rsidR="00D52D9F">
        <w:t>being</w:t>
      </w:r>
      <w:r w:rsidR="00853BA6">
        <w:t xml:space="preserve"> able to deliver ACCUs from any ERF project</w:t>
      </w:r>
      <w:r w:rsidR="00D52D9F">
        <w:t xml:space="preserve"> sourced from the secondary market</w:t>
      </w:r>
      <w:r w:rsidR="00853BA6">
        <w:t>. The option</w:t>
      </w:r>
      <w:r w:rsidR="00E064A9">
        <w:t>al delivery</w:t>
      </w:r>
      <w:r w:rsidR="00853BA6">
        <w:t xml:space="preserve"> contract also enables the total outstanding quantity </w:t>
      </w:r>
      <w:r w:rsidR="005575AF">
        <w:t>to be reduced</w:t>
      </w:r>
      <w:r w:rsidR="00853BA6">
        <w:t xml:space="preserve"> where a scheduled delivery is not made (Table 2.1, Chapter 2). </w:t>
      </w:r>
    </w:p>
    <w:p w14:paraId="54037D9E" w14:textId="7FC39156" w:rsidR="006E168E" w:rsidRDefault="00810A7B" w:rsidP="00CA452A">
      <w:r>
        <w:t>S</w:t>
      </w:r>
      <w:r w:rsidRPr="006C3876">
        <w:t>takeholders support</w:t>
      </w:r>
      <w:r w:rsidR="00853BA6">
        <w:t xml:space="preserve"> the </w:t>
      </w:r>
      <w:r w:rsidRPr="006C3876">
        <w:t>new</w:t>
      </w:r>
      <w:r w:rsidR="00853BA6">
        <w:t xml:space="preserve"> optional delivery </w:t>
      </w:r>
      <w:r w:rsidRPr="006C3876">
        <w:t>contract (CMI, ICIN, Bioenergy Australia submissions)</w:t>
      </w:r>
      <w:r>
        <w:t xml:space="preserve"> and the </w:t>
      </w:r>
      <w:r w:rsidR="00853BA6">
        <w:t>market has</w:t>
      </w:r>
      <w:r>
        <w:t xml:space="preserve"> responded positively</w:t>
      </w:r>
      <w:r w:rsidR="00853BA6">
        <w:t>. At the 11</w:t>
      </w:r>
      <w:r w:rsidR="00853BA6" w:rsidRPr="006E168E">
        <w:rPr>
          <w:vertAlign w:val="superscript"/>
        </w:rPr>
        <w:t>th</w:t>
      </w:r>
      <w:r w:rsidR="00853BA6">
        <w:t xml:space="preserve"> auction held in September 2020, </w:t>
      </w:r>
      <w:r w:rsidR="0046492B">
        <w:t>t</w:t>
      </w:r>
      <w:r w:rsidR="008103D1">
        <w:t xml:space="preserve">here were 35 contracts awarded </w:t>
      </w:r>
      <w:r w:rsidR="006C03A7">
        <w:t>to</w:t>
      </w:r>
      <w:r w:rsidR="008103D1">
        <w:t xml:space="preserve"> 33 projects (two projects secured both an optional and fixed delivery contract): </w:t>
      </w:r>
      <w:r w:rsidR="00FC121E">
        <w:t>Twenty-nine of the contracts</w:t>
      </w:r>
      <w:r w:rsidR="008103D1">
        <w:t xml:space="preserve"> were optional delivery contacts for 6.3 million tonnes at an average price of $15.77 per tonne, and 6 were fixed delivery contacts for 0.7 million tonnes at an average price of $15.53 per tonne</w:t>
      </w:r>
      <w:r w:rsidR="006E3E0F">
        <w:t xml:space="preserve"> (</w:t>
      </w:r>
      <w:r w:rsidR="00996B9D" w:rsidRPr="00BE6F26">
        <w:t>CER 2020</w:t>
      </w:r>
      <w:r w:rsidR="00996B9D">
        <w:t>d</w:t>
      </w:r>
      <w:r w:rsidR="006E3E0F" w:rsidRPr="00463BB2">
        <w:t>)</w:t>
      </w:r>
      <w:r w:rsidR="008103D1" w:rsidRPr="005E1241">
        <w:t>.</w:t>
      </w:r>
      <w:r>
        <w:t xml:space="preserve"> </w:t>
      </w:r>
    </w:p>
    <w:p w14:paraId="654151D5" w14:textId="4636D96C" w:rsidR="00810A7B" w:rsidRDefault="007C3EDB" w:rsidP="00CA452A">
      <w:r>
        <w:t>T</w:t>
      </w:r>
      <w:r w:rsidR="00A776C1">
        <w:t>he</w:t>
      </w:r>
      <w:r w:rsidR="00A776C1" w:rsidDel="00C94490">
        <w:t xml:space="preserve"> </w:t>
      </w:r>
      <w:r w:rsidR="00C94490">
        <w:t>option</w:t>
      </w:r>
      <w:r w:rsidR="00260B60">
        <w:t>al</w:t>
      </w:r>
      <w:r w:rsidR="00C94490">
        <w:t xml:space="preserve"> </w:t>
      </w:r>
      <w:r w:rsidR="00A776C1">
        <w:t>contract</w:t>
      </w:r>
      <w:r>
        <w:t xml:space="preserve"> </w:t>
      </w:r>
      <w:r w:rsidR="00A776C1">
        <w:t>seem</w:t>
      </w:r>
      <w:r w:rsidR="00810A7B">
        <w:t>s</w:t>
      </w:r>
      <w:r w:rsidR="00A776C1">
        <w:t xml:space="preserve"> to have encouraged the</w:t>
      </w:r>
      <w:r w:rsidR="00810A7B">
        <w:t xml:space="preserve"> increased</w:t>
      </w:r>
      <w:r w:rsidR="00A776C1">
        <w:t xml:space="preserve"> registration of new projects for </w:t>
      </w:r>
      <w:r w:rsidR="0039350C">
        <w:t>a</w:t>
      </w:r>
      <w:r w:rsidR="00A776C1">
        <w:t xml:space="preserve">uction 11, possibly due to their being no downside to a project proponent who enters into an </w:t>
      </w:r>
      <w:r w:rsidR="00C94490">
        <w:t>option</w:t>
      </w:r>
      <w:r w:rsidR="00E064A9">
        <w:t>al delivery</w:t>
      </w:r>
      <w:r w:rsidR="00C94490">
        <w:t xml:space="preserve"> </w:t>
      </w:r>
      <w:r w:rsidR="00A776C1">
        <w:t xml:space="preserve">contract </w:t>
      </w:r>
      <w:r>
        <w:t xml:space="preserve">as it </w:t>
      </w:r>
      <w:r w:rsidR="00A776C1">
        <w:t xml:space="preserve">provides protection against downside risk </w:t>
      </w:r>
      <w:r>
        <w:t xml:space="preserve">without locking in an obligation to </w:t>
      </w:r>
      <w:r w:rsidRPr="00416462">
        <w:t>sell</w:t>
      </w:r>
      <w:r w:rsidRPr="00416462" w:rsidDel="00B711CE">
        <w:t xml:space="preserve"> </w:t>
      </w:r>
      <w:r w:rsidR="006C3876">
        <w:t>at the fixed contract price</w:t>
      </w:r>
      <w:r w:rsidR="00A776C1" w:rsidRPr="00416462">
        <w:t>.</w:t>
      </w:r>
      <w:r w:rsidR="00A776C1">
        <w:t xml:space="preserve"> </w:t>
      </w:r>
      <w:r w:rsidR="005D270F">
        <w:t>In the future, if enough ERF projects are associated with option</w:t>
      </w:r>
      <w:r w:rsidR="00851C1F">
        <w:t>al</w:t>
      </w:r>
      <w:r w:rsidR="005D270F">
        <w:t xml:space="preserve"> contracts, it may introduce a </w:t>
      </w:r>
      <w:r w:rsidR="003B3809">
        <w:t>de facto</w:t>
      </w:r>
      <w:r w:rsidR="005D270F" w:rsidDel="003B3809">
        <w:t xml:space="preserve"> </w:t>
      </w:r>
      <w:r w:rsidR="005D270F" w:rsidRPr="001119E3">
        <w:t>floor price,</w:t>
      </w:r>
      <w:r w:rsidR="005D270F">
        <w:t xml:space="preserve"> below which sellers would</w:t>
      </w:r>
      <w:r w:rsidR="00E0027C">
        <w:t xml:space="preserve"> </w:t>
      </w:r>
      <w:r w:rsidR="005D270F">
        <w:t>n</w:t>
      </w:r>
      <w:r w:rsidR="00E0027C">
        <w:t>o</w:t>
      </w:r>
      <w:r w:rsidR="005D270F">
        <w:t>t seek to sell on the secondary market</w:t>
      </w:r>
      <w:r w:rsidR="003B3809">
        <w:t>.</w:t>
      </w:r>
      <w:r w:rsidR="00B711CE">
        <w:t xml:space="preserve"> </w:t>
      </w:r>
      <w:r w:rsidR="005D7368">
        <w:t xml:space="preserve"> </w:t>
      </w:r>
    </w:p>
    <w:p w14:paraId="75C95970" w14:textId="4A4C96AF" w:rsidR="00CA452A" w:rsidRPr="00377EE8" w:rsidRDefault="007C3EDB" w:rsidP="00CA452A">
      <w:pPr>
        <w:rPr>
          <w:highlight w:val="yellow"/>
        </w:rPr>
      </w:pPr>
      <w:r>
        <w:t>Option</w:t>
      </w:r>
      <w:r w:rsidR="00260B60">
        <w:t>al</w:t>
      </w:r>
      <w:r>
        <w:t xml:space="preserve"> contracts</w:t>
      </w:r>
      <w:r w:rsidR="005D7368">
        <w:t xml:space="preserve"> </w:t>
      </w:r>
      <w:r w:rsidR="005D270F" w:rsidDel="005D7368">
        <w:t>may</w:t>
      </w:r>
      <w:r w:rsidR="00247454">
        <w:t xml:space="preserve"> (if the price differential remains)</w:t>
      </w:r>
      <w:r w:rsidR="005D270F" w:rsidDel="005D7368">
        <w:t xml:space="preserve"> </w:t>
      </w:r>
      <w:r w:rsidR="005D270F">
        <w:t xml:space="preserve">make it harder for </w:t>
      </w:r>
      <w:r w:rsidR="00947926">
        <w:t xml:space="preserve">existing </w:t>
      </w:r>
      <w:r w:rsidR="005D270F">
        <w:t>fixed</w:t>
      </w:r>
      <w:r w:rsidR="00B370A6">
        <w:t xml:space="preserve"> </w:t>
      </w:r>
      <w:r w:rsidR="005D270F">
        <w:t xml:space="preserve">delivery contracts </w:t>
      </w:r>
      <w:r w:rsidR="005D7368">
        <w:t>to profitably meet the delivery requirements of their contracts if they need to p</w:t>
      </w:r>
      <w:r w:rsidR="00A776C1">
        <w:t>urchase</w:t>
      </w:r>
      <w:r w:rsidR="005D7368">
        <w:t xml:space="preserve"> ACCUs on the secondary market. </w:t>
      </w:r>
      <w:r w:rsidR="00DC5CE5">
        <w:t xml:space="preserve">The price difference </w:t>
      </w:r>
      <w:r w:rsidR="00810A7B">
        <w:t>between older fixed</w:t>
      </w:r>
      <w:r w:rsidR="00B370A6">
        <w:t xml:space="preserve"> </w:t>
      </w:r>
      <w:r w:rsidR="00810A7B">
        <w:t>delivery contracts and the current ACCU price</w:t>
      </w:r>
      <w:r w:rsidR="00DC5CE5">
        <w:t xml:space="preserve"> </w:t>
      </w:r>
      <w:r w:rsidR="00FC121E">
        <w:t xml:space="preserve">raises the possibility </w:t>
      </w:r>
      <w:r w:rsidR="00DC5CE5">
        <w:t xml:space="preserve">that </w:t>
      </w:r>
      <w:r w:rsidR="001119E3">
        <w:t>existing</w:t>
      </w:r>
      <w:r w:rsidR="00DC5CE5">
        <w:t xml:space="preserve"> </w:t>
      </w:r>
      <w:r w:rsidR="00810A7B">
        <w:t>fixed</w:t>
      </w:r>
      <w:r w:rsidR="00B370A6">
        <w:t xml:space="preserve"> </w:t>
      </w:r>
      <w:r w:rsidR="00810A7B">
        <w:t>delivery</w:t>
      </w:r>
      <w:r w:rsidR="00DC5CE5">
        <w:t xml:space="preserve"> contract holders may seek to enter into agreements with some landholders </w:t>
      </w:r>
      <w:r w:rsidR="001130C1">
        <w:t xml:space="preserve">to purchase ACCUs </w:t>
      </w:r>
      <w:r w:rsidR="00DC5CE5">
        <w:t>below the current market price to enable them to fill their Government contract. In section</w:t>
      </w:r>
      <w:r w:rsidR="00377EE8">
        <w:t xml:space="preserve"> 5.5</w:t>
      </w:r>
      <w:r w:rsidR="00DC5CE5">
        <w:t>.of this report the Authority discusse</w:t>
      </w:r>
      <w:r w:rsidR="00A852A9">
        <w:t>s</w:t>
      </w:r>
      <w:r w:rsidR="00DC5CE5">
        <w:t xml:space="preserve"> the importance of industry self-regulation, through the industry code of conduct, to help </w:t>
      </w:r>
      <w:r w:rsidR="00FC121E">
        <w:t>ensure that all parties to an ERF project are fully informed</w:t>
      </w:r>
      <w:r w:rsidR="00DC5CE5">
        <w:t xml:space="preserve">. </w:t>
      </w:r>
      <w:r w:rsidR="001130C1">
        <w:t xml:space="preserve">The code requires </w:t>
      </w:r>
      <w:r w:rsidR="006B41D0">
        <w:t xml:space="preserve">signatories to effectively communicate with clients and </w:t>
      </w:r>
      <w:r w:rsidR="001130C1">
        <w:t>disclos</w:t>
      </w:r>
      <w:r w:rsidR="006B41D0">
        <w:t xml:space="preserve">e relevant </w:t>
      </w:r>
      <w:r w:rsidR="001130C1">
        <w:t>information</w:t>
      </w:r>
      <w:r w:rsidR="006B41D0">
        <w:t xml:space="preserve"> </w:t>
      </w:r>
      <w:r w:rsidR="00D52D9F">
        <w:t>including pricing</w:t>
      </w:r>
      <w:r w:rsidR="006B41D0">
        <w:t xml:space="preserve"> (</w:t>
      </w:r>
      <w:r w:rsidR="006B41D0" w:rsidRPr="005C77DF">
        <w:t>CMI 2018</w:t>
      </w:r>
      <w:r w:rsidR="006B41D0">
        <w:t>)</w:t>
      </w:r>
      <w:r w:rsidR="001130C1">
        <w:t xml:space="preserve">. </w:t>
      </w:r>
    </w:p>
    <w:p w14:paraId="243ACBBE" w14:textId="7F71C313" w:rsidR="00B40411" w:rsidRPr="006C3876" w:rsidRDefault="00B40411" w:rsidP="00CA452A">
      <w:r w:rsidRPr="006C3876">
        <w:t xml:space="preserve">Some </w:t>
      </w:r>
      <w:r w:rsidR="00810A7B">
        <w:t>stakeholders have</w:t>
      </w:r>
      <w:r w:rsidRPr="006C3876">
        <w:t xml:space="preserve"> asked for existing fixed</w:t>
      </w:r>
      <w:r w:rsidR="00B370A6">
        <w:t xml:space="preserve"> </w:t>
      </w:r>
      <w:r w:rsidRPr="006C3876">
        <w:t>delivery contract holders to be able to transition to an option</w:t>
      </w:r>
      <w:r w:rsidR="00E064A9">
        <w:t>al delivery</w:t>
      </w:r>
      <w:r w:rsidRPr="006C3876">
        <w:t xml:space="preserve"> contract in order to maximise opportunities (</w:t>
      </w:r>
      <w:r w:rsidR="00F25712">
        <w:t xml:space="preserve">e.g. </w:t>
      </w:r>
      <w:r w:rsidRPr="006C3876">
        <w:t>ICIN</w:t>
      </w:r>
      <w:r w:rsidR="001D72DA">
        <w:t>, ALFA</w:t>
      </w:r>
      <w:r w:rsidRPr="006C3876">
        <w:t xml:space="preserve"> submission</w:t>
      </w:r>
      <w:r w:rsidR="001D72DA">
        <w:t>s</w:t>
      </w:r>
      <w:r w:rsidRPr="006C3876">
        <w:t>). However,</w:t>
      </w:r>
      <w:r w:rsidR="00F25712">
        <w:t xml:space="preserve"> on balance, </w:t>
      </w:r>
      <w:r w:rsidRPr="006C3876">
        <w:t>the Authority does not support this approach</w:t>
      </w:r>
      <w:r w:rsidR="008D426F" w:rsidRPr="006C3876">
        <w:t xml:space="preserve"> because the two types of contract are not interchangeable</w:t>
      </w:r>
      <w:r w:rsidR="00310503" w:rsidRPr="006C3876">
        <w:t xml:space="preserve"> – t</w:t>
      </w:r>
      <w:r w:rsidR="008D426F" w:rsidRPr="006C3876">
        <w:t>hey have different eligibility requirements, constraints and obligations (Table 2.1</w:t>
      </w:r>
      <w:r w:rsidR="00375CAE">
        <w:t>, Chapter 2</w:t>
      </w:r>
      <w:r w:rsidR="008D426F" w:rsidRPr="006C3876">
        <w:t xml:space="preserve">). </w:t>
      </w:r>
    </w:p>
    <w:p w14:paraId="5918B3BB" w14:textId="4D958D85" w:rsidR="00036879" w:rsidRPr="00234211" w:rsidRDefault="00CA452A" w:rsidP="003C59C1">
      <w:pPr>
        <w:pStyle w:val="Heading3"/>
        <w:rPr>
          <w:i/>
          <w:color w:val="0070AE" w:themeColor="accent2" w:themeTint="BF"/>
        </w:rPr>
      </w:pPr>
      <w:r w:rsidRPr="00234211">
        <w:rPr>
          <w:i/>
          <w:color w:val="0070AE" w:themeColor="accent2" w:themeTint="BF"/>
        </w:rPr>
        <w:t>Changes to d</w:t>
      </w:r>
      <w:r w:rsidR="00036879" w:rsidRPr="00234211">
        <w:rPr>
          <w:i/>
          <w:color w:val="0070AE" w:themeColor="accent2" w:themeTint="BF"/>
        </w:rPr>
        <w:t>elivery schedules</w:t>
      </w:r>
    </w:p>
    <w:p w14:paraId="088CA59E" w14:textId="4EE0355D" w:rsidR="006E21A4" w:rsidRPr="006E21A4" w:rsidRDefault="00036879" w:rsidP="006E21A4">
      <w:r>
        <w:t xml:space="preserve">All contracts have an abatement delivery schedule that is initially set at the point of auction registration by the applicant. The </w:t>
      </w:r>
      <w:r w:rsidR="00AE3EDA">
        <w:t>current</w:t>
      </w:r>
      <w:r>
        <w:t xml:space="preserve"> Regulator</w:t>
      </w:r>
      <w:r w:rsidR="007F224C">
        <w:t>y</w:t>
      </w:r>
      <w:r>
        <w:t xml:space="preserve"> guidelines state that ‘</w:t>
      </w:r>
      <w:r w:rsidRPr="003C59C1">
        <w:rPr>
          <w:i/>
        </w:rPr>
        <w:t>The delivery schedule should broadly reflect the abatement generation profile of the identified ERF project and should not be unduly weighted towards the end of the contract period (known as backloading)</w:t>
      </w:r>
      <w:r>
        <w:t>’</w:t>
      </w:r>
      <w:r w:rsidRPr="006143B3">
        <w:rPr>
          <w:rStyle w:val="FootnoteReference"/>
          <w:sz w:val="22"/>
        </w:rPr>
        <w:t xml:space="preserve"> </w:t>
      </w:r>
      <w:r w:rsidR="008D2916">
        <w:t>(</w:t>
      </w:r>
      <w:r w:rsidR="002020E2" w:rsidRPr="004023BC">
        <w:t>CER 2020</w:t>
      </w:r>
      <w:r w:rsidR="002020E2">
        <w:t>b</w:t>
      </w:r>
      <w:r w:rsidRPr="006E21A4">
        <w:t>).</w:t>
      </w:r>
      <w:r w:rsidR="006E21A4" w:rsidRPr="006E21A4">
        <w:t xml:space="preserve"> </w:t>
      </w:r>
      <w:r w:rsidR="00F604E6">
        <w:t>S</w:t>
      </w:r>
      <w:r w:rsidR="006E21A4" w:rsidRPr="006E21A4">
        <w:t xml:space="preserve">ince 2017, </w:t>
      </w:r>
      <w:r w:rsidR="00AE3EDA">
        <w:t xml:space="preserve">the </w:t>
      </w:r>
      <w:r w:rsidR="006E21A4" w:rsidRPr="006E21A4">
        <w:t>auction qualification and registration processes</w:t>
      </w:r>
      <w:r w:rsidR="00AE3EDA">
        <w:t xml:space="preserve"> </w:t>
      </w:r>
      <w:r w:rsidR="00F604E6">
        <w:t xml:space="preserve">including setting contract delivery schedules </w:t>
      </w:r>
      <w:r w:rsidR="00AE3EDA">
        <w:t>have been refined based on the Regulator’s growing experience of managing contracts and projects</w:t>
      </w:r>
      <w:r w:rsidR="00F604E6">
        <w:t xml:space="preserve"> (</w:t>
      </w:r>
      <w:r w:rsidR="00F604E6" w:rsidRPr="009A02B4">
        <w:t>CER pers</w:t>
      </w:r>
      <w:r w:rsidR="00500A3F" w:rsidRPr="001D10CD">
        <w:t>.</w:t>
      </w:r>
      <w:r w:rsidR="00F604E6" w:rsidRPr="009A02B4">
        <w:t xml:space="preserve"> </w:t>
      </w:r>
      <w:r w:rsidR="005B4DA7">
        <w:t>c</w:t>
      </w:r>
      <w:r w:rsidR="00F604E6" w:rsidRPr="009A02B4">
        <w:t>om</w:t>
      </w:r>
      <w:r w:rsidR="0084469B" w:rsidRPr="009A02B4">
        <w:t>m</w:t>
      </w:r>
      <w:r w:rsidR="005B4DA7">
        <w:t>.</w:t>
      </w:r>
      <w:r w:rsidR="00F604E6">
        <w:t>)</w:t>
      </w:r>
      <w:r w:rsidR="006E21A4" w:rsidRPr="006E21A4">
        <w:t>.</w:t>
      </w:r>
    </w:p>
    <w:p w14:paraId="5CF9D7D3" w14:textId="517F5E2D" w:rsidR="00036879" w:rsidRPr="00D32E48" w:rsidRDefault="00036879" w:rsidP="00036879">
      <w:r w:rsidRPr="007108F1">
        <w:t xml:space="preserve">The Regulator encourages contract holders to meet their delivery schedules and states that it </w:t>
      </w:r>
      <w:r w:rsidR="00C9325F">
        <w:t>“</w:t>
      </w:r>
      <w:r w:rsidRPr="007108F1">
        <w:t>takes delivery failure seriously</w:t>
      </w:r>
      <w:r w:rsidR="00C9325F">
        <w:t>”</w:t>
      </w:r>
      <w:r w:rsidRPr="007108F1">
        <w:t xml:space="preserve"> (</w:t>
      </w:r>
      <w:r w:rsidRPr="00327F4C">
        <w:t>CER 2017</w:t>
      </w:r>
      <w:r w:rsidR="00C971C2">
        <w:t>d</w:t>
      </w:r>
      <w:r w:rsidRPr="007108F1">
        <w:t>).</w:t>
      </w:r>
      <w:r>
        <w:rPr>
          <w:sz w:val="22"/>
        </w:rPr>
        <w:t xml:space="preserve"> </w:t>
      </w:r>
      <w:r>
        <w:t xml:space="preserve">Changes to delivery schedules once a contract is entered into must be </w:t>
      </w:r>
      <w:r w:rsidRPr="007C2341">
        <w:t>negotiated with the Regulator</w:t>
      </w:r>
      <w:r>
        <w:t>,</w:t>
      </w:r>
      <w:r w:rsidRPr="007C2341">
        <w:t xml:space="preserve"> in accordance with the Contract Code of Common Terms</w:t>
      </w:r>
      <w:r>
        <w:t xml:space="preserve"> (</w:t>
      </w:r>
      <w:r w:rsidRPr="00FF18B1">
        <w:t>CER 2020</w:t>
      </w:r>
      <w:r w:rsidR="0007100F">
        <w:t>m</w:t>
      </w:r>
      <w:r>
        <w:t xml:space="preserve">, </w:t>
      </w:r>
      <w:r w:rsidRPr="00EF34B5">
        <w:t>CER 2018</w:t>
      </w:r>
      <w:r w:rsidR="001766DB" w:rsidRPr="00EF34B5">
        <w:t>b</w:t>
      </w:r>
      <w:r>
        <w:t xml:space="preserve">, </w:t>
      </w:r>
      <w:r w:rsidRPr="002F12B8">
        <w:t>CER 2015</w:t>
      </w:r>
      <w:r w:rsidR="00BF7325">
        <w:t>b</w:t>
      </w:r>
      <w:r w:rsidRPr="002F12B8">
        <w:t>,</w:t>
      </w:r>
      <w:r w:rsidR="0072249A">
        <w:t>c</w:t>
      </w:r>
      <w:r>
        <w:t>). Damages apply for a shortfall in delivery</w:t>
      </w:r>
      <w:r w:rsidR="005E53E4">
        <w:t>; h</w:t>
      </w:r>
      <w:r>
        <w:t>owever, up to a 20 per cent under-delivery of ACCUs is allowed at every scheduled delivery without triggering damages</w:t>
      </w:r>
      <w:r w:rsidR="004F1918">
        <w:t xml:space="preserve"> and adjustments to delivery schedules of up to 100 per cent per contract milestone with the mutual agreement of the scheme participant and the CER</w:t>
      </w:r>
      <w:r>
        <w:t xml:space="preserve">. If fewer ACCUs are delivered than expected, the delivery schedule for the contract is adjusted so that the outstanding ACCUs are due later in the contract. This </w:t>
      </w:r>
      <w:r w:rsidR="007555C2">
        <w:t>shortfall adjustment</w:t>
      </w:r>
      <w:r>
        <w:t xml:space="preserve"> applies up until the contract end date, when contract holders must deliver the contracted volume of ACCUs in full or pay damages on the full outstanding amount. The </w:t>
      </w:r>
      <w:r w:rsidR="007555C2">
        <w:t>shortfall adjustment</w:t>
      </w:r>
      <w:r>
        <w:t xml:space="preserve"> provides flexibility for contract holders, for example, it allows them to manage uncertainty in the abatement generated by projects due to environmental variability. </w:t>
      </w:r>
      <w:r w:rsidR="00A67D8D">
        <w:t xml:space="preserve">There are </w:t>
      </w:r>
      <w:r w:rsidR="00D52D9F">
        <w:t>also</w:t>
      </w:r>
      <w:r w:rsidR="00A67D8D">
        <w:t xml:space="preserve"> separate provisions for</w:t>
      </w:r>
      <w:r w:rsidR="00A67D8D" w:rsidRPr="00D52D9F">
        <w:rPr>
          <w:i/>
        </w:rPr>
        <w:t xml:space="preserve"> force majeure</w:t>
      </w:r>
      <w:r w:rsidR="00A67D8D">
        <w:t xml:space="preserve">. </w:t>
      </w:r>
      <w:r w:rsidRPr="00AA4AD8">
        <w:t>The Regulator is also open to receiving ACCUs earlier than scheduled, within the same financial year (</w:t>
      </w:r>
      <w:r w:rsidR="002020E2" w:rsidRPr="004023BC">
        <w:t>CER 2020</w:t>
      </w:r>
      <w:r w:rsidR="002020E2">
        <w:t>b</w:t>
      </w:r>
      <w:r w:rsidRPr="00AA4AD8">
        <w:t>).</w:t>
      </w:r>
    </w:p>
    <w:p w14:paraId="77D9A65F" w14:textId="2B1A42B1" w:rsidR="00036879" w:rsidRDefault="00036879" w:rsidP="00036879">
      <w:r>
        <w:t xml:space="preserve">Analysis of published data from the Regulator shows that the contract delivery schedules are not static and that they are being adjusted </w:t>
      </w:r>
      <w:r w:rsidR="007555C2">
        <w:t>year to year</w:t>
      </w:r>
      <w:r>
        <w:t xml:space="preserve"> (Figure 8.</w:t>
      </w:r>
      <w:r w:rsidR="00375CAE">
        <w:t>4</w:t>
      </w:r>
      <w:r>
        <w:t xml:space="preserve">). In the </w:t>
      </w:r>
      <w:r w:rsidR="00FC121E">
        <w:t>9</w:t>
      </w:r>
      <w:r>
        <w:t xml:space="preserve"> month period between September 2019 and June 2020, the delivery schedule for the Government portfolio as a whole has changed so that ACCUs are to be delivered later, although the same volume of ACCUs are to be delivered overall. Fewer ACCUs are now scheduled to be delivered between 2020</w:t>
      </w:r>
      <w:r w:rsidR="0028127F">
        <w:t xml:space="preserve"> and 20</w:t>
      </w:r>
      <w:r>
        <w:t>26 and more ACCUs will now be delivered from 2027</w:t>
      </w:r>
      <w:r w:rsidR="0028127F">
        <w:t xml:space="preserve"> to </w:t>
      </w:r>
      <w:r>
        <w:t>2032.</w:t>
      </w:r>
      <w:r w:rsidRPr="00113F2D">
        <w:t xml:space="preserve"> </w:t>
      </w:r>
      <w:r>
        <w:t xml:space="preserve">This pushes the delivery of some abatement beyond the Government’s 2030 target. </w:t>
      </w:r>
      <w:r w:rsidR="007506EA">
        <w:t xml:space="preserve">Some of this change occurred within the </w:t>
      </w:r>
      <w:r w:rsidR="007555C2">
        <w:t xml:space="preserve">allowable delivery shortfall </w:t>
      </w:r>
      <w:r w:rsidR="007506EA">
        <w:t>arrangements (</w:t>
      </w:r>
      <w:r w:rsidR="007506EA" w:rsidRPr="00482A0F">
        <w:t>CER 2020</w:t>
      </w:r>
      <w:r w:rsidR="0072249A">
        <w:t>k,</w:t>
      </w:r>
      <w:r w:rsidR="0007100F">
        <w:t>n</w:t>
      </w:r>
      <w:r w:rsidR="007506EA" w:rsidRPr="00482A0F">
        <w:t>,</w:t>
      </w:r>
      <w:r w:rsidR="0007100F">
        <w:t>o</w:t>
      </w:r>
      <w:r w:rsidR="007506EA" w:rsidRPr="00482A0F">
        <w:t>,</w:t>
      </w:r>
      <w:r w:rsidR="0007100F">
        <w:t>p</w:t>
      </w:r>
      <w:r w:rsidR="007506EA">
        <w:t xml:space="preserve">). </w:t>
      </w:r>
      <w:r w:rsidR="007555C2">
        <w:t xml:space="preserve">However, changes to the delivery schedules </w:t>
      </w:r>
      <w:r w:rsidR="007506EA">
        <w:t xml:space="preserve">also </w:t>
      </w:r>
      <w:r>
        <w:t>went beyond the 20 per cent buffer</w:t>
      </w:r>
      <w:r w:rsidR="007506EA">
        <w:t xml:space="preserve"> in 2020</w:t>
      </w:r>
      <w:r w:rsidR="004F1918">
        <w:t>, where agreed between the parties</w:t>
      </w:r>
      <w:r w:rsidR="007506EA">
        <w:t xml:space="preserve"> </w:t>
      </w:r>
      <w:r>
        <w:t>(Figure 8.</w:t>
      </w:r>
      <w:r w:rsidR="00375CAE">
        <w:t>4</w:t>
      </w:r>
      <w:r>
        <w:t xml:space="preserve">). </w:t>
      </w:r>
      <w:r w:rsidRPr="006F61D6">
        <w:t xml:space="preserve">The </w:t>
      </w:r>
      <w:r>
        <w:t xml:space="preserve">impact of the </w:t>
      </w:r>
      <w:r w:rsidRPr="006F61D6">
        <w:t>amended guidelines for native forest regeneration methods</w:t>
      </w:r>
      <w:r w:rsidR="00DC54D2">
        <w:t xml:space="preserve"> (Box 7.2, Chapter 7)</w:t>
      </w:r>
      <w:r w:rsidRPr="006F61D6">
        <w:t xml:space="preserve"> </w:t>
      </w:r>
      <w:r w:rsidR="00EE1AE9">
        <w:t>on 7</w:t>
      </w:r>
      <w:r>
        <w:t xml:space="preserve"> contracts is</w:t>
      </w:r>
      <w:r w:rsidRPr="006F61D6">
        <w:t xml:space="preserve"> </w:t>
      </w:r>
      <w:r w:rsidR="005E53E4">
        <w:t xml:space="preserve">the primary </w:t>
      </w:r>
      <w:r>
        <w:t>reason given by the Regulator for th</w:t>
      </w:r>
      <w:r w:rsidR="005E53E4">
        <w:t>e</w:t>
      </w:r>
      <w:r>
        <w:t xml:space="preserve"> change </w:t>
      </w:r>
      <w:r w:rsidR="005E53E4">
        <w:t xml:space="preserve">in delivery schedules </w:t>
      </w:r>
      <w:r w:rsidRPr="006F61D6">
        <w:t>(</w:t>
      </w:r>
      <w:r w:rsidR="008735AE" w:rsidRPr="008C60E5">
        <w:t>CER 2020</w:t>
      </w:r>
      <w:r w:rsidR="008735AE">
        <w:t>f</w:t>
      </w:r>
      <w:r w:rsidRPr="006F61D6">
        <w:t>).</w:t>
      </w:r>
      <w:r>
        <w:t xml:space="preserve"> These </w:t>
      </w:r>
      <w:r w:rsidR="00FC121E">
        <w:t>7</w:t>
      </w:r>
      <w:r>
        <w:t xml:space="preserve"> contracts </w:t>
      </w:r>
      <w:r w:rsidR="00A41B74">
        <w:t xml:space="preserve">(including three of the largest contracts) </w:t>
      </w:r>
      <w:r>
        <w:t>have also had their end date extended</w:t>
      </w:r>
      <w:r w:rsidR="00A41B74">
        <w:t xml:space="preserve"> </w:t>
      </w:r>
      <w:r w:rsidR="00416462">
        <w:t xml:space="preserve">to </w:t>
      </w:r>
      <w:r w:rsidR="007506EA">
        <w:t xml:space="preserve">manage the impact of the amended guidelines </w:t>
      </w:r>
      <w:r w:rsidR="00A41B74">
        <w:t>(Figure 8.</w:t>
      </w:r>
      <w:r w:rsidR="00375CAE">
        <w:t>2</w:t>
      </w:r>
      <w:r w:rsidR="00A41B74">
        <w:t xml:space="preserve">, </w:t>
      </w:r>
      <w:r w:rsidR="00510B84">
        <w:t>CER 2020a</w:t>
      </w:r>
      <w:r w:rsidR="00A41B74">
        <w:t>)</w:t>
      </w:r>
      <w:r w:rsidRPr="00CE621F">
        <w:t xml:space="preserve">. </w:t>
      </w:r>
    </w:p>
    <w:p w14:paraId="60A63FF9" w14:textId="767625C8" w:rsidR="00036879" w:rsidRPr="0031681A" w:rsidRDefault="007A4813" w:rsidP="0031681A">
      <w:pPr>
        <w:pStyle w:val="Figure"/>
      </w:pPr>
      <w:bookmarkStart w:id="3112" w:name="_Toc53130463"/>
      <w:r w:rsidRPr="0031681A">
        <w:rPr>
          <w:rStyle w:val="FootnoteTextChar"/>
          <w:noProof/>
          <w:color w:val="0070AE" w:themeColor="accent2" w:themeTint="BF"/>
          <w:szCs w:val="22"/>
          <w:lang w:eastAsia="en-AU"/>
        </w:rPr>
        <w:drawing>
          <wp:anchor distT="0" distB="0" distL="114300" distR="114300" simplePos="0" relativeHeight="251658247" behindDoc="0" locked="0" layoutInCell="1" allowOverlap="1" wp14:anchorId="1146EF60" wp14:editId="163235E7">
            <wp:simplePos x="0" y="0"/>
            <wp:positionH relativeFrom="margin">
              <wp:posOffset>0</wp:posOffset>
            </wp:positionH>
            <wp:positionV relativeFrom="paragraph">
              <wp:posOffset>371751</wp:posOffset>
            </wp:positionV>
            <wp:extent cx="5697855" cy="3127375"/>
            <wp:effectExtent l="0" t="0" r="0" b="0"/>
            <wp:wrapTopAndBottom/>
            <wp:docPr id="1" name="Picture 1" descr="Figure 8.4 is a bar chart that shows the delivery schedule for the portfolio of Government contracts from 2020 to 2032, as scheduled in June 2020 and September 2020. The chart shows that compared to the schedule in June 2020, the schedule in September 2020 has ACCUs being delivered later. Fewer ACCUs are to be delivered between 2020 and 2026 and more ACCUs are to be delivered from 2027 to 2032." title="Figure 8.4. Government contract portfolio schedule of Delivery (September 2019 and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7855" cy="3127375"/>
                    </a:xfrm>
                    <a:prstGeom prst="rect">
                      <a:avLst/>
                    </a:prstGeom>
                    <a:noFill/>
                  </pic:spPr>
                </pic:pic>
              </a:graphicData>
            </a:graphic>
            <wp14:sizeRelH relativeFrom="page">
              <wp14:pctWidth>0</wp14:pctWidth>
            </wp14:sizeRelH>
            <wp14:sizeRelV relativeFrom="page">
              <wp14:pctHeight>0</wp14:pctHeight>
            </wp14:sizeRelV>
          </wp:anchor>
        </w:drawing>
      </w:r>
      <w:r w:rsidR="00036879" w:rsidRPr="0031681A">
        <w:t>Figure 8.</w:t>
      </w:r>
      <w:r w:rsidR="00375CAE" w:rsidRPr="0031681A">
        <w:t>4</w:t>
      </w:r>
      <w:r w:rsidR="00036879" w:rsidRPr="0031681A">
        <w:t>. Government contract p</w:t>
      </w:r>
      <w:r w:rsidR="0031681A" w:rsidRPr="0031681A">
        <w:t>ortfolio schedule of Delivery (S</w:t>
      </w:r>
      <w:r w:rsidR="00036879" w:rsidRPr="0031681A">
        <w:t>eptember</w:t>
      </w:r>
      <w:r w:rsidR="0031681A" w:rsidRPr="0031681A">
        <w:t xml:space="preserve"> 2019 and J</w:t>
      </w:r>
      <w:r w:rsidR="00036879" w:rsidRPr="0031681A">
        <w:t>une 2020)</w:t>
      </w:r>
      <w:bookmarkEnd w:id="3112"/>
      <w:r w:rsidR="00036879" w:rsidRPr="0031681A">
        <w:t xml:space="preserve"> </w:t>
      </w:r>
    </w:p>
    <w:p w14:paraId="64F11F34" w14:textId="693F11FD" w:rsidR="00036879" w:rsidRDefault="00036879" w:rsidP="00036879">
      <w:r w:rsidRPr="007108F1">
        <w:rPr>
          <w:rStyle w:val="FootnoteTextChar"/>
          <w:b/>
        </w:rPr>
        <w:t>Source:</w:t>
      </w:r>
      <w:r w:rsidRPr="007108F1">
        <w:rPr>
          <w:rStyle w:val="FootnoteTextChar"/>
        </w:rPr>
        <w:t xml:space="preserve"> </w:t>
      </w:r>
      <w:r w:rsidR="000F5F1C">
        <w:rPr>
          <w:rStyle w:val="FootnoteTextChar"/>
        </w:rPr>
        <w:t>CER 2020n,o</w:t>
      </w:r>
      <w:r>
        <w:rPr>
          <w:rFonts w:eastAsia="Calibri" w:cs="Times New Roman"/>
        </w:rPr>
        <w:t>.</w:t>
      </w:r>
    </w:p>
    <w:p w14:paraId="3B219541" w14:textId="2593892F" w:rsidR="00BD5A05" w:rsidRDefault="00B544A1" w:rsidP="00B544A1">
      <w:r>
        <w:t xml:space="preserve">If contracted abatement </w:t>
      </w:r>
      <w:r w:rsidR="00DC54D2">
        <w:t>under fixed delivery contracts</w:t>
      </w:r>
      <w:r>
        <w:t xml:space="preserve"> is not delivered, </w:t>
      </w:r>
      <w:r w:rsidRPr="007C3E44">
        <w:t>the Government retain</w:t>
      </w:r>
      <w:r>
        <w:t>s</w:t>
      </w:r>
      <w:r w:rsidRPr="007C3E44">
        <w:t xml:space="preserve"> </w:t>
      </w:r>
      <w:r>
        <w:t>its</w:t>
      </w:r>
      <w:r w:rsidRPr="007C3E44">
        <w:t xml:space="preserve"> funds and </w:t>
      </w:r>
      <w:r>
        <w:t xml:space="preserve">can </w:t>
      </w:r>
      <w:r w:rsidRPr="007C3E44">
        <w:t>seek damages</w:t>
      </w:r>
      <w:r>
        <w:t xml:space="preserve"> for a default. </w:t>
      </w:r>
      <w:r w:rsidRPr="003A6B74">
        <w:t xml:space="preserve">Fixed </w:t>
      </w:r>
      <w:r w:rsidR="00A8425B">
        <w:t xml:space="preserve">delivery </w:t>
      </w:r>
      <w:r w:rsidRPr="003A6B74">
        <w:t xml:space="preserve">contracts contain </w:t>
      </w:r>
      <w:r w:rsidRPr="00E5702E">
        <w:t>‘make good’</w:t>
      </w:r>
      <w:r w:rsidRPr="003A6B74">
        <w:t xml:space="preserve"> provisions and damage provisions for non-delivery.</w:t>
      </w:r>
      <w:r w:rsidR="00AE35E4">
        <w:t xml:space="preserve"> </w:t>
      </w:r>
      <w:r w:rsidR="00DC54D2">
        <w:t>Buyer’s</w:t>
      </w:r>
      <w:r w:rsidRPr="003A6B74">
        <w:t xml:space="preserve"> damages </w:t>
      </w:r>
      <w:r w:rsidR="00BD5A05">
        <w:t xml:space="preserve">for non-delivery of ACCUs </w:t>
      </w:r>
      <w:r w:rsidRPr="003A6B74">
        <w:t xml:space="preserve">are </w:t>
      </w:r>
      <w:r w:rsidR="00BD5A05">
        <w:t>currently</w:t>
      </w:r>
      <w:r w:rsidRPr="003A6B74">
        <w:t xml:space="preserve"> capped at the contract price (plus interest and reasonable costs incurred by the CER). </w:t>
      </w:r>
    </w:p>
    <w:p w14:paraId="67A078E9" w14:textId="7782CFB5" w:rsidR="0098583C" w:rsidRDefault="0098583C" w:rsidP="00B544A1">
      <w:r>
        <w:t>If too many projects default, t</w:t>
      </w:r>
      <w:r w:rsidRPr="00D26967">
        <w:t>he Government may need to source abatement at a higher cost to meet its commitments. To address th</w:t>
      </w:r>
      <w:r>
        <w:t>is</w:t>
      </w:r>
      <w:r w:rsidRPr="00D26967">
        <w:t xml:space="preserve"> risk, the Authority recommends increasing buyer’s damages for new fixed-delivery contracts and reducing </w:t>
      </w:r>
      <w:r w:rsidR="005F21C6">
        <w:t xml:space="preserve">the </w:t>
      </w:r>
      <w:r w:rsidRPr="00D26967">
        <w:t xml:space="preserve">deferral of scheduled deliveries without good reason. </w:t>
      </w:r>
    </w:p>
    <w:p w14:paraId="0B23EE38" w14:textId="131B961C" w:rsidR="000541D8" w:rsidRDefault="00A67D8D" w:rsidP="000541D8">
      <w:r>
        <w:t>T</w:t>
      </w:r>
      <w:r w:rsidR="000541D8" w:rsidRPr="00113F2D">
        <w:t xml:space="preserve">he Authority recommends the standard contract terms for </w:t>
      </w:r>
      <w:r w:rsidR="000541D8">
        <w:t xml:space="preserve">new </w:t>
      </w:r>
      <w:r w:rsidR="00DC54D2">
        <w:t xml:space="preserve">fixed delivery </w:t>
      </w:r>
      <w:r w:rsidR="000541D8">
        <w:t>contracts</w:t>
      </w:r>
      <w:r w:rsidR="004F1918">
        <w:t xml:space="preserve"> </w:t>
      </w:r>
      <w:r w:rsidR="00DC54D2">
        <w:t>apply</w:t>
      </w:r>
      <w:r w:rsidR="0026384F" w:rsidRPr="0026384F">
        <w:t xml:space="preserve"> commercial contractual damages where non-delivery was not due to </w:t>
      </w:r>
      <w:r w:rsidR="00E5328D" w:rsidRPr="00F94E82">
        <w:rPr>
          <w:i/>
        </w:rPr>
        <w:t>force majeure</w:t>
      </w:r>
      <w:r w:rsidR="0026384F" w:rsidRPr="0026384F">
        <w:t xml:space="preserve">. </w:t>
      </w:r>
      <w:r w:rsidR="00DC54D2">
        <w:t>Commercial contractual damages would typically oblige the defaulting party to pay damages equivalent to the cost of replacing the abatement</w:t>
      </w:r>
      <w:r w:rsidR="00164836">
        <w:t>.</w:t>
      </w:r>
      <w:r w:rsidR="00DC6EC5">
        <w:t xml:space="preserve"> The Regulator should also </w:t>
      </w:r>
      <w:r>
        <w:t xml:space="preserve">consider </w:t>
      </w:r>
      <w:r w:rsidR="005610CD">
        <w:t>making</w:t>
      </w:r>
      <w:r>
        <w:t xml:space="preserve"> changes to </w:t>
      </w:r>
      <w:r w:rsidR="00DC6EC5">
        <w:t xml:space="preserve">the </w:t>
      </w:r>
      <w:r w:rsidR="0026384F">
        <w:t>scheduled delivery</w:t>
      </w:r>
      <w:r>
        <w:t xml:space="preserve"> </w:t>
      </w:r>
      <w:r w:rsidR="00DC6EC5">
        <w:t xml:space="preserve">allowances by either </w:t>
      </w:r>
      <w:r w:rsidR="00164836">
        <w:t xml:space="preserve">allowing </w:t>
      </w:r>
      <w:r w:rsidR="000541D8">
        <w:t xml:space="preserve">a smaller </w:t>
      </w:r>
      <w:r w:rsidR="00164836">
        <w:t>amount of non-deliveries</w:t>
      </w:r>
      <w:r w:rsidR="00DC6EC5">
        <w:t xml:space="preserve"> to be carried over </w:t>
      </w:r>
      <w:r w:rsidR="00164836">
        <w:t>from year to year</w:t>
      </w:r>
      <w:r w:rsidR="000541D8">
        <w:t xml:space="preserve"> or </w:t>
      </w:r>
      <w:r w:rsidR="005610CD">
        <w:t xml:space="preserve">introducing a </w:t>
      </w:r>
      <w:r w:rsidR="000541D8">
        <w:t xml:space="preserve">greater requirement to </w:t>
      </w:r>
      <w:r w:rsidR="005610CD">
        <w:t>‘</w:t>
      </w:r>
      <w:r w:rsidR="000541D8">
        <w:t>show cause</w:t>
      </w:r>
      <w:r w:rsidR="005610CD">
        <w:t>’</w:t>
      </w:r>
      <w:r w:rsidR="000541D8">
        <w:t xml:space="preserve"> </w:t>
      </w:r>
      <w:r w:rsidR="00DC6EC5">
        <w:t xml:space="preserve">why deliveries are not being met </w:t>
      </w:r>
      <w:r w:rsidR="00164836">
        <w:t xml:space="preserve">in accordance with the agreed </w:t>
      </w:r>
      <w:r w:rsidR="00DC6EC5">
        <w:t>schedule. These recommended changes would</w:t>
      </w:r>
      <w:r w:rsidR="0026384F">
        <w:t xml:space="preserve"> enhance certainty of the delivery</w:t>
      </w:r>
      <w:r w:rsidR="000541D8">
        <w:t xml:space="preserve"> of ACCUs towards the Government’s international emissions reduction obligations</w:t>
      </w:r>
      <w:r w:rsidR="00DC6EC5">
        <w:t xml:space="preserve"> and d</w:t>
      </w:r>
      <w:r w:rsidR="00164836">
        <w:t>iscourage participants from</w:t>
      </w:r>
      <w:r w:rsidR="00DC6EC5">
        <w:t xml:space="preserve"> default</w:t>
      </w:r>
      <w:r w:rsidR="006B4B9C">
        <w:t>ing</w:t>
      </w:r>
      <w:r w:rsidR="00DC6EC5">
        <w:t xml:space="preserve"> on their contracts</w:t>
      </w:r>
      <w:r w:rsidR="000541D8" w:rsidRPr="00113F2D">
        <w:t>.</w:t>
      </w:r>
      <w:r w:rsidR="003B143E">
        <w:t xml:space="preserve"> </w:t>
      </w:r>
    </w:p>
    <w:p w14:paraId="5BE8ACE9" w14:textId="23264174" w:rsidR="009D643E" w:rsidRDefault="00823365" w:rsidP="000541D8">
      <w:r>
        <w:t>If the market preference for option</w:t>
      </w:r>
      <w:r w:rsidR="00E064A9">
        <w:t>al delivery</w:t>
      </w:r>
      <w:r>
        <w:t xml:space="preserve"> contracts continues beyond auction 11, the issues with potential non-delivery will likely be minimised as most new contracted abatement will be through option</w:t>
      </w:r>
      <w:r w:rsidR="00E064A9">
        <w:t>al delivery</w:t>
      </w:r>
      <w:r>
        <w:t xml:space="preserve"> contracts, with abatement tied to a registered project. </w:t>
      </w:r>
    </w:p>
    <w:p w14:paraId="2E40F62A" w14:textId="4D7D5E04" w:rsidR="00E4429D" w:rsidRDefault="00E4429D" w:rsidP="00E4429D">
      <w:pPr>
        <w:spacing w:line="259" w:lineRule="auto"/>
      </w:pPr>
    </w:p>
    <w:tbl>
      <w:tblPr>
        <w:tblStyle w:val="TableGrid"/>
        <w:tblW w:w="0" w:type="auto"/>
        <w:tblLook w:val="04A0" w:firstRow="1" w:lastRow="0" w:firstColumn="1" w:lastColumn="0" w:noHBand="0" w:noVBand="1"/>
      </w:tblPr>
      <w:tblGrid>
        <w:gridCol w:w="9016"/>
      </w:tblGrid>
      <w:tr w:rsidR="0008619C" w14:paraId="79D6ECC4" w14:textId="77777777" w:rsidTr="0008619C">
        <w:tc>
          <w:tcPr>
            <w:tcW w:w="9016" w:type="dxa"/>
          </w:tcPr>
          <w:p w14:paraId="4EA7FAC9" w14:textId="339915C7" w:rsidR="0008619C" w:rsidRPr="0008619C" w:rsidRDefault="0008619C" w:rsidP="0008619C">
            <w:pPr>
              <w:rPr>
                <w:b/>
              </w:rPr>
            </w:pPr>
            <w:r w:rsidRPr="0008619C">
              <w:rPr>
                <w:b/>
              </w:rPr>
              <w:t xml:space="preserve">Recommendation </w:t>
            </w:r>
            <w:r w:rsidR="00C73519">
              <w:rPr>
                <w:b/>
              </w:rPr>
              <w:t>1</w:t>
            </w:r>
            <w:r w:rsidR="00DE010F">
              <w:rPr>
                <w:b/>
              </w:rPr>
              <w:t>9</w:t>
            </w:r>
          </w:p>
          <w:p w14:paraId="5592F07B" w14:textId="77777777" w:rsidR="0008619C" w:rsidRPr="00051412" w:rsidRDefault="0008619C" w:rsidP="0008619C">
            <w:pPr>
              <w:rPr>
                <w:b/>
              </w:rPr>
            </w:pPr>
          </w:p>
          <w:p w14:paraId="5164CD32" w14:textId="47E0E410" w:rsidR="00C73519" w:rsidRPr="00C73519" w:rsidRDefault="00051412" w:rsidP="00C73519">
            <w:pPr>
              <w:rPr>
                <w:b/>
              </w:rPr>
            </w:pPr>
            <w:r w:rsidRPr="00051412">
              <w:rPr>
                <w:b/>
              </w:rPr>
              <w:t>To encourage delivery on ERF contracts,</w:t>
            </w:r>
            <w:r w:rsidR="00C73519" w:rsidRPr="00C73519">
              <w:rPr>
                <w:b/>
              </w:rPr>
              <w:t xml:space="preserve"> the standard contractual terms for future fixed</w:t>
            </w:r>
            <w:r w:rsidR="00B370A6">
              <w:rPr>
                <w:b/>
              </w:rPr>
              <w:t xml:space="preserve"> </w:t>
            </w:r>
            <w:r w:rsidR="00E4429D">
              <w:rPr>
                <w:b/>
              </w:rPr>
              <w:t>delivery contracts:</w:t>
            </w:r>
          </w:p>
          <w:p w14:paraId="2320C6E4" w14:textId="77777777" w:rsidR="00C73519" w:rsidRPr="00C73519" w:rsidRDefault="00C73519" w:rsidP="00004274">
            <w:pPr>
              <w:pStyle w:val="ListParagraph"/>
              <w:numPr>
                <w:ilvl w:val="0"/>
                <w:numId w:val="37"/>
              </w:numPr>
              <w:rPr>
                <w:b/>
              </w:rPr>
            </w:pPr>
            <w:r w:rsidRPr="00C73519">
              <w:rPr>
                <w:b/>
              </w:rPr>
              <w:t xml:space="preserve">apply commercial contractual damages where non-delivery </w:t>
            </w:r>
            <w:r w:rsidR="006E168E" w:rsidRPr="006E168E">
              <w:rPr>
                <w:b/>
              </w:rPr>
              <w:t>was not a result</w:t>
            </w:r>
            <w:r w:rsidR="006E168E" w:rsidRPr="006E168E" w:rsidDel="00AF6D3E">
              <w:rPr>
                <w:b/>
              </w:rPr>
              <w:t xml:space="preserve"> of </w:t>
            </w:r>
            <w:r w:rsidR="006E168E" w:rsidRPr="006E168E">
              <w:rPr>
                <w:b/>
                <w:i/>
              </w:rPr>
              <w:t>force majeure</w:t>
            </w:r>
            <w:r w:rsidRPr="00C73519">
              <w:rPr>
                <w:b/>
              </w:rPr>
              <w:t xml:space="preserve"> </w:t>
            </w:r>
          </w:p>
          <w:p w14:paraId="3066FBCE" w14:textId="7D583921" w:rsidR="0008619C" w:rsidRPr="00234211" w:rsidRDefault="00C73519" w:rsidP="00234211">
            <w:pPr>
              <w:pStyle w:val="ListParagraph"/>
              <w:numPr>
                <w:ilvl w:val="0"/>
                <w:numId w:val="37"/>
              </w:numPr>
              <w:rPr>
                <w:b/>
              </w:rPr>
            </w:pPr>
            <w:r w:rsidRPr="00C73519">
              <w:rPr>
                <w:rFonts w:eastAsia="Calibri" w:cs="Arial"/>
                <w:b/>
                <w:szCs w:val="20"/>
              </w:rPr>
              <w:t>minimise variations in delivery without cause.</w:t>
            </w:r>
          </w:p>
        </w:tc>
      </w:tr>
    </w:tbl>
    <w:p w14:paraId="3D111B9E" w14:textId="77777777" w:rsidR="00371A52" w:rsidRDefault="00371A52" w:rsidP="00667379">
      <w:bookmarkStart w:id="3113" w:name="_Toc51587028"/>
      <w:bookmarkStart w:id="3114" w:name="_Toc51594888"/>
      <w:bookmarkStart w:id="3115" w:name="_Toc51599491"/>
      <w:bookmarkStart w:id="3116" w:name="_Toc51613527"/>
      <w:bookmarkStart w:id="3117" w:name="_Toc51669638"/>
      <w:bookmarkStart w:id="3118" w:name="_Toc51669733"/>
      <w:bookmarkStart w:id="3119" w:name="_Toc51672882"/>
      <w:bookmarkStart w:id="3120" w:name="_Toc51673932"/>
      <w:bookmarkStart w:id="3121" w:name="_Toc51680749"/>
      <w:bookmarkStart w:id="3122" w:name="_Toc51683278"/>
      <w:bookmarkStart w:id="3123" w:name="_Toc51686014"/>
      <w:bookmarkStart w:id="3124" w:name="_Toc51687752"/>
      <w:bookmarkStart w:id="3125" w:name="_Toc51687896"/>
    </w:p>
    <w:p w14:paraId="0E125932" w14:textId="51BE67B7" w:rsidR="002F09C1" w:rsidRPr="00234211" w:rsidRDefault="002F09C1" w:rsidP="00004274">
      <w:pPr>
        <w:pStyle w:val="Heading2"/>
        <w:numPr>
          <w:ilvl w:val="1"/>
          <w:numId w:val="51"/>
        </w:numPr>
        <w:rPr>
          <w:color w:val="0070AE" w:themeColor="accent2" w:themeTint="BF"/>
        </w:rPr>
      </w:pPr>
      <w:bookmarkStart w:id="3126" w:name="_Toc51705774"/>
      <w:bookmarkStart w:id="3127" w:name="_Toc51770720"/>
      <w:bookmarkStart w:id="3128" w:name="_Toc51770906"/>
      <w:bookmarkStart w:id="3129" w:name="_Toc52359249"/>
      <w:bookmarkStart w:id="3130" w:name="_Toc52367282"/>
      <w:bookmarkStart w:id="3131" w:name="_Toc52371622"/>
      <w:bookmarkStart w:id="3132" w:name="_Toc52374770"/>
      <w:bookmarkStart w:id="3133" w:name="_Toc52377308"/>
      <w:bookmarkStart w:id="3134" w:name="_Toc52379230"/>
      <w:bookmarkStart w:id="3135" w:name="_Toc52379585"/>
      <w:bookmarkStart w:id="3136" w:name="_Toc52532795"/>
      <w:bookmarkStart w:id="3137" w:name="_Toc52535690"/>
      <w:bookmarkStart w:id="3138" w:name="_Toc52537508"/>
      <w:bookmarkStart w:id="3139" w:name="_Toc52544071"/>
      <w:bookmarkStart w:id="3140" w:name="_Toc52545675"/>
      <w:bookmarkStart w:id="3141" w:name="_Toc52547907"/>
      <w:bookmarkStart w:id="3142" w:name="_Toc52548596"/>
      <w:bookmarkStart w:id="3143" w:name="_Toc52890888"/>
      <w:bookmarkStart w:id="3144" w:name="_Toc52895091"/>
      <w:bookmarkStart w:id="3145" w:name="_Toc52896615"/>
      <w:bookmarkStart w:id="3146" w:name="_Toc52977792"/>
      <w:bookmarkStart w:id="3147" w:name="_Toc53129478"/>
      <w:r w:rsidRPr="00234211">
        <w:rPr>
          <w:color w:val="0070AE" w:themeColor="accent2" w:themeTint="BF"/>
        </w:rPr>
        <w:t>Future r</w:t>
      </w:r>
      <w:r w:rsidR="009C5E06" w:rsidRPr="00234211">
        <w:rPr>
          <w:color w:val="0070AE" w:themeColor="accent2" w:themeTint="BF"/>
        </w:rPr>
        <w:t>ole of fixed</w:t>
      </w:r>
      <w:r w:rsidR="00B370A6" w:rsidRPr="00234211">
        <w:rPr>
          <w:color w:val="0070AE" w:themeColor="accent2" w:themeTint="BF"/>
        </w:rPr>
        <w:t xml:space="preserve"> </w:t>
      </w:r>
      <w:r w:rsidR="009C5E06" w:rsidRPr="00234211">
        <w:rPr>
          <w:color w:val="0070AE" w:themeColor="accent2" w:themeTint="BF"/>
        </w:rPr>
        <w:t>delivery contracts</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r w:rsidR="009C5E06" w:rsidRPr="00234211">
        <w:rPr>
          <w:color w:val="0070AE" w:themeColor="accent2" w:themeTint="BF"/>
        </w:rPr>
        <w:t xml:space="preserve"> </w:t>
      </w:r>
    </w:p>
    <w:p w14:paraId="4404E6D7" w14:textId="5F4C06C1" w:rsidR="00DD7C81" w:rsidRPr="003E3D2A" w:rsidDel="00F71629" w:rsidRDefault="005478FB" w:rsidP="002A431C">
      <w:r w:rsidRPr="002B7EA7">
        <w:t xml:space="preserve">When the Government introduced the </w:t>
      </w:r>
      <w:r w:rsidR="001108FA">
        <w:t xml:space="preserve">ERF </w:t>
      </w:r>
      <w:r w:rsidRPr="002B7EA7">
        <w:t xml:space="preserve">purchasing mechanism in 2015, </w:t>
      </w:r>
      <w:r w:rsidR="003E3D2A" w:rsidRPr="002B7EA7">
        <w:t xml:space="preserve">it was intended </w:t>
      </w:r>
      <w:r w:rsidR="003E3D2A" w:rsidRPr="004C48A4">
        <w:rPr>
          <w:i/>
        </w:rPr>
        <w:t xml:space="preserve">that </w:t>
      </w:r>
      <w:r w:rsidR="00C86498" w:rsidRPr="004C48A4">
        <w:rPr>
          <w:i/>
        </w:rPr>
        <w:t>‘</w:t>
      </w:r>
      <w:r w:rsidR="00164836" w:rsidRPr="004C48A4">
        <w:rPr>
          <w:i/>
        </w:rPr>
        <w:t>o</w:t>
      </w:r>
      <w:r w:rsidR="003E3D2A" w:rsidRPr="004C48A4">
        <w:rPr>
          <w:i/>
        </w:rPr>
        <w:t>nce a project has been successful at auction, it will not be able to seek additional funding through a future auction</w:t>
      </w:r>
      <w:r w:rsidR="00461570" w:rsidRPr="004C48A4">
        <w:rPr>
          <w:i/>
        </w:rPr>
        <w:t>’</w:t>
      </w:r>
      <w:r w:rsidR="00C86498">
        <w:t xml:space="preserve"> (</w:t>
      </w:r>
      <w:r w:rsidR="003E3D2A">
        <w:t>Australian Government 2014</w:t>
      </w:r>
      <w:r w:rsidR="00C86498">
        <w:t xml:space="preserve">). </w:t>
      </w:r>
      <w:r w:rsidR="00590011">
        <w:t xml:space="preserve">This was to ensure that Government purchasing incentivised new abatement activity rather than being used to credit existing activities. </w:t>
      </w:r>
      <w:r w:rsidR="00DD7C81">
        <w:t xml:space="preserve">Although </w:t>
      </w:r>
      <w:r w:rsidR="001108FA">
        <w:t xml:space="preserve">it was </w:t>
      </w:r>
      <w:r w:rsidR="008A731B">
        <w:t>acknowledged that projects could continue to generate</w:t>
      </w:r>
      <w:r w:rsidR="001108FA">
        <w:t xml:space="preserve"> </w:t>
      </w:r>
      <w:r w:rsidR="00F71629">
        <w:t>ACCUs</w:t>
      </w:r>
      <w:r w:rsidR="00DD7C81">
        <w:t xml:space="preserve"> beyond the contract period</w:t>
      </w:r>
      <w:r w:rsidR="008A731B">
        <w:t>, which</w:t>
      </w:r>
      <w:r w:rsidR="00DD7C81">
        <w:t xml:space="preserve"> could be sold to other businesses</w:t>
      </w:r>
      <w:r w:rsidR="00621EF5">
        <w:t xml:space="preserve"> (including those with Government contracts)</w:t>
      </w:r>
      <w:r w:rsidR="00DD7C81">
        <w:t xml:space="preserve">, </w:t>
      </w:r>
      <w:r w:rsidR="001108FA">
        <w:t xml:space="preserve">the White Paper stated </w:t>
      </w:r>
      <w:r w:rsidR="00DD7C81" w:rsidRPr="004C48A4">
        <w:rPr>
          <w:i/>
        </w:rPr>
        <w:t>‘proponents will nonetheless typically aim to recover their project costs and achieve an appropriate commercial return within the contract period’</w:t>
      </w:r>
      <w:r w:rsidR="00DD7C81">
        <w:t xml:space="preserve"> (Australian Government </w:t>
      </w:r>
      <w:r w:rsidR="001108FA">
        <w:t>2014</w:t>
      </w:r>
      <w:r w:rsidR="00DD7C81">
        <w:t>)</w:t>
      </w:r>
      <w:r w:rsidR="00DD7C81" w:rsidRPr="00FA45EC">
        <w:t>.</w:t>
      </w:r>
      <w:r w:rsidR="000712BE">
        <w:t xml:space="preserve"> </w:t>
      </w:r>
    </w:p>
    <w:p w14:paraId="55C40F05" w14:textId="77777777" w:rsidR="00164836" w:rsidRDefault="00C05158" w:rsidP="002A431C">
      <w:r w:rsidDel="00C05158">
        <w:t>F</w:t>
      </w:r>
      <w:r>
        <w:t>ixed</w:t>
      </w:r>
      <w:r w:rsidR="00B370A6">
        <w:t xml:space="preserve"> </w:t>
      </w:r>
      <w:r>
        <w:t>delivery contracts in their current form have no limits on the number of ACCUs that can be purchased from the secondary market</w:t>
      </w:r>
      <w:r w:rsidR="00590011">
        <w:t xml:space="preserve"> to fulfil their contract delivery schedule</w:t>
      </w:r>
      <w:r>
        <w:t>. C</w:t>
      </w:r>
      <w:r w:rsidR="0005332C">
        <w:t xml:space="preserve">ontracts are </w:t>
      </w:r>
      <w:r w:rsidR="004D0CE2">
        <w:t xml:space="preserve">expected </w:t>
      </w:r>
      <w:r w:rsidR="0005332C">
        <w:t>to proceed</w:t>
      </w:r>
      <w:r>
        <w:t>, for example,</w:t>
      </w:r>
      <w:r w:rsidR="0005332C">
        <w:t xml:space="preserve"> even if the project registered at auction is subsequently revoked </w:t>
      </w:r>
      <w:r w:rsidR="009E76A9">
        <w:t>(Explanatory Memorandum CFI Amendment Bill 2014</w:t>
      </w:r>
      <w:r w:rsidR="00164836">
        <w:t xml:space="preserve">). </w:t>
      </w:r>
    </w:p>
    <w:p w14:paraId="79BD3A4E" w14:textId="4BD0534E" w:rsidR="004C4B40" w:rsidRDefault="000218D9" w:rsidP="002A431C">
      <w:r w:rsidRPr="00D72F5E">
        <w:t>In</w:t>
      </w:r>
      <w:r w:rsidRPr="0067232F">
        <w:t xml:space="preserve"> coming years, </w:t>
      </w:r>
      <w:r w:rsidR="00590011" w:rsidRPr="0067232F">
        <w:t>new</w:t>
      </w:r>
      <w:r w:rsidR="00C86498" w:rsidRPr="0067232F">
        <w:t xml:space="preserve"> </w:t>
      </w:r>
      <w:r w:rsidR="0005332C" w:rsidRPr="0067232F">
        <w:t>fixed</w:t>
      </w:r>
      <w:r w:rsidR="00B370A6" w:rsidRPr="0067232F">
        <w:t xml:space="preserve"> </w:t>
      </w:r>
      <w:r w:rsidR="0005332C" w:rsidRPr="0067232F">
        <w:t xml:space="preserve">delivery </w:t>
      </w:r>
      <w:r w:rsidR="00C86498" w:rsidRPr="00EA7C2A">
        <w:t>contract</w:t>
      </w:r>
      <w:r w:rsidR="0005332C" w:rsidRPr="00E30227">
        <w:t>s</w:t>
      </w:r>
      <w:r w:rsidR="00C86498" w:rsidRPr="00E30227">
        <w:t xml:space="preserve"> </w:t>
      </w:r>
      <w:r w:rsidR="00C86498" w:rsidRPr="00D72F5E">
        <w:t xml:space="preserve">could </w:t>
      </w:r>
      <w:r w:rsidR="00590011" w:rsidRPr="00D72F5E">
        <w:t xml:space="preserve">increasingly source </w:t>
      </w:r>
      <w:r w:rsidR="00C86498" w:rsidRPr="00D72F5E">
        <w:t xml:space="preserve">ACCUs from </w:t>
      </w:r>
      <w:r w:rsidR="00590011" w:rsidRPr="00D72F5E">
        <w:t xml:space="preserve">established </w:t>
      </w:r>
      <w:r w:rsidR="00C86498" w:rsidRPr="00D72F5E">
        <w:t>projects whose contracts have ended</w:t>
      </w:r>
      <w:r w:rsidR="000F0121" w:rsidRPr="00D72F5E">
        <w:t xml:space="preserve"> (known as ‘post-contract’ supply)</w:t>
      </w:r>
      <w:r w:rsidRPr="00D72F5E">
        <w:t xml:space="preserve"> rather than</w:t>
      </w:r>
      <w:r w:rsidR="00724BD1" w:rsidRPr="00D72F5E">
        <w:t xml:space="preserve"> from new abatement projects</w:t>
      </w:r>
      <w:r w:rsidR="00C86498" w:rsidRPr="0067232F">
        <w:t xml:space="preserve">. </w:t>
      </w:r>
      <w:r w:rsidR="00590011" w:rsidRPr="0067232F">
        <w:t>For example an entity</w:t>
      </w:r>
      <w:r w:rsidRPr="0067232F">
        <w:t xml:space="preserve"> with established projects</w:t>
      </w:r>
      <w:r w:rsidR="00590011" w:rsidRPr="0067232F">
        <w:t xml:space="preserve"> </w:t>
      </w:r>
      <w:r w:rsidR="00C86498" w:rsidRPr="00E30227">
        <w:t xml:space="preserve">could </w:t>
      </w:r>
      <w:r w:rsidR="00590011" w:rsidRPr="00D72F5E">
        <w:t xml:space="preserve">enter into </w:t>
      </w:r>
      <w:r w:rsidRPr="001D10CD">
        <w:t xml:space="preserve">a </w:t>
      </w:r>
      <w:r w:rsidR="00590011" w:rsidRPr="0067232F">
        <w:t xml:space="preserve">new </w:t>
      </w:r>
      <w:r w:rsidR="00C86498" w:rsidRPr="0067232F">
        <w:t xml:space="preserve">Government </w:t>
      </w:r>
      <w:r w:rsidRPr="0067232F">
        <w:t xml:space="preserve">contract </w:t>
      </w:r>
      <w:r w:rsidR="00590011" w:rsidRPr="0067232F">
        <w:t>and</w:t>
      </w:r>
      <w:r w:rsidRPr="001D10CD">
        <w:t>,</w:t>
      </w:r>
      <w:r w:rsidR="00590011" w:rsidRPr="0067232F">
        <w:t xml:space="preserve"> </w:t>
      </w:r>
      <w:r w:rsidRPr="001D10CD">
        <w:t xml:space="preserve">instead of establishing a new ERF project, </w:t>
      </w:r>
      <w:r w:rsidR="004C4B40" w:rsidRPr="0067232F">
        <w:t xml:space="preserve">predominately </w:t>
      </w:r>
      <w:r w:rsidR="00C86498" w:rsidRPr="0067232F">
        <w:t>use</w:t>
      </w:r>
      <w:r w:rsidRPr="001D10CD">
        <w:t xml:space="preserve"> </w:t>
      </w:r>
      <w:r w:rsidR="008A731B" w:rsidRPr="0067232F">
        <w:t xml:space="preserve">ACCUs from </w:t>
      </w:r>
      <w:r w:rsidRPr="0067232F">
        <w:t xml:space="preserve">earlier </w:t>
      </w:r>
      <w:r w:rsidR="004C4B40" w:rsidRPr="0067232F">
        <w:t>projects</w:t>
      </w:r>
      <w:r w:rsidR="00C86498" w:rsidRPr="00EA7C2A">
        <w:t xml:space="preserve"> to deliver against </w:t>
      </w:r>
      <w:r w:rsidR="000F0121" w:rsidRPr="00E30227">
        <w:t xml:space="preserve">the </w:t>
      </w:r>
      <w:r w:rsidR="00C86498" w:rsidRPr="00E30227">
        <w:t>new contract</w:t>
      </w:r>
      <w:r w:rsidR="00C86498" w:rsidRPr="00D72F5E">
        <w:t xml:space="preserve">. </w:t>
      </w:r>
      <w:r w:rsidR="00280506" w:rsidRPr="001D10CD">
        <w:t>P</w:t>
      </w:r>
      <w:r w:rsidRPr="001D10CD">
        <w:t xml:space="preserve">ost-contract supply is a valuable source of units for the secondary market, </w:t>
      </w:r>
      <w:r w:rsidR="00280506" w:rsidRPr="001D10CD">
        <w:t xml:space="preserve">however if not managed, </w:t>
      </w:r>
      <w:r w:rsidRPr="001D10CD">
        <w:t xml:space="preserve">there is a risk that </w:t>
      </w:r>
      <w:r w:rsidR="0005332C" w:rsidRPr="0067232F">
        <w:t xml:space="preserve">Government </w:t>
      </w:r>
      <w:r w:rsidR="00280506" w:rsidRPr="00D72F5E">
        <w:t>c</w:t>
      </w:r>
      <w:r w:rsidRPr="00D72F5E">
        <w:t>ould effectively</w:t>
      </w:r>
      <w:r w:rsidR="006B4B9C" w:rsidRPr="0067232F">
        <w:t xml:space="preserve"> </w:t>
      </w:r>
      <w:r w:rsidRPr="00D72F5E">
        <w:t>‘mop up’ post-contract supply from established projects rather than</w:t>
      </w:r>
      <w:r w:rsidR="006B4B9C" w:rsidRPr="0067232F">
        <w:t xml:space="preserve"> incentivis</w:t>
      </w:r>
      <w:r w:rsidRPr="00D72F5E">
        <w:t>ing</w:t>
      </w:r>
      <w:r w:rsidR="006B4B9C" w:rsidRPr="0067232F">
        <w:t xml:space="preserve"> new </w:t>
      </w:r>
      <w:r w:rsidR="00280506" w:rsidRPr="00D72F5E">
        <w:t>projects</w:t>
      </w:r>
      <w:r w:rsidRPr="00D72F5E">
        <w:t>. G</w:t>
      </w:r>
      <w:r w:rsidRPr="0067232F">
        <w:t>overnment purchasing of post-contract</w:t>
      </w:r>
      <w:r w:rsidR="006B4B9C" w:rsidRPr="0067232F">
        <w:t xml:space="preserve"> </w:t>
      </w:r>
      <w:r w:rsidRPr="0067232F">
        <w:t xml:space="preserve">abatement </w:t>
      </w:r>
      <w:r w:rsidR="006B4B9C" w:rsidRPr="0067232F">
        <w:t xml:space="preserve">could in fact crowd out new projects because </w:t>
      </w:r>
      <w:r w:rsidRPr="00D72F5E">
        <w:t xml:space="preserve">projects operating on a post-contract supply business model will </w:t>
      </w:r>
      <w:r w:rsidR="00724BD1" w:rsidRPr="00D72F5E">
        <w:t xml:space="preserve">be cheaper and therefore </w:t>
      </w:r>
      <w:r w:rsidRPr="00D72F5E">
        <w:t>outcompete new projects at auction</w:t>
      </w:r>
      <w:r w:rsidR="00724BD1" w:rsidRPr="00D72F5E">
        <w:t>s</w:t>
      </w:r>
      <w:r w:rsidRPr="00D72F5E">
        <w:t xml:space="preserve">. </w:t>
      </w:r>
      <w:r w:rsidR="008A731B">
        <w:t xml:space="preserve"> </w:t>
      </w:r>
    </w:p>
    <w:p w14:paraId="04B6B660" w14:textId="77777777" w:rsidR="00E4429D" w:rsidRDefault="0005332C" w:rsidP="0005332C">
      <w:r>
        <w:t xml:space="preserve">The intent of Government purchasing is for tax-payer money to be used to </w:t>
      </w:r>
      <w:r w:rsidR="00BE1FCD">
        <w:t xml:space="preserve">incentivise new </w:t>
      </w:r>
      <w:r>
        <w:t xml:space="preserve">abatement </w:t>
      </w:r>
      <w:r w:rsidR="00BE1FCD">
        <w:t>activity</w:t>
      </w:r>
      <w:r>
        <w:t xml:space="preserve"> to help meet Australia’s international emissions obligations. </w:t>
      </w:r>
      <w:r w:rsidR="000F0121">
        <w:t xml:space="preserve">This is being </w:t>
      </w:r>
      <w:r>
        <w:t>achieved through</w:t>
      </w:r>
      <w:r w:rsidDel="000F0121">
        <w:t xml:space="preserve"> </w:t>
      </w:r>
      <w:r>
        <w:t>Government contracts stimulating the supply of new ERF projects. There is a risk going forward that the current format of fixed</w:t>
      </w:r>
      <w:r w:rsidR="00B370A6">
        <w:t xml:space="preserve"> </w:t>
      </w:r>
      <w:r>
        <w:t>delivery contracts</w:t>
      </w:r>
      <w:r w:rsidR="00BE1FCD">
        <w:t>, which allows contracts to be filled using ACCUs from the secondary market including from ‘post-contract’ supply,</w:t>
      </w:r>
      <w:r>
        <w:t xml:space="preserve"> will not </w:t>
      </w:r>
      <w:r w:rsidR="008A731B">
        <w:t xml:space="preserve">continue to </w:t>
      </w:r>
      <w:r>
        <w:t>support the development of new ERF projects</w:t>
      </w:r>
      <w:r w:rsidR="008A731B">
        <w:t xml:space="preserve">. </w:t>
      </w:r>
      <w:r w:rsidR="00BE1FCD">
        <w:t xml:space="preserve">This issue does not arise for </w:t>
      </w:r>
      <w:r w:rsidR="00F57F50">
        <w:t>option</w:t>
      </w:r>
      <w:r w:rsidR="00BE1FCD">
        <w:t xml:space="preserve"> contacts because the terms of the option requires project proponents to </w:t>
      </w:r>
      <w:r w:rsidR="00F57F50">
        <w:t>deliver</w:t>
      </w:r>
      <w:r w:rsidR="00BE1FCD">
        <w:t xml:space="preserve"> ACCUs from the project identified</w:t>
      </w:r>
      <w:r>
        <w:t xml:space="preserve"> in the </w:t>
      </w:r>
      <w:r w:rsidR="00BE1FCD">
        <w:t>contract</w:t>
      </w:r>
      <w:r>
        <w:t>.</w:t>
      </w:r>
    </w:p>
    <w:p w14:paraId="42E00AC2" w14:textId="707F31E0" w:rsidR="00E4429D" w:rsidRDefault="0005332C" w:rsidP="0005332C">
      <w:r w:rsidDel="00F3391D">
        <w:t xml:space="preserve"> </w:t>
      </w:r>
    </w:p>
    <w:tbl>
      <w:tblPr>
        <w:tblStyle w:val="TableGrid"/>
        <w:tblW w:w="0" w:type="auto"/>
        <w:tblLook w:val="04A0" w:firstRow="1" w:lastRow="0" w:firstColumn="1" w:lastColumn="0" w:noHBand="0" w:noVBand="1"/>
      </w:tblPr>
      <w:tblGrid>
        <w:gridCol w:w="9016"/>
      </w:tblGrid>
      <w:tr w:rsidR="00C04561" w14:paraId="7554C135" w14:textId="77777777" w:rsidTr="00C04561">
        <w:tc>
          <w:tcPr>
            <w:tcW w:w="9016" w:type="dxa"/>
          </w:tcPr>
          <w:p w14:paraId="3279337B" w14:textId="5BA4E48C" w:rsidR="00C04561" w:rsidRPr="00C04561" w:rsidRDefault="00C04561" w:rsidP="00C04561">
            <w:pPr>
              <w:rPr>
                <w:b/>
              </w:rPr>
            </w:pPr>
            <w:r w:rsidRPr="00C04561">
              <w:rPr>
                <w:b/>
              </w:rPr>
              <w:t xml:space="preserve">Recommendation </w:t>
            </w:r>
            <w:r w:rsidR="008336E4">
              <w:rPr>
                <w:b/>
              </w:rPr>
              <w:t>20</w:t>
            </w:r>
          </w:p>
          <w:p w14:paraId="3E918C4E" w14:textId="77777777" w:rsidR="00C04561" w:rsidRPr="00C04561" w:rsidRDefault="00C04561" w:rsidP="00C04561">
            <w:pPr>
              <w:rPr>
                <w:b/>
              </w:rPr>
            </w:pPr>
          </w:p>
          <w:p w14:paraId="04C0D916" w14:textId="1EDA5CDB" w:rsidR="00C04561" w:rsidRPr="00234211" w:rsidRDefault="0067232F" w:rsidP="0067232F">
            <w:pPr>
              <w:rPr>
                <w:b/>
              </w:rPr>
            </w:pPr>
            <w:r w:rsidRPr="00D72F5E">
              <w:rPr>
                <w:b/>
              </w:rPr>
              <w:t xml:space="preserve">To incentivise new projects, the Government adopt contract terms that ensure new fixed delivery contracts are filled predominantly using ACCUs </w:t>
            </w:r>
            <w:r w:rsidRPr="00D72F5E" w:rsidDel="006170FE">
              <w:rPr>
                <w:b/>
              </w:rPr>
              <w:t>from</w:t>
            </w:r>
            <w:r w:rsidRPr="00D72F5E">
              <w:rPr>
                <w:b/>
              </w:rPr>
              <w:t xml:space="preserve"> new ERF projects rather than projects that have already fulfilled ERF contracts (post-contract supply)</w:t>
            </w:r>
            <w:r w:rsidRPr="0067232F">
              <w:rPr>
                <w:b/>
              </w:rPr>
              <w:t>.</w:t>
            </w:r>
          </w:p>
        </w:tc>
      </w:tr>
    </w:tbl>
    <w:p w14:paraId="119CA94B" w14:textId="77777777" w:rsidR="00C04561" w:rsidRDefault="00C04561" w:rsidP="0005332C"/>
    <w:p w14:paraId="44D90559" w14:textId="3B760B67" w:rsidR="00673CFC" w:rsidRPr="006F2EE4" w:rsidRDefault="008071D6" w:rsidP="006F2EE4">
      <w:pPr>
        <w:pStyle w:val="Heading1"/>
        <w:rPr>
          <w:color w:val="0070AE" w:themeColor="accent2" w:themeTint="BF"/>
        </w:rPr>
      </w:pPr>
      <w:bookmarkStart w:id="3148" w:name="_Toc50027772"/>
      <w:bookmarkStart w:id="3149" w:name="_Toc50029466"/>
      <w:bookmarkStart w:id="3150" w:name="_Toc50043897"/>
      <w:bookmarkStart w:id="3151" w:name="_Toc50057749"/>
      <w:r>
        <w:br w:type="column"/>
      </w:r>
      <w:bookmarkStart w:id="3152" w:name="_Toc50553627"/>
      <w:bookmarkStart w:id="3153" w:name="_Toc50555390"/>
      <w:bookmarkStart w:id="3154" w:name="_Toc50559850"/>
      <w:bookmarkStart w:id="3155" w:name="_Toc50559903"/>
      <w:bookmarkStart w:id="3156" w:name="_Toc50563837"/>
      <w:bookmarkStart w:id="3157" w:name="_Toc50711390"/>
      <w:bookmarkStart w:id="3158" w:name="_Toc50720972"/>
      <w:bookmarkStart w:id="3159" w:name="_Toc50730696"/>
      <w:bookmarkStart w:id="3160" w:name="_Toc50734922"/>
      <w:bookmarkStart w:id="3161" w:name="_Toc50735525"/>
      <w:bookmarkStart w:id="3162" w:name="_Toc50905544"/>
      <w:bookmarkStart w:id="3163" w:name="_Toc51587029"/>
      <w:bookmarkStart w:id="3164" w:name="_Toc51594889"/>
      <w:bookmarkStart w:id="3165" w:name="_Toc51599492"/>
      <w:bookmarkStart w:id="3166" w:name="_Toc51613528"/>
      <w:bookmarkStart w:id="3167" w:name="_Toc51669639"/>
      <w:bookmarkStart w:id="3168" w:name="_Toc51669734"/>
      <w:bookmarkStart w:id="3169" w:name="_Toc51672883"/>
      <w:bookmarkStart w:id="3170" w:name="_Toc51673933"/>
      <w:bookmarkStart w:id="3171" w:name="_Toc51680750"/>
      <w:bookmarkStart w:id="3172" w:name="_Toc51683279"/>
      <w:bookmarkStart w:id="3173" w:name="_Toc51686015"/>
      <w:bookmarkStart w:id="3174" w:name="_Toc51687753"/>
      <w:bookmarkStart w:id="3175" w:name="_Toc51687897"/>
      <w:bookmarkStart w:id="3176" w:name="_Toc51705775"/>
      <w:bookmarkStart w:id="3177" w:name="_Toc51770721"/>
      <w:bookmarkStart w:id="3178" w:name="_Toc51770907"/>
      <w:bookmarkStart w:id="3179" w:name="_Toc52359250"/>
      <w:bookmarkStart w:id="3180" w:name="_Toc52367283"/>
      <w:bookmarkStart w:id="3181" w:name="_Toc52371623"/>
      <w:bookmarkStart w:id="3182" w:name="_Toc52374771"/>
      <w:bookmarkStart w:id="3183" w:name="_Toc52377309"/>
      <w:bookmarkStart w:id="3184" w:name="_Toc52379231"/>
      <w:bookmarkStart w:id="3185" w:name="_Toc52379586"/>
      <w:bookmarkStart w:id="3186" w:name="_Toc52532796"/>
      <w:bookmarkStart w:id="3187" w:name="_Toc52535691"/>
      <w:bookmarkStart w:id="3188" w:name="_Toc52537509"/>
      <w:bookmarkStart w:id="3189" w:name="_Toc52544072"/>
      <w:bookmarkStart w:id="3190" w:name="_Toc52545676"/>
      <w:bookmarkStart w:id="3191" w:name="_Toc52547908"/>
      <w:bookmarkStart w:id="3192" w:name="_Toc52548597"/>
      <w:bookmarkStart w:id="3193" w:name="_Toc52890889"/>
      <w:bookmarkStart w:id="3194" w:name="_Toc52895092"/>
      <w:bookmarkStart w:id="3195" w:name="_Toc52896616"/>
      <w:bookmarkStart w:id="3196" w:name="_Toc52977793"/>
      <w:bookmarkStart w:id="3197" w:name="_Toc53129479"/>
      <w:r w:rsidR="00DD6D8C" w:rsidRPr="00234211">
        <w:rPr>
          <w:color w:val="0070AE" w:themeColor="accent2" w:themeTint="BF"/>
        </w:rPr>
        <w:t xml:space="preserve">Chapter 9: Climate </w:t>
      </w:r>
      <w:r w:rsidR="004F4A2D" w:rsidRPr="00234211">
        <w:rPr>
          <w:color w:val="0070AE" w:themeColor="accent2" w:themeTint="BF"/>
        </w:rPr>
        <w:t xml:space="preserve">risks to </w:t>
      </w:r>
      <w:r w:rsidR="003225E7" w:rsidRPr="00234211">
        <w:rPr>
          <w:color w:val="0070AE" w:themeColor="accent2" w:themeTint="BF"/>
        </w:rPr>
        <w:t>carbon</w:t>
      </w:r>
      <w:r w:rsidR="004F4A2D" w:rsidRPr="00234211">
        <w:rPr>
          <w:color w:val="0070AE" w:themeColor="accent2" w:themeTint="BF"/>
        </w:rPr>
        <w:t xml:space="preserve"> sequestration</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73AF" w:themeFill="accent6"/>
        <w:tblLayout w:type="fixed"/>
        <w:tblLook w:val="04A0" w:firstRow="1" w:lastRow="0" w:firstColumn="1" w:lastColumn="0" w:noHBand="0" w:noVBand="1"/>
      </w:tblPr>
      <w:tblGrid>
        <w:gridCol w:w="9741"/>
      </w:tblGrid>
      <w:tr w:rsidR="00673CFC" w:rsidRPr="00B32198" w14:paraId="30E9D732" w14:textId="77777777" w:rsidTr="00D07815">
        <w:tc>
          <w:tcPr>
            <w:tcW w:w="9741" w:type="dxa"/>
            <w:shd w:val="clear" w:color="auto" w:fill="B0E9FF" w:themeFill="text2" w:themeFillTint="33"/>
          </w:tcPr>
          <w:p w14:paraId="43DD0E96" w14:textId="1B132064" w:rsidR="00441C7E" w:rsidRDefault="000A10B2" w:rsidP="00996B9D">
            <w:pPr>
              <w:pStyle w:val="BodyText"/>
            </w:pPr>
            <w:r w:rsidRPr="000A10B2">
              <w:t>Land-based sequestration activities are subject to natural processes and climate variations which affect their ability to accumulate and store carbon pool</w:t>
            </w:r>
            <w:r w:rsidR="003C59C1">
              <w:t>s</w:t>
            </w:r>
            <w:r w:rsidRPr="000A10B2">
              <w:t xml:space="preserve">. </w:t>
            </w:r>
            <w:r w:rsidR="00104E3B">
              <w:t xml:space="preserve">The Authority engaged the </w:t>
            </w:r>
            <w:r w:rsidR="00AB50E1" w:rsidRPr="00AB50E1">
              <w:t xml:space="preserve">CSIRO to </w:t>
            </w:r>
            <w:r w:rsidR="0072343D">
              <w:t xml:space="preserve">assess and report on </w:t>
            </w:r>
            <w:r w:rsidR="00AB50E1" w:rsidRPr="00AB50E1">
              <w:t>the risks from climate change to storing and maintaining carbon in the landscape under ERF methods</w:t>
            </w:r>
            <w:r w:rsidR="00104E3B">
              <w:t>.</w:t>
            </w:r>
          </w:p>
          <w:p w14:paraId="5E45DC3A" w14:textId="77777777" w:rsidR="00CA0B1B" w:rsidRDefault="00CA0B1B" w:rsidP="00996B9D">
            <w:pPr>
              <w:pStyle w:val="BodyText"/>
            </w:pPr>
          </w:p>
          <w:p w14:paraId="490E1E5F" w14:textId="1456C87F" w:rsidR="00DE16C3" w:rsidRDefault="00DE16C3" w:rsidP="00996B9D">
            <w:pPr>
              <w:pStyle w:val="BodyText"/>
            </w:pPr>
            <w:r>
              <w:t>Of the identified risk</w:t>
            </w:r>
            <w:r w:rsidR="00CA0B1B">
              <w:t>s</w:t>
            </w:r>
            <w:r>
              <w:t>, drought-induced stress and mortality, heat stress limiting plant growth and contributing to mortality, and increased aridity/reduced soil water availability were the most commonly occurring risk factor</w:t>
            </w:r>
            <w:r w:rsidR="00E824E0">
              <w:t>s</w:t>
            </w:r>
            <w:r>
              <w:t>.</w:t>
            </w:r>
            <w:r w:rsidR="00CA0B1B">
              <w:t xml:space="preserve"> More research is needed on the potential impacts of</w:t>
            </w:r>
            <w:r>
              <w:t xml:space="preserve"> pests and diseases, and changes to exposure to frost.</w:t>
            </w:r>
          </w:p>
          <w:p w14:paraId="55627165" w14:textId="77777777" w:rsidR="00441C7E" w:rsidRDefault="00441C7E" w:rsidP="00996B9D">
            <w:pPr>
              <w:pStyle w:val="BodyText"/>
            </w:pPr>
          </w:p>
          <w:p w14:paraId="03A6B583" w14:textId="7B0FA704" w:rsidR="00DA0286" w:rsidRDefault="00DE16C3" w:rsidP="00996B9D">
            <w:pPr>
              <w:pStyle w:val="BodyText"/>
            </w:pPr>
            <w:r>
              <w:t xml:space="preserve">Among ERF activities, management of agricultural soils and planting of new forests </w:t>
            </w:r>
            <w:r w:rsidR="00704E0B">
              <w:t xml:space="preserve">were found to </w:t>
            </w:r>
            <w:r w:rsidR="00B25079">
              <w:t>be mos</w:t>
            </w:r>
            <w:r w:rsidR="00104E3B">
              <w:t>t</w:t>
            </w:r>
            <w:r w:rsidR="00B25079">
              <w:t xml:space="preserve"> at</w:t>
            </w:r>
            <w:r>
              <w:t xml:space="preserve"> risk, followed by savanna fire management, management of intertidal ecosystems and re-establishment of native forest cover.</w:t>
            </w:r>
            <w:r w:rsidR="00AB50E1">
              <w:t xml:space="preserve"> </w:t>
            </w:r>
            <w:r w:rsidR="00FE2191">
              <w:t>The Authority recommends prioritising research efforts on th</w:t>
            </w:r>
            <w:r w:rsidR="00B25079">
              <w:t>e</w:t>
            </w:r>
            <w:r w:rsidR="00FE2191">
              <w:t>se sectors and activities</w:t>
            </w:r>
            <w:r w:rsidR="00B25079">
              <w:t>, including to identify</w:t>
            </w:r>
            <w:r w:rsidR="00FE2191">
              <w:t xml:space="preserve"> whether </w:t>
            </w:r>
            <w:r w:rsidR="00704E0B">
              <w:t xml:space="preserve">the relevant ERF methods </w:t>
            </w:r>
            <w:r w:rsidR="00FE2191">
              <w:t xml:space="preserve">can be adjusted </w:t>
            </w:r>
            <w:r w:rsidR="00704E0B">
              <w:t xml:space="preserve">to </w:t>
            </w:r>
            <w:r w:rsidR="00FE2191">
              <w:t xml:space="preserve">further </w:t>
            </w:r>
            <w:r w:rsidR="00704E0B">
              <w:t>alleviate exposure to carbon loss</w:t>
            </w:r>
            <w:r w:rsidR="00AB50E1" w:rsidRPr="00AB50E1">
              <w:t>.</w:t>
            </w:r>
          </w:p>
          <w:p w14:paraId="1CD6AFE6" w14:textId="77777777" w:rsidR="00DA0286" w:rsidRDefault="00DA0286" w:rsidP="00996B9D">
            <w:pPr>
              <w:pStyle w:val="BodyText"/>
            </w:pPr>
          </w:p>
          <w:p w14:paraId="28C88D84" w14:textId="5BD55BD4" w:rsidR="00673CFC" w:rsidRPr="00910ECF" w:rsidRDefault="00E824E0" w:rsidP="00996B9D">
            <w:pPr>
              <w:pStyle w:val="BodyText"/>
            </w:pPr>
            <w:r>
              <w:t>T</w:t>
            </w:r>
            <w:r w:rsidRPr="00E824E0">
              <w:t>he Government’s Climate Compass framework</w:t>
            </w:r>
            <w:r>
              <w:t xml:space="preserve"> could be used to assess</w:t>
            </w:r>
            <w:r w:rsidRPr="00E824E0">
              <w:t xml:space="preserve"> risks </w:t>
            </w:r>
            <w:r>
              <w:t>of</w:t>
            </w:r>
            <w:r w:rsidRPr="00E824E0">
              <w:t xml:space="preserve"> under performance </w:t>
            </w:r>
            <w:r>
              <w:t xml:space="preserve">against </w:t>
            </w:r>
            <w:r w:rsidRPr="00E824E0">
              <w:t>expected abatement at the project and portfolio levels</w:t>
            </w:r>
            <w:r>
              <w:t xml:space="preserve">. The </w:t>
            </w:r>
            <w:r w:rsidRPr="00E824E0">
              <w:t>current risk of reversal buffer and permanence period discount</w:t>
            </w:r>
            <w:r w:rsidR="005B6853">
              <w:t>, which aims to address these risks,</w:t>
            </w:r>
            <w:r w:rsidRPr="00E824E0">
              <w:t xml:space="preserve"> </w:t>
            </w:r>
            <w:r>
              <w:t xml:space="preserve">should be reviewed to </w:t>
            </w:r>
            <w:r w:rsidR="00B25079">
              <w:t xml:space="preserve">ensure they </w:t>
            </w:r>
            <w:r w:rsidRPr="00E824E0">
              <w:t>are appropriately calibrated to guard against risk of carbon losses in land-based sequestration projects.</w:t>
            </w:r>
          </w:p>
        </w:tc>
      </w:tr>
    </w:tbl>
    <w:p w14:paraId="3C2031EF" w14:textId="77777777" w:rsidR="00673CFC" w:rsidRDefault="00673CFC" w:rsidP="004B5D0A"/>
    <w:p w14:paraId="77A920A5" w14:textId="55824826" w:rsidR="00E13CEE" w:rsidRPr="00234211" w:rsidRDefault="00E13CEE" w:rsidP="00500E42">
      <w:pPr>
        <w:pStyle w:val="Heading2"/>
        <w:numPr>
          <w:ilvl w:val="1"/>
          <w:numId w:val="52"/>
        </w:numPr>
        <w:rPr>
          <w:color w:val="0070AE" w:themeColor="accent2" w:themeTint="BF"/>
        </w:rPr>
      </w:pPr>
      <w:bookmarkStart w:id="3198" w:name="_Toc49872011"/>
      <w:bookmarkStart w:id="3199" w:name="_Toc50027773"/>
      <w:bookmarkStart w:id="3200" w:name="_Toc50029467"/>
      <w:bookmarkStart w:id="3201" w:name="_Toc50043898"/>
      <w:bookmarkStart w:id="3202" w:name="_Toc50057750"/>
      <w:bookmarkStart w:id="3203" w:name="_Toc50553628"/>
      <w:bookmarkStart w:id="3204" w:name="_Toc50555391"/>
      <w:bookmarkStart w:id="3205" w:name="_Toc50559851"/>
      <w:bookmarkStart w:id="3206" w:name="_Toc50559904"/>
      <w:bookmarkStart w:id="3207" w:name="_Toc50563838"/>
      <w:bookmarkStart w:id="3208" w:name="_Toc50711391"/>
      <w:bookmarkStart w:id="3209" w:name="_Toc50720973"/>
      <w:bookmarkStart w:id="3210" w:name="_Toc50730697"/>
      <w:bookmarkStart w:id="3211" w:name="_Toc50734923"/>
      <w:bookmarkStart w:id="3212" w:name="_Toc50735526"/>
      <w:bookmarkStart w:id="3213" w:name="_Toc50905545"/>
      <w:bookmarkStart w:id="3214" w:name="_Toc51587030"/>
      <w:bookmarkStart w:id="3215" w:name="_Toc51594890"/>
      <w:bookmarkStart w:id="3216" w:name="_Toc51599493"/>
      <w:bookmarkStart w:id="3217" w:name="_Toc51613529"/>
      <w:bookmarkStart w:id="3218" w:name="_Toc51669640"/>
      <w:bookmarkStart w:id="3219" w:name="_Toc51669735"/>
      <w:bookmarkStart w:id="3220" w:name="_Toc51672884"/>
      <w:bookmarkStart w:id="3221" w:name="_Toc51673934"/>
      <w:bookmarkStart w:id="3222" w:name="_Toc51680751"/>
      <w:bookmarkStart w:id="3223" w:name="_Toc51683280"/>
      <w:bookmarkStart w:id="3224" w:name="_Toc51686016"/>
      <w:bookmarkStart w:id="3225" w:name="_Toc51687754"/>
      <w:bookmarkStart w:id="3226" w:name="_Toc51687898"/>
      <w:bookmarkStart w:id="3227" w:name="_Toc51705776"/>
      <w:bookmarkStart w:id="3228" w:name="_Toc51770722"/>
      <w:bookmarkStart w:id="3229" w:name="_Toc51770908"/>
      <w:bookmarkStart w:id="3230" w:name="_Toc52359251"/>
      <w:bookmarkStart w:id="3231" w:name="_Toc52367284"/>
      <w:bookmarkStart w:id="3232" w:name="_Toc52371624"/>
      <w:bookmarkStart w:id="3233" w:name="_Toc52374772"/>
      <w:bookmarkStart w:id="3234" w:name="_Toc52377310"/>
      <w:bookmarkStart w:id="3235" w:name="_Toc52379232"/>
      <w:bookmarkStart w:id="3236" w:name="_Toc52379587"/>
      <w:bookmarkStart w:id="3237" w:name="_Toc52532797"/>
      <w:bookmarkStart w:id="3238" w:name="_Toc52535692"/>
      <w:bookmarkStart w:id="3239" w:name="_Toc52537510"/>
      <w:bookmarkStart w:id="3240" w:name="_Toc52544073"/>
      <w:bookmarkStart w:id="3241" w:name="_Toc52545677"/>
      <w:bookmarkStart w:id="3242" w:name="_Toc52547909"/>
      <w:bookmarkStart w:id="3243" w:name="_Toc52548598"/>
      <w:bookmarkStart w:id="3244" w:name="_Toc52890890"/>
      <w:bookmarkStart w:id="3245" w:name="_Toc52895093"/>
      <w:bookmarkStart w:id="3246" w:name="_Toc52896617"/>
      <w:bookmarkStart w:id="3247" w:name="_Toc52977794"/>
      <w:bookmarkStart w:id="3248" w:name="_Toc53129480"/>
      <w:r w:rsidRPr="00234211">
        <w:rPr>
          <w:rStyle w:val="IntenseEmphasis"/>
          <w:i w:val="0"/>
          <w:color w:val="0070AE" w:themeColor="accent2" w:themeTint="BF"/>
        </w:rPr>
        <w:t xml:space="preserve">CSIRO’s </w:t>
      </w:r>
      <w:r w:rsidR="00D320A0" w:rsidRPr="00234211">
        <w:rPr>
          <w:rStyle w:val="IntenseEmphasis"/>
          <w:i w:val="0"/>
          <w:color w:val="0070AE" w:themeColor="accent2" w:themeTint="BF"/>
        </w:rPr>
        <w:t xml:space="preserve">technical </w:t>
      </w:r>
      <w:r w:rsidRPr="00234211">
        <w:rPr>
          <w:rStyle w:val="IntenseEmphasis"/>
          <w:i w:val="0"/>
          <w:color w:val="0070AE" w:themeColor="accent2" w:themeTint="BF"/>
        </w:rPr>
        <w:t>review of biophysical risks to carbon sequestration under the ERF</w:t>
      </w:r>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r w:rsidRPr="00234211">
        <w:rPr>
          <w:rStyle w:val="IntenseEmphasis"/>
          <w:i w:val="0"/>
          <w:color w:val="0070AE" w:themeColor="accent2" w:themeTint="BF"/>
        </w:rPr>
        <w:t xml:space="preserve"> </w:t>
      </w:r>
    </w:p>
    <w:p w14:paraId="62350706" w14:textId="2DB76FA4" w:rsidR="00294F32" w:rsidRDefault="00704E0B" w:rsidP="00294F32">
      <w:r>
        <w:t>C</w:t>
      </w:r>
      <w:r w:rsidR="00294F32" w:rsidRPr="003B3B9C">
        <w:rPr>
          <w:rFonts w:eastAsia="Calibri" w:cs="Times New Roman"/>
        </w:rPr>
        <w:t xml:space="preserve">limate change has and will continue to bring about </w:t>
      </w:r>
      <w:r w:rsidR="00294F32">
        <w:rPr>
          <w:rFonts w:eastAsia="Calibri" w:cs="Times New Roman"/>
        </w:rPr>
        <w:t xml:space="preserve">increased variations in </w:t>
      </w:r>
      <w:r w:rsidR="00294F32" w:rsidRPr="003B3B9C">
        <w:rPr>
          <w:rFonts w:eastAsia="Calibri" w:cs="Times New Roman"/>
        </w:rPr>
        <w:t xml:space="preserve">climatic conditions over the </w:t>
      </w:r>
      <w:r w:rsidR="00294F32">
        <w:rPr>
          <w:rFonts w:eastAsia="Calibri" w:cs="Times New Roman"/>
        </w:rPr>
        <w:t xml:space="preserve">course of this </w:t>
      </w:r>
      <w:r w:rsidR="00294F32" w:rsidRPr="003B3B9C">
        <w:rPr>
          <w:rFonts w:eastAsia="Calibri" w:cs="Times New Roman"/>
        </w:rPr>
        <w:t>century</w:t>
      </w:r>
      <w:r w:rsidR="00294F32">
        <w:rPr>
          <w:rFonts w:eastAsia="Calibri" w:cs="Times New Roman"/>
        </w:rPr>
        <w:t>. Land-based ERF sequestration</w:t>
      </w:r>
      <w:r w:rsidR="00294F32" w:rsidRPr="003B3B9C">
        <w:rPr>
          <w:rFonts w:eastAsia="Calibri" w:cs="Times New Roman"/>
        </w:rPr>
        <w:t xml:space="preserve"> </w:t>
      </w:r>
      <w:r w:rsidR="00294F32">
        <w:rPr>
          <w:rFonts w:eastAsia="Calibri" w:cs="Times New Roman"/>
        </w:rPr>
        <w:t>activities are</w:t>
      </w:r>
      <w:r w:rsidR="00294F32">
        <w:t xml:space="preserve"> subject to natural processes and climate variations, which affect their ability to accumulate and store the carbon pools (vegetation and soil carbon) being credited under the ERF scheme. </w:t>
      </w:r>
      <w:r w:rsidR="00D725AE">
        <w:t xml:space="preserve">ERF land based sequestration projects include vegetation management activities, soil management activities, savanna fire management activities (sequestration component) and the proposed blue carbon method. </w:t>
      </w:r>
    </w:p>
    <w:p w14:paraId="275B4F11" w14:textId="63C04B3D" w:rsidR="00294F32" w:rsidRDefault="00294F32" w:rsidP="009D643E">
      <w:r>
        <w:t xml:space="preserve">Several stakeholders raised concerns around risk to the ERF from the impacts of climate change. The ICIN in their submissions noted that </w:t>
      </w:r>
      <w:r w:rsidR="007240AF">
        <w:t>‘</w:t>
      </w:r>
      <w:r w:rsidRPr="00E348E3">
        <w:rPr>
          <w:i/>
        </w:rPr>
        <w:t>climate change presents a risk to future abatement from savanna fire management as it causes a trend in more extreme weather conditions which in turn causes hotter more widespread fires, even with fire management programs in place</w:t>
      </w:r>
      <w:r w:rsidR="007240AF">
        <w:rPr>
          <w:i/>
        </w:rPr>
        <w:t>’</w:t>
      </w:r>
      <w:r w:rsidR="00E46CA2">
        <w:rPr>
          <w:i/>
        </w:rPr>
        <w:t xml:space="preserve"> </w:t>
      </w:r>
      <w:r w:rsidR="00E46CA2" w:rsidRPr="00F94E82">
        <w:t>(</w:t>
      </w:r>
      <w:r w:rsidR="00E46CA2" w:rsidRPr="007F49EA">
        <w:t>ICIN, p7</w:t>
      </w:r>
      <w:r w:rsidR="00E46CA2" w:rsidRPr="00F94E82">
        <w:t>)</w:t>
      </w:r>
      <w:r>
        <w:t>. They state that</w:t>
      </w:r>
      <w:r w:rsidR="009D643E">
        <w:t xml:space="preserve">: </w:t>
      </w:r>
      <w:r w:rsidRPr="00E348E3">
        <w:rPr>
          <w:i/>
        </w:rPr>
        <w:t>‘there is currently no recognition of the impacts of climate change upon savanna burning project methodologies or in the investment model of the ERF</w:t>
      </w:r>
      <w:r w:rsidR="00E46CA2">
        <w:rPr>
          <w:i/>
        </w:rPr>
        <w:t>’</w:t>
      </w:r>
      <w:r w:rsidRPr="00E348E3">
        <w:rPr>
          <w:i/>
        </w:rPr>
        <w:t>.</w:t>
      </w:r>
      <w:r>
        <w:t xml:space="preserve"> Similarly the ACF </w:t>
      </w:r>
      <w:r w:rsidRPr="00E1415C">
        <w:rPr>
          <w:szCs w:val="20"/>
        </w:rPr>
        <w:t>stated</w:t>
      </w:r>
      <w:r>
        <w:t xml:space="preserve"> that </w:t>
      </w:r>
      <w:r w:rsidR="00E46CA2">
        <w:rPr>
          <w:szCs w:val="20"/>
        </w:rPr>
        <w:t>‘</w:t>
      </w:r>
      <w:r w:rsidRPr="00E348E3">
        <w:rPr>
          <w:i/>
          <w:szCs w:val="20"/>
        </w:rPr>
        <w:t>recent bushfires provided a stark example of the kind of loss that can occur and is increasingly likely to occur due to the accelerating impacts of climate change. Vegetation projects, for example, occur in marginal lands that will increasingly be impacted by climate change through drought, fire and other extreme events</w:t>
      </w:r>
      <w:r w:rsidR="00E46CA2">
        <w:rPr>
          <w:i/>
          <w:szCs w:val="20"/>
        </w:rPr>
        <w:t>’ (</w:t>
      </w:r>
      <w:r w:rsidR="00E46CA2" w:rsidRPr="007F49EA">
        <w:rPr>
          <w:szCs w:val="20"/>
        </w:rPr>
        <w:t>ACF p</w:t>
      </w:r>
      <w:r w:rsidR="00500E42">
        <w:rPr>
          <w:szCs w:val="20"/>
        </w:rPr>
        <w:t>.</w:t>
      </w:r>
      <w:r w:rsidR="00E46CA2" w:rsidRPr="007F49EA">
        <w:rPr>
          <w:szCs w:val="20"/>
        </w:rPr>
        <w:t>5</w:t>
      </w:r>
      <w:r w:rsidR="00E46CA2">
        <w:rPr>
          <w:i/>
          <w:szCs w:val="20"/>
        </w:rPr>
        <w:t>)</w:t>
      </w:r>
      <w:r>
        <w:rPr>
          <w:szCs w:val="20"/>
        </w:rPr>
        <w:t>.</w:t>
      </w:r>
    </w:p>
    <w:p w14:paraId="74F50980" w14:textId="63133D39" w:rsidR="00294F32" w:rsidRDefault="00294F32" w:rsidP="00294F32">
      <w:r>
        <w:t xml:space="preserve">Stakeholders also raised concerns over the appropriateness of the scheme’s </w:t>
      </w:r>
      <w:r w:rsidR="00D87CF3">
        <w:t xml:space="preserve">current </w:t>
      </w:r>
      <w:r>
        <w:t>risk mitigation mechanisms</w:t>
      </w:r>
      <w:r w:rsidR="00D87CF3">
        <w:t>,</w:t>
      </w:r>
      <w:r>
        <w:t xml:space="preserve"> </w:t>
      </w:r>
      <w:r w:rsidR="00D87CF3">
        <w:t>including the flat 5 per</w:t>
      </w:r>
      <w:r w:rsidR="000636BA">
        <w:t xml:space="preserve"> </w:t>
      </w:r>
      <w:r w:rsidR="00D87CF3">
        <w:t>cent risk of reversal buffer,</w:t>
      </w:r>
      <w:r>
        <w:t xml:space="preserve"> given the likelihood that risk</w:t>
      </w:r>
      <w:r w:rsidR="009D643E">
        <w:t>s</w:t>
      </w:r>
      <w:r>
        <w:t xml:space="preserve"> to permanence will increase with climate change</w:t>
      </w:r>
      <w:r w:rsidR="00D725AE">
        <w:t xml:space="preserve"> (A</w:t>
      </w:r>
      <w:r w:rsidR="00D87CF3">
        <w:t>EPLG, ACF submissions)</w:t>
      </w:r>
      <w:r>
        <w:t xml:space="preserve">. </w:t>
      </w:r>
    </w:p>
    <w:p w14:paraId="777A7AE4" w14:textId="77777777" w:rsidR="00294F32" w:rsidRDefault="00294F32" w:rsidP="00294F32">
      <w:pPr>
        <w:rPr>
          <w:rFonts w:eastAsia="Calibri" w:cs="Times New Roman"/>
        </w:rPr>
      </w:pPr>
      <w:r w:rsidRPr="003B3B9C">
        <w:rPr>
          <w:rFonts w:eastAsia="Calibri" w:cs="Times New Roman"/>
        </w:rPr>
        <w:t xml:space="preserve">Understanding and identifying the likely impacts of climate change on particular </w:t>
      </w:r>
      <w:r>
        <w:rPr>
          <w:rFonts w:eastAsia="Calibri" w:cs="Times New Roman"/>
        </w:rPr>
        <w:t xml:space="preserve">ERF </w:t>
      </w:r>
      <w:r w:rsidRPr="003B3B9C">
        <w:rPr>
          <w:rFonts w:eastAsia="Calibri" w:cs="Times New Roman"/>
        </w:rPr>
        <w:t>project types and regions is necessary to manage climate risks</w:t>
      </w:r>
      <w:r>
        <w:rPr>
          <w:rFonts w:eastAsia="Calibri" w:cs="Times New Roman"/>
        </w:rPr>
        <w:t xml:space="preserve"> and identify opportunities to build resilience</w:t>
      </w:r>
      <w:r w:rsidRPr="003B3B9C">
        <w:rPr>
          <w:rFonts w:eastAsia="Calibri" w:cs="Times New Roman"/>
        </w:rPr>
        <w:t xml:space="preserve">. Effective management of climate risk will ensure ERF sequestration projects can continue to play a </w:t>
      </w:r>
      <w:r>
        <w:rPr>
          <w:rFonts w:eastAsia="Calibri" w:cs="Times New Roman"/>
        </w:rPr>
        <w:t xml:space="preserve">meaningful </w:t>
      </w:r>
      <w:r w:rsidRPr="003B3B9C">
        <w:rPr>
          <w:rFonts w:eastAsia="Calibri" w:cs="Times New Roman"/>
        </w:rPr>
        <w:t>role in</w:t>
      </w:r>
      <w:r>
        <w:rPr>
          <w:rFonts w:eastAsia="Calibri" w:cs="Times New Roman"/>
        </w:rPr>
        <w:t xml:space="preserve"> helping </w:t>
      </w:r>
      <w:r w:rsidRPr="003B3B9C">
        <w:rPr>
          <w:rFonts w:eastAsia="Calibri" w:cs="Times New Roman"/>
        </w:rPr>
        <w:t xml:space="preserve">Australia </w:t>
      </w:r>
      <w:r>
        <w:rPr>
          <w:rFonts w:eastAsia="Calibri" w:cs="Times New Roman"/>
        </w:rPr>
        <w:t>meet its international emissions reduction commitments and transition to a low emissions economy.</w:t>
      </w:r>
    </w:p>
    <w:p w14:paraId="30C985B9" w14:textId="33C00C3B" w:rsidR="00294F32" w:rsidRDefault="00294F32" w:rsidP="00294F32">
      <w:r>
        <w:t xml:space="preserve">The Authority commissioned the CSIRO as part of this review to undertake an assessment </w:t>
      </w:r>
      <w:r>
        <w:rPr>
          <w:szCs w:val="20"/>
        </w:rPr>
        <w:t>of</w:t>
      </w:r>
      <w:r w:rsidRPr="00E1415C">
        <w:rPr>
          <w:szCs w:val="20"/>
        </w:rPr>
        <w:t xml:space="preserve"> the biophysical risks to carbon sequestration </w:t>
      </w:r>
      <w:r>
        <w:rPr>
          <w:szCs w:val="20"/>
        </w:rPr>
        <w:t xml:space="preserve">activities </w:t>
      </w:r>
      <w:r w:rsidRPr="00E1415C">
        <w:rPr>
          <w:szCs w:val="20"/>
        </w:rPr>
        <w:t>und</w:t>
      </w:r>
      <w:r w:rsidR="008D637B">
        <w:rPr>
          <w:szCs w:val="20"/>
        </w:rPr>
        <w:t>e</w:t>
      </w:r>
      <w:r w:rsidRPr="00E1415C">
        <w:rPr>
          <w:szCs w:val="20"/>
        </w:rPr>
        <w:t>r the ERF</w:t>
      </w:r>
      <w:r>
        <w:t xml:space="preserve"> - </w:t>
      </w:r>
      <w:r w:rsidRPr="00BA2FDD">
        <w:rPr>
          <w:i/>
        </w:rPr>
        <w:t xml:space="preserve">Technical review of physical risks to carbon sequestration under the Emissions Reduction Fund </w:t>
      </w:r>
      <w:r>
        <w:t>(</w:t>
      </w:r>
      <w:r w:rsidRPr="00BA125B">
        <w:t>CSIRO</w:t>
      </w:r>
      <w:r w:rsidR="002A3373" w:rsidRPr="00BA125B">
        <w:t xml:space="preserve"> </w:t>
      </w:r>
      <w:r w:rsidR="0076532D" w:rsidRPr="00BA125B">
        <w:t>2020</w:t>
      </w:r>
      <w:r w:rsidR="002A3373">
        <w:t>, available via the Authority’s</w:t>
      </w:r>
      <w:r>
        <w:t xml:space="preserve"> website</w:t>
      </w:r>
      <w:r w:rsidR="002A3373">
        <w:t xml:space="preserve">). </w:t>
      </w:r>
      <w:r>
        <w:t xml:space="preserve">The scope, methodology and </w:t>
      </w:r>
      <w:r w:rsidR="0072343D">
        <w:t xml:space="preserve">a </w:t>
      </w:r>
      <w:r>
        <w:t xml:space="preserve">summary of findings are set out in this chapter followed by an analysis of the opportunities to effectively manage </w:t>
      </w:r>
      <w:r w:rsidRPr="003B3B9C">
        <w:rPr>
          <w:rFonts w:eastAsia="Calibri" w:cs="Times New Roman"/>
          <w:szCs w:val="20"/>
        </w:rPr>
        <w:t xml:space="preserve">the </w:t>
      </w:r>
      <w:r>
        <w:rPr>
          <w:rFonts w:eastAsia="Calibri" w:cs="Times New Roman"/>
          <w:szCs w:val="20"/>
        </w:rPr>
        <w:t xml:space="preserve">risks to the </w:t>
      </w:r>
      <w:r w:rsidRPr="003B3B9C">
        <w:rPr>
          <w:rFonts w:eastAsia="Calibri" w:cs="Times New Roman"/>
        </w:rPr>
        <w:t xml:space="preserve">accumulation and maintenance of carbon in </w:t>
      </w:r>
      <w:r w:rsidRPr="003B3B9C">
        <w:rPr>
          <w:rFonts w:eastAsia="Calibri" w:cs="Times New Roman"/>
          <w:szCs w:val="20"/>
        </w:rPr>
        <w:t xml:space="preserve">land under </w:t>
      </w:r>
      <w:r w:rsidRPr="003B3B9C">
        <w:rPr>
          <w:rFonts w:eastAsia="Calibri" w:cs="Times New Roman"/>
        </w:rPr>
        <w:t>ERF sequestration</w:t>
      </w:r>
      <w:r>
        <w:rPr>
          <w:rFonts w:eastAsia="Calibri" w:cs="Times New Roman"/>
        </w:rPr>
        <w:t xml:space="preserve"> activities</w:t>
      </w:r>
      <w:r w:rsidRPr="003B3B9C">
        <w:rPr>
          <w:rFonts w:eastAsia="Calibri" w:cs="Times New Roman"/>
        </w:rPr>
        <w:t>.</w:t>
      </w:r>
    </w:p>
    <w:p w14:paraId="3C044831" w14:textId="296EEFE5" w:rsidR="00C2578E" w:rsidRDefault="005C10EF" w:rsidP="00E348E3">
      <w:pPr>
        <w:pStyle w:val="Heading3"/>
      </w:pPr>
      <w:r w:rsidRPr="00234211">
        <w:rPr>
          <w:i/>
          <w:color w:val="0070AE" w:themeColor="accent2" w:themeTint="BF"/>
        </w:rPr>
        <w:t>Scope</w:t>
      </w:r>
      <w:r w:rsidRPr="00E348E3">
        <w:rPr>
          <w:i/>
        </w:rPr>
        <w:t xml:space="preserve"> </w:t>
      </w:r>
    </w:p>
    <w:p w14:paraId="20F85022" w14:textId="5ED9AFFE" w:rsidR="00F85AF0" w:rsidRDefault="00CD0AA3" w:rsidP="00D7489F">
      <w:r w:rsidRPr="006A7745">
        <w:t xml:space="preserve">The overall aim of the CSIRO study </w:t>
      </w:r>
      <w:r>
        <w:t>was</w:t>
      </w:r>
      <w:r w:rsidRPr="006A7745">
        <w:t xml:space="preserve"> to provide information on the biophysical risks associated with </w:t>
      </w:r>
      <w:r>
        <w:t>achieving</w:t>
      </w:r>
      <w:r w:rsidRPr="006A7745">
        <w:t xml:space="preserve"> </w:t>
      </w:r>
      <w:r>
        <w:t>abatement from</w:t>
      </w:r>
      <w:r w:rsidRPr="006A7745">
        <w:t xml:space="preserve"> carbon sequestration</w:t>
      </w:r>
      <w:r>
        <w:t xml:space="preserve"> </w:t>
      </w:r>
      <w:r w:rsidR="001B6738">
        <w:t xml:space="preserve">activities </w:t>
      </w:r>
      <w:r w:rsidR="00A41A3C">
        <w:t xml:space="preserve">using </w:t>
      </w:r>
      <w:r>
        <w:t>ERF land sector methods</w:t>
      </w:r>
      <w:r w:rsidRPr="006A7745">
        <w:t xml:space="preserve">. </w:t>
      </w:r>
      <w:r>
        <w:t>This include</w:t>
      </w:r>
      <w:r w:rsidR="00F9527F">
        <w:t>s</w:t>
      </w:r>
      <w:r>
        <w:t xml:space="preserve"> risks to ERF sequestration </w:t>
      </w:r>
      <w:r w:rsidR="00F9527F">
        <w:t>projects</w:t>
      </w:r>
      <w:r>
        <w:t xml:space="preserve"> accumulat</w:t>
      </w:r>
      <w:r w:rsidR="00F9527F">
        <w:t>ing</w:t>
      </w:r>
      <w:r>
        <w:t xml:space="preserve"> the anticipated levels of carbon </w:t>
      </w:r>
      <w:r w:rsidR="005C10EF">
        <w:t xml:space="preserve">sequestration </w:t>
      </w:r>
      <w:r>
        <w:t>and the ability of ERF projects to maintain carbon in soils and vegetation</w:t>
      </w:r>
      <w:r w:rsidR="00F85AF0">
        <w:t xml:space="preserve"> (</w:t>
      </w:r>
      <w:r w:rsidR="00F85AF0" w:rsidRPr="00B76DFC">
        <w:t>Figure 9.1</w:t>
      </w:r>
      <w:r w:rsidR="00F85AF0">
        <w:t>)</w:t>
      </w:r>
      <w:r>
        <w:t xml:space="preserve">. </w:t>
      </w:r>
    </w:p>
    <w:p w14:paraId="7126E052" w14:textId="598C1091" w:rsidR="00F85AF0" w:rsidRPr="00234211" w:rsidRDefault="00F85AF0" w:rsidP="00357636">
      <w:pPr>
        <w:pStyle w:val="Figure"/>
      </w:pPr>
      <w:bookmarkStart w:id="3249" w:name="_Toc52980709"/>
      <w:bookmarkStart w:id="3250" w:name="_Toc52980820"/>
      <w:bookmarkStart w:id="3251" w:name="_Toc53130464"/>
      <w:r w:rsidRPr="00234211">
        <w:t>Figure 9.</w:t>
      </w:r>
      <w:r w:rsidR="0080045D">
        <w:fldChar w:fldCharType="begin"/>
      </w:r>
      <w:r w:rsidR="0080045D">
        <w:instrText xml:space="preserve"> SEQ Figure \* ARABIC </w:instrText>
      </w:r>
      <w:r w:rsidR="0080045D">
        <w:fldChar w:fldCharType="separate"/>
      </w:r>
      <w:r w:rsidR="00453486" w:rsidRPr="00234211">
        <w:t>1</w:t>
      </w:r>
      <w:r w:rsidR="0080045D">
        <w:fldChar w:fldCharType="end"/>
      </w:r>
      <w:r w:rsidRPr="00234211">
        <w:t xml:space="preserve"> Risks to carbon sequestration: accumulation and </w:t>
      </w:r>
      <w:r w:rsidR="005B0A38">
        <w:t>m</w:t>
      </w:r>
      <w:r w:rsidRPr="00234211">
        <w:t>aintenance</w:t>
      </w:r>
      <w:bookmarkEnd w:id="3249"/>
      <w:bookmarkEnd w:id="3250"/>
      <w:bookmarkEnd w:id="3251"/>
      <w:r w:rsidRPr="00234211">
        <w:t xml:space="preserve"> </w:t>
      </w:r>
    </w:p>
    <w:p w14:paraId="6EBEDB68" w14:textId="780633A6" w:rsidR="00F85AF0" w:rsidRDefault="005E41EC" w:rsidP="000E1933">
      <w:pPr>
        <w:keepNext/>
      </w:pPr>
      <w:r>
        <w:rPr>
          <w:rFonts w:ascii="Times New Roman" w:eastAsia="Times New Roman" w:hAnsi="Times New Roman" w:cs="Times New Roman"/>
          <w:noProof/>
          <w:sz w:val="24"/>
          <w:szCs w:val="24"/>
          <w:lang w:eastAsia="en-AU"/>
        </w:rPr>
        <w:drawing>
          <wp:inline distT="0" distB="0" distL="0" distR="0" wp14:anchorId="34462915" wp14:editId="74846A86">
            <wp:extent cx="5731510" cy="2125345"/>
            <wp:effectExtent l="0" t="0" r="2540" b="8255"/>
            <wp:docPr id="17" name="Picture 17" descr="Figure 9.1 is two charts illustrating accumulation and maintenance risks to carbon sequestration. For both charts, the vertical axis is the volume of carbon sequestered and the horizontal axis is time since the start of the sequestration activity. The first chart illustrates risk to accumulation, with the achieved abatement less than the anticipated abatement for the entire time period. The second chart illustrates maintenance risk, with anticipated and achieved abatement identical up to the point where an impact event occurs which reduces the achieved abatement to less than the anticipated abatement. While the achieved abatement recovers it does not recover to the level of anticipated abatement." title="Figure 9.1 Risks to carbon sequestration: accumulation and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notation 2020-09-02 100710.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2125345"/>
                    </a:xfrm>
                    <a:prstGeom prst="rect">
                      <a:avLst/>
                    </a:prstGeom>
                  </pic:spPr>
                </pic:pic>
              </a:graphicData>
            </a:graphic>
          </wp:inline>
        </w:drawing>
      </w:r>
    </w:p>
    <w:p w14:paraId="5BA0966F" w14:textId="17F5F056" w:rsidR="003E444F" w:rsidRPr="00F94E82" w:rsidRDefault="003E444F" w:rsidP="00CD0AA3">
      <w:pPr>
        <w:rPr>
          <w:sz w:val="17"/>
          <w:szCs w:val="17"/>
        </w:rPr>
      </w:pPr>
      <w:r w:rsidRPr="00F94E82">
        <w:rPr>
          <w:b/>
          <w:sz w:val="17"/>
          <w:szCs w:val="17"/>
        </w:rPr>
        <w:t>Source</w:t>
      </w:r>
      <w:r w:rsidRPr="00F94E82">
        <w:rPr>
          <w:sz w:val="17"/>
          <w:szCs w:val="17"/>
        </w:rPr>
        <w:t>:</w:t>
      </w:r>
      <w:r w:rsidRPr="00F94E82">
        <w:rPr>
          <w:color w:val="0070AE" w:themeColor="accent2" w:themeTint="BF"/>
          <w:sz w:val="17"/>
          <w:szCs w:val="17"/>
        </w:rPr>
        <w:t xml:space="preserve"> </w:t>
      </w:r>
      <w:r w:rsidRPr="00F94E82">
        <w:rPr>
          <w:sz w:val="17"/>
          <w:szCs w:val="17"/>
        </w:rPr>
        <w:t>(CSIRO 2020, p.1)</w:t>
      </w:r>
      <w:r w:rsidRPr="00F94E82">
        <w:rPr>
          <w:color w:val="0070AE" w:themeColor="accent2" w:themeTint="BF"/>
          <w:sz w:val="17"/>
          <w:szCs w:val="17"/>
        </w:rPr>
        <w:t xml:space="preserve">  </w:t>
      </w:r>
      <w:r w:rsidRPr="00F94E82">
        <w:rPr>
          <w:sz w:val="17"/>
          <w:szCs w:val="17"/>
        </w:rPr>
        <w:t xml:space="preserve"> </w:t>
      </w:r>
    </w:p>
    <w:p w14:paraId="247A9D64" w14:textId="72E0FB17" w:rsidR="00CD0AA3" w:rsidRDefault="00CD0AA3" w:rsidP="00CD0AA3">
      <w:r w:rsidRPr="006A7745">
        <w:t xml:space="preserve">A second aim of the study </w:t>
      </w:r>
      <w:r>
        <w:t>was to assess</w:t>
      </w:r>
      <w:r w:rsidRPr="006A7745">
        <w:t xml:space="preserve"> the co-benefits associated with ERF sequestration activities, and provide a review </w:t>
      </w:r>
      <w:r>
        <w:t xml:space="preserve">of </w:t>
      </w:r>
      <w:r w:rsidRPr="006A7745">
        <w:t>the potential for these co-benefits to contribute to farm resilience and climate change adaptation, as well as identifying other activities that are consistent with ERF project management, and that could confer farm-scale adaptive capacity.</w:t>
      </w:r>
      <w:r>
        <w:t xml:space="preserve"> The</w:t>
      </w:r>
      <w:r w:rsidR="00F9527F">
        <w:t>se</w:t>
      </w:r>
      <w:r>
        <w:t xml:space="preserve"> findings are discussed in Chapter 10. </w:t>
      </w:r>
    </w:p>
    <w:p w14:paraId="226BBBCB" w14:textId="2DC19095" w:rsidR="00907B80" w:rsidRDefault="00CD0AA3" w:rsidP="00907B80">
      <w:r>
        <w:t>T</w:t>
      </w:r>
      <w:r w:rsidR="00907B80">
        <w:t>he CSIRO report analyse</w:t>
      </w:r>
      <w:r>
        <w:t>d</w:t>
      </w:r>
      <w:r w:rsidR="00907B80">
        <w:t xml:space="preserve"> </w:t>
      </w:r>
      <w:r w:rsidR="00907B80" w:rsidRPr="004A23D5">
        <w:t xml:space="preserve">physical </w:t>
      </w:r>
      <w:r w:rsidR="005C10EF">
        <w:t xml:space="preserve">climate </w:t>
      </w:r>
      <w:r w:rsidR="00907B80" w:rsidRPr="004A23D5">
        <w:t>risks to carbon sequestration under current ERF land sector methodologies, including the proposed ‘Blue Carbon’ methodology. Twelve methodologies were identified that include sequestration as either all or part of their recognised abatement</w:t>
      </w:r>
      <w:r w:rsidR="00907B80">
        <w:t xml:space="preserve"> (Table </w:t>
      </w:r>
      <w:r w:rsidR="00C60D23" w:rsidRPr="00C04561">
        <w:t>9.1</w:t>
      </w:r>
      <w:r w:rsidR="00907B80" w:rsidRPr="00C04561">
        <w:t>).</w:t>
      </w:r>
      <w:r w:rsidR="00907B80" w:rsidRPr="00593092">
        <w:t xml:space="preserve"> </w:t>
      </w:r>
      <w:r w:rsidR="00907B80">
        <w:t>Savanna burning has both emissions avoidance and sequestration components and was therefore considered as part of this review</w:t>
      </w:r>
      <w:r w:rsidR="00DA5D13">
        <w:t>, with only the sequestration component taken into account for the evaluation of risk</w:t>
      </w:r>
      <w:r w:rsidR="00907B80">
        <w:t xml:space="preserve">.  </w:t>
      </w:r>
      <w:r w:rsidR="00D24AD1">
        <w:t>For the purposes of analysis these twelve methodologies were classified into six broad classes, on the basis of similarity in underlying management activity, and thus likely similarity in risk profile</w:t>
      </w:r>
      <w:r w:rsidR="000636BA">
        <w:t>.</w:t>
      </w:r>
    </w:p>
    <w:p w14:paraId="7ADF7637" w14:textId="300718AB" w:rsidR="00F179F7" w:rsidRPr="00234211" w:rsidRDefault="00F179F7" w:rsidP="00357636">
      <w:pPr>
        <w:pStyle w:val="Table"/>
      </w:pPr>
      <w:bookmarkStart w:id="3252" w:name="_Toc53129515"/>
      <w:r w:rsidRPr="00234211">
        <w:t xml:space="preserve">Table </w:t>
      </w:r>
      <w:r w:rsidR="00C60D23" w:rsidRPr="00234211">
        <w:t>9.1</w:t>
      </w:r>
      <w:r w:rsidRPr="00234211">
        <w:t>: List of ERF methodologies included in the CSIRO Analysis</w:t>
      </w:r>
      <w:bookmarkEnd w:id="3252"/>
    </w:p>
    <w:tbl>
      <w:tblPr>
        <w:tblStyle w:val="TableGrid2"/>
        <w:tblW w:w="9498" w:type="dxa"/>
        <w:tblBorders>
          <w:top w:val="single" w:sz="2" w:space="0" w:color="007BB7"/>
          <w:left w:val="none" w:sz="0" w:space="0" w:color="auto"/>
          <w:bottom w:val="single" w:sz="2" w:space="0" w:color="007BB7"/>
          <w:right w:val="none" w:sz="0" w:space="0" w:color="auto"/>
          <w:insideH w:val="single" w:sz="2" w:space="0" w:color="007BB7"/>
          <w:insideV w:val="none" w:sz="0" w:space="0" w:color="auto"/>
        </w:tblBorders>
        <w:tblCellMar>
          <w:top w:w="142" w:type="dxa"/>
          <w:left w:w="142" w:type="dxa"/>
          <w:bottom w:w="142" w:type="dxa"/>
          <w:right w:w="142" w:type="dxa"/>
        </w:tblCellMar>
        <w:tblLook w:val="04A0" w:firstRow="1" w:lastRow="0" w:firstColumn="1" w:lastColumn="0" w:noHBand="0" w:noVBand="1"/>
      </w:tblPr>
      <w:tblGrid>
        <w:gridCol w:w="4369"/>
        <w:gridCol w:w="5129"/>
      </w:tblGrid>
      <w:tr w:rsidR="00F179F7" w:rsidRPr="00F179F7" w14:paraId="599A8D58" w14:textId="77777777" w:rsidTr="00E348E3">
        <w:trPr>
          <w:trHeight w:hRule="exact" w:val="711"/>
        </w:trPr>
        <w:tc>
          <w:tcPr>
            <w:tcW w:w="4369" w:type="dxa"/>
            <w:shd w:val="clear" w:color="auto" w:fill="0070AE" w:themeFill="accent2" w:themeFillTint="BF"/>
            <w:tcMar>
              <w:top w:w="113" w:type="dxa"/>
              <w:bottom w:w="113" w:type="dxa"/>
            </w:tcMar>
          </w:tcPr>
          <w:p w14:paraId="69C71FB4" w14:textId="7D492B47" w:rsidR="00F179F7" w:rsidRPr="003C59C1" w:rsidRDefault="00F179F7" w:rsidP="003C59C1">
            <w:pPr>
              <w:pStyle w:val="FigureTableHeader"/>
              <w:pBdr>
                <w:top w:val="none" w:sz="0" w:space="0" w:color="auto"/>
              </w:pBdr>
              <w:rPr>
                <w:rFonts w:eastAsiaTheme="minorHAnsi"/>
                <w:color w:val="FFFFFF" w:themeColor="background1"/>
                <w:lang w:val="en-AU"/>
              </w:rPr>
            </w:pPr>
            <w:bookmarkStart w:id="3253" w:name="_Toc49870588"/>
            <w:bookmarkStart w:id="3254" w:name="_Toc49871331"/>
            <w:bookmarkStart w:id="3255" w:name="_Toc49872012"/>
            <w:bookmarkStart w:id="3256" w:name="_Toc49872564"/>
            <w:bookmarkStart w:id="3257" w:name="_Toc50027774"/>
            <w:bookmarkStart w:id="3258" w:name="_Toc50029468"/>
            <w:r w:rsidRPr="003C59C1">
              <w:rPr>
                <w:rFonts w:eastAsiaTheme="minorHAnsi"/>
                <w:color w:val="FFFFFF" w:themeColor="background1"/>
                <w:lang w:val="en-AU"/>
              </w:rPr>
              <w:t>Activity category</w:t>
            </w:r>
            <w:bookmarkEnd w:id="3253"/>
            <w:bookmarkEnd w:id="3254"/>
            <w:bookmarkEnd w:id="3255"/>
            <w:bookmarkEnd w:id="3256"/>
            <w:bookmarkEnd w:id="3257"/>
            <w:bookmarkEnd w:id="3258"/>
          </w:p>
          <w:p w14:paraId="171822D2" w14:textId="77777777" w:rsidR="00F179F7" w:rsidRPr="00F179F7" w:rsidRDefault="00F179F7" w:rsidP="00E13CEE">
            <w:pPr>
              <w:rPr>
                <w:rFonts w:cs="Arial"/>
                <w:szCs w:val="20"/>
              </w:rPr>
            </w:pPr>
          </w:p>
          <w:p w14:paraId="13FC9162" w14:textId="77777777" w:rsidR="00F179F7" w:rsidRPr="00F179F7" w:rsidRDefault="00F179F7" w:rsidP="00E13CEE">
            <w:pPr>
              <w:rPr>
                <w:rFonts w:cs="Arial"/>
                <w:szCs w:val="20"/>
              </w:rPr>
            </w:pPr>
          </w:p>
          <w:p w14:paraId="5B620DD4" w14:textId="77777777" w:rsidR="00F179F7" w:rsidRPr="00F179F7" w:rsidRDefault="00F179F7" w:rsidP="00E13CEE">
            <w:pPr>
              <w:rPr>
                <w:rFonts w:cs="Arial"/>
                <w:szCs w:val="20"/>
              </w:rPr>
            </w:pPr>
          </w:p>
          <w:p w14:paraId="5BB964D1" w14:textId="77777777" w:rsidR="00F179F7" w:rsidRPr="00F179F7" w:rsidRDefault="00F179F7" w:rsidP="00E13CEE">
            <w:pPr>
              <w:rPr>
                <w:rFonts w:cs="Arial"/>
                <w:szCs w:val="20"/>
              </w:rPr>
            </w:pPr>
          </w:p>
          <w:p w14:paraId="725D87DB" w14:textId="77777777" w:rsidR="00F179F7" w:rsidRPr="00F179F7" w:rsidRDefault="00F179F7" w:rsidP="00E13CEE">
            <w:pPr>
              <w:rPr>
                <w:rFonts w:cs="Arial"/>
                <w:szCs w:val="20"/>
              </w:rPr>
            </w:pPr>
          </w:p>
          <w:p w14:paraId="0931C5E9" w14:textId="77777777" w:rsidR="00F179F7" w:rsidRPr="00F179F7" w:rsidRDefault="00F179F7" w:rsidP="00E13CEE">
            <w:pPr>
              <w:rPr>
                <w:rFonts w:cs="Arial"/>
                <w:szCs w:val="20"/>
              </w:rPr>
            </w:pPr>
          </w:p>
          <w:p w14:paraId="55823E1B" w14:textId="77777777" w:rsidR="00F179F7" w:rsidRPr="00F179F7" w:rsidRDefault="00F179F7" w:rsidP="00E13CEE">
            <w:pPr>
              <w:rPr>
                <w:rFonts w:cs="Arial"/>
                <w:szCs w:val="20"/>
              </w:rPr>
            </w:pPr>
          </w:p>
          <w:p w14:paraId="00957013" w14:textId="77777777" w:rsidR="00F179F7" w:rsidRPr="00F179F7" w:rsidRDefault="00F179F7" w:rsidP="00E13CEE">
            <w:pPr>
              <w:rPr>
                <w:rFonts w:cs="Arial"/>
                <w:szCs w:val="20"/>
              </w:rPr>
            </w:pPr>
          </w:p>
        </w:tc>
        <w:tc>
          <w:tcPr>
            <w:tcW w:w="5129" w:type="dxa"/>
            <w:shd w:val="clear" w:color="auto" w:fill="0070AE" w:themeFill="accent2" w:themeFillTint="BF"/>
          </w:tcPr>
          <w:p w14:paraId="7FF92958" w14:textId="6E1D7D06" w:rsidR="00F179F7" w:rsidRPr="00E348E3" w:rsidRDefault="00F179F7" w:rsidP="003C59C1">
            <w:pPr>
              <w:pStyle w:val="FigureTableHeader"/>
              <w:pBdr>
                <w:top w:val="none" w:sz="0" w:space="0" w:color="auto"/>
              </w:pBdr>
              <w:rPr>
                <w:rFonts w:eastAsia="Times New Roman" w:cs="Arial"/>
                <w:b/>
                <w:bCs/>
                <w:color w:val="FFFFFF"/>
                <w:szCs w:val="20"/>
                <w:lang w:val="en-GB"/>
              </w:rPr>
            </w:pPr>
            <w:r w:rsidRPr="00E348E3">
              <w:rPr>
                <w:rFonts w:eastAsia="Times New Roman" w:cs="Arial"/>
                <w:b/>
                <w:bCs/>
                <w:color w:val="FFFFFF"/>
                <w:szCs w:val="20"/>
                <w:lang w:val="en-GB"/>
              </w:rPr>
              <w:t xml:space="preserve">                          </w:t>
            </w:r>
            <w:bookmarkStart w:id="3259" w:name="_Toc49870589"/>
            <w:bookmarkStart w:id="3260" w:name="_Toc49871332"/>
            <w:bookmarkStart w:id="3261" w:name="_Toc49872013"/>
            <w:bookmarkStart w:id="3262" w:name="_Toc49872565"/>
            <w:bookmarkStart w:id="3263" w:name="_Toc50027775"/>
            <w:bookmarkStart w:id="3264" w:name="_Toc50029469"/>
            <w:r w:rsidRPr="003C59C1">
              <w:rPr>
                <w:rFonts w:eastAsiaTheme="minorHAnsi"/>
                <w:color w:val="FFFFFF" w:themeColor="background1"/>
                <w:lang w:val="en-AU"/>
              </w:rPr>
              <w:t>ERF methodology</w:t>
            </w:r>
            <w:bookmarkEnd w:id="3259"/>
            <w:bookmarkEnd w:id="3260"/>
            <w:bookmarkEnd w:id="3261"/>
            <w:bookmarkEnd w:id="3262"/>
            <w:bookmarkEnd w:id="3263"/>
            <w:bookmarkEnd w:id="3264"/>
          </w:p>
        </w:tc>
      </w:tr>
      <w:tr w:rsidR="00F179F7" w:rsidRPr="00F179F7" w14:paraId="34C8A576" w14:textId="77777777" w:rsidTr="009D643E">
        <w:trPr>
          <w:trHeight w:hRule="exact" w:val="945"/>
        </w:trPr>
        <w:tc>
          <w:tcPr>
            <w:tcW w:w="4369" w:type="dxa"/>
            <w:shd w:val="clear" w:color="auto" w:fill="DEDFDE"/>
            <w:tcMar>
              <w:top w:w="113" w:type="dxa"/>
              <w:bottom w:w="113" w:type="dxa"/>
            </w:tcMar>
          </w:tcPr>
          <w:p w14:paraId="192D4A14" w14:textId="1A088116" w:rsidR="00F179F7" w:rsidRPr="00F179F7" w:rsidRDefault="00F179F7" w:rsidP="00E13CEE">
            <w:pPr>
              <w:spacing w:after="120" w:line="240" w:lineRule="exact"/>
              <w:rPr>
                <w:rFonts w:cs="Arial"/>
                <w:szCs w:val="20"/>
                <w:lang w:val="en-GB"/>
              </w:rPr>
            </w:pPr>
            <w:r w:rsidRPr="00E348E3">
              <w:rPr>
                <w:rFonts w:cs="Arial"/>
                <w:szCs w:val="20"/>
              </w:rPr>
              <w:t>Re-establishment of native forest cover</w:t>
            </w:r>
          </w:p>
        </w:tc>
        <w:tc>
          <w:tcPr>
            <w:tcW w:w="5129" w:type="dxa"/>
            <w:shd w:val="clear" w:color="auto" w:fill="DEDFDE"/>
          </w:tcPr>
          <w:p w14:paraId="25AF7117" w14:textId="7C522F76" w:rsidR="00F179F7" w:rsidRPr="00E348E3" w:rsidRDefault="00F179F7" w:rsidP="00996B9D">
            <w:pPr>
              <w:pStyle w:val="BodyText"/>
            </w:pPr>
            <w:r w:rsidRPr="00E348E3">
              <w:t xml:space="preserve">Human-Induced Regeneration of a Permanent Even-Aged Native Forest (2013) </w:t>
            </w:r>
          </w:p>
          <w:p w14:paraId="797FA453" w14:textId="5692524D" w:rsidR="00F179F7" w:rsidRPr="00E348E3" w:rsidRDefault="00F179F7" w:rsidP="00F179F7">
            <w:pPr>
              <w:spacing w:after="120" w:line="240" w:lineRule="exact"/>
              <w:rPr>
                <w:rFonts w:cs="Arial"/>
                <w:szCs w:val="20"/>
                <w:lang w:val="en-GB"/>
              </w:rPr>
            </w:pPr>
            <w:r w:rsidRPr="00E348E3">
              <w:rPr>
                <w:rFonts w:cs="Arial"/>
                <w:szCs w:val="20"/>
              </w:rPr>
              <w:t>Native Forests from Managed Regrowth (2013)</w:t>
            </w:r>
          </w:p>
        </w:tc>
      </w:tr>
      <w:tr w:rsidR="00F179F7" w:rsidRPr="00F179F7" w14:paraId="6EF6BDAA" w14:textId="77777777" w:rsidTr="009D643E">
        <w:trPr>
          <w:trHeight w:hRule="exact" w:val="1698"/>
        </w:trPr>
        <w:tc>
          <w:tcPr>
            <w:tcW w:w="4369" w:type="dxa"/>
            <w:shd w:val="clear" w:color="auto" w:fill="FFFFFF"/>
            <w:tcMar>
              <w:top w:w="113" w:type="dxa"/>
              <w:bottom w:w="113" w:type="dxa"/>
            </w:tcMar>
          </w:tcPr>
          <w:p w14:paraId="10807D3B" w14:textId="1086CD10" w:rsidR="00F179F7" w:rsidRPr="00F179F7" w:rsidRDefault="00F179F7" w:rsidP="00E13CEE">
            <w:pPr>
              <w:spacing w:after="120" w:line="240" w:lineRule="exact"/>
              <w:rPr>
                <w:rFonts w:cs="Arial"/>
                <w:szCs w:val="20"/>
                <w:lang w:val="en-GB"/>
              </w:rPr>
            </w:pPr>
            <w:r w:rsidRPr="00E348E3">
              <w:rPr>
                <w:rFonts w:cs="Arial"/>
                <w:szCs w:val="20"/>
              </w:rPr>
              <w:t>Planting of new forests</w:t>
            </w:r>
          </w:p>
        </w:tc>
        <w:tc>
          <w:tcPr>
            <w:tcW w:w="5129" w:type="dxa"/>
            <w:shd w:val="clear" w:color="auto" w:fill="FFFFFF"/>
          </w:tcPr>
          <w:p w14:paraId="7887D025" w14:textId="77777777" w:rsidR="00F179F7" w:rsidRPr="00E348E3" w:rsidRDefault="00F179F7" w:rsidP="00996B9D">
            <w:pPr>
              <w:pStyle w:val="BodyText"/>
            </w:pPr>
            <w:r w:rsidRPr="00E348E3">
              <w:t>Reforestation by Environmental or Mallee Plantings – FullCAM (2014)</w:t>
            </w:r>
          </w:p>
          <w:p w14:paraId="0D491DE5" w14:textId="77777777" w:rsidR="00F179F7" w:rsidRPr="00E348E3" w:rsidRDefault="00F179F7" w:rsidP="00996B9D">
            <w:pPr>
              <w:pStyle w:val="BodyText"/>
            </w:pPr>
            <w:r w:rsidRPr="00E348E3">
              <w:t>Reforestation and Afforestation (2015)</w:t>
            </w:r>
          </w:p>
          <w:p w14:paraId="490C96CF" w14:textId="77777777" w:rsidR="00F179F7" w:rsidRPr="00E348E3" w:rsidRDefault="00F179F7" w:rsidP="00996B9D">
            <w:pPr>
              <w:pStyle w:val="BodyText"/>
            </w:pPr>
            <w:r w:rsidRPr="00E348E3">
              <w:t>Plantation Forestry (2017)</w:t>
            </w:r>
          </w:p>
          <w:p w14:paraId="2C510059" w14:textId="03025B05" w:rsidR="00F179F7" w:rsidRPr="00F179F7" w:rsidRDefault="00F179F7" w:rsidP="00F179F7">
            <w:pPr>
              <w:spacing w:after="120" w:line="240" w:lineRule="exact"/>
              <w:rPr>
                <w:rFonts w:cs="Arial"/>
                <w:szCs w:val="20"/>
                <w:lang w:val="en-GB"/>
              </w:rPr>
            </w:pPr>
            <w:r w:rsidRPr="00E348E3">
              <w:rPr>
                <w:rFonts w:cs="Arial"/>
                <w:szCs w:val="20"/>
              </w:rPr>
              <w:t>Measurement Based Methods for New Farm Forestry Plantations (2014)</w:t>
            </w:r>
          </w:p>
        </w:tc>
      </w:tr>
      <w:tr w:rsidR="00F179F7" w:rsidRPr="00F179F7" w14:paraId="55F69792" w14:textId="77777777" w:rsidTr="009D643E">
        <w:trPr>
          <w:trHeight w:hRule="exact" w:val="704"/>
        </w:trPr>
        <w:tc>
          <w:tcPr>
            <w:tcW w:w="4369" w:type="dxa"/>
            <w:shd w:val="clear" w:color="auto" w:fill="DEDFDE"/>
            <w:tcMar>
              <w:top w:w="113" w:type="dxa"/>
              <w:bottom w:w="113" w:type="dxa"/>
            </w:tcMar>
          </w:tcPr>
          <w:p w14:paraId="0AD708D0" w14:textId="27CB7BC9" w:rsidR="00F179F7" w:rsidRPr="00F179F7" w:rsidRDefault="00F179F7" w:rsidP="00E13CEE">
            <w:pPr>
              <w:spacing w:after="120" w:line="240" w:lineRule="exact"/>
              <w:rPr>
                <w:rFonts w:cs="Arial"/>
                <w:szCs w:val="20"/>
                <w:lang w:val="en-GB"/>
              </w:rPr>
            </w:pPr>
            <w:r w:rsidRPr="00E348E3">
              <w:rPr>
                <w:rFonts w:cs="Arial"/>
                <w:szCs w:val="20"/>
              </w:rPr>
              <w:t>Protection of existing forests</w:t>
            </w:r>
          </w:p>
        </w:tc>
        <w:tc>
          <w:tcPr>
            <w:tcW w:w="5129" w:type="dxa"/>
            <w:shd w:val="clear" w:color="auto" w:fill="DEDFDE"/>
          </w:tcPr>
          <w:p w14:paraId="3BAF6048" w14:textId="77777777" w:rsidR="00F179F7" w:rsidRPr="00E348E3" w:rsidRDefault="00F179F7" w:rsidP="00996B9D">
            <w:pPr>
              <w:pStyle w:val="BodyText"/>
            </w:pPr>
            <w:r w:rsidRPr="00E348E3">
              <w:t>Avoided Deforestation (2015)</w:t>
            </w:r>
          </w:p>
          <w:p w14:paraId="7679D652" w14:textId="520D74EF" w:rsidR="00F179F7" w:rsidRPr="00F179F7" w:rsidRDefault="00F179F7" w:rsidP="00F179F7">
            <w:pPr>
              <w:spacing w:after="120" w:line="240" w:lineRule="exact"/>
              <w:rPr>
                <w:rFonts w:cs="Arial"/>
                <w:szCs w:val="20"/>
                <w:lang w:val="en-GB"/>
              </w:rPr>
            </w:pPr>
            <w:r w:rsidRPr="00E348E3">
              <w:rPr>
                <w:rFonts w:cs="Arial"/>
                <w:szCs w:val="20"/>
              </w:rPr>
              <w:t>Avoided Clearing of Native Regrowth (2015)</w:t>
            </w:r>
          </w:p>
        </w:tc>
      </w:tr>
      <w:tr w:rsidR="00F179F7" w:rsidRPr="00F179F7" w14:paraId="167F67C5" w14:textId="77777777" w:rsidTr="009D643E">
        <w:trPr>
          <w:trHeight w:hRule="exact" w:val="1140"/>
        </w:trPr>
        <w:tc>
          <w:tcPr>
            <w:tcW w:w="4369" w:type="dxa"/>
            <w:shd w:val="clear" w:color="auto" w:fill="auto"/>
            <w:tcMar>
              <w:top w:w="113" w:type="dxa"/>
              <w:bottom w:w="113" w:type="dxa"/>
            </w:tcMar>
          </w:tcPr>
          <w:p w14:paraId="14EA533F" w14:textId="6A135DF1" w:rsidR="00F179F7" w:rsidRPr="00F179F7" w:rsidRDefault="00F179F7" w:rsidP="00E13CEE">
            <w:pPr>
              <w:spacing w:after="120" w:line="240" w:lineRule="exact"/>
              <w:rPr>
                <w:rFonts w:cs="Arial"/>
                <w:szCs w:val="20"/>
                <w:lang w:val="en-GB"/>
              </w:rPr>
            </w:pPr>
            <w:r w:rsidRPr="00E348E3">
              <w:rPr>
                <w:rFonts w:cs="Arial"/>
                <w:szCs w:val="20"/>
              </w:rPr>
              <w:t>Management of agricultural soils</w:t>
            </w:r>
          </w:p>
        </w:tc>
        <w:tc>
          <w:tcPr>
            <w:tcW w:w="5129" w:type="dxa"/>
            <w:shd w:val="clear" w:color="auto" w:fill="auto"/>
          </w:tcPr>
          <w:p w14:paraId="39909931" w14:textId="77777777" w:rsidR="00F179F7" w:rsidRPr="00E348E3" w:rsidRDefault="00F179F7" w:rsidP="00996B9D">
            <w:pPr>
              <w:pStyle w:val="BodyText"/>
            </w:pPr>
            <w:r w:rsidRPr="00E348E3">
              <w:t>Measurement of soil carbon sequestration in agricultural systems (2018)</w:t>
            </w:r>
          </w:p>
          <w:p w14:paraId="7C8850FB" w14:textId="7795F989" w:rsidR="00F179F7" w:rsidRPr="00F179F7" w:rsidRDefault="00F179F7" w:rsidP="00996B9D">
            <w:pPr>
              <w:pStyle w:val="BodyText"/>
              <w:rPr>
                <w:rFonts w:cs="Arial"/>
                <w:lang w:val="en-GB"/>
              </w:rPr>
            </w:pPr>
            <w:r w:rsidRPr="00F179F7">
              <w:t>Estimating Sequestration of Carbon in Soil Using Default Values (2015)</w:t>
            </w:r>
          </w:p>
        </w:tc>
      </w:tr>
      <w:tr w:rsidR="00F179F7" w:rsidRPr="007B09DD" w14:paraId="6B641747" w14:textId="77777777" w:rsidTr="009D643E">
        <w:trPr>
          <w:trHeight w:hRule="exact" w:val="706"/>
        </w:trPr>
        <w:tc>
          <w:tcPr>
            <w:tcW w:w="4369" w:type="dxa"/>
            <w:shd w:val="clear" w:color="auto" w:fill="DEDFDE"/>
            <w:tcMar>
              <w:top w:w="113" w:type="dxa"/>
              <w:bottom w:w="113" w:type="dxa"/>
            </w:tcMar>
          </w:tcPr>
          <w:p w14:paraId="30BCBB7F" w14:textId="1CA8D621" w:rsidR="00F179F7" w:rsidRPr="00F179F7" w:rsidRDefault="00F179F7" w:rsidP="00E13CEE">
            <w:pPr>
              <w:spacing w:after="120" w:line="240" w:lineRule="exact"/>
              <w:rPr>
                <w:rFonts w:cs="Arial"/>
                <w:lang w:val="en-GB"/>
              </w:rPr>
            </w:pPr>
            <w:r w:rsidRPr="00E348E3">
              <w:rPr>
                <w:rFonts w:cs="Arial"/>
                <w:szCs w:val="20"/>
              </w:rPr>
              <w:t>Savanna fire management</w:t>
            </w:r>
          </w:p>
        </w:tc>
        <w:tc>
          <w:tcPr>
            <w:tcW w:w="5129" w:type="dxa"/>
            <w:shd w:val="clear" w:color="auto" w:fill="DEDFDE"/>
          </w:tcPr>
          <w:p w14:paraId="5371C330" w14:textId="584D149D" w:rsidR="00F179F7" w:rsidRPr="00F179F7" w:rsidRDefault="00F179F7" w:rsidP="00E13CEE">
            <w:pPr>
              <w:spacing w:after="120" w:line="240" w:lineRule="exact"/>
              <w:rPr>
                <w:rFonts w:cs="Arial"/>
                <w:lang w:val="en-GB"/>
              </w:rPr>
            </w:pPr>
            <w:r w:rsidRPr="00E348E3">
              <w:rPr>
                <w:rFonts w:cs="Arial"/>
                <w:szCs w:val="20"/>
              </w:rPr>
              <w:t>Savanna Fire Management Sequestration and Emissions Avoidance (2018)</w:t>
            </w:r>
          </w:p>
        </w:tc>
      </w:tr>
      <w:tr w:rsidR="00F179F7" w:rsidRPr="007B09DD" w14:paraId="1EB6541D" w14:textId="77777777" w:rsidTr="009D643E">
        <w:trPr>
          <w:trHeight w:hRule="exact" w:val="420"/>
        </w:trPr>
        <w:tc>
          <w:tcPr>
            <w:tcW w:w="4369" w:type="dxa"/>
            <w:shd w:val="clear" w:color="auto" w:fill="auto"/>
            <w:tcMar>
              <w:top w:w="113" w:type="dxa"/>
              <w:bottom w:w="113" w:type="dxa"/>
            </w:tcMar>
          </w:tcPr>
          <w:p w14:paraId="79DDFB2C" w14:textId="6A70782A" w:rsidR="00F179F7" w:rsidRPr="00F179F7" w:rsidRDefault="00F179F7" w:rsidP="00E13CEE">
            <w:pPr>
              <w:spacing w:after="120" w:line="240" w:lineRule="exact"/>
              <w:rPr>
                <w:rFonts w:cs="Arial"/>
                <w:lang w:val="en-GB"/>
              </w:rPr>
            </w:pPr>
            <w:r w:rsidRPr="00E348E3">
              <w:rPr>
                <w:rFonts w:cs="Arial"/>
                <w:szCs w:val="20"/>
              </w:rPr>
              <w:t>Management of intertidal  ecosystems</w:t>
            </w:r>
          </w:p>
        </w:tc>
        <w:tc>
          <w:tcPr>
            <w:tcW w:w="5129" w:type="dxa"/>
            <w:shd w:val="clear" w:color="auto" w:fill="auto"/>
          </w:tcPr>
          <w:p w14:paraId="53F9B4E7" w14:textId="207F6B95" w:rsidR="00F179F7" w:rsidRPr="00F179F7" w:rsidRDefault="00F179F7" w:rsidP="00E13CEE">
            <w:pPr>
              <w:spacing w:after="120" w:line="240" w:lineRule="exact"/>
              <w:rPr>
                <w:rFonts w:cs="Arial"/>
                <w:lang w:val="en-GB"/>
              </w:rPr>
            </w:pPr>
            <w:r w:rsidRPr="00E348E3">
              <w:rPr>
                <w:rFonts w:cs="Arial"/>
                <w:szCs w:val="20"/>
              </w:rPr>
              <w:t>Blue carbon (proposed new method)</w:t>
            </w:r>
          </w:p>
        </w:tc>
      </w:tr>
    </w:tbl>
    <w:p w14:paraId="5B4A2081" w14:textId="620FECBC" w:rsidR="00234211" w:rsidRPr="001156AD" w:rsidRDefault="00F179F7" w:rsidP="001156AD">
      <w:pPr>
        <w:pStyle w:val="FigureHeader"/>
        <w:numPr>
          <w:ilvl w:val="0"/>
          <w:numId w:val="0"/>
        </w:numPr>
        <w:rPr>
          <w:color w:val="auto"/>
          <w:sz w:val="17"/>
          <w:szCs w:val="17"/>
        </w:rPr>
      </w:pPr>
      <w:r w:rsidRPr="00234211">
        <w:rPr>
          <w:b/>
          <w:color w:val="auto"/>
          <w:sz w:val="17"/>
          <w:szCs w:val="17"/>
        </w:rPr>
        <w:t>Source</w:t>
      </w:r>
      <w:r w:rsidR="00234211" w:rsidRPr="00234211">
        <w:rPr>
          <w:b/>
          <w:color w:val="auto"/>
          <w:sz w:val="17"/>
          <w:szCs w:val="17"/>
        </w:rPr>
        <w:t>:</w:t>
      </w:r>
      <w:r w:rsidRPr="00234211">
        <w:rPr>
          <w:color w:val="auto"/>
          <w:sz w:val="17"/>
          <w:szCs w:val="17"/>
        </w:rPr>
        <w:t xml:space="preserve"> CSIRO </w:t>
      </w:r>
      <w:r w:rsidR="00D87CF3" w:rsidRPr="00234211">
        <w:rPr>
          <w:color w:val="auto"/>
          <w:sz w:val="17"/>
          <w:szCs w:val="17"/>
        </w:rPr>
        <w:t xml:space="preserve">2020, p. viii. </w:t>
      </w:r>
    </w:p>
    <w:p w14:paraId="2EB05945" w14:textId="77777777" w:rsidR="00C60D23" w:rsidRPr="00234211" w:rsidRDefault="00C60D23" w:rsidP="00C60D23">
      <w:pPr>
        <w:pStyle w:val="Heading3"/>
        <w:rPr>
          <w:i/>
          <w:color w:val="0070AE" w:themeColor="accent2" w:themeTint="BF"/>
        </w:rPr>
      </w:pPr>
      <w:r w:rsidRPr="00234211">
        <w:rPr>
          <w:i/>
          <w:color w:val="0070AE" w:themeColor="accent2" w:themeTint="BF"/>
        </w:rPr>
        <w:t xml:space="preserve">Methodology </w:t>
      </w:r>
    </w:p>
    <w:p w14:paraId="73F82B1B" w14:textId="45C7330F" w:rsidR="00BB0DE1" w:rsidRDefault="00C60D23" w:rsidP="00C60D23">
      <w:r w:rsidRPr="00070EDD">
        <w:t xml:space="preserve">The </w:t>
      </w:r>
      <w:r w:rsidR="00F9527F">
        <w:t>CSIRO’s</w:t>
      </w:r>
      <w:r w:rsidRPr="00070EDD">
        <w:t xml:space="preserve"> analys</w:t>
      </w:r>
      <w:r>
        <w:t>i</w:t>
      </w:r>
      <w:r w:rsidRPr="00070EDD">
        <w:t>s involved a literature review followed by</w:t>
      </w:r>
      <w:r>
        <w:t xml:space="preserve"> a</w:t>
      </w:r>
      <w:r w:rsidRPr="00070EDD">
        <w:t xml:space="preserve"> qualitative assessment of risk across </w:t>
      </w:r>
      <w:r w:rsidR="00BB0DE1">
        <w:t>six sequestration activity types under the ERF</w:t>
      </w:r>
      <w:r>
        <w:t xml:space="preserve">. </w:t>
      </w:r>
      <w:r w:rsidR="00BB0DE1" w:rsidRPr="00BB0DE1">
        <w:t>The primary risks considered were those associated with current and future projected climate drivers, including ecological disturbances such as drought, fire, and pests and diseases. Eighteen risks factors were identified, with eight associated predominantly with changes in climatic variables that typically have direct impacts on sequestration (such as projected changes in temperature, frost exposure etc.), and ten associated primarily with the indirect impacts due to environmental disturbances (such as fire and storm damage)</w:t>
      </w:r>
      <w:r w:rsidR="000636BA">
        <w:t>.</w:t>
      </w:r>
    </w:p>
    <w:p w14:paraId="712C2EE7" w14:textId="4B6167A8" w:rsidR="00C60D23" w:rsidRDefault="00C60D23" w:rsidP="00C60D23">
      <w:r>
        <w:t>T</w:t>
      </w:r>
      <w:r w:rsidRPr="00070EDD">
        <w:t>wenty-one climate variables were obtained from a summary of up to 40 Global Circulation Model (GCM) projections, as provided by the Climate Change in Australia research program</w:t>
      </w:r>
      <w:r w:rsidR="006F5400" w:rsidRPr="006F5400">
        <w:rPr>
          <w:rFonts w:eastAsia="Calibri" w:cs="Times New Roman"/>
        </w:rPr>
        <w:t xml:space="preserve"> </w:t>
      </w:r>
      <w:r w:rsidR="00BB0DE1">
        <w:rPr>
          <w:rFonts w:eastAsia="Calibri" w:cs="Times New Roman"/>
        </w:rPr>
        <w:t xml:space="preserve">to inform the assessment of the identified risk factors </w:t>
      </w:r>
      <w:r w:rsidR="006F5400">
        <w:rPr>
          <w:rFonts w:eastAsia="Calibri" w:cs="Times New Roman"/>
        </w:rPr>
        <w:t>(</w:t>
      </w:r>
      <w:r w:rsidR="006F5400" w:rsidRPr="004625F9">
        <w:rPr>
          <w:rFonts w:eastAsia="Calibri" w:cs="Times New Roman"/>
        </w:rPr>
        <w:t xml:space="preserve">CSIRO and </w:t>
      </w:r>
      <w:r w:rsidR="009A439D">
        <w:rPr>
          <w:rFonts w:eastAsia="Calibri" w:cs="Times New Roman"/>
        </w:rPr>
        <w:t>BOM</w:t>
      </w:r>
      <w:r w:rsidR="006F5400" w:rsidRPr="004625F9">
        <w:rPr>
          <w:rFonts w:eastAsia="Calibri" w:cs="Times New Roman"/>
        </w:rPr>
        <w:t xml:space="preserve"> 2015</w:t>
      </w:r>
      <w:r w:rsidR="006F5400" w:rsidRPr="003B3B9C">
        <w:rPr>
          <w:rFonts w:eastAsia="Calibri" w:cs="Times New Roman"/>
        </w:rPr>
        <w:t>)</w:t>
      </w:r>
      <w:r w:rsidR="006F5400">
        <w:t>.</w:t>
      </w:r>
      <w:r w:rsidR="00BB0DE1" w:rsidRPr="00070EDD" w:rsidDel="00BB0DE1">
        <w:t xml:space="preserve"> </w:t>
      </w:r>
      <w:r w:rsidR="00BB0DE1">
        <w:t>T</w:t>
      </w:r>
      <w:r w:rsidRPr="00070EDD">
        <w:t>he timeframe for analysis was focused on 2050 (with climate change summaries typically integrated over the period 2040-2059), consistent with the 25</w:t>
      </w:r>
      <w:r>
        <w:t>-</w:t>
      </w:r>
      <w:r w:rsidRPr="00070EDD">
        <w:t>year crediting period specified for the majority of the sequestration methods. Implications for projected climatic changes up until t</w:t>
      </w:r>
      <w:r>
        <w:t>he end of the century were</w:t>
      </w:r>
      <w:r w:rsidRPr="00070EDD">
        <w:t xml:space="preserve"> also briefly discussed</w:t>
      </w:r>
      <w:r>
        <w:t>.</w:t>
      </w:r>
    </w:p>
    <w:p w14:paraId="74CBA457" w14:textId="247EAA44" w:rsidR="00C2578E" w:rsidRDefault="00C2578E" w:rsidP="00996B9D">
      <w:pPr>
        <w:pStyle w:val="BodyText"/>
      </w:pPr>
      <w:r w:rsidRPr="00E1415C">
        <w:t>For the purposes of looking at</w:t>
      </w:r>
      <w:r>
        <w:t xml:space="preserve"> regional</w:t>
      </w:r>
      <w:r w:rsidRPr="00E1415C">
        <w:t xml:space="preserve"> variability in climate drivers across Australia, the NRM-regional based classification (Figure </w:t>
      </w:r>
      <w:r w:rsidRPr="00B76DFC">
        <w:t>9.</w:t>
      </w:r>
      <w:r w:rsidR="00F85AF0" w:rsidRPr="00B76DFC">
        <w:t>2</w:t>
      </w:r>
      <w:r w:rsidRPr="00E1415C">
        <w:t xml:space="preserve">) from </w:t>
      </w:r>
      <w:r>
        <w:t xml:space="preserve">the </w:t>
      </w:r>
      <w:r w:rsidRPr="00E1415C">
        <w:t>Climate Change in Australia synthesis was used (</w:t>
      </w:r>
      <w:r w:rsidRPr="0044651A">
        <w:t>Whetton et al. 2015</w:t>
      </w:r>
      <w:r w:rsidRPr="00E1415C">
        <w:t xml:space="preserve">). </w:t>
      </w:r>
      <w:r w:rsidR="00EA7F45">
        <w:t xml:space="preserve">For </w:t>
      </w:r>
      <w:r w:rsidR="00EA7F45" w:rsidRPr="00EA7F45">
        <w:t xml:space="preserve">each of the six ERF methodology classes, the relevant NRM regions of activity </w:t>
      </w:r>
      <w:r w:rsidR="00EA7F45">
        <w:t>(</w:t>
      </w:r>
      <w:r w:rsidR="00FF6AD1">
        <w:t xml:space="preserve">regions where the activity is </w:t>
      </w:r>
      <w:r w:rsidR="00EA7F45">
        <w:t>current</w:t>
      </w:r>
      <w:r w:rsidR="00FF6AD1">
        <w:t>ly or likely to be carried out</w:t>
      </w:r>
      <w:r w:rsidR="00EA7F45">
        <w:t xml:space="preserve">) </w:t>
      </w:r>
      <w:r w:rsidR="00EA7F45" w:rsidRPr="00EA7F45">
        <w:t>were identified, and the climate projection information for each obtained to inform the risk assessments.</w:t>
      </w:r>
    </w:p>
    <w:p w14:paraId="6F8B29B1" w14:textId="77777777" w:rsidR="00C2578E" w:rsidRDefault="00C2578E" w:rsidP="00996B9D">
      <w:pPr>
        <w:pStyle w:val="BodyText"/>
      </w:pPr>
    </w:p>
    <w:p w14:paraId="688F6A85" w14:textId="5A7C1DA8" w:rsidR="00C2578E" w:rsidRPr="00234211" w:rsidRDefault="00C2578E" w:rsidP="00F94E82">
      <w:pPr>
        <w:pStyle w:val="Figure"/>
      </w:pPr>
      <w:bookmarkStart w:id="3265" w:name="_Toc53130465"/>
      <w:r w:rsidRPr="00234211">
        <w:t>Figure 9.</w:t>
      </w:r>
      <w:r w:rsidR="00F85AF0" w:rsidRPr="00234211">
        <w:t>2</w:t>
      </w:r>
      <w:r w:rsidRPr="00234211">
        <w:t xml:space="preserve">: Regional classifications based on </w:t>
      </w:r>
      <w:r w:rsidR="0031681A">
        <w:t xml:space="preserve">NRM </w:t>
      </w:r>
      <w:r w:rsidRPr="00234211">
        <w:t>cluster</w:t>
      </w:r>
      <w:r w:rsidR="005B72F6" w:rsidRPr="00234211">
        <w:t>s</w:t>
      </w:r>
      <w:r w:rsidRPr="00234211">
        <w:t xml:space="preserve"> and sub-clusters.</w:t>
      </w:r>
      <w:bookmarkEnd w:id="3265"/>
      <w:r w:rsidRPr="00234211">
        <w:t xml:space="preserve"> </w:t>
      </w:r>
    </w:p>
    <w:p w14:paraId="342DC02E" w14:textId="68292FA1" w:rsidR="00C2578E" w:rsidRDefault="00C2578E" w:rsidP="00C60D23">
      <w:r>
        <w:rPr>
          <w:noProof/>
          <w:lang w:eastAsia="en-AU"/>
        </w:rPr>
        <w:drawing>
          <wp:inline distT="0" distB="0" distL="0" distR="0" wp14:anchorId="0F15180C" wp14:editId="4060D55E">
            <wp:extent cx="4742992" cy="3422650"/>
            <wp:effectExtent l="0" t="0" r="635" b="6350"/>
            <wp:docPr id="23" name="Picture 4" descr="Figure 9.2 is a map of Australia divided into 15 Natural Resource Management clusters and sub-clusters. " title="Figure 9.2: Regional classifications based on NRM clusters and sub-cl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4742992" cy="3422650"/>
                    </a:xfrm>
                    <a:prstGeom prst="rect">
                      <a:avLst/>
                    </a:prstGeom>
                  </pic:spPr>
                </pic:pic>
              </a:graphicData>
            </a:graphic>
          </wp:inline>
        </w:drawing>
      </w:r>
    </w:p>
    <w:p w14:paraId="5EE032FA" w14:textId="6CFF3CBE" w:rsidR="00234211" w:rsidRDefault="00D87CF3" w:rsidP="001156AD">
      <w:pPr>
        <w:pStyle w:val="FigureHeader"/>
        <w:numPr>
          <w:ilvl w:val="0"/>
          <w:numId w:val="0"/>
        </w:numPr>
      </w:pPr>
      <w:r w:rsidRPr="00234211">
        <w:rPr>
          <w:b/>
          <w:color w:val="auto"/>
          <w:sz w:val="17"/>
          <w:szCs w:val="17"/>
        </w:rPr>
        <w:t>Source</w:t>
      </w:r>
      <w:r w:rsidR="00234211">
        <w:rPr>
          <w:b/>
          <w:color w:val="auto"/>
          <w:sz w:val="17"/>
          <w:szCs w:val="17"/>
        </w:rPr>
        <w:t>:</w:t>
      </w:r>
      <w:r w:rsidRPr="00234211">
        <w:rPr>
          <w:b/>
          <w:color w:val="auto"/>
          <w:sz w:val="17"/>
          <w:szCs w:val="17"/>
        </w:rPr>
        <w:t xml:space="preserve"> </w:t>
      </w:r>
      <w:r w:rsidRPr="00234211">
        <w:rPr>
          <w:color w:val="auto"/>
          <w:sz w:val="17"/>
          <w:szCs w:val="17"/>
        </w:rPr>
        <w:t>CSIRO 2020, p. 10</w:t>
      </w:r>
      <w:r>
        <w:t>.</w:t>
      </w:r>
    </w:p>
    <w:p w14:paraId="1CF8289E" w14:textId="77777777" w:rsidR="00EA7F45" w:rsidRDefault="00C60D23" w:rsidP="00EA7F45">
      <w:r w:rsidRPr="00AF4401">
        <w:t xml:space="preserve">To guide the analysis, a formal risk assessment method was </w:t>
      </w:r>
      <w:r w:rsidR="00D87CF3">
        <w:t xml:space="preserve">used </w:t>
      </w:r>
      <w:r w:rsidRPr="00AF4401">
        <w:t>that combined, for each identified risk factor, an estimate of its probability of occurring (the ‘likelihood’)</w:t>
      </w:r>
      <w:r>
        <w:t xml:space="preserve"> (Table </w:t>
      </w:r>
      <w:r w:rsidRPr="00B76DFC">
        <w:t>9.2</w:t>
      </w:r>
      <w:r>
        <w:t>)</w:t>
      </w:r>
      <w:r w:rsidRPr="00AF4401">
        <w:t>, together with an estimate of its ‘consequence’ for sequestration</w:t>
      </w:r>
      <w:r>
        <w:t xml:space="preserve"> (Table </w:t>
      </w:r>
      <w:r w:rsidRPr="00B76DFC">
        <w:t>9.3</w:t>
      </w:r>
      <w:r>
        <w:t>)</w:t>
      </w:r>
      <w:r w:rsidRPr="00AF4401">
        <w:t xml:space="preserve">. The resulting risk priority matrix yielded a four-class classification of risk for each factor </w:t>
      </w:r>
      <w:r w:rsidR="00F9527F">
        <w:t xml:space="preserve">- </w:t>
      </w:r>
      <w:r w:rsidRPr="00AF4401">
        <w:t xml:space="preserve">‘Low’, ‘Medium’, ‘High’ </w:t>
      </w:r>
      <w:r w:rsidR="00F9527F">
        <w:t>or</w:t>
      </w:r>
      <w:r w:rsidRPr="00AF4401">
        <w:t xml:space="preserve"> ‘Extreme’)</w:t>
      </w:r>
      <w:r>
        <w:t xml:space="preserve"> (Table </w:t>
      </w:r>
      <w:r w:rsidRPr="00B76DFC">
        <w:t>9.4</w:t>
      </w:r>
      <w:r>
        <w:t>)</w:t>
      </w:r>
      <w:r w:rsidRPr="00AF4401">
        <w:t xml:space="preserve">. </w:t>
      </w:r>
      <w:r w:rsidR="00D87CF3">
        <w:t xml:space="preserve">These risk factors were based on the certainty associated with the model projections </w:t>
      </w:r>
      <w:r w:rsidR="006B4D86">
        <w:t xml:space="preserve">for each factor </w:t>
      </w:r>
      <w:r w:rsidR="00D87CF3">
        <w:t xml:space="preserve">and on the scientific evidence associated </w:t>
      </w:r>
      <w:r w:rsidR="006B4D86">
        <w:t xml:space="preserve">with the impact of each factor. </w:t>
      </w:r>
      <w:r w:rsidRPr="00AF4401">
        <w:t xml:space="preserve">Where possible, an indication of the level of scientific certainty associated with each rating was also given.  </w:t>
      </w:r>
    </w:p>
    <w:p w14:paraId="7B8A0D3E" w14:textId="77777777" w:rsidR="00EA7F45" w:rsidRPr="00EA7F45" w:rsidRDefault="00EA7F45" w:rsidP="00EA7F45">
      <w:r w:rsidRPr="00EA7F45">
        <w:t xml:space="preserve">As noted in Box 9.1 the nominal losses </w:t>
      </w:r>
      <w:r>
        <w:t xml:space="preserve">in Table 9.3 </w:t>
      </w:r>
      <w:r w:rsidRPr="00EA7F45">
        <w:t xml:space="preserve">should not be interpreted as predictions of actual sequestration outcomes as they were introduced primarily as a mechanism for allowing visualisation of what each category might correspond to in real terms. Actual quantification of sequestration losses or shortfalls is beyond the scope of the qualitative analysis presented in the CSIRO report. </w:t>
      </w:r>
    </w:p>
    <w:p w14:paraId="1327A8BC" w14:textId="5C99A8A3" w:rsidR="003C59C1" w:rsidRDefault="001156AD" w:rsidP="001156AD">
      <w:pPr>
        <w:spacing w:line="259" w:lineRule="auto"/>
      </w:pPr>
      <w:r>
        <w:br w:type="page"/>
      </w:r>
    </w:p>
    <w:p w14:paraId="021765AC" w14:textId="77777777" w:rsidR="00C60D23" w:rsidRPr="00234211" w:rsidRDefault="00C60D23" w:rsidP="00357636">
      <w:pPr>
        <w:pStyle w:val="Table"/>
      </w:pPr>
      <w:bookmarkStart w:id="3266" w:name="_Toc53129516"/>
      <w:r w:rsidRPr="00234211">
        <w:t>Table 9.2 Three class classification of the likelihood of identified risk factors</w:t>
      </w:r>
      <w:bookmarkEnd w:id="3266"/>
    </w:p>
    <w:tbl>
      <w:tblPr>
        <w:tblStyle w:val="TableCSIRO"/>
        <w:tblW w:w="8939" w:type="dxa"/>
        <w:tblInd w:w="0" w:type="dxa"/>
        <w:tblLayout w:type="fixed"/>
        <w:tblLook w:val="04A0" w:firstRow="1" w:lastRow="0" w:firstColumn="1" w:lastColumn="0" w:noHBand="0" w:noVBand="1"/>
      </w:tblPr>
      <w:tblGrid>
        <w:gridCol w:w="1987"/>
        <w:gridCol w:w="2270"/>
        <w:gridCol w:w="2270"/>
        <w:gridCol w:w="2412"/>
      </w:tblGrid>
      <w:tr w:rsidR="00C60D23" w:rsidRPr="00096464" w14:paraId="6A600201" w14:textId="77777777" w:rsidTr="00E348E3">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87" w:type="dxa"/>
            <w:shd w:val="clear" w:color="auto" w:fill="0070AE" w:themeFill="accent2" w:themeFillTint="BF"/>
            <w:vAlign w:val="center"/>
          </w:tcPr>
          <w:p w14:paraId="56A417B4" w14:textId="77777777" w:rsidR="00C60D23" w:rsidRPr="00E348E3" w:rsidRDefault="00C60D23" w:rsidP="00C60D23">
            <w:pPr>
              <w:rPr>
                <w:rFonts w:cs="Arial"/>
                <w:szCs w:val="20"/>
              </w:rPr>
            </w:pPr>
            <w:r w:rsidRPr="00E348E3">
              <w:rPr>
                <w:rFonts w:cs="Arial"/>
                <w:szCs w:val="20"/>
              </w:rPr>
              <w:t>Rating</w:t>
            </w:r>
          </w:p>
        </w:tc>
        <w:tc>
          <w:tcPr>
            <w:tcW w:w="2270" w:type="dxa"/>
            <w:shd w:val="clear" w:color="auto" w:fill="0070AE" w:themeFill="accent2" w:themeFillTint="BF"/>
            <w:vAlign w:val="center"/>
          </w:tcPr>
          <w:p w14:paraId="702E3247" w14:textId="77777777" w:rsidR="00C60D23" w:rsidRPr="00E348E3" w:rsidRDefault="00C60D23" w:rsidP="00C60D23">
            <w:pPr>
              <w:jc w:val="both"/>
              <w:cnfStyle w:val="100000000000" w:firstRow="1" w:lastRow="0" w:firstColumn="0" w:lastColumn="0" w:oddVBand="0" w:evenVBand="0" w:oddHBand="0" w:evenHBand="0" w:firstRowFirstColumn="0" w:firstRowLastColumn="0" w:lastRowFirstColumn="0" w:lastRowLastColumn="0"/>
              <w:rPr>
                <w:rFonts w:cs="Arial"/>
                <w:szCs w:val="20"/>
              </w:rPr>
            </w:pPr>
          </w:p>
        </w:tc>
        <w:tc>
          <w:tcPr>
            <w:tcW w:w="2270" w:type="dxa"/>
            <w:shd w:val="clear" w:color="auto" w:fill="0070AE" w:themeFill="accent2" w:themeFillTint="BF"/>
            <w:vAlign w:val="center"/>
          </w:tcPr>
          <w:p w14:paraId="374BAF20" w14:textId="77777777" w:rsidR="00C60D23" w:rsidRPr="00E348E3" w:rsidRDefault="00C60D23" w:rsidP="00C60D23">
            <w:pPr>
              <w:cnfStyle w:val="100000000000" w:firstRow="1" w:lastRow="0" w:firstColumn="0" w:lastColumn="0" w:oddVBand="0" w:evenVBand="0" w:oddHBand="0" w:evenHBand="0" w:firstRowFirstColumn="0" w:firstRowLastColumn="0" w:lastRowFirstColumn="0" w:lastRowLastColumn="0"/>
              <w:rPr>
                <w:rFonts w:cs="Arial"/>
                <w:szCs w:val="20"/>
              </w:rPr>
            </w:pPr>
            <w:r w:rsidRPr="00E348E3">
              <w:rPr>
                <w:rFonts w:cs="Arial"/>
                <w:szCs w:val="20"/>
              </w:rPr>
              <w:t>Project-level risks</w:t>
            </w:r>
          </w:p>
        </w:tc>
        <w:tc>
          <w:tcPr>
            <w:tcW w:w="2412" w:type="dxa"/>
            <w:shd w:val="clear" w:color="auto" w:fill="0070AE" w:themeFill="accent2" w:themeFillTint="BF"/>
            <w:vAlign w:val="center"/>
          </w:tcPr>
          <w:p w14:paraId="6D8A36AA" w14:textId="77777777" w:rsidR="00C60D23" w:rsidRPr="00E348E3" w:rsidRDefault="00C60D23" w:rsidP="00C60D23">
            <w:pPr>
              <w:jc w:val="both"/>
              <w:cnfStyle w:val="100000000000" w:firstRow="1" w:lastRow="0" w:firstColumn="0" w:lastColumn="0" w:oddVBand="0" w:evenVBand="0" w:oddHBand="0" w:evenHBand="0" w:firstRowFirstColumn="0" w:firstRowLastColumn="0" w:lastRowFirstColumn="0" w:lastRowLastColumn="0"/>
              <w:rPr>
                <w:rFonts w:cs="Arial"/>
                <w:szCs w:val="20"/>
              </w:rPr>
            </w:pPr>
            <w:r w:rsidRPr="00E348E3">
              <w:rPr>
                <w:rFonts w:cs="Arial"/>
                <w:szCs w:val="20"/>
              </w:rPr>
              <w:t>Portfolio-level risks</w:t>
            </w:r>
          </w:p>
        </w:tc>
      </w:tr>
      <w:tr w:rsidR="00C60D23" w:rsidRPr="000E2DF1" w14:paraId="5B7DCE11" w14:textId="77777777" w:rsidTr="00C60D23">
        <w:trPr>
          <w:cnfStyle w:val="000000100000" w:firstRow="0" w:lastRow="0" w:firstColumn="0" w:lastColumn="0" w:oddVBand="0" w:evenVBand="0" w:oddHBand="1" w:evenHBand="0" w:firstRowFirstColumn="0" w:firstRowLastColumn="0" w:lastRowFirstColumn="0" w:lastRowLastColumn="0"/>
          <w:trHeight w:hRule="exact" w:val="46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039D016" w14:textId="77777777" w:rsidR="00C60D23" w:rsidRPr="00224E22" w:rsidRDefault="00C60D23" w:rsidP="00996B9D">
            <w:pPr>
              <w:pStyle w:val="BodyText"/>
            </w:pPr>
            <w:r w:rsidRPr="00013D39">
              <w:t>Likely</w:t>
            </w:r>
          </w:p>
        </w:tc>
        <w:tc>
          <w:tcPr>
            <w:tcW w:w="2270" w:type="dxa"/>
            <w:vAlign w:val="center"/>
          </w:tcPr>
          <w:p w14:paraId="44F088CD" w14:textId="77777777" w:rsidR="00C60D23" w:rsidRPr="00224E22" w:rsidRDefault="00C60D23" w:rsidP="00996B9D">
            <w:pPr>
              <w:pStyle w:val="BodyText"/>
              <w:cnfStyle w:val="000000100000" w:firstRow="0" w:lastRow="0" w:firstColumn="0" w:lastColumn="0" w:oddVBand="0" w:evenVBand="0" w:oddHBand="1" w:evenHBand="0" w:firstRowFirstColumn="0" w:firstRowLastColumn="0" w:lastRowFirstColumn="0" w:lastRowLastColumn="0"/>
            </w:pPr>
            <w:r w:rsidRPr="00224E22">
              <w:t>&gt;66% probability</w:t>
            </w:r>
          </w:p>
        </w:tc>
        <w:tc>
          <w:tcPr>
            <w:tcW w:w="2270" w:type="dxa"/>
            <w:vMerge w:val="restart"/>
            <w:tcBorders>
              <w:bottom w:val="nil"/>
            </w:tcBorders>
            <w:shd w:val="clear" w:color="auto" w:fill="auto"/>
          </w:tcPr>
          <w:p w14:paraId="5ABCEBC7" w14:textId="77777777" w:rsidR="00C60D23" w:rsidRPr="00224E22" w:rsidRDefault="00C60D23" w:rsidP="00996B9D">
            <w:pPr>
              <w:pStyle w:val="BodyText"/>
              <w:cnfStyle w:val="000000100000" w:firstRow="0" w:lastRow="0" w:firstColumn="0" w:lastColumn="0" w:oddVBand="0" w:evenVBand="0" w:oddHBand="1" w:evenHBand="0" w:firstRowFirstColumn="0" w:firstRowLastColumn="0" w:lastRowFirstColumn="0" w:lastRowLastColumn="0"/>
            </w:pPr>
            <w:r w:rsidRPr="00224E22">
              <w:t>Likelihood of individual projects being impacted, but risk factors not necessarily coordinated in time or space</w:t>
            </w:r>
          </w:p>
        </w:tc>
        <w:tc>
          <w:tcPr>
            <w:tcW w:w="2412" w:type="dxa"/>
            <w:vMerge w:val="restart"/>
            <w:tcBorders>
              <w:bottom w:val="nil"/>
            </w:tcBorders>
            <w:shd w:val="clear" w:color="auto" w:fill="auto"/>
          </w:tcPr>
          <w:p w14:paraId="1CAE0836" w14:textId="77777777" w:rsidR="00C60D23" w:rsidRPr="00224E22" w:rsidRDefault="00C60D23" w:rsidP="00996B9D">
            <w:pPr>
              <w:pStyle w:val="BodyText"/>
              <w:cnfStyle w:val="000000100000" w:firstRow="0" w:lastRow="0" w:firstColumn="0" w:lastColumn="0" w:oddVBand="0" w:evenVBand="0" w:oddHBand="1" w:evenHBand="0" w:firstRowFirstColumn="0" w:firstRowLastColumn="0" w:lastRowFirstColumn="0" w:lastRowLastColumn="0"/>
            </w:pPr>
            <w:r w:rsidRPr="00224E22">
              <w:t>Likelihood of risk factors impacting sequestration simultaneously across space or time, with greater opportunity for portfolio-wide consequences</w:t>
            </w:r>
          </w:p>
        </w:tc>
      </w:tr>
      <w:tr w:rsidR="00C60D23" w:rsidRPr="000E2DF1" w14:paraId="025E788C" w14:textId="77777777" w:rsidTr="00C60D23">
        <w:trPr>
          <w:trHeight w:hRule="exact" w:val="592"/>
        </w:trPr>
        <w:tc>
          <w:tcPr>
            <w:cnfStyle w:val="001000000000" w:firstRow="0" w:lastRow="0" w:firstColumn="1" w:lastColumn="0" w:oddVBand="0" w:evenVBand="0" w:oddHBand="0" w:evenHBand="0" w:firstRowFirstColumn="0" w:firstRowLastColumn="0" w:lastRowFirstColumn="0" w:lastRowLastColumn="0"/>
            <w:tcW w:w="1987" w:type="dxa"/>
            <w:tcBorders>
              <w:bottom w:val="nil"/>
            </w:tcBorders>
            <w:vAlign w:val="center"/>
          </w:tcPr>
          <w:p w14:paraId="045742D6" w14:textId="77777777" w:rsidR="00C60D23" w:rsidRPr="00AF4401" w:rsidRDefault="00C60D23" w:rsidP="00996B9D">
            <w:pPr>
              <w:pStyle w:val="BodyText"/>
            </w:pPr>
            <w:r w:rsidRPr="00AF4401">
              <w:t>About as likely as not</w:t>
            </w:r>
          </w:p>
        </w:tc>
        <w:tc>
          <w:tcPr>
            <w:tcW w:w="2270" w:type="dxa"/>
            <w:tcBorders>
              <w:bottom w:val="nil"/>
            </w:tcBorders>
            <w:vAlign w:val="center"/>
          </w:tcPr>
          <w:p w14:paraId="22ABCB5C" w14:textId="77777777" w:rsidR="00C60D23" w:rsidRPr="00AF4401" w:rsidRDefault="00C60D23" w:rsidP="00996B9D">
            <w:pPr>
              <w:pStyle w:val="BodyText"/>
              <w:cnfStyle w:val="000000000000" w:firstRow="0" w:lastRow="0" w:firstColumn="0" w:lastColumn="0" w:oddVBand="0" w:evenVBand="0" w:oddHBand="0" w:evenHBand="0" w:firstRowFirstColumn="0" w:firstRowLastColumn="0" w:lastRowFirstColumn="0" w:lastRowLastColumn="0"/>
            </w:pPr>
            <w:r>
              <w:t xml:space="preserve"> </w:t>
            </w:r>
            <w:r w:rsidRPr="00AF4401">
              <w:t>33-66% probability</w:t>
            </w:r>
          </w:p>
        </w:tc>
        <w:tc>
          <w:tcPr>
            <w:tcW w:w="2270" w:type="dxa"/>
            <w:vMerge/>
            <w:tcBorders>
              <w:bottom w:val="nil"/>
            </w:tcBorders>
            <w:shd w:val="clear" w:color="auto" w:fill="auto"/>
          </w:tcPr>
          <w:p w14:paraId="33A54411" w14:textId="77777777" w:rsidR="00C60D23" w:rsidRDefault="00C60D23" w:rsidP="00996B9D">
            <w:pPr>
              <w:pStyle w:val="BodyText"/>
              <w:cnfStyle w:val="000000000000" w:firstRow="0" w:lastRow="0" w:firstColumn="0" w:lastColumn="0" w:oddVBand="0" w:evenVBand="0" w:oddHBand="0" w:evenHBand="0" w:firstRowFirstColumn="0" w:firstRowLastColumn="0" w:lastRowFirstColumn="0" w:lastRowLastColumn="0"/>
            </w:pPr>
          </w:p>
        </w:tc>
        <w:tc>
          <w:tcPr>
            <w:tcW w:w="2412" w:type="dxa"/>
            <w:vMerge/>
            <w:tcBorders>
              <w:bottom w:val="nil"/>
            </w:tcBorders>
            <w:shd w:val="clear" w:color="auto" w:fill="auto"/>
          </w:tcPr>
          <w:p w14:paraId="66310A21" w14:textId="77777777" w:rsidR="00C60D23" w:rsidRDefault="00C60D23" w:rsidP="00996B9D">
            <w:pPr>
              <w:pStyle w:val="BodyText"/>
              <w:cnfStyle w:val="000000000000" w:firstRow="0" w:lastRow="0" w:firstColumn="0" w:lastColumn="0" w:oddVBand="0" w:evenVBand="0" w:oddHBand="0" w:evenHBand="0" w:firstRowFirstColumn="0" w:firstRowLastColumn="0" w:lastRowFirstColumn="0" w:lastRowLastColumn="0"/>
            </w:pPr>
          </w:p>
        </w:tc>
      </w:tr>
      <w:tr w:rsidR="00C60D23" w:rsidRPr="000E2DF1" w14:paraId="7F5E185D" w14:textId="77777777" w:rsidTr="00C60D23">
        <w:trPr>
          <w:cnfStyle w:val="000000100000" w:firstRow="0" w:lastRow="0" w:firstColumn="0" w:lastColumn="0" w:oddVBand="0" w:evenVBand="0" w:oddHBand="1" w:evenHBand="0" w:firstRowFirstColumn="0" w:firstRowLastColumn="0" w:lastRowFirstColumn="0" w:lastRowLastColumn="0"/>
          <w:trHeight w:hRule="exact" w:val="958"/>
        </w:trPr>
        <w:tc>
          <w:tcPr>
            <w:cnfStyle w:val="001000000000" w:firstRow="0" w:lastRow="0" w:firstColumn="1" w:lastColumn="0" w:oddVBand="0" w:evenVBand="0" w:oddHBand="0" w:evenHBand="0" w:firstRowFirstColumn="0" w:firstRowLastColumn="0" w:lastRowFirstColumn="0" w:lastRowLastColumn="0"/>
            <w:tcW w:w="1987" w:type="dxa"/>
            <w:tcBorders>
              <w:bottom w:val="single" w:sz="4" w:space="0" w:color="auto"/>
            </w:tcBorders>
            <w:vAlign w:val="center"/>
          </w:tcPr>
          <w:p w14:paraId="7D433D31" w14:textId="77777777" w:rsidR="00C60D23" w:rsidRPr="00AF4401" w:rsidRDefault="00C60D23" w:rsidP="00996B9D">
            <w:pPr>
              <w:pStyle w:val="BodyText"/>
            </w:pPr>
            <w:r w:rsidRPr="00AF4401">
              <w:t>Unlikely</w:t>
            </w:r>
          </w:p>
        </w:tc>
        <w:tc>
          <w:tcPr>
            <w:tcW w:w="2270" w:type="dxa"/>
            <w:tcBorders>
              <w:bottom w:val="single" w:sz="4" w:space="0" w:color="auto"/>
            </w:tcBorders>
            <w:vAlign w:val="center"/>
          </w:tcPr>
          <w:p w14:paraId="178F72B2" w14:textId="77777777" w:rsidR="00C60D23" w:rsidRPr="000E2DF1" w:rsidRDefault="00C60D23" w:rsidP="00996B9D">
            <w:pPr>
              <w:pStyle w:val="BodyText"/>
              <w:cnfStyle w:val="000000100000" w:firstRow="0" w:lastRow="0" w:firstColumn="0" w:lastColumn="0" w:oddVBand="0" w:evenVBand="0" w:oddHBand="1" w:evenHBand="0" w:firstRowFirstColumn="0" w:firstRowLastColumn="0" w:lastRowFirstColumn="0" w:lastRowLastColumn="0"/>
            </w:pPr>
            <w:r>
              <w:t>&lt;33% probability</w:t>
            </w:r>
          </w:p>
        </w:tc>
        <w:tc>
          <w:tcPr>
            <w:tcW w:w="2270" w:type="dxa"/>
            <w:vMerge/>
            <w:tcBorders>
              <w:bottom w:val="single" w:sz="4" w:space="0" w:color="auto"/>
            </w:tcBorders>
            <w:shd w:val="clear" w:color="auto" w:fill="auto"/>
          </w:tcPr>
          <w:p w14:paraId="752FE4D0" w14:textId="77777777" w:rsidR="00C60D23" w:rsidRDefault="00C60D23" w:rsidP="00996B9D">
            <w:pPr>
              <w:pStyle w:val="BodyText"/>
              <w:cnfStyle w:val="000000100000" w:firstRow="0" w:lastRow="0" w:firstColumn="0" w:lastColumn="0" w:oddVBand="0" w:evenVBand="0" w:oddHBand="1" w:evenHBand="0" w:firstRowFirstColumn="0" w:firstRowLastColumn="0" w:lastRowFirstColumn="0" w:lastRowLastColumn="0"/>
            </w:pPr>
          </w:p>
        </w:tc>
        <w:tc>
          <w:tcPr>
            <w:tcW w:w="2412" w:type="dxa"/>
            <w:vMerge/>
            <w:tcBorders>
              <w:bottom w:val="single" w:sz="4" w:space="0" w:color="auto"/>
            </w:tcBorders>
            <w:shd w:val="clear" w:color="auto" w:fill="auto"/>
          </w:tcPr>
          <w:p w14:paraId="4969EAB6" w14:textId="77777777" w:rsidR="00C60D23" w:rsidRDefault="00C60D23" w:rsidP="00996B9D">
            <w:pPr>
              <w:pStyle w:val="BodyText"/>
              <w:cnfStyle w:val="000000100000" w:firstRow="0" w:lastRow="0" w:firstColumn="0" w:lastColumn="0" w:oddVBand="0" w:evenVBand="0" w:oddHBand="1" w:evenHBand="0" w:firstRowFirstColumn="0" w:firstRowLastColumn="0" w:lastRowFirstColumn="0" w:lastRowLastColumn="0"/>
            </w:pPr>
          </w:p>
        </w:tc>
      </w:tr>
    </w:tbl>
    <w:p w14:paraId="65B76C5C" w14:textId="226555D1" w:rsidR="006B4D86" w:rsidRDefault="006B4D86">
      <w:pPr>
        <w:rPr>
          <w:rFonts w:eastAsia="Calibri" w:cs="Times New Roman"/>
          <w:caps/>
          <w:sz w:val="17"/>
          <w:szCs w:val="17"/>
        </w:rPr>
      </w:pPr>
      <w:r w:rsidRPr="00234211">
        <w:rPr>
          <w:rFonts w:eastAsia="Calibri" w:cs="Times New Roman"/>
          <w:b/>
          <w:caps/>
          <w:sz w:val="17"/>
          <w:szCs w:val="17"/>
        </w:rPr>
        <w:t>S</w:t>
      </w:r>
      <w:r w:rsidRPr="00234211">
        <w:rPr>
          <w:rFonts w:eastAsia="Calibri" w:cs="Times New Roman"/>
          <w:b/>
          <w:sz w:val="17"/>
          <w:szCs w:val="17"/>
        </w:rPr>
        <w:t>ource:</w:t>
      </w:r>
      <w:r w:rsidRPr="00234211">
        <w:rPr>
          <w:rFonts w:eastAsia="Calibri" w:cs="Times New Roman"/>
          <w:caps/>
          <w:sz w:val="17"/>
          <w:szCs w:val="17"/>
        </w:rPr>
        <w:t xml:space="preserve"> </w:t>
      </w:r>
      <w:r w:rsidRPr="00234211">
        <w:rPr>
          <w:rFonts w:eastAsia="Calibri" w:cs="Times New Roman"/>
          <w:sz w:val="17"/>
          <w:szCs w:val="17"/>
        </w:rPr>
        <w:t>CSIRO 2020, p</w:t>
      </w:r>
      <w:r w:rsidRPr="00234211">
        <w:rPr>
          <w:rFonts w:eastAsia="Calibri" w:cs="Times New Roman"/>
          <w:caps/>
          <w:sz w:val="17"/>
          <w:szCs w:val="17"/>
        </w:rPr>
        <w:t>. 8.</w:t>
      </w:r>
    </w:p>
    <w:p w14:paraId="549E9039" w14:textId="77777777" w:rsidR="001B1984" w:rsidRPr="00234211" w:rsidRDefault="001B1984">
      <w:pPr>
        <w:rPr>
          <w:sz w:val="17"/>
          <w:szCs w:val="17"/>
        </w:rPr>
      </w:pPr>
    </w:p>
    <w:p w14:paraId="51652562" w14:textId="77777777" w:rsidR="00C60D23" w:rsidRPr="00234211" w:rsidRDefault="00C60D23" w:rsidP="00357636">
      <w:pPr>
        <w:pStyle w:val="Table"/>
      </w:pPr>
      <w:bookmarkStart w:id="3267" w:name="_Toc53129517"/>
      <w:r w:rsidRPr="00234211">
        <w:t>Table 9.3 Five-class classification of the consequences of identified risk factors</w:t>
      </w:r>
      <w:bookmarkEnd w:id="3267"/>
    </w:p>
    <w:tbl>
      <w:tblPr>
        <w:tblStyle w:val="TableCSIRO"/>
        <w:tblW w:w="8887" w:type="dxa"/>
        <w:jc w:val="center"/>
        <w:tblInd w:w="0" w:type="dxa"/>
        <w:tblLayout w:type="fixed"/>
        <w:tblLook w:val="04A0" w:firstRow="1" w:lastRow="0" w:firstColumn="1" w:lastColumn="0" w:noHBand="0" w:noVBand="1"/>
      </w:tblPr>
      <w:tblGrid>
        <w:gridCol w:w="1746"/>
        <w:gridCol w:w="3491"/>
        <w:gridCol w:w="3650"/>
      </w:tblGrid>
      <w:tr w:rsidR="00C60D23" w:rsidRPr="00AF4401" w14:paraId="7AC60423" w14:textId="77777777" w:rsidTr="00E348E3">
        <w:trPr>
          <w:cnfStyle w:val="100000000000" w:firstRow="1" w:lastRow="0" w:firstColumn="0" w:lastColumn="0" w:oddVBand="0" w:evenVBand="0" w:oddHBand="0" w:evenHBand="0" w:firstRowFirstColumn="0" w:firstRowLastColumn="0" w:lastRowFirstColumn="0" w:lastRowLastColumn="0"/>
          <w:trHeight w:val="992"/>
          <w:jc w:val="center"/>
        </w:trPr>
        <w:tc>
          <w:tcPr>
            <w:cnfStyle w:val="001000000000" w:firstRow="0" w:lastRow="0" w:firstColumn="1" w:lastColumn="0" w:oddVBand="0" w:evenVBand="0" w:oddHBand="0" w:evenHBand="0" w:firstRowFirstColumn="0" w:firstRowLastColumn="0" w:lastRowFirstColumn="0" w:lastRowLastColumn="0"/>
            <w:tcW w:w="1746" w:type="dxa"/>
            <w:shd w:val="clear" w:color="auto" w:fill="0070AE" w:themeFill="accent2" w:themeFillTint="BF"/>
            <w:vAlign w:val="center"/>
          </w:tcPr>
          <w:p w14:paraId="3057F32C" w14:textId="77777777" w:rsidR="00C60D23" w:rsidRPr="00E348E3" w:rsidRDefault="00C60D23" w:rsidP="00C60D23">
            <w:pPr>
              <w:rPr>
                <w:rFonts w:cs="Arial"/>
                <w:szCs w:val="20"/>
              </w:rPr>
            </w:pPr>
            <w:r w:rsidRPr="00E348E3">
              <w:rPr>
                <w:rFonts w:cs="Arial"/>
                <w:szCs w:val="20"/>
              </w:rPr>
              <w:t>Rating</w:t>
            </w:r>
          </w:p>
        </w:tc>
        <w:tc>
          <w:tcPr>
            <w:tcW w:w="3491" w:type="dxa"/>
            <w:shd w:val="clear" w:color="auto" w:fill="0070AE" w:themeFill="accent2" w:themeFillTint="BF"/>
            <w:vAlign w:val="center"/>
          </w:tcPr>
          <w:p w14:paraId="3918BF45" w14:textId="77777777" w:rsidR="00C60D23" w:rsidRPr="00E348E3" w:rsidRDefault="00C60D23" w:rsidP="00C60D23">
            <w:pPr>
              <w:spacing w:line="240" w:lineRule="auto"/>
              <w:jc w:val="both"/>
              <w:cnfStyle w:val="100000000000" w:firstRow="1" w:lastRow="0" w:firstColumn="0" w:lastColumn="0" w:oddVBand="0" w:evenVBand="0" w:oddHBand="0" w:evenHBand="0" w:firstRowFirstColumn="0" w:firstRowLastColumn="0" w:lastRowFirstColumn="0" w:lastRowLastColumn="0"/>
              <w:rPr>
                <w:rFonts w:cs="Arial"/>
                <w:szCs w:val="20"/>
              </w:rPr>
            </w:pPr>
            <w:r w:rsidRPr="00E348E3">
              <w:rPr>
                <w:rFonts w:cs="Arial"/>
                <w:szCs w:val="20"/>
              </w:rPr>
              <w:t>Abatement accumulation</w:t>
            </w:r>
          </w:p>
        </w:tc>
        <w:tc>
          <w:tcPr>
            <w:tcW w:w="3650" w:type="dxa"/>
            <w:shd w:val="clear" w:color="auto" w:fill="0070AE" w:themeFill="accent2" w:themeFillTint="BF"/>
            <w:vAlign w:val="center"/>
          </w:tcPr>
          <w:p w14:paraId="056E7D35" w14:textId="57553DC5" w:rsidR="00C60D23" w:rsidRPr="00E348E3" w:rsidRDefault="00241F2E" w:rsidP="00C60D23">
            <w:pPr>
              <w:spacing w:line="240" w:lineRule="auto"/>
              <w:jc w:val="both"/>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Abatement maintenance</w:t>
            </w:r>
          </w:p>
        </w:tc>
      </w:tr>
      <w:tr w:rsidR="00C60D23" w:rsidRPr="00AF4401" w14:paraId="348CE5EB" w14:textId="77777777" w:rsidTr="00C60D23">
        <w:trPr>
          <w:cnfStyle w:val="000000100000" w:firstRow="0" w:lastRow="0" w:firstColumn="0" w:lastColumn="0" w:oddVBand="0" w:evenVBand="0" w:oddHBand="1" w:evenHBand="0" w:firstRowFirstColumn="0" w:firstRowLastColumn="0" w:lastRowFirstColumn="0" w:lastRowLastColumn="0"/>
          <w:trHeight w:hRule="exact" w:val="1083"/>
          <w:jc w:val="center"/>
        </w:trPr>
        <w:tc>
          <w:tcPr>
            <w:cnfStyle w:val="001000000000" w:firstRow="0" w:lastRow="0" w:firstColumn="1" w:lastColumn="0" w:oddVBand="0" w:evenVBand="0" w:oddHBand="0" w:evenHBand="0" w:firstRowFirstColumn="0" w:firstRowLastColumn="0" w:lastRowFirstColumn="0" w:lastRowLastColumn="0"/>
            <w:tcW w:w="1746" w:type="dxa"/>
            <w:vAlign w:val="center"/>
          </w:tcPr>
          <w:p w14:paraId="1999A129" w14:textId="77777777" w:rsidR="00C60D23" w:rsidRPr="00E348E3" w:rsidRDefault="00C60D23" w:rsidP="00C60D23">
            <w:pPr>
              <w:spacing w:line="240" w:lineRule="auto"/>
              <w:rPr>
                <w:rFonts w:eastAsia="Calibri" w:cs="Arial"/>
                <w:color w:val="000000"/>
                <w:szCs w:val="20"/>
              </w:rPr>
            </w:pPr>
            <w:r w:rsidRPr="00E348E3">
              <w:rPr>
                <w:rFonts w:eastAsia="Calibri" w:cs="Arial"/>
                <w:color w:val="000000"/>
                <w:szCs w:val="20"/>
              </w:rPr>
              <w:t>Catastrophic</w:t>
            </w:r>
          </w:p>
        </w:tc>
        <w:tc>
          <w:tcPr>
            <w:tcW w:w="3491" w:type="dxa"/>
            <w:vAlign w:val="center"/>
          </w:tcPr>
          <w:p w14:paraId="35C871D8" w14:textId="0AA4F82A" w:rsidR="00C60D23" w:rsidRPr="00E348E3" w:rsidRDefault="00C60D23" w:rsidP="00C60D23">
            <w:pPr>
              <w:spacing w:after="60"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sidRPr="00E348E3">
              <w:rPr>
                <w:rFonts w:eastAsia="Calibri" w:cs="Arial"/>
                <w:color w:val="000000"/>
                <w:szCs w:val="20"/>
              </w:rPr>
              <w:t>&lt;20% of expected abatement achieved, and/or lost capacity to re-establish activity</w:t>
            </w:r>
          </w:p>
        </w:tc>
        <w:tc>
          <w:tcPr>
            <w:tcW w:w="3650" w:type="dxa"/>
          </w:tcPr>
          <w:p w14:paraId="65C43E0A" w14:textId="3D78D1FB" w:rsidR="00C60D23" w:rsidRPr="00E348E3" w:rsidRDefault="00C60D23" w:rsidP="00C60D23">
            <w:pPr>
              <w:spacing w:after="60"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sidRPr="00E348E3">
              <w:rPr>
                <w:rFonts w:eastAsia="Calibri" w:cs="Arial"/>
                <w:color w:val="000000"/>
                <w:szCs w:val="20"/>
              </w:rPr>
              <w:t xml:space="preserve">&gt;80% of all previously sequestered abatement lost back to the atmosphere, and/or lost capacity </w:t>
            </w:r>
            <w:r w:rsidR="00D3000D">
              <w:rPr>
                <w:rFonts w:eastAsia="Calibri" w:cs="Arial"/>
                <w:color w:val="000000"/>
                <w:szCs w:val="20"/>
              </w:rPr>
              <w:t xml:space="preserve">to </w:t>
            </w:r>
            <w:r w:rsidRPr="00E348E3">
              <w:rPr>
                <w:rFonts w:eastAsia="Calibri" w:cs="Arial"/>
                <w:color w:val="000000"/>
                <w:szCs w:val="20"/>
              </w:rPr>
              <w:t>re-sequester lost carbon</w:t>
            </w:r>
          </w:p>
        </w:tc>
      </w:tr>
      <w:tr w:rsidR="00C60D23" w:rsidRPr="00AF4401" w14:paraId="72E8C937" w14:textId="77777777" w:rsidTr="00C60D23">
        <w:trPr>
          <w:trHeight w:hRule="exact" w:val="985"/>
          <w:jc w:val="center"/>
        </w:trPr>
        <w:tc>
          <w:tcPr>
            <w:cnfStyle w:val="001000000000" w:firstRow="0" w:lastRow="0" w:firstColumn="1" w:lastColumn="0" w:oddVBand="0" w:evenVBand="0" w:oddHBand="0" w:evenHBand="0" w:firstRowFirstColumn="0" w:firstRowLastColumn="0" w:lastRowFirstColumn="0" w:lastRowLastColumn="0"/>
            <w:tcW w:w="1746" w:type="dxa"/>
            <w:vAlign w:val="center"/>
          </w:tcPr>
          <w:p w14:paraId="1C5D2B82" w14:textId="77777777" w:rsidR="00C60D23" w:rsidRPr="00E348E3" w:rsidRDefault="00C60D23" w:rsidP="00C60D23">
            <w:pPr>
              <w:spacing w:line="240" w:lineRule="auto"/>
              <w:rPr>
                <w:rFonts w:eastAsia="Calibri" w:cs="Arial"/>
                <w:color w:val="000000"/>
                <w:szCs w:val="20"/>
              </w:rPr>
            </w:pPr>
            <w:r w:rsidRPr="00E348E3">
              <w:rPr>
                <w:rFonts w:eastAsia="Calibri" w:cs="Arial"/>
                <w:color w:val="000000"/>
                <w:szCs w:val="20"/>
              </w:rPr>
              <w:t>Major</w:t>
            </w:r>
          </w:p>
        </w:tc>
        <w:tc>
          <w:tcPr>
            <w:tcW w:w="3491" w:type="dxa"/>
            <w:vAlign w:val="center"/>
          </w:tcPr>
          <w:p w14:paraId="3D5AEA7A" w14:textId="70C9655C" w:rsidR="00C60D23" w:rsidRPr="00E348E3" w:rsidRDefault="00C60D23" w:rsidP="00C60D23">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E348E3">
              <w:rPr>
                <w:rFonts w:eastAsia="Calibri" w:cs="Arial"/>
                <w:color w:val="000000"/>
                <w:szCs w:val="20"/>
              </w:rPr>
              <w:t>20-50% of expected abatement achieved, with potential to re-establish activity</w:t>
            </w:r>
          </w:p>
        </w:tc>
        <w:tc>
          <w:tcPr>
            <w:tcW w:w="3650" w:type="dxa"/>
            <w:vAlign w:val="center"/>
          </w:tcPr>
          <w:p w14:paraId="63E21266" w14:textId="23DDC82B" w:rsidR="00C60D23" w:rsidRPr="00E348E3" w:rsidRDefault="00C60D23" w:rsidP="00C60D23">
            <w:pPr>
              <w:spacing w:after="60" w:line="264"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E348E3">
              <w:rPr>
                <w:rFonts w:eastAsia="Calibri" w:cs="Arial"/>
                <w:color w:val="000000"/>
                <w:szCs w:val="20"/>
              </w:rPr>
              <w:t>50-80% of sequestered abatement lost, with potential to re-establish activity</w:t>
            </w:r>
          </w:p>
        </w:tc>
      </w:tr>
      <w:tr w:rsidR="00C60D23" w:rsidRPr="00AF4401" w14:paraId="5E779A22" w14:textId="77777777" w:rsidTr="00C60D23">
        <w:trPr>
          <w:cnfStyle w:val="000000100000" w:firstRow="0" w:lastRow="0" w:firstColumn="0" w:lastColumn="0" w:oddVBand="0" w:evenVBand="0" w:oddHBand="1" w:evenHBand="0" w:firstRowFirstColumn="0" w:firstRowLastColumn="0" w:lastRowFirstColumn="0" w:lastRowLastColumn="0"/>
          <w:trHeight w:hRule="exact" w:val="1007"/>
          <w:jc w:val="center"/>
        </w:trPr>
        <w:tc>
          <w:tcPr>
            <w:cnfStyle w:val="001000000000" w:firstRow="0" w:lastRow="0" w:firstColumn="1" w:lastColumn="0" w:oddVBand="0" w:evenVBand="0" w:oddHBand="0" w:evenHBand="0" w:firstRowFirstColumn="0" w:firstRowLastColumn="0" w:lastRowFirstColumn="0" w:lastRowLastColumn="0"/>
            <w:tcW w:w="1746" w:type="dxa"/>
            <w:vAlign w:val="center"/>
          </w:tcPr>
          <w:p w14:paraId="677C2DFA" w14:textId="77777777" w:rsidR="00C60D23" w:rsidRPr="00E348E3" w:rsidRDefault="00C60D23" w:rsidP="00C60D23">
            <w:pPr>
              <w:spacing w:line="240" w:lineRule="auto"/>
              <w:rPr>
                <w:rFonts w:eastAsia="Calibri" w:cs="Arial"/>
                <w:color w:val="000000"/>
                <w:szCs w:val="20"/>
              </w:rPr>
            </w:pPr>
            <w:r w:rsidRPr="00E348E3">
              <w:rPr>
                <w:rFonts w:eastAsia="Calibri" w:cs="Arial"/>
                <w:color w:val="000000"/>
                <w:szCs w:val="20"/>
              </w:rPr>
              <w:t>Moderate</w:t>
            </w:r>
          </w:p>
        </w:tc>
        <w:tc>
          <w:tcPr>
            <w:tcW w:w="3491" w:type="dxa"/>
            <w:vAlign w:val="center"/>
          </w:tcPr>
          <w:p w14:paraId="21FCB859" w14:textId="4635A09D" w:rsidR="00C60D23" w:rsidRPr="00E348E3" w:rsidRDefault="00C60D23" w:rsidP="00C60D23">
            <w:pPr>
              <w:spacing w:after="60"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sidRPr="00E348E3">
              <w:rPr>
                <w:rFonts w:eastAsia="Calibri" w:cs="Arial"/>
                <w:color w:val="000000"/>
                <w:szCs w:val="20"/>
              </w:rPr>
              <w:t>50-80% of expected abatement achieved, with potential to re-establish activity</w:t>
            </w:r>
          </w:p>
        </w:tc>
        <w:tc>
          <w:tcPr>
            <w:tcW w:w="3650" w:type="dxa"/>
            <w:vAlign w:val="center"/>
          </w:tcPr>
          <w:p w14:paraId="7738F0B7" w14:textId="6013EE3E" w:rsidR="00C60D23" w:rsidRPr="00E348E3" w:rsidRDefault="00C60D23" w:rsidP="00C60D23">
            <w:pPr>
              <w:spacing w:after="60"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sidRPr="00E348E3">
              <w:rPr>
                <w:rFonts w:eastAsia="Calibri" w:cs="Arial"/>
                <w:color w:val="000000"/>
                <w:szCs w:val="20"/>
              </w:rPr>
              <w:t>20-50% of sequestered abatement lost, with potential to re-establish activity</w:t>
            </w:r>
          </w:p>
        </w:tc>
      </w:tr>
      <w:tr w:rsidR="00C60D23" w:rsidRPr="00AF4401" w14:paraId="5755584D" w14:textId="77777777" w:rsidTr="00C60D23">
        <w:trPr>
          <w:trHeight w:hRule="exact" w:val="928"/>
          <w:jc w:val="center"/>
        </w:trPr>
        <w:tc>
          <w:tcPr>
            <w:cnfStyle w:val="001000000000" w:firstRow="0" w:lastRow="0" w:firstColumn="1" w:lastColumn="0" w:oddVBand="0" w:evenVBand="0" w:oddHBand="0" w:evenHBand="0" w:firstRowFirstColumn="0" w:firstRowLastColumn="0" w:lastRowFirstColumn="0" w:lastRowLastColumn="0"/>
            <w:tcW w:w="1746" w:type="dxa"/>
            <w:vAlign w:val="center"/>
          </w:tcPr>
          <w:p w14:paraId="2D60FBB8" w14:textId="77777777" w:rsidR="00C60D23" w:rsidRPr="00E348E3" w:rsidRDefault="00C60D23" w:rsidP="00C60D23">
            <w:pPr>
              <w:spacing w:line="240" w:lineRule="auto"/>
              <w:rPr>
                <w:rFonts w:eastAsia="Calibri" w:cs="Arial"/>
                <w:color w:val="000000"/>
                <w:szCs w:val="20"/>
              </w:rPr>
            </w:pPr>
            <w:r w:rsidRPr="00E348E3">
              <w:rPr>
                <w:rFonts w:eastAsia="Calibri" w:cs="Arial"/>
                <w:color w:val="000000"/>
                <w:szCs w:val="20"/>
              </w:rPr>
              <w:t>Minor</w:t>
            </w:r>
          </w:p>
        </w:tc>
        <w:tc>
          <w:tcPr>
            <w:tcW w:w="3491" w:type="dxa"/>
            <w:vAlign w:val="center"/>
          </w:tcPr>
          <w:p w14:paraId="7CA594DC" w14:textId="29075D3E" w:rsidR="00C60D23" w:rsidRPr="00E348E3" w:rsidRDefault="00C60D23" w:rsidP="00C60D23">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E348E3">
              <w:rPr>
                <w:rFonts w:eastAsia="Calibri" w:cs="Arial"/>
                <w:color w:val="000000"/>
                <w:szCs w:val="20"/>
              </w:rPr>
              <w:t>80-95% of expected abatement achieved, with potential to re-establish activity</w:t>
            </w:r>
          </w:p>
        </w:tc>
        <w:tc>
          <w:tcPr>
            <w:tcW w:w="3650" w:type="dxa"/>
            <w:vAlign w:val="center"/>
          </w:tcPr>
          <w:p w14:paraId="774CC603" w14:textId="7B54DE71" w:rsidR="00C60D23" w:rsidRPr="00E348E3" w:rsidRDefault="00C60D23" w:rsidP="00C60D23">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E348E3">
              <w:rPr>
                <w:rFonts w:eastAsia="Calibri" w:cs="Arial"/>
                <w:color w:val="000000"/>
                <w:szCs w:val="20"/>
              </w:rPr>
              <w:t>5-20% of sequestered abatement lost, with potential to re-establish activity</w:t>
            </w:r>
          </w:p>
        </w:tc>
      </w:tr>
      <w:tr w:rsidR="00C60D23" w:rsidRPr="00AF4401" w14:paraId="05F5543E" w14:textId="77777777" w:rsidTr="00C60D23">
        <w:trPr>
          <w:cnfStyle w:val="000000100000" w:firstRow="0" w:lastRow="0" w:firstColumn="0" w:lastColumn="0" w:oddVBand="0" w:evenVBand="0" w:oddHBand="1" w:evenHBand="0" w:firstRowFirstColumn="0" w:firstRowLastColumn="0" w:lastRowFirstColumn="0" w:lastRowLastColumn="0"/>
          <w:trHeight w:hRule="exact" w:val="541"/>
          <w:jc w:val="center"/>
        </w:trPr>
        <w:tc>
          <w:tcPr>
            <w:cnfStyle w:val="001000000000" w:firstRow="0" w:lastRow="0" w:firstColumn="1" w:lastColumn="0" w:oddVBand="0" w:evenVBand="0" w:oddHBand="0" w:evenHBand="0" w:firstRowFirstColumn="0" w:firstRowLastColumn="0" w:lastRowFirstColumn="0" w:lastRowLastColumn="0"/>
            <w:tcW w:w="1746" w:type="dxa"/>
            <w:vAlign w:val="center"/>
          </w:tcPr>
          <w:p w14:paraId="00295B84" w14:textId="77777777" w:rsidR="00C60D23" w:rsidRPr="00E348E3" w:rsidRDefault="00C60D23" w:rsidP="00C60D23">
            <w:pPr>
              <w:spacing w:line="240" w:lineRule="auto"/>
              <w:rPr>
                <w:rFonts w:eastAsia="Calibri" w:cs="Arial"/>
                <w:color w:val="000000"/>
                <w:szCs w:val="20"/>
              </w:rPr>
            </w:pPr>
            <w:r w:rsidRPr="00E348E3">
              <w:rPr>
                <w:rFonts w:eastAsia="Calibri" w:cs="Arial"/>
                <w:color w:val="000000"/>
                <w:szCs w:val="20"/>
              </w:rPr>
              <w:t>Insignificant</w:t>
            </w:r>
          </w:p>
        </w:tc>
        <w:tc>
          <w:tcPr>
            <w:tcW w:w="3491" w:type="dxa"/>
            <w:vAlign w:val="center"/>
          </w:tcPr>
          <w:p w14:paraId="4DA88CC0" w14:textId="77777777" w:rsidR="00C60D23" w:rsidRPr="00E348E3" w:rsidRDefault="00C60D23" w:rsidP="00C60D23">
            <w:pPr>
              <w:spacing w:after="60"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sidRPr="00E348E3">
              <w:rPr>
                <w:rFonts w:eastAsia="Calibri" w:cs="Arial"/>
                <w:color w:val="000000"/>
                <w:szCs w:val="20"/>
              </w:rPr>
              <w:t>&gt;95% of expected abatement achieved</w:t>
            </w:r>
          </w:p>
        </w:tc>
        <w:tc>
          <w:tcPr>
            <w:tcW w:w="3650" w:type="dxa"/>
          </w:tcPr>
          <w:p w14:paraId="562C8BA0" w14:textId="77777777" w:rsidR="00C60D23" w:rsidRPr="00E348E3" w:rsidRDefault="00C60D23" w:rsidP="00C60D23">
            <w:pPr>
              <w:spacing w:after="60"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sidRPr="00E348E3">
              <w:rPr>
                <w:rFonts w:eastAsia="Calibri" w:cs="Arial"/>
                <w:color w:val="000000"/>
                <w:szCs w:val="20"/>
              </w:rPr>
              <w:t>Abatement maintained through time with no material losses (&lt; 5%)</w:t>
            </w:r>
          </w:p>
        </w:tc>
      </w:tr>
    </w:tbl>
    <w:p w14:paraId="2FAD7D35" w14:textId="3474643F" w:rsidR="00C60D23" w:rsidRPr="00234211" w:rsidRDefault="006B4D86" w:rsidP="00C60D23">
      <w:pPr>
        <w:rPr>
          <w:rFonts w:eastAsia="Calibri" w:cs="Times New Roman"/>
          <w:caps/>
          <w:color w:val="159DCE"/>
          <w:sz w:val="17"/>
          <w:szCs w:val="17"/>
        </w:rPr>
      </w:pPr>
      <w:r w:rsidRPr="00234211">
        <w:rPr>
          <w:rFonts w:eastAsia="Calibri" w:cs="Times New Roman"/>
          <w:b/>
          <w:caps/>
          <w:sz w:val="17"/>
          <w:szCs w:val="17"/>
        </w:rPr>
        <w:t>Source:</w:t>
      </w:r>
      <w:r w:rsidRPr="00234211">
        <w:rPr>
          <w:rFonts w:eastAsia="Calibri" w:cs="Times New Roman"/>
          <w:caps/>
          <w:sz w:val="17"/>
          <w:szCs w:val="17"/>
        </w:rPr>
        <w:t xml:space="preserve"> CSIRO 2020, p. 7</w:t>
      </w:r>
      <w:r w:rsidRPr="00234211">
        <w:rPr>
          <w:rFonts w:eastAsia="Calibri" w:cs="Times New Roman"/>
          <w:caps/>
          <w:color w:val="159DCE"/>
          <w:sz w:val="17"/>
          <w:szCs w:val="17"/>
        </w:rPr>
        <w:t>.</w:t>
      </w:r>
    </w:p>
    <w:p w14:paraId="3B6A8F44" w14:textId="74F680A1" w:rsidR="00371A52" w:rsidRPr="001E21F6" w:rsidRDefault="001156AD" w:rsidP="001156AD">
      <w:pPr>
        <w:spacing w:line="259" w:lineRule="auto"/>
      </w:pPr>
      <w:r>
        <w:br w:type="page"/>
      </w:r>
    </w:p>
    <w:p w14:paraId="2DA913F3" w14:textId="05EE2E54" w:rsidR="00C60D23" w:rsidRPr="00234211" w:rsidRDefault="00C60D23" w:rsidP="00357636">
      <w:pPr>
        <w:pStyle w:val="Table"/>
      </w:pPr>
      <w:bookmarkStart w:id="3268" w:name="_Toc53129518"/>
      <w:r w:rsidRPr="00357636">
        <w:rPr>
          <w:rStyle w:val="TableChar"/>
        </w:rPr>
        <w:t>Table 9.4. Risk priority classification arising from combinations of consequence and likelihood</w:t>
      </w:r>
      <w:r w:rsidRPr="00234211">
        <w:t>.</w:t>
      </w:r>
      <w:bookmarkEnd w:id="3268"/>
    </w:p>
    <w:tbl>
      <w:tblPr>
        <w:tblStyle w:val="TableCSIRO"/>
        <w:tblW w:w="8929" w:type="dxa"/>
        <w:tblInd w:w="0" w:type="dxa"/>
        <w:tblLayout w:type="fixed"/>
        <w:tblLook w:val="04A0" w:firstRow="1" w:lastRow="0" w:firstColumn="1" w:lastColumn="0" w:noHBand="0" w:noVBand="1"/>
      </w:tblPr>
      <w:tblGrid>
        <w:gridCol w:w="2127"/>
        <w:gridCol w:w="1417"/>
        <w:gridCol w:w="1276"/>
        <w:gridCol w:w="1417"/>
        <w:gridCol w:w="1418"/>
        <w:gridCol w:w="1274"/>
      </w:tblGrid>
      <w:tr w:rsidR="00C60D23" w:rsidRPr="00284A3B" w14:paraId="74139914" w14:textId="77777777" w:rsidTr="00E348E3">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27" w:type="dxa"/>
            <w:shd w:val="clear" w:color="auto" w:fill="0070AE" w:themeFill="accent2" w:themeFillTint="BF"/>
            <w:vAlign w:val="center"/>
          </w:tcPr>
          <w:p w14:paraId="4A6F25DF" w14:textId="77777777" w:rsidR="00C60D23" w:rsidRPr="00284A3B" w:rsidRDefault="00C60D23" w:rsidP="00C60D23">
            <w:pPr>
              <w:rPr>
                <w:rFonts w:asciiTheme="minorHAnsi" w:hAnsiTheme="minorHAnsi" w:cs="Arial"/>
                <w:b w:val="0"/>
                <w:bCs w:val="0"/>
                <w:szCs w:val="20"/>
              </w:rPr>
            </w:pPr>
          </w:p>
        </w:tc>
        <w:tc>
          <w:tcPr>
            <w:tcW w:w="6802" w:type="dxa"/>
            <w:gridSpan w:val="5"/>
            <w:shd w:val="clear" w:color="auto" w:fill="0070AE" w:themeFill="accent2" w:themeFillTint="BF"/>
            <w:vAlign w:val="center"/>
          </w:tcPr>
          <w:p w14:paraId="250CB8A0" w14:textId="77777777" w:rsidR="00C60D23" w:rsidRPr="008A5333" w:rsidRDefault="00C60D23" w:rsidP="00C60D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0"/>
              </w:rPr>
            </w:pPr>
            <w:r w:rsidRPr="008A5333">
              <w:rPr>
                <w:rFonts w:asciiTheme="minorHAnsi" w:hAnsiTheme="minorHAnsi" w:cs="Arial"/>
                <w:szCs w:val="20"/>
              </w:rPr>
              <w:t>Consequences</w:t>
            </w:r>
          </w:p>
        </w:tc>
      </w:tr>
      <w:tr w:rsidR="00C60D23" w:rsidRPr="00284A3B" w14:paraId="297CCEDC" w14:textId="77777777" w:rsidTr="001B1984">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tcBorders>
            <w:shd w:val="clear" w:color="auto" w:fill="0070AE" w:themeFill="accent2" w:themeFillTint="BF"/>
            <w:vAlign w:val="center"/>
          </w:tcPr>
          <w:p w14:paraId="2EE494FE" w14:textId="77777777" w:rsidR="00C60D23" w:rsidRPr="008A5333" w:rsidRDefault="00C60D23" w:rsidP="00C60D23">
            <w:pPr>
              <w:rPr>
                <w:rFonts w:asciiTheme="minorHAnsi" w:hAnsiTheme="minorHAnsi" w:cs="Arial"/>
                <w:color w:val="FFFFFF" w:themeColor="background1"/>
                <w:szCs w:val="20"/>
              </w:rPr>
            </w:pPr>
            <w:r w:rsidRPr="008A5333">
              <w:rPr>
                <w:rFonts w:asciiTheme="minorHAnsi" w:hAnsiTheme="minorHAnsi" w:cs="Arial"/>
                <w:color w:val="FFFFFF" w:themeColor="background1"/>
                <w:szCs w:val="20"/>
              </w:rPr>
              <w:t>Likelihood</w:t>
            </w:r>
          </w:p>
        </w:tc>
        <w:tc>
          <w:tcPr>
            <w:tcW w:w="1417" w:type="dxa"/>
            <w:tcBorders>
              <w:bottom w:val="single" w:sz="4" w:space="0" w:color="auto"/>
            </w:tcBorders>
            <w:shd w:val="clear" w:color="auto" w:fill="0070AE" w:themeFill="accent2" w:themeFillTint="BF"/>
            <w:vAlign w:val="center"/>
          </w:tcPr>
          <w:p w14:paraId="1234B083" w14:textId="77777777" w:rsidR="00C60D23" w:rsidRPr="00284A3B" w:rsidRDefault="00C60D23" w:rsidP="00C60D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Cs w:val="20"/>
              </w:rPr>
            </w:pPr>
            <w:r w:rsidRPr="00284A3B">
              <w:rPr>
                <w:rFonts w:asciiTheme="minorHAnsi" w:hAnsiTheme="minorHAnsi" w:cs="Arial"/>
                <w:color w:val="FFFFFF" w:themeColor="background1"/>
                <w:szCs w:val="20"/>
              </w:rPr>
              <w:t>Insignificant</w:t>
            </w:r>
          </w:p>
        </w:tc>
        <w:tc>
          <w:tcPr>
            <w:tcW w:w="1276" w:type="dxa"/>
            <w:tcBorders>
              <w:bottom w:val="single" w:sz="4" w:space="0" w:color="auto"/>
            </w:tcBorders>
            <w:shd w:val="clear" w:color="auto" w:fill="0070AE" w:themeFill="accent2" w:themeFillTint="BF"/>
            <w:vAlign w:val="center"/>
          </w:tcPr>
          <w:p w14:paraId="0A645C12" w14:textId="77777777" w:rsidR="00C60D23" w:rsidRPr="00284A3B" w:rsidRDefault="00C60D23" w:rsidP="00C60D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Cs w:val="20"/>
              </w:rPr>
            </w:pPr>
            <w:r w:rsidRPr="00284A3B">
              <w:rPr>
                <w:rFonts w:asciiTheme="minorHAnsi" w:hAnsiTheme="minorHAnsi" w:cs="Arial"/>
                <w:color w:val="FFFFFF" w:themeColor="background1"/>
                <w:szCs w:val="20"/>
              </w:rPr>
              <w:t>Minor</w:t>
            </w:r>
          </w:p>
        </w:tc>
        <w:tc>
          <w:tcPr>
            <w:tcW w:w="1417" w:type="dxa"/>
            <w:tcBorders>
              <w:bottom w:val="single" w:sz="4" w:space="0" w:color="auto"/>
            </w:tcBorders>
            <w:shd w:val="clear" w:color="auto" w:fill="0070AE" w:themeFill="accent2" w:themeFillTint="BF"/>
            <w:vAlign w:val="center"/>
          </w:tcPr>
          <w:p w14:paraId="472CE725" w14:textId="77777777" w:rsidR="00C60D23" w:rsidRPr="00284A3B" w:rsidRDefault="00C60D23" w:rsidP="00C60D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Cs w:val="20"/>
              </w:rPr>
            </w:pPr>
            <w:r w:rsidRPr="00284A3B">
              <w:rPr>
                <w:rFonts w:asciiTheme="minorHAnsi" w:hAnsiTheme="minorHAnsi" w:cs="Arial"/>
                <w:color w:val="FFFFFF" w:themeColor="background1"/>
                <w:szCs w:val="20"/>
              </w:rPr>
              <w:t>Moderate</w:t>
            </w:r>
          </w:p>
        </w:tc>
        <w:tc>
          <w:tcPr>
            <w:tcW w:w="1418" w:type="dxa"/>
            <w:tcBorders>
              <w:bottom w:val="single" w:sz="4" w:space="0" w:color="auto"/>
            </w:tcBorders>
            <w:shd w:val="clear" w:color="auto" w:fill="0070AE" w:themeFill="accent2" w:themeFillTint="BF"/>
            <w:vAlign w:val="center"/>
          </w:tcPr>
          <w:p w14:paraId="20AC50A8" w14:textId="77777777" w:rsidR="00C60D23" w:rsidRPr="00284A3B" w:rsidRDefault="00C60D23" w:rsidP="00C60D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Cs w:val="20"/>
              </w:rPr>
            </w:pPr>
            <w:r w:rsidRPr="00284A3B">
              <w:rPr>
                <w:rFonts w:asciiTheme="minorHAnsi" w:hAnsiTheme="minorHAnsi" w:cs="Arial"/>
                <w:color w:val="FFFFFF" w:themeColor="background1"/>
                <w:szCs w:val="20"/>
              </w:rPr>
              <w:t>Major</w:t>
            </w:r>
          </w:p>
        </w:tc>
        <w:tc>
          <w:tcPr>
            <w:tcW w:w="1274" w:type="dxa"/>
            <w:tcBorders>
              <w:bottom w:val="single" w:sz="4" w:space="0" w:color="auto"/>
            </w:tcBorders>
            <w:shd w:val="clear" w:color="auto" w:fill="0070AE" w:themeFill="accent2" w:themeFillTint="BF"/>
            <w:vAlign w:val="center"/>
          </w:tcPr>
          <w:p w14:paraId="0D9F0B2F" w14:textId="77777777" w:rsidR="00C60D23" w:rsidRPr="00284A3B" w:rsidRDefault="00C60D23" w:rsidP="00C60D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Cs w:val="20"/>
              </w:rPr>
            </w:pPr>
            <w:r w:rsidRPr="00284A3B">
              <w:rPr>
                <w:rFonts w:asciiTheme="minorHAnsi" w:hAnsiTheme="minorHAnsi" w:cs="Arial"/>
                <w:color w:val="FFFFFF" w:themeColor="background1"/>
                <w:szCs w:val="20"/>
              </w:rPr>
              <w:t>Catastrophic</w:t>
            </w:r>
          </w:p>
        </w:tc>
      </w:tr>
      <w:tr w:rsidR="00C60D23" w:rsidRPr="000E2DF1" w14:paraId="32DC19FE" w14:textId="77777777" w:rsidTr="001B1984">
        <w:trPr>
          <w:trHeight w:hRule="exact" w:val="537"/>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vAlign w:val="center"/>
          </w:tcPr>
          <w:p w14:paraId="34189E05" w14:textId="77777777" w:rsidR="00C60D23" w:rsidRPr="00284A3B" w:rsidRDefault="00C60D23" w:rsidP="00996B9D">
            <w:pPr>
              <w:pStyle w:val="BodyText"/>
            </w:pPr>
            <w:r w:rsidRPr="00284A3B">
              <w:t>Likely</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2F730653" w14:textId="77777777" w:rsidR="00C60D23" w:rsidRPr="000E2DF1" w:rsidRDefault="00C60D23" w:rsidP="00996B9D">
            <w:pPr>
              <w:pStyle w:val="BodyText"/>
              <w:cnfStyle w:val="000000000000" w:firstRow="0" w:lastRow="0" w:firstColumn="0" w:lastColumn="0" w:oddVBand="0" w:evenVBand="0" w:oddHBand="0" w:evenHBand="0" w:firstRowFirstColumn="0" w:firstRowLastColumn="0" w:lastRowFirstColumn="0" w:lastRowLastColumn="0"/>
            </w:pPr>
            <w:r>
              <w:t>Low</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6AC67631" w14:textId="77777777" w:rsidR="00C60D23" w:rsidRPr="000E2DF1" w:rsidRDefault="00C60D23" w:rsidP="00996B9D">
            <w:pPr>
              <w:pStyle w:val="BodyText"/>
              <w:cnfStyle w:val="000000000000" w:firstRow="0" w:lastRow="0" w:firstColumn="0" w:lastColumn="0" w:oddVBand="0" w:evenVBand="0" w:oddHBand="0" w:evenHBand="0" w:firstRowFirstColumn="0" w:firstRowLastColumn="0" w:lastRowFirstColumn="0" w:lastRowLastColumn="0"/>
            </w:pPr>
            <w:r>
              <w:t>Low</w:t>
            </w:r>
          </w:p>
        </w:tc>
        <w:tc>
          <w:tcPr>
            <w:tcW w:w="1417" w:type="dxa"/>
            <w:tcBorders>
              <w:top w:val="single" w:sz="4" w:space="0" w:color="auto"/>
              <w:left w:val="single" w:sz="4" w:space="0" w:color="auto"/>
              <w:bottom w:val="single" w:sz="4" w:space="0" w:color="auto"/>
              <w:right w:val="single" w:sz="4" w:space="0" w:color="auto"/>
            </w:tcBorders>
            <w:shd w:val="clear" w:color="auto" w:fill="FFC000"/>
            <w:vAlign w:val="center"/>
          </w:tcPr>
          <w:p w14:paraId="5AB1200C" w14:textId="77777777" w:rsidR="00C60D23" w:rsidRDefault="00C60D23" w:rsidP="00996B9D">
            <w:pPr>
              <w:pStyle w:val="BodyText"/>
              <w:cnfStyle w:val="000000000000" w:firstRow="0" w:lastRow="0" w:firstColumn="0" w:lastColumn="0" w:oddVBand="0" w:evenVBand="0" w:oddHBand="0" w:evenHBand="0" w:firstRowFirstColumn="0" w:firstRowLastColumn="0" w:lastRowFirstColumn="0" w:lastRowLastColumn="0"/>
            </w:pPr>
            <w:r>
              <w:t>Medium</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14:paraId="58275C14" w14:textId="77777777" w:rsidR="00C60D23" w:rsidRDefault="00C60D23" w:rsidP="00996B9D">
            <w:pPr>
              <w:pStyle w:val="BodyText"/>
              <w:cnfStyle w:val="000000000000" w:firstRow="0" w:lastRow="0" w:firstColumn="0" w:lastColumn="0" w:oddVBand="0" w:evenVBand="0" w:oddHBand="0" w:evenHBand="0" w:firstRowFirstColumn="0" w:firstRowLastColumn="0" w:lastRowFirstColumn="0" w:lastRowLastColumn="0"/>
            </w:pPr>
            <w:r>
              <w:t>High</w:t>
            </w:r>
          </w:p>
        </w:tc>
        <w:tc>
          <w:tcPr>
            <w:tcW w:w="1274" w:type="dxa"/>
            <w:tcBorders>
              <w:top w:val="single" w:sz="4" w:space="0" w:color="auto"/>
              <w:left w:val="single" w:sz="4" w:space="0" w:color="auto"/>
              <w:bottom w:val="single" w:sz="4" w:space="0" w:color="auto"/>
              <w:right w:val="single" w:sz="4" w:space="0" w:color="auto"/>
            </w:tcBorders>
            <w:shd w:val="clear" w:color="auto" w:fill="C00000"/>
            <w:vAlign w:val="center"/>
          </w:tcPr>
          <w:p w14:paraId="79043E6F" w14:textId="77777777" w:rsidR="00C60D23" w:rsidRDefault="00C60D23" w:rsidP="00996B9D">
            <w:pPr>
              <w:pStyle w:val="BodyText"/>
              <w:cnfStyle w:val="000000000000" w:firstRow="0" w:lastRow="0" w:firstColumn="0" w:lastColumn="0" w:oddVBand="0" w:evenVBand="0" w:oddHBand="0" w:evenHBand="0" w:firstRowFirstColumn="0" w:firstRowLastColumn="0" w:lastRowFirstColumn="0" w:lastRowLastColumn="0"/>
            </w:pPr>
            <w:r>
              <w:t>Extreme</w:t>
            </w:r>
          </w:p>
        </w:tc>
      </w:tr>
      <w:tr w:rsidR="00C60D23" w:rsidRPr="000E2DF1" w14:paraId="4EC1B255" w14:textId="77777777" w:rsidTr="001B1984">
        <w:trPr>
          <w:cnfStyle w:val="000000100000" w:firstRow="0" w:lastRow="0" w:firstColumn="0" w:lastColumn="0" w:oddVBand="0" w:evenVBand="0" w:oddHBand="1" w:evenHBand="0" w:firstRowFirstColumn="0" w:firstRowLastColumn="0" w:lastRowFirstColumn="0" w:lastRowLastColumn="0"/>
          <w:trHeight w:hRule="exact" w:val="663"/>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0DDEDE1" w14:textId="77777777" w:rsidR="00C60D23" w:rsidRPr="00284A3B" w:rsidRDefault="00C60D23" w:rsidP="00996B9D">
            <w:pPr>
              <w:pStyle w:val="BodyText"/>
            </w:pPr>
            <w:r w:rsidRPr="00284A3B">
              <w:t>About as likely as not</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1CFBAAF4" w14:textId="77777777" w:rsidR="00C60D23" w:rsidRPr="000E2DF1" w:rsidRDefault="00C60D23" w:rsidP="00996B9D">
            <w:pPr>
              <w:pStyle w:val="BodyText"/>
              <w:cnfStyle w:val="000000100000" w:firstRow="0" w:lastRow="0" w:firstColumn="0" w:lastColumn="0" w:oddVBand="0" w:evenVBand="0" w:oddHBand="1" w:evenHBand="0" w:firstRowFirstColumn="0" w:firstRowLastColumn="0" w:lastRowFirstColumn="0" w:lastRowLastColumn="0"/>
            </w:pPr>
            <w:r>
              <w:t>Low</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7DDA20CA" w14:textId="77777777" w:rsidR="00C60D23" w:rsidRPr="000E2DF1" w:rsidRDefault="00C60D23" w:rsidP="00996B9D">
            <w:pPr>
              <w:pStyle w:val="BodyText"/>
              <w:cnfStyle w:val="000000100000" w:firstRow="0" w:lastRow="0" w:firstColumn="0" w:lastColumn="0" w:oddVBand="0" w:evenVBand="0" w:oddHBand="1" w:evenHBand="0" w:firstRowFirstColumn="0" w:firstRowLastColumn="0" w:lastRowFirstColumn="0" w:lastRowLastColumn="0"/>
            </w:pPr>
            <w:r>
              <w:t>Low</w:t>
            </w:r>
          </w:p>
        </w:tc>
        <w:tc>
          <w:tcPr>
            <w:tcW w:w="1417" w:type="dxa"/>
            <w:tcBorders>
              <w:top w:val="single" w:sz="4" w:space="0" w:color="auto"/>
              <w:left w:val="single" w:sz="4" w:space="0" w:color="auto"/>
              <w:bottom w:val="single" w:sz="4" w:space="0" w:color="auto"/>
              <w:right w:val="single" w:sz="4" w:space="0" w:color="auto"/>
            </w:tcBorders>
            <w:shd w:val="clear" w:color="auto" w:fill="FFC000"/>
            <w:vAlign w:val="center"/>
          </w:tcPr>
          <w:p w14:paraId="3428D088" w14:textId="77777777" w:rsidR="00C60D23" w:rsidRDefault="00C60D23" w:rsidP="00996B9D">
            <w:pPr>
              <w:pStyle w:val="BodyText"/>
              <w:cnfStyle w:val="000000100000" w:firstRow="0" w:lastRow="0" w:firstColumn="0" w:lastColumn="0" w:oddVBand="0" w:evenVBand="0" w:oddHBand="1" w:evenHBand="0" w:firstRowFirstColumn="0" w:firstRowLastColumn="0" w:lastRowFirstColumn="0" w:lastRowLastColumn="0"/>
            </w:pPr>
            <w:r>
              <w:t>Medium</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14:paraId="1CD4C1A8" w14:textId="77777777" w:rsidR="00C60D23" w:rsidRDefault="00C60D23" w:rsidP="00996B9D">
            <w:pPr>
              <w:pStyle w:val="BodyText"/>
              <w:cnfStyle w:val="000000100000" w:firstRow="0" w:lastRow="0" w:firstColumn="0" w:lastColumn="0" w:oddVBand="0" w:evenVBand="0" w:oddHBand="1" w:evenHBand="0" w:firstRowFirstColumn="0" w:firstRowLastColumn="0" w:lastRowFirstColumn="0" w:lastRowLastColumn="0"/>
            </w:pPr>
            <w:r>
              <w:t>High</w:t>
            </w:r>
          </w:p>
        </w:tc>
        <w:tc>
          <w:tcPr>
            <w:tcW w:w="1274" w:type="dxa"/>
            <w:tcBorders>
              <w:top w:val="single" w:sz="4" w:space="0" w:color="auto"/>
              <w:left w:val="single" w:sz="4" w:space="0" w:color="auto"/>
              <w:bottom w:val="single" w:sz="4" w:space="0" w:color="auto"/>
              <w:right w:val="single" w:sz="4" w:space="0" w:color="auto"/>
            </w:tcBorders>
            <w:shd w:val="clear" w:color="auto" w:fill="C00000"/>
            <w:vAlign w:val="center"/>
          </w:tcPr>
          <w:p w14:paraId="2916121D" w14:textId="77777777" w:rsidR="00C60D23" w:rsidRDefault="00C60D23" w:rsidP="00996B9D">
            <w:pPr>
              <w:pStyle w:val="BodyText"/>
              <w:cnfStyle w:val="000000100000" w:firstRow="0" w:lastRow="0" w:firstColumn="0" w:lastColumn="0" w:oddVBand="0" w:evenVBand="0" w:oddHBand="1" w:evenHBand="0" w:firstRowFirstColumn="0" w:firstRowLastColumn="0" w:lastRowFirstColumn="0" w:lastRowLastColumn="0"/>
            </w:pPr>
            <w:r>
              <w:t>Extreme</w:t>
            </w:r>
          </w:p>
        </w:tc>
      </w:tr>
      <w:tr w:rsidR="00C60D23" w:rsidRPr="000E2DF1" w14:paraId="656294F4" w14:textId="77777777" w:rsidTr="001B1984">
        <w:trPr>
          <w:trHeight w:hRule="exact" w:val="591"/>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vAlign w:val="center"/>
          </w:tcPr>
          <w:p w14:paraId="77E351E0" w14:textId="77777777" w:rsidR="00C60D23" w:rsidRPr="00284A3B" w:rsidRDefault="00C60D23" w:rsidP="00996B9D">
            <w:pPr>
              <w:pStyle w:val="BodyText"/>
            </w:pPr>
            <w:r w:rsidRPr="00284A3B">
              <w:t>Unlikely</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66C8E6E6" w14:textId="77777777" w:rsidR="00C60D23" w:rsidRPr="000E2DF1" w:rsidRDefault="00C60D23" w:rsidP="00996B9D">
            <w:pPr>
              <w:pStyle w:val="BodyText"/>
              <w:cnfStyle w:val="000000000000" w:firstRow="0" w:lastRow="0" w:firstColumn="0" w:lastColumn="0" w:oddVBand="0" w:evenVBand="0" w:oddHBand="0" w:evenHBand="0" w:firstRowFirstColumn="0" w:firstRowLastColumn="0" w:lastRowFirstColumn="0" w:lastRowLastColumn="0"/>
            </w:pPr>
            <w:r>
              <w:t>Low</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444EEE61" w14:textId="77777777" w:rsidR="00C60D23" w:rsidRPr="000E2DF1" w:rsidRDefault="00C60D23" w:rsidP="00996B9D">
            <w:pPr>
              <w:pStyle w:val="BodyText"/>
              <w:cnfStyle w:val="000000000000" w:firstRow="0" w:lastRow="0" w:firstColumn="0" w:lastColumn="0" w:oddVBand="0" w:evenVBand="0" w:oddHBand="0" w:evenHBand="0" w:firstRowFirstColumn="0" w:firstRowLastColumn="0" w:lastRowFirstColumn="0" w:lastRowLastColumn="0"/>
            </w:pPr>
            <w:r>
              <w:t>Low</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231BDD80" w14:textId="77777777" w:rsidR="00C60D23" w:rsidRDefault="00C60D23" w:rsidP="00996B9D">
            <w:pPr>
              <w:pStyle w:val="BodyText"/>
              <w:cnfStyle w:val="000000000000" w:firstRow="0" w:lastRow="0" w:firstColumn="0" w:lastColumn="0" w:oddVBand="0" w:evenVBand="0" w:oddHBand="0" w:evenHBand="0" w:firstRowFirstColumn="0" w:firstRowLastColumn="0" w:lastRowFirstColumn="0" w:lastRowLastColumn="0"/>
            </w:pPr>
            <w:r>
              <w:t>Low</w:t>
            </w:r>
          </w:p>
        </w:tc>
        <w:tc>
          <w:tcPr>
            <w:tcW w:w="1418" w:type="dxa"/>
            <w:tcBorders>
              <w:top w:val="single" w:sz="4" w:space="0" w:color="auto"/>
              <w:left w:val="single" w:sz="4" w:space="0" w:color="auto"/>
              <w:bottom w:val="single" w:sz="4" w:space="0" w:color="auto"/>
              <w:right w:val="single" w:sz="4" w:space="0" w:color="auto"/>
            </w:tcBorders>
            <w:shd w:val="clear" w:color="auto" w:fill="FFC000"/>
            <w:vAlign w:val="center"/>
          </w:tcPr>
          <w:p w14:paraId="7F0D3E4E" w14:textId="77777777" w:rsidR="00C60D23" w:rsidRDefault="00C60D23" w:rsidP="00996B9D">
            <w:pPr>
              <w:pStyle w:val="BodyText"/>
              <w:cnfStyle w:val="000000000000" w:firstRow="0" w:lastRow="0" w:firstColumn="0" w:lastColumn="0" w:oddVBand="0" w:evenVBand="0" w:oddHBand="0" w:evenHBand="0" w:firstRowFirstColumn="0" w:firstRowLastColumn="0" w:lastRowFirstColumn="0" w:lastRowLastColumn="0"/>
            </w:pPr>
            <w:r>
              <w:t>Medium</w:t>
            </w:r>
          </w:p>
        </w:tc>
        <w:tc>
          <w:tcPr>
            <w:tcW w:w="1274" w:type="dxa"/>
            <w:tcBorders>
              <w:top w:val="single" w:sz="4" w:space="0" w:color="auto"/>
              <w:left w:val="single" w:sz="4" w:space="0" w:color="auto"/>
              <w:bottom w:val="single" w:sz="4" w:space="0" w:color="auto"/>
              <w:right w:val="single" w:sz="4" w:space="0" w:color="auto"/>
            </w:tcBorders>
            <w:shd w:val="clear" w:color="auto" w:fill="FF0000"/>
            <w:vAlign w:val="center"/>
          </w:tcPr>
          <w:p w14:paraId="3A1C2920" w14:textId="77777777" w:rsidR="00C60D23" w:rsidRDefault="00C60D23" w:rsidP="00996B9D">
            <w:pPr>
              <w:pStyle w:val="BodyText"/>
              <w:cnfStyle w:val="000000000000" w:firstRow="0" w:lastRow="0" w:firstColumn="0" w:lastColumn="0" w:oddVBand="0" w:evenVBand="0" w:oddHBand="0" w:evenHBand="0" w:firstRowFirstColumn="0" w:firstRowLastColumn="0" w:lastRowFirstColumn="0" w:lastRowLastColumn="0"/>
            </w:pPr>
            <w:r>
              <w:t>High</w:t>
            </w:r>
          </w:p>
        </w:tc>
      </w:tr>
    </w:tbl>
    <w:p w14:paraId="7B62536A" w14:textId="70BE64BF" w:rsidR="006B4D86" w:rsidRDefault="006B4D86">
      <w:r w:rsidRPr="00234211">
        <w:rPr>
          <w:rFonts w:eastAsia="Calibri" w:cs="Times New Roman"/>
          <w:b/>
          <w:caps/>
          <w:sz w:val="17"/>
          <w:szCs w:val="17"/>
        </w:rPr>
        <w:t>Source</w:t>
      </w:r>
      <w:r w:rsidRPr="00234211">
        <w:rPr>
          <w:rFonts w:eastAsia="Calibri" w:cs="Times New Roman"/>
          <w:caps/>
          <w:sz w:val="17"/>
          <w:szCs w:val="17"/>
        </w:rPr>
        <w:t>: CSIRO 2020, p. 8</w:t>
      </w:r>
      <w:r w:rsidRPr="006B4D86">
        <w:rPr>
          <w:rFonts w:eastAsia="Calibri" w:cs="Times New Roman"/>
          <w:caps/>
          <w:color w:val="159DCE"/>
        </w:rPr>
        <w:t>.</w:t>
      </w:r>
    </w:p>
    <w:p w14:paraId="33765855" w14:textId="25F54B40" w:rsidR="00C2578E" w:rsidRPr="00234211" w:rsidRDefault="003C59C1" w:rsidP="00E348E3">
      <w:pPr>
        <w:pStyle w:val="Heading3"/>
        <w:rPr>
          <w:i/>
          <w:color w:val="0070AE" w:themeColor="accent2" w:themeTint="BF"/>
        </w:rPr>
      </w:pPr>
      <w:r w:rsidRPr="00234211">
        <w:rPr>
          <w:i/>
          <w:color w:val="0070AE" w:themeColor="accent2" w:themeTint="BF"/>
        </w:rPr>
        <w:t>S</w:t>
      </w:r>
      <w:r w:rsidR="00106BB5" w:rsidRPr="00234211">
        <w:rPr>
          <w:i/>
          <w:color w:val="0070AE" w:themeColor="accent2" w:themeTint="BF"/>
        </w:rPr>
        <w:t>ummary of findings</w:t>
      </w:r>
    </w:p>
    <w:p w14:paraId="7A1A9375" w14:textId="7AD008A8" w:rsidR="009D7C83" w:rsidRDefault="009D7C83" w:rsidP="00E348E3">
      <w:pPr>
        <w:widowControl w:val="0"/>
        <w:autoSpaceDE w:val="0"/>
        <w:autoSpaceDN w:val="0"/>
        <w:spacing w:after="120" w:line="240" w:lineRule="exact"/>
      </w:pPr>
      <w:r w:rsidRPr="00070EDD">
        <w:t>Of the identified risk factors, drought-induced stress and mortality, heat stress limiting plant growth and contributing to mortality, and increased aridity/reduced soil water availability</w:t>
      </w:r>
      <w:r w:rsidR="007F2467">
        <w:t xml:space="preserve"> were the most commonly occurring</w:t>
      </w:r>
      <w:r w:rsidRPr="00070EDD">
        <w:t>.</w:t>
      </w:r>
    </w:p>
    <w:p w14:paraId="6897FA92" w14:textId="77777777" w:rsidR="009D7C83" w:rsidRDefault="009D7C83" w:rsidP="00E348E3">
      <w:pPr>
        <w:widowControl w:val="0"/>
        <w:autoSpaceDE w:val="0"/>
        <w:autoSpaceDN w:val="0"/>
        <w:spacing w:after="120" w:line="240" w:lineRule="exact"/>
      </w:pPr>
      <w:r w:rsidRPr="00070EDD">
        <w:t xml:space="preserve">Changes to fire regimes were also a commonly identified risk factor, although only for </w:t>
      </w:r>
      <w:r>
        <w:t xml:space="preserve">new forest planting </w:t>
      </w:r>
      <w:r w:rsidRPr="00070EDD">
        <w:t>and savanna fire management were the risks considered higher than ‘Low’.</w:t>
      </w:r>
    </w:p>
    <w:p w14:paraId="297491AD" w14:textId="77777777" w:rsidR="009D7C83" w:rsidRDefault="009D7C83" w:rsidP="00E348E3">
      <w:pPr>
        <w:widowControl w:val="0"/>
        <w:autoSpaceDE w:val="0"/>
        <w:autoSpaceDN w:val="0"/>
        <w:spacing w:after="120" w:line="240" w:lineRule="exact"/>
      </w:pPr>
      <w:r w:rsidRPr="00070EDD">
        <w:t>Risk factors associated with the potential impacts of pests and diseases, and changes to exposure to frost, were generally</w:t>
      </w:r>
      <w:r>
        <w:t xml:space="preserve"> considered</w:t>
      </w:r>
      <w:r w:rsidRPr="00070EDD">
        <w:t xml:space="preserve"> uncertain. These were identified by the CSIRO as knowledge gaps requiring further research.</w:t>
      </w:r>
    </w:p>
    <w:p w14:paraId="337C3D86" w14:textId="5F01BE7D" w:rsidR="001B6738" w:rsidRDefault="009D7C83" w:rsidP="009D7C83">
      <w:r w:rsidRPr="00E60B11">
        <w:t>To integrate the findings across all risk factors a simple index was formulated that summed up, for each clas</w:t>
      </w:r>
      <w:r w:rsidR="001B6738">
        <w:t>s of activity, the risk ratings:</w:t>
      </w:r>
      <w:r w:rsidRPr="00E60B11">
        <w:t xml:space="preserve"> </w:t>
      </w:r>
    </w:p>
    <w:p w14:paraId="7E41CA6B" w14:textId="77D369AB" w:rsidR="001B6738" w:rsidRDefault="001B6738" w:rsidP="00FE3F8C">
      <w:pPr>
        <w:pStyle w:val="ListParagraph"/>
        <w:numPr>
          <w:ilvl w:val="0"/>
          <w:numId w:val="29"/>
        </w:numPr>
      </w:pPr>
      <w:r>
        <w:t>r</w:t>
      </w:r>
      <w:r w:rsidR="009D7C83" w:rsidRPr="00E60B11">
        <w:t xml:space="preserve">isk ratings of ‘Low’ were assigned a value of 1 </w:t>
      </w:r>
    </w:p>
    <w:p w14:paraId="0BDEA668" w14:textId="51CCB6C9" w:rsidR="001B6738" w:rsidRDefault="009D7C83" w:rsidP="00FE3F8C">
      <w:pPr>
        <w:pStyle w:val="ListParagraph"/>
        <w:numPr>
          <w:ilvl w:val="0"/>
          <w:numId w:val="29"/>
        </w:numPr>
      </w:pPr>
      <w:r w:rsidRPr="00E60B11">
        <w:t>risk ratings of ‘Medium’ were assigned a values of 3</w:t>
      </w:r>
    </w:p>
    <w:p w14:paraId="345AC799" w14:textId="77777777" w:rsidR="001B6738" w:rsidRDefault="009D7C83" w:rsidP="00FE3F8C">
      <w:pPr>
        <w:pStyle w:val="ListParagraph"/>
        <w:numPr>
          <w:ilvl w:val="0"/>
          <w:numId w:val="29"/>
        </w:numPr>
      </w:pPr>
      <w:r w:rsidRPr="00E60B11">
        <w:t xml:space="preserve">risk ratings of ‘High’ were assigned a values of 6. </w:t>
      </w:r>
    </w:p>
    <w:p w14:paraId="37A16D63" w14:textId="4D03E374" w:rsidR="009D7C83" w:rsidRPr="00E60B11" w:rsidRDefault="009D7C83" w:rsidP="001B6738">
      <w:r w:rsidRPr="00E60B11">
        <w:t>This index therefore combines a measure of both how many risk factors were identified for each class of activity, and the relative magnitude of those factors</w:t>
      </w:r>
      <w:r>
        <w:t xml:space="preserve"> (</w:t>
      </w:r>
      <w:r w:rsidR="00F85AF0" w:rsidRPr="00B76DFC">
        <w:t>Table</w:t>
      </w:r>
      <w:r w:rsidR="00CA06B6" w:rsidRPr="00B76DFC">
        <w:t xml:space="preserve"> 9.</w:t>
      </w:r>
      <w:r w:rsidR="00F85AF0" w:rsidRPr="00B76DFC">
        <w:t>4</w:t>
      </w:r>
      <w:r w:rsidRPr="00B76DFC">
        <w:t>).</w:t>
      </w:r>
      <w:r w:rsidRPr="00E60B11">
        <w:t xml:space="preserve"> </w:t>
      </w:r>
    </w:p>
    <w:p w14:paraId="4FEC4AE9" w14:textId="4481762C" w:rsidR="009D7C83" w:rsidRDefault="009D7C83" w:rsidP="00DC7661">
      <w:r>
        <w:t xml:space="preserve">The index </w:t>
      </w:r>
      <w:r w:rsidR="00CA06B6">
        <w:t>(</w:t>
      </w:r>
      <w:r w:rsidR="00CA06B6" w:rsidRPr="00B76DFC">
        <w:t>Figure 9.</w:t>
      </w:r>
      <w:r w:rsidR="00F85AF0" w:rsidRPr="00B76DFC">
        <w:t>3</w:t>
      </w:r>
      <w:r w:rsidR="00CB6429" w:rsidRPr="00B76DFC">
        <w:t>a</w:t>
      </w:r>
      <w:r w:rsidR="00CA06B6">
        <w:t xml:space="preserve">) </w:t>
      </w:r>
      <w:r>
        <w:t>suggests m</w:t>
      </w:r>
      <w:r w:rsidRPr="00E60B11">
        <w:t>anage</w:t>
      </w:r>
      <w:r>
        <w:t>ment of agricultural soils and p</w:t>
      </w:r>
      <w:r w:rsidRPr="00E60B11">
        <w:t>lanting of new forests have the highest comp</w:t>
      </w:r>
      <w:r>
        <w:t>osite risk rating, followed by savanna fire management, m</w:t>
      </w:r>
      <w:r w:rsidRPr="00E60B11">
        <w:t>anagement of intertidal</w:t>
      </w:r>
      <w:r>
        <w:t xml:space="preserve"> ecosystems and r</w:t>
      </w:r>
      <w:r w:rsidRPr="00E60B11">
        <w:t>e-establishment of native forest cover, which</w:t>
      </w:r>
      <w:r>
        <w:t xml:space="preserve"> have intermediate values, and p</w:t>
      </w:r>
      <w:r w:rsidRPr="00E60B11">
        <w:t xml:space="preserve">rotection of existing forests as having the lowest risk profile. </w:t>
      </w:r>
      <w:r w:rsidR="006B4D86" w:rsidRPr="006B4D86">
        <w:t>Appendix F summarises the CSIRO report findings for each of the six ERF activity categories in Table 9.1.</w:t>
      </w:r>
      <w:r w:rsidR="00FF6AD1" w:rsidRPr="00FF6AD1">
        <w:rPr>
          <w:rFonts w:ascii="Calibri" w:eastAsia="Calibri" w:hAnsi="Calibri" w:cs="Times New Roman"/>
          <w:iCs/>
          <w:color w:val="000000"/>
          <w:sz w:val="24"/>
          <w:lang w:eastAsia="en-AU"/>
        </w:rPr>
        <w:t xml:space="preserve"> </w:t>
      </w:r>
      <w:r w:rsidR="00FF6AD1" w:rsidRPr="00FF6AD1">
        <w:t xml:space="preserve">In general, differences in climate projections between NRM regions within an ERF class were relatively consistent, and hence the risks tended to be relatively consistent. </w:t>
      </w:r>
    </w:p>
    <w:p w14:paraId="3923A2FB" w14:textId="09D879CE" w:rsidR="00B75B51" w:rsidRDefault="00BB7D6A" w:rsidP="00DC7661">
      <w:r>
        <w:t>The index in (</w:t>
      </w:r>
      <w:r w:rsidR="00B75B51" w:rsidRPr="00B76DFC">
        <w:t>Figure 9.</w:t>
      </w:r>
      <w:r w:rsidR="00F85AF0" w:rsidRPr="00B76DFC">
        <w:t>3</w:t>
      </w:r>
      <w:r w:rsidR="00CB6429" w:rsidRPr="00B76DFC">
        <w:t>b</w:t>
      </w:r>
      <w:r>
        <w:t>)</w:t>
      </w:r>
      <w:r w:rsidR="00B75B51">
        <w:t xml:space="preserve"> suggests that risks vary between accumulation and maintenance phases of projects</w:t>
      </w:r>
      <w:r>
        <w:t xml:space="preserve"> for some activity types</w:t>
      </w:r>
      <w:r w:rsidR="00B75B51">
        <w:t xml:space="preserve">. For instance planting new forests has a relatively high accumulation risk </w:t>
      </w:r>
      <w:r w:rsidR="00A0295B">
        <w:t>due</w:t>
      </w:r>
      <w:r w:rsidR="00B75B51">
        <w:t xml:space="preserve"> to the </w:t>
      </w:r>
      <w:r w:rsidR="00A0295B">
        <w:t xml:space="preserve">vulnerability of </w:t>
      </w:r>
      <w:r w:rsidR="00B75B51">
        <w:t xml:space="preserve">saplings </w:t>
      </w:r>
      <w:r w:rsidR="00A0295B">
        <w:t>to climate risk factors.</w:t>
      </w:r>
      <w:r>
        <w:t xml:space="preserve"> The risk for the maintenance phase of projects</w:t>
      </w:r>
      <w:r w:rsidR="00A0295B">
        <w:t>, where trees have reached maturity,</w:t>
      </w:r>
      <w:r>
        <w:t xml:space="preserve"> is significantly lower. In comparison management of intertidal systems and management of agricultural soils has similar risk profiles for both accu</w:t>
      </w:r>
      <w:r w:rsidR="0076532D">
        <w:t>mulation</w:t>
      </w:r>
      <w:r>
        <w:t xml:space="preserve"> and maintenance, owing to </w:t>
      </w:r>
      <w:r w:rsidR="0076532D">
        <w:t xml:space="preserve">relevant </w:t>
      </w:r>
      <w:r>
        <w:t xml:space="preserve">risk factors applying consistently across the full duration of projects for these activities.   </w:t>
      </w:r>
    </w:p>
    <w:p w14:paraId="0A6A64F0" w14:textId="5E425C31" w:rsidR="000D69EB" w:rsidRDefault="000D69EB" w:rsidP="00DC7661">
      <w:r w:rsidRPr="000D69EB">
        <w:t>The CSIRO state</w:t>
      </w:r>
      <w:r w:rsidR="009D643E">
        <w:t>s</w:t>
      </w:r>
      <w:r w:rsidRPr="000D69EB">
        <w:t xml:space="preserve"> that the report’s conclusions based on 2050 projections are likely to general</w:t>
      </w:r>
      <w:r w:rsidR="00DF3FBE">
        <w:t>ly</w:t>
      </w:r>
      <w:r w:rsidRPr="000D69EB">
        <w:t xml:space="preserve"> hold </w:t>
      </w:r>
      <w:r w:rsidR="009D643E">
        <w:t xml:space="preserve">in the longer term </w:t>
      </w:r>
      <w:r w:rsidRPr="000D69EB">
        <w:t xml:space="preserve">as </w:t>
      </w:r>
      <w:r>
        <w:t xml:space="preserve">projections to 2100 indicate that </w:t>
      </w:r>
      <w:r w:rsidRPr="000D69EB">
        <w:t xml:space="preserve">climate risk factors </w:t>
      </w:r>
      <w:r>
        <w:t xml:space="preserve">will </w:t>
      </w:r>
      <w:r w:rsidRPr="000D69EB">
        <w:t>generally (84</w:t>
      </w:r>
      <w:r w:rsidR="00DE065E">
        <w:t xml:space="preserve"> per cent</w:t>
      </w:r>
      <w:r w:rsidRPr="000D69EB">
        <w:t xml:space="preserve"> of risk factors) continue on trend and intensify. </w:t>
      </w:r>
    </w:p>
    <w:p w14:paraId="12AAAFFE" w14:textId="25E34451" w:rsidR="006B4D86" w:rsidRDefault="009D7C83" w:rsidP="00DC7661">
      <w:r w:rsidRPr="00E60B11">
        <w:t xml:space="preserve">Although the index cannot be used as a basis for quantifying potential carbon losses, in conjunction with the more detailed information in </w:t>
      </w:r>
      <w:r w:rsidRPr="00B76DFC">
        <w:t>Table</w:t>
      </w:r>
      <w:r w:rsidR="00CA06B6" w:rsidRPr="00B76DFC">
        <w:t xml:space="preserve"> 9.5</w:t>
      </w:r>
      <w:r w:rsidRPr="00E60B11">
        <w:t>, this ranking could be used as a basis for prioritising methodologies and associated risk factors. This could include further investigation of the policy settings underlying each methodology to deter</w:t>
      </w:r>
      <w:r w:rsidR="00CA06B6">
        <w:t xml:space="preserve">mine if they could be modified </w:t>
      </w:r>
      <w:r w:rsidRPr="00E60B11">
        <w:t xml:space="preserve">to </w:t>
      </w:r>
      <w:r w:rsidR="00CA06B6">
        <w:t>reduce the risks of further losses</w:t>
      </w:r>
      <w:r w:rsidRPr="00E60B11">
        <w:t>, and to prioritise further research effort</w:t>
      </w:r>
      <w:r w:rsidR="00CA06B6">
        <w:t>s</w:t>
      </w:r>
      <w:r w:rsidRPr="00E60B11">
        <w:t xml:space="preserve"> on those sectors and activities deemed to be most at risk</w:t>
      </w:r>
      <w:r w:rsidR="00CA06B6">
        <w:t>.</w:t>
      </w:r>
    </w:p>
    <w:p w14:paraId="42FD5B07" w14:textId="77777777" w:rsidR="001B1984" w:rsidRPr="00070EDD" w:rsidRDefault="001B1984" w:rsidP="00DC7661"/>
    <w:p w14:paraId="7976CFE2" w14:textId="1F3EE753" w:rsidR="00DC7661" w:rsidRDefault="00DC7661" w:rsidP="007866F1">
      <w:r>
        <w:rPr>
          <w:noProof/>
          <w:lang w:eastAsia="en-AU"/>
        </w:rPr>
        <mc:AlternateContent>
          <mc:Choice Requires="wps">
            <w:drawing>
              <wp:inline distT="0" distB="0" distL="0" distR="0" wp14:anchorId="7A9D8694" wp14:editId="2BEA69FC">
                <wp:extent cx="5511800" cy="1940119"/>
                <wp:effectExtent l="0" t="0" r="12700" b="2222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940119"/>
                        </a:xfrm>
                        <a:prstGeom prst="rect">
                          <a:avLst/>
                        </a:prstGeom>
                        <a:solidFill>
                          <a:srgbClr val="FFFFFF"/>
                        </a:solidFill>
                        <a:ln w="9525">
                          <a:solidFill>
                            <a:srgbClr val="000000"/>
                          </a:solidFill>
                          <a:miter lim="800000"/>
                          <a:headEnd/>
                          <a:tailEnd/>
                        </a:ln>
                      </wps:spPr>
                      <wps:txbx>
                        <w:txbxContent>
                          <w:p w14:paraId="69FDC345" w14:textId="298E3D90" w:rsidR="00B06CBD" w:rsidRPr="00234211" w:rsidRDefault="00B06CBD" w:rsidP="00357636">
                            <w:pPr>
                              <w:pStyle w:val="Box"/>
                              <w:pBdr>
                                <w:top w:val="none" w:sz="0" w:space="0" w:color="auto"/>
                                <w:left w:val="none" w:sz="0" w:space="0" w:color="auto"/>
                                <w:bottom w:val="none" w:sz="0" w:space="0" w:color="auto"/>
                                <w:right w:val="none" w:sz="0" w:space="0" w:color="auto"/>
                              </w:pBdr>
                              <w:rPr>
                                <w:rFonts w:eastAsia="Times New Roman" w:cs="Arial"/>
                                <w:b w:val="0"/>
                                <w:szCs w:val="20"/>
                                <w:lang w:eastAsia="en-AU"/>
                              </w:rPr>
                            </w:pPr>
                            <w:bookmarkStart w:id="3269" w:name="_Toc53129528"/>
                            <w:r w:rsidRPr="00234211">
                              <w:rPr>
                                <w:lang w:eastAsia="en-AU"/>
                              </w:rPr>
                              <w:t>Box 9.1 Note on interpreting risk ratings</w:t>
                            </w:r>
                            <w:bookmarkEnd w:id="3269"/>
                            <w:r w:rsidRPr="00234211">
                              <w:rPr>
                                <w:lang w:eastAsia="en-AU"/>
                              </w:rPr>
                              <w:t xml:space="preserve"> </w:t>
                            </w:r>
                          </w:p>
                          <w:p w14:paraId="47391C5C" w14:textId="3D6A1DC1" w:rsidR="00B06CBD" w:rsidRDefault="00B06CBD" w:rsidP="00DC7661">
                            <w:r w:rsidRPr="00B76DFC">
                              <w:t>Table 9.5 and Figure 9.3</w:t>
                            </w:r>
                            <w:r>
                              <w:t xml:space="preserve"> </w:t>
                            </w:r>
                            <w:r w:rsidRPr="006E029C">
                              <w:t xml:space="preserve">should not be interpreted as predictions of actual sequestration outcomes, as they were introduced </w:t>
                            </w:r>
                            <w:r>
                              <w:t xml:space="preserve">by CSIRO </w:t>
                            </w:r>
                            <w:r w:rsidRPr="006E029C">
                              <w:t>primarily as a mechanism for allowing visualisation of what each category might correspond to in real terms. Actual quantification of sequestration losses or shortfalls is beyond the scope of the qualitative analysis presented</w:t>
                            </w:r>
                            <w:r>
                              <w:t xml:space="preserve"> in the CSIRO report</w:t>
                            </w:r>
                            <w:r w:rsidRPr="006E029C">
                              <w:t xml:space="preserve">. </w:t>
                            </w:r>
                          </w:p>
                          <w:p w14:paraId="7501DDA5" w14:textId="00060757" w:rsidR="00B06CBD" w:rsidRDefault="00B06CBD" w:rsidP="00DC7661">
                            <w:r>
                              <w:t xml:space="preserve">It should also be noted that the consequences are environmental in nature, that is not financial or other risks, and that risk treatments outside of method restrictions and requirements were not considered. </w:t>
                            </w:r>
                          </w:p>
                        </w:txbxContent>
                      </wps:txbx>
                      <wps:bodyPr rot="0" vert="horz" wrap="square" lIns="91440" tIns="45720" rIns="91440" bIns="45720" anchor="t" anchorCtr="0">
                        <a:noAutofit/>
                      </wps:bodyPr>
                    </wps:wsp>
                  </a:graphicData>
                </a:graphic>
              </wp:inline>
            </w:drawing>
          </mc:Choice>
          <mc:Fallback>
            <w:pict>
              <v:shape w14:anchorId="7A9D8694" id="Text Box 2" o:spid="_x0000_s1056" type="#_x0000_t202" style="width:434pt;height:1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">
                <v:textbox>
                  <w:txbxContent>
                    <w:p w14:paraId="69FDC345" w14:textId="298E3D90" w:rsidR="00B06CBD" w:rsidRPr="00234211" w:rsidRDefault="00B06CBD" w:rsidP="00357636">
                      <w:pPr>
                        <w:pStyle w:val="Box"/>
                        <w:pBdr>
                          <w:top w:val="none" w:sz="0" w:space="0" w:color="auto"/>
                          <w:left w:val="none" w:sz="0" w:space="0" w:color="auto"/>
                          <w:bottom w:val="none" w:sz="0" w:space="0" w:color="auto"/>
                          <w:right w:val="none" w:sz="0" w:space="0" w:color="auto"/>
                        </w:pBdr>
                        <w:rPr>
                          <w:rFonts w:eastAsia="Times New Roman" w:cs="Arial"/>
                          <w:b w:val="0"/>
                          <w:szCs w:val="20"/>
                          <w:lang w:eastAsia="en-AU"/>
                        </w:rPr>
                      </w:pPr>
                      <w:bookmarkStart w:id="3270" w:name="_Toc53129528"/>
                      <w:r w:rsidRPr="00234211">
                        <w:rPr>
                          <w:lang w:eastAsia="en-AU"/>
                        </w:rPr>
                        <w:t>Box 9.1 Note on interpreting risk ratings</w:t>
                      </w:r>
                      <w:bookmarkEnd w:id="3270"/>
                      <w:r w:rsidRPr="00234211">
                        <w:rPr>
                          <w:lang w:eastAsia="en-AU"/>
                        </w:rPr>
                        <w:t xml:space="preserve"> </w:t>
                      </w:r>
                    </w:p>
                    <w:p w14:paraId="47391C5C" w14:textId="3D6A1DC1" w:rsidR="00B06CBD" w:rsidRDefault="00B06CBD" w:rsidP="00DC7661">
                      <w:r w:rsidRPr="00B76DFC">
                        <w:t>Table 9.5 and Figure 9.3</w:t>
                      </w:r>
                      <w:r>
                        <w:t xml:space="preserve"> </w:t>
                      </w:r>
                      <w:r w:rsidRPr="006E029C">
                        <w:t xml:space="preserve">should not be interpreted as predictions of actual sequestration outcomes, as they were introduced </w:t>
                      </w:r>
                      <w:r>
                        <w:t xml:space="preserve">by CSIRO </w:t>
                      </w:r>
                      <w:r w:rsidRPr="006E029C">
                        <w:t>primarily as a mechanism for allowing visualisation of what each category might correspond to in real terms. Actual quantification of sequestration losses or shortfalls is beyond the scope of the qualitative analysis presented</w:t>
                      </w:r>
                      <w:r>
                        <w:t xml:space="preserve"> in the CSIRO report</w:t>
                      </w:r>
                      <w:r w:rsidRPr="006E029C">
                        <w:t xml:space="preserve">. </w:t>
                      </w:r>
                    </w:p>
                    <w:p w14:paraId="7501DDA5" w14:textId="00060757" w:rsidR="00B06CBD" w:rsidRDefault="00B06CBD" w:rsidP="00DC7661">
                      <w:r>
                        <w:t xml:space="preserve">It should also be noted that the consequences are environmental in nature, that is not financial or other risks, and that risk treatments outside of method restrictions and requirements were not considered. </w:t>
                      </w:r>
                    </w:p>
                  </w:txbxContent>
                </v:textbox>
                <w10:anchorlock/>
              </v:shape>
            </w:pict>
          </mc:Fallback>
        </mc:AlternateContent>
      </w:r>
    </w:p>
    <w:p w14:paraId="5C185C91" w14:textId="740DDA21" w:rsidR="00EC09F3" w:rsidRPr="00234211" w:rsidRDefault="00570347" w:rsidP="00357636">
      <w:pPr>
        <w:pStyle w:val="Table"/>
      </w:pPr>
      <w:bookmarkStart w:id="3271" w:name="_Toc53129519"/>
      <w:r>
        <w:t>Table 9.5 Risk assessment s</w:t>
      </w:r>
      <w:r w:rsidR="00823748" w:rsidRPr="00234211">
        <w:t>ummary</w:t>
      </w:r>
      <w:bookmarkEnd w:id="3271"/>
    </w:p>
    <w:p w14:paraId="6EAECB89" w14:textId="5DB248C3" w:rsidR="00635A26" w:rsidRDefault="003B70B4" w:rsidP="006B4D86">
      <w:pPr>
        <w:spacing w:line="259" w:lineRule="auto"/>
        <w:rPr>
          <w:rFonts w:eastAsia="Calibri" w:cs="Times New Roman"/>
        </w:rPr>
      </w:pPr>
      <w:r>
        <w:rPr>
          <w:rFonts w:eastAsia="Calibri" w:cs="Times New Roman"/>
        </w:rPr>
        <w:object w:dxaOrig="8921" w:dyaOrig="11690" w14:anchorId="1B9E4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83.5pt" o:ole="">
            <v:imagedata r:id="rId35" o:title=""/>
          </v:shape>
          <o:OLEObject Type="Embed" ProgID="Word.Document.12" ShapeID="_x0000_i1025" DrawAspect="Content" ObjectID="_1666005419" r:id="rId36">
            <o:FieldCodes>\s</o:FieldCodes>
          </o:OLEObject>
        </w:object>
      </w:r>
    </w:p>
    <w:p w14:paraId="62E716A9" w14:textId="44D3C1AE" w:rsidR="004F0936" w:rsidRPr="00234211" w:rsidRDefault="00E04DAC" w:rsidP="00E348E3">
      <w:pPr>
        <w:spacing w:line="259" w:lineRule="auto"/>
        <w:rPr>
          <w:sz w:val="17"/>
          <w:szCs w:val="17"/>
        </w:rPr>
      </w:pPr>
      <w:r w:rsidRPr="00234211">
        <w:rPr>
          <w:rFonts w:eastAsia="Calibri" w:cs="Times New Roman"/>
          <w:b/>
          <w:sz w:val="17"/>
          <w:szCs w:val="17"/>
        </w:rPr>
        <w:t>S</w:t>
      </w:r>
      <w:r w:rsidR="006B4D86" w:rsidRPr="00234211">
        <w:rPr>
          <w:rFonts w:eastAsia="Calibri" w:cs="Times New Roman"/>
          <w:b/>
          <w:sz w:val="17"/>
          <w:szCs w:val="17"/>
        </w:rPr>
        <w:t>ource</w:t>
      </w:r>
      <w:r w:rsidR="006B4D86" w:rsidRPr="00234211">
        <w:rPr>
          <w:rFonts w:eastAsia="Calibri" w:cs="Times New Roman"/>
          <w:sz w:val="17"/>
          <w:szCs w:val="17"/>
        </w:rPr>
        <w:t>: CSIRO 2020</w:t>
      </w:r>
      <w:r w:rsidR="006B4D86">
        <w:rPr>
          <w:rFonts w:eastAsia="Calibri" w:cs="Times New Roman"/>
          <w:sz w:val="17"/>
          <w:szCs w:val="17"/>
        </w:rPr>
        <w:t xml:space="preserve">, p. i. </w:t>
      </w:r>
      <w:r w:rsidR="00234211" w:rsidRPr="00234211">
        <w:rPr>
          <w:rFonts w:eastAsia="Calibri" w:cs="Times New Roman"/>
          <w:b/>
          <w:sz w:val="17"/>
          <w:szCs w:val="17"/>
        </w:rPr>
        <w:t>Note:</w:t>
      </w:r>
      <w:r w:rsidR="00234211">
        <w:rPr>
          <w:rFonts w:eastAsia="Calibri" w:cs="Times New Roman"/>
          <w:sz w:val="17"/>
          <w:szCs w:val="17"/>
        </w:rPr>
        <w:t xml:space="preserve"> </w:t>
      </w:r>
      <w:r w:rsidR="003B70B4" w:rsidRPr="00234211">
        <w:rPr>
          <w:rFonts w:eastAsia="Calibri" w:cs="Times New Roman"/>
          <w:sz w:val="17"/>
          <w:szCs w:val="17"/>
        </w:rPr>
        <w:t xml:space="preserve">Blank squares mean the risk factor was not identified for the activity type. Whereas ‘?’ means the risk is likely to be applicable but there is insufficient information. </w:t>
      </w:r>
    </w:p>
    <w:p w14:paraId="059333E1" w14:textId="24F92A8A" w:rsidR="00944C3C" w:rsidRPr="00234211" w:rsidRDefault="004F0936" w:rsidP="001D10CD">
      <w:pPr>
        <w:pStyle w:val="FigureTableHeader"/>
        <w:rPr>
          <w:b/>
          <w:color w:val="0070AE" w:themeColor="accent2" w:themeTint="BF"/>
        </w:rPr>
      </w:pPr>
      <w:bookmarkStart w:id="3272" w:name="_Toc53130466"/>
      <w:r w:rsidRPr="00357636">
        <w:rPr>
          <w:rStyle w:val="FigureChar"/>
        </w:rPr>
        <w:t>Figure 9.</w:t>
      </w:r>
      <w:r w:rsidR="00F85AF0" w:rsidRPr="00357636">
        <w:rPr>
          <w:rStyle w:val="FigureChar"/>
        </w:rPr>
        <w:t>3</w:t>
      </w:r>
      <w:r w:rsidRPr="00357636">
        <w:rPr>
          <w:rStyle w:val="FigureChar"/>
        </w:rPr>
        <w:t>. Relative risk rating for each activity class</w:t>
      </w:r>
      <w:bookmarkEnd w:id="3272"/>
      <w:r w:rsidRPr="00234211">
        <w:rPr>
          <w:color w:val="0070AE" w:themeColor="accent2" w:themeTint="BF"/>
        </w:rPr>
        <w:t>.</w:t>
      </w:r>
    </w:p>
    <w:p w14:paraId="5CCD745E" w14:textId="4AB39EFA" w:rsidR="00FE5A72" w:rsidRDefault="00FE5A72" w:rsidP="004A23D5">
      <w:pPr>
        <w:rPr>
          <w:rFonts w:eastAsia="Calibri" w:cs="Times New Roman"/>
        </w:rPr>
      </w:pPr>
      <w:r>
        <w:rPr>
          <w:rFonts w:eastAsia="Calibri" w:cs="Times New Roman"/>
          <w:noProof/>
          <w:lang w:eastAsia="en-AU"/>
        </w:rPr>
        <w:drawing>
          <wp:inline distT="0" distB="0" distL="0" distR="0" wp14:anchorId="3F7E3227" wp14:editId="185B3F53">
            <wp:extent cx="5755627" cy="3264981"/>
            <wp:effectExtent l="0" t="0" r="0" b="0"/>
            <wp:docPr id="25" name="Picture 25" descr="Figure 9.3 is two bar charts showing the relative risk rating for each activity class. For each chart, the vertical axis is the relative risk rating on a scale from zero to 50, and the horizontal axis is activity class. Chart A shows the overall risk rating. The overall rating, from highest to lowest risk, for the six activity classes examined is: management of agricultural soils, planting new forests, savanna fire management, management of intertidal ecosystems, re-establishment of native forest cover, and protection of existing forests. Chart B presents the same data as a composite rating comprised of maintenance risk and accumulation risk. Maintenance and accumulation risk are similar for management of agricultural soils and management of intertidal ecosystems. Accumulation risk is higher than maintenance risk for planting new forests, savanna fire management and re-establishment of native forest cover. Maintenance risk is higher than accumulation risk for protection of existing forests." title="Figure 9.3. Relative risk rating for each activity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0770" cy="3284917"/>
                    </a:xfrm>
                    <a:prstGeom prst="rect">
                      <a:avLst/>
                    </a:prstGeom>
                    <a:noFill/>
                  </pic:spPr>
                </pic:pic>
              </a:graphicData>
            </a:graphic>
          </wp:inline>
        </w:drawing>
      </w:r>
    </w:p>
    <w:p w14:paraId="01DFF884" w14:textId="06C058C6" w:rsidR="00FE5A72" w:rsidRDefault="00FE5A72" w:rsidP="004A23D5">
      <w:pPr>
        <w:rPr>
          <w:rFonts w:eastAsia="Calibri" w:cs="Times New Roman"/>
        </w:rPr>
      </w:pPr>
      <w:r>
        <w:rPr>
          <w:rFonts w:eastAsia="Calibri" w:cs="Times New Roman"/>
          <w:noProof/>
          <w:lang w:eastAsia="en-AU"/>
        </w:rPr>
        <w:drawing>
          <wp:inline distT="0" distB="0" distL="0" distR="0" wp14:anchorId="5631F9F5" wp14:editId="4C5E3137">
            <wp:extent cx="5726863" cy="312913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655" cy="3148140"/>
                    </a:xfrm>
                    <a:prstGeom prst="rect">
                      <a:avLst/>
                    </a:prstGeom>
                    <a:noFill/>
                  </pic:spPr>
                </pic:pic>
              </a:graphicData>
            </a:graphic>
          </wp:inline>
        </w:drawing>
      </w:r>
    </w:p>
    <w:p w14:paraId="717F7130" w14:textId="20666E4B" w:rsidR="00371A52" w:rsidRPr="00234211" w:rsidRDefault="006B4D86" w:rsidP="004A23D5">
      <w:pPr>
        <w:rPr>
          <w:sz w:val="17"/>
          <w:szCs w:val="17"/>
        </w:rPr>
      </w:pPr>
      <w:r w:rsidRPr="00234211">
        <w:rPr>
          <w:rFonts w:eastAsia="Calibri" w:cs="Times New Roman"/>
          <w:b/>
          <w:sz w:val="17"/>
          <w:szCs w:val="17"/>
        </w:rPr>
        <w:t>Source:</w:t>
      </w:r>
      <w:r w:rsidRPr="00234211">
        <w:rPr>
          <w:rFonts w:eastAsia="Calibri" w:cs="Times New Roman"/>
          <w:sz w:val="17"/>
          <w:szCs w:val="17"/>
        </w:rPr>
        <w:t xml:space="preserve"> CSIRO 2020, p. i.</w:t>
      </w:r>
    </w:p>
    <w:p w14:paraId="4230CFA6" w14:textId="00471ADD" w:rsidR="007E433F" w:rsidRPr="00234211" w:rsidRDefault="00F71DC9" w:rsidP="00500E42">
      <w:pPr>
        <w:pStyle w:val="Heading2"/>
        <w:numPr>
          <w:ilvl w:val="1"/>
          <w:numId w:val="52"/>
        </w:numPr>
        <w:rPr>
          <w:color w:val="0070AE" w:themeColor="accent2" w:themeTint="BF"/>
        </w:rPr>
      </w:pPr>
      <w:bookmarkStart w:id="3273" w:name="_Toc50043899"/>
      <w:bookmarkStart w:id="3274" w:name="_Toc50057751"/>
      <w:bookmarkStart w:id="3275" w:name="_Toc50553629"/>
      <w:bookmarkStart w:id="3276" w:name="_Toc50555392"/>
      <w:bookmarkStart w:id="3277" w:name="_Toc50559852"/>
      <w:bookmarkStart w:id="3278" w:name="_Toc50559905"/>
      <w:bookmarkStart w:id="3279" w:name="_Toc50563839"/>
      <w:bookmarkStart w:id="3280" w:name="_Toc50711392"/>
      <w:bookmarkStart w:id="3281" w:name="_Toc50720974"/>
      <w:bookmarkStart w:id="3282" w:name="_Toc50730698"/>
      <w:bookmarkStart w:id="3283" w:name="_Toc50734924"/>
      <w:bookmarkStart w:id="3284" w:name="_Toc50735527"/>
      <w:bookmarkStart w:id="3285" w:name="_Toc50905546"/>
      <w:bookmarkStart w:id="3286" w:name="_Toc51587031"/>
      <w:bookmarkStart w:id="3287" w:name="_Toc51594891"/>
      <w:bookmarkStart w:id="3288" w:name="_Toc51599494"/>
      <w:bookmarkStart w:id="3289" w:name="_Toc51613530"/>
      <w:bookmarkStart w:id="3290" w:name="_Toc51669641"/>
      <w:bookmarkStart w:id="3291" w:name="_Toc51669736"/>
      <w:bookmarkStart w:id="3292" w:name="_Toc51672885"/>
      <w:bookmarkStart w:id="3293" w:name="_Toc51673935"/>
      <w:bookmarkStart w:id="3294" w:name="_Toc51680752"/>
      <w:bookmarkStart w:id="3295" w:name="_Toc51683281"/>
      <w:bookmarkStart w:id="3296" w:name="_Toc51686017"/>
      <w:bookmarkStart w:id="3297" w:name="_Toc51687755"/>
      <w:bookmarkStart w:id="3298" w:name="_Toc51687899"/>
      <w:bookmarkStart w:id="3299" w:name="_Toc51705777"/>
      <w:bookmarkStart w:id="3300" w:name="_Toc51770723"/>
      <w:bookmarkStart w:id="3301" w:name="_Toc51770909"/>
      <w:bookmarkStart w:id="3302" w:name="_Toc52359252"/>
      <w:bookmarkStart w:id="3303" w:name="_Toc52367285"/>
      <w:bookmarkStart w:id="3304" w:name="_Toc52371625"/>
      <w:bookmarkStart w:id="3305" w:name="_Toc52374773"/>
      <w:bookmarkStart w:id="3306" w:name="_Toc52377311"/>
      <w:bookmarkStart w:id="3307" w:name="_Toc52379233"/>
      <w:bookmarkStart w:id="3308" w:name="_Toc52379588"/>
      <w:bookmarkStart w:id="3309" w:name="_Toc52532798"/>
      <w:bookmarkStart w:id="3310" w:name="_Toc52535693"/>
      <w:bookmarkStart w:id="3311" w:name="_Toc52537511"/>
      <w:bookmarkStart w:id="3312" w:name="_Toc52544074"/>
      <w:bookmarkStart w:id="3313" w:name="_Toc52545678"/>
      <w:bookmarkStart w:id="3314" w:name="_Toc52547910"/>
      <w:bookmarkStart w:id="3315" w:name="_Toc52548599"/>
      <w:bookmarkStart w:id="3316" w:name="_Toc52890891"/>
      <w:bookmarkStart w:id="3317" w:name="_Toc52895094"/>
      <w:bookmarkStart w:id="3318" w:name="_Toc52896618"/>
      <w:bookmarkStart w:id="3319" w:name="_Toc52977795"/>
      <w:bookmarkStart w:id="3320" w:name="_Toc53129481"/>
      <w:r w:rsidRPr="00234211">
        <w:rPr>
          <w:rStyle w:val="IntenseEmphasis"/>
          <w:i w:val="0"/>
          <w:color w:val="0070AE" w:themeColor="accent2" w:themeTint="BF"/>
        </w:rPr>
        <w:t>Opportunities to manage climate risk effectively</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p>
    <w:p w14:paraId="372BDA14" w14:textId="356739BA" w:rsidR="00B70940" w:rsidRDefault="00540710" w:rsidP="00540710">
      <w:r>
        <w:t>The CSIRO</w:t>
      </w:r>
      <w:r w:rsidR="00B70940">
        <w:t xml:space="preserve"> report is the first climate </w:t>
      </w:r>
      <w:r w:rsidR="00AE3B71">
        <w:t xml:space="preserve">risk </w:t>
      </w:r>
      <w:r w:rsidR="00445976">
        <w:t>assessment</w:t>
      </w:r>
      <w:r w:rsidR="00AE3B71">
        <w:t xml:space="preserve"> </w:t>
      </w:r>
      <w:r w:rsidR="005E1A92">
        <w:t>of</w:t>
      </w:r>
      <w:r w:rsidR="00B70940">
        <w:t xml:space="preserve"> </w:t>
      </w:r>
      <w:r w:rsidR="003B4072">
        <w:t xml:space="preserve">the ERF </w:t>
      </w:r>
      <w:r w:rsidR="00B70940">
        <w:t xml:space="preserve">based on existing </w:t>
      </w:r>
      <w:r w:rsidR="00AE3B71">
        <w:t xml:space="preserve">synthesised </w:t>
      </w:r>
      <w:r w:rsidR="003B4072">
        <w:t xml:space="preserve">climate </w:t>
      </w:r>
      <w:r w:rsidR="00B70940">
        <w:t>model</w:t>
      </w:r>
      <w:r w:rsidR="0031637E">
        <w:t xml:space="preserve"> projections</w:t>
      </w:r>
      <w:r w:rsidR="00B70940">
        <w:t xml:space="preserve"> and </w:t>
      </w:r>
      <w:r w:rsidR="00445976">
        <w:t xml:space="preserve">scientific </w:t>
      </w:r>
      <w:r w:rsidR="003B4072">
        <w:t xml:space="preserve">research </w:t>
      </w:r>
      <w:r w:rsidR="0031637E">
        <w:t>on climate responses on carbon processes credited under the ERF</w:t>
      </w:r>
      <w:r w:rsidR="00B70940" w:rsidRPr="00B76DFC">
        <w:t>.</w:t>
      </w:r>
      <w:r w:rsidR="00AE3B71" w:rsidRPr="00B76DFC">
        <w:t xml:space="preserve"> </w:t>
      </w:r>
      <w:r w:rsidR="00AE3B71">
        <w:t xml:space="preserve">The findings are not a predictor of likely outcomes at a quantitative level and therefore should not be used to predict actual abatement outcomes. The findings and the information contained in the report are nevertheless highly useful for indicating relative risks for Government, </w:t>
      </w:r>
      <w:r w:rsidR="00B70940">
        <w:t xml:space="preserve">ERF project </w:t>
      </w:r>
      <w:r w:rsidR="00AE3B71">
        <w:t xml:space="preserve">proponents, farmers and landowners. The report also identifies key unknowns as areas for further research. </w:t>
      </w:r>
    </w:p>
    <w:p w14:paraId="110AC406" w14:textId="796A7BB8" w:rsidR="00AE3B71" w:rsidRDefault="00AE3B71" w:rsidP="00540710">
      <w:r>
        <w:t xml:space="preserve">The information contained in the report should be built on over time, with </w:t>
      </w:r>
      <w:r w:rsidR="005E1A92">
        <w:t xml:space="preserve">the </w:t>
      </w:r>
      <w:r>
        <w:t>Government coordinating the inclusion of new information and aligning research</w:t>
      </w:r>
      <w:r w:rsidR="00591A25">
        <w:t xml:space="preserve"> to address key risks and uncertainties. </w:t>
      </w:r>
      <w:r>
        <w:t xml:space="preserve"> </w:t>
      </w:r>
    </w:p>
    <w:p w14:paraId="6823D2BD" w14:textId="6C56C4C3" w:rsidR="00F53D71" w:rsidRDefault="00591A25" w:rsidP="00540710">
      <w:r>
        <w:t xml:space="preserve">The report clearly indicates that climate </w:t>
      </w:r>
      <w:r w:rsidR="00A24DCE">
        <w:t>change</w:t>
      </w:r>
      <w:r>
        <w:t xml:space="preserve"> is a risk to the ERF </w:t>
      </w:r>
      <w:r w:rsidR="00B70940">
        <w:t xml:space="preserve">scheme </w:t>
      </w:r>
      <w:r>
        <w:t xml:space="preserve">achieving its </w:t>
      </w:r>
      <w:r w:rsidR="00A24DCE">
        <w:t xml:space="preserve">estimated </w:t>
      </w:r>
      <w:r w:rsidR="00B70940">
        <w:t xml:space="preserve">abatement </w:t>
      </w:r>
      <w:r>
        <w:t xml:space="preserve">potential. While </w:t>
      </w:r>
      <w:r w:rsidR="008F51C4">
        <w:t>project proponents</w:t>
      </w:r>
      <w:r>
        <w:t xml:space="preserve"> will continue to address climate risk at a project level as a matter of project viability, significant risk </w:t>
      </w:r>
      <w:r w:rsidR="007F2467">
        <w:t>of</w:t>
      </w:r>
      <w:r w:rsidR="00A24DCE">
        <w:t xml:space="preserve"> loss of abatement </w:t>
      </w:r>
      <w:r>
        <w:t>remains</w:t>
      </w:r>
      <w:r w:rsidR="005E1A92">
        <w:t xml:space="preserve">, for example </w:t>
      </w:r>
      <w:r>
        <w:t xml:space="preserve">where losses occur outside the permanence obligation period or where abatement is not able to </w:t>
      </w:r>
      <w:r w:rsidR="008F51C4">
        <w:t xml:space="preserve">be </w:t>
      </w:r>
      <w:r>
        <w:t xml:space="preserve">recovered despite reasonable efforts by </w:t>
      </w:r>
      <w:r w:rsidR="00B70940">
        <w:t xml:space="preserve">project </w:t>
      </w:r>
      <w:r>
        <w:t xml:space="preserve">proponents. </w:t>
      </w:r>
      <w:r w:rsidR="00121CCC">
        <w:t>If the risks to land</w:t>
      </w:r>
      <w:r w:rsidR="00870C87">
        <w:t>-</w:t>
      </w:r>
      <w:r w:rsidR="00121CCC">
        <w:t xml:space="preserve">based sequestration activities become </w:t>
      </w:r>
      <w:r w:rsidR="008F51C4">
        <w:t>too</w:t>
      </w:r>
      <w:r w:rsidR="00121CCC">
        <w:t xml:space="preserve"> great, the underlying integrity of ACCUs </w:t>
      </w:r>
      <w:r w:rsidR="00A24DCE">
        <w:t>will be diminished</w:t>
      </w:r>
      <w:r w:rsidR="00121CCC">
        <w:t>, which would affect the compliance and voluntary markets and the Government’s ability to meet its international commitments through the ERF scheme</w:t>
      </w:r>
      <w:r w:rsidR="00F53D71">
        <w:t xml:space="preserve">. </w:t>
      </w:r>
    </w:p>
    <w:p w14:paraId="6FC5D5C3" w14:textId="1C78BB66" w:rsidR="008F51C4" w:rsidRPr="00234211" w:rsidRDefault="0077076C" w:rsidP="00BB7D6A">
      <w:pPr>
        <w:pStyle w:val="Heading3"/>
        <w:rPr>
          <w:color w:val="0070AE" w:themeColor="accent2" w:themeTint="BF"/>
        </w:rPr>
      </w:pPr>
      <w:r w:rsidRPr="00234211">
        <w:rPr>
          <w:i/>
          <w:color w:val="0070AE" w:themeColor="accent2" w:themeTint="BF"/>
        </w:rPr>
        <w:t>Developing a framework for adaptive management of climate risk</w:t>
      </w:r>
    </w:p>
    <w:p w14:paraId="20B4BD57" w14:textId="1DCC3830" w:rsidR="0077076C" w:rsidRPr="00193A00" w:rsidRDefault="0077076C" w:rsidP="0077076C">
      <w:r w:rsidRPr="00193A00">
        <w:t xml:space="preserve">In </w:t>
      </w:r>
      <w:r w:rsidRPr="00193A00">
        <w:rPr>
          <w:i/>
        </w:rPr>
        <w:t>Prospering in a low</w:t>
      </w:r>
      <w:r w:rsidR="0056114A">
        <w:rPr>
          <w:i/>
        </w:rPr>
        <w:t>-</w:t>
      </w:r>
      <w:r w:rsidRPr="00193A00">
        <w:rPr>
          <w:i/>
        </w:rPr>
        <w:t>emissions world</w:t>
      </w:r>
      <w:r w:rsidR="0056114A">
        <w:rPr>
          <w:i/>
        </w:rPr>
        <w:t>:</w:t>
      </w:r>
      <w:r w:rsidRPr="00193A00" w:rsidDel="0056114A">
        <w:rPr>
          <w:i/>
        </w:rPr>
        <w:t xml:space="preserve"> </w:t>
      </w:r>
      <w:r w:rsidR="0056114A">
        <w:rPr>
          <w:i/>
        </w:rPr>
        <w:t>A</w:t>
      </w:r>
      <w:r w:rsidR="0056114A" w:rsidRPr="00193A00">
        <w:rPr>
          <w:i/>
        </w:rPr>
        <w:t xml:space="preserve">n </w:t>
      </w:r>
      <w:r w:rsidRPr="00193A00">
        <w:rPr>
          <w:i/>
        </w:rPr>
        <w:t xml:space="preserve">updated </w:t>
      </w:r>
      <w:r w:rsidR="0056114A">
        <w:rPr>
          <w:i/>
        </w:rPr>
        <w:t xml:space="preserve">climate </w:t>
      </w:r>
      <w:r w:rsidRPr="00193A00">
        <w:rPr>
          <w:i/>
        </w:rPr>
        <w:t>policy toolkit for Australia</w:t>
      </w:r>
      <w:r w:rsidRPr="00193A00">
        <w:t xml:space="preserve">, the Authority recommended that </w:t>
      </w:r>
      <w:r w:rsidR="005E1A92">
        <w:t xml:space="preserve">the </w:t>
      </w:r>
      <w:r w:rsidRPr="00193A00">
        <w:t xml:space="preserve">Government fully integrate consideration of emissions and climate change risks in decision making about government programs, assets and services through frameworks such as </w:t>
      </w:r>
      <w:r w:rsidR="007F2467">
        <w:t>Climate Compass</w:t>
      </w:r>
      <w:r w:rsidR="00A24DCE">
        <w:t xml:space="preserve"> (</w:t>
      </w:r>
      <w:r w:rsidR="00D954C1" w:rsidRPr="00A06527">
        <w:t>D</w:t>
      </w:r>
      <w:r w:rsidR="006C25B1" w:rsidRPr="00A06527">
        <w:t>EE</w:t>
      </w:r>
      <w:r w:rsidR="00D954C1" w:rsidRPr="00A06527">
        <w:t xml:space="preserve"> 2018</w:t>
      </w:r>
      <w:r w:rsidR="00A24DCE">
        <w:t>)</w:t>
      </w:r>
      <w:r w:rsidRPr="00193A00">
        <w:t xml:space="preserve">. </w:t>
      </w:r>
      <w:r w:rsidR="007F2467">
        <w:t>Climate Compass</w:t>
      </w:r>
      <w:r w:rsidRPr="00193A00">
        <w:t xml:space="preserve"> has been developed by the Australian Government for use by public </w:t>
      </w:r>
      <w:r w:rsidR="0056114A">
        <w:t>officials</w:t>
      </w:r>
      <w:r w:rsidRPr="00193A00">
        <w:t xml:space="preserve"> to manage risks to programs, assets and services. It is an iterative framework that consists of three cycles of increasing detail and specificity</w:t>
      </w:r>
      <w:r w:rsidR="00CB6429">
        <w:t xml:space="preserve"> (</w:t>
      </w:r>
      <w:r w:rsidR="008D637B">
        <w:t>DEE 2018</w:t>
      </w:r>
      <w:r w:rsidR="00CB6429">
        <w:t>)</w:t>
      </w:r>
      <w:r w:rsidRPr="00193A00">
        <w:t>:</w:t>
      </w:r>
    </w:p>
    <w:p w14:paraId="50D0663B" w14:textId="77777777" w:rsidR="0077076C" w:rsidRPr="00193A00" w:rsidRDefault="0077076C" w:rsidP="00FE3F8C">
      <w:pPr>
        <w:numPr>
          <w:ilvl w:val="0"/>
          <w:numId w:val="19"/>
        </w:numPr>
      </w:pPr>
      <w:r w:rsidRPr="00193A00">
        <w:t>Scan: a high</w:t>
      </w:r>
      <w:r w:rsidRPr="00193A00">
        <w:rPr>
          <w:rFonts w:ascii="Cambria Math" w:hAnsi="Cambria Math" w:cs="Cambria Math"/>
        </w:rPr>
        <w:t>‑</w:t>
      </w:r>
      <w:r w:rsidRPr="00193A00">
        <w:t>level pass to prioritise further work or scope the other cycles</w:t>
      </w:r>
    </w:p>
    <w:p w14:paraId="65EEC50A" w14:textId="585F331E" w:rsidR="0077076C" w:rsidRPr="00193A00" w:rsidRDefault="0077076C" w:rsidP="00FE3F8C">
      <w:pPr>
        <w:numPr>
          <w:ilvl w:val="0"/>
          <w:numId w:val="19"/>
        </w:numPr>
      </w:pPr>
      <w:r w:rsidRPr="00193A00">
        <w:t>Strategy: a formal climate risk assessment of a particular area of work</w:t>
      </w:r>
      <w:r w:rsidR="00BA12AB">
        <w:t xml:space="preserve"> (for example a </w:t>
      </w:r>
      <w:r w:rsidRPr="00193A00">
        <w:t xml:space="preserve">policy </w:t>
      </w:r>
      <w:r w:rsidR="00BA12AB">
        <w:t>area)</w:t>
      </w:r>
      <w:r w:rsidRPr="00193A00">
        <w:t>, to develop a defensible climate risk management strategic plan</w:t>
      </w:r>
    </w:p>
    <w:p w14:paraId="47931BB9" w14:textId="5F8C9BF6" w:rsidR="00101ADE" w:rsidRDefault="0077076C" w:rsidP="00FE3F8C">
      <w:pPr>
        <w:numPr>
          <w:ilvl w:val="0"/>
          <w:numId w:val="19"/>
        </w:numPr>
      </w:pPr>
      <w:r w:rsidRPr="00193A00">
        <w:t>Project: detailed climate risk management for specific projects, including operational planning and decision</w:t>
      </w:r>
      <w:r w:rsidRPr="00193A00">
        <w:rPr>
          <w:rFonts w:ascii="Cambria Math" w:hAnsi="Cambria Math" w:cs="Cambria Math"/>
        </w:rPr>
        <w:t>‑</w:t>
      </w:r>
      <w:r w:rsidRPr="00193A00">
        <w:t xml:space="preserve">making </w:t>
      </w:r>
    </w:p>
    <w:p w14:paraId="7C99C610" w14:textId="5AF0BC77" w:rsidR="007866F1" w:rsidRDefault="007866F1" w:rsidP="007866F1">
      <w:r w:rsidRPr="00BA2FDD">
        <w:t xml:space="preserve">In the context of </w:t>
      </w:r>
      <w:r w:rsidR="00A24DCE">
        <w:t>using</w:t>
      </w:r>
      <w:r w:rsidRPr="00BA2FDD">
        <w:t xml:space="preserve"> the </w:t>
      </w:r>
      <w:r w:rsidR="007F2467">
        <w:t>Climate Compass</w:t>
      </w:r>
      <w:r w:rsidRPr="00BA2FDD">
        <w:t xml:space="preserve"> framework</w:t>
      </w:r>
      <w:r w:rsidR="00C70F3F">
        <w:t>,</w:t>
      </w:r>
      <w:r w:rsidRPr="7943B309">
        <w:rPr>
          <w:i/>
        </w:rPr>
        <w:t xml:space="preserve"> </w:t>
      </w:r>
      <w:r w:rsidR="00BA12AB">
        <w:t xml:space="preserve">the CSIRO report </w:t>
      </w:r>
      <w:r>
        <w:t xml:space="preserve">can be </w:t>
      </w:r>
      <w:r w:rsidR="00BA12AB">
        <w:t xml:space="preserve">used </w:t>
      </w:r>
      <w:r>
        <w:t xml:space="preserve">as an information source to </w:t>
      </w:r>
      <w:r w:rsidR="00BA12AB">
        <w:t xml:space="preserve">help </w:t>
      </w:r>
      <w:r>
        <w:t xml:space="preserve">identify risks for prioritising further work to better understand risks and planning for mitigating risks. </w:t>
      </w:r>
      <w:r w:rsidR="00BA12AB">
        <w:t>Similar to how the private finance and investment sector is standardising the assessment and reporting of climate risk through the Taskforce on Climate-related Financial Disclosures (</w:t>
      </w:r>
      <w:r w:rsidR="00BA12AB" w:rsidRPr="00CE5B14">
        <w:t>TCFD n.d</w:t>
      </w:r>
      <w:r w:rsidR="00CE5B14">
        <w:t>.</w:t>
      </w:r>
      <w:r w:rsidR="00BA12AB">
        <w:t>)</w:t>
      </w:r>
      <w:r w:rsidR="00A63258">
        <w:t>, a</w:t>
      </w:r>
      <w:r w:rsidR="00BA12AB">
        <w:t xml:space="preserve"> climate risk assessment </w:t>
      </w:r>
      <w:r w:rsidR="00A63258">
        <w:t>using the Government</w:t>
      </w:r>
      <w:r w:rsidR="00445976">
        <w:t>’</w:t>
      </w:r>
      <w:r w:rsidR="00A63258">
        <w:t xml:space="preserve">s </w:t>
      </w:r>
      <w:r w:rsidR="003C59C1">
        <w:t>C</w:t>
      </w:r>
      <w:r w:rsidR="00A63258">
        <w:t xml:space="preserve">limate </w:t>
      </w:r>
      <w:r w:rsidR="003C59C1">
        <w:t>C</w:t>
      </w:r>
      <w:r w:rsidR="00A63258">
        <w:t xml:space="preserve">ompass </w:t>
      </w:r>
      <w:r w:rsidR="00A24DCE">
        <w:t>f</w:t>
      </w:r>
      <w:r w:rsidR="00A63258">
        <w:t xml:space="preserve">ramework </w:t>
      </w:r>
      <w:r w:rsidR="00BA12AB">
        <w:t xml:space="preserve">will </w:t>
      </w:r>
      <w:r>
        <w:t>help to transparently and coherent</w:t>
      </w:r>
      <w:r w:rsidR="00BA12AB">
        <w:t>ly</w:t>
      </w:r>
      <w:r>
        <w:t xml:space="preserve"> communicate to </w:t>
      </w:r>
      <w:r w:rsidR="00A24DCE">
        <w:t xml:space="preserve">the carbon market </w:t>
      </w:r>
      <w:r>
        <w:t>and the general public how climate risk is being considered by the government</w:t>
      </w:r>
      <w:r w:rsidR="00A63258">
        <w:t xml:space="preserve">, </w:t>
      </w:r>
      <w:r w:rsidR="00A24DCE">
        <w:t xml:space="preserve">thereby </w:t>
      </w:r>
      <w:r>
        <w:t>build</w:t>
      </w:r>
      <w:r w:rsidR="00A63258">
        <w:t>ing</w:t>
      </w:r>
      <w:r>
        <w:t xml:space="preserve"> confidence in the </w:t>
      </w:r>
      <w:r w:rsidR="00A24DCE">
        <w:t>scheme and the market for ACCUs</w:t>
      </w:r>
      <w:r>
        <w:t xml:space="preserve">. </w:t>
      </w:r>
    </w:p>
    <w:p w14:paraId="3EB6E8BF" w14:textId="2EFD594A" w:rsidR="00234211" w:rsidRDefault="009C363D" w:rsidP="006F2EE4">
      <w:pPr>
        <w:pStyle w:val="BodyText"/>
      </w:pPr>
      <w:r>
        <w:t xml:space="preserve">The CSIRO report also provides a clear indication of where key knowledge gaps exist. The report could be used together with the findings from a climate risk assessment to identify areas for priority investment in further data and research. </w:t>
      </w:r>
      <w:r w:rsidR="003B50D2">
        <w:t>For example, future impacts associated with changing frost days and pests and diseases were noted as particular areas requiring further investigation (</w:t>
      </w:r>
      <w:r w:rsidR="003B50D2" w:rsidRPr="00BA125B">
        <w:t>CSIRO 2020</w:t>
      </w:r>
      <w:r w:rsidR="003B50D2">
        <w:t>).</w:t>
      </w:r>
    </w:p>
    <w:p w14:paraId="3EE1BC04" w14:textId="0B791212" w:rsidR="00234211" w:rsidRDefault="00234211" w:rsidP="00234211">
      <w:pPr>
        <w:pStyle w:val="BodyText"/>
      </w:pPr>
    </w:p>
    <w:tbl>
      <w:tblPr>
        <w:tblStyle w:val="TableGrid"/>
        <w:tblW w:w="0" w:type="auto"/>
        <w:tblLook w:val="04A0" w:firstRow="1" w:lastRow="0" w:firstColumn="1" w:lastColumn="0" w:noHBand="0" w:noVBand="1"/>
      </w:tblPr>
      <w:tblGrid>
        <w:gridCol w:w="9016"/>
      </w:tblGrid>
      <w:tr w:rsidR="009C363D" w14:paraId="00536AB7" w14:textId="77777777" w:rsidTr="009C363D">
        <w:tc>
          <w:tcPr>
            <w:tcW w:w="9016" w:type="dxa"/>
          </w:tcPr>
          <w:p w14:paraId="1B31A3D5" w14:textId="4A65EA32" w:rsidR="009C363D" w:rsidRPr="00F9599A" w:rsidRDefault="009C363D" w:rsidP="007866F1">
            <w:pPr>
              <w:rPr>
                <w:b/>
              </w:rPr>
            </w:pPr>
            <w:r w:rsidRPr="00F9599A">
              <w:rPr>
                <w:b/>
              </w:rPr>
              <w:t>Recommendation</w:t>
            </w:r>
            <w:r w:rsidR="00DF7FFD">
              <w:rPr>
                <w:b/>
              </w:rPr>
              <w:t xml:space="preserve"> 2</w:t>
            </w:r>
            <w:r w:rsidR="008336E4">
              <w:rPr>
                <w:b/>
              </w:rPr>
              <w:t>1</w:t>
            </w:r>
          </w:p>
          <w:p w14:paraId="04256E4A" w14:textId="77777777" w:rsidR="00E80CFE" w:rsidRPr="00E80CFE" w:rsidRDefault="00E80CFE" w:rsidP="00E80CFE">
            <w:pPr>
              <w:rPr>
                <w:b/>
                <w:szCs w:val="20"/>
              </w:rPr>
            </w:pPr>
          </w:p>
          <w:p w14:paraId="148406C0" w14:textId="77777777" w:rsidR="008336E4" w:rsidRPr="008336E4" w:rsidRDefault="008336E4" w:rsidP="008336E4">
            <w:pPr>
              <w:rPr>
                <w:b/>
                <w:szCs w:val="20"/>
              </w:rPr>
            </w:pPr>
            <w:r w:rsidRPr="008336E4">
              <w:rPr>
                <w:b/>
                <w:szCs w:val="20"/>
              </w:rPr>
              <w:t>To enhance climate risk management, the Department and the Regulator:</w:t>
            </w:r>
          </w:p>
          <w:p w14:paraId="1DB75304" w14:textId="47993571" w:rsidR="00E80CFE" w:rsidRPr="00150658" w:rsidRDefault="00E80CFE" w:rsidP="00FE3F8C">
            <w:pPr>
              <w:pStyle w:val="ListParagraph"/>
              <w:numPr>
                <w:ilvl w:val="0"/>
                <w:numId w:val="31"/>
              </w:numPr>
              <w:rPr>
                <w:b/>
                <w:szCs w:val="20"/>
              </w:rPr>
            </w:pPr>
            <w:r w:rsidRPr="00E80CFE">
              <w:rPr>
                <w:b/>
              </w:rPr>
              <w:t xml:space="preserve">undertake climate risk assessments of the ERF scheme using an iterative climate risk management framework such as the Government’s Climate Compass framework. </w:t>
            </w:r>
          </w:p>
          <w:p w14:paraId="608C4582" w14:textId="5C3B5F8D" w:rsidR="009C363D" w:rsidRDefault="00E80CFE" w:rsidP="00F94E82">
            <w:pPr>
              <w:pStyle w:val="ListParagraph"/>
              <w:numPr>
                <w:ilvl w:val="0"/>
                <w:numId w:val="31"/>
              </w:numPr>
            </w:pPr>
            <w:r w:rsidRPr="0029361B">
              <w:rPr>
                <w:b/>
              </w:rPr>
              <w:t>use the findings of these assessments and existing scientific informatio</w:t>
            </w:r>
            <w:r w:rsidRPr="00C70F3F">
              <w:rPr>
                <w:b/>
              </w:rPr>
              <w:t>n to prioritise investment in further data and research to help governments, scheme participants and businesses to understand and manage climate</w:t>
            </w:r>
            <w:r w:rsidR="0066003B">
              <w:rPr>
                <w:b/>
              </w:rPr>
              <w:t>-</w:t>
            </w:r>
            <w:r w:rsidRPr="00C70F3F">
              <w:rPr>
                <w:b/>
              </w:rPr>
              <w:t>related risk.</w:t>
            </w:r>
            <w:r w:rsidR="00674A82" w:rsidRPr="00F9599A">
              <w:t xml:space="preserve"> </w:t>
            </w:r>
          </w:p>
        </w:tc>
      </w:tr>
    </w:tbl>
    <w:p w14:paraId="38DA6AB1" w14:textId="77777777" w:rsidR="009039BF" w:rsidRPr="009039BF" w:rsidRDefault="009039BF"/>
    <w:p w14:paraId="05F7F123" w14:textId="7C4B865E" w:rsidR="007866F1" w:rsidRPr="00234211" w:rsidRDefault="009039BF" w:rsidP="0099047B">
      <w:pPr>
        <w:pStyle w:val="Heading3"/>
        <w:rPr>
          <w:color w:val="0070AE" w:themeColor="accent2" w:themeTint="BF"/>
          <w:szCs w:val="26"/>
        </w:rPr>
      </w:pPr>
      <w:bookmarkStart w:id="3321" w:name="_Toc50027776"/>
      <w:bookmarkStart w:id="3322" w:name="_Toc50029470"/>
      <w:r w:rsidRPr="00234211">
        <w:rPr>
          <w:i/>
          <w:color w:val="0070AE" w:themeColor="accent2" w:themeTint="BF"/>
        </w:rPr>
        <w:t>Managing risks to land-based abatement</w:t>
      </w:r>
      <w:bookmarkEnd w:id="3321"/>
      <w:bookmarkEnd w:id="3322"/>
    </w:p>
    <w:p w14:paraId="4A327B0C" w14:textId="3BC644F2" w:rsidR="004B5D0A" w:rsidRDefault="00F53D71" w:rsidP="004B5D0A">
      <w:r w:rsidRPr="00F53D71">
        <w:t xml:space="preserve">The </w:t>
      </w:r>
      <w:r w:rsidR="00290D43">
        <w:t xml:space="preserve">CSIRO report </w:t>
      </w:r>
      <w:r w:rsidRPr="00F53D71">
        <w:t>indicate</w:t>
      </w:r>
      <w:r w:rsidR="000261C1">
        <w:t>s</w:t>
      </w:r>
      <w:r w:rsidRPr="00F53D71">
        <w:t xml:space="preserve"> that </w:t>
      </w:r>
      <w:r w:rsidR="00290D43">
        <w:t xml:space="preserve">the </w:t>
      </w:r>
      <w:r w:rsidRPr="00F53D71">
        <w:t>risk profile var</w:t>
      </w:r>
      <w:r w:rsidR="00290D43">
        <w:t>ies</w:t>
      </w:r>
      <w:r w:rsidRPr="00F53D71">
        <w:t xml:space="preserve"> across method/activity type and the region </w:t>
      </w:r>
      <w:r w:rsidR="00290D43">
        <w:t xml:space="preserve">where </w:t>
      </w:r>
      <w:r w:rsidRPr="00F53D71">
        <w:t>project</w:t>
      </w:r>
      <w:r w:rsidR="00290D43">
        <w:t>s</w:t>
      </w:r>
      <w:r w:rsidRPr="00F53D71">
        <w:t xml:space="preserve"> </w:t>
      </w:r>
      <w:r w:rsidR="00290D43">
        <w:t>are</w:t>
      </w:r>
      <w:r w:rsidRPr="00F53D71">
        <w:t xml:space="preserve"> located. Currently there is little recognition of these differences in the scheme wide mechanisms that are designed to mitigate this risk. </w:t>
      </w:r>
      <w:r w:rsidR="004B5D0A">
        <w:t>Land</w:t>
      </w:r>
      <w:r w:rsidR="00870C87">
        <w:t>-</w:t>
      </w:r>
      <w:r w:rsidR="004B5D0A">
        <w:t>base</w:t>
      </w:r>
      <w:r w:rsidR="00870C87">
        <w:t>d</w:t>
      </w:r>
      <w:r w:rsidR="004B5D0A">
        <w:t xml:space="preserve"> sequestration activities are at greater risk than other activities from climate change. Climate risks to the accumulation and maintenance of </w:t>
      </w:r>
      <w:r w:rsidR="00853741">
        <w:t xml:space="preserve">these types of </w:t>
      </w:r>
      <w:r w:rsidR="004B5D0A">
        <w:t xml:space="preserve">carbon sequestration </w:t>
      </w:r>
      <w:r w:rsidR="00853741">
        <w:t xml:space="preserve">activities </w:t>
      </w:r>
      <w:r w:rsidR="004B5D0A">
        <w:t xml:space="preserve">could impact Australia’s progress towards its emissions target.  </w:t>
      </w:r>
    </w:p>
    <w:p w14:paraId="1C336C2C" w14:textId="77777777" w:rsidR="00853741" w:rsidRDefault="00853741" w:rsidP="00853741">
      <w:r>
        <w:t>Land-based sequestration projects have risks associated with:</w:t>
      </w:r>
    </w:p>
    <w:p w14:paraId="7BC99FF5" w14:textId="5FFF08F5" w:rsidR="00853741" w:rsidRDefault="00C70F3F" w:rsidP="00FE3F8C">
      <w:pPr>
        <w:pStyle w:val="ListParagraph"/>
        <w:numPr>
          <w:ilvl w:val="0"/>
          <w:numId w:val="24"/>
        </w:numPr>
        <w:spacing w:line="259" w:lineRule="auto"/>
      </w:pPr>
      <w:r>
        <w:t>c</w:t>
      </w:r>
      <w:r w:rsidR="00853741">
        <w:t>rediting abatement that is due</w:t>
      </w:r>
      <w:r w:rsidR="007F2467">
        <w:t xml:space="preserve"> to</w:t>
      </w:r>
      <w:r w:rsidR="00853741">
        <w:t xml:space="preserve"> natural factors (cyclical climatic variation) and not due to management changes </w:t>
      </w:r>
    </w:p>
    <w:p w14:paraId="010A8141" w14:textId="586E2541" w:rsidR="00853741" w:rsidRPr="00227DA4" w:rsidRDefault="00C70F3F" w:rsidP="00FE3F8C">
      <w:pPr>
        <w:pStyle w:val="ListParagraph"/>
        <w:numPr>
          <w:ilvl w:val="0"/>
          <w:numId w:val="24"/>
        </w:numPr>
        <w:spacing w:line="259" w:lineRule="auto"/>
      </w:pPr>
      <w:r>
        <w:t>p</w:t>
      </w:r>
      <w:r w:rsidR="00853741">
        <w:t>rojects generating less abatement tha</w:t>
      </w:r>
      <w:r w:rsidR="00924FA9">
        <w:t>n</w:t>
      </w:r>
      <w:r w:rsidR="00853741">
        <w:t xml:space="preserve"> expected as a result of disturbance events such as drought affecting the establishment of additional carbon </w:t>
      </w:r>
    </w:p>
    <w:p w14:paraId="0B0D48D9" w14:textId="55FB4381" w:rsidR="00853741" w:rsidRDefault="00C70F3F" w:rsidP="00FE3F8C">
      <w:pPr>
        <w:pStyle w:val="ListParagraph"/>
        <w:numPr>
          <w:ilvl w:val="0"/>
          <w:numId w:val="24"/>
        </w:numPr>
        <w:spacing w:line="259" w:lineRule="auto"/>
      </w:pPr>
      <w:r>
        <w:t>a</w:t>
      </w:r>
      <w:r w:rsidR="00853741">
        <w:t>batement that has been credited being lost due to not being maintained by the project proponent</w:t>
      </w:r>
      <w:r w:rsidR="000438A4">
        <w:t>, f</w:t>
      </w:r>
      <w:r w:rsidR="00853741">
        <w:t xml:space="preserve">or example clearing vegetation from land that was once part of a project. This may occur either within the project permanence period or outside of the permanence period </w:t>
      </w:r>
    </w:p>
    <w:p w14:paraId="6570477A" w14:textId="32724A88" w:rsidR="00853741" w:rsidRDefault="00C70F3F" w:rsidP="00FE3F8C">
      <w:pPr>
        <w:pStyle w:val="ListParagraph"/>
        <w:numPr>
          <w:ilvl w:val="0"/>
          <w:numId w:val="24"/>
        </w:numPr>
        <w:spacing w:line="259" w:lineRule="auto"/>
      </w:pPr>
      <w:r>
        <w:t>a</w:t>
      </w:r>
      <w:r w:rsidR="00853741">
        <w:t xml:space="preserve">batement that has been credited being reversed, sometimes temporarily, due to a natural events outside of the control of the proponent. </w:t>
      </w:r>
    </w:p>
    <w:p w14:paraId="2E585944" w14:textId="50B49AEB" w:rsidR="00F9599A" w:rsidRDefault="009039BF" w:rsidP="00F9599A">
      <w:r>
        <w:t>ERF projects, both with and without Government contracts, are concentrated in land-</w:t>
      </w:r>
      <w:r w:rsidRPr="00686902">
        <w:t xml:space="preserve">based </w:t>
      </w:r>
      <w:r>
        <w:t xml:space="preserve">sequestration </w:t>
      </w:r>
      <w:r w:rsidR="009D643E">
        <w:t>activities</w:t>
      </w:r>
      <w:r w:rsidR="00853741">
        <w:t xml:space="preserve">. </w:t>
      </w:r>
      <w:r w:rsidRPr="00060228">
        <w:t xml:space="preserve">Currently, close to half of all </w:t>
      </w:r>
      <w:r>
        <w:t xml:space="preserve">abatement from contracted projects is attached to </w:t>
      </w:r>
      <w:r w:rsidRPr="00060228">
        <w:t>revegetation projects in western New South Wales and south-western Queensland. Another 11 per cent of contracted abatement is attached to avoided deforestation projects in t</w:t>
      </w:r>
      <w:r>
        <w:t xml:space="preserve">he same part of New South Wales (Figure </w:t>
      </w:r>
      <w:r w:rsidR="00BF44CF" w:rsidRPr="00B76DFC">
        <w:t>9.</w:t>
      </w:r>
      <w:r w:rsidR="00012BFC" w:rsidRPr="00B76DFC">
        <w:t>4</w:t>
      </w:r>
      <w:r w:rsidRPr="00B76DFC">
        <w:t>).</w:t>
      </w:r>
      <w:r w:rsidRPr="00B76DFC" w:rsidDel="00F9599A">
        <w:t xml:space="preserve"> </w:t>
      </w:r>
      <w:r w:rsidR="00F9599A" w:rsidRPr="00093D5B">
        <w:t>A number of stakeholders expressed concern about th</w:t>
      </w:r>
      <w:r w:rsidR="00F9599A">
        <w:t xml:space="preserve">e risks associated with the geographical and method </w:t>
      </w:r>
      <w:r w:rsidR="00F9599A" w:rsidRPr="00093D5B">
        <w:t>concentration</w:t>
      </w:r>
      <w:r w:rsidR="00F9599A">
        <w:t xml:space="preserve"> of </w:t>
      </w:r>
      <w:r w:rsidR="00F9599A" w:rsidRPr="00093D5B">
        <w:t>Government purchase</w:t>
      </w:r>
      <w:r w:rsidR="00F9599A">
        <w:t>d</w:t>
      </w:r>
      <w:r w:rsidR="00F9599A" w:rsidRPr="00093D5B">
        <w:t xml:space="preserve"> abatement (Trust for Nature, WSAA, NRM</w:t>
      </w:r>
      <w:r w:rsidR="007C1D57">
        <w:t xml:space="preserve"> Regions Australia</w:t>
      </w:r>
      <w:r w:rsidR="00F9599A" w:rsidRPr="00093D5B">
        <w:t>). Other submissions did not consider it a concern and stated that it was a reflection of the most viable types of projects being concentrated by type and location</w:t>
      </w:r>
      <w:r w:rsidR="00F9599A">
        <w:t xml:space="preserve"> (KLC)</w:t>
      </w:r>
      <w:r w:rsidR="00F9599A" w:rsidRPr="00093D5B">
        <w:t>, and</w:t>
      </w:r>
      <w:r w:rsidR="00F9599A">
        <w:t xml:space="preserve"> that</w:t>
      </w:r>
      <w:r w:rsidR="00F9599A" w:rsidRPr="00093D5B">
        <w:t xml:space="preserve"> good management of projects is the best way to manage risks from extreme weather (AFPA).</w:t>
      </w:r>
    </w:p>
    <w:p w14:paraId="0F504850" w14:textId="77777777" w:rsidR="00F9599A" w:rsidRDefault="00F9599A" w:rsidP="009039BF"/>
    <w:p w14:paraId="40E5C615" w14:textId="24BA9B4E" w:rsidR="009039BF" w:rsidRPr="00CF7AF2" w:rsidRDefault="009039BF" w:rsidP="008465AB">
      <w:pPr>
        <w:pStyle w:val="Figure"/>
      </w:pPr>
      <w:bookmarkStart w:id="3323" w:name="_Toc53130467"/>
      <w:r w:rsidRPr="00D26129">
        <w:rPr>
          <w:rStyle w:val="FigureChar"/>
        </w:rPr>
        <w:t xml:space="preserve">Figure </w:t>
      </w:r>
      <w:r w:rsidR="00BF44CF" w:rsidRPr="00D26129">
        <w:rPr>
          <w:rStyle w:val="FigureChar"/>
        </w:rPr>
        <w:t>9.</w:t>
      </w:r>
      <w:r w:rsidR="00012BFC" w:rsidRPr="00D26129">
        <w:rPr>
          <w:rStyle w:val="FigureChar"/>
        </w:rPr>
        <w:t>4</w:t>
      </w:r>
      <w:r w:rsidRPr="00D26129">
        <w:rPr>
          <w:rStyle w:val="FigureChar"/>
        </w:rPr>
        <w:t>. Total number of ACCUs issued by location (to March 2020 and Q1 2020</w:t>
      </w:r>
      <w:r w:rsidRPr="00234211">
        <w:t>)</w:t>
      </w:r>
      <w:bookmarkEnd w:id="3323"/>
    </w:p>
    <w:p w14:paraId="20F7C3E0" w14:textId="22BBD884" w:rsidR="00B8691A" w:rsidRDefault="00B8691A" w:rsidP="009039BF">
      <w:pPr>
        <w:pStyle w:val="Footnote"/>
        <w:rPr>
          <w:b/>
        </w:rPr>
      </w:pPr>
      <w:r w:rsidRPr="00D26129">
        <w:rPr>
          <w:rStyle w:val="FigureChar"/>
          <w:noProof/>
          <w:lang w:eastAsia="en-AU"/>
        </w:rPr>
        <w:drawing>
          <wp:anchor distT="0" distB="0" distL="114300" distR="114300" simplePos="0" relativeHeight="251658245" behindDoc="0" locked="0" layoutInCell="1" allowOverlap="1" wp14:anchorId="5A5468C0" wp14:editId="6D1A4AF5">
            <wp:simplePos x="0" y="0"/>
            <wp:positionH relativeFrom="margin">
              <wp:posOffset>-41910</wp:posOffset>
            </wp:positionH>
            <wp:positionV relativeFrom="paragraph">
              <wp:posOffset>195110</wp:posOffset>
            </wp:positionV>
            <wp:extent cx="5731510" cy="5210810"/>
            <wp:effectExtent l="0" t="0" r="2540" b="8890"/>
            <wp:wrapTopAndBottom/>
            <wp:docPr id="26" name="Picture 2" descr="Figure 9.4 is a map of Australia that shows the total number of ACCUs issued by location to March 2020 and for quarter 1 2020. New South Wales has the highest number of ACCUs issued (38.9 million ACCUs issued to March 2020 and 2.4 million ACCUs issued in quarter 1 2020), followed by Queensland (18.0 million ACCUs issued to March 2020 and 0.6 million ACCUs issued in quarter 1 2020)." title="Figure 9.4. Total number of ACCUs issued by location (to March 2020 and Q1 2020)">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FAE1AA8-4793-4251-A803-444A7056F017}"/>
                </a:ext>
              </a:extLst>
            </wp:docPr>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FAE1AA8-4793-4251-A803-444A7056F017}"/>
                        </a:ext>
                      </a:extLst>
                    </pic:cNvPr>
                    <pic:cNvPicPr/>
                  </pic:nvPicPr>
                  <pic:blipFill rotWithShape="1">
                    <a:blip r:embed="rId39">
                      <a:extLst>
                        <a:ext uri="{28A0092B-C50C-407E-A947-70E740481C1C}">
                          <a14:useLocalDpi xmlns:a14="http://schemas.microsoft.com/office/drawing/2010/main" val="0"/>
                        </a:ext>
                      </a:extLst>
                    </a:blip>
                    <a:srcRect l="390"/>
                    <a:stretch/>
                  </pic:blipFill>
                  <pic:spPr bwMode="auto">
                    <a:xfrm>
                      <a:off x="0" y="0"/>
                      <a:ext cx="5731510" cy="521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CDF9B" w14:textId="1108800B" w:rsidR="009039BF" w:rsidRDefault="009039BF" w:rsidP="009039BF">
      <w:pPr>
        <w:pStyle w:val="Footnote"/>
      </w:pPr>
      <w:r w:rsidRPr="7943B309">
        <w:rPr>
          <w:b/>
        </w:rPr>
        <w:t>Source:</w:t>
      </w:r>
      <w:r>
        <w:t xml:space="preserve"> </w:t>
      </w:r>
      <w:r w:rsidR="002031A7" w:rsidRPr="00694856">
        <w:t>CER 2020</w:t>
      </w:r>
      <w:r w:rsidR="002031A7">
        <w:t>i</w:t>
      </w:r>
      <w:r w:rsidR="002031A7" w:rsidRPr="00694856" w:rsidDel="002031A7">
        <w:t xml:space="preserve"> </w:t>
      </w:r>
      <w:r>
        <w:t>(Figure 5, p.</w:t>
      </w:r>
      <w:r w:rsidR="005D1686">
        <w:t>1</w:t>
      </w:r>
      <w:r>
        <w:t xml:space="preserve">2) </w:t>
      </w:r>
    </w:p>
    <w:p w14:paraId="41E93051" w14:textId="4D589E6B" w:rsidR="00853741" w:rsidRDefault="00853741" w:rsidP="009039BF">
      <w:r>
        <w:t xml:space="preserve">Given the ACCUs </w:t>
      </w:r>
      <w:r w:rsidR="00536E35">
        <w:t>purchased by the Government to date have been generated</w:t>
      </w:r>
      <w:r>
        <w:t xml:space="preserve"> from a small number of methods, it is important that the ERF risk management mechanisms across the scheme are well calibrated and that risk is appropriately dealt with in the method design rules. If they are not, then there is a risk that different ACCUs carry with them quite different underlying risk profiles, despite being priced the same. The submission from Jemena Gas Networks suggests an </w:t>
      </w:r>
      <w:r w:rsidR="000F32CD">
        <w:t>‘</w:t>
      </w:r>
      <w:r w:rsidRPr="00E348E3">
        <w:rPr>
          <w:i/>
        </w:rPr>
        <w:t>improvement to the ERF is to extend the current risk mechanisms to a fully risk based approach to future carbon abatement returns</w:t>
      </w:r>
      <w:r w:rsidR="000F32CD">
        <w:rPr>
          <w:i/>
        </w:rPr>
        <w:t>’</w:t>
      </w:r>
      <w:r w:rsidRPr="00E348E3">
        <w:rPr>
          <w:i/>
        </w:rPr>
        <w:t xml:space="preserve"> </w:t>
      </w:r>
      <w:r>
        <w:t>(p. 2).</w:t>
      </w:r>
    </w:p>
    <w:p w14:paraId="3D53B97A" w14:textId="21224C2E" w:rsidR="009039BF" w:rsidRPr="0013209B" w:rsidRDefault="009039BF" w:rsidP="009039BF">
      <w:r>
        <w:t xml:space="preserve">The ERF currently has several mechanisms in place to manage and mitigate reversal, maintenance and permanence risks. These mechanisms operate at the scheme, method and project levels and are described in </w:t>
      </w:r>
      <w:r w:rsidRPr="00B76DFC">
        <w:t xml:space="preserve">Table </w:t>
      </w:r>
      <w:r w:rsidR="000261C1" w:rsidRPr="00B76DFC">
        <w:t>9</w:t>
      </w:r>
      <w:r w:rsidRPr="00B76DFC">
        <w:t>.</w:t>
      </w:r>
      <w:r w:rsidR="00BF44CF" w:rsidRPr="00B76DFC">
        <w:t>6</w:t>
      </w:r>
      <w:r w:rsidRPr="00B76DFC">
        <w:t>.</w:t>
      </w:r>
      <w:r>
        <w:t xml:space="preserve"> The mechanisms share risk between the Government and project proponents according to the reason for the loss of stored carbon. The mechanisms are supported by guidance to assist project proponents to understand their obligations, including new </w:t>
      </w:r>
      <w:r w:rsidRPr="00ED4934">
        <w:t xml:space="preserve">guidance </w:t>
      </w:r>
      <w:r w:rsidR="007C1D57">
        <w:t xml:space="preserve">published by the Regulator </w:t>
      </w:r>
      <w:r w:rsidRPr="00ED4934">
        <w:t xml:space="preserve">on </w:t>
      </w:r>
      <w:r w:rsidRPr="7943B309">
        <w:rPr>
          <w:i/>
        </w:rPr>
        <w:t xml:space="preserve">reducing the risk of fire and preserving sequestered carbon in Emissions Reduction Fund vegetation projects </w:t>
      </w:r>
      <w:r w:rsidRPr="00ED4934">
        <w:t>(</w:t>
      </w:r>
      <w:r w:rsidRPr="0087773A">
        <w:t>CER 2020</w:t>
      </w:r>
      <w:r w:rsidR="0041090A">
        <w:t>q</w:t>
      </w:r>
      <w:r w:rsidRPr="00ED4934">
        <w:t>).</w:t>
      </w:r>
      <w:r w:rsidRPr="7943B309">
        <w:rPr>
          <w:i/>
        </w:rPr>
        <w:t xml:space="preserve"> </w:t>
      </w:r>
      <w:r w:rsidRPr="00ED4934">
        <w:t>The draft</w:t>
      </w:r>
      <w:r w:rsidRPr="7943B309">
        <w:rPr>
          <w:i/>
        </w:rPr>
        <w:t xml:space="preserve"> </w:t>
      </w:r>
      <w:r>
        <w:t xml:space="preserve">guidance </w:t>
      </w:r>
      <w:r w:rsidRPr="00ED4934">
        <w:t>provide</w:t>
      </w:r>
      <w:r>
        <w:t>s</w:t>
      </w:r>
      <w:r w:rsidRPr="00ED4934">
        <w:t xml:space="preserve"> </w:t>
      </w:r>
      <w:r>
        <w:t xml:space="preserve">greater </w:t>
      </w:r>
      <w:r w:rsidRPr="00ED4934">
        <w:t xml:space="preserve">clarity on how efforts by ERF proponents to meet their obligations will be </w:t>
      </w:r>
      <w:r>
        <w:t>c</w:t>
      </w:r>
      <w:r w:rsidRPr="00ED4934">
        <w:t>onsider</w:t>
      </w:r>
      <w:r>
        <w:t xml:space="preserve">ed by </w:t>
      </w:r>
      <w:r w:rsidRPr="00ED4934">
        <w:t xml:space="preserve">the Regulator </w:t>
      </w:r>
      <w:r>
        <w:t xml:space="preserve">when </w:t>
      </w:r>
      <w:r w:rsidRPr="00ED4934">
        <w:t>determin</w:t>
      </w:r>
      <w:r>
        <w:t>ing</w:t>
      </w:r>
      <w:r w:rsidRPr="00ED4934">
        <w:t xml:space="preserve"> whether reasonable actions have been undertaken to mitigate fire risk and recover carbon stocks. </w:t>
      </w:r>
    </w:p>
    <w:p w14:paraId="4FFF4C5E" w14:textId="5B5CDB96" w:rsidR="009039BF" w:rsidRPr="007E2A4D" w:rsidRDefault="009039BF" w:rsidP="009039BF">
      <w:r>
        <w:t xml:space="preserve">Risks to permanence </w:t>
      </w:r>
      <w:r w:rsidR="001434F0">
        <w:t xml:space="preserve">were originally managed in the CFI </w:t>
      </w:r>
      <w:r>
        <w:t xml:space="preserve">through </w:t>
      </w:r>
      <w:r w:rsidR="007C1D57">
        <w:t xml:space="preserve">permanence obligations </w:t>
      </w:r>
      <w:r w:rsidR="001434F0">
        <w:t>to maintain carbon stores for 100 years (s</w:t>
      </w:r>
      <w:r w:rsidR="0029466F">
        <w:t xml:space="preserve"> </w:t>
      </w:r>
      <w:r w:rsidR="001434F0">
        <w:t xml:space="preserve">87 of the CFI Act) </w:t>
      </w:r>
      <w:r w:rsidR="007C1D57">
        <w:t xml:space="preserve">and </w:t>
      </w:r>
      <w:r w:rsidR="001434F0">
        <w:t xml:space="preserve">the risk of reversal buffer </w:t>
      </w:r>
      <w:r>
        <w:t>(</w:t>
      </w:r>
      <w:r w:rsidRPr="00B76DFC">
        <w:t xml:space="preserve">Table </w:t>
      </w:r>
      <w:r w:rsidR="000261C1" w:rsidRPr="00B76DFC">
        <w:t>9</w:t>
      </w:r>
      <w:r w:rsidRPr="00B76DFC">
        <w:t>.</w:t>
      </w:r>
      <w:r w:rsidR="00BF44CF" w:rsidRPr="00B76DFC">
        <w:t>6</w:t>
      </w:r>
      <w:r w:rsidRPr="00B76DFC">
        <w:t>).</w:t>
      </w:r>
      <w:r w:rsidRPr="001F429D">
        <w:t xml:space="preserve"> </w:t>
      </w:r>
      <w:r>
        <w:t>T</w:t>
      </w:r>
      <w:r w:rsidR="001434F0">
        <w:t xml:space="preserve">he 100 year carbon rule allowed </w:t>
      </w:r>
      <w:r>
        <w:t xml:space="preserve">carbon sequestration </w:t>
      </w:r>
      <w:r w:rsidR="001434F0">
        <w:t xml:space="preserve">credits </w:t>
      </w:r>
      <w:r w:rsidRPr="004E6ECF">
        <w:t>to</w:t>
      </w:r>
      <w:r>
        <w:t xml:space="preserve"> be considered permanent and treated in a </w:t>
      </w:r>
      <w:r w:rsidRPr="004E6ECF">
        <w:t>com</w:t>
      </w:r>
      <w:r>
        <w:t>parable way to an avoided emission</w:t>
      </w:r>
      <w:r w:rsidR="001434F0">
        <w:t xml:space="preserve"> (</w:t>
      </w:r>
      <w:r w:rsidR="00AD650C">
        <w:t>Australian Government 2014</w:t>
      </w:r>
      <w:r w:rsidR="001434F0">
        <w:t>)</w:t>
      </w:r>
      <w:r>
        <w:t xml:space="preserve">. </w:t>
      </w:r>
      <w:r w:rsidRPr="007E2A4D">
        <w:t>The Government introduced the 25-year permanence period for sequestration projects with the ERF, on the basis that 100-year permanence periods were considered to be barriers to participation of landholders and farmers (</w:t>
      </w:r>
      <w:r w:rsidR="001434F0">
        <w:t>Australian Government 2014</w:t>
      </w:r>
      <w:r w:rsidRPr="007E2A4D">
        <w:t>)</w:t>
      </w:r>
      <w:r w:rsidR="001434F0" w:rsidRPr="001434F0">
        <w:t>.</w:t>
      </w:r>
      <w:r w:rsidR="00EC0421">
        <w:t xml:space="preserve"> </w:t>
      </w:r>
      <w:r w:rsidR="001434F0">
        <w:t>To manage the risks this created, t</w:t>
      </w:r>
      <w:r w:rsidR="001434F0" w:rsidRPr="001434F0">
        <w:t xml:space="preserve">he ERF </w:t>
      </w:r>
      <w:r w:rsidR="001434F0">
        <w:t xml:space="preserve">introduced </w:t>
      </w:r>
      <w:r w:rsidR="001434F0" w:rsidRPr="001434F0">
        <w:t xml:space="preserve">a </w:t>
      </w:r>
      <w:r w:rsidR="001434F0">
        <w:t xml:space="preserve">permanence discount </w:t>
      </w:r>
      <w:r w:rsidR="001434F0" w:rsidRPr="001434F0">
        <w:t>(Table 9.6).</w:t>
      </w:r>
      <w:r w:rsidR="001434F0">
        <w:t xml:space="preserve"> </w:t>
      </w:r>
      <w:r w:rsidR="001434F0" w:rsidRPr="001434F0">
        <w:t>This discount reflects the potential cost to Government of replacing carbon stores if 25-year projects are discontinued</w:t>
      </w:r>
      <w:r w:rsidR="004862EF">
        <w:t>. Currently the permanence discount is set at the default 20 per</w:t>
      </w:r>
      <w:r w:rsidR="00DE065E">
        <w:t xml:space="preserve"> </w:t>
      </w:r>
      <w:r w:rsidR="004862EF">
        <w:t xml:space="preserve">cent for all project types except </w:t>
      </w:r>
      <w:r w:rsidR="004862EF" w:rsidRPr="004862EF">
        <w:t>for short-rotation (20 years or less) plantation forestry projects that elect a 25-year permanence period</w:t>
      </w:r>
      <w:r w:rsidR="004862EF">
        <w:t>, where a 25 per</w:t>
      </w:r>
      <w:r w:rsidR="00DE065E">
        <w:t xml:space="preserve"> </w:t>
      </w:r>
      <w:r w:rsidR="004862EF">
        <w:t xml:space="preserve">cent discount is applied. </w:t>
      </w:r>
    </w:p>
    <w:p w14:paraId="1021A431" w14:textId="6B348FB6" w:rsidR="009039BF" w:rsidRDefault="009039BF" w:rsidP="009039BF">
      <w:r>
        <w:t>The risk of reversal buffer manages the risk of temporary losses of carbon</w:t>
      </w:r>
      <w:r w:rsidR="004862EF">
        <w:t xml:space="preserve"> </w:t>
      </w:r>
      <w:r w:rsidR="00F26247">
        <w:t>due to natural disturbances</w:t>
      </w:r>
      <w:r w:rsidDel="004862EF">
        <w:t xml:space="preserve"> </w:t>
      </w:r>
      <w:r>
        <w:t xml:space="preserve">during the permanence period </w:t>
      </w:r>
      <w:r w:rsidR="00F26247">
        <w:t xml:space="preserve"> PER</w:t>
      </w:r>
      <w:r>
        <w:t>, or losses due to wrong doing</w:t>
      </w:r>
      <w:r w:rsidR="00F26247">
        <w:t xml:space="preserve"> that are not able to be recovered through other means (e.g. person leave the country) (Explanatory Memorandum </w:t>
      </w:r>
      <w:r w:rsidR="00C70F3F">
        <w:t xml:space="preserve">to </w:t>
      </w:r>
      <w:r w:rsidR="00F26247">
        <w:t>CFI Bill 2011</w:t>
      </w:r>
      <w:r w:rsidR="00A91FCB">
        <w:t xml:space="preserve">, </w:t>
      </w:r>
      <w:r w:rsidRPr="00B76DFC">
        <w:t xml:space="preserve">Table </w:t>
      </w:r>
      <w:r w:rsidR="00F9599A" w:rsidRPr="00B76DFC">
        <w:t>9</w:t>
      </w:r>
      <w:r w:rsidRPr="00B76DFC">
        <w:t>.</w:t>
      </w:r>
      <w:r w:rsidR="00BF44CF" w:rsidRPr="00B76DFC">
        <w:t>6</w:t>
      </w:r>
      <w:r w:rsidRPr="00B76DFC">
        <w:t>).</w:t>
      </w:r>
      <w:r>
        <w:t xml:space="preserve"> </w:t>
      </w:r>
      <w:r w:rsidRPr="001F51B1">
        <w:t xml:space="preserve">The risk of reversal </w:t>
      </w:r>
      <w:r w:rsidR="0066272B">
        <w:t xml:space="preserve">buffer is </w:t>
      </w:r>
      <w:r>
        <w:t xml:space="preserve">currently </w:t>
      </w:r>
      <w:r w:rsidR="0066272B">
        <w:t>set at the default rate of 5 per</w:t>
      </w:r>
      <w:r w:rsidR="00DE065E">
        <w:t xml:space="preserve"> </w:t>
      </w:r>
      <w:r w:rsidR="0066272B">
        <w:t>cent</w:t>
      </w:r>
      <w:r w:rsidR="001434F0">
        <w:t xml:space="preserve"> for all ERF sequestration projects</w:t>
      </w:r>
      <w:r>
        <w:t xml:space="preserve">. </w:t>
      </w:r>
      <w:r w:rsidR="004862EF">
        <w:t>The risk of reversal b</w:t>
      </w:r>
      <w:r w:rsidR="004862EF" w:rsidRPr="004862EF">
        <w:t>uffer means that a project proponent does not have to replace credits if carbon stores are lost because of natural events such as a bushfire</w:t>
      </w:r>
      <w:r w:rsidR="00D3000D">
        <w:t>, unless the project proponent has not taken reasonable steps to mitigate the risks</w:t>
      </w:r>
      <w:r w:rsidR="004862EF" w:rsidRPr="004862EF">
        <w:t xml:space="preserve"> (</w:t>
      </w:r>
      <w:r w:rsidR="00AD650C">
        <w:t>Australian Government 2014</w:t>
      </w:r>
      <w:r w:rsidR="004862EF" w:rsidRPr="004862EF">
        <w:t>).</w:t>
      </w:r>
      <w:r>
        <w:t xml:space="preserve"> The Clean Energy Regulator has not recorded any significant reversals to date (CER </w:t>
      </w:r>
      <w:r w:rsidR="00171868">
        <w:t>2020</w:t>
      </w:r>
      <w:r w:rsidR="0041090A">
        <w:t>r</w:t>
      </w:r>
      <w:r>
        <w:t xml:space="preserve">). Work undertaken by the Regulator following the 2019-20 bushfire season </w:t>
      </w:r>
      <w:r w:rsidRPr="00277320">
        <w:t xml:space="preserve">identified </w:t>
      </w:r>
      <w:r w:rsidR="00D3000D">
        <w:t>6</w:t>
      </w:r>
      <w:r w:rsidRPr="00277320">
        <w:t xml:space="preserve"> projects, which may have been impacted</w:t>
      </w:r>
      <w:r>
        <w:t xml:space="preserve"> by fire</w:t>
      </w:r>
      <w:r w:rsidRPr="00277320">
        <w:t>. These projects have gene</w:t>
      </w:r>
      <w:r>
        <w:t xml:space="preserve">rated less than </w:t>
      </w:r>
      <w:r w:rsidR="00D3000D">
        <w:t>3,500</w:t>
      </w:r>
      <w:r>
        <w:t xml:space="preserve"> credits,</w:t>
      </w:r>
      <w:r w:rsidRPr="00277320">
        <w:t xml:space="preserve"> less than one per cent of the contracted portfolio (0.0</w:t>
      </w:r>
      <w:r w:rsidR="00D3000D">
        <w:t>3</w:t>
      </w:r>
      <w:r w:rsidRPr="00277320">
        <w:t xml:space="preserve"> per cent)</w:t>
      </w:r>
      <w:r>
        <w:t xml:space="preserve"> (</w:t>
      </w:r>
      <w:r w:rsidR="006C25B1" w:rsidRPr="007017EC">
        <w:t>CER</w:t>
      </w:r>
      <w:r w:rsidR="001434F0" w:rsidRPr="007017EC">
        <w:t xml:space="preserve"> </w:t>
      </w:r>
      <w:r w:rsidR="00AD650C">
        <w:t>2020</w:t>
      </w:r>
      <w:r w:rsidR="0041090A">
        <w:t>r</w:t>
      </w:r>
      <w:r w:rsidR="00D3000D">
        <w:t>,</w:t>
      </w:r>
      <w:r w:rsidR="001434F0" w:rsidDel="003A1019">
        <w:t xml:space="preserve"> </w:t>
      </w:r>
      <w:r w:rsidR="001434F0">
        <w:t>pers com</w:t>
      </w:r>
      <w:r w:rsidR="005B4DA7">
        <w:t>m.</w:t>
      </w:r>
      <w:r w:rsidR="003A1019">
        <w:t>)</w:t>
      </w:r>
      <w:r w:rsidR="00D3000D">
        <w:t xml:space="preserve">. </w:t>
      </w:r>
      <w:r w:rsidR="001434F0">
        <w:t xml:space="preserve">. </w:t>
      </w:r>
    </w:p>
    <w:p w14:paraId="75A4B0CF" w14:textId="77777777" w:rsidR="009039BF" w:rsidRDefault="009039BF" w:rsidP="009039BF"/>
    <w:p w14:paraId="4A1FDA34" w14:textId="77777777" w:rsidR="009039BF" w:rsidRDefault="009039BF" w:rsidP="009039BF">
      <w:pPr>
        <w:spacing w:line="240" w:lineRule="auto"/>
        <w:rPr>
          <w:b/>
        </w:rPr>
        <w:sectPr w:rsidR="009039BF" w:rsidSect="002F001D">
          <w:footerReference w:type="default" r:id="rId40"/>
          <w:headerReference w:type="first" r:id="rId41"/>
          <w:footerReference w:type="first" r:id="rId42"/>
          <w:pgSz w:w="11906" w:h="16838"/>
          <w:pgMar w:top="1276" w:right="1440" w:bottom="1440" w:left="1440" w:header="851" w:footer="708" w:gutter="0"/>
          <w:cols w:space="708"/>
          <w:titlePg/>
          <w:docGrid w:linePitch="360"/>
        </w:sectPr>
      </w:pPr>
    </w:p>
    <w:p w14:paraId="5E1A1F6F" w14:textId="7BEF2BCF" w:rsidR="009039BF" w:rsidRPr="005146AB" w:rsidRDefault="00BF44CF" w:rsidP="008465AB">
      <w:pPr>
        <w:pStyle w:val="Table"/>
      </w:pPr>
      <w:bookmarkStart w:id="3324" w:name="_Toc53129520"/>
      <w:r w:rsidRPr="005146AB">
        <w:t xml:space="preserve">Table 9.6:  </w:t>
      </w:r>
      <w:r w:rsidR="009039BF" w:rsidRPr="005146AB">
        <w:t xml:space="preserve">ERF mechanisms for mitigating risks of natural disturbance and </w:t>
      </w:r>
      <w:r w:rsidR="00F60747">
        <w:t>non-permanence</w:t>
      </w:r>
      <w:bookmarkEnd w:id="3324"/>
      <w:r w:rsidR="00F60747">
        <w:t xml:space="preserve"> </w:t>
      </w:r>
    </w:p>
    <w:tbl>
      <w:tblPr>
        <w:tblStyle w:val="TableGrid"/>
        <w:tblW w:w="14312" w:type="dxa"/>
        <w:tblLook w:val="04A0" w:firstRow="1" w:lastRow="0" w:firstColumn="1" w:lastColumn="0" w:noHBand="0" w:noVBand="1"/>
      </w:tblPr>
      <w:tblGrid>
        <w:gridCol w:w="1500"/>
        <w:gridCol w:w="5623"/>
        <w:gridCol w:w="7189"/>
      </w:tblGrid>
      <w:tr w:rsidR="009039BF" w14:paraId="6C6C373C" w14:textId="77777777" w:rsidTr="005146AB">
        <w:tc>
          <w:tcPr>
            <w:tcW w:w="1500" w:type="dxa"/>
            <w:shd w:val="clear" w:color="auto" w:fill="0070AE" w:themeFill="accent2" w:themeFillTint="BF"/>
          </w:tcPr>
          <w:p w14:paraId="2B34C502" w14:textId="77777777" w:rsidR="009039BF" w:rsidRPr="00F53045" w:rsidRDefault="009039BF" w:rsidP="005146AB">
            <w:pPr>
              <w:pStyle w:val="TableHeadingRightAligned"/>
              <w:jc w:val="center"/>
            </w:pPr>
            <w:r w:rsidRPr="7943B309">
              <w:t>Mechanism</w:t>
            </w:r>
          </w:p>
        </w:tc>
        <w:tc>
          <w:tcPr>
            <w:tcW w:w="5623" w:type="dxa"/>
            <w:shd w:val="clear" w:color="auto" w:fill="0070AE" w:themeFill="accent2" w:themeFillTint="BF"/>
          </w:tcPr>
          <w:p w14:paraId="2276B5D8" w14:textId="77777777" w:rsidR="009039BF" w:rsidRPr="00F53045" w:rsidRDefault="009039BF" w:rsidP="005146AB">
            <w:pPr>
              <w:pStyle w:val="TableHeadingRightAligned"/>
              <w:jc w:val="center"/>
            </w:pPr>
            <w:r>
              <w:t>R</w:t>
            </w:r>
            <w:r w:rsidRPr="7943B309">
              <w:t>ationale</w:t>
            </w:r>
          </w:p>
        </w:tc>
        <w:tc>
          <w:tcPr>
            <w:tcW w:w="7189" w:type="dxa"/>
            <w:shd w:val="clear" w:color="auto" w:fill="0070AE" w:themeFill="accent2" w:themeFillTint="BF"/>
          </w:tcPr>
          <w:p w14:paraId="3F2AEA53" w14:textId="77777777" w:rsidR="009039BF" w:rsidRPr="00F53045" w:rsidRDefault="009039BF" w:rsidP="005146AB">
            <w:pPr>
              <w:pStyle w:val="TableHeadingRightAligned"/>
              <w:jc w:val="center"/>
            </w:pPr>
            <w:r w:rsidRPr="7943B309">
              <w:t>How it works</w:t>
            </w:r>
          </w:p>
        </w:tc>
      </w:tr>
      <w:tr w:rsidR="009039BF" w14:paraId="3AC3ACEF" w14:textId="77777777" w:rsidTr="009039BF">
        <w:tc>
          <w:tcPr>
            <w:tcW w:w="1500" w:type="dxa"/>
          </w:tcPr>
          <w:p w14:paraId="0E8FE4C6" w14:textId="77777777" w:rsidR="009039BF" w:rsidRPr="001B244D" w:rsidRDefault="009039BF" w:rsidP="009039BF">
            <w:pPr>
              <w:pStyle w:val="Tablebody"/>
            </w:pPr>
            <w:r w:rsidRPr="001B244D">
              <w:t>Permanence period obligations</w:t>
            </w:r>
          </w:p>
        </w:tc>
        <w:tc>
          <w:tcPr>
            <w:tcW w:w="5623" w:type="dxa"/>
          </w:tcPr>
          <w:p w14:paraId="414829AA" w14:textId="77777777" w:rsidR="009039BF" w:rsidRDefault="009039BF" w:rsidP="009039BF">
            <w:pPr>
              <w:pStyle w:val="Tablebody"/>
              <w:spacing w:after="80"/>
            </w:pPr>
            <w:r w:rsidRPr="001B244D">
              <w:t>Permanence obligations requir</w:t>
            </w:r>
            <w:r>
              <w:t>e</w:t>
            </w:r>
            <w:r w:rsidRPr="001B244D">
              <w:t xml:space="preserve"> scheme participants to maintain the carbon stored by ERF projects during the permanence obligation period. </w:t>
            </w:r>
          </w:p>
          <w:p w14:paraId="08733F45" w14:textId="77777777" w:rsidR="009039BF" w:rsidRDefault="009039BF" w:rsidP="009039BF">
            <w:pPr>
              <w:pStyle w:val="Tablebody"/>
              <w:spacing w:after="80"/>
            </w:pPr>
            <w:r w:rsidRPr="001B244D">
              <w:t xml:space="preserve">This mitigates the risk to the Government that carbon is lost by placing an obligation on landholders to take reasonable action to maintain and restore carbon. </w:t>
            </w:r>
          </w:p>
          <w:p w14:paraId="484EEBBE" w14:textId="77777777" w:rsidR="009039BF" w:rsidRPr="001B244D" w:rsidRDefault="009039BF" w:rsidP="009039BF">
            <w:pPr>
              <w:pStyle w:val="Tablebody"/>
              <w:spacing w:after="80"/>
            </w:pPr>
            <w:r w:rsidRPr="001B244D">
              <w:t xml:space="preserve">The permanence obligation period applies for either 100 </w:t>
            </w:r>
            <w:r>
              <w:t xml:space="preserve">years </w:t>
            </w:r>
            <w:r w:rsidRPr="001B244D">
              <w:t>or 25 years, depending on the period chosen by the proponent.</w:t>
            </w:r>
          </w:p>
        </w:tc>
        <w:tc>
          <w:tcPr>
            <w:tcW w:w="7189" w:type="dxa"/>
          </w:tcPr>
          <w:p w14:paraId="16B6C246" w14:textId="77777777" w:rsidR="009039BF" w:rsidRDefault="009039BF" w:rsidP="009039BF">
            <w:pPr>
              <w:pStyle w:val="Tablebody"/>
              <w:spacing w:after="80"/>
            </w:pPr>
            <w:r w:rsidRPr="001B244D">
              <w:t>Obligations apply for the duration of the permanence period of a project – either 25 or 100 years</w:t>
            </w:r>
            <w:r>
              <w:t xml:space="preserve"> from the time a project is first issued with credits</w:t>
            </w:r>
            <w:r w:rsidRPr="001B244D">
              <w:t>.</w:t>
            </w:r>
          </w:p>
          <w:p w14:paraId="7C47C0A2" w14:textId="77777777" w:rsidR="009039BF" w:rsidRPr="001B244D" w:rsidRDefault="009039BF" w:rsidP="009039BF">
            <w:pPr>
              <w:pStyle w:val="Tablebody"/>
              <w:spacing w:after="80"/>
            </w:pPr>
            <w:r w:rsidRPr="001B244D">
              <w:t>If a fire or other disturbance causes a decline in the volume of carbon stored, landholders must take reasonable steps to re-establish carbon stores. Scheme participants will generally not receive further ACCUs until the carbon stores exceed their pre-disturbance levels.</w:t>
            </w:r>
          </w:p>
          <w:p w14:paraId="67B5F272" w14:textId="77777777" w:rsidR="009039BF" w:rsidRDefault="009039BF" w:rsidP="009039BF">
            <w:pPr>
              <w:pStyle w:val="Tablebody"/>
              <w:spacing w:after="80"/>
            </w:pPr>
            <w:r w:rsidRPr="001B244D">
              <w:t xml:space="preserve">If proponents contravene their obligations they may face administrative penalties including relinquishment. In instances where a person makes an arrangement to avoid paying a penalty they may face criminal prosecution. </w:t>
            </w:r>
          </w:p>
          <w:p w14:paraId="4A22F952" w14:textId="02694378" w:rsidR="009039BF" w:rsidRPr="001B244D" w:rsidRDefault="009039BF" w:rsidP="009039BF">
            <w:pPr>
              <w:pStyle w:val="Tablebody"/>
              <w:spacing w:after="80"/>
            </w:pPr>
            <w:r w:rsidRPr="001B244D">
              <w:t xml:space="preserve">The </w:t>
            </w:r>
            <w:r>
              <w:t xml:space="preserve">Regulator </w:t>
            </w:r>
            <w:r w:rsidRPr="001B244D">
              <w:t xml:space="preserve">can also impose a carbon maintenance obligation when </w:t>
            </w:r>
            <w:r w:rsidR="00D3000D">
              <w:t>a relinquishment order has not, or is likely to not be complied with</w:t>
            </w:r>
            <w:r w:rsidRPr="001B244D">
              <w:t xml:space="preserve">. </w:t>
            </w:r>
            <w:r>
              <w:t>The carbon maintenance obligation ‘runs with the land’ and would apply to future land holders.</w:t>
            </w:r>
          </w:p>
        </w:tc>
      </w:tr>
      <w:tr w:rsidR="009039BF" w14:paraId="2B3551B4" w14:textId="77777777" w:rsidTr="009039BF">
        <w:tc>
          <w:tcPr>
            <w:tcW w:w="1500" w:type="dxa"/>
          </w:tcPr>
          <w:p w14:paraId="7FCE271C" w14:textId="77777777" w:rsidR="009039BF" w:rsidRDefault="009039BF" w:rsidP="009039BF">
            <w:pPr>
              <w:pStyle w:val="Tablebody"/>
            </w:pPr>
            <w:r>
              <w:t>Permanence period discount</w:t>
            </w:r>
          </w:p>
        </w:tc>
        <w:tc>
          <w:tcPr>
            <w:tcW w:w="5623" w:type="dxa"/>
          </w:tcPr>
          <w:p w14:paraId="239130C7" w14:textId="193116A3" w:rsidR="004862EF" w:rsidRDefault="004862EF" w:rsidP="009039BF">
            <w:pPr>
              <w:pStyle w:val="Tablebody"/>
              <w:spacing w:after="80"/>
            </w:pPr>
            <w:r w:rsidRPr="004908F6">
              <w:t>A 20 per cent discount is applied to projects with a 25-year permanence period. This discount reflects the potential cost to Government of replacing carbon stores if 25-year projects are discontinued. The Government expects projects are likely to be retained due to the co-benefits generated from project activities (Australian Government 2014).</w:t>
            </w:r>
          </w:p>
          <w:p w14:paraId="21B8E5B2" w14:textId="77777777" w:rsidR="009039BF" w:rsidRPr="00012F17" w:rsidRDefault="009039BF" w:rsidP="009039BF">
            <w:pPr>
              <w:pStyle w:val="Tablebody"/>
              <w:spacing w:after="80"/>
            </w:pPr>
            <w:r w:rsidRPr="006B09ED">
              <w:t xml:space="preserve">Following the completion of the 25-year period, project landholders may elect to manage the land in a way that leads to a loss of stored carbon. The discount is to reflect the potential cost to Government of replacing lost </w:t>
            </w:r>
            <w:r>
              <w:t xml:space="preserve">carbon at the end of 25 years. </w:t>
            </w:r>
          </w:p>
        </w:tc>
        <w:tc>
          <w:tcPr>
            <w:tcW w:w="7189" w:type="dxa"/>
          </w:tcPr>
          <w:p w14:paraId="4D50AE23" w14:textId="1B4E168E" w:rsidR="009039BF" w:rsidRDefault="009039BF" w:rsidP="009039BF">
            <w:pPr>
              <w:pStyle w:val="Tablebody"/>
              <w:spacing w:after="80"/>
            </w:pPr>
            <w:r>
              <w:t xml:space="preserve">Sequestration projects that elect a 25-year permanence period are discounted 20 per cent of their abatement. </w:t>
            </w:r>
            <w:r w:rsidR="00D3000D">
              <w:t>Some p</w:t>
            </w:r>
            <w:r>
              <w:t xml:space="preserve">rojects that use the plantation forestry method have a higher discount of 25 per cent applied to reflect a higher level of risk. </w:t>
            </w:r>
          </w:p>
        </w:tc>
      </w:tr>
      <w:tr w:rsidR="009039BF" w14:paraId="1574AF3E" w14:textId="77777777" w:rsidTr="009039BF">
        <w:tc>
          <w:tcPr>
            <w:tcW w:w="1500" w:type="dxa"/>
          </w:tcPr>
          <w:p w14:paraId="378C29D4" w14:textId="77777777" w:rsidR="009039BF" w:rsidRDefault="009039BF" w:rsidP="009039BF">
            <w:pPr>
              <w:pStyle w:val="Tablebody"/>
            </w:pPr>
            <w:r>
              <w:t>Risk of reversal buffer</w:t>
            </w:r>
          </w:p>
        </w:tc>
        <w:tc>
          <w:tcPr>
            <w:tcW w:w="5623" w:type="dxa"/>
          </w:tcPr>
          <w:p w14:paraId="172D6FC7" w14:textId="77777777" w:rsidR="009039BF" w:rsidRPr="006B09ED" w:rsidRDefault="009039BF" w:rsidP="009039BF">
            <w:pPr>
              <w:pStyle w:val="Tablebody"/>
              <w:spacing w:after="80"/>
            </w:pPr>
            <w:r w:rsidRPr="006B09ED">
              <w:t>The risk of reversal buffer is to insure the scheme against:</w:t>
            </w:r>
          </w:p>
          <w:p w14:paraId="4525DCE4" w14:textId="77777777" w:rsidR="009039BF" w:rsidRPr="006B09ED" w:rsidRDefault="009039BF" w:rsidP="00FE3F8C">
            <w:pPr>
              <w:pStyle w:val="Tablebody"/>
              <w:numPr>
                <w:ilvl w:val="0"/>
                <w:numId w:val="28"/>
              </w:numPr>
              <w:spacing w:after="80"/>
            </w:pPr>
            <w:r w:rsidRPr="006B09ED">
              <w:t>temporary losses of carbon, while carbon stores are recovering from fire and drought</w:t>
            </w:r>
          </w:p>
          <w:p w14:paraId="5897E820" w14:textId="77777777" w:rsidR="009039BF" w:rsidRPr="006B09ED" w:rsidRDefault="009039BF" w:rsidP="00FE3F8C">
            <w:pPr>
              <w:pStyle w:val="Tablebody"/>
              <w:numPr>
                <w:ilvl w:val="0"/>
                <w:numId w:val="28"/>
              </w:numPr>
              <w:spacing w:after="80"/>
            </w:pPr>
            <w:r w:rsidRPr="006B09ED">
              <w:t>losses as a result of wrongdoing by a project proponent that cannot be remedied (for example if the project proponent leaves the country)</w:t>
            </w:r>
          </w:p>
          <w:p w14:paraId="56B0F089" w14:textId="77777777" w:rsidR="009039BF" w:rsidRDefault="009039BF" w:rsidP="00FE3F8C">
            <w:pPr>
              <w:pStyle w:val="Tablebody"/>
              <w:numPr>
                <w:ilvl w:val="0"/>
                <w:numId w:val="28"/>
              </w:numPr>
              <w:spacing w:after="80"/>
            </w:pPr>
            <w:r w:rsidRPr="006B09ED">
              <w:t>losses as a result of necessary fire reduction acti</w:t>
            </w:r>
            <w:r>
              <w:t xml:space="preserve">vities, such as a fire break.  </w:t>
            </w:r>
          </w:p>
        </w:tc>
        <w:tc>
          <w:tcPr>
            <w:tcW w:w="7189" w:type="dxa"/>
          </w:tcPr>
          <w:p w14:paraId="5D089A99" w14:textId="77777777" w:rsidR="009039BF" w:rsidRDefault="009039BF" w:rsidP="009039BF">
            <w:pPr>
              <w:pStyle w:val="Tablebody"/>
              <w:spacing w:after="80"/>
            </w:pPr>
            <w:r>
              <w:t xml:space="preserve">Sequestration projects are discounted 5 per cent of their abatement. For example </w:t>
            </w:r>
            <w:r w:rsidRPr="00403F07">
              <w:t>for every 100 tonnes of carbon stored by a project, 95 Australian Carbon Credit Units are issued.</w:t>
            </w:r>
            <w:r>
              <w:t xml:space="preserve"> </w:t>
            </w:r>
          </w:p>
          <w:p w14:paraId="2E1FCFD3" w14:textId="77777777" w:rsidR="009039BF" w:rsidRDefault="009039BF" w:rsidP="009039BF">
            <w:pPr>
              <w:pStyle w:val="Tablebody"/>
              <w:spacing w:after="80"/>
            </w:pPr>
            <w:r>
              <w:t>A different rate can be set in regulations, but it is currently 5 per cent for all sequestration projects.</w:t>
            </w:r>
          </w:p>
        </w:tc>
      </w:tr>
      <w:tr w:rsidR="009039BF" w14:paraId="19EC51FA" w14:textId="77777777" w:rsidTr="009039BF">
        <w:tc>
          <w:tcPr>
            <w:tcW w:w="1500" w:type="dxa"/>
          </w:tcPr>
          <w:p w14:paraId="38738BFB" w14:textId="77777777" w:rsidR="009039BF" w:rsidRDefault="009039BF" w:rsidP="009039BF">
            <w:pPr>
              <w:pStyle w:val="Tablebody"/>
            </w:pPr>
            <w:r w:rsidRPr="00C13197">
              <w:t>Permanence plans</w:t>
            </w:r>
          </w:p>
        </w:tc>
        <w:tc>
          <w:tcPr>
            <w:tcW w:w="5623" w:type="dxa"/>
          </w:tcPr>
          <w:p w14:paraId="43CDE756" w14:textId="0683B1F6" w:rsidR="009039BF" w:rsidRDefault="009039BF" w:rsidP="009039BF">
            <w:pPr>
              <w:pStyle w:val="Tablebody"/>
              <w:spacing w:after="80"/>
            </w:pPr>
            <w:r>
              <w:t xml:space="preserve">Permanence plans provide evidence to the Regulator of the actions </w:t>
            </w:r>
            <w:r w:rsidRPr="003B4B1D">
              <w:t xml:space="preserve">landowners </w:t>
            </w:r>
            <w:r>
              <w:t xml:space="preserve">will take to protect </w:t>
            </w:r>
            <w:r w:rsidRPr="003B4B1D">
              <w:t xml:space="preserve">carbon </w:t>
            </w:r>
            <w:r>
              <w:t xml:space="preserve">stores that have been credited </w:t>
            </w:r>
            <w:r w:rsidRPr="003B4B1D">
              <w:t>for the permanence period.</w:t>
            </w:r>
            <w:r>
              <w:t xml:space="preserve"> The plans help to clarify responsibilities and provide the records needed to show that these responsibilities have been carried out</w:t>
            </w:r>
            <w:r w:rsidR="00513AE6">
              <w:t xml:space="preserve">, should a significant disturbance occur. </w:t>
            </w:r>
          </w:p>
        </w:tc>
        <w:tc>
          <w:tcPr>
            <w:tcW w:w="7189" w:type="dxa"/>
          </w:tcPr>
          <w:p w14:paraId="4D30AF33" w14:textId="77777777" w:rsidR="009039BF" w:rsidRDefault="009039BF" w:rsidP="009039BF">
            <w:pPr>
              <w:pStyle w:val="Tablebody"/>
              <w:spacing w:after="80"/>
            </w:pPr>
            <w:r>
              <w:t>Sequestration projects are required to provide permanence plans to the Regulator at registration and in offset reports in years 8 and 24.</w:t>
            </w:r>
          </w:p>
          <w:p w14:paraId="5FBE1303" w14:textId="3B629302" w:rsidR="009039BF" w:rsidRDefault="00513AE6" w:rsidP="009039BF">
            <w:pPr>
              <w:pStyle w:val="Tablebody"/>
              <w:spacing w:after="80"/>
            </w:pPr>
            <w:r>
              <w:t>Proponents</w:t>
            </w:r>
            <w:r w:rsidR="009039BF" w:rsidRPr="00C13197">
              <w:rPr>
                <w:bCs/>
              </w:rPr>
              <w:t xml:space="preserve"> </w:t>
            </w:r>
            <w:r w:rsidR="009039BF" w:rsidRPr="00C13197">
              <w:t>must</w:t>
            </w:r>
            <w:r w:rsidR="009039BF" w:rsidRPr="00571DFF">
              <w:t xml:space="preserve"> set out an explanation of the steps that have or will be undertaken to ensure carbon remains sequestered in the project area for the permanence period. The plan must include any management actions that have </w:t>
            </w:r>
            <w:r w:rsidR="009039BF">
              <w:t xml:space="preserve">been </w:t>
            </w:r>
            <w:r w:rsidR="009039BF" w:rsidRPr="00571DFF">
              <w:t>or will be undertaken to prevent the risk of fire starting and spreading on project areas, including the frequency and scale of these actions.</w:t>
            </w:r>
          </w:p>
        </w:tc>
      </w:tr>
      <w:tr w:rsidR="009039BF" w14:paraId="0C3C8624" w14:textId="77777777" w:rsidTr="009039BF">
        <w:tc>
          <w:tcPr>
            <w:tcW w:w="1500" w:type="dxa"/>
          </w:tcPr>
          <w:p w14:paraId="1A11AF47" w14:textId="77777777" w:rsidR="009039BF" w:rsidRPr="00C13197" w:rsidRDefault="009039BF" w:rsidP="009039BF">
            <w:pPr>
              <w:pStyle w:val="Tablebody"/>
            </w:pPr>
            <w:r>
              <w:t>Method specific requirements</w:t>
            </w:r>
          </w:p>
        </w:tc>
        <w:tc>
          <w:tcPr>
            <w:tcW w:w="5623" w:type="dxa"/>
          </w:tcPr>
          <w:p w14:paraId="337DE6E6" w14:textId="77777777" w:rsidR="009039BF" w:rsidRDefault="009039BF" w:rsidP="009039BF">
            <w:pPr>
              <w:pStyle w:val="Tablebody"/>
              <w:spacing w:after="80"/>
            </w:pPr>
            <w:r>
              <w:t xml:space="preserve">Mechanisms in sequestration methods can manage method specific risks. </w:t>
            </w:r>
          </w:p>
        </w:tc>
        <w:tc>
          <w:tcPr>
            <w:tcW w:w="7189" w:type="dxa"/>
          </w:tcPr>
          <w:p w14:paraId="000FD090" w14:textId="77777777" w:rsidR="009039BF" w:rsidRDefault="009039BF" w:rsidP="009039BF">
            <w:pPr>
              <w:pStyle w:val="Tablebody"/>
              <w:spacing w:after="80"/>
            </w:pPr>
            <w:r>
              <w:t>There are some specific requirements in methods. These include:</w:t>
            </w:r>
          </w:p>
          <w:p w14:paraId="79C0D0F7" w14:textId="517FA0CD" w:rsidR="009039BF" w:rsidRDefault="009039BF" w:rsidP="00FE3F8C">
            <w:pPr>
              <w:pStyle w:val="Tablebody"/>
              <w:numPr>
                <w:ilvl w:val="0"/>
                <w:numId w:val="28"/>
              </w:numPr>
              <w:spacing w:after="80"/>
            </w:pPr>
            <w:r>
              <w:t xml:space="preserve">the </w:t>
            </w:r>
            <w:r w:rsidRPr="00912864">
              <w:t xml:space="preserve">land management </w:t>
            </w:r>
            <w:r>
              <w:t>strategies</w:t>
            </w:r>
            <w:r w:rsidRPr="00912864">
              <w:t xml:space="preserve"> for</w:t>
            </w:r>
            <w:r>
              <w:t xml:space="preserve"> projects using a measured </w:t>
            </w:r>
            <w:r w:rsidRPr="00912864">
              <w:t xml:space="preserve">soil carbon </w:t>
            </w:r>
            <w:r>
              <w:t>method</w:t>
            </w:r>
            <w:r w:rsidRPr="00912864">
              <w:t>.</w:t>
            </w:r>
            <w:r>
              <w:t xml:space="preserve"> These strategies are to include activities that will be conducted for the duration of the permanence period</w:t>
            </w:r>
          </w:p>
          <w:p w14:paraId="751D9DD2" w14:textId="77777777" w:rsidR="009039BF" w:rsidRDefault="009039BF" w:rsidP="00FE3F8C">
            <w:pPr>
              <w:pStyle w:val="Tablebody"/>
              <w:numPr>
                <w:ilvl w:val="0"/>
                <w:numId w:val="28"/>
              </w:numPr>
              <w:spacing w:after="80"/>
            </w:pPr>
            <w:r w:rsidRPr="00410BCB">
              <w:t xml:space="preserve">requirements in relation to </w:t>
            </w:r>
            <w:r>
              <w:t xml:space="preserve">managing pests and </w:t>
            </w:r>
            <w:r w:rsidRPr="00410BCB">
              <w:t>fire modelling, monitoring, management activity and record keeping</w:t>
            </w:r>
            <w:r>
              <w:t>.</w:t>
            </w:r>
          </w:p>
        </w:tc>
      </w:tr>
      <w:tr w:rsidR="009039BF" w14:paraId="52D431A5" w14:textId="77777777" w:rsidTr="009039BF">
        <w:tc>
          <w:tcPr>
            <w:tcW w:w="1500" w:type="dxa"/>
          </w:tcPr>
          <w:p w14:paraId="08F2C881" w14:textId="77777777" w:rsidR="009039BF" w:rsidRDefault="009039BF" w:rsidP="009039BF">
            <w:pPr>
              <w:pStyle w:val="Tablebody"/>
            </w:pPr>
            <w:r>
              <w:t>Voluntary actions</w:t>
            </w:r>
          </w:p>
        </w:tc>
        <w:tc>
          <w:tcPr>
            <w:tcW w:w="5623" w:type="dxa"/>
          </w:tcPr>
          <w:p w14:paraId="6502C3E5" w14:textId="77777777" w:rsidR="009039BF" w:rsidRDefault="009039BF" w:rsidP="009039BF">
            <w:pPr>
              <w:pStyle w:val="Tablebody"/>
              <w:spacing w:after="80"/>
            </w:pPr>
            <w:r>
              <w:t xml:space="preserve">Carbon service providers and proponents rely on the generation of carbon credits for their viability. They are therefore incentivised to consider physical and climatic risks to projects. </w:t>
            </w:r>
          </w:p>
        </w:tc>
        <w:tc>
          <w:tcPr>
            <w:tcW w:w="7189" w:type="dxa"/>
          </w:tcPr>
          <w:p w14:paraId="36220986" w14:textId="77777777" w:rsidR="009039BF" w:rsidRDefault="009039BF" w:rsidP="009039BF">
            <w:pPr>
              <w:pStyle w:val="Tablebody"/>
              <w:spacing w:after="80"/>
            </w:pPr>
            <w:r>
              <w:t xml:space="preserve">Carbon service providers and environmental NGOs have told us that they consider environmental risks as part of their own business risk mitigation measures. These may to some extent be included in management plans, but reportedly go beyond these. </w:t>
            </w:r>
          </w:p>
        </w:tc>
      </w:tr>
    </w:tbl>
    <w:p w14:paraId="31816A39" w14:textId="3ABB8A89" w:rsidR="009039BF" w:rsidRDefault="009039BF" w:rsidP="009039BF">
      <w:pPr>
        <w:pStyle w:val="Footnote"/>
      </w:pPr>
      <w:r w:rsidRPr="005146AB">
        <w:rPr>
          <w:rStyle w:val="SubtleEmphasis"/>
          <w:b/>
          <w:i w:val="0"/>
          <w:color w:val="auto"/>
        </w:rPr>
        <w:t>Notes</w:t>
      </w:r>
      <w:r w:rsidRPr="005146AB">
        <w:rPr>
          <w:rStyle w:val="SubtleEmphasis"/>
          <w:i w:val="0"/>
          <w:color w:val="auto"/>
        </w:rPr>
        <w:t xml:space="preserve">: </w:t>
      </w:r>
      <w:r w:rsidRPr="005146AB">
        <w:t>Chapter</w:t>
      </w:r>
      <w:r w:rsidRPr="001B244D">
        <w:t xml:space="preserve"> 5 of the Authority’s 2017 </w:t>
      </w:r>
      <w:r>
        <w:t xml:space="preserve">ERF </w:t>
      </w:r>
      <w:r w:rsidRPr="001B244D">
        <w:t>review</w:t>
      </w:r>
      <w:r>
        <w:t xml:space="preserve"> provides some further information on permanence obligations (CCA 2017</w:t>
      </w:r>
      <w:r w:rsidR="0012216E">
        <w:t>a</w:t>
      </w:r>
      <w:r>
        <w:t>)</w:t>
      </w:r>
      <w:r w:rsidRPr="001B244D">
        <w:t>.</w:t>
      </w:r>
    </w:p>
    <w:p w14:paraId="4CD4DA08" w14:textId="7C454F14" w:rsidR="009039BF" w:rsidRPr="006B09ED" w:rsidRDefault="009039BF" w:rsidP="009039BF">
      <w:pPr>
        <w:pStyle w:val="Footnote"/>
        <w:rPr>
          <w:rStyle w:val="Hyperlink"/>
          <w:color w:val="auto"/>
          <w:u w:val="none"/>
        </w:rPr>
      </w:pPr>
      <w:r w:rsidRPr="00181E7E">
        <w:rPr>
          <w:b/>
        </w:rPr>
        <w:t>Source</w:t>
      </w:r>
      <w:r>
        <w:rPr>
          <w:b/>
        </w:rPr>
        <w:t>s</w:t>
      </w:r>
      <w:r w:rsidRPr="00181E7E">
        <w:rPr>
          <w:b/>
        </w:rPr>
        <w:t>:</w:t>
      </w:r>
      <w:r>
        <w:t xml:space="preserve"> </w:t>
      </w:r>
      <w:r w:rsidRPr="005E1241">
        <w:t>CCA 2017a</w:t>
      </w:r>
      <w:r w:rsidRPr="0036304D">
        <w:t>, b</w:t>
      </w:r>
      <w:r>
        <w:t xml:space="preserve"> (consultation paper),</w:t>
      </w:r>
      <w:r w:rsidRPr="00BC0C61">
        <w:t xml:space="preserve"> </w:t>
      </w:r>
      <w:r>
        <w:t>Explanatory Memorandum</w:t>
      </w:r>
      <w:r w:rsidR="0012216E">
        <w:t xml:space="preserve"> to the CFI Act</w:t>
      </w:r>
      <w:r w:rsidR="00E5702E">
        <w:t xml:space="preserve"> 2011</w:t>
      </w:r>
      <w:r w:rsidR="00C70F3F">
        <w:t xml:space="preserve"> to </w:t>
      </w:r>
      <w:r w:rsidRPr="005146AB">
        <w:t>CFI Bill 2011</w:t>
      </w:r>
      <w:r>
        <w:t xml:space="preserve">, </w:t>
      </w:r>
      <w:r w:rsidRPr="005146AB">
        <w:t>CFI Rule</w:t>
      </w:r>
      <w:r w:rsidR="0012216E">
        <w:t xml:space="preserve"> 2015</w:t>
      </w:r>
      <w:r>
        <w:t xml:space="preserve">, </w:t>
      </w:r>
      <w:r w:rsidRPr="0087773A">
        <w:t>CER 2020</w:t>
      </w:r>
      <w:r w:rsidR="0041090A">
        <w:t>q</w:t>
      </w:r>
      <w:r>
        <w:t xml:space="preserve">, </w:t>
      </w:r>
      <w:r w:rsidR="0012216E">
        <w:t>CER n.d.</w:t>
      </w:r>
      <w:r w:rsidR="009950A0">
        <w:t>c</w:t>
      </w:r>
      <w:r>
        <w:t>. [Guidance soil carbon land management strategies]</w:t>
      </w:r>
      <w:r>
        <w:rPr>
          <w:rStyle w:val="Hyperlink"/>
        </w:rPr>
        <w:t xml:space="preserve"> </w:t>
      </w:r>
    </w:p>
    <w:p w14:paraId="1CBD5022" w14:textId="77777777" w:rsidR="009039BF" w:rsidRDefault="009039BF" w:rsidP="001D3C36">
      <w:pPr>
        <w:pStyle w:val="Heading2"/>
        <w:ind w:left="0" w:firstLine="0"/>
        <w:rPr>
          <w:rStyle w:val="IntenseEmphasis"/>
          <w:i w:val="0"/>
          <w:iCs w:val="0"/>
          <w:color w:val="0C9FCD"/>
        </w:rPr>
        <w:sectPr w:rsidR="009039BF" w:rsidSect="001D3C36">
          <w:pgSz w:w="16838" w:h="11906" w:orient="landscape"/>
          <w:pgMar w:top="1440" w:right="1440" w:bottom="1440" w:left="1276" w:header="851" w:footer="709" w:gutter="0"/>
          <w:cols w:space="708"/>
          <w:titlePg/>
          <w:docGrid w:linePitch="360"/>
        </w:sectPr>
      </w:pPr>
    </w:p>
    <w:p w14:paraId="25B7D90F" w14:textId="4DEFDAF9" w:rsidR="009039BF" w:rsidRPr="005146AB" w:rsidRDefault="009039BF" w:rsidP="0099047B">
      <w:pPr>
        <w:pStyle w:val="Heading3"/>
        <w:rPr>
          <w:i/>
          <w:color w:val="0070AE" w:themeColor="accent2" w:themeTint="BF"/>
          <w:szCs w:val="26"/>
        </w:rPr>
      </w:pPr>
      <w:bookmarkStart w:id="3325" w:name="_Toc50027777"/>
      <w:bookmarkStart w:id="3326" w:name="_Toc50029471"/>
      <w:r w:rsidRPr="005146AB">
        <w:rPr>
          <w:i/>
          <w:color w:val="0070AE" w:themeColor="accent2" w:themeTint="BF"/>
        </w:rPr>
        <w:t xml:space="preserve">Setting appropriate reversal </w:t>
      </w:r>
      <w:r w:rsidRPr="005146AB">
        <w:rPr>
          <w:i/>
          <w:color w:val="0070AE" w:themeColor="accent2" w:themeTint="BF"/>
          <w:szCs w:val="26"/>
        </w:rPr>
        <w:t>buffers and permanence discounts</w:t>
      </w:r>
      <w:bookmarkEnd w:id="3325"/>
      <w:bookmarkEnd w:id="3326"/>
      <w:r w:rsidRPr="005146AB">
        <w:rPr>
          <w:i/>
          <w:color w:val="0070AE" w:themeColor="accent2" w:themeTint="BF"/>
          <w:szCs w:val="26"/>
        </w:rPr>
        <w:t xml:space="preserve"> </w:t>
      </w:r>
    </w:p>
    <w:p w14:paraId="190ECA7A" w14:textId="182CBDCA" w:rsidR="009039BF" w:rsidRDefault="009039BF" w:rsidP="009039BF">
      <w:r>
        <w:t xml:space="preserve">The risk of reversal buffer and the permanence discount are </w:t>
      </w:r>
      <w:r w:rsidRPr="006B09ED">
        <w:t>i</w:t>
      </w:r>
      <w:r>
        <w:t>mportant measures to i</w:t>
      </w:r>
      <w:r w:rsidRPr="006B09ED">
        <w:t>nsure the scheme against</w:t>
      </w:r>
      <w:r>
        <w:t xml:space="preserve"> non-permanence, discussed above. </w:t>
      </w:r>
      <w:r w:rsidRPr="00277320">
        <w:t>The Authority’s 2017</w:t>
      </w:r>
      <w:r>
        <w:t xml:space="preserve"> ERF</w:t>
      </w:r>
      <w:r w:rsidRPr="00277320">
        <w:t xml:space="preserve"> review </w:t>
      </w:r>
      <w:r>
        <w:t>r</w:t>
      </w:r>
      <w:r w:rsidRPr="00277320">
        <w:t xml:space="preserve">ecommended the risk of reversal buffer and the permanence discount be reviewed to determine whether these discounts are calibrated to potential </w:t>
      </w:r>
      <w:r>
        <w:t>losses of carbon (</w:t>
      </w:r>
      <w:r w:rsidRPr="005E1241">
        <w:t>CCA 2017</w:t>
      </w:r>
      <w:r w:rsidR="00985810" w:rsidRPr="005E1241">
        <w:t>a</w:t>
      </w:r>
      <w:r w:rsidR="00FE3D1D">
        <w:t xml:space="preserve"> Rec. 12</w:t>
      </w:r>
      <w:r>
        <w:t xml:space="preserve">). The risk of reversal buffer and permanence discount should ideally represent the quantified risks for the Government over the long time periods over which they operate. Reviews should take account of evidence from actual losses as well as projected future losses and abatement costs. </w:t>
      </w:r>
    </w:p>
    <w:p w14:paraId="677A5C5F" w14:textId="5FB19143" w:rsidR="009039BF" w:rsidRDefault="009039BF" w:rsidP="009039BF">
      <w:r>
        <w:t>The permanence period discount uses a financial conceptualisation of the risk (Australian Government 2014). The underlying assumption is that a 20 per cent discount covers the future cost to the Australian Government of replacing the lost carbon.</w:t>
      </w:r>
    </w:p>
    <w:p w14:paraId="5C368F3D" w14:textId="09F7A044" w:rsidR="009039BF" w:rsidRDefault="009039BF" w:rsidP="009039BF">
      <w:pPr>
        <w:pStyle w:val="Quote"/>
        <w:pBdr>
          <w:top w:val="none" w:sz="0" w:space="0" w:color="auto"/>
          <w:bottom w:val="none" w:sz="0" w:space="0" w:color="auto"/>
        </w:pBdr>
      </w:pPr>
      <w:r>
        <w:t>‘This discount reflects the potential cost to Government of replacing carbon stores if 25-year projects are discontinued. In practice, however, many carbon sequestration projects are likely to be retained as they will continue to deliver co-benefits for natural resource management and agricultural productivity.’ (Australian Government 2014)</w:t>
      </w:r>
    </w:p>
    <w:p w14:paraId="3421F220" w14:textId="22E956D3" w:rsidR="009039BF" w:rsidRDefault="009039BF" w:rsidP="009039BF">
      <w:r>
        <w:t xml:space="preserve">Macintosh et al. </w:t>
      </w:r>
      <w:r w:rsidR="007F2467">
        <w:t>(</w:t>
      </w:r>
      <w:r>
        <w:t>2019</w:t>
      </w:r>
      <w:r w:rsidR="007F2467">
        <w:t>)</w:t>
      </w:r>
      <w:r>
        <w:t xml:space="preserve"> argue that </w:t>
      </w:r>
      <w:r>
        <w:rPr>
          <w:i/>
        </w:rPr>
        <w:t>‘…</w:t>
      </w:r>
      <w:r w:rsidRPr="7943B309">
        <w:rPr>
          <w:i/>
        </w:rPr>
        <w:t>if a financial conceptualisation is adopted, the 20</w:t>
      </w:r>
      <w:r>
        <w:rPr>
          <w:i/>
        </w:rPr>
        <w:t xml:space="preserve"> per cent</w:t>
      </w:r>
      <w:r w:rsidRPr="7943B309">
        <w:rPr>
          <w:i/>
        </w:rPr>
        <w:t xml:space="preserve"> will be appropriate if it reasonably approximates the discounted financial value of the costs of replacing the lost abatement when the reversals occur (i.e. in more than 25 years)</w:t>
      </w:r>
      <w:r>
        <w:rPr>
          <w:i/>
        </w:rPr>
        <w:t>’</w:t>
      </w:r>
      <w:r w:rsidRPr="7943B309">
        <w:rPr>
          <w:i/>
        </w:rPr>
        <w:t xml:space="preserve"> </w:t>
      </w:r>
      <w:r w:rsidRPr="006D59C8">
        <w:t>(</w:t>
      </w:r>
      <w:r w:rsidRPr="001D10CD">
        <w:t>Macintosh et al. 2019</w:t>
      </w:r>
      <w:r w:rsidRPr="006D59C8">
        <w:t>)</w:t>
      </w:r>
      <w:r>
        <w:t xml:space="preserve">. </w:t>
      </w:r>
    </w:p>
    <w:p w14:paraId="15527CBC" w14:textId="6A51123D" w:rsidR="009039BF" w:rsidRDefault="009039BF" w:rsidP="009039BF">
      <w:r>
        <w:t>The 20 per cent discount was set in 2014 and predates the Paris Agreement. There is little information on how the 20 per cent discount was set or how appropriate it currently is. It would be timely to revisit the assumptions that carbon stores will generally be retained and the assumptions on the costs of replacing lost abatement now that new scientific, financial and policy information is available</w:t>
      </w:r>
      <w:r w:rsidRPr="000E5842">
        <w:t>.</w:t>
      </w:r>
    </w:p>
    <w:p w14:paraId="4BA599D0" w14:textId="4335B0C3" w:rsidR="001D3C36" w:rsidRPr="00193A00" w:rsidRDefault="009039BF" w:rsidP="001D3C36">
      <w:r>
        <w:t>Potential losses from natural disturbance events and climate risk should be factored into setting this risk of carbon loss</w:t>
      </w:r>
      <w:r w:rsidR="000261C1">
        <w:t xml:space="preserve">. </w:t>
      </w:r>
      <w:r>
        <w:t>This information</w:t>
      </w:r>
      <w:r w:rsidR="007F2467">
        <w:t xml:space="preserve"> </w:t>
      </w:r>
      <w:r>
        <w:t xml:space="preserve">is already being factored into pricing and investment decisions being made by the private sector. Banks are considering climate risk in their agriculture investment portfolios, and the insurance industry </w:t>
      </w:r>
      <w:r w:rsidR="007F2467">
        <w:t>is</w:t>
      </w:r>
      <w:r>
        <w:t xml:space="preserve"> including it when setting their premiums (</w:t>
      </w:r>
      <w:r w:rsidR="004F267E" w:rsidRPr="009B65DB">
        <w:t>CCA 2020</w:t>
      </w:r>
      <w:r w:rsidR="004F267E">
        <w:t>a</w:t>
      </w:r>
      <w:r>
        <w:t xml:space="preserve">). The Australian Conservation Foundation and </w:t>
      </w:r>
      <w:r w:rsidR="00FE3D1D">
        <w:t xml:space="preserve">the Australian Environmental and Planning Law Group </w:t>
      </w:r>
      <w:r>
        <w:t>both express the importance of factoring climate change into risks of carbon losses.</w:t>
      </w:r>
      <w:r w:rsidR="0066272B">
        <w:t xml:space="preserve"> The CSIRO in its 2017 submission to the </w:t>
      </w:r>
      <w:r w:rsidR="001D3C36">
        <w:t xml:space="preserve">Authority’s </w:t>
      </w:r>
      <w:r w:rsidR="0066272B">
        <w:t>p</w:t>
      </w:r>
      <w:r w:rsidR="00FE3D1D">
        <w:t>re</w:t>
      </w:r>
      <w:r w:rsidR="0066272B">
        <w:t xml:space="preserve">vious ERF review stated that the risk of reversal buffer may need to be reviewed to take into account increasing risk of natural disturbances, particularly if sequestration projects are geographically concentrated. </w:t>
      </w:r>
    </w:p>
    <w:p w14:paraId="13D9C71A" w14:textId="6DE55964" w:rsidR="000261C1" w:rsidRPr="00057E21" w:rsidRDefault="000261C1" w:rsidP="000261C1">
      <w:r w:rsidRPr="000261C1">
        <w:t xml:space="preserve">The CSIRO report represents a useful body of evidence for considering the appropriateness of the rate of the risk of reversal buffer. For instance it shows that different regions and methods are likely to face </w:t>
      </w:r>
      <w:r w:rsidRPr="00057E21">
        <w:t>different levels of risk. The CSIRO report suggests that there remains significant uncertainty but also there are clear lines of evidence that some methods and project locations are likely to be risk</w:t>
      </w:r>
      <w:r w:rsidR="007F224C">
        <w:t>ier</w:t>
      </w:r>
      <w:r w:rsidRPr="00057E21">
        <w:t xml:space="preserve"> than others. </w:t>
      </w:r>
    </w:p>
    <w:p w14:paraId="3397A3A5" w14:textId="639EF7FC" w:rsidR="009039BF" w:rsidRDefault="009039BF" w:rsidP="009039BF">
      <w:r>
        <w:t>The risk of loss due to management changes should also</w:t>
      </w:r>
      <w:r w:rsidR="007F2467">
        <w:t xml:space="preserve"> be</w:t>
      </w:r>
      <w:r>
        <w:t xml:space="preserve"> factored into a permanence discount. In the case where the ERF activity does not provide any productivity benefits, such as where land is converted away from agricultural productive use, proponents may not maintain the carbon unless future regulations restrict changes or the land is no longer viable for production purposes. </w:t>
      </w:r>
      <w:r w:rsidRPr="00A95CC4">
        <w:t>An economic assessment could be carried out on a method</w:t>
      </w:r>
      <w:r w:rsidR="007F2467">
        <w:t>-</w:t>
      </w:r>
      <w:r w:rsidRPr="00A95CC4">
        <w:t>by</w:t>
      </w:r>
      <w:r w:rsidR="007F2467">
        <w:t>-</w:t>
      </w:r>
      <w:r w:rsidRPr="00A95CC4">
        <w:t xml:space="preserve">method basis of the likelihood that carbon will be maintained. </w:t>
      </w:r>
      <w:r>
        <w:t>This could start with an assessment of projects using the native forest regeneration methods to better understand risks of re-clearing</w:t>
      </w:r>
      <w:r w:rsidR="007F2467">
        <w:t>,</w:t>
      </w:r>
      <w:r>
        <w:t xml:space="preserve"> as recommended by </w:t>
      </w:r>
      <w:r w:rsidR="00C70F3F">
        <w:t xml:space="preserve">the ERAC </w:t>
      </w:r>
      <w:r w:rsidR="0074420D">
        <w:t>(</w:t>
      </w:r>
      <w:r w:rsidRPr="008D1D83">
        <w:t>ERAC 2019</w:t>
      </w:r>
      <w:r w:rsidR="00773DEA" w:rsidRPr="008371D1">
        <w:t>d</w:t>
      </w:r>
      <w:r>
        <w:t>). It should also prioritise assessment of permanence risks from projects using the soil carbon methods, given the high potential risk associated with climate impacts (</w:t>
      </w:r>
      <w:r w:rsidRPr="00BA125B">
        <w:t>CSIRO 2020</w:t>
      </w:r>
      <w:r w:rsidR="00BE23C5" w:rsidRPr="00BE23C5">
        <w:t>)</w:t>
      </w:r>
      <w:r w:rsidRPr="00BE23C5">
        <w:t>.</w:t>
      </w:r>
      <w:r>
        <w:t xml:space="preserve"> </w:t>
      </w:r>
    </w:p>
    <w:p w14:paraId="5B6DAE3B" w14:textId="7B0223FE" w:rsidR="009039BF" w:rsidRDefault="009039BF" w:rsidP="009039BF">
      <w:pPr>
        <w:tabs>
          <w:tab w:val="left" w:pos="2000"/>
        </w:tabs>
      </w:pPr>
      <w:r>
        <w:t xml:space="preserve">The review could consider the benefits of allowing projects to move from a 25-year permanence period to a 100-year permanence period to allow projects to take on the extra obligations of managing carbon stores and avoid the crediting discount. This is supported by some stakeholders and also noted by </w:t>
      </w:r>
      <w:r w:rsidR="00C70F3F">
        <w:t xml:space="preserve">the </w:t>
      </w:r>
      <w:r>
        <w:t>ERAC as a potentially beneficial proposal (</w:t>
      </w:r>
      <w:r w:rsidR="00BB6B4A">
        <w:t xml:space="preserve">PEW and </w:t>
      </w:r>
      <w:r>
        <w:t xml:space="preserve">Climate Friendly </w:t>
      </w:r>
      <w:r w:rsidR="00BB6B4A">
        <w:t>submission to Prospering in a low emissions world</w:t>
      </w:r>
      <w:r w:rsidR="00C70F3F">
        <w:t xml:space="preserve"> </w:t>
      </w:r>
      <w:r w:rsidR="00127732">
        <w:t>(</w:t>
      </w:r>
      <w:r w:rsidRPr="005B01BD">
        <w:t>ERAC 2019</w:t>
      </w:r>
      <w:r w:rsidR="00BB6B4A" w:rsidRPr="005B01BD">
        <w:t>d</w:t>
      </w:r>
      <w:r>
        <w:t>). The review could also consider whether a 25-year permanence period is appropriate to incentivise all land sector projects, or whether an extra intermediate period, such as 50-years, could also be provided as an option. Forestry sector stakeholders said that a longer permanence period, coupled with longer crediting periods, is needed to support environmental planting and forestry projects (AFPA submission p.6</w:t>
      </w:r>
      <w:r w:rsidR="00CB1557">
        <w:t>,</w:t>
      </w:r>
      <w:r>
        <w:t xml:space="preserve"> </w:t>
      </w:r>
      <w:r w:rsidRPr="00337852">
        <w:t>The Institute of Foresters of Australia &amp; Australian Forest Growers</w:t>
      </w:r>
      <w:r>
        <w:t xml:space="preserve"> submission)</w:t>
      </w:r>
      <w:r w:rsidR="00C70F3F">
        <w:t>.</w:t>
      </w:r>
    </w:p>
    <w:p w14:paraId="19C1FD9B" w14:textId="0E3E9384" w:rsidR="009039BF" w:rsidRDefault="009039BF" w:rsidP="009039BF">
      <w:r>
        <w:t xml:space="preserve">Like the permanence discount, there has been little evidence produced to quantify whether the risk of reversal buffer is set at </w:t>
      </w:r>
      <w:r w:rsidR="007F2467">
        <w:t xml:space="preserve">an </w:t>
      </w:r>
      <w:r>
        <w:t>appropriate rate (currently 5 per cent of estimated abatement). NRM Regions Australia stated that ‘</w:t>
      </w:r>
      <w:r w:rsidRPr="00F416B2">
        <w:rPr>
          <w:i/>
        </w:rPr>
        <w:t>the most recent droughts and fire season highlights that the 5</w:t>
      </w:r>
      <w:r w:rsidR="00DE065E">
        <w:rPr>
          <w:i/>
        </w:rPr>
        <w:t xml:space="preserve"> per cent</w:t>
      </w:r>
      <w:r w:rsidRPr="00F416B2">
        <w:rPr>
          <w:i/>
        </w:rPr>
        <w:t xml:space="preserve"> risk of reversal buffer will become increasingly inadequate</w:t>
      </w:r>
      <w:r>
        <w:t>.’ Similar concerns over the current appropriateness of risk mitigation mechanisms including the risk of reversal buffer were raised by the Australian Environmental and Planning Law Association of Australia, the Australian Conservation Foundation and the Institute of Australian Foresters and the Australian Forestry Group. The Authority is of the view that the Government should also review the risk of reversal to support a mature scheme, based on high-quality quantitative evidence. The review should use similar information sources and a similar approach to that for the permanence period discount.</w:t>
      </w:r>
    </w:p>
    <w:p w14:paraId="47C43A87" w14:textId="6BEBF036" w:rsidR="003B071B" w:rsidRDefault="009039BF" w:rsidP="00F9599A">
      <w:pPr>
        <w:tabs>
          <w:tab w:val="left" w:pos="2339"/>
        </w:tabs>
      </w:pPr>
      <w:r>
        <w:t xml:space="preserve">A well-calibrated evaluation of the risk of carbon losses in land-based sequestration projects could avoid </w:t>
      </w:r>
      <w:r w:rsidR="007F2467">
        <w:t>future</w:t>
      </w:r>
      <w:r>
        <w:t xml:space="preserve"> cost</w:t>
      </w:r>
      <w:r w:rsidR="007F2467">
        <w:t xml:space="preserve">s for Government to </w:t>
      </w:r>
      <w:r>
        <w:t>replac</w:t>
      </w:r>
      <w:r w:rsidR="007F2467">
        <w:t>e</w:t>
      </w:r>
      <w:r>
        <w:t xml:space="preserve"> lost abatement. It would also provide the market with better information on climate-related risks similar to what is being demanded in the private sector. Both the risk of reversal buffer and permanence period discount reviews should consider whether the levels of risk are different for different project types</w:t>
      </w:r>
      <w:r w:rsidR="007F2467">
        <w:t xml:space="preserve"> (including possible future blue carbon and CCS projects)</w:t>
      </w:r>
      <w:r>
        <w:t>, methods or regions, and whether sufficient information exists to set differential rates to reflect these risks.</w:t>
      </w:r>
    </w:p>
    <w:p w14:paraId="1BEB38DA" w14:textId="77777777" w:rsidR="00371A52" w:rsidRDefault="00371A52" w:rsidP="00F9599A">
      <w:pPr>
        <w:tabs>
          <w:tab w:val="left" w:pos="2339"/>
        </w:tabs>
      </w:pPr>
    </w:p>
    <w:tbl>
      <w:tblPr>
        <w:tblStyle w:val="TableGrid"/>
        <w:tblW w:w="0" w:type="auto"/>
        <w:tblLook w:val="04A0" w:firstRow="1" w:lastRow="0" w:firstColumn="1" w:lastColumn="0" w:noHBand="0" w:noVBand="1"/>
      </w:tblPr>
      <w:tblGrid>
        <w:gridCol w:w="9016"/>
      </w:tblGrid>
      <w:tr w:rsidR="003B071B" w14:paraId="7041B03F" w14:textId="77777777" w:rsidTr="003B071B">
        <w:tc>
          <w:tcPr>
            <w:tcW w:w="9016" w:type="dxa"/>
          </w:tcPr>
          <w:p w14:paraId="358F8E6C" w14:textId="6D88F325" w:rsidR="003B071B" w:rsidRDefault="003B071B" w:rsidP="003B071B">
            <w:pPr>
              <w:pStyle w:val="ListBullet"/>
              <w:spacing w:after="120" w:line="240" w:lineRule="atLeast"/>
              <w:ind w:left="0" w:firstLine="0"/>
              <w:rPr>
                <w:szCs w:val="20"/>
              </w:rPr>
            </w:pPr>
            <w:r w:rsidRPr="00545B78">
              <w:rPr>
                <w:b/>
              </w:rPr>
              <w:t>Recommendation</w:t>
            </w:r>
            <w:r w:rsidRPr="00261B70">
              <w:rPr>
                <w:szCs w:val="20"/>
              </w:rPr>
              <w:t xml:space="preserve"> </w:t>
            </w:r>
            <w:r w:rsidR="006B4DBA" w:rsidRPr="00B76DFC">
              <w:rPr>
                <w:b/>
                <w:szCs w:val="20"/>
              </w:rPr>
              <w:t>2</w:t>
            </w:r>
            <w:r w:rsidR="008336E4">
              <w:rPr>
                <w:b/>
                <w:szCs w:val="20"/>
              </w:rPr>
              <w:t>2</w:t>
            </w:r>
          </w:p>
          <w:p w14:paraId="684D1594" w14:textId="10F48321" w:rsidR="003B071B" w:rsidRDefault="009E35CA" w:rsidP="005E72E1">
            <w:r w:rsidRPr="009E35CA">
              <w:rPr>
                <w:b/>
                <w:szCs w:val="20"/>
              </w:rPr>
              <w:t>To manage costs associated with climate risk, assess</w:t>
            </w:r>
            <w:r w:rsidR="005E72E1" w:rsidRPr="005E72E1">
              <w:rPr>
                <w:b/>
                <w:szCs w:val="20"/>
              </w:rPr>
              <w:t xml:space="preserve"> whether the current risk of reversal buffer and permanence period discount are appropriately calibrated for different sequestration activities and</w:t>
            </w:r>
            <w:r w:rsidR="005E72E1" w:rsidRPr="005E72E1" w:rsidDel="00A458D4">
              <w:rPr>
                <w:b/>
                <w:szCs w:val="20"/>
              </w:rPr>
              <w:t xml:space="preserve"> </w:t>
            </w:r>
            <w:r w:rsidR="005E72E1" w:rsidRPr="005E72E1">
              <w:rPr>
                <w:b/>
                <w:szCs w:val="20"/>
              </w:rPr>
              <w:t>regions</w:t>
            </w:r>
            <w:r w:rsidR="0067232F">
              <w:rPr>
                <w:b/>
                <w:szCs w:val="20"/>
              </w:rPr>
              <w:t>,</w:t>
            </w:r>
            <w:r w:rsidR="005E72E1" w:rsidRPr="005E72E1">
              <w:rPr>
                <w:b/>
                <w:szCs w:val="20"/>
              </w:rPr>
              <w:t xml:space="preserve"> and adjust them as the climate continues to change</w:t>
            </w:r>
            <w:r w:rsidRPr="009E35CA">
              <w:rPr>
                <w:b/>
                <w:szCs w:val="20"/>
              </w:rPr>
              <w:t xml:space="preserve"> and understanding of climate impacts improves.</w:t>
            </w:r>
            <w:r w:rsidR="005E72E1" w:rsidRPr="005E72E1">
              <w:rPr>
                <w:b/>
                <w:szCs w:val="20"/>
              </w:rPr>
              <w:t xml:space="preserve"> Risk factors should include activity type, geographic location and climate conditions</w:t>
            </w:r>
            <w:r w:rsidR="005E72E1" w:rsidRPr="009E35CA">
              <w:rPr>
                <w:b/>
                <w:szCs w:val="20"/>
              </w:rPr>
              <w:t>.</w:t>
            </w:r>
          </w:p>
        </w:tc>
      </w:tr>
    </w:tbl>
    <w:p w14:paraId="2888FB7E" w14:textId="21A35CC1" w:rsidR="009039BF" w:rsidRDefault="009039BF" w:rsidP="00B97135">
      <w:pPr>
        <w:rPr>
          <w:szCs w:val="20"/>
        </w:rPr>
      </w:pPr>
    </w:p>
    <w:p w14:paraId="38C66CD8" w14:textId="177CB904" w:rsidR="00450369" w:rsidRDefault="00450369" w:rsidP="003C59C1">
      <w:pPr>
        <w:pStyle w:val="Heading1"/>
        <w:sectPr w:rsidR="00450369" w:rsidSect="00D7489F">
          <w:headerReference w:type="first" r:id="rId43"/>
          <w:pgSz w:w="11906" w:h="16838"/>
          <w:pgMar w:top="1418" w:right="1276" w:bottom="567" w:left="1418" w:header="425" w:footer="425" w:gutter="0"/>
          <w:cols w:space="708"/>
          <w:titlePg/>
          <w:docGrid w:linePitch="360"/>
        </w:sectPr>
      </w:pPr>
      <w:bookmarkStart w:id="3327" w:name="_Toc50027778"/>
      <w:bookmarkStart w:id="3328" w:name="_Toc50029472"/>
      <w:bookmarkStart w:id="3329" w:name="_Toc50043900"/>
      <w:bookmarkStart w:id="3330" w:name="_Toc50057752"/>
      <w:bookmarkStart w:id="3331" w:name="_Toc48996324"/>
      <w:bookmarkStart w:id="3332" w:name="_Toc49350849"/>
      <w:bookmarkStart w:id="3333" w:name="_Toc49352829"/>
      <w:bookmarkStart w:id="3334" w:name="_Toc49354205"/>
      <w:bookmarkStart w:id="3335" w:name="_Toc49355531"/>
      <w:bookmarkStart w:id="3336" w:name="_Toc49429289"/>
      <w:bookmarkStart w:id="3337" w:name="_Toc49434046"/>
      <w:bookmarkStart w:id="3338" w:name="_Toc49441039"/>
      <w:bookmarkStart w:id="3339" w:name="_Toc49441229"/>
      <w:bookmarkStart w:id="3340" w:name="_Toc49442232"/>
      <w:bookmarkStart w:id="3341" w:name="_Toc49508965"/>
      <w:bookmarkStart w:id="3342" w:name="_Toc49519774"/>
      <w:bookmarkStart w:id="3343" w:name="_Toc49521492"/>
      <w:bookmarkStart w:id="3344" w:name="_Toc49524564"/>
      <w:bookmarkStart w:id="3345" w:name="_Toc49524702"/>
      <w:bookmarkStart w:id="3346" w:name="_Toc49527171"/>
      <w:bookmarkStart w:id="3347" w:name="_Toc49528009"/>
      <w:bookmarkStart w:id="3348" w:name="_Toc49692161"/>
      <w:bookmarkStart w:id="3349" w:name="_Toc49710534"/>
      <w:bookmarkStart w:id="3350" w:name="_Toc49710706"/>
      <w:bookmarkStart w:id="3351" w:name="_Toc49713259"/>
      <w:bookmarkStart w:id="3352" w:name="_Toc49713461"/>
      <w:bookmarkStart w:id="3353" w:name="_Toc49776399"/>
      <w:bookmarkStart w:id="3354" w:name="_Toc49784958"/>
      <w:bookmarkStart w:id="3355" w:name="_Toc49786284"/>
      <w:bookmarkStart w:id="3356" w:name="_Toc49787333"/>
      <w:bookmarkStart w:id="3357" w:name="_Toc49787388"/>
      <w:bookmarkStart w:id="3358" w:name="_Toc49850702"/>
      <w:bookmarkStart w:id="3359" w:name="_Toc49852944"/>
      <w:bookmarkStart w:id="3360" w:name="_Toc49854361"/>
      <w:bookmarkStart w:id="3361" w:name="_Toc49856957"/>
      <w:bookmarkStart w:id="3362" w:name="_Toc49858273"/>
      <w:bookmarkStart w:id="3363" w:name="_Toc49858328"/>
      <w:bookmarkStart w:id="3364" w:name="_Toc49863030"/>
      <w:bookmarkStart w:id="3365" w:name="_Toc49867753"/>
      <w:bookmarkStart w:id="3366" w:name="_Toc49870590"/>
      <w:bookmarkStart w:id="3367" w:name="_Toc49871333"/>
      <w:bookmarkStart w:id="3368" w:name="_Toc49872014"/>
      <w:bookmarkStart w:id="3369" w:name="_Toc49872567"/>
    </w:p>
    <w:p w14:paraId="02DA2E88" w14:textId="1ACC0F56" w:rsidR="00752AD8" w:rsidRPr="001156AD" w:rsidRDefault="00DD6D8C" w:rsidP="001156AD">
      <w:pPr>
        <w:pStyle w:val="Heading1"/>
        <w:jc w:val="both"/>
        <w:rPr>
          <w:color w:val="0070AE" w:themeColor="accent2" w:themeTint="BF"/>
        </w:rPr>
      </w:pPr>
      <w:bookmarkStart w:id="3370" w:name="_Toc50553630"/>
      <w:bookmarkStart w:id="3371" w:name="_Toc50555393"/>
      <w:bookmarkStart w:id="3372" w:name="_Toc50559853"/>
      <w:bookmarkStart w:id="3373" w:name="_Toc50559906"/>
      <w:bookmarkStart w:id="3374" w:name="_Toc50563840"/>
      <w:bookmarkStart w:id="3375" w:name="_Toc50711393"/>
      <w:bookmarkStart w:id="3376" w:name="_Toc50720975"/>
      <w:bookmarkStart w:id="3377" w:name="_Toc50730699"/>
      <w:bookmarkStart w:id="3378" w:name="_Toc50734925"/>
      <w:bookmarkStart w:id="3379" w:name="_Toc50735528"/>
      <w:bookmarkStart w:id="3380" w:name="_Toc50905547"/>
      <w:bookmarkStart w:id="3381" w:name="_Toc51587032"/>
      <w:bookmarkStart w:id="3382" w:name="_Toc51594892"/>
      <w:bookmarkStart w:id="3383" w:name="_Toc51599495"/>
      <w:bookmarkStart w:id="3384" w:name="_Toc51613531"/>
      <w:bookmarkStart w:id="3385" w:name="_Toc51669642"/>
      <w:bookmarkStart w:id="3386" w:name="_Toc51669737"/>
      <w:bookmarkStart w:id="3387" w:name="_Toc51672886"/>
      <w:bookmarkStart w:id="3388" w:name="_Toc51673936"/>
      <w:bookmarkStart w:id="3389" w:name="_Toc51680753"/>
      <w:bookmarkStart w:id="3390" w:name="_Toc51683282"/>
      <w:bookmarkStart w:id="3391" w:name="_Toc51686018"/>
      <w:bookmarkStart w:id="3392" w:name="_Toc51687756"/>
      <w:bookmarkStart w:id="3393" w:name="_Toc51687900"/>
      <w:bookmarkStart w:id="3394" w:name="_Toc51705778"/>
      <w:bookmarkStart w:id="3395" w:name="_Toc51770724"/>
      <w:bookmarkStart w:id="3396" w:name="_Toc51770910"/>
      <w:bookmarkStart w:id="3397" w:name="_Toc52359253"/>
      <w:bookmarkStart w:id="3398" w:name="_Toc52367286"/>
      <w:bookmarkStart w:id="3399" w:name="_Toc52371626"/>
      <w:bookmarkStart w:id="3400" w:name="_Toc52374774"/>
      <w:bookmarkStart w:id="3401" w:name="_Toc52377312"/>
      <w:bookmarkStart w:id="3402" w:name="_Toc52379234"/>
      <w:bookmarkStart w:id="3403" w:name="_Toc52379589"/>
      <w:bookmarkStart w:id="3404" w:name="_Toc52532799"/>
      <w:bookmarkStart w:id="3405" w:name="_Toc52535694"/>
      <w:bookmarkStart w:id="3406" w:name="_Toc52537512"/>
      <w:bookmarkStart w:id="3407" w:name="_Toc52544075"/>
      <w:bookmarkStart w:id="3408" w:name="_Toc52545679"/>
      <w:bookmarkStart w:id="3409" w:name="_Toc52547911"/>
      <w:bookmarkStart w:id="3410" w:name="_Toc52548600"/>
      <w:bookmarkStart w:id="3411" w:name="_Toc52890892"/>
      <w:bookmarkStart w:id="3412" w:name="_Toc52895095"/>
      <w:bookmarkStart w:id="3413" w:name="_Toc52896619"/>
      <w:bookmarkStart w:id="3414" w:name="_Toc52977796"/>
      <w:bookmarkStart w:id="3415" w:name="_Toc53129482"/>
      <w:r w:rsidRPr="005146AB">
        <w:rPr>
          <w:color w:val="0070AE" w:themeColor="accent2" w:themeTint="BF"/>
        </w:rPr>
        <w:t xml:space="preserve">Chapter 10: Building a climate resilient </w:t>
      </w:r>
      <w:r w:rsidR="008C3E74" w:rsidRPr="005146AB">
        <w:rPr>
          <w:color w:val="0070AE" w:themeColor="accent2" w:themeTint="BF"/>
        </w:rPr>
        <w:t xml:space="preserve">and sustainable </w:t>
      </w:r>
      <w:r w:rsidR="00D22B8D" w:rsidRPr="005146AB">
        <w:rPr>
          <w:color w:val="0070AE" w:themeColor="accent2" w:themeTint="BF"/>
        </w:rPr>
        <w:t>E</w:t>
      </w:r>
      <w:r w:rsidR="00511D09">
        <w:rPr>
          <w:color w:val="0070AE" w:themeColor="accent2" w:themeTint="BF"/>
        </w:rPr>
        <w:t>missions Reduction Fund</w:t>
      </w:r>
      <w:bookmarkEnd w:id="3327"/>
      <w:bookmarkEnd w:id="3328"/>
      <w:bookmarkEnd w:id="3329"/>
      <w:bookmarkEnd w:id="3330"/>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r w:rsidR="000C0B1D" w:rsidRPr="005146AB">
        <w:rPr>
          <w:color w:val="0070AE" w:themeColor="accent2" w:themeTint="BF"/>
        </w:rPr>
        <w:t xml:space="preserve"> </w:t>
      </w:r>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73AF" w:themeFill="accent6"/>
        <w:tblLayout w:type="fixed"/>
        <w:tblLook w:val="04A0" w:firstRow="1" w:lastRow="0" w:firstColumn="1" w:lastColumn="0" w:noHBand="0" w:noVBand="1"/>
      </w:tblPr>
      <w:tblGrid>
        <w:gridCol w:w="9741"/>
      </w:tblGrid>
      <w:tr w:rsidR="00752AD8" w:rsidRPr="00B32198" w14:paraId="340A919F" w14:textId="77777777" w:rsidTr="00752AD8">
        <w:tc>
          <w:tcPr>
            <w:tcW w:w="9741" w:type="dxa"/>
            <w:shd w:val="clear" w:color="auto" w:fill="B0E9FF" w:themeFill="text2" w:themeFillTint="33"/>
          </w:tcPr>
          <w:p w14:paraId="00A90BF3" w14:textId="7B1DBDCA" w:rsidR="00752AD8" w:rsidRDefault="003426F6" w:rsidP="00996B9D">
            <w:pPr>
              <w:pStyle w:val="BodyText"/>
            </w:pPr>
            <w:r>
              <w:t>One of the four objectives of the CFI Act is achieving carbon abatement in a way that is</w:t>
            </w:r>
            <w:r w:rsidDel="00EF14D3">
              <w:t xml:space="preserve"> </w:t>
            </w:r>
            <w:r w:rsidRPr="00512978">
              <w:t>consistent with the protection of Australia‘s natural environment and improves resilience to the impacts of climate change</w:t>
            </w:r>
            <w:r>
              <w:t xml:space="preserve">. There is potential for the scheme to contribute to broader environmental objectives such as improving water quality, reducing salinity and erosion, </w:t>
            </w:r>
            <w:r w:rsidRPr="003426F6">
              <w:t>protecting and promoting biodiversity, regenerating landscapes and improving the productivity of agricultural soils</w:t>
            </w:r>
            <w:r>
              <w:t>.</w:t>
            </w:r>
          </w:p>
          <w:p w14:paraId="3784DFEB" w14:textId="7EB42CED" w:rsidR="00893F65" w:rsidRDefault="00893F65" w:rsidP="00996B9D">
            <w:pPr>
              <w:pStyle w:val="BodyText"/>
            </w:pPr>
          </w:p>
          <w:p w14:paraId="618321CA" w14:textId="6D4B42EB" w:rsidR="00893F65" w:rsidRDefault="00A62E97" w:rsidP="00996B9D">
            <w:pPr>
              <w:pStyle w:val="BodyText"/>
            </w:pPr>
            <w:r>
              <w:t>Tailored outreach programs would overcome information-related barriers and promote best practice, including in relation to incorporating climate resilient approaches and delivery of broader environmental benefits.</w:t>
            </w:r>
          </w:p>
          <w:p w14:paraId="60A09110" w14:textId="77777777" w:rsidR="00893F65" w:rsidRDefault="00893F65" w:rsidP="00996B9D">
            <w:pPr>
              <w:pStyle w:val="BodyText"/>
            </w:pPr>
          </w:p>
          <w:p w14:paraId="034024E9" w14:textId="273697AC" w:rsidR="00AE3FFE" w:rsidRDefault="00AE3FFE" w:rsidP="00996B9D">
            <w:pPr>
              <w:pStyle w:val="BodyText"/>
            </w:pPr>
            <w:r>
              <w:t>Increased m</w:t>
            </w:r>
            <w:r w:rsidR="00893F65" w:rsidRPr="00893F65">
              <w:t xml:space="preserve">onitoring and evaluation of the environmental and social impacts of land-based ERF projects </w:t>
            </w:r>
            <w:r w:rsidR="00893F65">
              <w:t xml:space="preserve">will enhance our understanding of </w:t>
            </w:r>
            <w:r>
              <w:t>the consequences of sequestration activities, both positive and negative</w:t>
            </w:r>
            <w:r w:rsidR="00893F65" w:rsidRPr="00893F65">
              <w:t>.</w:t>
            </w:r>
          </w:p>
          <w:p w14:paraId="0AD54D7E" w14:textId="703C2B70" w:rsidR="003426F6" w:rsidRPr="00910ECF" w:rsidRDefault="003426F6" w:rsidP="00996B9D">
            <w:pPr>
              <w:pStyle w:val="BodyText"/>
            </w:pPr>
          </w:p>
        </w:tc>
      </w:tr>
    </w:tbl>
    <w:p w14:paraId="12139D27" w14:textId="77777777" w:rsidR="00752AD8" w:rsidRDefault="00752AD8" w:rsidP="00512978"/>
    <w:p w14:paraId="70775705" w14:textId="561B2C77" w:rsidR="00CC2312" w:rsidRPr="005146AB" w:rsidRDefault="00CC2312" w:rsidP="00500E42">
      <w:pPr>
        <w:pStyle w:val="Heading2"/>
        <w:numPr>
          <w:ilvl w:val="1"/>
          <w:numId w:val="53"/>
        </w:numPr>
        <w:rPr>
          <w:color w:val="0070AE" w:themeColor="accent2" w:themeTint="BF"/>
        </w:rPr>
      </w:pPr>
      <w:bookmarkStart w:id="3416" w:name="_Toc50027780"/>
      <w:bookmarkStart w:id="3417" w:name="_Toc50029473"/>
      <w:bookmarkStart w:id="3418" w:name="_Toc50043901"/>
      <w:bookmarkStart w:id="3419" w:name="_Toc50057753"/>
      <w:bookmarkStart w:id="3420" w:name="_Toc50553631"/>
      <w:bookmarkStart w:id="3421" w:name="_Toc50555394"/>
      <w:bookmarkStart w:id="3422" w:name="_Toc50559854"/>
      <w:bookmarkStart w:id="3423" w:name="_Toc50559907"/>
      <w:bookmarkStart w:id="3424" w:name="_Toc50563841"/>
      <w:bookmarkStart w:id="3425" w:name="_Toc50711394"/>
      <w:bookmarkStart w:id="3426" w:name="_Toc50720976"/>
      <w:bookmarkStart w:id="3427" w:name="_Toc50730700"/>
      <w:bookmarkStart w:id="3428" w:name="_Toc50734926"/>
      <w:bookmarkStart w:id="3429" w:name="_Toc50735529"/>
      <w:bookmarkStart w:id="3430" w:name="_Toc50905548"/>
      <w:bookmarkStart w:id="3431" w:name="_Toc51587033"/>
      <w:bookmarkStart w:id="3432" w:name="_Toc51594893"/>
      <w:bookmarkStart w:id="3433" w:name="_Toc51599496"/>
      <w:bookmarkStart w:id="3434" w:name="_Toc51613532"/>
      <w:bookmarkStart w:id="3435" w:name="_Toc51669643"/>
      <w:bookmarkStart w:id="3436" w:name="_Toc51669738"/>
      <w:bookmarkStart w:id="3437" w:name="_Toc51672887"/>
      <w:bookmarkStart w:id="3438" w:name="_Toc51673937"/>
      <w:bookmarkStart w:id="3439" w:name="_Toc51680754"/>
      <w:bookmarkStart w:id="3440" w:name="_Toc51683283"/>
      <w:bookmarkStart w:id="3441" w:name="_Toc51686019"/>
      <w:bookmarkStart w:id="3442" w:name="_Toc51687757"/>
      <w:bookmarkStart w:id="3443" w:name="_Toc51687901"/>
      <w:bookmarkStart w:id="3444" w:name="_Toc51705779"/>
      <w:bookmarkStart w:id="3445" w:name="_Toc51770725"/>
      <w:bookmarkStart w:id="3446" w:name="_Toc51770911"/>
      <w:bookmarkStart w:id="3447" w:name="_Toc52359254"/>
      <w:bookmarkStart w:id="3448" w:name="_Toc52367287"/>
      <w:bookmarkStart w:id="3449" w:name="_Toc52371627"/>
      <w:bookmarkStart w:id="3450" w:name="_Toc52374775"/>
      <w:bookmarkStart w:id="3451" w:name="_Toc52377313"/>
      <w:bookmarkStart w:id="3452" w:name="_Toc52379235"/>
      <w:bookmarkStart w:id="3453" w:name="_Toc52379590"/>
      <w:bookmarkStart w:id="3454" w:name="_Toc52532800"/>
      <w:bookmarkStart w:id="3455" w:name="_Toc52535695"/>
      <w:bookmarkStart w:id="3456" w:name="_Toc52537513"/>
      <w:bookmarkStart w:id="3457" w:name="_Toc52544076"/>
      <w:bookmarkStart w:id="3458" w:name="_Toc52545680"/>
      <w:bookmarkStart w:id="3459" w:name="_Toc52547912"/>
      <w:bookmarkStart w:id="3460" w:name="_Toc52548601"/>
      <w:bookmarkStart w:id="3461" w:name="_Toc52890893"/>
      <w:bookmarkStart w:id="3462" w:name="_Toc52895096"/>
      <w:bookmarkStart w:id="3463" w:name="_Toc52896620"/>
      <w:bookmarkStart w:id="3464" w:name="_Toc52977797"/>
      <w:bookmarkStart w:id="3465" w:name="_Toc53129483"/>
      <w:r w:rsidRPr="005146AB">
        <w:rPr>
          <w:color w:val="0070AE" w:themeColor="accent2" w:themeTint="BF"/>
        </w:rPr>
        <w:t>Increasing the resilience of land</w:t>
      </w:r>
      <w:r w:rsidR="00266D31" w:rsidRPr="005146AB">
        <w:rPr>
          <w:color w:val="0070AE" w:themeColor="accent2" w:themeTint="BF"/>
        </w:rPr>
        <w:t>-</w:t>
      </w:r>
      <w:r w:rsidRPr="005146AB">
        <w:rPr>
          <w:color w:val="0070AE" w:themeColor="accent2" w:themeTint="BF"/>
        </w:rPr>
        <w:t>sector ERF abatement through management strategies</w:t>
      </w:r>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p>
    <w:p w14:paraId="0E705A77" w14:textId="3E748D80" w:rsidR="003426F6" w:rsidRDefault="003426F6" w:rsidP="00894EAD">
      <w:r>
        <w:t>ERF projects cover 18.7 million hectares including sizeable areas of some ecosystems and through their interaction with the land can provide more than just a carbon abatement service</w:t>
      </w:r>
      <w:r w:rsidR="00EE1F52">
        <w:t xml:space="preserve"> (</w:t>
      </w:r>
      <w:r w:rsidR="00996B9D" w:rsidRPr="00BE6F26">
        <w:t>CER 2020</w:t>
      </w:r>
      <w:r w:rsidR="00996B9D">
        <w:t>d</w:t>
      </w:r>
      <w:r w:rsidR="00EE1F52" w:rsidRPr="001D10CD">
        <w:t>)</w:t>
      </w:r>
      <w:r w:rsidR="009F6C79">
        <w:t>.</w:t>
      </w:r>
    </w:p>
    <w:p w14:paraId="1E773DA4" w14:textId="53096E98" w:rsidR="00894EAD" w:rsidRDefault="00894EAD" w:rsidP="00894EAD">
      <w:r w:rsidRPr="00205F8F">
        <w:t xml:space="preserve">Adapting </w:t>
      </w:r>
      <w:r>
        <w:t xml:space="preserve">land </w:t>
      </w:r>
      <w:r w:rsidRPr="00205F8F">
        <w:t>management practices has the potential</w:t>
      </w:r>
      <w:r w:rsidR="00CC2312">
        <w:t xml:space="preserve"> to increase</w:t>
      </w:r>
      <w:r w:rsidRPr="00205F8F">
        <w:t xml:space="preserve"> the </w:t>
      </w:r>
      <w:r w:rsidR="00CC2312">
        <w:t xml:space="preserve">resilience of </w:t>
      </w:r>
      <w:r w:rsidR="0039215E">
        <w:t xml:space="preserve">land-based </w:t>
      </w:r>
      <w:r>
        <w:t xml:space="preserve">ERF </w:t>
      </w:r>
      <w:r w:rsidR="00CC2312">
        <w:t>sequestration projects</w:t>
      </w:r>
      <w:r w:rsidRPr="00205F8F">
        <w:t>.</w:t>
      </w:r>
      <w:r>
        <w:t xml:space="preserve"> </w:t>
      </w:r>
      <w:r w:rsidR="0039215E">
        <w:t xml:space="preserve">One of the aims of the </w:t>
      </w:r>
      <w:r>
        <w:t>CSIRO report</w:t>
      </w:r>
      <w:r w:rsidR="00097C37">
        <w:t xml:space="preserve">, </w:t>
      </w:r>
      <w:r w:rsidR="00097C37" w:rsidRPr="00097C37">
        <w:rPr>
          <w:i/>
        </w:rPr>
        <w:t xml:space="preserve">Technical review of physical risks to carbon sequestration under the Emissions Reduction Fund </w:t>
      </w:r>
      <w:r w:rsidR="00097C37" w:rsidRPr="00097C37">
        <w:t>(</w:t>
      </w:r>
      <w:r w:rsidR="00097C37" w:rsidRPr="00BA125B">
        <w:t>CSIRO 2020</w:t>
      </w:r>
      <w:r w:rsidR="00097C37">
        <w:t xml:space="preserve">, available on Authority’s website) </w:t>
      </w:r>
      <w:r>
        <w:t>was to consider how different management strategies</w:t>
      </w:r>
      <w:r w:rsidR="00097C37">
        <w:t>,</w:t>
      </w:r>
      <w:r>
        <w:t xml:space="preserve"> consistent with ERF management activities</w:t>
      </w:r>
      <w:r w:rsidR="00097C37">
        <w:t>,</w:t>
      </w:r>
      <w:r>
        <w:t xml:space="preserve"> might mitigate climate risk to carbon stocks. The CSIRO confirmed that</w:t>
      </w:r>
      <w:r w:rsidR="0039215E">
        <w:t xml:space="preserve"> certain</w:t>
      </w:r>
      <w:r>
        <w:t xml:space="preserve"> land management practices ha</w:t>
      </w:r>
      <w:r w:rsidR="00097C37">
        <w:t>ve</w:t>
      </w:r>
      <w:r>
        <w:t xml:space="preserve"> the potential to m</w:t>
      </w:r>
      <w:r w:rsidR="0039215E">
        <w:t>itigate</w:t>
      </w:r>
      <w:r>
        <w:t xml:space="preserve"> the </w:t>
      </w:r>
      <w:r w:rsidR="00097C37">
        <w:t xml:space="preserve">impacts </w:t>
      </w:r>
      <w:r>
        <w:t xml:space="preserve">of climate change </w:t>
      </w:r>
      <w:r w:rsidR="00097C37">
        <w:t xml:space="preserve">on ERF projects but </w:t>
      </w:r>
      <w:r>
        <w:t xml:space="preserve">warn that the effectiveness of these strategies </w:t>
      </w:r>
      <w:r w:rsidR="0039215E">
        <w:t xml:space="preserve">diminish </w:t>
      </w:r>
      <w:r>
        <w:t>under more extreme climate change scenarios.</w:t>
      </w:r>
    </w:p>
    <w:p w14:paraId="34A79A64" w14:textId="0D9032BF" w:rsidR="00266D31" w:rsidRDefault="00266D31" w:rsidP="00266D31">
      <w:r>
        <w:t xml:space="preserve">The ERF can also help to build the resilience of the farm enterprise, by providing an additional and diversified income stream from the generation of ACCUs. There is evidence that this income is being reinvested in farms, including in land restoration, and that overall </w:t>
      </w:r>
      <w:r w:rsidRPr="00BB5DD8">
        <w:t>productivity</w:t>
      </w:r>
      <w:r>
        <w:t xml:space="preserve"> can be maintained or even increased </w:t>
      </w:r>
      <w:r w:rsidRPr="00BB5DD8">
        <w:t>acro</w:t>
      </w:r>
      <w:r w:rsidR="00E41CBA">
        <w:t>ss the whole farm enterprise (</w:t>
      </w:r>
      <w:r w:rsidRPr="005A2167">
        <w:t>Cowie et al. 2019</w:t>
      </w:r>
      <w:r w:rsidRPr="00BB5DD8">
        <w:t xml:space="preserve">; </w:t>
      </w:r>
      <w:r w:rsidRPr="00253323">
        <w:t>Baumber et al. 2020</w:t>
      </w:r>
      <w:r w:rsidR="00EE1F52">
        <w:t xml:space="preserve"> as ref by </w:t>
      </w:r>
      <w:r w:rsidR="00EE1F52" w:rsidRPr="00BA125B">
        <w:t>CSIRO 2020</w:t>
      </w:r>
      <w:r w:rsidRPr="00BB5DD8">
        <w:t xml:space="preserve">). </w:t>
      </w:r>
    </w:p>
    <w:p w14:paraId="5F847D8A" w14:textId="2F1ADE05" w:rsidR="00894EAD" w:rsidRPr="00205F8F" w:rsidRDefault="00894EAD" w:rsidP="00894EAD">
      <w:r>
        <w:t xml:space="preserve">Figure </w:t>
      </w:r>
      <w:r w:rsidR="0039215E" w:rsidRPr="00D7489F">
        <w:t>10.1</w:t>
      </w:r>
      <w:r>
        <w:t xml:space="preserve"> is taken from the CSIRO report and </w:t>
      </w:r>
      <w:r w:rsidRPr="00205F8F">
        <w:t xml:space="preserve">illustrates the relationship between increasingly extreme climate change </w:t>
      </w:r>
      <w:r w:rsidR="007B5045">
        <w:t>under different modelling scenarios</w:t>
      </w:r>
      <w:r w:rsidRPr="00205F8F">
        <w:t xml:space="preserve"> and the cost, complexity and risk associated with adapting to that change. The figure describes three levels of adaptation </w:t>
      </w:r>
      <w:r w:rsidR="0039215E">
        <w:t xml:space="preserve">that will be required </w:t>
      </w:r>
      <w:r w:rsidRPr="00205F8F">
        <w:t xml:space="preserve">related to the degree of climate change that </w:t>
      </w:r>
      <w:r w:rsidR="007B5045">
        <w:t>may occur</w:t>
      </w:r>
      <w:r w:rsidRPr="00205F8F">
        <w:t xml:space="preserve">. The more the climate changes, the more complex and potentially costly, risky and disruptive the management changes </w:t>
      </w:r>
      <w:r w:rsidR="0039215E">
        <w:t>will need to be (</w:t>
      </w:r>
      <w:r w:rsidRPr="00224C58">
        <w:t>Stafford Smith et al</w:t>
      </w:r>
      <w:r w:rsidR="0039215E" w:rsidRPr="00224C58">
        <w:t xml:space="preserve"> </w:t>
      </w:r>
      <w:r w:rsidRPr="00224C58">
        <w:t>2011</w:t>
      </w:r>
      <w:r w:rsidR="00EE1F52">
        <w:t xml:space="preserve"> as </w:t>
      </w:r>
      <w:r w:rsidR="00EE1F52" w:rsidRPr="00D7489F">
        <w:t>ref</w:t>
      </w:r>
      <w:r w:rsidR="00D7489F">
        <w:t>erenced</w:t>
      </w:r>
      <w:r w:rsidR="00EE1F52">
        <w:t xml:space="preserve"> by </w:t>
      </w:r>
      <w:r w:rsidR="00EE1F52" w:rsidRPr="00BA125B">
        <w:t>CSIRO 2020</w:t>
      </w:r>
      <w:r w:rsidRPr="00205F8F">
        <w:t xml:space="preserve">).   </w:t>
      </w:r>
    </w:p>
    <w:p w14:paraId="734E4675" w14:textId="77777777" w:rsidR="00C9450E" w:rsidRPr="00205F8F" w:rsidRDefault="00C9450E" w:rsidP="00894EAD"/>
    <w:p w14:paraId="2173A53F" w14:textId="49485166" w:rsidR="00894EAD" w:rsidRPr="005146AB" w:rsidRDefault="0039215E" w:rsidP="008465AB">
      <w:pPr>
        <w:pStyle w:val="Figure"/>
      </w:pPr>
      <w:bookmarkStart w:id="3466" w:name="_Toc53130468"/>
      <w:r w:rsidRPr="005146AB">
        <w:t xml:space="preserve">Figure 10.1. Relationship between climate change impacts, adaptation responses and potential adaptation </w:t>
      </w:r>
      <w:r w:rsidR="0031681A">
        <w:t>benefits</w:t>
      </w:r>
      <w:bookmarkEnd w:id="3466"/>
    </w:p>
    <w:p w14:paraId="4393AE4F" w14:textId="2BE49736" w:rsidR="007056B0" w:rsidRDefault="004A5FDB" w:rsidP="00B370A6">
      <w:pPr>
        <w:keepNext/>
      </w:pPr>
      <w:r w:rsidRPr="004A5FDB">
        <w:rPr>
          <w:rFonts w:ascii="Times New Roman" w:eastAsia="Times New Roman" w:hAnsi="Times New Roman" w:cs="Times New Roman"/>
          <w:noProof/>
          <w:sz w:val="24"/>
          <w:szCs w:val="24"/>
          <w:lang w:eastAsia="en-AU"/>
        </w:rPr>
        <w:drawing>
          <wp:inline distT="0" distB="0" distL="0" distR="0" wp14:anchorId="41983BAC" wp14:editId="52610ABC">
            <wp:extent cx="4355346" cy="2971800"/>
            <wp:effectExtent l="0" t="0" r="7620" b="0"/>
            <wp:docPr id="52" name="Picture 6" descr="Figure 10.1 is a chart that schematically illustrates the relationship between climate change impacts, adaptation responses and potential adaptation benefits. The vertical axis is a measure of complexity, risk and cost. The horizontal axis is a measure of the amount of climate change. Zone 1 responses that involve incremental change using current practices are appropriate for low complexity/risk/cost and low climate change. Zone 2 responses that involve the shift to new species or genotypes and new management practices are appropriate for medium complexity/risk/cost and medium climate change.  Zone 3 responses that involve land-use change and new products are appropriate for high complexity/risk/cost and greater climate change." title="Figure 10.1. Relationship between climate change impacts, adaptation responses and potential adaptation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4">
                      <a:extLst>
                        <a:ext uri="{28A0092B-C50C-407E-A947-70E740481C1C}">
                          <a14:useLocalDpi xmlns:a14="http://schemas.microsoft.com/office/drawing/2010/main" val="0"/>
                        </a:ext>
                      </a:extLst>
                    </a:blip>
                    <a:stretch>
                      <a:fillRect/>
                    </a:stretch>
                  </pic:blipFill>
                  <pic:spPr>
                    <a:xfrm>
                      <a:off x="0" y="0"/>
                      <a:ext cx="4367708" cy="2980235"/>
                    </a:xfrm>
                    <a:prstGeom prst="rect">
                      <a:avLst/>
                    </a:prstGeom>
                  </pic:spPr>
                </pic:pic>
              </a:graphicData>
            </a:graphic>
          </wp:inline>
        </w:drawing>
      </w:r>
    </w:p>
    <w:p w14:paraId="79170A2A" w14:textId="0D3F369C" w:rsidR="00E47D8D" w:rsidRPr="00E47D8D" w:rsidRDefault="00E47D8D" w:rsidP="00996B9D">
      <w:pPr>
        <w:pStyle w:val="BodyText"/>
        <w:rPr>
          <w:sz w:val="17"/>
          <w:szCs w:val="17"/>
        </w:rPr>
      </w:pPr>
      <w:r w:rsidRPr="00E47D8D">
        <w:rPr>
          <w:b/>
          <w:sz w:val="17"/>
          <w:szCs w:val="17"/>
        </w:rPr>
        <w:t>Source:</w:t>
      </w:r>
      <w:r w:rsidRPr="00E47D8D">
        <w:rPr>
          <w:sz w:val="17"/>
          <w:szCs w:val="17"/>
        </w:rPr>
        <w:t xml:space="preserve"> Howden et al. 2010 referenced by the CSIRO 2020. </w:t>
      </w:r>
    </w:p>
    <w:p w14:paraId="362C28EC" w14:textId="77777777" w:rsidR="00E47D8D" w:rsidRDefault="00E47D8D" w:rsidP="00996B9D">
      <w:pPr>
        <w:pStyle w:val="BodyText"/>
      </w:pPr>
    </w:p>
    <w:p w14:paraId="04872ECF" w14:textId="2EDF8FFD" w:rsidR="004A5FDB" w:rsidRDefault="004A5FDB" w:rsidP="00996B9D">
      <w:pPr>
        <w:pStyle w:val="BodyText"/>
      </w:pPr>
      <w:r>
        <w:t xml:space="preserve">Incremental changes in management </w:t>
      </w:r>
      <w:r w:rsidR="0039215E">
        <w:t>(</w:t>
      </w:r>
      <w:r w:rsidR="00E847C0">
        <w:t>Z</w:t>
      </w:r>
      <w:r w:rsidR="0039215E">
        <w:t>one 1)</w:t>
      </w:r>
      <w:r>
        <w:t xml:space="preserve"> will generally be adequate to manage</w:t>
      </w:r>
      <w:r w:rsidDel="00EE1F52">
        <w:t xml:space="preserve"> </w:t>
      </w:r>
      <w:r w:rsidR="00EE1F52">
        <w:t>smaller climate impacts</w:t>
      </w:r>
      <w:r>
        <w:t>, with little change</w:t>
      </w:r>
      <w:r w:rsidR="0039215E">
        <w:t>s to</w:t>
      </w:r>
      <w:r>
        <w:t xml:space="preserve"> current practices</w:t>
      </w:r>
      <w:r w:rsidR="0039215E">
        <w:t>, for</w:t>
      </w:r>
      <w:r>
        <w:t xml:space="preserve"> example changing plant </w:t>
      </w:r>
      <w:r w:rsidR="0039215E">
        <w:t>spacing’s</w:t>
      </w:r>
      <w:r>
        <w:t xml:space="preserve"> in environmental or commercial plantings </w:t>
      </w:r>
      <w:r w:rsidR="00DA587C">
        <w:t xml:space="preserve">will reduce the impacts of water stress by reducing </w:t>
      </w:r>
      <w:r w:rsidR="00500D9D">
        <w:t>competition between plantings</w:t>
      </w:r>
      <w:r w:rsidR="00DA587C">
        <w:t xml:space="preserve"> </w:t>
      </w:r>
      <w:r w:rsidR="0039215E">
        <w:t>(</w:t>
      </w:r>
      <w:r w:rsidRPr="00D93A55">
        <w:t>Mendham et al. 2007</w:t>
      </w:r>
      <w:r w:rsidR="00EE1F52">
        <w:t xml:space="preserve"> as ref</w:t>
      </w:r>
      <w:r w:rsidR="00D7489F">
        <w:t>erenced</w:t>
      </w:r>
      <w:r w:rsidR="00EE1F52">
        <w:t xml:space="preserve"> by </w:t>
      </w:r>
      <w:r w:rsidR="00EE1F52" w:rsidRPr="00BA125B">
        <w:t>CSIRO 2020</w:t>
      </w:r>
      <w:r>
        <w:t xml:space="preserve">).  </w:t>
      </w:r>
      <w:r w:rsidR="007B5045">
        <w:t>If</w:t>
      </w:r>
      <w:r>
        <w:t xml:space="preserve"> climate change becomes more extreme, these types of management </w:t>
      </w:r>
      <w:r w:rsidR="0039215E">
        <w:t xml:space="preserve">changes </w:t>
      </w:r>
      <w:r>
        <w:t xml:space="preserve">will become ineffective, and a new level of response will be required (Zone 2). </w:t>
      </w:r>
      <w:r w:rsidR="00500D9D">
        <w:t>For example initial spacing of plantings will no longer be adequate where water stress increases beyond a point. From this point further adaptation shifts will be required, such as c</w:t>
      </w:r>
      <w:r>
        <w:t>hanging species or genotypes</w:t>
      </w:r>
      <w:r w:rsidR="00500D9D">
        <w:t xml:space="preserve"> that would be more tolerant to water stress</w:t>
      </w:r>
      <w:r>
        <w:t>.</w:t>
      </w:r>
      <w:r w:rsidR="0039215E">
        <w:t xml:space="preserve"> Zone 2 management changes</w:t>
      </w:r>
      <w:r>
        <w:t xml:space="preserve"> will become ineffective </w:t>
      </w:r>
      <w:r w:rsidR="007B5045">
        <w:t>if</w:t>
      </w:r>
      <w:r>
        <w:t xml:space="preserve"> climate change becomes more extreme, requiring transformational management change</w:t>
      </w:r>
      <w:r w:rsidR="0039215E">
        <w:t xml:space="preserve">s </w:t>
      </w:r>
      <w:r>
        <w:t xml:space="preserve">(Zone 3), for example a change in land use away from ERF activities. </w:t>
      </w:r>
    </w:p>
    <w:p w14:paraId="16B52CB9" w14:textId="77777777" w:rsidR="007056B0" w:rsidRDefault="007056B0" w:rsidP="00996B9D">
      <w:pPr>
        <w:pStyle w:val="BodyText"/>
      </w:pPr>
    </w:p>
    <w:p w14:paraId="22A32F11" w14:textId="16E5DC9F" w:rsidR="007056B0" w:rsidRDefault="0039215E" w:rsidP="00996B9D">
      <w:pPr>
        <w:pStyle w:val="BodyText"/>
      </w:pPr>
      <w:r>
        <w:t xml:space="preserve">Under the </w:t>
      </w:r>
      <w:r w:rsidR="00894EAD" w:rsidRPr="00E90375">
        <w:t xml:space="preserve">climate change scenarios </w:t>
      </w:r>
      <w:r w:rsidR="00965582">
        <w:t>analysed</w:t>
      </w:r>
      <w:r>
        <w:t xml:space="preserve"> by the CSIRO</w:t>
      </w:r>
      <w:r w:rsidR="00894EAD" w:rsidRPr="00E90375">
        <w:t xml:space="preserve">, </w:t>
      </w:r>
      <w:r w:rsidR="00EE1F52">
        <w:t xml:space="preserve">the authors stated that </w:t>
      </w:r>
      <w:r w:rsidR="00894EAD" w:rsidRPr="00E90375">
        <w:t xml:space="preserve">Zone 1 and 2 strategies </w:t>
      </w:r>
      <w:r w:rsidR="007B5045">
        <w:t>should</w:t>
      </w:r>
      <w:r w:rsidR="00894EAD" w:rsidRPr="00E90375">
        <w:t xml:space="preserve"> be sufficient </w:t>
      </w:r>
      <w:r w:rsidR="00965582">
        <w:t>(</w:t>
      </w:r>
      <w:r w:rsidR="00894EAD" w:rsidRPr="00E90375">
        <w:t>in most cases</w:t>
      </w:r>
      <w:r w:rsidR="00965582">
        <w:t>)</w:t>
      </w:r>
      <w:r w:rsidR="00894EAD" w:rsidRPr="00E90375">
        <w:t xml:space="preserve"> for </w:t>
      </w:r>
      <w:r w:rsidR="00965582">
        <w:t xml:space="preserve">climate </w:t>
      </w:r>
      <w:r w:rsidR="00894EAD" w:rsidRPr="00E90375">
        <w:t>adaptation</w:t>
      </w:r>
      <w:r>
        <w:t xml:space="preserve"> </w:t>
      </w:r>
      <w:r w:rsidR="00EE1F52">
        <w:t xml:space="preserve">in ERF projects </w:t>
      </w:r>
      <w:r w:rsidR="007B5045">
        <w:t xml:space="preserve">to 2050 based </w:t>
      </w:r>
      <w:r w:rsidR="007B5045" w:rsidRPr="007B5045">
        <w:t xml:space="preserve">on </w:t>
      </w:r>
      <w:r w:rsidR="007056B0" w:rsidRPr="007056B0">
        <w:t>an intermediate emissions and land use scenario under the Representative Concentration Pathway (</w:t>
      </w:r>
      <w:r w:rsidR="007B5045" w:rsidRPr="007B5045">
        <w:t>RCP</w:t>
      </w:r>
      <w:r w:rsidR="007056B0" w:rsidRPr="007056B0">
        <w:t>)</w:t>
      </w:r>
      <w:r w:rsidR="007056B0" w:rsidRPr="007056B0">
        <w:rPr>
          <w:vertAlign w:val="superscript"/>
        </w:rPr>
        <w:footnoteReference w:id="15"/>
      </w:r>
      <w:r w:rsidR="007B5045" w:rsidRPr="007B5045">
        <w:t xml:space="preserve"> 4.5</w:t>
      </w:r>
      <w:r w:rsidR="00B74B25">
        <w:t>.</w:t>
      </w:r>
      <w:r w:rsidR="007056B0" w:rsidRPr="007056B0">
        <w:rPr>
          <w:vertAlign w:val="superscript"/>
        </w:rPr>
        <w:footnoteReference w:id="16"/>
      </w:r>
      <w:r w:rsidR="007056B0" w:rsidRPr="007056B0">
        <w:t xml:space="preserve"> The more extreme climate scenarios, for example RCP 8.5</w:t>
      </w:r>
      <w:r w:rsidR="007056B0" w:rsidRPr="007056B0">
        <w:rPr>
          <w:vertAlign w:val="superscript"/>
        </w:rPr>
        <w:footnoteReference w:id="17"/>
      </w:r>
      <w:r w:rsidR="007056B0" w:rsidRPr="007056B0">
        <w:t xml:space="preserve"> are more likely to increasingly require transformational (Zone 3) changes in land use as the century progresses. This will include land under ERF projects and will increase the likelihood of projects failing, and carbon stores being reversed. </w:t>
      </w:r>
    </w:p>
    <w:p w14:paraId="243C4CDD" w14:textId="77777777" w:rsidR="00E856B7" w:rsidRDefault="00E856B7" w:rsidP="00996B9D">
      <w:pPr>
        <w:pStyle w:val="BodyText"/>
      </w:pPr>
    </w:p>
    <w:p w14:paraId="1C00FAB5" w14:textId="2E8227DE" w:rsidR="00E847C0" w:rsidRDefault="00894EAD" w:rsidP="00996B9D">
      <w:pPr>
        <w:pStyle w:val="BodyText"/>
      </w:pPr>
      <w:r>
        <w:t xml:space="preserve">The CSIRO </w:t>
      </w:r>
      <w:r w:rsidR="00EE1F52">
        <w:t>state</w:t>
      </w:r>
      <w:r>
        <w:t xml:space="preserve"> that d</w:t>
      </w:r>
      <w:r w:rsidRPr="00E90375">
        <w:t xml:space="preserve">etailed modelling and scenario analysis </w:t>
      </w:r>
      <w:r w:rsidR="0039215E">
        <w:t>is</w:t>
      </w:r>
      <w:r>
        <w:t xml:space="preserve"> needed </w:t>
      </w:r>
      <w:r w:rsidRPr="00E90375">
        <w:t xml:space="preserve">to identify where, and under what climatic conditions various adaptation strategies may be effective. This approach has been demonstrated </w:t>
      </w:r>
      <w:r w:rsidR="0039215E">
        <w:t>in</w:t>
      </w:r>
      <w:r w:rsidRPr="00E90375">
        <w:t xml:space="preserve"> the plantation forestry sector, where models were used to identify the conditions under which thinning activities would reduce risk of drought mortality under future climate change scenarios </w:t>
      </w:r>
      <w:r w:rsidRPr="00BF247E">
        <w:t>(Battaglia and Bruce 2017</w:t>
      </w:r>
      <w:r w:rsidR="00EE1F52">
        <w:t xml:space="preserve"> as ref</w:t>
      </w:r>
      <w:r w:rsidR="00D7489F">
        <w:t>erenced</w:t>
      </w:r>
      <w:r w:rsidR="00EE1F52">
        <w:t xml:space="preserve"> by </w:t>
      </w:r>
      <w:r w:rsidR="00EE1F52" w:rsidRPr="00BA125B">
        <w:t>CSIRO 2020</w:t>
      </w:r>
      <w:r w:rsidRPr="00E90375">
        <w:t xml:space="preserve">). </w:t>
      </w:r>
      <w:r w:rsidR="00965582">
        <w:t xml:space="preserve">Examples of potential </w:t>
      </w:r>
      <w:r w:rsidR="00E847C0">
        <w:t xml:space="preserve">climate adaptation management plans </w:t>
      </w:r>
      <w:r w:rsidR="00965582">
        <w:t xml:space="preserve">for ERF activities that involve establishing new plantings </w:t>
      </w:r>
      <w:r w:rsidR="00E847C0">
        <w:t xml:space="preserve">is described in </w:t>
      </w:r>
      <w:r w:rsidR="005B4DA7">
        <w:t>B</w:t>
      </w:r>
      <w:r w:rsidR="00E847C0">
        <w:t xml:space="preserve">ox </w:t>
      </w:r>
      <w:r w:rsidR="00E847C0" w:rsidRPr="00D7489F">
        <w:t>10.1.</w:t>
      </w:r>
    </w:p>
    <w:p w14:paraId="3DA5EEBE" w14:textId="7B741589" w:rsidR="00954A1C" w:rsidRDefault="00894EAD" w:rsidP="00996B9D">
      <w:pPr>
        <w:pStyle w:val="BodyText"/>
      </w:pPr>
      <w:r>
        <w:t>The CSIRO report highlights the need for Government to work with landholders and the carbon farming industry to not only identify land management strategies for managing risk to carbon and their farm productivity but also</w:t>
      </w:r>
      <w:r w:rsidR="00EE1F52">
        <w:t xml:space="preserve"> to </w:t>
      </w:r>
      <w:r>
        <w:t xml:space="preserve">identify the limits </w:t>
      </w:r>
      <w:r w:rsidR="00EE1F52">
        <w:t xml:space="preserve">of these management strategies. </w:t>
      </w:r>
    </w:p>
    <w:p w14:paraId="1EC102BB" w14:textId="77777777" w:rsidR="00954A1C" w:rsidRDefault="00954A1C" w:rsidP="00996B9D">
      <w:pPr>
        <w:pStyle w:val="BodyText"/>
      </w:pPr>
    </w:p>
    <w:tbl>
      <w:tblPr>
        <w:tblStyle w:val="TableGrid"/>
        <w:tblW w:w="0" w:type="auto"/>
        <w:tblLook w:val="04A0" w:firstRow="1" w:lastRow="0" w:firstColumn="1" w:lastColumn="0" w:noHBand="0" w:noVBand="1"/>
      </w:tblPr>
      <w:tblGrid>
        <w:gridCol w:w="9016"/>
      </w:tblGrid>
      <w:tr w:rsidR="00E847C0" w14:paraId="33EF184F" w14:textId="77777777" w:rsidTr="00E847C0">
        <w:tc>
          <w:tcPr>
            <w:tcW w:w="9016" w:type="dxa"/>
          </w:tcPr>
          <w:p w14:paraId="516CA3E6" w14:textId="3AA84D34" w:rsidR="00E847C0" w:rsidRPr="005146AB" w:rsidRDefault="00E847C0" w:rsidP="008465AB">
            <w:pPr>
              <w:pStyle w:val="Box"/>
              <w:pBdr>
                <w:top w:val="none" w:sz="0" w:space="0" w:color="auto"/>
                <w:left w:val="none" w:sz="0" w:space="0" w:color="auto"/>
                <w:bottom w:val="none" w:sz="0" w:space="0" w:color="auto"/>
                <w:right w:val="none" w:sz="0" w:space="0" w:color="auto"/>
              </w:pBdr>
              <w:rPr>
                <w:b w:val="0"/>
              </w:rPr>
            </w:pPr>
            <w:bookmarkStart w:id="3467" w:name="_Toc53129529"/>
            <w:r w:rsidRPr="005146AB">
              <w:t>Box 10.1 Climate risk mitigation strategies for the plantings of new forest activities</w:t>
            </w:r>
            <w:bookmarkEnd w:id="3467"/>
          </w:p>
          <w:p w14:paraId="7D2EA42B" w14:textId="77777777" w:rsidR="00E847C0" w:rsidRDefault="00E847C0" w:rsidP="00E847C0"/>
          <w:p w14:paraId="4FD88CF7" w14:textId="1B9C314B" w:rsidR="00E847C0" w:rsidRDefault="00E847C0" w:rsidP="00E847C0">
            <w:r>
              <w:t>ERF m</w:t>
            </w:r>
            <w:r w:rsidR="00101036">
              <w:t>ethods in the plantings of new forest activities</w:t>
            </w:r>
            <w:r w:rsidRPr="00F55C8E">
              <w:t xml:space="preserve"> involve establishment of new plantings, with a range of planting width, tree density and configurations, and conversion of short-rotation plantation forests to long-rotation.  Of all the methodologies, this category has the most options for adaptation. Adaptation strategies falling into Zone 1 – 3 categories are relevant. </w:t>
            </w:r>
          </w:p>
          <w:p w14:paraId="133541EC" w14:textId="77777777" w:rsidR="00E847C0" w:rsidRDefault="00E847C0" w:rsidP="00E847C0"/>
          <w:p w14:paraId="41A4B479" w14:textId="7E1B68B3" w:rsidR="00E847C0" w:rsidRDefault="00E847C0" w:rsidP="00E847C0">
            <w:r>
              <w:t>Examples of Zone 1 strategies include fire management and fire planning including fire breaks and fuel management (</w:t>
            </w:r>
            <w:r w:rsidRPr="006A46AE">
              <w:t>Lacy 2008</w:t>
            </w:r>
            <w:r w:rsidR="00EE1F52">
              <w:t xml:space="preserve"> as ref</w:t>
            </w:r>
            <w:r w:rsidR="00D7489F">
              <w:t>erenced</w:t>
            </w:r>
            <w:r w:rsidR="00EE1F52">
              <w:t xml:space="preserve"> by </w:t>
            </w:r>
            <w:r w:rsidR="00EE1F52" w:rsidRPr="00BA125B">
              <w:t>CSIRO 2020</w:t>
            </w:r>
            <w:r>
              <w:t>). This activity could be carried out at establishment and during the project. It would increase resilience through reducing the sensitivity of the project to fire.</w:t>
            </w:r>
          </w:p>
          <w:p w14:paraId="5834A018" w14:textId="77777777" w:rsidR="00E847C0" w:rsidRDefault="00E847C0" w:rsidP="00E847C0"/>
          <w:p w14:paraId="66AC7081" w14:textId="3A46ABF4" w:rsidR="00E847C0" w:rsidRDefault="00E847C0" w:rsidP="00E847C0">
            <w:r>
              <w:t>Examples of Zone 2 strategies include planting design to manage water availability e.g. linear versus block plantings (</w:t>
            </w:r>
            <w:r w:rsidRPr="00EE6C4B">
              <w:t>Henskens et al.</w:t>
            </w:r>
            <w:r>
              <w:t xml:space="preserve"> 2001</w:t>
            </w:r>
            <w:r w:rsidR="00EE1F52">
              <w:t xml:space="preserve"> as ref</w:t>
            </w:r>
            <w:r w:rsidR="00D7489F">
              <w:t>erenced</w:t>
            </w:r>
            <w:r w:rsidR="00EE1F52">
              <w:t xml:space="preserve"> by </w:t>
            </w:r>
            <w:r w:rsidR="00EE1F52" w:rsidRPr="00BA125B">
              <w:t>CSIRO 2020</w:t>
            </w:r>
            <w:r>
              <w:t xml:space="preserve">) or selecting species and genotypes with physiological and morphological attributes that make them less sensitive to climatic conditions in specific locations, for example frost, heatwaves and drought). </w:t>
            </w:r>
          </w:p>
          <w:p w14:paraId="144D3245" w14:textId="77777777" w:rsidR="00E847C0" w:rsidRDefault="00E847C0" w:rsidP="00E847C0"/>
          <w:p w14:paraId="0064E9F2" w14:textId="2BAB20CE" w:rsidR="00E847C0" w:rsidRDefault="00E847C0" w:rsidP="00E847C0">
            <w:r>
              <w:t>Examples of Zone 3 strategies include land use change from forestry following the end of a rotation</w:t>
            </w:r>
            <w:r w:rsidR="00EE1F52">
              <w:t xml:space="preserve"> (</w:t>
            </w:r>
            <w:r w:rsidR="00EE1F52" w:rsidRPr="00BA125B">
              <w:t>CSIRO 2020</w:t>
            </w:r>
            <w:r w:rsidR="00EE1F52">
              <w:t>)</w:t>
            </w:r>
            <w:r>
              <w:t xml:space="preserve">. This would be a risk to the ERF as the carbon will no longer be stored in the site and would be the kind of outcome that would need to be mitigated by the permanence discount. </w:t>
            </w:r>
          </w:p>
          <w:p w14:paraId="38185A7C" w14:textId="77777777" w:rsidR="00E847C0" w:rsidRPr="00F55C8E" w:rsidRDefault="00E847C0" w:rsidP="00E847C0"/>
          <w:p w14:paraId="025C8F38" w14:textId="186A53CD" w:rsidR="00E847C0" w:rsidRDefault="00E847C0" w:rsidP="00C9450E">
            <w:r w:rsidRPr="00F55C8E">
              <w:t>A common climate adaptation strategy for commercial forests is to reduce the length of the growth cycle, so that alternative germplasm more adapted to emerging climatic conditio</w:t>
            </w:r>
            <w:r>
              <w:t xml:space="preserve">ns can be planted </w:t>
            </w:r>
            <w:r w:rsidRPr="00B85E2B">
              <w:t>(Joyce et al. 2009</w:t>
            </w:r>
            <w:r w:rsidR="00EE1F52">
              <w:t xml:space="preserve"> as ref</w:t>
            </w:r>
            <w:r w:rsidR="00D7489F">
              <w:t>erenced</w:t>
            </w:r>
            <w:r w:rsidR="00EE1F52">
              <w:t xml:space="preserve"> by </w:t>
            </w:r>
            <w:r w:rsidR="00EE1F52" w:rsidRPr="00BA125B">
              <w:t>CSIRO 2020</w:t>
            </w:r>
            <w:r>
              <w:t xml:space="preserve">). </w:t>
            </w:r>
            <w:r w:rsidRPr="00F55C8E">
              <w:t>Thi</w:t>
            </w:r>
            <w:r>
              <w:t>s may be incompatible with the ERF p</w:t>
            </w:r>
            <w:r w:rsidRPr="00F55C8E">
              <w:t xml:space="preserve">lantation methodology that allows conversion from short to long rotation management, without other adaptation strategies such as modified spacing or some form of thinning. It is </w:t>
            </w:r>
            <w:r>
              <w:t xml:space="preserve">also currently </w:t>
            </w:r>
            <w:r w:rsidRPr="00F55C8E">
              <w:t>incompatible with the environmental plantings methodology d</w:t>
            </w:r>
            <w:r>
              <w:t>ue to permanency requirements</w:t>
            </w:r>
            <w:r w:rsidR="007056B0">
              <w:t xml:space="preserve"> (</w:t>
            </w:r>
            <w:r w:rsidR="007056B0" w:rsidRPr="00BA125B">
              <w:t>CSIRO 2020</w:t>
            </w:r>
            <w:r w:rsidR="007056B0">
              <w:t>)</w:t>
            </w:r>
            <w:r>
              <w:t xml:space="preserve">. </w:t>
            </w:r>
          </w:p>
        </w:tc>
      </w:tr>
    </w:tbl>
    <w:p w14:paraId="0EBC8A54" w14:textId="1047249A" w:rsidR="00FE2715" w:rsidRDefault="00FE2715" w:rsidP="00996B9D">
      <w:pPr>
        <w:pStyle w:val="BodyText"/>
      </w:pPr>
    </w:p>
    <w:p w14:paraId="14F4F09D" w14:textId="0FF78575" w:rsidR="00E847C0" w:rsidRPr="005146AB" w:rsidRDefault="008B622F" w:rsidP="00500E42">
      <w:pPr>
        <w:pStyle w:val="Heading2"/>
        <w:numPr>
          <w:ilvl w:val="1"/>
          <w:numId w:val="53"/>
        </w:numPr>
        <w:rPr>
          <w:color w:val="0070AE" w:themeColor="accent2" w:themeTint="BF"/>
        </w:rPr>
      </w:pPr>
      <w:bookmarkStart w:id="3468" w:name="_Toc50027781"/>
      <w:bookmarkStart w:id="3469" w:name="_Toc50029474"/>
      <w:bookmarkStart w:id="3470" w:name="_Toc50043902"/>
      <w:bookmarkStart w:id="3471" w:name="_Toc50057754"/>
      <w:bookmarkStart w:id="3472" w:name="_Toc50553632"/>
      <w:bookmarkStart w:id="3473" w:name="_Toc50555395"/>
      <w:bookmarkStart w:id="3474" w:name="_Toc50559855"/>
      <w:bookmarkStart w:id="3475" w:name="_Toc50559908"/>
      <w:bookmarkStart w:id="3476" w:name="_Toc50563842"/>
      <w:bookmarkStart w:id="3477" w:name="_Toc50711395"/>
      <w:bookmarkStart w:id="3478" w:name="_Toc50720977"/>
      <w:bookmarkStart w:id="3479" w:name="_Toc50730701"/>
      <w:bookmarkStart w:id="3480" w:name="_Toc50734927"/>
      <w:bookmarkStart w:id="3481" w:name="_Toc50735530"/>
      <w:bookmarkStart w:id="3482" w:name="_Toc50905549"/>
      <w:bookmarkStart w:id="3483" w:name="_Toc51587034"/>
      <w:bookmarkStart w:id="3484" w:name="_Toc51594894"/>
      <w:bookmarkStart w:id="3485" w:name="_Toc51599497"/>
      <w:bookmarkStart w:id="3486" w:name="_Toc51613533"/>
      <w:bookmarkStart w:id="3487" w:name="_Toc51669644"/>
      <w:bookmarkStart w:id="3488" w:name="_Toc51669739"/>
      <w:bookmarkStart w:id="3489" w:name="_Toc51672888"/>
      <w:bookmarkStart w:id="3490" w:name="_Toc51673938"/>
      <w:bookmarkStart w:id="3491" w:name="_Toc51680755"/>
      <w:bookmarkStart w:id="3492" w:name="_Toc51683284"/>
      <w:bookmarkStart w:id="3493" w:name="_Toc51686020"/>
      <w:bookmarkStart w:id="3494" w:name="_Toc51687758"/>
      <w:bookmarkStart w:id="3495" w:name="_Toc51687902"/>
      <w:bookmarkStart w:id="3496" w:name="_Toc51705780"/>
      <w:bookmarkStart w:id="3497" w:name="_Toc51770726"/>
      <w:bookmarkStart w:id="3498" w:name="_Toc51770912"/>
      <w:bookmarkStart w:id="3499" w:name="_Toc52359255"/>
      <w:bookmarkStart w:id="3500" w:name="_Toc52367288"/>
      <w:bookmarkStart w:id="3501" w:name="_Toc52371628"/>
      <w:bookmarkStart w:id="3502" w:name="_Toc52374776"/>
      <w:bookmarkStart w:id="3503" w:name="_Toc52377314"/>
      <w:bookmarkStart w:id="3504" w:name="_Toc52379236"/>
      <w:bookmarkStart w:id="3505" w:name="_Toc52379591"/>
      <w:bookmarkStart w:id="3506" w:name="_Toc52532801"/>
      <w:bookmarkStart w:id="3507" w:name="_Toc52535696"/>
      <w:bookmarkStart w:id="3508" w:name="_Toc52537514"/>
      <w:bookmarkStart w:id="3509" w:name="_Toc52544077"/>
      <w:bookmarkStart w:id="3510" w:name="_Toc52545681"/>
      <w:bookmarkStart w:id="3511" w:name="_Toc52547913"/>
      <w:bookmarkStart w:id="3512" w:name="_Toc52548602"/>
      <w:bookmarkStart w:id="3513" w:name="_Toc52890894"/>
      <w:bookmarkStart w:id="3514" w:name="_Toc52895097"/>
      <w:bookmarkStart w:id="3515" w:name="_Toc52896621"/>
      <w:bookmarkStart w:id="3516" w:name="_Toc52977798"/>
      <w:bookmarkStart w:id="3517" w:name="_Toc53129484"/>
      <w:r w:rsidRPr="005146AB">
        <w:rPr>
          <w:color w:val="0070AE" w:themeColor="accent2" w:themeTint="BF"/>
        </w:rPr>
        <w:t>Supporting</w:t>
      </w:r>
      <w:r w:rsidR="001E7836" w:rsidRPr="005146AB">
        <w:rPr>
          <w:color w:val="0070AE" w:themeColor="accent2" w:themeTint="BF"/>
        </w:rPr>
        <w:t xml:space="preserve"> best practice projects</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14:paraId="7EFF9E7D" w14:textId="47358F2E" w:rsidR="00F649AE" w:rsidRPr="005146AB" w:rsidRDefault="001E7836" w:rsidP="00F649AE">
      <w:pPr>
        <w:pStyle w:val="Heading3"/>
        <w:rPr>
          <w:i/>
          <w:color w:val="0070AE" w:themeColor="accent2" w:themeTint="BF"/>
        </w:rPr>
      </w:pPr>
      <w:r w:rsidRPr="005146AB">
        <w:rPr>
          <w:i/>
          <w:color w:val="0070AE" w:themeColor="accent2" w:themeTint="BF"/>
        </w:rPr>
        <w:t>I</w:t>
      </w:r>
      <w:r w:rsidR="008B622F" w:rsidRPr="005146AB">
        <w:rPr>
          <w:i/>
          <w:color w:val="0070AE" w:themeColor="accent2" w:themeTint="BF"/>
        </w:rPr>
        <w:t xml:space="preserve">ncreased </w:t>
      </w:r>
      <w:r w:rsidRPr="005146AB">
        <w:rPr>
          <w:i/>
          <w:color w:val="0070AE" w:themeColor="accent2" w:themeTint="BF"/>
        </w:rPr>
        <w:t>outreach</w:t>
      </w:r>
      <w:r w:rsidR="005D050B" w:rsidRPr="005146AB">
        <w:rPr>
          <w:i/>
          <w:color w:val="0070AE" w:themeColor="accent2" w:themeTint="BF"/>
        </w:rPr>
        <w:t xml:space="preserve"> and better guidance</w:t>
      </w:r>
    </w:p>
    <w:p w14:paraId="18B5E4B4" w14:textId="6FF784E1" w:rsidR="00947727" w:rsidRDefault="002031E3" w:rsidP="00947727">
      <w:pPr>
        <w:spacing w:line="259" w:lineRule="auto"/>
      </w:pPr>
      <w:r>
        <w:t>The Authority has previously recommended reducing information-related barriers to the uptake of ERF land</w:t>
      </w:r>
      <w:r w:rsidR="00947727">
        <w:t xml:space="preserve"> and agriculture p</w:t>
      </w:r>
      <w:r>
        <w:t>rojects through better outreach services, delivered in collaboration with or through the Rural Research and Development Corporations (</w:t>
      </w:r>
      <w:r w:rsidRPr="00AC04B7">
        <w:t>CCA 2018</w:t>
      </w:r>
      <w:r>
        <w:t xml:space="preserve">, </w:t>
      </w:r>
      <w:r w:rsidRPr="00CA6359">
        <w:t>2020</w:t>
      </w:r>
      <w:r w:rsidR="00E41CBA">
        <w:t>a</w:t>
      </w:r>
      <w:r>
        <w:t xml:space="preserve">). These outreach services might also provide a range of </w:t>
      </w:r>
      <w:r w:rsidR="00032667">
        <w:t xml:space="preserve">other </w:t>
      </w:r>
      <w:r>
        <w:t xml:space="preserve">information on emissions reduction actions in the agriculture sector and on climate adaptation. </w:t>
      </w:r>
    </w:p>
    <w:p w14:paraId="5942C04D" w14:textId="529CBDE0" w:rsidR="00096109" w:rsidRDefault="002031E3" w:rsidP="00C9450E">
      <w:pPr>
        <w:spacing w:line="259" w:lineRule="auto"/>
      </w:pPr>
      <w:r>
        <w:t>The King</w:t>
      </w:r>
      <w:r w:rsidR="009841F1">
        <w:t xml:space="preserve"> Review</w:t>
      </w:r>
      <w:r>
        <w:t xml:space="preserve"> recommended the es</w:t>
      </w:r>
      <w:r w:rsidR="00360646">
        <w:t>tablish</w:t>
      </w:r>
      <w:r>
        <w:t>ment of a</w:t>
      </w:r>
      <w:r w:rsidR="00360646">
        <w:t xml:space="preserve"> knowledge sharing and outreach program</w:t>
      </w:r>
      <w:r>
        <w:t xml:space="preserve"> that would involve the creation of dedicated knowledge sharing hubs</w:t>
      </w:r>
      <w:r w:rsidR="009965FC">
        <w:t xml:space="preserve"> including</w:t>
      </w:r>
      <w:r>
        <w:t xml:space="preserve"> </w:t>
      </w:r>
      <w:r w:rsidR="00947727">
        <w:t xml:space="preserve">for </w:t>
      </w:r>
      <w:r>
        <w:t xml:space="preserve">agriculture </w:t>
      </w:r>
      <w:r w:rsidR="00947727">
        <w:t>(</w:t>
      </w:r>
      <w:r w:rsidR="000049E6" w:rsidRPr="00764422">
        <w:t xml:space="preserve">Australian Government </w:t>
      </w:r>
      <w:r w:rsidR="000049E6" w:rsidRPr="009C394A">
        <w:rPr>
          <w:rFonts w:eastAsia="Times New Roman" w:cs="Arial"/>
          <w:szCs w:val="20"/>
          <w:lang w:eastAsia="en-AU"/>
        </w:rPr>
        <w:t>2020</w:t>
      </w:r>
      <w:r w:rsidR="000049E6">
        <w:rPr>
          <w:rFonts w:eastAsia="Times New Roman" w:cs="Arial"/>
          <w:szCs w:val="20"/>
          <w:lang w:eastAsia="en-AU"/>
        </w:rPr>
        <w:t>b</w:t>
      </w:r>
      <w:r w:rsidR="00947727">
        <w:t>)</w:t>
      </w:r>
      <w:r>
        <w:t xml:space="preserve">. </w:t>
      </w:r>
      <w:r w:rsidR="00947727">
        <w:t>The King</w:t>
      </w:r>
      <w:r w:rsidR="009841F1">
        <w:t xml:space="preserve"> Review</w:t>
      </w:r>
      <w:r w:rsidR="00947727">
        <w:t xml:space="preserve">, and </w:t>
      </w:r>
      <w:r w:rsidR="00947727" w:rsidRPr="001D10CD">
        <w:t>Macintosh et al (2019</w:t>
      </w:r>
      <w:r w:rsidR="00947727">
        <w:t>) suggest that i</w:t>
      </w:r>
      <w:r w:rsidR="00096109">
        <w:t xml:space="preserve">n the agricultural sector, </w:t>
      </w:r>
      <w:r w:rsidR="00947727">
        <w:t>t</w:t>
      </w:r>
      <w:r w:rsidR="00096109">
        <w:t xml:space="preserve">here is scope for the agricultural hubs to involve Natural Resource Management groups and farmer representative bodies </w:t>
      </w:r>
      <w:r w:rsidR="00947727">
        <w:t xml:space="preserve">as well as </w:t>
      </w:r>
      <w:r w:rsidR="00772116">
        <w:t>Rural Research</w:t>
      </w:r>
      <w:r w:rsidR="00947727">
        <w:t xml:space="preserve"> </w:t>
      </w:r>
      <w:r w:rsidR="00772116">
        <w:t>and</w:t>
      </w:r>
      <w:r w:rsidR="00773D0B">
        <w:t xml:space="preserve"> </w:t>
      </w:r>
      <w:r w:rsidR="00947727">
        <w:t>D</w:t>
      </w:r>
      <w:r w:rsidR="00773D0B">
        <w:t xml:space="preserve">evelopment </w:t>
      </w:r>
      <w:r w:rsidR="00947727">
        <w:t>C</w:t>
      </w:r>
      <w:r w:rsidR="00773D0B">
        <w:t>orporation</w:t>
      </w:r>
      <w:r w:rsidR="00947727">
        <w:t>s</w:t>
      </w:r>
      <w:r w:rsidR="009965FC">
        <w:t>. The</w:t>
      </w:r>
      <w:r w:rsidR="00947727">
        <w:t xml:space="preserve"> Authority supports this view.</w:t>
      </w:r>
    </w:p>
    <w:p w14:paraId="0CD88090" w14:textId="52D238D1" w:rsidR="00947727" w:rsidRDefault="009965FC" w:rsidP="00947727">
      <w:pPr>
        <w:tabs>
          <w:tab w:val="left" w:pos="5260"/>
        </w:tabs>
        <w:spacing w:line="259" w:lineRule="auto"/>
      </w:pPr>
      <w:r>
        <w:t xml:space="preserve">In noting the King </w:t>
      </w:r>
      <w:r w:rsidR="009841F1">
        <w:t>Review</w:t>
      </w:r>
      <w:r>
        <w:t xml:space="preserve"> recommendation the Government said it would look to simplify and streamline knowledge sharing and communications efforts with current and potential ERF project proponents</w:t>
      </w:r>
      <w:r w:rsidR="00127363">
        <w:t xml:space="preserve"> (</w:t>
      </w:r>
      <w:r w:rsidR="00081CD9" w:rsidRPr="009B65DB">
        <w:t>Australian Government 2020a</w:t>
      </w:r>
      <w:r w:rsidR="00127363">
        <w:t>)</w:t>
      </w:r>
      <w:r w:rsidR="005C068C">
        <w:t>.</w:t>
      </w:r>
      <w:r w:rsidR="00D43359">
        <w:t xml:space="preserve"> </w:t>
      </w:r>
      <w:r w:rsidR="005C068C">
        <w:t xml:space="preserve">A number of stakeholder submissions asked for tailored outreach programs </w:t>
      </w:r>
      <w:r w:rsidR="00127363">
        <w:t xml:space="preserve">in relation to carbon farming opportunities </w:t>
      </w:r>
      <w:r w:rsidR="00F014FC">
        <w:t xml:space="preserve">to overcome barriers </w:t>
      </w:r>
      <w:r w:rsidR="005C068C">
        <w:t>(Carbon Neutral, NRM Regions</w:t>
      </w:r>
      <w:r w:rsidR="00127363">
        <w:t>, Farmers for Climate Action</w:t>
      </w:r>
      <w:r w:rsidR="005C068C">
        <w:t xml:space="preserve">). </w:t>
      </w:r>
      <w:r>
        <w:t xml:space="preserve">Outreach </w:t>
      </w:r>
      <w:r w:rsidR="00947727">
        <w:t xml:space="preserve">could be </w:t>
      </w:r>
      <w:r>
        <w:t>undertaken</w:t>
      </w:r>
      <w:r w:rsidR="00947727">
        <w:t xml:space="preserve"> in conjunction </w:t>
      </w:r>
      <w:r w:rsidR="00F649AE">
        <w:t xml:space="preserve">or cooperation with </w:t>
      </w:r>
      <w:r w:rsidR="00947727">
        <w:t>other Government</w:t>
      </w:r>
      <w:r>
        <w:t xml:space="preserve"> programs, f</w:t>
      </w:r>
      <w:r w:rsidR="00947727">
        <w:t xml:space="preserve">or example, </w:t>
      </w:r>
      <w:r>
        <w:t>as part of</w:t>
      </w:r>
      <w:r w:rsidR="00F649AE">
        <w:t xml:space="preserve"> </w:t>
      </w:r>
      <w:r w:rsidR="00772116">
        <w:t xml:space="preserve">outreach programs conducted through </w:t>
      </w:r>
      <w:r w:rsidR="00F649AE">
        <w:t xml:space="preserve">the </w:t>
      </w:r>
      <w:r w:rsidR="00947727">
        <w:t>Future Drought Fund and</w:t>
      </w:r>
      <w:r w:rsidR="00773D0B">
        <w:t>/or</w:t>
      </w:r>
      <w:r w:rsidR="00947727">
        <w:t xml:space="preserve"> </w:t>
      </w:r>
      <w:r w:rsidR="005C068C">
        <w:t xml:space="preserve">in conjunction with </w:t>
      </w:r>
      <w:r w:rsidR="00947727">
        <w:t xml:space="preserve">the </w:t>
      </w:r>
      <w:r>
        <w:t xml:space="preserve">work of the </w:t>
      </w:r>
      <w:r w:rsidR="00947727">
        <w:t xml:space="preserve">National Soils </w:t>
      </w:r>
      <w:r w:rsidR="00F649AE">
        <w:t>Advocate</w:t>
      </w:r>
      <w:r>
        <w:t xml:space="preserve"> which raises awareness of the importance of conserving and improving agricultural soils and landscape conditions (</w:t>
      </w:r>
      <w:r w:rsidR="0031637E" w:rsidRPr="004A274B">
        <w:t>DAWE n.d.</w:t>
      </w:r>
      <w:r w:rsidR="00E1264E">
        <w:t>a.</w:t>
      </w:r>
      <w:r w:rsidR="0031637E" w:rsidRPr="004A274B">
        <w:t>,</w:t>
      </w:r>
      <w:r w:rsidR="0031637E" w:rsidRPr="00EB48FC">
        <w:t xml:space="preserve"> </w:t>
      </w:r>
      <w:r w:rsidR="0031637E" w:rsidRPr="00090FFF">
        <w:t>DPMC n.d.</w:t>
      </w:r>
      <w:r w:rsidRPr="00090FFF">
        <w:t>).</w:t>
      </w:r>
      <w:r>
        <w:t xml:space="preserve"> </w:t>
      </w:r>
    </w:p>
    <w:p w14:paraId="453FD1C9" w14:textId="30EE738B" w:rsidR="00670803" w:rsidRDefault="00D27CAE" w:rsidP="00775CB7">
      <w:r>
        <w:t>Farmers for Climate Action</w:t>
      </w:r>
      <w:r w:rsidR="00775CB7">
        <w:t>, in supporting the King Review’s recommendation on outreach,</w:t>
      </w:r>
      <w:r w:rsidDel="00775CB7">
        <w:t xml:space="preserve"> </w:t>
      </w:r>
      <w:r w:rsidR="00775CB7">
        <w:t>recommended</w:t>
      </w:r>
      <w:r>
        <w:t xml:space="preserve"> </w:t>
      </w:r>
      <w:r w:rsidR="00F014FC">
        <w:t xml:space="preserve">the </w:t>
      </w:r>
      <w:r w:rsidR="00775CB7">
        <w:t>‘</w:t>
      </w:r>
      <w:r w:rsidR="00775CB7" w:rsidRPr="00460A2C">
        <w:t>long-term resourcing for climate-smart agricultural extension</w:t>
      </w:r>
      <w:r w:rsidR="00775CB7" w:rsidRPr="00775CB7">
        <w:rPr>
          <w:b/>
          <w:bCs/>
        </w:rPr>
        <w:t xml:space="preserve"> </w:t>
      </w:r>
      <w:r w:rsidR="00775CB7">
        <w:t xml:space="preserve">- </w:t>
      </w:r>
      <w:r w:rsidR="00775CB7" w:rsidRPr="00775CB7">
        <w:t>addressing the</w:t>
      </w:r>
      <w:r w:rsidR="00775CB7">
        <w:t xml:space="preserve"> </w:t>
      </w:r>
      <w:r w:rsidR="00775CB7" w:rsidRPr="00775CB7">
        <w:t>growing appetite among farmers for independent, evidence-based advice on available ways</w:t>
      </w:r>
      <w:r w:rsidR="00775CB7">
        <w:t xml:space="preserve"> </w:t>
      </w:r>
      <w:r w:rsidR="00775CB7" w:rsidRPr="00775CB7">
        <w:t>to reduce emissions, adapt and raise farm business performance</w:t>
      </w:r>
      <w:r w:rsidR="00775CB7">
        <w:t>’. Th</w:t>
      </w:r>
      <w:r w:rsidR="001618DC">
        <w:t>is</w:t>
      </w:r>
      <w:r w:rsidR="00670803">
        <w:t xml:space="preserve"> recommendation</w:t>
      </w:r>
      <w:r w:rsidR="00775CB7">
        <w:t xml:space="preserve"> highlights the need to integrate </w:t>
      </w:r>
      <w:r>
        <w:t xml:space="preserve">information </w:t>
      </w:r>
      <w:r w:rsidR="00775CB7">
        <w:t xml:space="preserve">sharing </w:t>
      </w:r>
      <w:r>
        <w:t xml:space="preserve">on </w:t>
      </w:r>
      <w:r w:rsidR="00670803">
        <w:t xml:space="preserve">emission reduction opportunities </w:t>
      </w:r>
      <w:r w:rsidR="00775CB7">
        <w:t xml:space="preserve">with </w:t>
      </w:r>
      <w:r>
        <w:t>climate resilience</w:t>
      </w:r>
      <w:r w:rsidR="00775CB7">
        <w:t xml:space="preserve">. </w:t>
      </w:r>
    </w:p>
    <w:p w14:paraId="3AEB5C67" w14:textId="36B83BD4" w:rsidR="00032667" w:rsidRDefault="009965FC" w:rsidP="00BF5884">
      <w:r>
        <w:t>Publishing</w:t>
      </w:r>
      <w:r w:rsidR="00032667">
        <w:t xml:space="preserve"> guidance </w:t>
      </w:r>
      <w:r>
        <w:t xml:space="preserve">material on adaptation strategies for different methods </w:t>
      </w:r>
      <w:r w:rsidR="00032667">
        <w:t xml:space="preserve">could </w:t>
      </w:r>
      <w:r>
        <w:t xml:space="preserve">also </w:t>
      </w:r>
      <w:r w:rsidR="00032667">
        <w:t>assist with best practice implementation o</w:t>
      </w:r>
      <w:r w:rsidR="005C068C">
        <w:t>f</w:t>
      </w:r>
      <w:r w:rsidR="00032667">
        <w:t xml:space="preserve"> land-based projects. </w:t>
      </w:r>
      <w:r w:rsidR="00032667" w:rsidRPr="0055506E">
        <w:t xml:space="preserve">Governments and </w:t>
      </w:r>
      <w:r w:rsidR="00103E88">
        <w:t xml:space="preserve">primary </w:t>
      </w:r>
      <w:r w:rsidR="00032667" w:rsidRPr="0055506E">
        <w:t>industry bodies often produce best practice management guides for aspects of agricultural production</w:t>
      </w:r>
      <w:r w:rsidR="00032667">
        <w:t>. This same type of information</w:t>
      </w:r>
      <w:r>
        <w:t>, tailored to region and method</w:t>
      </w:r>
      <w:r w:rsidR="00103E88">
        <w:t xml:space="preserve"> type</w:t>
      </w:r>
      <w:r>
        <w:t>,</w:t>
      </w:r>
      <w:r w:rsidR="00032667">
        <w:t xml:space="preserve"> could be produced for ERF activities. For example, </w:t>
      </w:r>
      <w:r w:rsidR="001618DC">
        <w:t xml:space="preserve">best practice guidance </w:t>
      </w:r>
      <w:r w:rsidR="00032667">
        <w:t xml:space="preserve">for the regeneration of native vegetation projects in western New South Wales. This guidance </w:t>
      </w:r>
      <w:r w:rsidR="00BF5884">
        <w:t>should provide information that help</w:t>
      </w:r>
      <w:r w:rsidR="001618DC">
        <w:t>s</w:t>
      </w:r>
      <w:r w:rsidR="00BF5884">
        <w:t xml:space="preserve"> </w:t>
      </w:r>
      <w:r>
        <w:t>project proponents</w:t>
      </w:r>
      <w:r w:rsidR="00BF5884">
        <w:t xml:space="preserve"> make decisions on how to </w:t>
      </w:r>
      <w:r>
        <w:t>implement</w:t>
      </w:r>
      <w:r w:rsidR="00BF5884">
        <w:t xml:space="preserve"> ERF </w:t>
      </w:r>
      <w:r>
        <w:t>projects</w:t>
      </w:r>
      <w:r w:rsidR="00BF5884">
        <w:t xml:space="preserve"> in a way that build</w:t>
      </w:r>
      <w:r w:rsidR="001618DC">
        <w:t>s</w:t>
      </w:r>
      <w:r w:rsidR="00BF5884">
        <w:t xml:space="preserve"> climate resilience and landscape health.</w:t>
      </w:r>
    </w:p>
    <w:p w14:paraId="66634A81" w14:textId="77777777" w:rsidR="00371A52" w:rsidRDefault="00371A52" w:rsidP="00BF5884"/>
    <w:tbl>
      <w:tblPr>
        <w:tblStyle w:val="TableGrid"/>
        <w:tblW w:w="0" w:type="auto"/>
        <w:tblLook w:val="04A0" w:firstRow="1" w:lastRow="0" w:firstColumn="1" w:lastColumn="0" w:noHBand="0" w:noVBand="1"/>
      </w:tblPr>
      <w:tblGrid>
        <w:gridCol w:w="9202"/>
      </w:tblGrid>
      <w:tr w:rsidR="00E6027C" w14:paraId="0B7725D4" w14:textId="77777777" w:rsidTr="00E6027C">
        <w:tc>
          <w:tcPr>
            <w:tcW w:w="9202" w:type="dxa"/>
          </w:tcPr>
          <w:p w14:paraId="40D352D7" w14:textId="751D8C11" w:rsidR="00E6027C" w:rsidRPr="00F6262C" w:rsidRDefault="00E6027C" w:rsidP="00BF5884">
            <w:pPr>
              <w:rPr>
                <w:b/>
              </w:rPr>
            </w:pPr>
            <w:r w:rsidRPr="00F6262C">
              <w:rPr>
                <w:b/>
              </w:rPr>
              <w:t>Recommendation</w:t>
            </w:r>
            <w:r w:rsidR="00F6262C" w:rsidRPr="00F6262C">
              <w:rPr>
                <w:b/>
              </w:rPr>
              <w:t xml:space="preserve"> 2</w:t>
            </w:r>
            <w:r w:rsidR="00E70BC9">
              <w:rPr>
                <w:b/>
              </w:rPr>
              <w:t>3</w:t>
            </w:r>
          </w:p>
          <w:p w14:paraId="09551A5C" w14:textId="77777777" w:rsidR="00E80CFE" w:rsidRPr="00415717" w:rsidRDefault="00E80CFE" w:rsidP="00E80CFE">
            <w:pPr>
              <w:rPr>
                <w:b/>
              </w:rPr>
            </w:pPr>
          </w:p>
          <w:p w14:paraId="30556E96" w14:textId="77777777" w:rsidR="00E70BC9" w:rsidRPr="00E70BC9" w:rsidRDefault="00E70BC9" w:rsidP="00E70BC9">
            <w:pPr>
              <w:rPr>
                <w:b/>
              </w:rPr>
            </w:pPr>
            <w:r w:rsidRPr="00E70BC9">
              <w:rPr>
                <w:b/>
              </w:rPr>
              <w:t>To encourage more participation in the ERF and best practice implementation of ERF projects, including climate resilience:</w:t>
            </w:r>
          </w:p>
          <w:p w14:paraId="588030C8" w14:textId="77777777" w:rsidR="00E70BC9" w:rsidRPr="00E70BC9" w:rsidRDefault="00E70BC9" w:rsidP="00004274">
            <w:pPr>
              <w:pStyle w:val="ListParagraph"/>
              <w:numPr>
                <w:ilvl w:val="0"/>
                <w:numId w:val="43"/>
              </w:numPr>
              <w:rPr>
                <w:b/>
              </w:rPr>
            </w:pPr>
            <w:r w:rsidRPr="00E70BC9">
              <w:rPr>
                <w:b/>
              </w:rPr>
              <w:t>develop tailored, region-specific outreach programs for the land and agricultural sectors, in collaboration with other Government programs, for example the Future Drought Fund</w:t>
            </w:r>
          </w:p>
          <w:p w14:paraId="2A0E8E55" w14:textId="66083F80" w:rsidR="00E6027C" w:rsidRPr="005146AB" w:rsidRDefault="00E70BC9" w:rsidP="0058338C">
            <w:pPr>
              <w:pStyle w:val="ListParagraph"/>
              <w:numPr>
                <w:ilvl w:val="0"/>
                <w:numId w:val="43"/>
              </w:numPr>
              <w:ind w:left="360" w:firstLine="0"/>
              <w:rPr>
                <w:b/>
              </w:rPr>
            </w:pPr>
            <w:r w:rsidRPr="00E70BC9">
              <w:rPr>
                <w:b/>
              </w:rPr>
              <w:t>publish</w:t>
            </w:r>
            <w:r w:rsidR="00E80CFE" w:rsidRPr="00415717">
              <w:rPr>
                <w:b/>
              </w:rPr>
              <w:t xml:space="preserve"> voluntary best practice guidance for ERF projects</w:t>
            </w:r>
            <w:r w:rsidRPr="00E70BC9">
              <w:rPr>
                <w:b/>
              </w:rPr>
              <w:t>, including</w:t>
            </w:r>
            <w:r w:rsidR="00E80CFE" w:rsidRPr="00415717">
              <w:rPr>
                <w:b/>
              </w:rPr>
              <w:t xml:space="preserve"> resilience, noting that these would need to be method and region specific</w:t>
            </w:r>
            <w:r w:rsidR="00E80CFE" w:rsidRPr="00E70BC9">
              <w:rPr>
                <w:b/>
              </w:rPr>
              <w:t>.</w:t>
            </w:r>
          </w:p>
        </w:tc>
      </w:tr>
    </w:tbl>
    <w:p w14:paraId="748DF048" w14:textId="77777777" w:rsidR="00E847C0" w:rsidRDefault="00E847C0" w:rsidP="00DD6D8C"/>
    <w:p w14:paraId="3E10C616" w14:textId="66DE95B8" w:rsidR="00C9450E" w:rsidRPr="005146AB" w:rsidRDefault="00C9450E" w:rsidP="00500E42">
      <w:pPr>
        <w:pStyle w:val="Heading2"/>
        <w:numPr>
          <w:ilvl w:val="1"/>
          <w:numId w:val="53"/>
        </w:numPr>
        <w:rPr>
          <w:color w:val="0070AE" w:themeColor="accent2" w:themeTint="BF"/>
        </w:rPr>
      </w:pPr>
      <w:bookmarkStart w:id="3518" w:name="_Toc50027779"/>
      <w:bookmarkStart w:id="3519" w:name="_Toc50029475"/>
      <w:bookmarkStart w:id="3520" w:name="_Toc50043903"/>
      <w:bookmarkStart w:id="3521" w:name="_Toc50057755"/>
      <w:bookmarkStart w:id="3522" w:name="_Toc50553633"/>
      <w:bookmarkStart w:id="3523" w:name="_Toc50555396"/>
      <w:bookmarkStart w:id="3524" w:name="_Toc50559856"/>
      <w:bookmarkStart w:id="3525" w:name="_Toc50559909"/>
      <w:bookmarkStart w:id="3526" w:name="_Toc50563843"/>
      <w:bookmarkStart w:id="3527" w:name="_Toc50711396"/>
      <w:bookmarkStart w:id="3528" w:name="_Toc50720978"/>
      <w:bookmarkStart w:id="3529" w:name="_Toc50730702"/>
      <w:bookmarkStart w:id="3530" w:name="_Toc50734928"/>
      <w:bookmarkStart w:id="3531" w:name="_Toc50735531"/>
      <w:bookmarkStart w:id="3532" w:name="_Toc50905550"/>
      <w:bookmarkStart w:id="3533" w:name="_Toc51587035"/>
      <w:bookmarkStart w:id="3534" w:name="_Toc51594895"/>
      <w:bookmarkStart w:id="3535" w:name="_Toc51599498"/>
      <w:bookmarkStart w:id="3536" w:name="_Toc51613534"/>
      <w:bookmarkStart w:id="3537" w:name="_Toc51669645"/>
      <w:bookmarkStart w:id="3538" w:name="_Toc51669740"/>
      <w:bookmarkStart w:id="3539" w:name="_Toc51672889"/>
      <w:bookmarkStart w:id="3540" w:name="_Toc51673939"/>
      <w:bookmarkStart w:id="3541" w:name="_Toc51680756"/>
      <w:bookmarkStart w:id="3542" w:name="_Toc51683285"/>
      <w:bookmarkStart w:id="3543" w:name="_Toc51686021"/>
      <w:bookmarkStart w:id="3544" w:name="_Toc51687759"/>
      <w:bookmarkStart w:id="3545" w:name="_Toc51687903"/>
      <w:bookmarkStart w:id="3546" w:name="_Toc51705781"/>
      <w:bookmarkStart w:id="3547" w:name="_Toc51770727"/>
      <w:bookmarkStart w:id="3548" w:name="_Toc51770913"/>
      <w:bookmarkStart w:id="3549" w:name="_Toc52359256"/>
      <w:bookmarkStart w:id="3550" w:name="_Toc52367289"/>
      <w:bookmarkStart w:id="3551" w:name="_Toc52371629"/>
      <w:bookmarkStart w:id="3552" w:name="_Toc52374777"/>
      <w:bookmarkStart w:id="3553" w:name="_Toc52377315"/>
      <w:bookmarkStart w:id="3554" w:name="_Toc52379237"/>
      <w:bookmarkStart w:id="3555" w:name="_Toc52379592"/>
      <w:bookmarkStart w:id="3556" w:name="_Toc52532802"/>
      <w:bookmarkStart w:id="3557" w:name="_Toc52535697"/>
      <w:bookmarkStart w:id="3558" w:name="_Toc52537515"/>
      <w:bookmarkStart w:id="3559" w:name="_Toc52544078"/>
      <w:bookmarkStart w:id="3560" w:name="_Toc52545682"/>
      <w:bookmarkStart w:id="3561" w:name="_Toc52547914"/>
      <w:bookmarkStart w:id="3562" w:name="_Toc52548603"/>
      <w:bookmarkStart w:id="3563" w:name="_Toc52890895"/>
      <w:bookmarkStart w:id="3564" w:name="_Toc52895098"/>
      <w:bookmarkStart w:id="3565" w:name="_Toc52896622"/>
      <w:bookmarkStart w:id="3566" w:name="_Toc52977799"/>
      <w:bookmarkStart w:id="3567" w:name="_Toc53129485"/>
      <w:r w:rsidRPr="005146AB">
        <w:rPr>
          <w:color w:val="0070AE" w:themeColor="accent2" w:themeTint="BF"/>
        </w:rPr>
        <w:t>Managing potential adverse impacts in the ERF</w:t>
      </w:r>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p>
    <w:p w14:paraId="248C21EB" w14:textId="3376F1B2" w:rsidR="00C9450E" w:rsidRDefault="00C9450E" w:rsidP="00C9450E">
      <w:r>
        <w:t xml:space="preserve">Many land-based activities provide additional benefits in terms of biodiversity, environmental health and farm profitability. </w:t>
      </w:r>
      <w:r w:rsidR="001C5D02">
        <w:t xml:space="preserve">Many of these benefits are </w:t>
      </w:r>
      <w:r w:rsidR="00ED0CC3">
        <w:t xml:space="preserve">also </w:t>
      </w:r>
      <w:r w:rsidR="001C5D02">
        <w:t xml:space="preserve">closely linked with building climate resilience for farmers and landholders. For example ERF soil carbon projects may also improve soil health helping farms to mitigate climate impacts.  </w:t>
      </w:r>
      <w:r>
        <w:t xml:space="preserve">A selection of the main types of co-benefits are presented in </w:t>
      </w:r>
      <w:r w:rsidRPr="000E1933">
        <w:t>Table 10.1</w:t>
      </w:r>
      <w:r>
        <w:t xml:space="preserve">. There can also be potential dis-benefits or adverse impacts associated with ERF projects, as indicated in </w:t>
      </w:r>
      <w:r w:rsidR="00965582">
        <w:t xml:space="preserve">the table, for example, </w:t>
      </w:r>
      <w:r>
        <w:t xml:space="preserve">a reduction in biodiversity or a reduction in water availability. </w:t>
      </w:r>
    </w:p>
    <w:p w14:paraId="2EFE0BBD" w14:textId="75BC52B5" w:rsidR="00C9450E" w:rsidRPr="005206CA" w:rsidRDefault="00C9450E" w:rsidP="00C9450E">
      <w:r>
        <w:t xml:space="preserve">The ERF has </w:t>
      </w:r>
      <w:r w:rsidR="00965582">
        <w:t xml:space="preserve">several </w:t>
      </w:r>
      <w:r w:rsidRPr="00AF24D4">
        <w:t xml:space="preserve">mechanisms in place to manage the environmental and social impacts of projects. When registering a land-based project, participants must </w:t>
      </w:r>
      <w:r w:rsidR="003D0921">
        <w:t>advise</w:t>
      </w:r>
      <w:r w:rsidRPr="00AF24D4">
        <w:t xml:space="preserve"> the relevant Natural Resource Management body about the proposed </w:t>
      </w:r>
      <w:r>
        <w:t xml:space="preserve">ERF </w:t>
      </w:r>
      <w:r w:rsidRPr="00AF24D4">
        <w:t>project</w:t>
      </w:r>
      <w:r w:rsidR="003D0921">
        <w:t xml:space="preserve"> and if the project area is covered under a natural resource management plan, the participant must advise whether the project is consistent with that plan</w:t>
      </w:r>
      <w:r w:rsidRPr="00AF24D4">
        <w:t>. The participant must also obtain any regulatory approvals required by state, territory or federal laws relating to land use or development, the environment or water</w:t>
      </w:r>
      <w:r w:rsidRPr="005206CA">
        <w:t>.</w:t>
      </w:r>
    </w:p>
    <w:p w14:paraId="6315238E" w14:textId="330EC55C" w:rsidR="00C9450E" w:rsidRDefault="00C9450E" w:rsidP="00C9450E">
      <w:r>
        <w:t>Risks of adverse impacts</w:t>
      </w:r>
      <w:r w:rsidRPr="006E726E">
        <w:t xml:space="preserve"> </w:t>
      </w:r>
      <w:r>
        <w:t xml:space="preserve">to </w:t>
      </w:r>
      <w:r w:rsidRPr="005206CA">
        <w:t>water availability, biodiversity conservation, employment, the local community or land access for agricultural production</w:t>
      </w:r>
      <w:r>
        <w:t xml:space="preserve"> are managed through the CFI Act, which excludes certain types of projects that are listed in regulations (CFI Regulations</w:t>
      </w:r>
      <w:r w:rsidR="006A0E3C">
        <w:t xml:space="preserve"> 3.37</w:t>
      </w:r>
      <w:r>
        <w:t xml:space="preserve">). The Authority examined this list (known as the ‘negative list’) in 2017 and on balance did not recommend any changes. </w:t>
      </w:r>
    </w:p>
    <w:p w14:paraId="3D01ECE2" w14:textId="52960F80" w:rsidR="00C9450E" w:rsidRDefault="00C9450E" w:rsidP="00C9450E">
      <w:r>
        <w:t xml:space="preserve">During the Authority’s consultations for the 2017 ERF review some stakeholders raised concerns that the ‘negative list’ had introduced a prohibitive barrier to some tree planting projects as it excluded projects (in certain circumstances), which did not have the water entitlements available </w:t>
      </w:r>
      <w:r w:rsidR="00965582">
        <w:t xml:space="preserve">for the new </w:t>
      </w:r>
      <w:r>
        <w:t>planting</w:t>
      </w:r>
      <w:r w:rsidR="00965582">
        <w:t>s</w:t>
      </w:r>
      <w:r>
        <w:t xml:space="preserve"> (</w:t>
      </w:r>
      <w:r w:rsidRPr="005E1241">
        <w:t>CCA 2017</w:t>
      </w:r>
      <w:r w:rsidR="00985810" w:rsidRPr="005E1241">
        <w:t>a</w:t>
      </w:r>
      <w:r>
        <w:t xml:space="preserve">, </w:t>
      </w:r>
      <w:r w:rsidRPr="005146AB">
        <w:t>CFI Regulation</w:t>
      </w:r>
      <w:r w:rsidR="006A0E3C" w:rsidRPr="005146AB">
        <w:t>s</w:t>
      </w:r>
      <w:r w:rsidR="006A0E3C">
        <w:t xml:space="preserve"> </w:t>
      </w:r>
      <w:r w:rsidR="00356060" w:rsidRPr="005146AB">
        <w:t>2011</w:t>
      </w:r>
      <w:r w:rsidRPr="005146AB">
        <w:t>).</w:t>
      </w:r>
      <w:r>
        <w:t xml:space="preserve"> The Government has since </w:t>
      </w:r>
      <w:r w:rsidR="003D0921">
        <w:t xml:space="preserve">changed the requirements for tree planting projects in higher rainfall locations to allow projects to meet the requirements if they are located in a specified region where tree planting is unlikely to have a material adverse impact on the availability of water </w:t>
      </w:r>
      <w:r>
        <w:t>(</w:t>
      </w:r>
      <w:r w:rsidR="001B5487" w:rsidRPr="00764422">
        <w:t xml:space="preserve">Australian Government </w:t>
      </w:r>
      <w:r w:rsidR="001B5487" w:rsidRPr="009C394A">
        <w:rPr>
          <w:rFonts w:eastAsia="Times New Roman" w:cs="Arial"/>
          <w:szCs w:val="20"/>
          <w:lang w:eastAsia="en-AU"/>
        </w:rPr>
        <w:t>2020</w:t>
      </w:r>
      <w:r w:rsidR="001B5487">
        <w:rPr>
          <w:rFonts w:eastAsia="Times New Roman" w:cs="Arial"/>
          <w:szCs w:val="20"/>
          <w:lang w:eastAsia="en-AU"/>
        </w:rPr>
        <w:t>b</w:t>
      </w:r>
      <w:r>
        <w:t xml:space="preserve">, </w:t>
      </w:r>
      <w:r w:rsidRPr="00DD4733">
        <w:t>DAWE n.d.</w:t>
      </w:r>
      <w:r w:rsidR="00E1264E">
        <w:t>b.</w:t>
      </w:r>
      <w:r w:rsidRPr="00DD4733">
        <w:t>)</w:t>
      </w:r>
      <w:r w:rsidRPr="00DD4733" w:rsidDel="00FB45D8">
        <w:t>.</w:t>
      </w:r>
      <w:r>
        <w:t xml:space="preserve"> The DAWE </w:t>
      </w:r>
      <w:r w:rsidR="003D0921">
        <w:t>has a role in advising whether tree planting projects are unlikely to have a material adverse impact on water availability</w:t>
      </w:r>
      <w:r w:rsidR="006A0E3C">
        <w:t xml:space="preserve"> (</w:t>
      </w:r>
      <w:r w:rsidR="00DD4733" w:rsidRPr="00DD4733">
        <w:t>DAWE n.d.</w:t>
      </w:r>
      <w:r w:rsidR="00E1264E">
        <w:t>b</w:t>
      </w:r>
      <w:r w:rsidR="00DD4733" w:rsidRPr="001D10CD">
        <w:t>)</w:t>
      </w:r>
      <w:r w:rsidR="00F94E82">
        <w:t xml:space="preserve">. </w:t>
      </w:r>
      <w:r>
        <w:t xml:space="preserve">The Authority considers the assessment should draw on information from the recommended </w:t>
      </w:r>
      <w:r w:rsidR="003C59C1">
        <w:t>Climate C</w:t>
      </w:r>
      <w:r>
        <w:t>ompass review of the ERF (</w:t>
      </w:r>
      <w:r w:rsidR="005B4DA7">
        <w:t>R</w:t>
      </w:r>
      <w:r>
        <w:t xml:space="preserve">ecommendation </w:t>
      </w:r>
      <w:r w:rsidR="0031637E" w:rsidRPr="00811793">
        <w:t>2</w:t>
      </w:r>
      <w:r w:rsidR="000E1933" w:rsidRPr="00811793">
        <w:t>0</w:t>
      </w:r>
      <w:r w:rsidRPr="00811793">
        <w:t xml:space="preserve">, </w:t>
      </w:r>
      <w:r w:rsidRPr="000E1933">
        <w:t>Chapter 9</w:t>
      </w:r>
      <w:r>
        <w:t>) and consider the scientific evidence, which indicates a reduction in water availability is a potential climate risk to ERF tree plantings over the permanence period of the projects (</w:t>
      </w:r>
      <w:r w:rsidRPr="00BA125B">
        <w:t>CSIRO 2020</w:t>
      </w:r>
      <w:r>
        <w:t>).</w:t>
      </w:r>
      <w:r w:rsidR="003B50D2" w:rsidRPr="003B50D2">
        <w:rPr>
          <w:rFonts w:ascii="Times New Roman" w:eastAsia="Times New Roman" w:hAnsi="Times New Roman" w:cs="Times New Roman"/>
          <w:sz w:val="24"/>
          <w:szCs w:val="24"/>
          <w:lang w:eastAsia="en-AU"/>
        </w:rPr>
        <w:t xml:space="preserve"> </w:t>
      </w:r>
      <w:r w:rsidR="00101036">
        <w:t>Although the report</w:t>
      </w:r>
      <w:r w:rsidR="003B50D2">
        <w:t xml:space="preserve"> not</w:t>
      </w:r>
      <w:r w:rsidR="00CB7C58">
        <w:t>e</w:t>
      </w:r>
      <w:r w:rsidR="00101036">
        <w:t>s</w:t>
      </w:r>
      <w:r w:rsidR="003B50D2">
        <w:t xml:space="preserve"> that </w:t>
      </w:r>
      <w:r w:rsidR="003B50D2" w:rsidRPr="003B50D2">
        <w:t>revegetation can also lead to hy</w:t>
      </w:r>
      <w:r w:rsidR="00101036">
        <w:t>drological benefits through for example,</w:t>
      </w:r>
      <w:r w:rsidR="003B50D2" w:rsidRPr="003B50D2">
        <w:t xml:space="preserve"> the local r</w:t>
      </w:r>
      <w:r w:rsidR="00101036">
        <w:t>edistribution of surface flows (</w:t>
      </w:r>
      <w:r w:rsidR="003B50D2" w:rsidRPr="0033370C">
        <w:t xml:space="preserve">Bennett et al. </w:t>
      </w:r>
      <w:r w:rsidR="00042AFB">
        <w:t>2014</w:t>
      </w:r>
      <w:r w:rsidR="00101036">
        <w:t xml:space="preserve">). </w:t>
      </w:r>
    </w:p>
    <w:p w14:paraId="6590D868" w14:textId="31F5066E" w:rsidR="00770F07" w:rsidRDefault="00460A2C" w:rsidP="00C9450E">
      <w:r>
        <w:t>During public consultation stakeholder</w:t>
      </w:r>
      <w:r w:rsidR="003D0921">
        <w:t>s</w:t>
      </w:r>
      <w:r>
        <w:t xml:space="preserve"> raised</w:t>
      </w:r>
      <w:r w:rsidR="00C9450E" w:rsidRPr="007261C5">
        <w:t xml:space="preserve"> concerns </w:t>
      </w:r>
      <w:r w:rsidR="00C9450E">
        <w:t>that ERF projects</w:t>
      </w:r>
      <w:r w:rsidR="00C9450E" w:rsidRPr="007261C5">
        <w:t xml:space="preserve"> </w:t>
      </w:r>
      <w:r w:rsidR="00C9450E">
        <w:t xml:space="preserve">in the Mulga lands in southern Queensland are not being </w:t>
      </w:r>
      <w:r>
        <w:t xml:space="preserve">properly </w:t>
      </w:r>
      <w:r w:rsidR="00C9450E">
        <w:t xml:space="preserve">managed, which is resulting in a prevalence of </w:t>
      </w:r>
      <w:r w:rsidR="00C9450E" w:rsidRPr="007261C5">
        <w:t xml:space="preserve">feral animals and weeds </w:t>
      </w:r>
      <w:r w:rsidR="00C9450E">
        <w:t xml:space="preserve">on ERF project land areas </w:t>
      </w:r>
      <w:r w:rsidR="00C9450E" w:rsidRPr="007261C5">
        <w:t>(</w:t>
      </w:r>
      <w:r w:rsidR="00C9450E">
        <w:t xml:space="preserve">Southern Queensland Landscapes, </w:t>
      </w:r>
      <w:r w:rsidR="00C9450E" w:rsidRPr="007261C5">
        <w:t xml:space="preserve">SWRED </w:t>
      </w:r>
      <w:r w:rsidR="00B72397">
        <w:t>pers comm.</w:t>
      </w:r>
      <w:r w:rsidR="00C9450E" w:rsidRPr="007261C5">
        <w:t xml:space="preserve">). </w:t>
      </w:r>
      <w:r w:rsidR="00C9450E">
        <w:t>These concerns were also raised with the Authority in 2017 (</w:t>
      </w:r>
      <w:r w:rsidR="00C9450E" w:rsidRPr="005E1241">
        <w:t>CCA 2017</w:t>
      </w:r>
      <w:r w:rsidR="00985810" w:rsidRPr="005E1241">
        <w:t>a</w:t>
      </w:r>
      <w:r w:rsidR="00C9450E">
        <w:t xml:space="preserve">). There are also concerns about local communities being adversely </w:t>
      </w:r>
      <w:r w:rsidR="00C9450E" w:rsidRPr="002238BE">
        <w:t xml:space="preserve">affected </w:t>
      </w:r>
      <w:r w:rsidR="00C9450E">
        <w:t xml:space="preserve">due to </w:t>
      </w:r>
      <w:r w:rsidR="00C9450E" w:rsidRPr="002238BE">
        <w:t xml:space="preserve">losing people from the region </w:t>
      </w:r>
      <w:r w:rsidR="00C9450E">
        <w:t xml:space="preserve">because </w:t>
      </w:r>
      <w:r w:rsidR="00CB1557">
        <w:t>‘</w:t>
      </w:r>
      <w:r w:rsidR="00C9450E" w:rsidRPr="00C9450E">
        <w:rPr>
          <w:i/>
        </w:rPr>
        <w:t>properties are being retired from traditional agriculture in many cases in order to ensure carbon outcomes</w:t>
      </w:r>
      <w:r w:rsidR="00CB1557">
        <w:t>’</w:t>
      </w:r>
      <w:r w:rsidR="00C9450E" w:rsidRPr="002238BE">
        <w:t xml:space="preserve"> (Southern Queensland Landscapes</w:t>
      </w:r>
      <w:r w:rsidR="00CB1557">
        <w:t xml:space="preserve"> p.3</w:t>
      </w:r>
      <w:r w:rsidR="00C9450E" w:rsidRPr="002238BE">
        <w:t xml:space="preserve">). There has been little done in the way of monitoring and evaluation of the environmental and social impacts of </w:t>
      </w:r>
      <w:r w:rsidR="00C9450E">
        <w:t xml:space="preserve">land-based </w:t>
      </w:r>
      <w:r w:rsidR="00C9450E" w:rsidRPr="002238BE">
        <w:t xml:space="preserve">ERF projects making it difficult </w:t>
      </w:r>
      <w:r w:rsidR="00133216">
        <w:t xml:space="preserve">for the Authority </w:t>
      </w:r>
      <w:r w:rsidR="00C9450E" w:rsidRPr="002238BE">
        <w:t xml:space="preserve">to </w:t>
      </w:r>
      <w:r w:rsidR="00133216">
        <w:t xml:space="preserve">properly </w:t>
      </w:r>
      <w:r w:rsidR="00C9450E" w:rsidRPr="002238BE">
        <w:t>understand these concerns</w:t>
      </w:r>
      <w:r w:rsidR="00C9450E">
        <w:t xml:space="preserve">. </w:t>
      </w:r>
      <w:r w:rsidR="00944168">
        <w:t>It should be noted however, that the ERF does not displace obligations under biosecurity and other laws.</w:t>
      </w:r>
    </w:p>
    <w:p w14:paraId="4C79DF9B" w14:textId="77777777" w:rsidR="00C9450E" w:rsidRPr="001C19F1" w:rsidRDefault="00C9450E" w:rsidP="008465AB">
      <w:pPr>
        <w:pStyle w:val="Table"/>
      </w:pPr>
      <w:bookmarkStart w:id="3568" w:name="_Toc53129521"/>
      <w:r w:rsidRPr="001C19F1">
        <w:t>Table 10.1. Co-benefits and dis-benefits associated with ERF methods</w:t>
      </w:r>
      <w:bookmarkEnd w:id="3568"/>
    </w:p>
    <w:p w14:paraId="16F46FAE" w14:textId="079CAD2E" w:rsidR="00C700CE" w:rsidRDefault="00C700CE" w:rsidP="00C9450E">
      <w:pPr>
        <w:pStyle w:val="FigureTableHeader"/>
      </w:pPr>
      <w:r w:rsidRPr="00086D72">
        <w:rPr>
          <w:noProof/>
          <w:lang w:eastAsia="en-AU"/>
        </w:rPr>
        <w:drawing>
          <wp:anchor distT="0" distB="0" distL="114300" distR="114300" simplePos="0" relativeHeight="251658241" behindDoc="0" locked="0" layoutInCell="1" allowOverlap="1" wp14:anchorId="12E3EF7F" wp14:editId="10F57A81">
            <wp:simplePos x="0" y="0"/>
            <wp:positionH relativeFrom="margin">
              <wp:align>left</wp:align>
            </wp:positionH>
            <wp:positionV relativeFrom="paragraph">
              <wp:posOffset>38109</wp:posOffset>
            </wp:positionV>
            <wp:extent cx="6019120" cy="5337336"/>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9120" cy="5337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AAE21" w14:textId="77777777" w:rsidR="00C700CE" w:rsidRPr="001C19F1" w:rsidRDefault="00C700CE" w:rsidP="00C700CE">
      <w:pPr>
        <w:rPr>
          <w:sz w:val="17"/>
          <w:szCs w:val="17"/>
        </w:rPr>
      </w:pPr>
      <w:r w:rsidRPr="001C19F1">
        <w:rPr>
          <w:b/>
          <w:sz w:val="17"/>
          <w:szCs w:val="17"/>
        </w:rPr>
        <w:t>Source:</w:t>
      </w:r>
      <w:r w:rsidRPr="001C19F1">
        <w:rPr>
          <w:sz w:val="17"/>
          <w:szCs w:val="17"/>
        </w:rPr>
        <w:t xml:space="preserve"> CSIRO 2020</w:t>
      </w:r>
    </w:p>
    <w:p w14:paraId="2D1E1383" w14:textId="0FF3728A" w:rsidR="005700D1" w:rsidRPr="001156AD" w:rsidRDefault="00C700CE" w:rsidP="001156AD">
      <w:pPr>
        <w:spacing w:line="259" w:lineRule="auto"/>
      </w:pPr>
      <w:r w:rsidDel="00C700CE">
        <w:rPr>
          <w:noProof/>
          <w:lang w:eastAsia="en-AU"/>
        </w:rPr>
        <w:t xml:space="preserve"> </w:t>
      </w:r>
      <w:r w:rsidR="00E847C0">
        <w:br w:type="page"/>
      </w:r>
    </w:p>
    <w:p w14:paraId="1A9C8BA8" w14:textId="77777777" w:rsidR="00DC7F00" w:rsidRDefault="00DC7F00" w:rsidP="00DC7F00">
      <w:pPr>
        <w:pStyle w:val="Heading1"/>
        <w:rPr>
          <w:color w:val="0070AE" w:themeColor="accent2" w:themeTint="BF"/>
        </w:rPr>
      </w:pPr>
      <w:bookmarkStart w:id="3569" w:name="_Toc49508969"/>
      <w:bookmarkStart w:id="3570" w:name="_Toc491872768"/>
      <w:bookmarkStart w:id="3571" w:name="_Toc498691608"/>
      <w:bookmarkStart w:id="3572" w:name="_Toc499043790"/>
      <w:bookmarkStart w:id="3573" w:name="_Toc499051815"/>
      <w:bookmarkStart w:id="3574" w:name="_Toc500251167"/>
      <w:bookmarkStart w:id="3575" w:name="_Toc500251442"/>
      <w:bookmarkStart w:id="3576" w:name="_Toc500254039"/>
      <w:bookmarkStart w:id="3577" w:name="_Toc500401544"/>
      <w:bookmarkStart w:id="3578" w:name="_Toc500491032"/>
      <w:bookmarkStart w:id="3579" w:name="_Toc500512969"/>
      <w:bookmarkStart w:id="3580" w:name="_Toc500514229"/>
      <w:bookmarkStart w:id="3581" w:name="_Toc500516281"/>
      <w:bookmarkStart w:id="3582" w:name="_Toc44514583"/>
      <w:bookmarkStart w:id="3583" w:name="_Toc45030359"/>
      <w:bookmarkStart w:id="3584" w:name="_Toc48996328"/>
      <w:bookmarkStart w:id="3585" w:name="_Toc49350855"/>
      <w:bookmarkStart w:id="3586" w:name="_Toc49352835"/>
      <w:bookmarkStart w:id="3587" w:name="_Toc49354211"/>
      <w:bookmarkStart w:id="3588" w:name="_Toc49355537"/>
      <w:bookmarkStart w:id="3589" w:name="_Toc49429295"/>
      <w:bookmarkStart w:id="3590" w:name="_Toc49434052"/>
      <w:bookmarkStart w:id="3591" w:name="_Toc49441045"/>
      <w:bookmarkStart w:id="3592" w:name="_Toc49441235"/>
      <w:bookmarkStart w:id="3593" w:name="_Toc49442238"/>
      <w:bookmarkStart w:id="3594" w:name="_Toc49508971"/>
      <w:bookmarkStart w:id="3595" w:name="_Toc49519780"/>
      <w:bookmarkStart w:id="3596" w:name="_Toc49521498"/>
      <w:bookmarkStart w:id="3597" w:name="_Toc49524570"/>
      <w:bookmarkStart w:id="3598" w:name="_Toc49524708"/>
      <w:bookmarkStart w:id="3599" w:name="_Toc49527177"/>
      <w:bookmarkStart w:id="3600" w:name="_Toc49528015"/>
      <w:bookmarkStart w:id="3601" w:name="_Toc49692167"/>
      <w:bookmarkStart w:id="3602" w:name="_Toc49710539"/>
      <w:bookmarkStart w:id="3603" w:name="_Toc49710711"/>
      <w:bookmarkStart w:id="3604" w:name="_Toc49713264"/>
      <w:bookmarkStart w:id="3605" w:name="_Toc49713466"/>
      <w:bookmarkStart w:id="3606" w:name="_Toc49776404"/>
      <w:bookmarkStart w:id="3607" w:name="_Toc49784963"/>
      <w:bookmarkStart w:id="3608" w:name="_Toc49786289"/>
      <w:bookmarkStart w:id="3609" w:name="_Toc49787337"/>
      <w:bookmarkStart w:id="3610" w:name="_Toc49787392"/>
      <w:bookmarkStart w:id="3611" w:name="_Toc49850706"/>
      <w:bookmarkStart w:id="3612" w:name="_Toc49852948"/>
      <w:bookmarkStart w:id="3613" w:name="_Toc49854365"/>
      <w:bookmarkStart w:id="3614" w:name="_Toc49856961"/>
      <w:bookmarkStart w:id="3615" w:name="_Toc49858277"/>
      <w:bookmarkStart w:id="3616" w:name="_Toc49858332"/>
      <w:bookmarkStart w:id="3617" w:name="_Toc49863034"/>
      <w:bookmarkStart w:id="3618" w:name="_Toc49867757"/>
      <w:bookmarkStart w:id="3619" w:name="_Toc49870594"/>
      <w:bookmarkStart w:id="3620" w:name="_Toc49871337"/>
      <w:bookmarkStart w:id="3621" w:name="_Toc49872018"/>
      <w:bookmarkStart w:id="3622" w:name="_Toc49872571"/>
      <w:bookmarkStart w:id="3623" w:name="_Toc50027782"/>
      <w:bookmarkStart w:id="3624" w:name="_Toc50029476"/>
      <w:bookmarkStart w:id="3625" w:name="_Toc50043904"/>
      <w:bookmarkStart w:id="3626" w:name="_Toc50057756"/>
      <w:bookmarkStart w:id="3627" w:name="_Toc50553634"/>
      <w:bookmarkStart w:id="3628" w:name="_Toc50555397"/>
      <w:bookmarkStart w:id="3629" w:name="_Toc50559857"/>
      <w:bookmarkStart w:id="3630" w:name="_Toc50559910"/>
      <w:bookmarkStart w:id="3631" w:name="_Toc50563844"/>
      <w:bookmarkStart w:id="3632" w:name="_Toc50711397"/>
      <w:bookmarkStart w:id="3633" w:name="_Toc50720979"/>
      <w:bookmarkStart w:id="3634" w:name="_Toc50730703"/>
      <w:bookmarkStart w:id="3635" w:name="_Toc50734929"/>
      <w:bookmarkStart w:id="3636" w:name="_Toc50735532"/>
      <w:bookmarkStart w:id="3637" w:name="_Toc50905551"/>
      <w:bookmarkStart w:id="3638" w:name="_Toc51587036"/>
      <w:bookmarkStart w:id="3639" w:name="_Toc51594896"/>
      <w:bookmarkStart w:id="3640" w:name="_Toc51599499"/>
      <w:bookmarkStart w:id="3641" w:name="_Toc51613535"/>
      <w:bookmarkStart w:id="3642" w:name="_Toc51669646"/>
      <w:bookmarkStart w:id="3643" w:name="_Toc51669741"/>
      <w:bookmarkStart w:id="3644" w:name="_Toc51672890"/>
      <w:bookmarkStart w:id="3645" w:name="_Toc51673940"/>
      <w:bookmarkStart w:id="3646" w:name="_Toc51680757"/>
      <w:bookmarkStart w:id="3647" w:name="_Toc51683286"/>
      <w:bookmarkStart w:id="3648" w:name="_Toc51686022"/>
      <w:bookmarkStart w:id="3649" w:name="_Toc51687760"/>
      <w:bookmarkStart w:id="3650" w:name="_Toc51687904"/>
      <w:bookmarkStart w:id="3651" w:name="_Toc51705782"/>
      <w:bookmarkStart w:id="3652" w:name="_Toc51770728"/>
      <w:bookmarkStart w:id="3653" w:name="_Toc51770914"/>
      <w:bookmarkStart w:id="3654" w:name="_Toc52359257"/>
      <w:bookmarkStart w:id="3655" w:name="_Toc52367290"/>
      <w:bookmarkStart w:id="3656" w:name="_Toc52371630"/>
      <w:bookmarkStart w:id="3657" w:name="_Toc52374778"/>
      <w:bookmarkStart w:id="3658" w:name="_Toc52377316"/>
      <w:bookmarkStart w:id="3659" w:name="_Toc52379238"/>
      <w:bookmarkStart w:id="3660" w:name="_Toc52379593"/>
      <w:bookmarkStart w:id="3661" w:name="_Toc52532803"/>
      <w:bookmarkStart w:id="3662" w:name="_Toc52535698"/>
      <w:bookmarkStart w:id="3663" w:name="_Toc52537516"/>
      <w:bookmarkStart w:id="3664" w:name="_Toc52544079"/>
      <w:bookmarkStart w:id="3665" w:name="_Toc52545683"/>
      <w:bookmarkStart w:id="3666" w:name="_Toc52547915"/>
      <w:bookmarkStart w:id="3667" w:name="_Toc52548604"/>
      <w:bookmarkStart w:id="3668" w:name="_Toc52890896"/>
      <w:bookmarkStart w:id="3669" w:name="_Toc52895099"/>
      <w:bookmarkStart w:id="3670" w:name="_Toc52896623"/>
      <w:bookmarkStart w:id="3671" w:name="_Toc52977800"/>
      <w:bookmarkStart w:id="3672" w:name="_Toc53129486"/>
      <w:bookmarkStart w:id="3673" w:name="_Toc497819538"/>
      <w:bookmarkEnd w:id="3569"/>
      <w:r w:rsidRPr="001C19F1">
        <w:rPr>
          <w:color w:val="0070AE" w:themeColor="accent2" w:themeTint="BF"/>
        </w:rPr>
        <w:t>Glossary of terms</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p>
    <w:p w14:paraId="2D45B2A9" w14:textId="77777777" w:rsidR="001C19F1" w:rsidRPr="001C19F1" w:rsidRDefault="001C19F1" w:rsidP="001C19F1"/>
    <w:tbl>
      <w:tblPr>
        <w:tblStyle w:val="ListTable4-Accent21"/>
        <w:tblW w:w="9629" w:type="dxa"/>
        <w:tblBorders>
          <w:top w:val="dotted" w:sz="4" w:space="0" w:color="939598" w:themeColor="accent1"/>
          <w:left w:val="none" w:sz="0" w:space="0" w:color="auto"/>
          <w:bottom w:val="dotted" w:sz="4" w:space="0" w:color="939598" w:themeColor="accent1"/>
          <w:right w:val="none" w:sz="0" w:space="0" w:color="auto"/>
          <w:insideH w:val="dotted" w:sz="4" w:space="0" w:color="939598" w:themeColor="accent1"/>
        </w:tblBorders>
        <w:tblLook w:val="0400" w:firstRow="0" w:lastRow="0" w:firstColumn="0" w:lastColumn="0" w:noHBand="0" w:noVBand="1"/>
      </w:tblPr>
      <w:tblGrid>
        <w:gridCol w:w="2528"/>
        <w:gridCol w:w="7101"/>
      </w:tblGrid>
      <w:tr w:rsidR="008C02AA" w:rsidRPr="00B32198" w14:paraId="5EBFA674"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43740561"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additionality </w:t>
            </w:r>
          </w:p>
        </w:tc>
        <w:tc>
          <w:tcPr>
            <w:tcW w:w="7101" w:type="dxa"/>
            <w:shd w:val="clear" w:color="auto" w:fill="0070AE" w:themeFill="accent2" w:themeFillTint="BF"/>
          </w:tcPr>
          <w:p w14:paraId="54FF3C78"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Emissions reductions that are additional to what could have occurred in the absence of a policy-induced project or activity. </w:t>
            </w:r>
          </w:p>
        </w:tc>
      </w:tr>
      <w:tr w:rsidR="008C02AA" w:rsidRPr="00B32198" w14:paraId="0580185B" w14:textId="77777777" w:rsidTr="008C02AA">
        <w:tc>
          <w:tcPr>
            <w:tcW w:w="2528" w:type="dxa"/>
          </w:tcPr>
          <w:p w14:paraId="79618854" w14:textId="77777777" w:rsidR="008C02AA" w:rsidRPr="00B32198" w:rsidRDefault="008C02AA" w:rsidP="008C02AA">
            <w:pPr>
              <w:spacing w:before="120"/>
              <w:rPr>
                <w:rFonts w:cs="Arial"/>
                <w:szCs w:val="20"/>
                <w:lang w:val="en-GB" w:eastAsia="en-AU"/>
              </w:rPr>
            </w:pPr>
            <w:r>
              <w:rPr>
                <w:rFonts w:cs="Arial"/>
                <w:szCs w:val="20"/>
              </w:rPr>
              <w:t xml:space="preserve">aggregation agreement </w:t>
            </w:r>
          </w:p>
        </w:tc>
        <w:tc>
          <w:tcPr>
            <w:tcW w:w="7101" w:type="dxa"/>
          </w:tcPr>
          <w:p w14:paraId="2DB7F6B4" w14:textId="77777777" w:rsidR="008C02AA" w:rsidRPr="00B32198" w:rsidRDefault="008C02AA" w:rsidP="008C02AA">
            <w:pPr>
              <w:spacing w:before="120"/>
              <w:rPr>
                <w:rFonts w:cs="Arial"/>
                <w:szCs w:val="20"/>
                <w:lang w:val="en-GB" w:eastAsia="en-AU"/>
              </w:rPr>
            </w:pPr>
            <w:r>
              <w:rPr>
                <w:rFonts w:cs="Arial"/>
                <w:szCs w:val="20"/>
              </w:rPr>
              <w:t xml:space="preserve">An agreement for carbon services related to participating in the ERF. Can include aggregators, site owners (or landholders) and service providers. </w:t>
            </w:r>
          </w:p>
        </w:tc>
      </w:tr>
      <w:tr w:rsidR="008C02AA" w:rsidRPr="00B32198" w14:paraId="28CD4670"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1E33210B"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Australian Carbon Credit Unit (ACCU)</w:t>
            </w:r>
          </w:p>
        </w:tc>
        <w:tc>
          <w:tcPr>
            <w:tcW w:w="7101" w:type="dxa"/>
            <w:shd w:val="clear" w:color="auto" w:fill="0070AE" w:themeFill="accent2" w:themeFillTint="BF"/>
          </w:tcPr>
          <w:p w14:paraId="79F640DF" w14:textId="40F17548" w:rsidR="007B1342" w:rsidRPr="00E162C0" w:rsidRDefault="008C02AA" w:rsidP="001D10CD">
            <w:pPr>
              <w:spacing w:before="120"/>
              <w:rPr>
                <w:rFonts w:cs="Arial"/>
                <w:color w:val="FFFFFF" w:themeColor="background1"/>
              </w:rPr>
            </w:pPr>
            <w:r w:rsidRPr="00E162C0">
              <w:rPr>
                <w:rFonts w:cs="Arial"/>
                <w:color w:val="FFFFFF" w:themeColor="background1"/>
                <w:szCs w:val="20"/>
              </w:rPr>
              <w:t>A unit issued for verified emissions reductions under the C</w:t>
            </w:r>
            <w:r w:rsidR="007B1342" w:rsidRPr="00E162C0">
              <w:rPr>
                <w:rFonts w:cs="Arial"/>
                <w:color w:val="FFFFFF" w:themeColor="background1"/>
                <w:szCs w:val="20"/>
              </w:rPr>
              <w:t xml:space="preserve">arbon </w:t>
            </w:r>
            <w:r w:rsidRPr="00E162C0">
              <w:rPr>
                <w:rFonts w:cs="Arial"/>
                <w:color w:val="FFFFFF" w:themeColor="background1"/>
                <w:szCs w:val="20"/>
              </w:rPr>
              <w:t>F</w:t>
            </w:r>
            <w:r w:rsidR="007B1342" w:rsidRPr="00E162C0">
              <w:rPr>
                <w:rFonts w:cs="Arial"/>
                <w:color w:val="FFFFFF" w:themeColor="background1"/>
                <w:szCs w:val="20"/>
              </w:rPr>
              <w:t>arming Initiative</w:t>
            </w:r>
            <w:r w:rsidRPr="00E162C0">
              <w:rPr>
                <w:rFonts w:cs="Arial"/>
                <w:color w:val="FFFFFF" w:themeColor="background1"/>
                <w:szCs w:val="20"/>
              </w:rPr>
              <w:t xml:space="preserve"> and the ERF. </w:t>
            </w:r>
          </w:p>
          <w:p w14:paraId="2A876F80" w14:textId="0A2D2719" w:rsidR="008C02AA" w:rsidRPr="00E162C0" w:rsidRDefault="007B1342" w:rsidP="008C02AA">
            <w:pPr>
              <w:spacing w:before="120"/>
              <w:rPr>
                <w:rFonts w:cs="Arial"/>
                <w:color w:val="FFFFFF" w:themeColor="background1"/>
                <w:szCs w:val="20"/>
              </w:rPr>
            </w:pPr>
            <w:r w:rsidRPr="00E162C0">
              <w:rPr>
                <w:rFonts w:cs="Arial"/>
                <w:color w:val="FFFFFF" w:themeColor="background1"/>
                <w:szCs w:val="20"/>
              </w:rPr>
              <w:t>The Australian National Registry of Emissions Units supports the issuance, holding, transfer, and acquisition of Australian Carbon Credit Units (ACCUs) issued under the Australian Government's Emissions Reduction Fund.</w:t>
            </w:r>
          </w:p>
        </w:tc>
      </w:tr>
      <w:tr w:rsidR="008C02AA" w:rsidRPr="00B32198" w14:paraId="561593BA" w14:textId="77777777" w:rsidTr="008C02AA">
        <w:tc>
          <w:tcPr>
            <w:tcW w:w="2528" w:type="dxa"/>
          </w:tcPr>
          <w:p w14:paraId="6613EE5B" w14:textId="77777777" w:rsidR="008C02AA" w:rsidRPr="00B32198" w:rsidRDefault="008C02AA" w:rsidP="008C02AA">
            <w:pPr>
              <w:spacing w:before="120"/>
              <w:rPr>
                <w:rFonts w:cs="Arial"/>
                <w:szCs w:val="20"/>
              </w:rPr>
            </w:pPr>
            <w:r>
              <w:rPr>
                <w:rFonts w:cs="Arial"/>
                <w:szCs w:val="20"/>
              </w:rPr>
              <w:t>baseline</w:t>
            </w:r>
          </w:p>
        </w:tc>
        <w:tc>
          <w:tcPr>
            <w:tcW w:w="7101" w:type="dxa"/>
          </w:tcPr>
          <w:p w14:paraId="25AC17B0" w14:textId="77777777" w:rsidR="008C02AA" w:rsidRPr="00B32198" w:rsidRDefault="008C02AA" w:rsidP="008C02AA">
            <w:pPr>
              <w:spacing w:before="120"/>
              <w:rPr>
                <w:rFonts w:cs="Arial"/>
                <w:szCs w:val="20"/>
              </w:rPr>
            </w:pPr>
            <w:r>
              <w:rPr>
                <w:rFonts w:cs="Arial"/>
                <w:szCs w:val="20"/>
              </w:rPr>
              <w:t>A counterfactual scenario of future emissions that would have been expected to occur without the emissions-reducing activity.</w:t>
            </w:r>
            <w:r w:rsidRPr="00B32198">
              <w:rPr>
                <w:rFonts w:cs="Arial"/>
                <w:szCs w:val="20"/>
              </w:rPr>
              <w:t xml:space="preserve"> </w:t>
            </w:r>
          </w:p>
        </w:tc>
      </w:tr>
      <w:tr w:rsidR="008C02AA" w:rsidRPr="00B32198" w14:paraId="26AD38A6"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14D129C7"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business as usual </w:t>
            </w:r>
          </w:p>
        </w:tc>
        <w:tc>
          <w:tcPr>
            <w:tcW w:w="7101" w:type="dxa"/>
            <w:shd w:val="clear" w:color="auto" w:fill="0070AE" w:themeFill="accent2" w:themeFillTint="BF"/>
          </w:tcPr>
          <w:p w14:paraId="373C7DA7"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Emissions that would occur without policy intervention. </w:t>
            </w:r>
          </w:p>
        </w:tc>
      </w:tr>
      <w:tr w:rsidR="008C02AA" w:rsidRPr="00425178" w14:paraId="4110BD84" w14:textId="77777777" w:rsidTr="008C02AA">
        <w:tc>
          <w:tcPr>
            <w:tcW w:w="2528" w:type="dxa"/>
          </w:tcPr>
          <w:p w14:paraId="5E630EFF" w14:textId="77777777" w:rsidR="008C02AA" w:rsidRPr="00B32198" w:rsidRDefault="008C02AA" w:rsidP="008C02AA">
            <w:pPr>
              <w:spacing w:before="120"/>
              <w:rPr>
                <w:rFonts w:cs="Arial"/>
                <w:szCs w:val="20"/>
              </w:rPr>
            </w:pPr>
            <w:r>
              <w:rPr>
                <w:rFonts w:cs="Arial"/>
                <w:szCs w:val="20"/>
              </w:rPr>
              <w:t>Carbon Farming Initiative (CFI)</w:t>
            </w:r>
          </w:p>
        </w:tc>
        <w:tc>
          <w:tcPr>
            <w:tcW w:w="7101" w:type="dxa"/>
          </w:tcPr>
          <w:p w14:paraId="19432C8C" w14:textId="77777777" w:rsidR="008C02AA" w:rsidRPr="00425178" w:rsidRDefault="008C02AA" w:rsidP="008C02AA">
            <w:pPr>
              <w:spacing w:before="120"/>
              <w:rPr>
                <w:rFonts w:cs="Arial"/>
                <w:szCs w:val="20"/>
              </w:rPr>
            </w:pPr>
            <w:r w:rsidRPr="00425178">
              <w:rPr>
                <w:szCs w:val="20"/>
              </w:rPr>
              <w:t>An Australian emissions offset scheme that credited emissions reductions from certain sources, such as forestry and agriculture, which were not covered by the carbon pricing mechanism.</w:t>
            </w:r>
          </w:p>
        </w:tc>
      </w:tr>
      <w:tr w:rsidR="008C02AA" w:rsidRPr="00425178" w14:paraId="59C5F330"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3A4355CF"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carbon pricing mechanism</w:t>
            </w:r>
          </w:p>
        </w:tc>
        <w:tc>
          <w:tcPr>
            <w:tcW w:w="7101" w:type="dxa"/>
            <w:shd w:val="clear" w:color="auto" w:fill="0070AE" w:themeFill="accent2" w:themeFillTint="BF"/>
          </w:tcPr>
          <w:p w14:paraId="443FAC68" w14:textId="77777777" w:rsidR="008C02AA" w:rsidRPr="00E162C0" w:rsidRDefault="008C02AA" w:rsidP="008C02AA">
            <w:pPr>
              <w:spacing w:before="120"/>
              <w:rPr>
                <w:rFonts w:cs="Arial"/>
                <w:color w:val="FFFFFF" w:themeColor="background1"/>
                <w:szCs w:val="20"/>
              </w:rPr>
            </w:pPr>
            <w:r w:rsidRPr="00E162C0">
              <w:rPr>
                <w:color w:val="FFFFFF" w:themeColor="background1"/>
                <w:szCs w:val="20"/>
              </w:rPr>
              <w:t xml:space="preserve">An emissions trading scheme introduced under the </w:t>
            </w:r>
            <w:r w:rsidRPr="00E162C0">
              <w:rPr>
                <w:i/>
                <w:color w:val="FFFFFF" w:themeColor="background1"/>
                <w:szCs w:val="20"/>
              </w:rPr>
              <w:t>Clean Energy Act 2011</w:t>
            </w:r>
            <w:r w:rsidRPr="00E162C0">
              <w:rPr>
                <w:color w:val="FFFFFF" w:themeColor="background1"/>
                <w:szCs w:val="20"/>
              </w:rPr>
              <w:t xml:space="preserve"> (Cth) and applied to Australia’s biggest emitters (called ‘liable entities’). It was repealed in July 2014.</w:t>
            </w:r>
          </w:p>
        </w:tc>
      </w:tr>
      <w:tr w:rsidR="008C02AA" w:rsidRPr="00425178" w14:paraId="2C47B230" w14:textId="77777777" w:rsidTr="008C02AA">
        <w:tc>
          <w:tcPr>
            <w:tcW w:w="2528" w:type="dxa"/>
          </w:tcPr>
          <w:p w14:paraId="1A0F5760" w14:textId="77777777" w:rsidR="008C02AA" w:rsidRDefault="008C02AA" w:rsidP="008C02AA">
            <w:pPr>
              <w:spacing w:before="120"/>
              <w:rPr>
                <w:rFonts w:cs="Arial"/>
                <w:szCs w:val="20"/>
              </w:rPr>
            </w:pPr>
            <w:r>
              <w:rPr>
                <w:rFonts w:cs="Arial"/>
                <w:szCs w:val="20"/>
              </w:rPr>
              <w:t>carbon service provider</w:t>
            </w:r>
          </w:p>
        </w:tc>
        <w:tc>
          <w:tcPr>
            <w:tcW w:w="7101" w:type="dxa"/>
          </w:tcPr>
          <w:p w14:paraId="5997B6AB" w14:textId="77777777" w:rsidR="008C02AA" w:rsidRPr="00425178" w:rsidRDefault="008C02AA" w:rsidP="008C02AA">
            <w:pPr>
              <w:spacing w:before="120"/>
              <w:rPr>
                <w:szCs w:val="20"/>
              </w:rPr>
            </w:pPr>
            <w:r w:rsidRPr="00425178">
              <w:rPr>
                <w:szCs w:val="20"/>
              </w:rPr>
              <w:t>Individuals or groups that develop ERF projects, provide advice on project registration, implementation and management, aggregate projects or contracts or act as designated agents, whereby they are authorised to act on the scheme participant’s behalf.</w:t>
            </w:r>
          </w:p>
        </w:tc>
      </w:tr>
      <w:tr w:rsidR="008C02AA" w:rsidRPr="00B32198" w14:paraId="6C630A5F"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558B9CC6" w14:textId="77777777" w:rsidR="008C02AA" w:rsidRPr="00E162C0" w:rsidRDefault="008C02AA" w:rsidP="008C02AA">
            <w:pPr>
              <w:spacing w:before="120"/>
              <w:rPr>
                <w:rFonts w:cs="Arial"/>
                <w:color w:val="FFFFFF" w:themeColor="background1"/>
                <w:szCs w:val="20"/>
                <w:lang w:val="en-GB" w:eastAsia="en-AU"/>
              </w:rPr>
            </w:pPr>
            <w:r w:rsidRPr="00E162C0">
              <w:rPr>
                <w:rFonts w:cs="Arial"/>
                <w:color w:val="FFFFFF" w:themeColor="background1"/>
                <w:szCs w:val="20"/>
              </w:rPr>
              <w:t>co</w:t>
            </w:r>
            <w:r w:rsidRPr="00E162C0">
              <w:rPr>
                <w:rFonts w:cs="Arial"/>
                <w:color w:val="FFFFFF" w:themeColor="background1"/>
                <w:szCs w:val="20"/>
              </w:rPr>
              <w:noBreakHyphen/>
              <w:t>benefits</w:t>
            </w:r>
          </w:p>
        </w:tc>
        <w:tc>
          <w:tcPr>
            <w:tcW w:w="7101" w:type="dxa"/>
            <w:shd w:val="clear" w:color="auto" w:fill="0070AE" w:themeFill="accent2" w:themeFillTint="BF"/>
          </w:tcPr>
          <w:p w14:paraId="680A40C1" w14:textId="77777777" w:rsidR="008C02AA" w:rsidRPr="00E162C0" w:rsidRDefault="008C02AA" w:rsidP="008C02AA">
            <w:pPr>
              <w:spacing w:before="120"/>
              <w:rPr>
                <w:rFonts w:cs="Arial"/>
                <w:color w:val="FFFFFF" w:themeColor="background1"/>
                <w:szCs w:val="20"/>
                <w:lang w:val="en-GB" w:eastAsia="en-AU"/>
              </w:rPr>
            </w:pPr>
            <w:r w:rsidRPr="00E162C0">
              <w:rPr>
                <w:rFonts w:cs="Arial"/>
                <w:color w:val="FFFFFF" w:themeColor="background1"/>
                <w:szCs w:val="20"/>
              </w:rPr>
              <w:t xml:space="preserve">Benefits that arise from the introduction of a policy in addition to its main purpose. </w:t>
            </w:r>
          </w:p>
        </w:tc>
      </w:tr>
      <w:tr w:rsidR="008C02AA" w:rsidRPr="00425178" w14:paraId="6B785533" w14:textId="77777777" w:rsidTr="008C02AA">
        <w:tc>
          <w:tcPr>
            <w:tcW w:w="2528" w:type="dxa"/>
          </w:tcPr>
          <w:p w14:paraId="2E91CBAF" w14:textId="77777777" w:rsidR="008C02AA" w:rsidRPr="00B32198" w:rsidRDefault="008C02AA" w:rsidP="008C02AA">
            <w:pPr>
              <w:spacing w:before="120"/>
              <w:rPr>
                <w:rFonts w:cs="Arial"/>
                <w:szCs w:val="20"/>
              </w:rPr>
            </w:pPr>
            <w:r>
              <w:rPr>
                <w:rFonts w:cs="Arial"/>
                <w:szCs w:val="20"/>
              </w:rPr>
              <w:t xml:space="preserve">contract period </w:t>
            </w:r>
          </w:p>
        </w:tc>
        <w:tc>
          <w:tcPr>
            <w:tcW w:w="7101" w:type="dxa"/>
          </w:tcPr>
          <w:p w14:paraId="2A3FC514" w14:textId="77777777" w:rsidR="008C02AA" w:rsidRPr="00425178" w:rsidRDefault="008C02AA" w:rsidP="008C02AA">
            <w:pPr>
              <w:spacing w:before="120"/>
              <w:rPr>
                <w:rFonts w:cs="Arial"/>
                <w:szCs w:val="20"/>
              </w:rPr>
            </w:pPr>
            <w:r w:rsidRPr="00425178">
              <w:rPr>
                <w:szCs w:val="20"/>
              </w:rPr>
              <w:t>Period over which ERF projects receive payment from a Government contract in exchange for delivery of ACCUs.</w:t>
            </w:r>
          </w:p>
        </w:tc>
      </w:tr>
      <w:tr w:rsidR="008C02AA" w:rsidRPr="00425178" w14:paraId="2284DD6E"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02696391"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crediting period </w:t>
            </w:r>
          </w:p>
        </w:tc>
        <w:tc>
          <w:tcPr>
            <w:tcW w:w="7101" w:type="dxa"/>
            <w:shd w:val="clear" w:color="auto" w:fill="0070AE" w:themeFill="accent2" w:themeFillTint="BF"/>
          </w:tcPr>
          <w:p w14:paraId="201D63A8" w14:textId="77777777" w:rsidR="008C02AA" w:rsidRPr="00E162C0" w:rsidRDefault="008C02AA" w:rsidP="008C02AA">
            <w:pPr>
              <w:spacing w:before="120"/>
              <w:rPr>
                <w:color w:val="FFFFFF" w:themeColor="background1"/>
                <w:szCs w:val="20"/>
              </w:rPr>
            </w:pPr>
            <w:r w:rsidRPr="00E162C0">
              <w:rPr>
                <w:color w:val="FFFFFF" w:themeColor="background1"/>
                <w:szCs w:val="20"/>
              </w:rPr>
              <w:t>Period over which a registered ERF project can earn ACCUs.</w:t>
            </w:r>
          </w:p>
        </w:tc>
      </w:tr>
      <w:tr w:rsidR="008C02AA" w:rsidRPr="00425178" w14:paraId="4646BD97" w14:textId="77777777" w:rsidTr="008C02AA">
        <w:tc>
          <w:tcPr>
            <w:tcW w:w="2528" w:type="dxa"/>
          </w:tcPr>
          <w:p w14:paraId="5E2F94AF" w14:textId="77777777" w:rsidR="008C02AA" w:rsidRDefault="008C02AA" w:rsidP="008C02AA">
            <w:pPr>
              <w:spacing w:before="120"/>
              <w:rPr>
                <w:rFonts w:cs="Arial"/>
                <w:szCs w:val="20"/>
              </w:rPr>
            </w:pPr>
            <w:r>
              <w:rPr>
                <w:rFonts w:cs="Arial"/>
                <w:szCs w:val="20"/>
              </w:rPr>
              <w:t>designated agent</w:t>
            </w:r>
          </w:p>
        </w:tc>
        <w:tc>
          <w:tcPr>
            <w:tcW w:w="7101" w:type="dxa"/>
          </w:tcPr>
          <w:p w14:paraId="6267E19A" w14:textId="77777777" w:rsidR="008C02AA" w:rsidRPr="00425178" w:rsidRDefault="008C02AA" w:rsidP="008C02AA">
            <w:pPr>
              <w:spacing w:before="120"/>
              <w:rPr>
                <w:szCs w:val="20"/>
              </w:rPr>
            </w:pPr>
            <w:r w:rsidRPr="00425178">
              <w:rPr>
                <w:szCs w:val="20"/>
              </w:rPr>
              <w:t>An individual or company authorised to act on the scheme participants behalf in relation to an ERF project.</w:t>
            </w:r>
          </w:p>
        </w:tc>
      </w:tr>
      <w:tr w:rsidR="008C02AA" w:rsidRPr="00425178" w14:paraId="56793C6B"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22E4323C"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Eligible interest holder consent</w:t>
            </w:r>
          </w:p>
        </w:tc>
        <w:tc>
          <w:tcPr>
            <w:tcW w:w="7101" w:type="dxa"/>
            <w:shd w:val="clear" w:color="auto" w:fill="0070AE" w:themeFill="accent2" w:themeFillTint="BF"/>
          </w:tcPr>
          <w:p w14:paraId="2767DC40" w14:textId="77777777" w:rsidR="008C02AA" w:rsidRPr="00E162C0" w:rsidRDefault="008C02AA" w:rsidP="008C02AA">
            <w:pPr>
              <w:spacing w:before="120"/>
              <w:rPr>
                <w:color w:val="FFFFFF" w:themeColor="background1"/>
                <w:szCs w:val="20"/>
              </w:rPr>
            </w:pPr>
            <w:r w:rsidRPr="00E162C0">
              <w:rPr>
                <w:color w:val="FFFFFF" w:themeColor="background1"/>
                <w:szCs w:val="20"/>
              </w:rPr>
              <w:t>Approval from those holding an eligible interest in land on which an ERF project will run.</w:t>
            </w:r>
          </w:p>
        </w:tc>
      </w:tr>
      <w:tr w:rsidR="008C02AA" w:rsidRPr="00B32198" w14:paraId="07426CA6" w14:textId="77777777" w:rsidTr="008C02AA">
        <w:tc>
          <w:tcPr>
            <w:tcW w:w="2528" w:type="dxa"/>
          </w:tcPr>
          <w:p w14:paraId="040FC56B" w14:textId="77777777" w:rsidR="008C02AA" w:rsidRPr="00B32198" w:rsidRDefault="008C02AA" w:rsidP="008C02AA">
            <w:pPr>
              <w:spacing w:before="120"/>
              <w:rPr>
                <w:rFonts w:cs="Arial"/>
                <w:szCs w:val="20"/>
                <w:lang w:val="en-GB" w:eastAsia="en-AU"/>
              </w:rPr>
            </w:pPr>
            <w:r w:rsidRPr="00B32198">
              <w:rPr>
                <w:rFonts w:cs="Arial"/>
                <w:szCs w:val="20"/>
              </w:rPr>
              <w:t>emissions intensity</w:t>
            </w:r>
          </w:p>
        </w:tc>
        <w:tc>
          <w:tcPr>
            <w:tcW w:w="7101" w:type="dxa"/>
          </w:tcPr>
          <w:p w14:paraId="6C15469A" w14:textId="014198B1" w:rsidR="008C02AA" w:rsidRPr="00B32198" w:rsidRDefault="008C02AA" w:rsidP="008C02AA">
            <w:pPr>
              <w:spacing w:before="120"/>
              <w:rPr>
                <w:rFonts w:cs="Arial"/>
                <w:szCs w:val="20"/>
                <w:lang w:val="en-GB" w:eastAsia="en-AU"/>
              </w:rPr>
            </w:pPr>
            <w:r w:rsidRPr="00B32198">
              <w:rPr>
                <w:rFonts w:cs="Arial"/>
                <w:szCs w:val="20"/>
              </w:rPr>
              <w:t>A measure of the amount of emissions associated with a unit of output—for example, emissions per unit of gross domestic pr</w:t>
            </w:r>
            <w:r>
              <w:rPr>
                <w:rFonts w:cs="Arial"/>
                <w:szCs w:val="20"/>
              </w:rPr>
              <w:t>oduct or electricity production</w:t>
            </w:r>
            <w:r w:rsidR="007F224C">
              <w:rPr>
                <w:rFonts w:cs="Arial"/>
                <w:szCs w:val="20"/>
              </w:rPr>
              <w:t>,</w:t>
            </w:r>
            <w:r>
              <w:rPr>
                <w:rFonts w:cs="Arial"/>
                <w:szCs w:val="20"/>
              </w:rPr>
              <w:t xml:space="preserve"> emissions per kilo of beef. </w:t>
            </w:r>
          </w:p>
        </w:tc>
      </w:tr>
      <w:tr w:rsidR="008C02AA" w:rsidRPr="00B32198" w14:paraId="4AEB8C26"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1A4EC298"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emissions reduction</w:t>
            </w:r>
          </w:p>
        </w:tc>
        <w:tc>
          <w:tcPr>
            <w:tcW w:w="7101" w:type="dxa"/>
            <w:shd w:val="clear" w:color="auto" w:fill="0070AE" w:themeFill="accent2" w:themeFillTint="BF"/>
          </w:tcPr>
          <w:p w14:paraId="5A8C1417"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The act or process of limiting, restricting or sequestering greenhouse gas emissions. </w:t>
            </w:r>
          </w:p>
        </w:tc>
      </w:tr>
      <w:tr w:rsidR="008C02AA" w:rsidRPr="00425178" w14:paraId="548B31A0" w14:textId="77777777" w:rsidTr="008C02AA">
        <w:tc>
          <w:tcPr>
            <w:tcW w:w="2528" w:type="dxa"/>
          </w:tcPr>
          <w:p w14:paraId="496C66D2" w14:textId="77777777" w:rsidR="008C02AA" w:rsidRPr="00B32198" w:rsidRDefault="008C02AA" w:rsidP="008C02AA">
            <w:pPr>
              <w:spacing w:before="120"/>
              <w:rPr>
                <w:rFonts w:cs="Arial"/>
                <w:szCs w:val="20"/>
              </w:rPr>
            </w:pPr>
            <w:r>
              <w:rPr>
                <w:rFonts w:cs="Arial"/>
                <w:szCs w:val="20"/>
              </w:rPr>
              <w:t>Emissions Reduction Assurance Committee (ERAC)</w:t>
            </w:r>
          </w:p>
        </w:tc>
        <w:tc>
          <w:tcPr>
            <w:tcW w:w="7101" w:type="dxa"/>
          </w:tcPr>
          <w:p w14:paraId="5EB15809" w14:textId="1C7BF243" w:rsidR="008C02AA" w:rsidRPr="00425178" w:rsidRDefault="008C02AA" w:rsidP="008C02AA">
            <w:pPr>
              <w:spacing w:before="120"/>
              <w:rPr>
                <w:rFonts w:cs="Arial"/>
                <w:szCs w:val="20"/>
              </w:rPr>
            </w:pPr>
            <w:r w:rsidRPr="00425178">
              <w:rPr>
                <w:szCs w:val="20"/>
              </w:rPr>
              <w:t xml:space="preserve">An independent, expert committee that assesses whether methods meet the Offsets Integrity Standards of the ERF and provide advice to </w:t>
            </w:r>
            <w:r w:rsidR="007B1342">
              <w:rPr>
                <w:szCs w:val="20"/>
              </w:rPr>
              <w:t>the Minister</w:t>
            </w:r>
            <w:r w:rsidRPr="00425178">
              <w:rPr>
                <w:szCs w:val="20"/>
              </w:rPr>
              <w:t>.</w:t>
            </w:r>
          </w:p>
        </w:tc>
      </w:tr>
      <w:tr w:rsidR="008C02AA" w:rsidRPr="00425178" w14:paraId="2D9634CA"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7AFBB797"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Emissions Reduction Fund (ERF) </w:t>
            </w:r>
          </w:p>
        </w:tc>
        <w:tc>
          <w:tcPr>
            <w:tcW w:w="7101" w:type="dxa"/>
            <w:shd w:val="clear" w:color="auto" w:fill="0070AE" w:themeFill="accent2" w:themeFillTint="BF"/>
          </w:tcPr>
          <w:p w14:paraId="25BF0E59" w14:textId="77777777" w:rsidR="008C02AA" w:rsidRPr="00E162C0" w:rsidRDefault="008C02AA" w:rsidP="008C02AA">
            <w:pPr>
              <w:spacing w:before="120"/>
              <w:rPr>
                <w:color w:val="FFFFFF" w:themeColor="background1"/>
                <w:szCs w:val="20"/>
              </w:rPr>
            </w:pPr>
            <w:r w:rsidRPr="00E162C0">
              <w:rPr>
                <w:color w:val="FFFFFF" w:themeColor="background1"/>
                <w:szCs w:val="20"/>
              </w:rPr>
              <w:t>A scheme resulting from the expansion of, streamlining and other changes to the CFI in December 2014. The ERF involves purchases of ACCUs by the Government.</w:t>
            </w:r>
          </w:p>
        </w:tc>
      </w:tr>
      <w:tr w:rsidR="008C02AA" w:rsidRPr="00425178" w14:paraId="0A0A4B7F" w14:textId="77777777" w:rsidTr="008C02AA">
        <w:tc>
          <w:tcPr>
            <w:tcW w:w="2528" w:type="dxa"/>
          </w:tcPr>
          <w:p w14:paraId="7673F5A8" w14:textId="77777777" w:rsidR="008C02AA" w:rsidRDefault="008C02AA" w:rsidP="008C02AA">
            <w:pPr>
              <w:spacing w:before="120"/>
              <w:rPr>
                <w:rFonts w:cs="Arial"/>
                <w:szCs w:val="20"/>
              </w:rPr>
            </w:pPr>
            <w:r>
              <w:rPr>
                <w:rFonts w:cs="Arial"/>
                <w:szCs w:val="20"/>
              </w:rPr>
              <w:t xml:space="preserve">enteric fermentation </w:t>
            </w:r>
          </w:p>
        </w:tc>
        <w:tc>
          <w:tcPr>
            <w:tcW w:w="7101" w:type="dxa"/>
          </w:tcPr>
          <w:p w14:paraId="59A42AC9" w14:textId="77777777" w:rsidR="008C02AA" w:rsidRPr="00425178" w:rsidRDefault="008C02AA" w:rsidP="008C02AA">
            <w:pPr>
              <w:spacing w:before="120"/>
              <w:rPr>
                <w:szCs w:val="20"/>
              </w:rPr>
            </w:pPr>
            <w:r w:rsidRPr="00425178">
              <w:rPr>
                <w:szCs w:val="20"/>
              </w:rPr>
              <w:t>A biological process in ruminant animals by which gases are produced through digestion.</w:t>
            </w:r>
          </w:p>
        </w:tc>
      </w:tr>
      <w:tr w:rsidR="008C02AA" w:rsidRPr="00425178" w14:paraId="35DDCEE9"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47FEFEE2"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Fit and Proper Person test </w:t>
            </w:r>
          </w:p>
        </w:tc>
        <w:tc>
          <w:tcPr>
            <w:tcW w:w="7101" w:type="dxa"/>
            <w:shd w:val="clear" w:color="auto" w:fill="0070AE" w:themeFill="accent2" w:themeFillTint="BF"/>
          </w:tcPr>
          <w:p w14:paraId="1C850357" w14:textId="77777777" w:rsidR="008C02AA" w:rsidRPr="00E162C0" w:rsidRDefault="008C02AA" w:rsidP="008C02AA">
            <w:pPr>
              <w:spacing w:before="40" w:after="40" w:line="200" w:lineRule="exact"/>
              <w:rPr>
                <w:color w:val="FFFFFF" w:themeColor="background1"/>
                <w:szCs w:val="20"/>
              </w:rPr>
            </w:pPr>
            <w:r w:rsidRPr="00E162C0">
              <w:rPr>
                <w:color w:val="FFFFFF" w:themeColor="background1"/>
                <w:szCs w:val="20"/>
              </w:rPr>
              <w:t xml:space="preserve">Individuals and firms must not be convicted of an offence related to dishonest conduct or subject to a bankruptcy and must have competence and capacity to participate in the scheme. </w:t>
            </w:r>
          </w:p>
        </w:tc>
      </w:tr>
      <w:tr w:rsidR="008C02AA" w:rsidRPr="00B32198" w14:paraId="16F02A06" w14:textId="77777777" w:rsidTr="008C02AA">
        <w:tc>
          <w:tcPr>
            <w:tcW w:w="2528" w:type="dxa"/>
          </w:tcPr>
          <w:p w14:paraId="1957A43A" w14:textId="77777777" w:rsidR="008C02AA" w:rsidRPr="00B32198" w:rsidRDefault="008C02AA" w:rsidP="008C02AA">
            <w:pPr>
              <w:spacing w:before="120"/>
              <w:rPr>
                <w:rFonts w:cs="Arial"/>
                <w:szCs w:val="20"/>
              </w:rPr>
            </w:pPr>
            <w:r w:rsidRPr="00B32198">
              <w:rPr>
                <w:rFonts w:cs="Arial"/>
                <w:szCs w:val="20"/>
              </w:rPr>
              <w:t>global warming</w:t>
            </w:r>
          </w:p>
        </w:tc>
        <w:tc>
          <w:tcPr>
            <w:tcW w:w="7101" w:type="dxa"/>
          </w:tcPr>
          <w:p w14:paraId="524407E8" w14:textId="77777777" w:rsidR="008C02AA" w:rsidRPr="00B32198" w:rsidRDefault="008C02AA" w:rsidP="008C02AA">
            <w:pPr>
              <w:spacing w:before="120"/>
              <w:rPr>
                <w:rFonts w:cs="Arial"/>
                <w:szCs w:val="20"/>
              </w:rPr>
            </w:pPr>
            <w:r w:rsidRPr="00B32198">
              <w:rPr>
                <w:rFonts w:cs="Arial"/>
                <w:szCs w:val="20"/>
              </w:rPr>
              <w:t>A warming of global average temperatures caused by increased atmospheric concentrations of greenhouse gases. This warming results in changes to the climate system.</w:t>
            </w:r>
          </w:p>
        </w:tc>
      </w:tr>
      <w:tr w:rsidR="008C02AA" w:rsidRPr="00B32198" w14:paraId="691F03A3"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1688DA62" w14:textId="77777777" w:rsidR="008C02AA" w:rsidRPr="00E162C0" w:rsidRDefault="008C02AA" w:rsidP="008C02AA">
            <w:pPr>
              <w:spacing w:before="120"/>
              <w:rPr>
                <w:rFonts w:cs="Arial"/>
                <w:color w:val="FFFFFF" w:themeColor="background1"/>
                <w:szCs w:val="20"/>
                <w:lang w:val="en-GB" w:eastAsia="en-AU"/>
              </w:rPr>
            </w:pPr>
            <w:r w:rsidRPr="00E162C0">
              <w:rPr>
                <w:rFonts w:cs="Arial"/>
                <w:color w:val="FFFFFF" w:themeColor="background1"/>
                <w:szCs w:val="20"/>
              </w:rPr>
              <w:t xml:space="preserve">greenhouse gas </w:t>
            </w:r>
          </w:p>
        </w:tc>
        <w:tc>
          <w:tcPr>
            <w:tcW w:w="7101" w:type="dxa"/>
            <w:shd w:val="clear" w:color="auto" w:fill="0070AE" w:themeFill="accent2" w:themeFillTint="BF"/>
          </w:tcPr>
          <w:p w14:paraId="1B2EAFE7" w14:textId="77777777" w:rsidR="008C02AA" w:rsidRPr="00E162C0" w:rsidRDefault="008C02AA" w:rsidP="008C02AA">
            <w:pPr>
              <w:spacing w:before="120"/>
              <w:rPr>
                <w:rFonts w:cs="Arial"/>
                <w:color w:val="FFFFFF" w:themeColor="background1"/>
                <w:szCs w:val="20"/>
                <w:lang w:val="en-GB" w:eastAsia="en-AU"/>
              </w:rPr>
            </w:pPr>
            <w:r w:rsidRPr="00E162C0">
              <w:rPr>
                <w:rFonts w:cs="Arial"/>
                <w:color w:val="FFFFFF" w:themeColor="background1"/>
                <w:szCs w:val="20"/>
              </w:rPr>
              <w:t>Any gas (natural or produced by human activities) that absorbs infrared radiation in the atmosphere. Key greenhouse gases include carbon dioxide, water vapour, nitrous oxide, methane and ozone.</w:t>
            </w:r>
          </w:p>
        </w:tc>
      </w:tr>
      <w:tr w:rsidR="008C02AA" w:rsidRPr="001374CA" w14:paraId="2AAF6685" w14:textId="77777777" w:rsidTr="001D10CD">
        <w:tc>
          <w:tcPr>
            <w:tcW w:w="2528" w:type="dxa"/>
            <w:shd w:val="clear" w:color="auto" w:fill="auto"/>
          </w:tcPr>
          <w:p w14:paraId="63903906" w14:textId="77777777" w:rsidR="008C02AA" w:rsidRPr="00B32198" w:rsidRDefault="008C02AA" w:rsidP="008C02AA">
            <w:pPr>
              <w:spacing w:before="120"/>
              <w:rPr>
                <w:rFonts w:cs="Arial"/>
                <w:szCs w:val="20"/>
              </w:rPr>
            </w:pPr>
            <w:r>
              <w:rPr>
                <w:rFonts w:cs="Arial"/>
                <w:szCs w:val="20"/>
              </w:rPr>
              <w:t xml:space="preserve">information asymmetry </w:t>
            </w:r>
          </w:p>
        </w:tc>
        <w:tc>
          <w:tcPr>
            <w:tcW w:w="7101" w:type="dxa"/>
            <w:shd w:val="clear" w:color="auto" w:fill="auto"/>
          </w:tcPr>
          <w:p w14:paraId="2EE88E7F" w14:textId="77777777" w:rsidR="008C02AA" w:rsidRPr="001374CA" w:rsidRDefault="008C02AA" w:rsidP="008C02AA">
            <w:pPr>
              <w:spacing w:before="120"/>
              <w:rPr>
                <w:rFonts w:cs="Arial"/>
                <w:szCs w:val="20"/>
                <w:lang w:val="en-GB" w:eastAsia="en-AU"/>
              </w:rPr>
            </w:pPr>
            <w:r w:rsidRPr="001374CA">
              <w:rPr>
                <w:szCs w:val="20"/>
              </w:rPr>
              <w:t>Information asymmetry occurs in transactions where one party has more or better information than the other.</w:t>
            </w:r>
          </w:p>
        </w:tc>
      </w:tr>
      <w:tr w:rsidR="008C02AA" w:rsidRPr="001374CA" w14:paraId="5BEEE43D"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25FCC1A1"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land sector</w:t>
            </w:r>
          </w:p>
        </w:tc>
        <w:tc>
          <w:tcPr>
            <w:tcW w:w="7101" w:type="dxa"/>
            <w:shd w:val="clear" w:color="auto" w:fill="0070AE" w:themeFill="accent2" w:themeFillTint="BF"/>
          </w:tcPr>
          <w:p w14:paraId="6C9CF1A3" w14:textId="77777777" w:rsidR="008C02AA" w:rsidRPr="00E162C0" w:rsidRDefault="008C02AA" w:rsidP="008C02AA">
            <w:pPr>
              <w:spacing w:before="120"/>
              <w:rPr>
                <w:rFonts w:cs="Arial"/>
                <w:color w:val="FFFFFF" w:themeColor="background1"/>
                <w:szCs w:val="20"/>
                <w:lang w:val="en-GB" w:eastAsia="en-AU"/>
              </w:rPr>
            </w:pPr>
            <w:r w:rsidRPr="00E162C0">
              <w:rPr>
                <w:color w:val="FFFFFF" w:themeColor="background1"/>
                <w:szCs w:val="20"/>
              </w:rPr>
              <w:t>The land use and agriculture sectors (including savanna fire management).</w:t>
            </w:r>
          </w:p>
        </w:tc>
      </w:tr>
      <w:tr w:rsidR="008C02AA" w:rsidRPr="001374CA" w14:paraId="5DB665B6" w14:textId="77777777" w:rsidTr="008C02AA">
        <w:tc>
          <w:tcPr>
            <w:tcW w:w="2528" w:type="dxa"/>
          </w:tcPr>
          <w:p w14:paraId="76B6D2E5" w14:textId="77777777" w:rsidR="008C02AA" w:rsidRPr="00B32198" w:rsidRDefault="008C02AA" w:rsidP="008C02AA">
            <w:pPr>
              <w:spacing w:before="120"/>
              <w:rPr>
                <w:rFonts w:cs="Arial"/>
                <w:szCs w:val="20"/>
              </w:rPr>
            </w:pPr>
            <w:r>
              <w:rPr>
                <w:rFonts w:cs="Arial"/>
                <w:szCs w:val="20"/>
              </w:rPr>
              <w:t>legislative rule</w:t>
            </w:r>
          </w:p>
        </w:tc>
        <w:tc>
          <w:tcPr>
            <w:tcW w:w="7101" w:type="dxa"/>
          </w:tcPr>
          <w:p w14:paraId="5EC59A1E" w14:textId="77777777" w:rsidR="008C02AA" w:rsidRPr="001374CA" w:rsidRDefault="008C02AA" w:rsidP="008C02AA">
            <w:pPr>
              <w:spacing w:before="40" w:after="40" w:line="200" w:lineRule="exact"/>
              <w:rPr>
                <w:color w:val="1F497D"/>
                <w:szCs w:val="20"/>
              </w:rPr>
            </w:pPr>
            <w:r w:rsidRPr="001374CA">
              <w:rPr>
                <w:szCs w:val="20"/>
              </w:rPr>
              <w:t>A legislative rule is legislation, which supports the operation of an Act and can be implemented or amended without being passed by Parliament.</w:t>
            </w:r>
          </w:p>
        </w:tc>
      </w:tr>
      <w:tr w:rsidR="008C02AA" w:rsidRPr="001374CA" w14:paraId="2E38224A"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3968D7C7"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make-good provisions</w:t>
            </w:r>
          </w:p>
        </w:tc>
        <w:tc>
          <w:tcPr>
            <w:tcW w:w="7101" w:type="dxa"/>
            <w:shd w:val="clear" w:color="auto" w:fill="0070AE" w:themeFill="accent2" w:themeFillTint="BF"/>
          </w:tcPr>
          <w:p w14:paraId="062AACE9" w14:textId="77777777" w:rsidR="008C02AA" w:rsidRPr="00E162C0" w:rsidRDefault="008C02AA" w:rsidP="008C02AA">
            <w:pPr>
              <w:spacing w:before="120"/>
              <w:rPr>
                <w:rFonts w:cs="Arial"/>
                <w:color w:val="FFFFFF" w:themeColor="background1"/>
                <w:szCs w:val="20"/>
                <w:lang w:val="en-GB" w:eastAsia="en-AU"/>
              </w:rPr>
            </w:pPr>
            <w:r w:rsidRPr="00E162C0">
              <w:rPr>
                <w:color w:val="FFFFFF" w:themeColor="background1"/>
                <w:szCs w:val="20"/>
              </w:rPr>
              <w:t>Allows scheme participants to meet their obligation to provide ACCUs from projects other than the project they bid on at auction.</w:t>
            </w:r>
          </w:p>
        </w:tc>
      </w:tr>
      <w:tr w:rsidR="008C02AA" w:rsidRPr="00B32198" w14:paraId="74B91C4E" w14:textId="77777777" w:rsidTr="008C02AA">
        <w:tc>
          <w:tcPr>
            <w:tcW w:w="2528" w:type="dxa"/>
          </w:tcPr>
          <w:p w14:paraId="3A883AD6" w14:textId="77777777" w:rsidR="008C02AA" w:rsidRPr="00B32198" w:rsidRDefault="008C02AA" w:rsidP="008C02AA">
            <w:pPr>
              <w:spacing w:before="120"/>
              <w:rPr>
                <w:rFonts w:cs="Arial"/>
                <w:szCs w:val="20"/>
              </w:rPr>
            </w:pPr>
            <w:r>
              <w:rPr>
                <w:rFonts w:cs="Arial"/>
                <w:szCs w:val="20"/>
              </w:rPr>
              <w:t>method</w:t>
            </w:r>
          </w:p>
        </w:tc>
        <w:tc>
          <w:tcPr>
            <w:tcW w:w="7101" w:type="dxa"/>
          </w:tcPr>
          <w:p w14:paraId="1746084C" w14:textId="77777777" w:rsidR="008C02AA" w:rsidRPr="00B32198" w:rsidRDefault="008C02AA" w:rsidP="008C02AA">
            <w:pPr>
              <w:spacing w:before="120"/>
              <w:rPr>
                <w:rFonts w:cs="Arial"/>
                <w:szCs w:val="20"/>
                <w:lang w:val="en-GB" w:eastAsia="en-AU"/>
              </w:rPr>
            </w:pPr>
            <w:r>
              <w:rPr>
                <w:rFonts w:cs="Arial"/>
                <w:szCs w:val="20"/>
              </w:rPr>
              <w:t xml:space="preserve">A legislative instrument that sets the rules for ERF projects. </w:t>
            </w:r>
          </w:p>
        </w:tc>
      </w:tr>
      <w:tr w:rsidR="008C02AA" w:rsidRPr="001374CA" w14:paraId="7277962E"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7C7FCE39"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National Greenhouse and Energy Reporting Act</w:t>
            </w:r>
          </w:p>
        </w:tc>
        <w:tc>
          <w:tcPr>
            <w:tcW w:w="7101" w:type="dxa"/>
            <w:shd w:val="clear" w:color="auto" w:fill="0070AE" w:themeFill="accent2" w:themeFillTint="BF"/>
          </w:tcPr>
          <w:p w14:paraId="4E176481" w14:textId="77777777" w:rsidR="008C02AA" w:rsidRPr="00E162C0" w:rsidRDefault="008C02AA" w:rsidP="008C02AA">
            <w:pPr>
              <w:spacing w:before="120"/>
              <w:rPr>
                <w:rFonts w:cs="Arial"/>
                <w:color w:val="FFFFFF" w:themeColor="background1"/>
                <w:szCs w:val="20"/>
              </w:rPr>
            </w:pPr>
            <w:r w:rsidRPr="00E162C0">
              <w:rPr>
                <w:color w:val="FFFFFF" w:themeColor="background1"/>
                <w:szCs w:val="20"/>
              </w:rPr>
              <w:t>A national framework for reporting and releasing information about greenhouse gas emissions, energy production and energy consumption.</w:t>
            </w:r>
          </w:p>
        </w:tc>
      </w:tr>
      <w:tr w:rsidR="008C02AA" w:rsidRPr="001374CA" w14:paraId="74829DA6" w14:textId="77777777" w:rsidTr="008C02AA">
        <w:tc>
          <w:tcPr>
            <w:tcW w:w="2528" w:type="dxa"/>
          </w:tcPr>
          <w:p w14:paraId="70C9636F" w14:textId="77777777" w:rsidR="008C02AA" w:rsidRPr="001374CA" w:rsidRDefault="008C02AA" w:rsidP="008C02AA">
            <w:pPr>
              <w:spacing w:before="120"/>
              <w:rPr>
                <w:rFonts w:cs="Arial"/>
                <w:szCs w:val="20"/>
              </w:rPr>
            </w:pPr>
            <w:r w:rsidRPr="001374CA">
              <w:rPr>
                <w:rFonts w:cs="Arial"/>
                <w:szCs w:val="20"/>
              </w:rPr>
              <w:t xml:space="preserve">National Greenhouse Gas Inventory </w:t>
            </w:r>
          </w:p>
        </w:tc>
        <w:tc>
          <w:tcPr>
            <w:tcW w:w="7101" w:type="dxa"/>
          </w:tcPr>
          <w:p w14:paraId="78F89BEC" w14:textId="77777777" w:rsidR="008C02AA" w:rsidRPr="001374CA" w:rsidRDefault="008C02AA" w:rsidP="008C02AA">
            <w:pPr>
              <w:spacing w:before="120"/>
              <w:rPr>
                <w:rFonts w:cs="Arial"/>
                <w:szCs w:val="20"/>
              </w:rPr>
            </w:pPr>
            <w:r w:rsidRPr="001374CA">
              <w:rPr>
                <w:szCs w:val="20"/>
              </w:rPr>
              <w:t>An annual report to the United Nations Framework Convention on Climate Change that contains Australia’s greenhouse gas emissions data.</w:t>
            </w:r>
          </w:p>
        </w:tc>
      </w:tr>
      <w:tr w:rsidR="008C02AA" w:rsidRPr="00EA3179" w14:paraId="4B1F7CAF"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51E6DF51"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negative test</w:t>
            </w:r>
          </w:p>
        </w:tc>
        <w:tc>
          <w:tcPr>
            <w:tcW w:w="7101" w:type="dxa"/>
            <w:shd w:val="clear" w:color="auto" w:fill="0070AE" w:themeFill="accent2" w:themeFillTint="BF"/>
          </w:tcPr>
          <w:p w14:paraId="21120390" w14:textId="77777777" w:rsidR="008C02AA" w:rsidRPr="00E162C0" w:rsidRDefault="008C02AA" w:rsidP="008C02AA">
            <w:pPr>
              <w:spacing w:before="120"/>
              <w:rPr>
                <w:rFonts w:cs="Arial"/>
                <w:color w:val="FFFFFF" w:themeColor="background1"/>
                <w:szCs w:val="20"/>
                <w:lang w:val="en-GB" w:eastAsia="en-AU"/>
              </w:rPr>
            </w:pPr>
            <w:r w:rsidRPr="00E162C0">
              <w:rPr>
                <w:color w:val="FFFFFF" w:themeColor="background1"/>
                <w:szCs w:val="20"/>
              </w:rPr>
              <w:t>Identifies types of projects that are likely to cause adverse impacts to one or more of the following: the availability of water, the conservation of biodiversity, the local community, and land access for agriculture production.</w:t>
            </w:r>
          </w:p>
        </w:tc>
      </w:tr>
      <w:tr w:rsidR="008C02AA" w:rsidRPr="00EA3179" w14:paraId="0C46E674" w14:textId="77777777" w:rsidTr="008C02AA">
        <w:tc>
          <w:tcPr>
            <w:tcW w:w="2528" w:type="dxa"/>
          </w:tcPr>
          <w:p w14:paraId="11FF2975" w14:textId="77777777" w:rsidR="008C02AA" w:rsidRPr="00B32198" w:rsidRDefault="008C02AA" w:rsidP="008C02AA">
            <w:pPr>
              <w:spacing w:before="120"/>
              <w:rPr>
                <w:rFonts w:cs="Arial"/>
                <w:szCs w:val="20"/>
              </w:rPr>
            </w:pPr>
            <w:r>
              <w:rPr>
                <w:rFonts w:cs="Arial"/>
                <w:szCs w:val="20"/>
              </w:rPr>
              <w:t>offsets</w:t>
            </w:r>
          </w:p>
        </w:tc>
        <w:tc>
          <w:tcPr>
            <w:tcW w:w="7101" w:type="dxa"/>
          </w:tcPr>
          <w:p w14:paraId="04E625DB" w14:textId="77777777" w:rsidR="008C02AA" w:rsidRPr="00EA3179" w:rsidRDefault="008C02AA" w:rsidP="008C02AA">
            <w:pPr>
              <w:spacing w:before="40" w:after="40" w:line="200" w:lineRule="exact"/>
              <w:rPr>
                <w:szCs w:val="20"/>
              </w:rPr>
            </w:pPr>
            <w:r w:rsidRPr="00EA3179">
              <w:rPr>
                <w:szCs w:val="20"/>
              </w:rPr>
              <w:t>An emissions offset is a reduction in emissions made in order to compensate for or offset an emission made elsewhere.</w:t>
            </w:r>
          </w:p>
        </w:tc>
      </w:tr>
      <w:tr w:rsidR="008C02AA" w:rsidRPr="00EA3179" w14:paraId="0B30E79B"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1703A3D8"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offsets integrity standard </w:t>
            </w:r>
          </w:p>
        </w:tc>
        <w:tc>
          <w:tcPr>
            <w:tcW w:w="7101" w:type="dxa"/>
            <w:shd w:val="clear" w:color="auto" w:fill="0070AE" w:themeFill="accent2" w:themeFillTint="BF"/>
          </w:tcPr>
          <w:p w14:paraId="01B155B0" w14:textId="77777777" w:rsidR="008C02AA" w:rsidRPr="00E162C0" w:rsidRDefault="008C02AA" w:rsidP="008C02AA">
            <w:pPr>
              <w:spacing w:before="40" w:after="40" w:line="200" w:lineRule="exact"/>
              <w:rPr>
                <w:color w:val="FFFFFF" w:themeColor="background1"/>
                <w:szCs w:val="20"/>
              </w:rPr>
            </w:pPr>
            <w:r w:rsidRPr="00E162C0">
              <w:rPr>
                <w:color w:val="FFFFFF" w:themeColor="background1"/>
                <w:szCs w:val="20"/>
              </w:rPr>
              <w:t>A legislative standard in the ERF to ensure that ACCUs are issued for genuine, additional emissions reductions.</w:t>
            </w:r>
          </w:p>
        </w:tc>
      </w:tr>
      <w:tr w:rsidR="008C02AA" w:rsidRPr="00EA3179" w14:paraId="07EB5B5C" w14:textId="77777777" w:rsidTr="008C02AA">
        <w:tc>
          <w:tcPr>
            <w:tcW w:w="2528" w:type="dxa"/>
          </w:tcPr>
          <w:p w14:paraId="6E31CE4B" w14:textId="77777777" w:rsidR="008C02AA" w:rsidRDefault="008C02AA" w:rsidP="008C02AA">
            <w:pPr>
              <w:spacing w:before="120"/>
              <w:rPr>
                <w:rFonts w:cs="Arial"/>
                <w:szCs w:val="20"/>
              </w:rPr>
            </w:pPr>
            <w:r>
              <w:rPr>
                <w:rFonts w:cs="Arial"/>
                <w:szCs w:val="20"/>
              </w:rPr>
              <w:t xml:space="preserve">Paris Agreement </w:t>
            </w:r>
          </w:p>
        </w:tc>
        <w:tc>
          <w:tcPr>
            <w:tcW w:w="7101" w:type="dxa"/>
          </w:tcPr>
          <w:p w14:paraId="07C411CB" w14:textId="77777777" w:rsidR="008C02AA" w:rsidRPr="00EA3179" w:rsidRDefault="008C02AA" w:rsidP="008C02AA">
            <w:pPr>
              <w:spacing w:before="40" w:after="40" w:line="200" w:lineRule="exact"/>
              <w:rPr>
                <w:szCs w:val="20"/>
              </w:rPr>
            </w:pPr>
            <w:r w:rsidRPr="00EA3179">
              <w:rPr>
                <w:szCs w:val="20"/>
              </w:rPr>
              <w:t>An international agreement adopted under the United Nations Framework Convention on Climate Change in 2015.</w:t>
            </w:r>
          </w:p>
        </w:tc>
      </w:tr>
      <w:tr w:rsidR="008C02AA" w:rsidRPr="00EA3179" w14:paraId="6A8489BF"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6B1C9E41"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permanence period </w:t>
            </w:r>
          </w:p>
        </w:tc>
        <w:tc>
          <w:tcPr>
            <w:tcW w:w="7101" w:type="dxa"/>
            <w:shd w:val="clear" w:color="auto" w:fill="0070AE" w:themeFill="accent2" w:themeFillTint="BF"/>
          </w:tcPr>
          <w:p w14:paraId="43F0088B" w14:textId="77777777" w:rsidR="008C02AA" w:rsidRPr="00E162C0" w:rsidRDefault="008C02AA" w:rsidP="008C02AA">
            <w:pPr>
              <w:spacing w:before="40" w:after="40" w:line="200" w:lineRule="exact"/>
              <w:rPr>
                <w:color w:val="FFFFFF" w:themeColor="background1"/>
                <w:szCs w:val="20"/>
              </w:rPr>
            </w:pPr>
            <w:r w:rsidRPr="00E162C0">
              <w:rPr>
                <w:color w:val="FFFFFF" w:themeColor="background1"/>
                <w:szCs w:val="20"/>
              </w:rPr>
              <w:t>Period over which scheme participants must maintain the carbon stored by ERF projects.</w:t>
            </w:r>
          </w:p>
        </w:tc>
      </w:tr>
      <w:tr w:rsidR="008C02AA" w:rsidRPr="00EA3179" w14:paraId="4704B94A" w14:textId="77777777" w:rsidTr="008C02AA">
        <w:tc>
          <w:tcPr>
            <w:tcW w:w="2528" w:type="dxa"/>
          </w:tcPr>
          <w:p w14:paraId="79A548A3" w14:textId="77777777" w:rsidR="008C02AA" w:rsidRDefault="008C02AA" w:rsidP="008C02AA">
            <w:pPr>
              <w:spacing w:before="120"/>
              <w:rPr>
                <w:rFonts w:cs="Arial"/>
                <w:szCs w:val="20"/>
              </w:rPr>
            </w:pPr>
            <w:r>
              <w:rPr>
                <w:rFonts w:cs="Arial"/>
                <w:szCs w:val="20"/>
              </w:rPr>
              <w:t xml:space="preserve">positive list </w:t>
            </w:r>
          </w:p>
        </w:tc>
        <w:tc>
          <w:tcPr>
            <w:tcW w:w="7101" w:type="dxa"/>
          </w:tcPr>
          <w:p w14:paraId="54E096C4" w14:textId="77777777" w:rsidR="008C02AA" w:rsidRPr="00EA3179" w:rsidRDefault="008C02AA" w:rsidP="008C02AA">
            <w:pPr>
              <w:spacing w:before="40" w:after="40" w:line="200" w:lineRule="exact"/>
              <w:rPr>
                <w:szCs w:val="20"/>
              </w:rPr>
            </w:pPr>
            <w:r w:rsidRPr="00EA3179">
              <w:rPr>
                <w:szCs w:val="20"/>
              </w:rPr>
              <w:t>Regulation containing a list of additional emissions reduction activities eligible to earn ACCUs under the CFI.</w:t>
            </w:r>
          </w:p>
        </w:tc>
      </w:tr>
      <w:tr w:rsidR="008C02AA" w:rsidRPr="00EA3179" w:rsidDel="00B4253A" w14:paraId="2D47CCE6"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1B452ECA"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reverse auction </w:t>
            </w:r>
          </w:p>
        </w:tc>
        <w:tc>
          <w:tcPr>
            <w:tcW w:w="7101" w:type="dxa"/>
            <w:shd w:val="clear" w:color="auto" w:fill="0070AE" w:themeFill="accent2" w:themeFillTint="BF"/>
          </w:tcPr>
          <w:p w14:paraId="4820CC3B" w14:textId="77777777" w:rsidR="008C02AA" w:rsidRPr="00E162C0" w:rsidDel="00B4253A" w:rsidRDefault="008C02AA" w:rsidP="008C02AA">
            <w:pPr>
              <w:spacing w:before="40" w:after="40" w:line="200" w:lineRule="exact"/>
              <w:rPr>
                <w:color w:val="FFFFFF" w:themeColor="background1"/>
                <w:szCs w:val="20"/>
              </w:rPr>
            </w:pPr>
            <w:r w:rsidRPr="00E162C0">
              <w:rPr>
                <w:color w:val="FFFFFF" w:themeColor="background1"/>
                <w:szCs w:val="20"/>
              </w:rPr>
              <w:t xml:space="preserve">In a reverse auction, the sellers compete to win the auction and prices will typically decrease as the sellers underbid each other. </w:t>
            </w:r>
          </w:p>
        </w:tc>
      </w:tr>
      <w:tr w:rsidR="008C02AA" w:rsidRPr="00EA3179" w14:paraId="39275CF4" w14:textId="77777777" w:rsidTr="008C02AA">
        <w:tc>
          <w:tcPr>
            <w:tcW w:w="2528" w:type="dxa"/>
          </w:tcPr>
          <w:p w14:paraId="368C68C0" w14:textId="77777777" w:rsidR="008C02AA" w:rsidRDefault="008C02AA" w:rsidP="008C02AA">
            <w:pPr>
              <w:spacing w:before="120"/>
              <w:rPr>
                <w:rFonts w:cs="Arial"/>
                <w:szCs w:val="20"/>
              </w:rPr>
            </w:pPr>
            <w:r>
              <w:rPr>
                <w:rFonts w:cs="Arial"/>
                <w:szCs w:val="20"/>
              </w:rPr>
              <w:t>risk of reversal buffer</w:t>
            </w:r>
          </w:p>
        </w:tc>
        <w:tc>
          <w:tcPr>
            <w:tcW w:w="7101" w:type="dxa"/>
          </w:tcPr>
          <w:p w14:paraId="439B5562" w14:textId="77777777" w:rsidR="008C02AA" w:rsidRPr="00EA3179" w:rsidRDefault="008C02AA" w:rsidP="008C02AA">
            <w:pPr>
              <w:spacing w:before="40" w:after="40" w:line="200" w:lineRule="exact"/>
              <w:rPr>
                <w:szCs w:val="20"/>
              </w:rPr>
            </w:pPr>
            <w:r w:rsidRPr="00EA3179">
              <w:rPr>
                <w:szCs w:val="20"/>
              </w:rPr>
              <w:t>A scheme wide mechanism that withholds 5 per cent of ACCUs from sequestration projects to protect the scheme from temporary losses of carbon.</w:t>
            </w:r>
          </w:p>
        </w:tc>
      </w:tr>
      <w:tr w:rsidR="008C02AA" w:rsidRPr="00EA3179" w14:paraId="7495334E"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3625DA01" w14:textId="7A82DFC1" w:rsidR="008C02AA" w:rsidRPr="00E162C0" w:rsidRDefault="00EF3364" w:rsidP="008C02AA">
            <w:pPr>
              <w:spacing w:before="120"/>
              <w:rPr>
                <w:rFonts w:cs="Arial"/>
                <w:color w:val="FFFFFF" w:themeColor="background1"/>
                <w:szCs w:val="20"/>
              </w:rPr>
            </w:pPr>
            <w:r w:rsidRPr="00E162C0">
              <w:rPr>
                <w:rFonts w:cs="Arial"/>
                <w:color w:val="FFFFFF" w:themeColor="background1"/>
                <w:szCs w:val="20"/>
              </w:rPr>
              <w:t>Safeguard Mechanism</w:t>
            </w:r>
            <w:r w:rsidR="008C02AA" w:rsidRPr="00E162C0">
              <w:rPr>
                <w:rFonts w:cs="Arial"/>
                <w:color w:val="FFFFFF" w:themeColor="background1"/>
                <w:szCs w:val="20"/>
              </w:rPr>
              <w:t xml:space="preserve"> </w:t>
            </w:r>
          </w:p>
        </w:tc>
        <w:tc>
          <w:tcPr>
            <w:tcW w:w="7101" w:type="dxa"/>
            <w:shd w:val="clear" w:color="auto" w:fill="0070AE" w:themeFill="accent2" w:themeFillTint="BF"/>
          </w:tcPr>
          <w:p w14:paraId="65291846" w14:textId="7CB2183A" w:rsidR="008C02AA" w:rsidRPr="00E162C0" w:rsidRDefault="008C02AA" w:rsidP="008C02AA">
            <w:pPr>
              <w:spacing w:before="40" w:after="40" w:line="200" w:lineRule="exact"/>
              <w:rPr>
                <w:color w:val="FFFFFF" w:themeColor="background1"/>
                <w:szCs w:val="20"/>
              </w:rPr>
            </w:pPr>
            <w:r w:rsidRPr="00E162C0">
              <w:rPr>
                <w:color w:val="FFFFFF" w:themeColor="background1"/>
                <w:szCs w:val="20"/>
              </w:rPr>
              <w:t>An element of the ERF that establishes limits for large emitters that exceed a defined baseline.</w:t>
            </w:r>
          </w:p>
        </w:tc>
      </w:tr>
      <w:tr w:rsidR="008C02AA" w:rsidRPr="00EA3179" w14:paraId="1549015A" w14:textId="77777777" w:rsidTr="008C02AA">
        <w:tc>
          <w:tcPr>
            <w:tcW w:w="2528" w:type="dxa"/>
          </w:tcPr>
          <w:p w14:paraId="1ADE3D89" w14:textId="77777777" w:rsidR="008C02AA" w:rsidRPr="00EA3179" w:rsidRDefault="008C02AA" w:rsidP="008C02AA">
            <w:pPr>
              <w:spacing w:before="120"/>
              <w:rPr>
                <w:rFonts w:cs="Arial"/>
                <w:szCs w:val="20"/>
              </w:rPr>
            </w:pPr>
            <w:r w:rsidRPr="00EA3179">
              <w:rPr>
                <w:rFonts w:cs="Arial"/>
                <w:szCs w:val="20"/>
              </w:rPr>
              <w:t xml:space="preserve">scheme participant </w:t>
            </w:r>
          </w:p>
        </w:tc>
        <w:tc>
          <w:tcPr>
            <w:tcW w:w="7101" w:type="dxa"/>
          </w:tcPr>
          <w:p w14:paraId="5AEB7088" w14:textId="77777777" w:rsidR="008C02AA" w:rsidRPr="00EA3179" w:rsidRDefault="008C02AA" w:rsidP="008C02AA">
            <w:pPr>
              <w:spacing w:before="40" w:after="40" w:line="200" w:lineRule="exact"/>
              <w:rPr>
                <w:szCs w:val="20"/>
              </w:rPr>
            </w:pPr>
            <w:r w:rsidRPr="00EA3179">
              <w:rPr>
                <w:szCs w:val="20"/>
              </w:rPr>
              <w:t>The person who is responsible for, and has the legal right to, carry out an ERF project.</w:t>
            </w:r>
          </w:p>
        </w:tc>
      </w:tr>
      <w:tr w:rsidR="008C02AA" w:rsidRPr="00EA3179" w14:paraId="5E4077A5"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2CC59B69"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secondary market</w:t>
            </w:r>
          </w:p>
        </w:tc>
        <w:tc>
          <w:tcPr>
            <w:tcW w:w="7101" w:type="dxa"/>
            <w:shd w:val="clear" w:color="auto" w:fill="0070AE" w:themeFill="accent2" w:themeFillTint="BF"/>
          </w:tcPr>
          <w:p w14:paraId="33E7CA16" w14:textId="77777777" w:rsidR="008C02AA" w:rsidRPr="00E162C0" w:rsidRDefault="008C02AA" w:rsidP="008C02AA">
            <w:pPr>
              <w:spacing w:before="40" w:after="40" w:line="200" w:lineRule="exact"/>
              <w:rPr>
                <w:color w:val="FFFFFF" w:themeColor="background1"/>
                <w:szCs w:val="20"/>
              </w:rPr>
            </w:pPr>
            <w:r w:rsidRPr="00E162C0">
              <w:rPr>
                <w:color w:val="FFFFFF" w:themeColor="background1"/>
                <w:szCs w:val="20"/>
              </w:rPr>
              <w:t>A market where ACCUs are purchased outside of a contract with the Government.</w:t>
            </w:r>
          </w:p>
        </w:tc>
      </w:tr>
      <w:tr w:rsidR="008C02AA" w:rsidRPr="00EA3179" w14:paraId="3FB99EF7" w14:textId="77777777" w:rsidTr="008C02AA">
        <w:tc>
          <w:tcPr>
            <w:tcW w:w="2528" w:type="dxa"/>
          </w:tcPr>
          <w:p w14:paraId="6A3AE3FC" w14:textId="77777777" w:rsidR="008C02AA" w:rsidRPr="00EA3179" w:rsidRDefault="008C02AA" w:rsidP="008C02AA">
            <w:pPr>
              <w:spacing w:before="120"/>
              <w:rPr>
                <w:rFonts w:cs="Arial"/>
                <w:szCs w:val="20"/>
              </w:rPr>
            </w:pPr>
            <w:r w:rsidRPr="00EA3179">
              <w:rPr>
                <w:rFonts w:cs="Arial"/>
                <w:szCs w:val="20"/>
              </w:rPr>
              <w:t>sequestration/storage</w:t>
            </w:r>
          </w:p>
        </w:tc>
        <w:tc>
          <w:tcPr>
            <w:tcW w:w="7101" w:type="dxa"/>
          </w:tcPr>
          <w:p w14:paraId="70491BBA" w14:textId="77777777" w:rsidR="008C02AA" w:rsidRPr="00EA3179" w:rsidRDefault="008C02AA" w:rsidP="008C02AA">
            <w:pPr>
              <w:spacing w:before="40" w:after="40" w:line="200" w:lineRule="exact"/>
              <w:rPr>
                <w:szCs w:val="20"/>
              </w:rPr>
            </w:pPr>
            <w:r w:rsidRPr="00EA3179">
              <w:rPr>
                <w:szCs w:val="20"/>
              </w:rPr>
              <w:t>The removal of atmospheric carbon dioxide, by storing it in living biomass, dead organic matter or soil.</w:t>
            </w:r>
          </w:p>
        </w:tc>
      </w:tr>
      <w:tr w:rsidR="008C02AA" w:rsidRPr="00EA3179" w14:paraId="42A43AAF"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4F142EE4"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transaction costs</w:t>
            </w:r>
          </w:p>
        </w:tc>
        <w:tc>
          <w:tcPr>
            <w:tcW w:w="7101" w:type="dxa"/>
            <w:shd w:val="clear" w:color="auto" w:fill="0070AE" w:themeFill="accent2" w:themeFillTint="BF"/>
          </w:tcPr>
          <w:p w14:paraId="5457AD67" w14:textId="77777777" w:rsidR="008C02AA" w:rsidRPr="00E162C0" w:rsidRDefault="008C02AA" w:rsidP="008C02AA">
            <w:pPr>
              <w:spacing w:before="40" w:after="40" w:line="200" w:lineRule="exact"/>
              <w:rPr>
                <w:color w:val="FFFFFF" w:themeColor="background1"/>
                <w:szCs w:val="20"/>
              </w:rPr>
            </w:pPr>
            <w:r w:rsidRPr="00E162C0">
              <w:rPr>
                <w:color w:val="FFFFFF" w:themeColor="background1"/>
                <w:szCs w:val="20"/>
              </w:rPr>
              <w:t>The costs of participating in a market. In the case of the ERF, transaction costs are all costs from developing, approving and administering projects apart from costs directly associated with implementing and maintaining the project itself. Transaction costs also include costs to government and scheme participants for method development, reporting and verification.</w:t>
            </w:r>
          </w:p>
        </w:tc>
      </w:tr>
      <w:tr w:rsidR="008C02AA" w:rsidRPr="00EA3179" w14:paraId="1C2F16E0" w14:textId="77777777" w:rsidTr="008C02AA">
        <w:tc>
          <w:tcPr>
            <w:tcW w:w="2528" w:type="dxa"/>
          </w:tcPr>
          <w:p w14:paraId="316C257D" w14:textId="77777777" w:rsidR="008C02AA" w:rsidRPr="00EA3179" w:rsidRDefault="008C02AA" w:rsidP="008C02AA">
            <w:pPr>
              <w:spacing w:before="120"/>
              <w:rPr>
                <w:rFonts w:cs="Arial"/>
                <w:szCs w:val="20"/>
              </w:rPr>
            </w:pPr>
            <w:r w:rsidRPr="00EA3179">
              <w:rPr>
                <w:rFonts w:cs="Arial"/>
                <w:szCs w:val="20"/>
              </w:rPr>
              <w:t>United Nations Framework Convention on Climate Change (UNFCCC)</w:t>
            </w:r>
          </w:p>
        </w:tc>
        <w:tc>
          <w:tcPr>
            <w:tcW w:w="7101" w:type="dxa"/>
          </w:tcPr>
          <w:p w14:paraId="1CE7050E" w14:textId="77777777" w:rsidR="008C02AA" w:rsidRDefault="008C02AA" w:rsidP="008C02AA">
            <w:pPr>
              <w:spacing w:before="40" w:after="40" w:line="200" w:lineRule="exact"/>
              <w:rPr>
                <w:szCs w:val="20"/>
              </w:rPr>
            </w:pPr>
          </w:p>
          <w:p w14:paraId="65B998FD" w14:textId="77777777" w:rsidR="008C02AA" w:rsidRPr="00EA3179" w:rsidRDefault="008C02AA" w:rsidP="008C02AA">
            <w:pPr>
              <w:spacing w:before="40" w:after="40" w:line="200" w:lineRule="exact"/>
              <w:rPr>
                <w:szCs w:val="20"/>
              </w:rPr>
            </w:pPr>
            <w:r w:rsidRPr="00EA3179">
              <w:rPr>
                <w:szCs w:val="20"/>
              </w:rPr>
              <w:t>An international treaty that commits signatory countries (Parties) to stabilise greenhouse gas concentrations in the atmosphere at a level that would prevent dangerous human-induced interference with the climate system.</w:t>
            </w:r>
          </w:p>
        </w:tc>
      </w:tr>
    </w:tbl>
    <w:p w14:paraId="60F10D89" w14:textId="280A0A39" w:rsidR="001C19F1" w:rsidRPr="001B1984" w:rsidRDefault="008C02AA" w:rsidP="001B1984">
      <w:pPr>
        <w:pStyle w:val="Headingnon-numbered"/>
        <w:rPr>
          <w:color w:val="0070AE" w:themeColor="accent2" w:themeTint="BF"/>
        </w:rPr>
      </w:pPr>
      <w:bookmarkStart w:id="3674" w:name="_Toc35417029"/>
      <w:bookmarkStart w:id="3675" w:name="_Toc50027783"/>
      <w:bookmarkStart w:id="3676" w:name="_Toc50029477"/>
      <w:bookmarkStart w:id="3677" w:name="_Toc50043905"/>
      <w:bookmarkStart w:id="3678" w:name="_Toc50057757"/>
      <w:bookmarkStart w:id="3679" w:name="_Toc50553635"/>
      <w:bookmarkStart w:id="3680" w:name="_Toc50555398"/>
      <w:bookmarkStart w:id="3681" w:name="_Toc50559858"/>
      <w:bookmarkStart w:id="3682" w:name="_Toc50559911"/>
      <w:bookmarkStart w:id="3683" w:name="_Toc50563845"/>
      <w:bookmarkStart w:id="3684" w:name="_Toc50711398"/>
      <w:bookmarkStart w:id="3685" w:name="_Toc50720980"/>
      <w:bookmarkStart w:id="3686" w:name="_Toc50730704"/>
      <w:bookmarkStart w:id="3687" w:name="_Toc50734930"/>
      <w:bookmarkStart w:id="3688" w:name="_Toc50735533"/>
      <w:bookmarkStart w:id="3689" w:name="_Toc50905552"/>
      <w:bookmarkStart w:id="3690" w:name="_Toc51587037"/>
      <w:bookmarkStart w:id="3691" w:name="_Toc51594897"/>
      <w:bookmarkStart w:id="3692" w:name="_Toc51599500"/>
      <w:bookmarkStart w:id="3693" w:name="_Toc51613536"/>
      <w:bookmarkStart w:id="3694" w:name="_Toc51669647"/>
      <w:bookmarkStart w:id="3695" w:name="_Toc51669742"/>
      <w:bookmarkStart w:id="3696" w:name="_Toc51672891"/>
      <w:bookmarkStart w:id="3697" w:name="_Toc51673941"/>
      <w:bookmarkStart w:id="3698" w:name="_Toc51680758"/>
      <w:bookmarkStart w:id="3699" w:name="_Toc51683287"/>
      <w:bookmarkStart w:id="3700" w:name="_Toc51686023"/>
      <w:bookmarkStart w:id="3701" w:name="_Toc51687761"/>
      <w:bookmarkStart w:id="3702" w:name="_Toc51687905"/>
      <w:bookmarkStart w:id="3703" w:name="_Toc51705783"/>
      <w:bookmarkStart w:id="3704" w:name="_Toc51770729"/>
      <w:bookmarkStart w:id="3705" w:name="_Toc51770915"/>
      <w:bookmarkStart w:id="3706" w:name="_Toc52359258"/>
      <w:bookmarkStart w:id="3707" w:name="_Toc52367291"/>
      <w:bookmarkStart w:id="3708" w:name="_Toc52371631"/>
      <w:bookmarkStart w:id="3709" w:name="_Toc52374779"/>
      <w:bookmarkStart w:id="3710" w:name="_Toc52377317"/>
      <w:bookmarkStart w:id="3711" w:name="_Toc52379239"/>
      <w:bookmarkStart w:id="3712" w:name="_Toc52379594"/>
      <w:bookmarkStart w:id="3713" w:name="_Toc52532804"/>
      <w:bookmarkStart w:id="3714" w:name="_Toc52535699"/>
      <w:bookmarkStart w:id="3715" w:name="_Toc52537517"/>
      <w:bookmarkStart w:id="3716" w:name="_Toc52544080"/>
      <w:bookmarkStart w:id="3717" w:name="_Toc52545684"/>
      <w:bookmarkStart w:id="3718" w:name="_Toc52547916"/>
      <w:bookmarkStart w:id="3719" w:name="_Toc52548605"/>
      <w:bookmarkStart w:id="3720" w:name="_Toc52890897"/>
      <w:bookmarkStart w:id="3721" w:name="_Toc52895100"/>
      <w:bookmarkStart w:id="3722" w:name="_Toc52896624"/>
      <w:bookmarkStart w:id="3723" w:name="_Toc52977801"/>
      <w:bookmarkStart w:id="3724" w:name="_Toc53129487"/>
      <w:bookmarkStart w:id="3725" w:name="_Toc2248957"/>
      <w:bookmarkStart w:id="3726" w:name="_Toc2258762"/>
      <w:bookmarkStart w:id="3727" w:name="_Toc2259789"/>
      <w:bookmarkStart w:id="3728" w:name="_Toc2266025"/>
      <w:bookmarkStart w:id="3729" w:name="_Toc2758842"/>
      <w:bookmarkStart w:id="3730" w:name="_Toc26779063"/>
      <w:bookmarkStart w:id="3731" w:name="_Toc26783511"/>
      <w:bookmarkStart w:id="3732" w:name="_Toc26785932"/>
      <w:bookmarkStart w:id="3733" w:name="_Toc26794309"/>
      <w:bookmarkStart w:id="3734" w:name="_Toc26794481"/>
      <w:bookmarkStart w:id="3735" w:name="_Toc26795219"/>
      <w:bookmarkStart w:id="3736" w:name="_Toc30674786"/>
      <w:bookmarkStart w:id="3737" w:name="_Toc30685331"/>
      <w:r w:rsidRPr="001C19F1">
        <w:rPr>
          <w:color w:val="0070AE" w:themeColor="accent2" w:themeTint="BF"/>
        </w:rPr>
        <w:t>Table of abbreviations and acronyms</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tbl>
      <w:tblPr>
        <w:tblStyle w:val="ListTable4-Accent21"/>
        <w:tblW w:w="9629" w:type="dxa"/>
        <w:tblBorders>
          <w:top w:val="dotted" w:sz="4" w:space="0" w:color="939598" w:themeColor="accent1"/>
          <w:left w:val="none" w:sz="0" w:space="0" w:color="auto"/>
          <w:bottom w:val="dotted" w:sz="4" w:space="0" w:color="939598" w:themeColor="accent1"/>
          <w:right w:val="none" w:sz="0" w:space="0" w:color="auto"/>
          <w:insideH w:val="dotted" w:sz="4" w:space="0" w:color="939598" w:themeColor="accent1"/>
        </w:tblBorders>
        <w:tblLook w:val="0400" w:firstRow="0" w:lastRow="0" w:firstColumn="0" w:lastColumn="0" w:noHBand="0" w:noVBand="1"/>
      </w:tblPr>
      <w:tblGrid>
        <w:gridCol w:w="2528"/>
        <w:gridCol w:w="7101"/>
      </w:tblGrid>
      <w:tr w:rsidR="008C02AA" w:rsidRPr="00B32198" w14:paraId="0FAE5718"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31F155AF" w14:textId="77777777" w:rsidR="008C02AA" w:rsidRPr="00E162C0" w:rsidRDefault="008C02AA" w:rsidP="008C02AA">
            <w:pPr>
              <w:spacing w:before="120"/>
              <w:rPr>
                <w:rFonts w:cs="Arial"/>
                <w:color w:val="FFFFFF" w:themeColor="background1"/>
                <w:szCs w:val="20"/>
                <w:lang w:val="en-GB" w:eastAsia="en-AU"/>
              </w:rPr>
            </w:pPr>
            <w:r w:rsidRPr="00E162C0">
              <w:rPr>
                <w:rFonts w:cs="Arial"/>
                <w:color w:val="FFFFFF" w:themeColor="background1"/>
                <w:szCs w:val="20"/>
              </w:rPr>
              <w:t xml:space="preserve">Australian Carbon Credit Unit </w:t>
            </w:r>
            <w:r w:rsidRPr="00E162C0">
              <w:rPr>
                <w:rFonts w:cs="Arial"/>
                <w:b/>
                <w:color w:val="FFFFFF" w:themeColor="background1"/>
                <w:szCs w:val="20"/>
              </w:rPr>
              <w:t>(ACCU)</w:t>
            </w:r>
          </w:p>
        </w:tc>
        <w:tc>
          <w:tcPr>
            <w:tcW w:w="7101" w:type="dxa"/>
            <w:shd w:val="clear" w:color="auto" w:fill="0070AE" w:themeFill="accent2" w:themeFillTint="BF"/>
          </w:tcPr>
          <w:p w14:paraId="1270E282" w14:textId="77777777" w:rsidR="008C02AA" w:rsidRPr="00E162C0" w:rsidRDefault="008C02AA" w:rsidP="008C02AA">
            <w:pPr>
              <w:spacing w:before="120"/>
              <w:rPr>
                <w:rFonts w:cs="Arial"/>
                <w:color w:val="FFFFFF" w:themeColor="background1"/>
                <w:szCs w:val="20"/>
                <w:lang w:val="en-GB" w:eastAsia="en-AU"/>
              </w:rPr>
            </w:pPr>
            <w:r w:rsidRPr="00E162C0">
              <w:rPr>
                <w:rFonts w:cs="Arial"/>
                <w:color w:val="FFFFFF" w:themeColor="background1"/>
                <w:szCs w:val="20"/>
              </w:rPr>
              <w:t>A unit issued by the Australian Clean Energy Regulator and recorded in the electronic Australian National Registry of Emissions Units. Each ACCU issued represents one tonne of carbon dioxide equivalent (t CO</w:t>
            </w:r>
            <w:r w:rsidRPr="00E162C0">
              <w:rPr>
                <w:rFonts w:cs="Arial"/>
                <w:color w:val="FFFFFF" w:themeColor="background1"/>
                <w:szCs w:val="20"/>
                <w:vertAlign w:val="subscript"/>
              </w:rPr>
              <w:t>2</w:t>
            </w:r>
            <w:r w:rsidRPr="00E162C0">
              <w:rPr>
                <w:rFonts w:cs="Arial"/>
                <w:color w:val="FFFFFF" w:themeColor="background1"/>
                <w:szCs w:val="20"/>
              </w:rPr>
              <w:noBreakHyphen/>
              <w:t>e) stored or avoided by a particular action or project.</w:t>
            </w:r>
          </w:p>
        </w:tc>
      </w:tr>
      <w:tr w:rsidR="008C02AA" w:rsidRPr="00B32198" w14:paraId="22F96E0D" w14:textId="77777777" w:rsidTr="008C02AA">
        <w:tc>
          <w:tcPr>
            <w:tcW w:w="2528" w:type="dxa"/>
          </w:tcPr>
          <w:p w14:paraId="2E4FDA3C" w14:textId="77777777" w:rsidR="008C02AA" w:rsidRPr="00B32198" w:rsidRDefault="008C02AA" w:rsidP="008C02AA">
            <w:pPr>
              <w:spacing w:before="120"/>
              <w:rPr>
                <w:rFonts w:cs="Arial"/>
                <w:szCs w:val="20"/>
                <w:lang w:val="en-GB" w:eastAsia="en-AU"/>
              </w:rPr>
            </w:pPr>
            <w:r w:rsidRPr="00B32198">
              <w:rPr>
                <w:rFonts w:cs="Arial"/>
                <w:szCs w:val="20"/>
                <w:lang w:val="en-GB" w:eastAsia="en-AU"/>
              </w:rPr>
              <w:t xml:space="preserve">Australian Renewable Energy Agency </w:t>
            </w:r>
            <w:r w:rsidRPr="00B32198">
              <w:rPr>
                <w:rFonts w:cs="Arial"/>
                <w:b/>
                <w:szCs w:val="20"/>
                <w:lang w:val="en-GB" w:eastAsia="en-AU"/>
              </w:rPr>
              <w:t>(ARENA)</w:t>
            </w:r>
          </w:p>
        </w:tc>
        <w:tc>
          <w:tcPr>
            <w:tcW w:w="7101" w:type="dxa"/>
          </w:tcPr>
          <w:p w14:paraId="4873F136" w14:textId="77777777" w:rsidR="008C02AA" w:rsidRPr="00B32198" w:rsidRDefault="008C02AA" w:rsidP="008C02AA">
            <w:pPr>
              <w:spacing w:before="120"/>
              <w:rPr>
                <w:rFonts w:cs="Arial"/>
                <w:szCs w:val="20"/>
                <w:lang w:val="en-GB" w:eastAsia="en-AU"/>
              </w:rPr>
            </w:pPr>
            <w:r w:rsidRPr="00B32198">
              <w:rPr>
                <w:rFonts w:cs="Arial"/>
                <w:szCs w:val="20"/>
              </w:rPr>
              <w:t>Australian Government agency established to improve the competitiveness of renewable energy technologies and increase the supply of renewable energy in Australia through the provision of financial assistance for the research, development, deployment or commercialisation of renewable energy technologies and to collect and share information about renewable energy technologies.</w:t>
            </w:r>
          </w:p>
        </w:tc>
      </w:tr>
      <w:tr w:rsidR="008C02AA" w:rsidRPr="00B32198" w14:paraId="53FE7F7B"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55FF9C7F"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Carbon capture and storage </w:t>
            </w:r>
            <w:r w:rsidRPr="00E162C0">
              <w:rPr>
                <w:rFonts w:cs="Arial"/>
                <w:b/>
                <w:color w:val="FFFFFF" w:themeColor="background1"/>
                <w:szCs w:val="20"/>
              </w:rPr>
              <w:t>(CCS)</w:t>
            </w:r>
          </w:p>
        </w:tc>
        <w:tc>
          <w:tcPr>
            <w:tcW w:w="7101" w:type="dxa"/>
            <w:shd w:val="clear" w:color="auto" w:fill="0070AE" w:themeFill="accent2" w:themeFillTint="BF"/>
          </w:tcPr>
          <w:p w14:paraId="4A23A1AE"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A technology that can capture a portion of the carbon dioxide emissions produced from the use of fossil fuels in electricity generation and industrial processes, preventing the carbon dioxide from entering the atmosphere.</w:t>
            </w:r>
          </w:p>
        </w:tc>
      </w:tr>
      <w:tr w:rsidR="008C02AA" w:rsidRPr="00B32198" w14:paraId="70F80FD8" w14:textId="77777777" w:rsidTr="008C02AA">
        <w:tc>
          <w:tcPr>
            <w:tcW w:w="2528" w:type="dxa"/>
          </w:tcPr>
          <w:p w14:paraId="656D6168" w14:textId="77777777" w:rsidR="008C02AA" w:rsidRPr="00B32198" w:rsidRDefault="008C02AA" w:rsidP="008C02AA">
            <w:pPr>
              <w:spacing w:before="120"/>
              <w:rPr>
                <w:rFonts w:cs="Arial"/>
                <w:szCs w:val="20"/>
                <w:lang w:val="en-GB" w:eastAsia="en-AU"/>
              </w:rPr>
            </w:pPr>
            <w:r w:rsidRPr="00B32198">
              <w:rPr>
                <w:rFonts w:cs="Arial"/>
                <w:szCs w:val="20"/>
              </w:rPr>
              <w:t>Carbon dioxide</w:t>
            </w:r>
            <w:r w:rsidRPr="00B32198">
              <w:rPr>
                <w:rFonts w:cs="Arial"/>
                <w:szCs w:val="20"/>
              </w:rPr>
              <w:noBreakHyphen/>
              <w:t xml:space="preserve">equivalent </w:t>
            </w:r>
            <w:r w:rsidRPr="00B32198">
              <w:rPr>
                <w:rFonts w:cs="Arial"/>
                <w:b/>
                <w:szCs w:val="20"/>
              </w:rPr>
              <w:t>(CO</w:t>
            </w:r>
            <w:r w:rsidRPr="00B32198">
              <w:rPr>
                <w:rFonts w:cs="Arial"/>
                <w:b/>
                <w:szCs w:val="20"/>
                <w:vertAlign w:val="subscript"/>
              </w:rPr>
              <w:t>2</w:t>
            </w:r>
            <w:r w:rsidRPr="00B32198">
              <w:rPr>
                <w:rFonts w:cs="Arial"/>
                <w:b/>
                <w:szCs w:val="20"/>
              </w:rPr>
              <w:noBreakHyphen/>
              <w:t>e)</w:t>
            </w:r>
          </w:p>
        </w:tc>
        <w:tc>
          <w:tcPr>
            <w:tcW w:w="7101" w:type="dxa"/>
          </w:tcPr>
          <w:p w14:paraId="303EB6D0" w14:textId="77777777" w:rsidR="008C02AA" w:rsidRPr="00B32198" w:rsidRDefault="008C02AA" w:rsidP="008C02AA">
            <w:pPr>
              <w:spacing w:before="120"/>
              <w:rPr>
                <w:rFonts w:cs="Arial"/>
                <w:szCs w:val="20"/>
                <w:lang w:val="en-GB" w:eastAsia="en-AU"/>
              </w:rPr>
            </w:pPr>
            <w:r w:rsidRPr="00B32198">
              <w:rPr>
                <w:rFonts w:cs="Arial"/>
                <w:szCs w:val="20"/>
              </w:rPr>
              <w:t>A measure that quantifies different greenhouse gases in terms of the amount of carbon dioxide that would deliver the same global warming.</w:t>
            </w:r>
          </w:p>
        </w:tc>
      </w:tr>
      <w:tr w:rsidR="008C02AA" w:rsidRPr="00B32198" w14:paraId="0BC87FA4"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7784B9D7"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Clean Energy Finance Corporation </w:t>
            </w:r>
            <w:r w:rsidRPr="00E162C0">
              <w:rPr>
                <w:rFonts w:cs="Arial"/>
                <w:b/>
                <w:color w:val="FFFFFF" w:themeColor="background1"/>
                <w:szCs w:val="20"/>
              </w:rPr>
              <w:t>(CEFC)</w:t>
            </w:r>
          </w:p>
        </w:tc>
        <w:tc>
          <w:tcPr>
            <w:tcW w:w="7101" w:type="dxa"/>
            <w:shd w:val="clear" w:color="auto" w:fill="0070AE" w:themeFill="accent2" w:themeFillTint="BF"/>
          </w:tcPr>
          <w:p w14:paraId="39DA6E5C"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An Australian Government owned Green Bank that was established to facilitate increased flows of finance into the clean energy sector.</w:t>
            </w:r>
          </w:p>
        </w:tc>
      </w:tr>
      <w:tr w:rsidR="008C02AA" w:rsidRPr="00B32198" w14:paraId="571A6C90" w14:textId="77777777" w:rsidTr="008C02AA">
        <w:tc>
          <w:tcPr>
            <w:tcW w:w="2528" w:type="dxa"/>
          </w:tcPr>
          <w:p w14:paraId="25D55D3E" w14:textId="77777777" w:rsidR="008C02AA" w:rsidRPr="00B32198" w:rsidRDefault="008C02AA" w:rsidP="008C02AA">
            <w:pPr>
              <w:spacing w:before="120"/>
              <w:rPr>
                <w:rFonts w:cs="Arial"/>
                <w:szCs w:val="20"/>
              </w:rPr>
            </w:pPr>
            <w:r w:rsidRPr="00B32198">
              <w:rPr>
                <w:rFonts w:cs="Arial"/>
                <w:szCs w:val="20"/>
              </w:rPr>
              <w:t xml:space="preserve">Clean Energy Regulator </w:t>
            </w:r>
            <w:r w:rsidRPr="00B32198">
              <w:rPr>
                <w:rFonts w:cs="Arial"/>
                <w:b/>
                <w:szCs w:val="20"/>
              </w:rPr>
              <w:t>(CER)</w:t>
            </w:r>
          </w:p>
        </w:tc>
        <w:tc>
          <w:tcPr>
            <w:tcW w:w="7101" w:type="dxa"/>
          </w:tcPr>
          <w:p w14:paraId="0566E2E0" w14:textId="77777777" w:rsidR="008C02AA" w:rsidRPr="00B32198" w:rsidRDefault="008C02AA" w:rsidP="008C02AA">
            <w:pPr>
              <w:spacing w:before="120"/>
              <w:rPr>
                <w:rFonts w:cs="Arial"/>
                <w:szCs w:val="20"/>
              </w:rPr>
            </w:pPr>
            <w:r w:rsidRPr="00B32198">
              <w:rPr>
                <w:rFonts w:cs="Arial"/>
                <w:szCs w:val="20"/>
              </w:rPr>
              <w:t>An Australian independent statutory authority responsible for administering legislation to reduce carbon emissions and increase the use of clean energy.</w:t>
            </w:r>
          </w:p>
        </w:tc>
      </w:tr>
      <w:tr w:rsidR="008C02AA" w:rsidRPr="00B32198" w14:paraId="6506BAF6"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2BC3AB34"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Commonwealth Scientific and Industrial Research Organisation </w:t>
            </w:r>
            <w:r w:rsidRPr="00E162C0">
              <w:rPr>
                <w:rFonts w:cs="Arial"/>
                <w:b/>
                <w:color w:val="FFFFFF" w:themeColor="background1"/>
                <w:szCs w:val="20"/>
              </w:rPr>
              <w:t>(CSIRO)</w:t>
            </w:r>
          </w:p>
        </w:tc>
        <w:tc>
          <w:tcPr>
            <w:tcW w:w="7101" w:type="dxa"/>
            <w:shd w:val="clear" w:color="auto" w:fill="0070AE" w:themeFill="accent2" w:themeFillTint="BF"/>
          </w:tcPr>
          <w:p w14:paraId="0C8BAA08"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An independent Australian federal government agency responsible for scientific research. Its chief role is to improve the economic and social performance of industry for the benefit of the community.</w:t>
            </w:r>
          </w:p>
        </w:tc>
      </w:tr>
      <w:tr w:rsidR="008C02AA" w:rsidRPr="00B32198" w14:paraId="158EC7CE" w14:textId="77777777" w:rsidTr="008C02AA">
        <w:tc>
          <w:tcPr>
            <w:tcW w:w="2528" w:type="dxa"/>
          </w:tcPr>
          <w:p w14:paraId="4E3F6933" w14:textId="77777777" w:rsidR="008C02AA" w:rsidRPr="00B32198" w:rsidRDefault="008C02AA" w:rsidP="008C02AA">
            <w:pPr>
              <w:spacing w:before="120"/>
              <w:rPr>
                <w:rFonts w:cs="Arial"/>
                <w:szCs w:val="20"/>
              </w:rPr>
            </w:pPr>
            <w:r>
              <w:rPr>
                <w:rFonts w:cs="Arial"/>
                <w:szCs w:val="20"/>
              </w:rPr>
              <w:t>Department</w:t>
            </w:r>
          </w:p>
        </w:tc>
        <w:tc>
          <w:tcPr>
            <w:tcW w:w="7101" w:type="dxa"/>
          </w:tcPr>
          <w:p w14:paraId="71B3B0B3" w14:textId="77777777" w:rsidR="008C02AA" w:rsidRPr="00B32198" w:rsidRDefault="008C02AA" w:rsidP="008C02AA">
            <w:pPr>
              <w:spacing w:before="120"/>
              <w:rPr>
                <w:rFonts w:cs="Arial"/>
                <w:szCs w:val="20"/>
              </w:rPr>
            </w:pPr>
            <w:r>
              <w:rPr>
                <w:rFonts w:cs="Arial"/>
                <w:szCs w:val="20"/>
              </w:rPr>
              <w:t>Meaning the Department of Industry, Science, Energy and Resources.</w:t>
            </w:r>
          </w:p>
        </w:tc>
      </w:tr>
      <w:tr w:rsidR="008C02AA" w:rsidRPr="00B32198" w14:paraId="414D401F"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2193D838"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Emissions Reduction Assurance Committee </w:t>
            </w:r>
            <w:r w:rsidRPr="00E162C0">
              <w:rPr>
                <w:rFonts w:cs="Arial"/>
                <w:b/>
                <w:color w:val="FFFFFF" w:themeColor="background1"/>
                <w:szCs w:val="20"/>
              </w:rPr>
              <w:t>(ERAC)</w:t>
            </w:r>
          </w:p>
        </w:tc>
        <w:tc>
          <w:tcPr>
            <w:tcW w:w="7101" w:type="dxa"/>
            <w:shd w:val="clear" w:color="auto" w:fill="0070AE" w:themeFill="accent2" w:themeFillTint="BF"/>
          </w:tcPr>
          <w:p w14:paraId="3FDAA087"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An independent, expert committee that assesses whether methodology determinations (methods) under the Emission Reduction Fund meet the requirements of the fund and helps ensure the ongoing integrity of methods under the fund.</w:t>
            </w:r>
          </w:p>
        </w:tc>
      </w:tr>
      <w:tr w:rsidR="008C02AA" w:rsidRPr="00B32198" w14:paraId="0AFCD26F" w14:textId="77777777" w:rsidTr="008C02AA">
        <w:tc>
          <w:tcPr>
            <w:tcW w:w="2528" w:type="dxa"/>
          </w:tcPr>
          <w:p w14:paraId="4BA1C060" w14:textId="77777777" w:rsidR="008C02AA" w:rsidRPr="00B32198" w:rsidRDefault="008C02AA" w:rsidP="008C02AA">
            <w:pPr>
              <w:spacing w:before="120"/>
              <w:rPr>
                <w:rFonts w:cs="Arial"/>
                <w:szCs w:val="20"/>
              </w:rPr>
            </w:pPr>
            <w:r w:rsidRPr="00B32198">
              <w:rPr>
                <w:rFonts w:cs="Arial"/>
                <w:szCs w:val="20"/>
              </w:rPr>
              <w:t xml:space="preserve">Emissions Reduction Fund </w:t>
            </w:r>
            <w:r w:rsidRPr="00B32198">
              <w:rPr>
                <w:rFonts w:cs="Arial"/>
                <w:b/>
                <w:szCs w:val="20"/>
              </w:rPr>
              <w:t>(ERF)</w:t>
            </w:r>
          </w:p>
        </w:tc>
        <w:tc>
          <w:tcPr>
            <w:tcW w:w="7101" w:type="dxa"/>
          </w:tcPr>
          <w:p w14:paraId="175DF7EC" w14:textId="77777777" w:rsidR="008C02AA" w:rsidRPr="00B32198" w:rsidRDefault="008C02AA" w:rsidP="008C02AA">
            <w:pPr>
              <w:spacing w:before="120"/>
              <w:rPr>
                <w:rFonts w:cs="Arial"/>
                <w:szCs w:val="20"/>
              </w:rPr>
            </w:pPr>
            <w:r w:rsidRPr="00B32198">
              <w:rPr>
                <w:rFonts w:cs="Arial"/>
                <w:szCs w:val="20"/>
              </w:rPr>
              <w:t>A voluntary scheme that aims to provide incentives for a range of organisations and individuals to adopt new practices and technologies to reduce their emissions. A number of activities are eligible under the scheme and participants can earn ACCUs for emissions reductions.</w:t>
            </w:r>
          </w:p>
        </w:tc>
      </w:tr>
      <w:tr w:rsidR="008C02AA" w:rsidRPr="00B32198" w14:paraId="76E7697B"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20219A8F"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Full Carbon Accounting Model (</w:t>
            </w:r>
            <w:r w:rsidRPr="00E162C0">
              <w:rPr>
                <w:rFonts w:cs="Arial"/>
                <w:b/>
                <w:color w:val="FFFFFF" w:themeColor="background1"/>
                <w:szCs w:val="20"/>
              </w:rPr>
              <w:t>FullCAM</w:t>
            </w:r>
            <w:r w:rsidRPr="00E162C0">
              <w:rPr>
                <w:rFonts w:cs="Arial"/>
                <w:color w:val="FFFFFF" w:themeColor="background1"/>
                <w:szCs w:val="20"/>
              </w:rPr>
              <w:t>)</w:t>
            </w:r>
          </w:p>
        </w:tc>
        <w:tc>
          <w:tcPr>
            <w:tcW w:w="7101" w:type="dxa"/>
            <w:shd w:val="clear" w:color="auto" w:fill="0070AE" w:themeFill="accent2" w:themeFillTint="BF"/>
          </w:tcPr>
          <w:p w14:paraId="44331633"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A calculation tool for modelling Australia’s greenhouse gas emissions from the land sector. </w:t>
            </w:r>
          </w:p>
        </w:tc>
      </w:tr>
      <w:tr w:rsidR="008C02AA" w:rsidRPr="00B32198" w14:paraId="2C3CE615" w14:textId="77777777" w:rsidTr="008C02AA">
        <w:tc>
          <w:tcPr>
            <w:tcW w:w="2528" w:type="dxa"/>
          </w:tcPr>
          <w:p w14:paraId="26C6946A" w14:textId="77777777" w:rsidR="008C02AA" w:rsidRPr="00B32198" w:rsidRDefault="008C02AA" w:rsidP="008C02AA">
            <w:pPr>
              <w:spacing w:before="120"/>
              <w:rPr>
                <w:rFonts w:cs="Arial"/>
                <w:szCs w:val="20"/>
              </w:rPr>
            </w:pPr>
            <w:r w:rsidRPr="00B32198">
              <w:rPr>
                <w:rFonts w:cs="Arial"/>
                <w:szCs w:val="20"/>
              </w:rPr>
              <w:t xml:space="preserve">Intergovernmental Panel on Climate Change </w:t>
            </w:r>
            <w:r w:rsidRPr="00B32198">
              <w:rPr>
                <w:rFonts w:cs="Arial"/>
                <w:b/>
                <w:szCs w:val="20"/>
              </w:rPr>
              <w:t>(IPCC)</w:t>
            </w:r>
          </w:p>
        </w:tc>
        <w:tc>
          <w:tcPr>
            <w:tcW w:w="7101" w:type="dxa"/>
          </w:tcPr>
          <w:p w14:paraId="2B385C62" w14:textId="77777777" w:rsidR="008C02AA" w:rsidRPr="00B32198" w:rsidRDefault="008C02AA" w:rsidP="008C02AA">
            <w:pPr>
              <w:spacing w:before="120"/>
              <w:rPr>
                <w:rFonts w:cs="Arial"/>
                <w:szCs w:val="20"/>
                <w:lang w:val="en-GB" w:eastAsia="en-AU"/>
              </w:rPr>
            </w:pPr>
            <w:r w:rsidRPr="00B32198">
              <w:rPr>
                <w:rFonts w:cs="Arial"/>
                <w:szCs w:val="20"/>
              </w:rPr>
              <w:t>The intergovernmental scientific body that produces reports that support the United Nations Framework Convention on Climate Change, which is the main international treaty on climate change.</w:t>
            </w:r>
          </w:p>
        </w:tc>
      </w:tr>
      <w:tr w:rsidR="008C02AA" w:rsidRPr="00B32198" w14:paraId="4725153D"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37537C3C"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Minister</w:t>
            </w:r>
          </w:p>
        </w:tc>
        <w:tc>
          <w:tcPr>
            <w:tcW w:w="7101" w:type="dxa"/>
            <w:shd w:val="clear" w:color="auto" w:fill="0070AE" w:themeFill="accent2" w:themeFillTint="BF"/>
          </w:tcPr>
          <w:p w14:paraId="18D1E403"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Meaning the Minister for Energy and Emissions Reduction. </w:t>
            </w:r>
          </w:p>
        </w:tc>
      </w:tr>
      <w:tr w:rsidR="008C02AA" w:rsidRPr="00B32198" w14:paraId="0549F0B2" w14:textId="77777777" w:rsidTr="008C02AA">
        <w:tc>
          <w:tcPr>
            <w:tcW w:w="2528" w:type="dxa"/>
          </w:tcPr>
          <w:p w14:paraId="74ACB04E" w14:textId="77777777" w:rsidR="008C02AA" w:rsidRDefault="008C02AA" w:rsidP="008C02AA">
            <w:pPr>
              <w:spacing w:before="120"/>
              <w:rPr>
                <w:rFonts w:cs="Arial"/>
                <w:szCs w:val="20"/>
              </w:rPr>
            </w:pPr>
            <w:r>
              <w:rPr>
                <w:rFonts w:cs="Arial"/>
                <w:szCs w:val="20"/>
              </w:rPr>
              <w:t>National Greenhouse and Energy Reporting Scheme (</w:t>
            </w:r>
            <w:r w:rsidRPr="00D37D9D">
              <w:rPr>
                <w:rFonts w:cs="Arial"/>
                <w:b/>
                <w:szCs w:val="20"/>
              </w:rPr>
              <w:t>NGER</w:t>
            </w:r>
            <w:r>
              <w:rPr>
                <w:rFonts w:cs="Arial"/>
                <w:szCs w:val="20"/>
              </w:rPr>
              <w:t>)</w:t>
            </w:r>
          </w:p>
        </w:tc>
        <w:tc>
          <w:tcPr>
            <w:tcW w:w="7101" w:type="dxa"/>
          </w:tcPr>
          <w:p w14:paraId="1FF496CD" w14:textId="77777777" w:rsidR="008C02AA" w:rsidRPr="00870333" w:rsidRDefault="008C02AA" w:rsidP="008C02AA">
            <w:pPr>
              <w:spacing w:before="120"/>
              <w:rPr>
                <w:rFonts w:cs="Arial"/>
                <w:szCs w:val="20"/>
              </w:rPr>
            </w:pPr>
            <w:r>
              <w:rPr>
                <w:rFonts w:cs="Arial"/>
                <w:szCs w:val="20"/>
              </w:rPr>
              <w:t xml:space="preserve">A national framework for reporting and disseminating company information about greenhouse gas emissions, energy production and energy consumption, established by the </w:t>
            </w:r>
            <w:r>
              <w:rPr>
                <w:rFonts w:cs="Arial"/>
                <w:i/>
                <w:szCs w:val="20"/>
              </w:rPr>
              <w:t xml:space="preserve">National Greenhouse and Energy Reporting Act 2007 </w:t>
            </w:r>
            <w:r>
              <w:rPr>
                <w:rFonts w:cs="Arial"/>
                <w:szCs w:val="20"/>
              </w:rPr>
              <w:t xml:space="preserve">(Cth) </w:t>
            </w:r>
          </w:p>
        </w:tc>
      </w:tr>
      <w:tr w:rsidR="008C02AA" w:rsidRPr="00B32198" w14:paraId="0F81D79A"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00A39550"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Natural Resource Management (</w:t>
            </w:r>
            <w:r w:rsidRPr="00E162C0">
              <w:rPr>
                <w:rFonts w:cs="Arial"/>
                <w:b/>
                <w:color w:val="FFFFFF" w:themeColor="background1"/>
                <w:szCs w:val="20"/>
              </w:rPr>
              <w:t>NRM</w:t>
            </w:r>
            <w:r w:rsidRPr="00E162C0">
              <w:rPr>
                <w:rFonts w:cs="Arial"/>
                <w:color w:val="FFFFFF" w:themeColor="background1"/>
                <w:szCs w:val="20"/>
              </w:rPr>
              <w:t>)</w:t>
            </w:r>
          </w:p>
        </w:tc>
        <w:tc>
          <w:tcPr>
            <w:tcW w:w="7101" w:type="dxa"/>
            <w:shd w:val="clear" w:color="auto" w:fill="0070AE" w:themeFill="accent2" w:themeFillTint="BF"/>
          </w:tcPr>
          <w:p w14:paraId="1EA3DDD4"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Refers to the protection and improvement of environmental assets such as soils, water, vegetation and biodiversity. </w:t>
            </w:r>
          </w:p>
        </w:tc>
      </w:tr>
      <w:tr w:rsidR="008C02AA" w:rsidRPr="00B32198" w14:paraId="51E35D18" w14:textId="77777777" w:rsidTr="008C02AA">
        <w:tc>
          <w:tcPr>
            <w:tcW w:w="2528" w:type="dxa"/>
          </w:tcPr>
          <w:p w14:paraId="0338D5CD" w14:textId="77777777" w:rsidR="008C02AA" w:rsidRPr="00B32198" w:rsidRDefault="008C02AA" w:rsidP="008C02AA">
            <w:pPr>
              <w:spacing w:before="120"/>
              <w:rPr>
                <w:rFonts w:cs="Arial"/>
                <w:b/>
                <w:szCs w:val="20"/>
              </w:rPr>
            </w:pPr>
            <w:r w:rsidRPr="00B32198">
              <w:rPr>
                <w:rFonts w:cs="Arial"/>
                <w:szCs w:val="20"/>
              </w:rPr>
              <w:t>non-government organisations</w:t>
            </w:r>
            <w:r w:rsidRPr="00B32198">
              <w:rPr>
                <w:rFonts w:cs="Arial"/>
                <w:b/>
                <w:szCs w:val="20"/>
              </w:rPr>
              <w:t xml:space="preserve"> (NGOs)</w:t>
            </w:r>
          </w:p>
        </w:tc>
        <w:tc>
          <w:tcPr>
            <w:tcW w:w="7101" w:type="dxa"/>
          </w:tcPr>
          <w:p w14:paraId="366EC0B3" w14:textId="77777777" w:rsidR="008C02AA" w:rsidRPr="00B32198" w:rsidRDefault="008C02AA" w:rsidP="008C02AA">
            <w:pPr>
              <w:spacing w:before="120"/>
              <w:rPr>
                <w:rFonts w:cs="Arial"/>
                <w:szCs w:val="20"/>
              </w:rPr>
            </w:pPr>
            <w:r w:rsidRPr="00B32198">
              <w:rPr>
                <w:rFonts w:cs="Arial"/>
                <w:szCs w:val="20"/>
              </w:rPr>
              <w:t>Organisations independent of any government. They are usually non-profit.</w:t>
            </w:r>
          </w:p>
        </w:tc>
      </w:tr>
      <w:tr w:rsidR="008C02AA" w:rsidRPr="00B32198" w14:paraId="50B3A0BE" w14:textId="77777777" w:rsidTr="00E162C0">
        <w:trPr>
          <w:cnfStyle w:val="000000100000" w:firstRow="0" w:lastRow="0" w:firstColumn="0" w:lastColumn="0" w:oddVBand="0" w:evenVBand="0" w:oddHBand="1" w:evenHBand="0" w:firstRowFirstColumn="0" w:firstRowLastColumn="0" w:lastRowFirstColumn="0" w:lastRowLastColumn="0"/>
        </w:trPr>
        <w:tc>
          <w:tcPr>
            <w:tcW w:w="2528" w:type="dxa"/>
            <w:shd w:val="clear" w:color="auto" w:fill="0070AE" w:themeFill="accent2" w:themeFillTint="BF"/>
          </w:tcPr>
          <w:p w14:paraId="1A775483"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 xml:space="preserve">Financial Stability Board Task Force on Climate-related Financial Disclosures </w:t>
            </w:r>
            <w:r w:rsidRPr="00E162C0">
              <w:rPr>
                <w:rFonts w:cs="Arial"/>
                <w:b/>
                <w:color w:val="FFFFFF" w:themeColor="background1"/>
                <w:szCs w:val="20"/>
              </w:rPr>
              <w:t>(TCFD)</w:t>
            </w:r>
          </w:p>
        </w:tc>
        <w:tc>
          <w:tcPr>
            <w:tcW w:w="7101" w:type="dxa"/>
            <w:shd w:val="clear" w:color="auto" w:fill="0070AE" w:themeFill="accent2" w:themeFillTint="BF"/>
          </w:tcPr>
          <w:p w14:paraId="6EF1E38E" w14:textId="77777777" w:rsidR="008C02AA" w:rsidRPr="00E162C0" w:rsidRDefault="008C02AA" w:rsidP="008C02AA">
            <w:pPr>
              <w:spacing w:before="120"/>
              <w:rPr>
                <w:rFonts w:cs="Arial"/>
                <w:color w:val="FFFFFF" w:themeColor="background1"/>
                <w:szCs w:val="20"/>
              </w:rPr>
            </w:pPr>
            <w:r w:rsidRPr="00E162C0">
              <w:rPr>
                <w:rFonts w:cs="Arial"/>
                <w:color w:val="FFFFFF" w:themeColor="background1"/>
                <w:szCs w:val="20"/>
              </w:rPr>
              <w:t>A market-driven initiative set up to develop a set of recommendations for voluntary and consistent climate-related financial risk disclosures in mainstream corporate filings.</w:t>
            </w:r>
          </w:p>
        </w:tc>
      </w:tr>
      <w:tr w:rsidR="008C02AA" w:rsidRPr="00B32198" w14:paraId="413EF805" w14:textId="77777777" w:rsidTr="008C02AA">
        <w:tc>
          <w:tcPr>
            <w:tcW w:w="2528" w:type="dxa"/>
          </w:tcPr>
          <w:p w14:paraId="162A7111" w14:textId="77777777" w:rsidR="008C02AA" w:rsidRPr="00B32198" w:rsidRDefault="008C02AA" w:rsidP="008C02AA">
            <w:pPr>
              <w:spacing w:before="120"/>
              <w:rPr>
                <w:rFonts w:cs="Arial"/>
                <w:szCs w:val="20"/>
              </w:rPr>
            </w:pPr>
            <w:r w:rsidRPr="00B32198">
              <w:rPr>
                <w:rFonts w:cs="Arial"/>
                <w:szCs w:val="20"/>
              </w:rPr>
              <w:t xml:space="preserve">United Nations Framework Convention on Climate Change </w:t>
            </w:r>
            <w:r w:rsidRPr="00B32198">
              <w:rPr>
                <w:rFonts w:cs="Arial"/>
                <w:b/>
                <w:szCs w:val="20"/>
              </w:rPr>
              <w:t>(UNFCCC)</w:t>
            </w:r>
          </w:p>
        </w:tc>
        <w:tc>
          <w:tcPr>
            <w:tcW w:w="7101" w:type="dxa"/>
          </w:tcPr>
          <w:p w14:paraId="75405D0F" w14:textId="77777777" w:rsidR="008C02AA" w:rsidRPr="00B32198" w:rsidRDefault="008C02AA" w:rsidP="008C02AA">
            <w:pPr>
              <w:spacing w:before="120"/>
              <w:rPr>
                <w:rFonts w:cs="Arial"/>
                <w:szCs w:val="20"/>
                <w:lang w:val="en-GB" w:eastAsia="en-AU"/>
              </w:rPr>
            </w:pPr>
            <w:r w:rsidRPr="00B32198">
              <w:rPr>
                <w:rFonts w:cs="Arial"/>
                <w:szCs w:val="20"/>
              </w:rPr>
              <w:t xml:space="preserve">An international convention that commits signatory countries (known as Parties) to stabilise greenhouse gas concentrations in the atmosphere at a level that would prevent dangerous human-induced interference with the climate system. </w:t>
            </w:r>
          </w:p>
        </w:tc>
      </w:tr>
      <w:bookmarkEnd w:id="3725"/>
      <w:bookmarkEnd w:id="3726"/>
      <w:bookmarkEnd w:id="3727"/>
      <w:bookmarkEnd w:id="3728"/>
      <w:bookmarkEnd w:id="3729"/>
      <w:bookmarkEnd w:id="3730"/>
      <w:bookmarkEnd w:id="3731"/>
      <w:bookmarkEnd w:id="3732"/>
      <w:bookmarkEnd w:id="3733"/>
      <w:bookmarkEnd w:id="3734"/>
      <w:bookmarkEnd w:id="3735"/>
      <w:bookmarkEnd w:id="3736"/>
      <w:bookmarkEnd w:id="3737"/>
    </w:tbl>
    <w:p w14:paraId="17A7A564" w14:textId="6EAD686F" w:rsidR="00B12DB4" w:rsidRPr="008C02AA" w:rsidRDefault="00B12DB4" w:rsidP="008C02AA"/>
    <w:p w14:paraId="7B09C75D" w14:textId="3C1C9562" w:rsidR="00DE12CF" w:rsidRPr="008C02AA" w:rsidRDefault="00DE12CF">
      <w:pPr>
        <w:spacing w:line="259" w:lineRule="auto"/>
      </w:pPr>
      <w:r>
        <w:br w:type="page"/>
      </w:r>
    </w:p>
    <w:p w14:paraId="3A62D9BB" w14:textId="4057E56D" w:rsidR="003F14E9" w:rsidRPr="001C19F1" w:rsidRDefault="00BE66D9" w:rsidP="008C02AA">
      <w:pPr>
        <w:pStyle w:val="Heading1"/>
        <w:ind w:left="0" w:firstLine="0"/>
        <w:rPr>
          <w:color w:val="0070AE" w:themeColor="accent2" w:themeTint="BF"/>
        </w:rPr>
      </w:pPr>
      <w:bookmarkStart w:id="3738" w:name="_Toc44514586"/>
      <w:bookmarkStart w:id="3739" w:name="_Toc45030362"/>
      <w:bookmarkStart w:id="3740" w:name="_Toc48996331"/>
      <w:bookmarkStart w:id="3741" w:name="_Toc49350858"/>
      <w:bookmarkStart w:id="3742" w:name="_Toc49352838"/>
      <w:bookmarkStart w:id="3743" w:name="_Toc49354214"/>
      <w:bookmarkStart w:id="3744" w:name="_Toc49355540"/>
      <w:bookmarkStart w:id="3745" w:name="_Toc49429298"/>
      <w:bookmarkStart w:id="3746" w:name="_Toc49434055"/>
      <w:bookmarkStart w:id="3747" w:name="_Toc49441048"/>
      <w:bookmarkStart w:id="3748" w:name="_Toc49441238"/>
      <w:bookmarkStart w:id="3749" w:name="_Toc49442241"/>
      <w:bookmarkStart w:id="3750" w:name="_Toc49508974"/>
      <w:bookmarkStart w:id="3751" w:name="_Toc49519783"/>
      <w:bookmarkStart w:id="3752" w:name="_Toc49521501"/>
      <w:bookmarkStart w:id="3753" w:name="_Toc49524573"/>
      <w:bookmarkStart w:id="3754" w:name="_Toc49524711"/>
      <w:bookmarkStart w:id="3755" w:name="_Toc49527180"/>
      <w:bookmarkStart w:id="3756" w:name="_Toc49528018"/>
      <w:bookmarkStart w:id="3757" w:name="_Toc49692170"/>
      <w:bookmarkStart w:id="3758" w:name="_Toc49710541"/>
      <w:bookmarkStart w:id="3759" w:name="_Toc49710713"/>
      <w:bookmarkStart w:id="3760" w:name="_Toc49713266"/>
      <w:bookmarkStart w:id="3761" w:name="_Toc49713468"/>
      <w:bookmarkStart w:id="3762" w:name="_Toc49776406"/>
      <w:bookmarkStart w:id="3763" w:name="_Toc49784965"/>
      <w:bookmarkStart w:id="3764" w:name="_Toc49786291"/>
      <w:bookmarkStart w:id="3765" w:name="_Toc49787339"/>
      <w:bookmarkStart w:id="3766" w:name="_Toc49787394"/>
      <w:bookmarkStart w:id="3767" w:name="_Toc49850708"/>
      <w:bookmarkStart w:id="3768" w:name="_Toc49852950"/>
      <w:bookmarkStart w:id="3769" w:name="_Toc49854367"/>
      <w:bookmarkStart w:id="3770" w:name="_Toc49856963"/>
      <w:bookmarkStart w:id="3771" w:name="_Toc49858279"/>
      <w:bookmarkStart w:id="3772" w:name="_Toc49858334"/>
      <w:bookmarkStart w:id="3773" w:name="_Toc49863036"/>
      <w:bookmarkStart w:id="3774" w:name="_Toc49867759"/>
      <w:bookmarkStart w:id="3775" w:name="_Toc49870596"/>
      <w:bookmarkStart w:id="3776" w:name="_Toc49871339"/>
      <w:bookmarkStart w:id="3777" w:name="_Toc49872020"/>
      <w:bookmarkStart w:id="3778" w:name="_Toc49872573"/>
      <w:bookmarkStart w:id="3779" w:name="_Toc50027784"/>
      <w:bookmarkStart w:id="3780" w:name="_Toc50029478"/>
      <w:bookmarkStart w:id="3781" w:name="_Toc50043906"/>
      <w:bookmarkStart w:id="3782" w:name="_Toc50057758"/>
      <w:bookmarkStart w:id="3783" w:name="_Toc50553636"/>
      <w:bookmarkStart w:id="3784" w:name="_Toc50555399"/>
      <w:bookmarkStart w:id="3785" w:name="_Toc50559859"/>
      <w:bookmarkStart w:id="3786" w:name="_Toc50559912"/>
      <w:bookmarkStart w:id="3787" w:name="_Toc50563846"/>
      <w:bookmarkStart w:id="3788" w:name="_Toc50711399"/>
      <w:bookmarkStart w:id="3789" w:name="_Toc50720981"/>
      <w:bookmarkStart w:id="3790" w:name="_Toc50730705"/>
      <w:bookmarkStart w:id="3791" w:name="_Toc50734931"/>
      <w:bookmarkStart w:id="3792" w:name="_Toc50735534"/>
      <w:bookmarkStart w:id="3793" w:name="_Toc50905553"/>
      <w:bookmarkStart w:id="3794" w:name="_Toc51587038"/>
      <w:bookmarkStart w:id="3795" w:name="_Toc51594898"/>
      <w:bookmarkStart w:id="3796" w:name="_Toc51599501"/>
      <w:bookmarkStart w:id="3797" w:name="_Toc51613537"/>
      <w:bookmarkStart w:id="3798" w:name="_Toc51669648"/>
      <w:bookmarkStart w:id="3799" w:name="_Toc51669743"/>
      <w:bookmarkStart w:id="3800" w:name="_Toc51672892"/>
      <w:bookmarkStart w:id="3801" w:name="_Toc51673942"/>
      <w:bookmarkStart w:id="3802" w:name="_Toc51680759"/>
      <w:bookmarkStart w:id="3803" w:name="_Toc51683288"/>
      <w:bookmarkStart w:id="3804" w:name="_Toc51686024"/>
      <w:bookmarkStart w:id="3805" w:name="_Toc51687762"/>
      <w:bookmarkStart w:id="3806" w:name="_Toc51687906"/>
      <w:bookmarkStart w:id="3807" w:name="_Toc51705784"/>
      <w:bookmarkStart w:id="3808" w:name="_Toc51770730"/>
      <w:bookmarkStart w:id="3809" w:name="_Toc51770916"/>
      <w:bookmarkStart w:id="3810" w:name="_Toc52359259"/>
      <w:bookmarkStart w:id="3811" w:name="_Toc52367292"/>
      <w:bookmarkStart w:id="3812" w:name="_Toc52371632"/>
      <w:bookmarkStart w:id="3813" w:name="_Toc52374780"/>
      <w:bookmarkStart w:id="3814" w:name="_Toc52377318"/>
      <w:bookmarkStart w:id="3815" w:name="_Toc52379240"/>
      <w:bookmarkStart w:id="3816" w:name="_Toc52379595"/>
      <w:bookmarkStart w:id="3817" w:name="_Toc52532805"/>
      <w:bookmarkStart w:id="3818" w:name="_Toc52535700"/>
      <w:bookmarkStart w:id="3819" w:name="_Toc52537518"/>
      <w:bookmarkStart w:id="3820" w:name="_Toc52544081"/>
      <w:bookmarkStart w:id="3821" w:name="_Toc52545685"/>
      <w:bookmarkStart w:id="3822" w:name="_Toc52547917"/>
      <w:bookmarkStart w:id="3823" w:name="_Toc52548606"/>
      <w:bookmarkStart w:id="3824" w:name="_Toc52890898"/>
      <w:bookmarkStart w:id="3825" w:name="_Toc52895101"/>
      <w:bookmarkStart w:id="3826" w:name="_Toc52896625"/>
      <w:bookmarkStart w:id="3827" w:name="_Toc52977802"/>
      <w:bookmarkStart w:id="3828" w:name="_Toc53129488"/>
      <w:bookmarkEnd w:id="3673"/>
      <w:r w:rsidRPr="001C19F1">
        <w:rPr>
          <w:color w:val="0070AE" w:themeColor="accent2" w:themeTint="BF"/>
        </w:rPr>
        <w:t>Appendix A. Stakeholder consultation</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p>
    <w:p w14:paraId="110698A8" w14:textId="77777777" w:rsidR="000B132B" w:rsidRDefault="000B132B">
      <w:pPr>
        <w:spacing w:line="259" w:lineRule="auto"/>
      </w:pPr>
    </w:p>
    <w:p w14:paraId="7E5B6158" w14:textId="221DE9C8" w:rsidR="006D15BF" w:rsidRDefault="006D15BF">
      <w:pPr>
        <w:spacing w:line="259" w:lineRule="auto"/>
      </w:pPr>
      <w:r>
        <w:t>The Climate Change Authority conducts public consultations for all of its reviews</w:t>
      </w:r>
      <w:r w:rsidR="0001703B">
        <w:t xml:space="preserve"> and reports</w:t>
      </w:r>
      <w:r>
        <w:t>. Throughout this review, the Authority consulted with a wide range of interested parties, including industry</w:t>
      </w:r>
      <w:r w:rsidR="0001703B">
        <w:t xml:space="preserve"> and peak bodies</w:t>
      </w:r>
      <w:r>
        <w:t>, non-governmental organisations, indigenous group</w:t>
      </w:r>
      <w:r w:rsidR="008B24DB">
        <w:t>s</w:t>
      </w:r>
      <w:r w:rsidR="00F14BBA">
        <w:t xml:space="preserve">, research institutions </w:t>
      </w:r>
      <w:r w:rsidR="008B24DB">
        <w:t xml:space="preserve">and government </w:t>
      </w:r>
      <w:r w:rsidR="0001703B">
        <w:t xml:space="preserve">departments and agencies. </w:t>
      </w:r>
      <w:r w:rsidR="00F14BBA">
        <w:t xml:space="preserve"> </w:t>
      </w:r>
      <w:r w:rsidR="008B24DB">
        <w:t xml:space="preserve">   </w:t>
      </w:r>
    </w:p>
    <w:p w14:paraId="4CA9DA13" w14:textId="78ABC14A" w:rsidR="00BE7272" w:rsidRPr="00BE7272" w:rsidRDefault="00BE7272" w:rsidP="00BE7272">
      <w:pPr>
        <w:spacing w:line="259" w:lineRule="auto"/>
        <w:jc w:val="both"/>
      </w:pPr>
      <w:r w:rsidRPr="00BE7272">
        <w:t xml:space="preserve">In April 2020, the Authority released a paper to facilitate consultation for this review. The </w:t>
      </w:r>
      <w:r w:rsidR="00260256">
        <w:t>A</w:t>
      </w:r>
      <w:r w:rsidRPr="00BE7272">
        <w:t xml:space="preserve">uthority received 51 stakeholder submissions, eight of which were confidential. The non-confidential submissions are available on the Authority’s website at </w:t>
      </w:r>
      <w:hyperlink r:id="rId46" w:history="1">
        <w:r w:rsidRPr="00BE7272">
          <w:rPr>
            <w:color w:val="0070AE" w:themeColor="hyperlink"/>
            <w:u w:val="single"/>
          </w:rPr>
          <w:t>https://www.climatechangeauthority.gov.au/submissions-received</w:t>
        </w:r>
      </w:hyperlink>
      <w:r w:rsidRPr="00BE7272">
        <w:t xml:space="preserve">. </w:t>
      </w:r>
    </w:p>
    <w:p w14:paraId="2B1FF826" w14:textId="0FD5738B" w:rsidR="00BE7272" w:rsidRPr="00BE7272" w:rsidRDefault="00BE7272" w:rsidP="00BE7272">
      <w:pPr>
        <w:spacing w:line="259" w:lineRule="auto"/>
        <w:jc w:val="both"/>
      </w:pPr>
      <w:r w:rsidRPr="00BE7272">
        <w:t xml:space="preserve">As the consultation period coincided with COVID-19 restrictions, the Authority provided flexible options to facilitate stakeholder participation. This included drawing on submissions provided to the Authority’s recent </w:t>
      </w:r>
      <w:r w:rsidRPr="00BE7272">
        <w:rPr>
          <w:i/>
        </w:rPr>
        <w:t>Prospering in a low-emissions world: An updated climate policy toolkit for Australia</w:t>
      </w:r>
      <w:r w:rsidRPr="00BE7272">
        <w:t xml:space="preserve"> report, and submissions made to the </w:t>
      </w:r>
      <w:r w:rsidRPr="00BE7272">
        <w:rPr>
          <w:i/>
        </w:rPr>
        <w:t xml:space="preserve">Examining additional sources of low cost abatement: expert panel report </w:t>
      </w:r>
      <w:r w:rsidRPr="00BE7272">
        <w:t>(King Review).</w:t>
      </w:r>
      <w:r w:rsidR="00260256">
        <w:t xml:space="preserve"> </w:t>
      </w:r>
      <w:r w:rsidRPr="00BE7272">
        <w:t xml:space="preserve">Virtual meeting were also offered, with the Authority meeting with 33 organisations. </w:t>
      </w:r>
    </w:p>
    <w:p w14:paraId="2214DC83" w14:textId="7B24F9E6" w:rsidR="000B132B" w:rsidRDefault="00BE7272" w:rsidP="00E113C2">
      <w:pPr>
        <w:spacing w:line="259" w:lineRule="auto"/>
        <w:jc w:val="both"/>
      </w:pPr>
      <w:r w:rsidRPr="00BE7272">
        <w:t xml:space="preserve">The Authority thanks all those who provided submissions and/or engaged with the Authority for this work. </w:t>
      </w:r>
      <w:r w:rsidR="0001703B">
        <w:t>The following o</w:t>
      </w:r>
      <w:r w:rsidR="006D15BF">
        <w:t>rganisations</w:t>
      </w:r>
      <w:r w:rsidR="00832AEF">
        <w:t xml:space="preserve"> and individuals</w:t>
      </w:r>
      <w:r w:rsidR="006D15BF">
        <w:t xml:space="preserve"> </w:t>
      </w:r>
      <w:r w:rsidRPr="00BE7272">
        <w:t>provided</w:t>
      </w:r>
      <w:r w:rsidR="006D15BF">
        <w:t xml:space="preserve"> non-confident</w:t>
      </w:r>
      <w:r w:rsidR="008B24DB">
        <w:t>ial submissions</w:t>
      </w:r>
      <w:r w:rsidR="006D15BF">
        <w:t xml:space="preserve">: </w:t>
      </w:r>
    </w:p>
    <w:tbl>
      <w:tblPr>
        <w:tblStyle w:val="TableLayout1"/>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554"/>
      </w:tblGrid>
      <w:tr w:rsidR="00BE7272" w:rsidRPr="00BE7272" w14:paraId="733D2E8B" w14:textId="77777777" w:rsidTr="00F94E82">
        <w:trPr>
          <w:trHeight w:val="3620"/>
        </w:trPr>
        <w:tc>
          <w:tcPr>
            <w:tcW w:w="4554" w:type="dxa"/>
          </w:tcPr>
          <w:p w14:paraId="30BAAAB8" w14:textId="77777777" w:rsidR="00BE7272" w:rsidRPr="00BE7272" w:rsidRDefault="00BE7272" w:rsidP="00101036">
            <w:pPr>
              <w:spacing w:before="20" w:after="40" w:line="240" w:lineRule="auto"/>
              <w:rPr>
                <w:rFonts w:eastAsia="Calibri" w:cs="Arial"/>
                <w:szCs w:val="20"/>
              </w:rPr>
            </w:pPr>
            <w:bookmarkStart w:id="3829" w:name="_Toc50043907"/>
            <w:bookmarkStart w:id="3830" w:name="_Toc50057759"/>
            <w:bookmarkStart w:id="3831" w:name="_Toc44514587"/>
            <w:bookmarkStart w:id="3832" w:name="_Toc45030363"/>
            <w:bookmarkStart w:id="3833" w:name="_Toc48996332"/>
            <w:bookmarkStart w:id="3834" w:name="_Toc49350859"/>
            <w:bookmarkStart w:id="3835" w:name="_Toc49352839"/>
            <w:bookmarkStart w:id="3836" w:name="_Toc49354215"/>
            <w:bookmarkStart w:id="3837" w:name="_Toc49355541"/>
            <w:bookmarkStart w:id="3838" w:name="_Toc49429299"/>
            <w:bookmarkStart w:id="3839" w:name="_Toc49434056"/>
            <w:bookmarkStart w:id="3840" w:name="_Toc49441049"/>
            <w:bookmarkStart w:id="3841" w:name="_Toc49441239"/>
            <w:bookmarkStart w:id="3842" w:name="_Toc49442242"/>
            <w:bookmarkStart w:id="3843" w:name="_Toc49508975"/>
            <w:bookmarkStart w:id="3844" w:name="_Toc49519784"/>
            <w:bookmarkStart w:id="3845" w:name="_Toc49521502"/>
            <w:bookmarkStart w:id="3846" w:name="_Toc49524574"/>
            <w:bookmarkStart w:id="3847" w:name="_Toc49524712"/>
            <w:bookmarkStart w:id="3848" w:name="_Toc49527181"/>
            <w:bookmarkStart w:id="3849" w:name="_Toc49528019"/>
            <w:bookmarkStart w:id="3850" w:name="_Toc49692171"/>
            <w:bookmarkStart w:id="3851" w:name="_Toc49710542"/>
            <w:bookmarkStart w:id="3852" w:name="_Toc49710714"/>
            <w:bookmarkStart w:id="3853" w:name="_Toc49713267"/>
            <w:bookmarkStart w:id="3854" w:name="_Toc49713469"/>
            <w:bookmarkStart w:id="3855" w:name="_Toc49776407"/>
            <w:bookmarkStart w:id="3856" w:name="_Toc49784966"/>
            <w:bookmarkStart w:id="3857" w:name="_Toc49786292"/>
            <w:bookmarkStart w:id="3858" w:name="_Toc49787340"/>
            <w:bookmarkStart w:id="3859" w:name="_Toc49787395"/>
            <w:bookmarkStart w:id="3860" w:name="_Toc49850709"/>
            <w:bookmarkStart w:id="3861" w:name="_Toc49852951"/>
            <w:bookmarkStart w:id="3862" w:name="_Toc49854368"/>
            <w:bookmarkStart w:id="3863" w:name="_Toc49856964"/>
            <w:bookmarkStart w:id="3864" w:name="_Toc49858280"/>
            <w:bookmarkStart w:id="3865" w:name="_Toc49858335"/>
            <w:bookmarkStart w:id="3866" w:name="_Toc49863037"/>
            <w:bookmarkStart w:id="3867" w:name="_Toc49867760"/>
            <w:bookmarkStart w:id="3868" w:name="_Toc49870597"/>
            <w:bookmarkStart w:id="3869" w:name="_Toc49871340"/>
            <w:bookmarkStart w:id="3870" w:name="_Toc49872021"/>
            <w:bookmarkStart w:id="3871" w:name="_Toc49872574"/>
            <w:bookmarkStart w:id="3872" w:name="_Toc50027785"/>
            <w:bookmarkStart w:id="3873" w:name="_Toc50029479"/>
            <w:bookmarkStart w:id="3874" w:name="_Ref31718730"/>
            <w:r w:rsidRPr="00BE7272">
              <w:rPr>
                <w:rFonts w:eastAsia="Calibri" w:cs="Arial"/>
                <w:szCs w:val="20"/>
              </w:rPr>
              <w:t>AGL Energy Limited</w:t>
            </w:r>
          </w:p>
          <w:p w14:paraId="0434307C"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Anton Steketee</w:t>
            </w:r>
          </w:p>
          <w:p w14:paraId="6134BE24"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Arnhem Land Fire Abatement (ALFA)</w:t>
            </w:r>
          </w:p>
          <w:p w14:paraId="3F6F54A7"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 xml:space="preserve">Australian Aluminium Council </w:t>
            </w:r>
          </w:p>
          <w:p w14:paraId="2D0F61E3"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Australian Conservation Foundation (ACF)</w:t>
            </w:r>
          </w:p>
          <w:p w14:paraId="422B056D"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Australian Conservation Foundation: Chisholm Community Group</w:t>
            </w:r>
          </w:p>
          <w:p w14:paraId="077BF6C6"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Australian Energy Council</w:t>
            </w:r>
          </w:p>
          <w:p w14:paraId="39B6CB0B"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Australian Energy Market Commission (AEMC)</w:t>
            </w:r>
          </w:p>
          <w:p w14:paraId="349838EB"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Australian Forest Products Association (AFPA)</w:t>
            </w:r>
          </w:p>
          <w:p w14:paraId="4ECC53A1"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Australian Industry Greenhouse Network (AIGN)</w:t>
            </w:r>
          </w:p>
          <w:p w14:paraId="0FB1338A"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Australian Sustainable Built Environment Council (ASBEC)</w:t>
            </w:r>
          </w:p>
          <w:p w14:paraId="1C12E5C4"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Bioenergy Australia</w:t>
            </w:r>
          </w:p>
          <w:p w14:paraId="1C053F43"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Biome5 Environmental Consultants</w:t>
            </w:r>
          </w:p>
          <w:p w14:paraId="1058A384"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 xml:space="preserve">Brotherhood of St Laurence </w:t>
            </w:r>
          </w:p>
          <w:p w14:paraId="3385BEF1"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 xml:space="preserve">Built environment peak bodies joint submission: Property Council of Australia, Green Building Council Australia, Australian Sustainable Built Environment Council and Energy Efficiency Council </w:t>
            </w:r>
          </w:p>
          <w:p w14:paraId="2CFB0209" w14:textId="5F76F0B4" w:rsidR="00BE7272" w:rsidRPr="00BE7272" w:rsidRDefault="00BE7272" w:rsidP="00101036">
            <w:pPr>
              <w:spacing w:before="20" w:after="40" w:line="240" w:lineRule="auto"/>
              <w:rPr>
                <w:rFonts w:eastAsia="Calibri" w:cs="Arial"/>
                <w:szCs w:val="20"/>
              </w:rPr>
            </w:pPr>
            <w:r w:rsidRPr="00BE7272">
              <w:rPr>
                <w:rFonts w:eastAsia="Calibri" w:cs="Arial"/>
                <w:szCs w:val="20"/>
              </w:rPr>
              <w:t>Carbon Market Institute</w:t>
            </w:r>
            <w:r w:rsidR="00260256">
              <w:rPr>
                <w:rFonts w:eastAsia="Calibri" w:cs="Arial"/>
                <w:szCs w:val="20"/>
              </w:rPr>
              <w:t xml:space="preserve"> (CMI)</w:t>
            </w:r>
          </w:p>
          <w:p w14:paraId="3489EEFC"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Carbon Neutral</w:t>
            </w:r>
          </w:p>
          <w:p w14:paraId="2AA1F99D"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Carbon X</w:t>
            </w:r>
          </w:p>
          <w:p w14:paraId="22F1BB20" w14:textId="77777777" w:rsidR="00BE7272" w:rsidRPr="00BE7272" w:rsidRDefault="00BE7272" w:rsidP="00101036">
            <w:pPr>
              <w:spacing w:before="20" w:after="40" w:line="240" w:lineRule="auto"/>
              <w:rPr>
                <w:rFonts w:eastAsia="Calibri" w:cs="Arial"/>
                <w:szCs w:val="20"/>
              </w:rPr>
            </w:pPr>
            <w:r w:rsidRPr="00BE7272">
              <w:rPr>
                <w:rFonts w:eastAsia="Calibri" w:cs="Arial"/>
                <w:szCs w:val="20"/>
              </w:rPr>
              <w:t>Cement Industry Foundation</w:t>
            </w:r>
          </w:p>
          <w:p w14:paraId="17F707A7" w14:textId="2551D747" w:rsidR="00BE7272" w:rsidRPr="00BE7272" w:rsidRDefault="00BE7272" w:rsidP="00101036">
            <w:pPr>
              <w:spacing w:before="20" w:after="40" w:line="240" w:lineRule="auto"/>
              <w:rPr>
                <w:rFonts w:ascii="Calibri" w:eastAsia="Calibri" w:hAnsi="Calibri" w:cs="Times New Roman"/>
                <w:sz w:val="22"/>
              </w:rPr>
            </w:pPr>
            <w:r w:rsidRPr="00BE7272">
              <w:t>Citizens’ Climate Lobby Australia</w:t>
            </w:r>
          </w:p>
        </w:tc>
        <w:tc>
          <w:tcPr>
            <w:tcW w:w="4554" w:type="dxa"/>
          </w:tcPr>
          <w:p w14:paraId="0FED9F51" w14:textId="2A05A2BF" w:rsidR="00BE7272" w:rsidRDefault="00BE7272" w:rsidP="00101036">
            <w:pPr>
              <w:spacing w:before="20" w:after="40" w:line="240" w:lineRule="auto"/>
              <w:ind w:left="159"/>
            </w:pPr>
            <w:r>
              <w:t>Climate Change Australia</w:t>
            </w:r>
          </w:p>
          <w:p w14:paraId="7AED5DDE" w14:textId="77777777" w:rsidR="00BE7272" w:rsidRPr="00BE7272" w:rsidRDefault="00BE7272" w:rsidP="00101036">
            <w:pPr>
              <w:spacing w:before="20" w:after="40" w:line="240" w:lineRule="auto"/>
              <w:ind w:left="159"/>
            </w:pPr>
            <w:r w:rsidRPr="00BE7272">
              <w:t>Country Carbon</w:t>
            </w:r>
          </w:p>
          <w:p w14:paraId="7F37036F" w14:textId="77777777" w:rsidR="00BE7272" w:rsidRPr="00BE7272" w:rsidRDefault="00BE7272" w:rsidP="00101036">
            <w:pPr>
              <w:spacing w:before="20" w:after="40" w:line="240" w:lineRule="auto"/>
              <w:ind w:left="159"/>
            </w:pPr>
            <w:r w:rsidRPr="00BE7272">
              <w:t>EDL</w:t>
            </w:r>
          </w:p>
          <w:p w14:paraId="7C8BA7D7" w14:textId="77777777" w:rsidR="00BE7272" w:rsidRPr="00BE7272" w:rsidRDefault="00BE7272" w:rsidP="00101036">
            <w:pPr>
              <w:spacing w:before="20" w:after="40" w:line="240" w:lineRule="auto"/>
              <w:ind w:left="159"/>
            </w:pPr>
            <w:r w:rsidRPr="00BE7272">
              <w:t>Energy Networks Australia</w:t>
            </w:r>
          </w:p>
          <w:p w14:paraId="14B2E050" w14:textId="77777777" w:rsidR="00BE7272" w:rsidRPr="00BE7272" w:rsidRDefault="00BE7272" w:rsidP="00101036">
            <w:pPr>
              <w:spacing w:before="20" w:after="40" w:line="240" w:lineRule="auto"/>
              <w:ind w:left="159"/>
            </w:pPr>
            <w:r w:rsidRPr="00BE7272">
              <w:t>Energy Savings Industry Association (ESIA)</w:t>
            </w:r>
          </w:p>
          <w:p w14:paraId="2D54249F" w14:textId="77777777" w:rsidR="00BE7272" w:rsidRPr="00BE7272" w:rsidRDefault="00BE7272" w:rsidP="00101036">
            <w:pPr>
              <w:spacing w:before="20" w:after="40" w:line="240" w:lineRule="auto"/>
              <w:ind w:left="159"/>
            </w:pPr>
            <w:r w:rsidRPr="00BE7272">
              <w:t>EnergyAustralia</w:t>
            </w:r>
          </w:p>
          <w:p w14:paraId="100DAD26" w14:textId="77777777" w:rsidR="00BE7272" w:rsidRPr="00BE7272" w:rsidRDefault="00BE7272" w:rsidP="00101036">
            <w:pPr>
              <w:spacing w:before="20" w:after="40" w:line="240" w:lineRule="auto"/>
              <w:ind w:left="159"/>
            </w:pPr>
            <w:r w:rsidRPr="00BE7272">
              <w:t>Farmers for Climate Action (FCA)</w:t>
            </w:r>
          </w:p>
          <w:p w14:paraId="77B845EC" w14:textId="77777777" w:rsidR="00BE7272" w:rsidRPr="00BE7272" w:rsidRDefault="00BE7272" w:rsidP="00101036">
            <w:pPr>
              <w:spacing w:before="20" w:after="40" w:line="240" w:lineRule="auto"/>
              <w:ind w:left="159"/>
            </w:pPr>
            <w:r w:rsidRPr="00BE7272">
              <w:t>Greening Australia</w:t>
            </w:r>
          </w:p>
          <w:p w14:paraId="735F54A2" w14:textId="77777777" w:rsidR="00BE7272" w:rsidRPr="00BE7272" w:rsidRDefault="00BE7272" w:rsidP="00101036">
            <w:pPr>
              <w:spacing w:before="20" w:after="40" w:line="240" w:lineRule="auto"/>
              <w:ind w:left="159"/>
            </w:pPr>
            <w:r w:rsidRPr="00BE7272">
              <w:t>Hydro Tasmania</w:t>
            </w:r>
          </w:p>
          <w:p w14:paraId="2B3ECC41" w14:textId="77777777" w:rsidR="00BE7272" w:rsidRPr="00BE7272" w:rsidRDefault="00BE7272" w:rsidP="00101036">
            <w:pPr>
              <w:spacing w:before="20" w:after="40" w:line="240" w:lineRule="auto"/>
              <w:ind w:left="159"/>
            </w:pPr>
            <w:r w:rsidRPr="00BE7272">
              <w:t>Indigenous Carbon Industry Network (ICIN)</w:t>
            </w:r>
          </w:p>
          <w:p w14:paraId="232EA7C4" w14:textId="77777777" w:rsidR="00BE7272" w:rsidRPr="00BE7272" w:rsidRDefault="00BE7272" w:rsidP="00101036">
            <w:pPr>
              <w:spacing w:before="20" w:after="40" w:line="240" w:lineRule="auto"/>
              <w:ind w:left="159"/>
            </w:pPr>
            <w:r w:rsidRPr="00BE7272">
              <w:t>The Institute of Foresters of Australia (IFA) and Australian Forest Growers (AFG)</w:t>
            </w:r>
          </w:p>
          <w:p w14:paraId="4FE6CEFD" w14:textId="77777777" w:rsidR="00BE7272" w:rsidRPr="00BE7272" w:rsidRDefault="00BE7272" w:rsidP="00101036">
            <w:pPr>
              <w:spacing w:before="20" w:after="40" w:line="240" w:lineRule="auto"/>
              <w:ind w:left="159"/>
            </w:pPr>
            <w:r w:rsidRPr="00BE7272">
              <w:t>Jemena Gas Networks</w:t>
            </w:r>
          </w:p>
          <w:p w14:paraId="649F9002" w14:textId="77777777" w:rsidR="00BE7272" w:rsidRPr="00BE7272" w:rsidRDefault="00BE7272" w:rsidP="00101036">
            <w:pPr>
              <w:spacing w:before="20" w:after="40" w:line="240" w:lineRule="auto"/>
              <w:ind w:left="159"/>
            </w:pPr>
            <w:r w:rsidRPr="00BE7272">
              <w:t>Kimberley Land Council</w:t>
            </w:r>
          </w:p>
          <w:p w14:paraId="58647D3C" w14:textId="4FBC9855" w:rsidR="00BE7272" w:rsidRPr="00BE7272" w:rsidRDefault="00BE7272" w:rsidP="00101036">
            <w:pPr>
              <w:spacing w:before="20" w:after="40" w:line="240" w:lineRule="auto"/>
              <w:ind w:left="159"/>
            </w:pPr>
            <w:r w:rsidRPr="00BE7272">
              <w:t xml:space="preserve">Law </w:t>
            </w:r>
            <w:r w:rsidR="00260256">
              <w:t>C</w:t>
            </w:r>
            <w:r w:rsidRPr="00BE7272">
              <w:t xml:space="preserve">ouncil of Australia: Australian Environment and Planning Law Group (AEPLG) </w:t>
            </w:r>
          </w:p>
          <w:p w14:paraId="22253ED7" w14:textId="77777777" w:rsidR="00BE7272" w:rsidRPr="00BE7272" w:rsidRDefault="00BE7272" w:rsidP="00101036">
            <w:pPr>
              <w:spacing w:before="20" w:after="40" w:line="240" w:lineRule="auto"/>
              <w:ind w:left="159"/>
            </w:pPr>
            <w:r w:rsidRPr="00BE7272">
              <w:t>NRM Regions Australia</w:t>
            </w:r>
          </w:p>
          <w:p w14:paraId="09E881FE" w14:textId="77777777" w:rsidR="00BE7272" w:rsidRPr="00BE7272" w:rsidRDefault="00BE7272" w:rsidP="00101036">
            <w:pPr>
              <w:spacing w:before="20" w:after="40" w:line="240" w:lineRule="auto"/>
              <w:ind w:left="159"/>
            </w:pPr>
            <w:r w:rsidRPr="00BE7272">
              <w:t>Phillip Laird, University of Wollongong</w:t>
            </w:r>
          </w:p>
          <w:p w14:paraId="37CFB67B" w14:textId="77777777" w:rsidR="00BE7272" w:rsidRPr="00BE7272" w:rsidRDefault="00BE7272" w:rsidP="00101036">
            <w:pPr>
              <w:spacing w:before="20" w:after="40" w:line="240" w:lineRule="auto"/>
              <w:ind w:left="159"/>
            </w:pPr>
            <w:r w:rsidRPr="00BE7272">
              <w:t>Southern Queensland Landscapes</w:t>
            </w:r>
          </w:p>
          <w:p w14:paraId="369851EB" w14:textId="77777777" w:rsidR="00BE7272" w:rsidRPr="00BE7272" w:rsidRDefault="00BE7272" w:rsidP="00101036">
            <w:pPr>
              <w:spacing w:before="20" w:after="40" w:line="240" w:lineRule="auto"/>
              <w:ind w:left="159"/>
            </w:pPr>
            <w:r w:rsidRPr="00BE7272">
              <w:t xml:space="preserve">The Australia Institute </w:t>
            </w:r>
          </w:p>
          <w:p w14:paraId="0C8B77EB" w14:textId="77777777" w:rsidR="00BE7272" w:rsidRPr="00BE7272" w:rsidRDefault="00BE7272" w:rsidP="00101036">
            <w:pPr>
              <w:spacing w:before="20" w:after="40" w:line="240" w:lineRule="auto"/>
              <w:ind w:left="159"/>
            </w:pPr>
            <w:r w:rsidRPr="00BE7272">
              <w:t>Tim Kelly</w:t>
            </w:r>
            <w:r w:rsidRPr="00BE7272">
              <w:tab/>
            </w:r>
          </w:p>
          <w:p w14:paraId="5D843A27" w14:textId="77777777" w:rsidR="00BE7272" w:rsidRPr="00BE7272" w:rsidRDefault="00BE7272" w:rsidP="00101036">
            <w:pPr>
              <w:spacing w:before="20" w:after="40" w:line="240" w:lineRule="auto"/>
              <w:ind w:left="159"/>
            </w:pPr>
            <w:r w:rsidRPr="00BE7272">
              <w:t>Trust for Nature</w:t>
            </w:r>
          </w:p>
          <w:p w14:paraId="34B7C475" w14:textId="112CD10B" w:rsidR="00BE7272" w:rsidRPr="00BE7272" w:rsidRDefault="00BE7272" w:rsidP="00101036">
            <w:pPr>
              <w:spacing w:before="20" w:after="40" w:line="240" w:lineRule="auto"/>
              <w:ind w:left="159"/>
              <w:contextualSpacing/>
            </w:pPr>
            <w:r w:rsidRPr="00BE7272">
              <w:t xml:space="preserve">Tweed </w:t>
            </w:r>
            <w:r w:rsidR="00260256">
              <w:t>S</w:t>
            </w:r>
            <w:r w:rsidRPr="00BE7272">
              <w:t>hire Council</w:t>
            </w:r>
          </w:p>
          <w:p w14:paraId="08F891A0" w14:textId="77777777" w:rsidR="00BE7272" w:rsidRPr="00BE7272" w:rsidRDefault="00BE7272" w:rsidP="00101036">
            <w:pPr>
              <w:spacing w:before="20" w:after="40" w:line="240" w:lineRule="auto"/>
              <w:ind w:left="159"/>
              <w:contextualSpacing/>
            </w:pPr>
            <w:r w:rsidRPr="00BE7272">
              <w:t>Water Services Association of Australia</w:t>
            </w:r>
          </w:p>
          <w:p w14:paraId="42F767CA" w14:textId="77777777" w:rsidR="00BE7272" w:rsidRPr="00BE7272" w:rsidRDefault="00BE7272" w:rsidP="00101036">
            <w:pPr>
              <w:spacing w:before="20" w:after="40" w:line="240" w:lineRule="auto"/>
              <w:ind w:left="159"/>
              <w:contextualSpacing/>
            </w:pPr>
            <w:r w:rsidRPr="00BE7272">
              <w:t>Woodside</w:t>
            </w:r>
          </w:p>
          <w:p w14:paraId="285580DC" w14:textId="77777777" w:rsidR="00BE7272" w:rsidRPr="00BE7272" w:rsidRDefault="00BE7272" w:rsidP="00BE7272">
            <w:pPr>
              <w:spacing w:before="20" w:line="240" w:lineRule="auto"/>
              <w:ind w:left="583" w:hanging="425"/>
              <w:contextualSpacing/>
            </w:pPr>
          </w:p>
        </w:tc>
      </w:tr>
    </w:tbl>
    <w:p w14:paraId="55546F45" w14:textId="77777777" w:rsidR="00450369" w:rsidRPr="005C2AA4" w:rsidRDefault="00450369" w:rsidP="005C2AA4">
      <w:pPr>
        <w:spacing w:line="259" w:lineRule="auto"/>
        <w:rPr>
          <w:rFonts w:eastAsia="Calibri" w:cs="Arial"/>
          <w:b/>
          <w:sz w:val="22"/>
        </w:rPr>
        <w:sectPr w:rsidR="00450369" w:rsidRPr="005C2AA4" w:rsidSect="00450369">
          <w:pgSz w:w="11906" w:h="16838"/>
          <w:pgMar w:top="567" w:right="1418" w:bottom="1418" w:left="1276" w:header="425" w:footer="425" w:gutter="0"/>
          <w:cols w:space="708"/>
          <w:titlePg/>
          <w:docGrid w:linePitch="360"/>
        </w:sectPr>
      </w:pPr>
    </w:p>
    <w:p w14:paraId="10D6C633" w14:textId="2F4A6D6B" w:rsidR="003F14E9" w:rsidRDefault="008C7DDA" w:rsidP="00120E1B">
      <w:pPr>
        <w:pStyle w:val="Heading1"/>
        <w:ind w:left="0" w:firstLine="0"/>
        <w:rPr>
          <w:color w:val="0070AE" w:themeColor="accent2" w:themeTint="BF"/>
        </w:rPr>
      </w:pPr>
      <w:bookmarkStart w:id="3875" w:name="_Toc50553637"/>
      <w:bookmarkStart w:id="3876" w:name="_Toc50555400"/>
      <w:bookmarkStart w:id="3877" w:name="_Toc50559860"/>
      <w:bookmarkStart w:id="3878" w:name="_Toc50559913"/>
      <w:bookmarkStart w:id="3879" w:name="_Toc50563847"/>
      <w:bookmarkStart w:id="3880" w:name="_Toc50711400"/>
      <w:bookmarkStart w:id="3881" w:name="_Toc50720982"/>
      <w:bookmarkStart w:id="3882" w:name="_Toc50730706"/>
      <w:bookmarkStart w:id="3883" w:name="_Toc50734932"/>
      <w:bookmarkStart w:id="3884" w:name="_Toc50735535"/>
      <w:bookmarkStart w:id="3885" w:name="_Toc50905554"/>
      <w:bookmarkStart w:id="3886" w:name="_Toc51587039"/>
      <w:bookmarkStart w:id="3887" w:name="_Toc51594899"/>
      <w:bookmarkStart w:id="3888" w:name="_Toc51599502"/>
      <w:bookmarkStart w:id="3889" w:name="_Toc51613538"/>
      <w:bookmarkStart w:id="3890" w:name="_Toc51669649"/>
      <w:bookmarkStart w:id="3891" w:name="_Toc51669744"/>
      <w:bookmarkStart w:id="3892" w:name="_Toc51672893"/>
      <w:bookmarkStart w:id="3893" w:name="_Toc51673943"/>
      <w:bookmarkStart w:id="3894" w:name="_Toc51680760"/>
      <w:bookmarkStart w:id="3895" w:name="_Toc51683289"/>
      <w:bookmarkStart w:id="3896" w:name="_Toc51686025"/>
      <w:bookmarkStart w:id="3897" w:name="_Toc51687763"/>
      <w:bookmarkStart w:id="3898" w:name="_Toc51687907"/>
      <w:bookmarkStart w:id="3899" w:name="_Toc51705785"/>
      <w:bookmarkStart w:id="3900" w:name="_Toc51770731"/>
      <w:bookmarkStart w:id="3901" w:name="_Toc51770917"/>
      <w:bookmarkStart w:id="3902" w:name="_Toc52359260"/>
      <w:bookmarkStart w:id="3903" w:name="_Toc52367293"/>
      <w:bookmarkStart w:id="3904" w:name="_Toc52371633"/>
      <w:bookmarkStart w:id="3905" w:name="_Toc52374781"/>
      <w:bookmarkStart w:id="3906" w:name="_Toc52377319"/>
      <w:bookmarkStart w:id="3907" w:name="_Toc52379241"/>
      <w:bookmarkStart w:id="3908" w:name="_Toc52379596"/>
      <w:bookmarkStart w:id="3909" w:name="_Toc52532806"/>
      <w:bookmarkStart w:id="3910" w:name="_Toc52535701"/>
      <w:bookmarkStart w:id="3911" w:name="_Toc52537519"/>
      <w:bookmarkStart w:id="3912" w:name="_Toc52544082"/>
      <w:bookmarkStart w:id="3913" w:name="_Toc52545686"/>
      <w:bookmarkStart w:id="3914" w:name="_Toc52547918"/>
      <w:bookmarkStart w:id="3915" w:name="_Toc52890899"/>
      <w:bookmarkStart w:id="3916" w:name="_Toc52895102"/>
      <w:bookmarkStart w:id="3917" w:name="_Toc52896626"/>
      <w:bookmarkStart w:id="3918" w:name="_Toc52977803"/>
      <w:bookmarkStart w:id="3919" w:name="_Toc53129489"/>
      <w:bookmarkStart w:id="3920" w:name="_Toc52548607"/>
      <w:r w:rsidRPr="00AF10C2">
        <w:rPr>
          <w:color w:val="0070AE" w:themeColor="accent2" w:themeTint="BF"/>
        </w:rPr>
        <w:t xml:space="preserve">Appendix </w:t>
      </w:r>
      <w:r w:rsidR="00BE66D9" w:rsidRPr="00AF10C2">
        <w:rPr>
          <w:color w:val="0070AE" w:themeColor="accent2" w:themeTint="BF"/>
        </w:rPr>
        <w:t>B</w:t>
      </w:r>
      <w:r w:rsidRPr="00AF10C2">
        <w:rPr>
          <w:color w:val="0070AE" w:themeColor="accent2" w:themeTint="BF"/>
        </w:rPr>
        <w:t xml:space="preserve">. </w:t>
      </w:r>
      <w:r w:rsidR="003F081F" w:rsidRPr="00AF10C2">
        <w:rPr>
          <w:color w:val="0070AE" w:themeColor="accent2" w:themeTint="BF"/>
        </w:rPr>
        <w:t>Costs and benefits of recommendations</w:t>
      </w:r>
      <w:bookmarkEnd w:id="3829"/>
      <w:bookmarkEnd w:id="3830"/>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p>
    <w:p w14:paraId="2EC7BB83" w14:textId="77777777" w:rsidR="00AF10C2" w:rsidRPr="00AF10C2" w:rsidRDefault="00AF10C2" w:rsidP="00AF10C2"/>
    <w:bookmarkEnd w:id="3920"/>
    <w:p w14:paraId="3BDD9455" w14:textId="6011CD8A" w:rsidR="00F05A26" w:rsidRDefault="00F05A26" w:rsidP="001C19F1">
      <w:pPr>
        <w:rPr>
          <w:rFonts w:eastAsia="Calibri" w:cs="Arial"/>
          <w:szCs w:val="20"/>
        </w:rPr>
      </w:pPr>
      <w:r w:rsidRPr="00120E1B">
        <w:rPr>
          <w:rFonts w:eastAsia="Calibri" w:cs="Arial"/>
          <w:szCs w:val="20"/>
        </w:rPr>
        <w:t xml:space="preserve">The </w:t>
      </w:r>
      <w:r w:rsidRPr="00120E1B">
        <w:rPr>
          <w:rFonts w:eastAsia="Calibri" w:cs="Arial"/>
          <w:i/>
          <w:szCs w:val="20"/>
        </w:rPr>
        <w:t>Carbon Credits (Carbon Farming Initiative) Act 2011</w:t>
      </w:r>
      <w:r w:rsidRPr="00120E1B">
        <w:rPr>
          <w:rFonts w:eastAsia="Calibri" w:cs="Arial"/>
          <w:szCs w:val="20"/>
        </w:rPr>
        <w:t xml:space="preserve"> (Cth) requires the Authority to analyse the costs and benefits of any recommendations formulated during this review. The Authority is also required to have regard to the principles set out in the </w:t>
      </w:r>
      <w:r w:rsidRPr="00120E1B">
        <w:rPr>
          <w:rFonts w:eastAsia="Calibri" w:cs="Arial"/>
          <w:i/>
          <w:szCs w:val="20"/>
        </w:rPr>
        <w:t>Climate Change Authority Act 2011</w:t>
      </w:r>
      <w:r>
        <w:rPr>
          <w:rFonts w:eastAsia="Calibri" w:cs="Arial"/>
          <w:szCs w:val="20"/>
        </w:rPr>
        <w:t xml:space="preserve"> (Cth) (see Chapter 1</w:t>
      </w:r>
      <w:r w:rsidRPr="00120E1B">
        <w:rPr>
          <w:rFonts w:eastAsia="Calibri" w:cs="Arial"/>
          <w:szCs w:val="20"/>
        </w:rPr>
        <w:t xml:space="preserve">) when performing its functions. The cost benefit table below presents a summary of the recommendations’ outcomes against these criteria. Further analyses of the costs and benefits of the recommendations are made throughout the report. </w:t>
      </w:r>
    </w:p>
    <w:tbl>
      <w:tblPr>
        <w:tblStyle w:val="TableGrid3"/>
        <w:tblpPr w:leftFromText="180" w:rightFromText="180" w:vertAnchor="text" w:tblpY="1"/>
        <w:tblOverlap w:val="never"/>
        <w:tblW w:w="15107"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826"/>
        <w:gridCol w:w="2792"/>
        <w:gridCol w:w="2605"/>
        <w:gridCol w:w="2458"/>
        <w:gridCol w:w="2459"/>
        <w:gridCol w:w="2169"/>
        <w:gridCol w:w="1798"/>
      </w:tblGrid>
      <w:tr w:rsidR="001C19F1" w:rsidRPr="00120E1B" w14:paraId="3C827185" w14:textId="77777777" w:rsidTr="001C19F1">
        <w:trPr>
          <w:cnfStyle w:val="100000000000" w:firstRow="1" w:lastRow="0" w:firstColumn="0" w:lastColumn="0" w:oddVBand="0" w:evenVBand="0" w:oddHBand="0" w:evenHBand="0" w:firstRowFirstColumn="0" w:firstRowLastColumn="0" w:lastRowFirstColumn="0" w:lastRowLastColumn="0"/>
          <w:trHeight w:val="57"/>
          <w:tblHeader/>
        </w:trPr>
        <w:tc>
          <w:tcPr>
            <w:tcW w:w="805" w:type="dxa"/>
            <w:vMerge w:val="restart"/>
            <w:shd w:val="clear" w:color="auto" w:fill="0070AE" w:themeFill="accent2" w:themeFillTint="BF"/>
          </w:tcPr>
          <w:p w14:paraId="3CCA4F91" w14:textId="77777777" w:rsidR="001C19F1" w:rsidRPr="00120E1B" w:rsidRDefault="001C19F1" w:rsidP="001C19F1">
            <w:pPr>
              <w:spacing w:line="240" w:lineRule="auto"/>
              <w:rPr>
                <w:b/>
                <w:color w:val="FFFFFF"/>
                <w:sz w:val="16"/>
                <w:szCs w:val="16"/>
              </w:rPr>
            </w:pPr>
          </w:p>
        </w:tc>
        <w:tc>
          <w:tcPr>
            <w:tcW w:w="2724" w:type="dxa"/>
            <w:vMerge w:val="restart"/>
            <w:shd w:val="clear" w:color="auto" w:fill="0070AE" w:themeFill="accent2" w:themeFillTint="BF"/>
            <w:vAlign w:val="center"/>
          </w:tcPr>
          <w:p w14:paraId="385B4677" w14:textId="77777777" w:rsidR="001C19F1" w:rsidRPr="00120E1B" w:rsidRDefault="001C19F1" w:rsidP="001C19F1">
            <w:pPr>
              <w:spacing w:line="240" w:lineRule="auto"/>
              <w:rPr>
                <w:b/>
                <w:color w:val="FFFFFF"/>
                <w:sz w:val="16"/>
                <w:szCs w:val="16"/>
              </w:rPr>
            </w:pPr>
            <w:r w:rsidRPr="00120E1B">
              <w:rPr>
                <w:b/>
                <w:color w:val="FFFFFF"/>
                <w:sz w:val="16"/>
                <w:szCs w:val="16"/>
              </w:rPr>
              <w:t>RECOMMENDATION</w:t>
            </w:r>
          </w:p>
        </w:tc>
        <w:tc>
          <w:tcPr>
            <w:tcW w:w="4941" w:type="dxa"/>
            <w:gridSpan w:val="2"/>
            <w:shd w:val="clear" w:color="auto" w:fill="0070AE" w:themeFill="accent2" w:themeFillTint="BF"/>
            <w:vAlign w:val="center"/>
          </w:tcPr>
          <w:p w14:paraId="20AB2670" w14:textId="77777777" w:rsidR="001C19F1" w:rsidRPr="00120E1B" w:rsidRDefault="001C19F1" w:rsidP="001C19F1">
            <w:pPr>
              <w:spacing w:line="240" w:lineRule="auto"/>
              <w:rPr>
                <w:b/>
                <w:color w:val="FFFFFF"/>
                <w:sz w:val="16"/>
                <w:szCs w:val="16"/>
              </w:rPr>
            </w:pPr>
            <w:r w:rsidRPr="00120E1B">
              <w:rPr>
                <w:b/>
                <w:color w:val="FFFFFF"/>
                <w:sz w:val="16"/>
                <w:szCs w:val="16"/>
              </w:rPr>
              <w:t>ECONOMIC EFFICIENCY</w:t>
            </w:r>
          </w:p>
        </w:tc>
        <w:tc>
          <w:tcPr>
            <w:tcW w:w="2400" w:type="dxa"/>
            <w:vMerge w:val="restart"/>
            <w:shd w:val="clear" w:color="auto" w:fill="0070AE" w:themeFill="accent2" w:themeFillTint="BF"/>
            <w:vAlign w:val="center"/>
          </w:tcPr>
          <w:p w14:paraId="60EE5D0B" w14:textId="77777777" w:rsidR="001C19F1" w:rsidRPr="00120E1B" w:rsidRDefault="001C19F1" w:rsidP="001C19F1">
            <w:pPr>
              <w:spacing w:line="240" w:lineRule="auto"/>
              <w:rPr>
                <w:b/>
                <w:color w:val="FFFFFF"/>
                <w:sz w:val="16"/>
                <w:szCs w:val="16"/>
              </w:rPr>
            </w:pPr>
            <w:r w:rsidRPr="00120E1B">
              <w:rPr>
                <w:b/>
                <w:color w:val="FFFFFF"/>
                <w:sz w:val="16"/>
                <w:szCs w:val="16"/>
              </w:rPr>
              <w:t>ENVIRONMENTAL EFFECTIVENESS</w:t>
            </w:r>
          </w:p>
        </w:tc>
        <w:tc>
          <w:tcPr>
            <w:tcW w:w="2117" w:type="dxa"/>
            <w:vMerge w:val="restart"/>
            <w:shd w:val="clear" w:color="auto" w:fill="0070AE" w:themeFill="accent2" w:themeFillTint="BF"/>
            <w:vAlign w:val="center"/>
          </w:tcPr>
          <w:p w14:paraId="33745E57" w14:textId="77777777" w:rsidR="001C19F1" w:rsidRPr="00120E1B" w:rsidRDefault="001C19F1" w:rsidP="001C19F1">
            <w:pPr>
              <w:spacing w:line="240" w:lineRule="auto"/>
              <w:rPr>
                <w:b/>
                <w:color w:val="FFFFFF"/>
                <w:sz w:val="16"/>
                <w:szCs w:val="16"/>
              </w:rPr>
            </w:pPr>
            <w:r w:rsidRPr="00120E1B">
              <w:rPr>
                <w:b/>
                <w:color w:val="FFFFFF"/>
                <w:sz w:val="16"/>
                <w:szCs w:val="16"/>
              </w:rPr>
              <w:t>EQUITY</w:t>
            </w:r>
          </w:p>
        </w:tc>
        <w:tc>
          <w:tcPr>
            <w:tcW w:w="1755" w:type="dxa"/>
            <w:vMerge w:val="restart"/>
            <w:shd w:val="clear" w:color="auto" w:fill="0070AE" w:themeFill="accent2" w:themeFillTint="BF"/>
            <w:vAlign w:val="center"/>
          </w:tcPr>
          <w:p w14:paraId="1254064D" w14:textId="77777777" w:rsidR="001C19F1" w:rsidRPr="00120E1B" w:rsidRDefault="001C19F1" w:rsidP="001C19F1">
            <w:pPr>
              <w:spacing w:line="240" w:lineRule="auto"/>
              <w:rPr>
                <w:b/>
                <w:color w:val="FFFFFF"/>
                <w:sz w:val="16"/>
                <w:szCs w:val="16"/>
              </w:rPr>
            </w:pPr>
            <w:r w:rsidRPr="00120E1B">
              <w:rPr>
                <w:b/>
                <w:color w:val="FFFFFF"/>
                <w:sz w:val="16"/>
                <w:szCs w:val="16"/>
              </w:rPr>
              <w:t>IMPLEMENTATION PROCESS</w:t>
            </w:r>
          </w:p>
        </w:tc>
      </w:tr>
      <w:tr w:rsidR="001C19F1" w:rsidRPr="00120E1B" w14:paraId="1B86728F" w14:textId="77777777" w:rsidTr="001C19F1">
        <w:trPr>
          <w:cnfStyle w:val="100000000000" w:firstRow="1" w:lastRow="0" w:firstColumn="0" w:lastColumn="0" w:oddVBand="0" w:evenVBand="0" w:oddHBand="0" w:evenHBand="0" w:firstRowFirstColumn="0" w:firstRowLastColumn="0" w:lastRowFirstColumn="0" w:lastRowLastColumn="0"/>
          <w:trHeight w:val="113"/>
          <w:tblHeader/>
        </w:trPr>
        <w:tc>
          <w:tcPr>
            <w:tcW w:w="805" w:type="dxa"/>
            <w:vMerge/>
            <w:shd w:val="clear" w:color="auto" w:fill="0070AE" w:themeFill="accent2" w:themeFillTint="BF"/>
          </w:tcPr>
          <w:p w14:paraId="7349C1F9" w14:textId="77777777" w:rsidR="001C19F1" w:rsidRPr="00120E1B" w:rsidRDefault="001C19F1" w:rsidP="001C19F1">
            <w:pPr>
              <w:spacing w:line="240" w:lineRule="auto"/>
              <w:rPr>
                <w:b/>
                <w:sz w:val="16"/>
                <w:szCs w:val="16"/>
              </w:rPr>
            </w:pPr>
          </w:p>
        </w:tc>
        <w:tc>
          <w:tcPr>
            <w:tcW w:w="2724" w:type="dxa"/>
            <w:vMerge/>
            <w:shd w:val="clear" w:color="auto" w:fill="0070AE" w:themeFill="accent2" w:themeFillTint="BF"/>
          </w:tcPr>
          <w:p w14:paraId="6FA3524F" w14:textId="77777777" w:rsidR="001C19F1" w:rsidRPr="00120E1B" w:rsidRDefault="001C19F1" w:rsidP="001C19F1">
            <w:pPr>
              <w:spacing w:line="240" w:lineRule="auto"/>
              <w:rPr>
                <w:sz w:val="16"/>
                <w:szCs w:val="16"/>
              </w:rPr>
            </w:pPr>
          </w:p>
        </w:tc>
        <w:tc>
          <w:tcPr>
            <w:tcW w:w="2542" w:type="dxa"/>
            <w:shd w:val="clear" w:color="auto" w:fill="0070AE" w:themeFill="accent2" w:themeFillTint="BF"/>
            <w:vAlign w:val="center"/>
          </w:tcPr>
          <w:p w14:paraId="67998D6B" w14:textId="1572BB7C" w:rsidR="001C19F1" w:rsidRPr="00120E1B" w:rsidRDefault="001C19F1" w:rsidP="001C19F1">
            <w:pPr>
              <w:spacing w:line="240" w:lineRule="auto"/>
              <w:rPr>
                <w:b/>
                <w:color w:val="FFFFFF"/>
                <w:sz w:val="16"/>
                <w:szCs w:val="16"/>
              </w:rPr>
            </w:pPr>
            <w:r w:rsidRPr="00120E1B">
              <w:rPr>
                <w:b/>
                <w:color w:val="FFFFFF"/>
                <w:sz w:val="16"/>
                <w:szCs w:val="16"/>
              </w:rPr>
              <w:t>C</w:t>
            </w:r>
            <w:r w:rsidR="00260256">
              <w:rPr>
                <w:b/>
                <w:color w:val="FFFFFF"/>
                <w:sz w:val="16"/>
                <w:szCs w:val="16"/>
              </w:rPr>
              <w:t>osts</w:t>
            </w:r>
          </w:p>
        </w:tc>
        <w:tc>
          <w:tcPr>
            <w:tcW w:w="2399" w:type="dxa"/>
            <w:shd w:val="clear" w:color="auto" w:fill="0070AE" w:themeFill="accent2" w:themeFillTint="BF"/>
            <w:vAlign w:val="center"/>
          </w:tcPr>
          <w:p w14:paraId="08D3314B" w14:textId="2E43FD14" w:rsidR="001C19F1" w:rsidRPr="00120E1B" w:rsidRDefault="001C19F1" w:rsidP="001C19F1">
            <w:pPr>
              <w:spacing w:line="240" w:lineRule="auto"/>
              <w:rPr>
                <w:b/>
                <w:color w:val="FFFFFF"/>
                <w:sz w:val="16"/>
                <w:szCs w:val="16"/>
              </w:rPr>
            </w:pPr>
            <w:r w:rsidRPr="00120E1B">
              <w:rPr>
                <w:b/>
                <w:color w:val="FFFFFF"/>
                <w:sz w:val="16"/>
                <w:szCs w:val="16"/>
              </w:rPr>
              <w:t>B</w:t>
            </w:r>
            <w:r w:rsidR="00260256">
              <w:rPr>
                <w:b/>
                <w:color w:val="FFFFFF"/>
                <w:sz w:val="16"/>
                <w:szCs w:val="16"/>
              </w:rPr>
              <w:t>enefits</w:t>
            </w:r>
          </w:p>
        </w:tc>
        <w:tc>
          <w:tcPr>
            <w:tcW w:w="2400" w:type="dxa"/>
            <w:vMerge/>
            <w:shd w:val="clear" w:color="auto" w:fill="0070AE" w:themeFill="accent2" w:themeFillTint="BF"/>
          </w:tcPr>
          <w:p w14:paraId="2916C18B" w14:textId="77777777" w:rsidR="001C19F1" w:rsidRPr="00120E1B" w:rsidRDefault="001C19F1" w:rsidP="001C19F1">
            <w:pPr>
              <w:spacing w:line="240" w:lineRule="auto"/>
              <w:rPr>
                <w:sz w:val="16"/>
                <w:szCs w:val="16"/>
              </w:rPr>
            </w:pPr>
          </w:p>
        </w:tc>
        <w:tc>
          <w:tcPr>
            <w:tcW w:w="2117" w:type="dxa"/>
            <w:vMerge/>
            <w:shd w:val="clear" w:color="auto" w:fill="0070AE" w:themeFill="accent2" w:themeFillTint="BF"/>
          </w:tcPr>
          <w:p w14:paraId="690BCD48" w14:textId="77777777" w:rsidR="001C19F1" w:rsidRPr="00120E1B" w:rsidRDefault="001C19F1" w:rsidP="001C19F1">
            <w:pPr>
              <w:spacing w:line="240" w:lineRule="auto"/>
              <w:rPr>
                <w:sz w:val="16"/>
                <w:szCs w:val="16"/>
              </w:rPr>
            </w:pPr>
          </w:p>
        </w:tc>
        <w:tc>
          <w:tcPr>
            <w:tcW w:w="1755" w:type="dxa"/>
            <w:vMerge/>
            <w:shd w:val="clear" w:color="auto" w:fill="0070AE" w:themeFill="accent2" w:themeFillTint="BF"/>
          </w:tcPr>
          <w:p w14:paraId="04CF308E" w14:textId="77777777" w:rsidR="001C19F1" w:rsidRPr="00120E1B" w:rsidRDefault="001C19F1" w:rsidP="001C19F1">
            <w:pPr>
              <w:spacing w:line="240" w:lineRule="auto"/>
              <w:rPr>
                <w:sz w:val="16"/>
                <w:szCs w:val="16"/>
              </w:rPr>
            </w:pPr>
          </w:p>
        </w:tc>
      </w:tr>
      <w:tr w:rsidR="001C19F1" w:rsidRPr="005A6C68" w14:paraId="268E0C9B" w14:textId="77777777" w:rsidTr="001C19F1">
        <w:trPr>
          <w:cnfStyle w:val="100000000000" w:firstRow="1" w:lastRow="0" w:firstColumn="0" w:lastColumn="0" w:oddVBand="0" w:evenVBand="0" w:oddHBand="0" w:evenHBand="0" w:firstRowFirstColumn="0" w:firstRowLastColumn="0" w:lastRowFirstColumn="0" w:lastRowLastColumn="0"/>
          <w:trHeight w:val="227"/>
          <w:tblHeader/>
        </w:trPr>
        <w:tc>
          <w:tcPr>
            <w:tcW w:w="805" w:type="dxa"/>
          </w:tcPr>
          <w:p w14:paraId="0FE5898E" w14:textId="77777777" w:rsidR="001C19F1" w:rsidRPr="00120E1B" w:rsidRDefault="001C19F1" w:rsidP="001C19F1">
            <w:pPr>
              <w:spacing w:line="240" w:lineRule="auto"/>
              <w:rPr>
                <w:b/>
                <w:sz w:val="16"/>
                <w:szCs w:val="16"/>
              </w:rPr>
            </w:pPr>
            <w:r>
              <w:rPr>
                <w:b/>
                <w:sz w:val="16"/>
                <w:szCs w:val="16"/>
              </w:rPr>
              <w:t>R. 1</w:t>
            </w:r>
          </w:p>
        </w:tc>
        <w:tc>
          <w:tcPr>
            <w:tcW w:w="2724" w:type="dxa"/>
          </w:tcPr>
          <w:p w14:paraId="73DAC980" w14:textId="77777777" w:rsidR="001C19F1" w:rsidRPr="00D4477B" w:rsidRDefault="001C19F1" w:rsidP="001C19F1">
            <w:pPr>
              <w:rPr>
                <w:rFonts w:cs="Arial"/>
                <w:sz w:val="16"/>
                <w:szCs w:val="16"/>
              </w:rPr>
            </w:pPr>
            <w:r w:rsidRPr="00E908B0">
              <w:rPr>
                <w:rFonts w:cs="Arial"/>
              </w:rPr>
              <w:t xml:space="preserve"> </w:t>
            </w:r>
            <w:r w:rsidRPr="00D4477B">
              <w:rPr>
                <w:rFonts w:cs="Arial"/>
                <w:sz w:val="16"/>
                <w:szCs w:val="16"/>
              </w:rPr>
              <w:t>To strengthen the market demand si</w:t>
            </w:r>
            <w:r w:rsidRPr="00D16410">
              <w:rPr>
                <w:rFonts w:cs="Arial"/>
                <w:sz w:val="16"/>
                <w:szCs w:val="16"/>
              </w:rPr>
              <w:t>gnal for ACCUs, the Government:</w:t>
            </w:r>
          </w:p>
          <w:p w14:paraId="2B712731" w14:textId="77777777" w:rsidR="001C19F1" w:rsidRPr="00D4477B" w:rsidRDefault="001C19F1" w:rsidP="0058338C">
            <w:pPr>
              <w:pStyle w:val="ListParagraph"/>
              <w:numPr>
                <w:ilvl w:val="0"/>
                <w:numId w:val="38"/>
              </w:numPr>
              <w:spacing w:after="160"/>
              <w:rPr>
                <w:rFonts w:cs="Arial"/>
                <w:sz w:val="16"/>
                <w:szCs w:val="16"/>
              </w:rPr>
            </w:pPr>
            <w:r w:rsidRPr="00D4477B">
              <w:rPr>
                <w:rFonts w:cs="Arial"/>
                <w:sz w:val="16"/>
                <w:szCs w:val="16"/>
              </w:rPr>
              <w:t>incorporate within its annual emissions projections an estimate of the total contribution the ERF is projected to make to emissions reductions to 2030 through all potential sources of demand for ACCUs (e.g. Government purchasing, state and territory programs, compliance and voluntary markets)</w:t>
            </w:r>
          </w:p>
          <w:p w14:paraId="2EF947A9" w14:textId="77777777" w:rsidR="001C19F1" w:rsidRPr="00D4477B" w:rsidRDefault="001C19F1" w:rsidP="0058338C">
            <w:pPr>
              <w:pStyle w:val="ListParagraph"/>
              <w:numPr>
                <w:ilvl w:val="0"/>
                <w:numId w:val="38"/>
              </w:numPr>
              <w:spacing w:after="160"/>
              <w:rPr>
                <w:rFonts w:cs="Arial"/>
                <w:sz w:val="16"/>
                <w:szCs w:val="16"/>
              </w:rPr>
            </w:pPr>
            <w:r w:rsidRPr="00D4477B">
              <w:rPr>
                <w:rFonts w:cs="Arial"/>
                <w:sz w:val="16"/>
                <w:szCs w:val="16"/>
              </w:rPr>
              <w:t>publish an indicative range for annual Government purchases of ACCUs for four years ahead, to be updated each year</w:t>
            </w:r>
          </w:p>
          <w:p w14:paraId="2C3EF576" w14:textId="77777777" w:rsidR="001C19F1" w:rsidRPr="001C19F1" w:rsidDel="00265566" w:rsidRDefault="001C19F1" w:rsidP="0058338C">
            <w:pPr>
              <w:pStyle w:val="ListParagraph"/>
              <w:numPr>
                <w:ilvl w:val="0"/>
                <w:numId w:val="38"/>
              </w:numPr>
              <w:spacing w:after="160"/>
              <w:rPr>
                <w:rFonts w:cs="Arial"/>
                <w:sz w:val="16"/>
                <w:szCs w:val="16"/>
              </w:rPr>
            </w:pPr>
            <w:r w:rsidRPr="00D4477B">
              <w:rPr>
                <w:rFonts w:cs="Arial"/>
                <w:sz w:val="16"/>
                <w:szCs w:val="16"/>
              </w:rPr>
              <w:t>commit to maintaining announced aggregate funding levels for the ERF in rolling four year blocks</w:t>
            </w:r>
          </w:p>
        </w:tc>
        <w:tc>
          <w:tcPr>
            <w:tcW w:w="2542" w:type="dxa"/>
          </w:tcPr>
          <w:p w14:paraId="065B8C42" w14:textId="77777777" w:rsidR="001C19F1" w:rsidRPr="005A6C68" w:rsidDel="00C5017A" w:rsidRDefault="001C19F1" w:rsidP="001C19F1">
            <w:pPr>
              <w:spacing w:line="240" w:lineRule="auto"/>
              <w:rPr>
                <w:sz w:val="16"/>
                <w:szCs w:val="16"/>
              </w:rPr>
            </w:pPr>
            <w:r>
              <w:rPr>
                <w:rFonts w:cs="Arial"/>
                <w:sz w:val="16"/>
                <w:szCs w:val="16"/>
              </w:rPr>
              <w:t>Negligible increase in administrative costs to the Department.</w:t>
            </w:r>
          </w:p>
        </w:tc>
        <w:tc>
          <w:tcPr>
            <w:tcW w:w="2399" w:type="dxa"/>
          </w:tcPr>
          <w:p w14:paraId="01207208" w14:textId="77777777" w:rsidR="001C19F1" w:rsidRPr="005A6C68" w:rsidDel="00C5017A" w:rsidRDefault="001C19F1" w:rsidP="001C19F1">
            <w:pPr>
              <w:spacing w:line="240" w:lineRule="auto"/>
              <w:rPr>
                <w:sz w:val="16"/>
                <w:szCs w:val="16"/>
              </w:rPr>
            </w:pPr>
            <w:r w:rsidRPr="005A6C68">
              <w:rPr>
                <w:sz w:val="16"/>
                <w:szCs w:val="16"/>
              </w:rPr>
              <w:t xml:space="preserve">Increases </w:t>
            </w:r>
            <w:r w:rsidRPr="005A6C68">
              <w:rPr>
                <w:rFonts w:cs="Arial"/>
                <w:sz w:val="16"/>
                <w:szCs w:val="16"/>
              </w:rPr>
              <w:t xml:space="preserve">certainty for market participants </w:t>
            </w:r>
            <w:r>
              <w:rPr>
                <w:rFonts w:cs="Arial"/>
                <w:sz w:val="16"/>
                <w:szCs w:val="16"/>
              </w:rPr>
              <w:t xml:space="preserve">which can </w:t>
            </w:r>
            <w:r w:rsidRPr="005A6C68">
              <w:rPr>
                <w:rFonts w:cs="Arial"/>
                <w:sz w:val="16"/>
                <w:szCs w:val="16"/>
              </w:rPr>
              <w:t>lead to</w:t>
            </w:r>
            <w:r>
              <w:rPr>
                <w:rFonts w:cs="Arial"/>
                <w:sz w:val="16"/>
                <w:szCs w:val="16"/>
              </w:rPr>
              <w:t xml:space="preserve"> increased investment in ERF projects</w:t>
            </w:r>
            <w:r w:rsidRPr="005A6C68">
              <w:rPr>
                <w:rFonts w:cs="Arial"/>
                <w:sz w:val="16"/>
                <w:szCs w:val="16"/>
              </w:rPr>
              <w:t xml:space="preserve">. </w:t>
            </w:r>
          </w:p>
        </w:tc>
        <w:tc>
          <w:tcPr>
            <w:tcW w:w="2400" w:type="dxa"/>
          </w:tcPr>
          <w:p w14:paraId="54C35D45" w14:textId="77777777" w:rsidR="001C19F1" w:rsidRPr="005A6C68" w:rsidDel="00C5017A" w:rsidRDefault="001C19F1" w:rsidP="001C19F1">
            <w:pPr>
              <w:spacing w:line="240" w:lineRule="auto"/>
              <w:rPr>
                <w:sz w:val="16"/>
                <w:szCs w:val="16"/>
              </w:rPr>
            </w:pPr>
            <w:r>
              <w:rPr>
                <w:sz w:val="16"/>
                <w:szCs w:val="16"/>
              </w:rPr>
              <w:t>An effective investment signal can lead to more ERF projects and abatement.</w:t>
            </w:r>
            <w:r w:rsidRPr="005A6C68">
              <w:rPr>
                <w:sz w:val="16"/>
                <w:szCs w:val="16"/>
              </w:rPr>
              <w:t xml:space="preserve"> </w:t>
            </w:r>
          </w:p>
        </w:tc>
        <w:tc>
          <w:tcPr>
            <w:tcW w:w="2117" w:type="dxa"/>
          </w:tcPr>
          <w:p w14:paraId="65DDFB07" w14:textId="77777777" w:rsidR="001C19F1" w:rsidRPr="005A6C68" w:rsidRDefault="001C19F1" w:rsidP="001C19F1">
            <w:pPr>
              <w:spacing w:line="240" w:lineRule="auto"/>
              <w:ind w:right="14"/>
              <w:rPr>
                <w:sz w:val="16"/>
                <w:szCs w:val="16"/>
              </w:rPr>
            </w:pPr>
            <w:r w:rsidRPr="005A6C68">
              <w:rPr>
                <w:sz w:val="16"/>
                <w:szCs w:val="16"/>
              </w:rPr>
              <w:t xml:space="preserve">Increased transparency. </w:t>
            </w:r>
          </w:p>
        </w:tc>
        <w:tc>
          <w:tcPr>
            <w:tcW w:w="1755" w:type="dxa"/>
          </w:tcPr>
          <w:p w14:paraId="0FF4347B" w14:textId="77777777" w:rsidR="001C19F1" w:rsidRPr="005A6C68" w:rsidRDefault="001C19F1" w:rsidP="001C19F1">
            <w:pPr>
              <w:spacing w:line="240" w:lineRule="auto"/>
              <w:rPr>
                <w:sz w:val="16"/>
                <w:szCs w:val="16"/>
              </w:rPr>
            </w:pPr>
            <w:r w:rsidRPr="005A6C68">
              <w:rPr>
                <w:sz w:val="16"/>
                <w:szCs w:val="16"/>
              </w:rPr>
              <w:t>Minister/Department</w:t>
            </w:r>
            <w:r>
              <w:rPr>
                <w:rFonts w:cs="Arial"/>
                <w:sz w:val="16"/>
                <w:szCs w:val="16"/>
              </w:rPr>
              <w:t xml:space="preserve"> of Industry, Science, Energy and Resources.</w:t>
            </w:r>
          </w:p>
        </w:tc>
      </w:tr>
    </w:tbl>
    <w:p w14:paraId="69BBAE12" w14:textId="77777777" w:rsidR="001C19F1" w:rsidRDefault="001C19F1" w:rsidP="001C19F1">
      <w:pPr>
        <w:rPr>
          <w:rFonts w:eastAsia="Calibri" w:cs="Arial"/>
          <w:szCs w:val="20"/>
        </w:rPr>
      </w:pPr>
    </w:p>
    <w:tbl>
      <w:tblPr>
        <w:tblStyle w:val="TableGrid3"/>
        <w:tblpPr w:leftFromText="180" w:rightFromText="180" w:vertAnchor="text" w:tblpY="1"/>
        <w:tblOverlap w:val="never"/>
        <w:tblW w:w="15107"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826"/>
        <w:gridCol w:w="2792"/>
        <w:gridCol w:w="2605"/>
        <w:gridCol w:w="2458"/>
        <w:gridCol w:w="2459"/>
        <w:gridCol w:w="2169"/>
        <w:gridCol w:w="1798"/>
      </w:tblGrid>
      <w:tr w:rsidR="0022784B" w:rsidRPr="0022784B" w14:paraId="2FF161B4" w14:textId="77777777" w:rsidTr="0022784B">
        <w:trPr>
          <w:cnfStyle w:val="100000000000" w:firstRow="1" w:lastRow="0" w:firstColumn="0" w:lastColumn="0" w:oddVBand="0" w:evenVBand="0" w:oddHBand="0" w:evenHBand="0" w:firstRowFirstColumn="0" w:firstRowLastColumn="0" w:lastRowFirstColumn="0" w:lastRowLastColumn="0"/>
          <w:trHeight w:val="227"/>
        </w:trPr>
        <w:tc>
          <w:tcPr>
            <w:tcW w:w="805" w:type="dxa"/>
            <w:shd w:val="clear" w:color="auto" w:fill="0070AE" w:themeFill="accent2" w:themeFillTint="BF"/>
          </w:tcPr>
          <w:p w14:paraId="1E10128E" w14:textId="77777777" w:rsidR="0022784B" w:rsidRPr="001C19F1" w:rsidRDefault="0022784B" w:rsidP="0022784B">
            <w:pPr>
              <w:spacing w:line="240" w:lineRule="auto"/>
              <w:rPr>
                <w:b/>
                <w:color w:val="FFFFFF" w:themeColor="background1"/>
                <w:sz w:val="16"/>
                <w:szCs w:val="16"/>
              </w:rPr>
            </w:pPr>
          </w:p>
        </w:tc>
        <w:tc>
          <w:tcPr>
            <w:tcW w:w="2724" w:type="dxa"/>
            <w:shd w:val="clear" w:color="auto" w:fill="0070AE" w:themeFill="accent2" w:themeFillTint="BF"/>
          </w:tcPr>
          <w:p w14:paraId="69A48A14" w14:textId="77777777" w:rsidR="0022784B" w:rsidRPr="0022784B" w:rsidRDefault="0022784B" w:rsidP="0022784B">
            <w:pPr>
              <w:keepNext/>
              <w:rPr>
                <w:rFonts w:cs="Arial"/>
                <w:b/>
                <w:color w:val="FFFFFF" w:themeColor="background1"/>
                <w:sz w:val="16"/>
                <w:szCs w:val="16"/>
              </w:rPr>
            </w:pPr>
            <w:r w:rsidRPr="0022784B">
              <w:rPr>
                <w:b/>
                <w:color w:val="FFFFFF" w:themeColor="background1"/>
                <w:sz w:val="16"/>
                <w:szCs w:val="16"/>
              </w:rPr>
              <w:t>RECOMMENDATION</w:t>
            </w:r>
          </w:p>
        </w:tc>
        <w:tc>
          <w:tcPr>
            <w:tcW w:w="2542" w:type="dxa"/>
            <w:shd w:val="clear" w:color="auto" w:fill="0070AE" w:themeFill="accent2" w:themeFillTint="BF"/>
          </w:tcPr>
          <w:p w14:paraId="68521FD1" w14:textId="77777777" w:rsidR="0022784B" w:rsidRPr="0022784B" w:rsidRDefault="0022784B" w:rsidP="0022784B">
            <w:pPr>
              <w:spacing w:line="240" w:lineRule="auto"/>
              <w:rPr>
                <w:b/>
                <w:color w:val="FFFFFF" w:themeColor="background1"/>
                <w:sz w:val="16"/>
                <w:szCs w:val="16"/>
              </w:rPr>
            </w:pPr>
            <w:r w:rsidRPr="0022784B">
              <w:rPr>
                <w:b/>
                <w:color w:val="FFFFFF" w:themeColor="background1"/>
                <w:sz w:val="16"/>
                <w:szCs w:val="16"/>
              </w:rPr>
              <w:t>ECONOMIC EFFICIENCY</w:t>
            </w:r>
          </w:p>
          <w:p w14:paraId="319B8D1D" w14:textId="77777777" w:rsidR="0022784B" w:rsidRPr="0022784B" w:rsidRDefault="0022784B" w:rsidP="0022784B">
            <w:pPr>
              <w:spacing w:line="240" w:lineRule="auto"/>
              <w:rPr>
                <w:b/>
                <w:color w:val="FFFFFF" w:themeColor="background1"/>
                <w:sz w:val="16"/>
                <w:szCs w:val="16"/>
              </w:rPr>
            </w:pPr>
            <w:r w:rsidRPr="0022784B">
              <w:rPr>
                <w:b/>
                <w:color w:val="FFFFFF" w:themeColor="background1"/>
                <w:sz w:val="16"/>
                <w:szCs w:val="16"/>
              </w:rPr>
              <w:t>Coats</w:t>
            </w:r>
          </w:p>
        </w:tc>
        <w:tc>
          <w:tcPr>
            <w:tcW w:w="2399" w:type="dxa"/>
            <w:shd w:val="clear" w:color="auto" w:fill="0070AE" w:themeFill="accent2" w:themeFillTint="BF"/>
          </w:tcPr>
          <w:p w14:paraId="37815280" w14:textId="77777777" w:rsidR="0022784B" w:rsidRPr="0022784B" w:rsidRDefault="0022784B" w:rsidP="0022784B">
            <w:pPr>
              <w:spacing w:line="240" w:lineRule="auto"/>
              <w:rPr>
                <w:b/>
                <w:color w:val="FFFFFF" w:themeColor="background1"/>
                <w:sz w:val="16"/>
                <w:szCs w:val="16"/>
              </w:rPr>
            </w:pPr>
          </w:p>
          <w:p w14:paraId="7746BE7B" w14:textId="77777777" w:rsidR="0022784B" w:rsidRPr="0022784B" w:rsidRDefault="0022784B" w:rsidP="0022784B">
            <w:pPr>
              <w:spacing w:line="240" w:lineRule="auto"/>
              <w:rPr>
                <w:b/>
                <w:color w:val="FFFFFF" w:themeColor="background1"/>
                <w:sz w:val="16"/>
                <w:szCs w:val="16"/>
              </w:rPr>
            </w:pPr>
            <w:r w:rsidRPr="0022784B">
              <w:rPr>
                <w:b/>
                <w:color w:val="FFFFFF" w:themeColor="background1"/>
                <w:sz w:val="16"/>
                <w:szCs w:val="16"/>
              </w:rPr>
              <w:t>Benefits</w:t>
            </w:r>
          </w:p>
        </w:tc>
        <w:tc>
          <w:tcPr>
            <w:tcW w:w="2400" w:type="dxa"/>
            <w:shd w:val="clear" w:color="auto" w:fill="0070AE" w:themeFill="accent2" w:themeFillTint="BF"/>
          </w:tcPr>
          <w:p w14:paraId="7006678C" w14:textId="77777777" w:rsidR="0022784B" w:rsidRPr="0022784B" w:rsidRDefault="0022784B" w:rsidP="0022784B">
            <w:pPr>
              <w:spacing w:line="240" w:lineRule="auto"/>
              <w:rPr>
                <w:b/>
                <w:color w:val="FFFFFF" w:themeColor="background1"/>
                <w:sz w:val="16"/>
                <w:szCs w:val="16"/>
              </w:rPr>
            </w:pPr>
            <w:r w:rsidRPr="0022784B">
              <w:rPr>
                <w:b/>
                <w:color w:val="FFFFFF" w:themeColor="background1"/>
                <w:sz w:val="16"/>
                <w:szCs w:val="16"/>
              </w:rPr>
              <w:t>ENVIRONMENTAL EFFECTIVENESS</w:t>
            </w:r>
          </w:p>
        </w:tc>
        <w:tc>
          <w:tcPr>
            <w:tcW w:w="2117" w:type="dxa"/>
            <w:shd w:val="clear" w:color="auto" w:fill="0070AE" w:themeFill="accent2" w:themeFillTint="BF"/>
          </w:tcPr>
          <w:p w14:paraId="40BF513B" w14:textId="77777777" w:rsidR="0022784B" w:rsidRPr="0022784B" w:rsidRDefault="0022784B" w:rsidP="0022784B">
            <w:pPr>
              <w:spacing w:line="240" w:lineRule="auto"/>
              <w:ind w:right="14"/>
              <w:rPr>
                <w:b/>
                <w:color w:val="FFFFFF" w:themeColor="background1"/>
                <w:sz w:val="16"/>
                <w:szCs w:val="16"/>
              </w:rPr>
            </w:pPr>
            <w:r w:rsidRPr="0022784B">
              <w:rPr>
                <w:b/>
                <w:color w:val="FFFFFF" w:themeColor="background1"/>
                <w:sz w:val="16"/>
                <w:szCs w:val="16"/>
              </w:rPr>
              <w:t>EQUITY</w:t>
            </w:r>
          </w:p>
        </w:tc>
        <w:tc>
          <w:tcPr>
            <w:tcW w:w="1755" w:type="dxa"/>
            <w:shd w:val="clear" w:color="auto" w:fill="0070AE" w:themeFill="accent2" w:themeFillTint="BF"/>
          </w:tcPr>
          <w:p w14:paraId="069C2984" w14:textId="77777777" w:rsidR="0022784B" w:rsidRPr="0022784B" w:rsidRDefault="0022784B" w:rsidP="0022784B">
            <w:pPr>
              <w:spacing w:line="240" w:lineRule="auto"/>
              <w:rPr>
                <w:b/>
                <w:color w:val="FFFFFF" w:themeColor="background1"/>
                <w:sz w:val="16"/>
                <w:szCs w:val="16"/>
              </w:rPr>
            </w:pPr>
            <w:r w:rsidRPr="0022784B">
              <w:rPr>
                <w:b/>
                <w:color w:val="FFFFFF" w:themeColor="background1"/>
                <w:sz w:val="16"/>
                <w:szCs w:val="16"/>
              </w:rPr>
              <w:t>PROCESS</w:t>
            </w:r>
          </w:p>
        </w:tc>
      </w:tr>
    </w:tbl>
    <w:p w14:paraId="244660F2" w14:textId="77777777" w:rsidR="001C19F1" w:rsidRPr="001C19F1" w:rsidRDefault="001C19F1" w:rsidP="001C19F1">
      <w:pPr>
        <w:rPr>
          <w:rFonts w:eastAsia="Calibri" w:cs="Arial"/>
          <w:szCs w:val="20"/>
        </w:rPr>
      </w:pPr>
    </w:p>
    <w:tbl>
      <w:tblPr>
        <w:tblStyle w:val="TableGrid3"/>
        <w:tblpPr w:leftFromText="180" w:rightFromText="180" w:vertAnchor="text" w:tblpY="1"/>
        <w:tblOverlap w:val="never"/>
        <w:tblW w:w="15107"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805"/>
        <w:gridCol w:w="2724"/>
        <w:gridCol w:w="2542"/>
        <w:gridCol w:w="2399"/>
        <w:gridCol w:w="2400"/>
        <w:gridCol w:w="2117"/>
        <w:gridCol w:w="1755"/>
        <w:gridCol w:w="365"/>
      </w:tblGrid>
      <w:tr w:rsidR="00F05A26" w:rsidRPr="00120E1B" w14:paraId="5CA78295" w14:textId="77777777" w:rsidTr="0090077A">
        <w:trPr>
          <w:gridAfter w:val="1"/>
          <w:cnfStyle w:val="100000000000" w:firstRow="1" w:lastRow="0" w:firstColumn="0" w:lastColumn="0" w:oddVBand="0" w:evenVBand="0" w:oddHBand="0" w:evenHBand="0" w:firstRowFirstColumn="0" w:firstRowLastColumn="0" w:lastRowFirstColumn="0" w:lastRowLastColumn="0"/>
          <w:wAfter w:w="365" w:type="dxa"/>
          <w:trHeight w:val="227"/>
        </w:trPr>
        <w:tc>
          <w:tcPr>
            <w:tcW w:w="805" w:type="dxa"/>
          </w:tcPr>
          <w:p w14:paraId="015C445C" w14:textId="77777777" w:rsidR="00F05A26" w:rsidRPr="00120E1B" w:rsidRDefault="00F05A26" w:rsidP="0090077A">
            <w:pPr>
              <w:spacing w:line="240" w:lineRule="auto"/>
              <w:rPr>
                <w:b/>
                <w:sz w:val="16"/>
                <w:szCs w:val="16"/>
              </w:rPr>
            </w:pPr>
            <w:r>
              <w:rPr>
                <w:b/>
                <w:sz w:val="16"/>
                <w:szCs w:val="16"/>
              </w:rPr>
              <w:t>R. 2</w:t>
            </w:r>
          </w:p>
        </w:tc>
        <w:tc>
          <w:tcPr>
            <w:tcW w:w="2724" w:type="dxa"/>
          </w:tcPr>
          <w:p w14:paraId="0FA9BCB1" w14:textId="60415A60" w:rsidR="00D16410" w:rsidRPr="001D10CD" w:rsidRDefault="00D16410" w:rsidP="00D16410">
            <w:pPr>
              <w:keepNext/>
              <w:rPr>
                <w:rFonts w:cs="Arial"/>
                <w:color w:val="000000"/>
                <w:sz w:val="16"/>
                <w:szCs w:val="16"/>
              </w:rPr>
            </w:pPr>
            <w:r w:rsidRPr="001D10CD">
              <w:rPr>
                <w:rFonts w:cs="Arial"/>
                <w:color w:val="000000"/>
                <w:sz w:val="16"/>
                <w:szCs w:val="16"/>
              </w:rPr>
              <w:t xml:space="preserve"> To </w:t>
            </w:r>
            <w:r w:rsidRPr="001D10CD">
              <w:rPr>
                <w:sz w:val="16"/>
                <w:szCs w:val="16"/>
              </w:rPr>
              <w:t>realise abatement opportunities in industrial facilities,</w:t>
            </w:r>
            <w:r w:rsidRPr="001D10CD">
              <w:rPr>
                <w:rFonts w:cs="Arial"/>
                <w:color w:val="000000"/>
                <w:sz w:val="16"/>
                <w:szCs w:val="16"/>
              </w:rPr>
              <w:t xml:space="preserve">  leverage co-investment and avoid risks to the ACCU market, the Government’s </w:t>
            </w:r>
            <w:r w:rsidRPr="001D10CD">
              <w:rPr>
                <w:rFonts w:cs="Arial"/>
                <w:sz w:val="16"/>
                <w:szCs w:val="16"/>
              </w:rPr>
              <w:t xml:space="preserve">low-emissions technology incentive scheme make Safeguard Mechanism Credit - concessional loans bundled with </w:t>
            </w:r>
            <w:r w:rsidRPr="001D10CD">
              <w:rPr>
                <w:sz w:val="16"/>
                <w:szCs w:val="16"/>
              </w:rPr>
              <w:t>grants and tax incentives</w:t>
            </w:r>
            <w:r w:rsidRPr="001D10CD">
              <w:rPr>
                <w:rFonts w:cs="Arial"/>
                <w:sz w:val="16"/>
                <w:szCs w:val="16"/>
              </w:rPr>
              <w:t xml:space="preserve"> - available to Safeguard-covered facilities undertaking transformative, below-baseline abatement projects. </w:t>
            </w:r>
          </w:p>
          <w:p w14:paraId="7DB8839A" w14:textId="77777777" w:rsidR="00D16410" w:rsidRPr="001D10CD" w:rsidRDefault="00D16410" w:rsidP="00D16410">
            <w:pPr>
              <w:keepNext/>
              <w:rPr>
                <w:rFonts w:cs="Arial"/>
                <w:color w:val="000000"/>
                <w:sz w:val="16"/>
                <w:szCs w:val="16"/>
              </w:rPr>
            </w:pPr>
          </w:p>
          <w:p w14:paraId="2A9D98B8" w14:textId="24B62C70" w:rsidR="00D16410" w:rsidRPr="001D10CD" w:rsidRDefault="00D16410" w:rsidP="00D16410">
            <w:pPr>
              <w:keepNext/>
              <w:rPr>
                <w:rFonts w:cs="Arial"/>
                <w:color w:val="000000"/>
                <w:sz w:val="16"/>
                <w:szCs w:val="16"/>
              </w:rPr>
            </w:pPr>
            <w:r w:rsidRPr="001D10CD">
              <w:rPr>
                <w:rFonts w:cs="Arial"/>
                <w:color w:val="000000"/>
                <w:sz w:val="16"/>
                <w:szCs w:val="16"/>
              </w:rPr>
              <w:t>If designed as a carbon market mechanism, and noting the King Review recommendation that the incentive scheme not be an offsets scheme,</w:t>
            </w:r>
            <w:r>
              <w:rPr>
                <w:rFonts w:cs="Arial"/>
                <w:color w:val="000000"/>
              </w:rPr>
              <w:t xml:space="preserve"> </w:t>
            </w:r>
            <w:r w:rsidR="001D10CD" w:rsidRPr="001D10CD">
              <w:rPr>
                <w:rFonts w:cs="Arial"/>
                <w:color w:val="000000"/>
                <w:sz w:val="16"/>
                <w:szCs w:val="16"/>
              </w:rPr>
              <w:t xml:space="preserve">consideration be given to mitigating </w:t>
            </w:r>
            <w:r w:rsidRPr="001D10CD">
              <w:rPr>
                <w:rFonts w:cs="Arial"/>
                <w:color w:val="000000"/>
                <w:sz w:val="16"/>
                <w:szCs w:val="16"/>
              </w:rPr>
              <w:t>risks to the ACCU market by:</w:t>
            </w:r>
          </w:p>
          <w:p w14:paraId="7AF8825D" w14:textId="77777777" w:rsidR="00D16410" w:rsidRPr="001D10CD" w:rsidRDefault="00D16410" w:rsidP="0058338C">
            <w:pPr>
              <w:pStyle w:val="ListParagraph"/>
              <w:keepNext/>
              <w:numPr>
                <w:ilvl w:val="0"/>
                <w:numId w:val="44"/>
              </w:numPr>
              <w:spacing w:after="160"/>
              <w:ind w:left="360"/>
              <w:rPr>
                <w:rFonts w:ascii="Calibri" w:hAnsi="Calibri"/>
                <w:sz w:val="16"/>
                <w:szCs w:val="16"/>
              </w:rPr>
            </w:pPr>
            <w:r w:rsidRPr="001D10CD">
              <w:rPr>
                <w:color w:val="000000"/>
                <w:sz w:val="16"/>
                <w:szCs w:val="16"/>
              </w:rPr>
              <w:t>ensuring below-baseline carbon credits (SMCs) are:</w:t>
            </w:r>
          </w:p>
          <w:p w14:paraId="2AAE1A7B" w14:textId="77777777" w:rsidR="00D16410" w:rsidRPr="001D10CD" w:rsidRDefault="00D16410" w:rsidP="0058338C">
            <w:pPr>
              <w:pStyle w:val="ListParagraph"/>
              <w:keepNext/>
              <w:numPr>
                <w:ilvl w:val="0"/>
                <w:numId w:val="45"/>
              </w:numPr>
              <w:spacing w:after="160"/>
              <w:ind w:left="720"/>
              <w:rPr>
                <w:sz w:val="16"/>
                <w:szCs w:val="16"/>
              </w:rPr>
            </w:pPr>
            <w:r w:rsidRPr="001D10CD">
              <w:rPr>
                <w:color w:val="000000"/>
                <w:sz w:val="16"/>
                <w:szCs w:val="16"/>
              </w:rPr>
              <w:t xml:space="preserve">allocated for emissions reductions that meet a ‘transformative project’ threshold, for example by setting crediting baselines well below compliance baselines </w:t>
            </w:r>
          </w:p>
          <w:p w14:paraId="743A9B59" w14:textId="77777777" w:rsidR="00D16410" w:rsidRPr="001D10CD" w:rsidRDefault="00D16410" w:rsidP="0058338C">
            <w:pPr>
              <w:pStyle w:val="ListParagraph"/>
              <w:keepNext/>
              <w:numPr>
                <w:ilvl w:val="0"/>
                <w:numId w:val="45"/>
              </w:numPr>
              <w:spacing w:after="160"/>
              <w:ind w:left="720"/>
              <w:rPr>
                <w:sz w:val="16"/>
                <w:szCs w:val="16"/>
              </w:rPr>
            </w:pPr>
            <w:r w:rsidRPr="001D10CD">
              <w:rPr>
                <w:color w:val="000000"/>
                <w:sz w:val="16"/>
                <w:szCs w:val="16"/>
              </w:rPr>
              <w:t>saleable only to the Government and to entities under the Safeguard Mechanism for the purpose of complying with Safeguard obligations (and not otherwise fungible with ACCUs)</w:t>
            </w:r>
          </w:p>
          <w:p w14:paraId="0766AE28" w14:textId="0150BAFE" w:rsidR="00D16410" w:rsidRPr="001D10CD" w:rsidRDefault="00D16410" w:rsidP="0058338C">
            <w:pPr>
              <w:pStyle w:val="ListParagraph"/>
              <w:keepNext/>
              <w:numPr>
                <w:ilvl w:val="0"/>
                <w:numId w:val="46"/>
              </w:numPr>
              <w:spacing w:after="160"/>
              <w:ind w:left="360"/>
              <w:rPr>
                <w:sz w:val="16"/>
                <w:szCs w:val="16"/>
              </w:rPr>
            </w:pPr>
            <w:r w:rsidRPr="001D10CD">
              <w:rPr>
                <w:color w:val="000000"/>
                <w:sz w:val="16"/>
                <w:szCs w:val="16"/>
              </w:rPr>
              <w:t>allowing banking of SMCs for use in future years only after an assessment of the outcomes of the initial pilot phase</w:t>
            </w:r>
          </w:p>
          <w:p w14:paraId="7C0DCA52" w14:textId="33566FA4" w:rsidR="00F5308D" w:rsidRPr="001D10CD" w:rsidRDefault="00D16410" w:rsidP="0058338C">
            <w:pPr>
              <w:pStyle w:val="ListParagraph"/>
              <w:keepNext/>
              <w:numPr>
                <w:ilvl w:val="0"/>
                <w:numId w:val="46"/>
              </w:numPr>
              <w:spacing w:after="160"/>
              <w:ind w:left="360"/>
              <w:rPr>
                <w:sz w:val="16"/>
                <w:szCs w:val="16"/>
              </w:rPr>
            </w:pPr>
            <w:r w:rsidRPr="001D10CD">
              <w:rPr>
                <w:color w:val="000000"/>
                <w:sz w:val="16"/>
                <w:szCs w:val="16"/>
              </w:rPr>
              <w:t>funding any Government purchase of SMCs separately from amounts already allocated to the CSF for the purchase of ACCUs</w:t>
            </w:r>
          </w:p>
          <w:p w14:paraId="5CC4868F" w14:textId="2580FB9C" w:rsidR="00F05A26" w:rsidRPr="00F94E82" w:rsidDel="00265566" w:rsidRDefault="00D16410" w:rsidP="00F94E82">
            <w:pPr>
              <w:pStyle w:val="ListParagraph"/>
              <w:keepNext/>
              <w:numPr>
                <w:ilvl w:val="0"/>
                <w:numId w:val="46"/>
              </w:numPr>
              <w:ind w:left="360"/>
              <w:rPr>
                <w:rFonts w:cs="Arial"/>
                <w:sz w:val="16"/>
                <w:szCs w:val="16"/>
              </w:rPr>
            </w:pPr>
            <w:r w:rsidRPr="00F94E82">
              <w:rPr>
                <w:color w:val="000000"/>
                <w:sz w:val="16"/>
                <w:szCs w:val="16"/>
              </w:rPr>
              <w:t>giving future consideration to implementing declining baselines with clear trajectories, to maintain demand for ACCUs and SMCs (for example, as technology evolves) and enhance co-investment in both schemes.</w:t>
            </w:r>
          </w:p>
        </w:tc>
        <w:tc>
          <w:tcPr>
            <w:tcW w:w="2542" w:type="dxa"/>
          </w:tcPr>
          <w:p w14:paraId="7A6B15B4" w14:textId="77777777" w:rsidR="00F05A26" w:rsidRDefault="00F05A26" w:rsidP="0090077A">
            <w:pPr>
              <w:spacing w:line="240" w:lineRule="auto"/>
              <w:rPr>
                <w:sz w:val="16"/>
                <w:szCs w:val="16"/>
              </w:rPr>
            </w:pPr>
            <w:r>
              <w:rPr>
                <w:sz w:val="16"/>
                <w:szCs w:val="16"/>
              </w:rPr>
              <w:t xml:space="preserve">Part of current Government costs of developing new policy for Safeguard facilities. </w:t>
            </w:r>
          </w:p>
          <w:p w14:paraId="792CA0F5" w14:textId="77777777" w:rsidR="00F05A26" w:rsidRDefault="00F05A26" w:rsidP="0090077A">
            <w:pPr>
              <w:spacing w:line="240" w:lineRule="auto"/>
              <w:rPr>
                <w:sz w:val="16"/>
                <w:szCs w:val="16"/>
              </w:rPr>
            </w:pPr>
          </w:p>
          <w:p w14:paraId="4027DFE6" w14:textId="77777777" w:rsidR="00F05A26" w:rsidRDefault="00F05A26" w:rsidP="0090077A">
            <w:pPr>
              <w:spacing w:line="240" w:lineRule="auto"/>
              <w:rPr>
                <w:sz w:val="16"/>
                <w:szCs w:val="16"/>
              </w:rPr>
            </w:pPr>
            <w:r>
              <w:rPr>
                <w:sz w:val="16"/>
                <w:szCs w:val="16"/>
              </w:rPr>
              <w:t>If low interest rate loans are offered, small budget impact.</w:t>
            </w:r>
          </w:p>
          <w:p w14:paraId="54C54EFF" w14:textId="77777777" w:rsidR="00F05A26" w:rsidRDefault="00F05A26" w:rsidP="0090077A">
            <w:pPr>
              <w:spacing w:line="240" w:lineRule="auto"/>
              <w:rPr>
                <w:sz w:val="16"/>
                <w:szCs w:val="16"/>
              </w:rPr>
            </w:pPr>
          </w:p>
          <w:p w14:paraId="307481AD" w14:textId="77777777" w:rsidR="00F05A26" w:rsidRPr="005A6C68" w:rsidDel="00C5017A" w:rsidRDefault="00F05A26" w:rsidP="0090077A">
            <w:pPr>
              <w:spacing w:line="240" w:lineRule="auto"/>
              <w:rPr>
                <w:sz w:val="16"/>
                <w:szCs w:val="16"/>
              </w:rPr>
            </w:pPr>
            <w:r>
              <w:rPr>
                <w:sz w:val="16"/>
                <w:szCs w:val="16"/>
              </w:rPr>
              <w:t>If the Government allocates new funding for the purchase of SMCs, then a budget impact of this amount.</w:t>
            </w:r>
          </w:p>
        </w:tc>
        <w:tc>
          <w:tcPr>
            <w:tcW w:w="2399" w:type="dxa"/>
          </w:tcPr>
          <w:p w14:paraId="009F990D" w14:textId="77777777" w:rsidR="00F05A26" w:rsidRDefault="00F05A26" w:rsidP="0090077A">
            <w:pPr>
              <w:spacing w:line="240" w:lineRule="auto"/>
              <w:rPr>
                <w:sz w:val="16"/>
                <w:szCs w:val="16"/>
              </w:rPr>
            </w:pPr>
            <w:r>
              <w:rPr>
                <w:sz w:val="16"/>
                <w:szCs w:val="16"/>
              </w:rPr>
              <w:t>A loan mechanism (targeted to overcoming upfront technology costs) is relatively easy for business and government to administer.</w:t>
            </w:r>
          </w:p>
          <w:p w14:paraId="05BF3AFA" w14:textId="77777777" w:rsidR="00F05A26" w:rsidRDefault="00F05A26" w:rsidP="0090077A">
            <w:pPr>
              <w:spacing w:line="240" w:lineRule="auto"/>
              <w:rPr>
                <w:sz w:val="16"/>
                <w:szCs w:val="16"/>
              </w:rPr>
            </w:pPr>
            <w:r>
              <w:rPr>
                <w:sz w:val="16"/>
                <w:szCs w:val="16"/>
              </w:rPr>
              <w:t xml:space="preserve"> </w:t>
            </w:r>
          </w:p>
          <w:p w14:paraId="14464597" w14:textId="77777777" w:rsidR="00F05A26" w:rsidRPr="005A6C68" w:rsidDel="00C5017A" w:rsidRDefault="00F05A26" w:rsidP="0090077A">
            <w:pPr>
              <w:spacing w:line="240" w:lineRule="auto"/>
              <w:rPr>
                <w:sz w:val="16"/>
                <w:szCs w:val="16"/>
              </w:rPr>
            </w:pPr>
          </w:p>
        </w:tc>
        <w:tc>
          <w:tcPr>
            <w:tcW w:w="2400" w:type="dxa"/>
          </w:tcPr>
          <w:p w14:paraId="66E87CBD" w14:textId="77777777" w:rsidR="00F05A26" w:rsidRDefault="00F05A26" w:rsidP="0090077A">
            <w:pPr>
              <w:spacing w:line="240" w:lineRule="auto"/>
              <w:rPr>
                <w:sz w:val="16"/>
                <w:szCs w:val="16"/>
              </w:rPr>
            </w:pPr>
            <w:r>
              <w:rPr>
                <w:sz w:val="16"/>
                <w:szCs w:val="16"/>
              </w:rPr>
              <w:t xml:space="preserve">A simpler mechanism may increase abatement from Safeguard entities. </w:t>
            </w:r>
          </w:p>
          <w:p w14:paraId="00065927" w14:textId="77777777" w:rsidR="00F05A26" w:rsidRPr="005A6C68" w:rsidDel="00C5017A" w:rsidRDefault="00F05A26" w:rsidP="0090077A">
            <w:pPr>
              <w:spacing w:line="240" w:lineRule="auto"/>
              <w:rPr>
                <w:sz w:val="16"/>
                <w:szCs w:val="16"/>
              </w:rPr>
            </w:pPr>
            <w:r>
              <w:rPr>
                <w:sz w:val="16"/>
                <w:szCs w:val="16"/>
              </w:rPr>
              <w:t>Confidence in funding committed to ACCU market can lead to more investment in ERF projects.</w:t>
            </w:r>
          </w:p>
        </w:tc>
        <w:tc>
          <w:tcPr>
            <w:tcW w:w="2117" w:type="dxa"/>
          </w:tcPr>
          <w:p w14:paraId="0E96E7D7" w14:textId="77777777" w:rsidR="00F05A26" w:rsidRPr="005A6C68" w:rsidRDefault="00F05A26" w:rsidP="0090077A">
            <w:pPr>
              <w:spacing w:line="240" w:lineRule="auto"/>
              <w:ind w:right="14"/>
              <w:rPr>
                <w:sz w:val="16"/>
                <w:szCs w:val="16"/>
              </w:rPr>
            </w:pPr>
            <w:r>
              <w:rPr>
                <w:sz w:val="16"/>
                <w:szCs w:val="16"/>
              </w:rPr>
              <w:t>Maintains value of investment for participants in the ERF by maintaining the market for ACCUs.</w:t>
            </w:r>
          </w:p>
        </w:tc>
        <w:tc>
          <w:tcPr>
            <w:tcW w:w="1755" w:type="dxa"/>
          </w:tcPr>
          <w:p w14:paraId="4E48DF33" w14:textId="77777777" w:rsidR="00F05A26" w:rsidRPr="005A6C68" w:rsidRDefault="00F05A26" w:rsidP="0090077A">
            <w:pPr>
              <w:spacing w:line="240" w:lineRule="auto"/>
              <w:rPr>
                <w:sz w:val="16"/>
                <w:szCs w:val="16"/>
              </w:rPr>
            </w:pPr>
            <w:r>
              <w:rPr>
                <w:sz w:val="16"/>
                <w:szCs w:val="16"/>
              </w:rPr>
              <w:t xml:space="preserve">Regulator </w:t>
            </w:r>
            <w:r w:rsidRPr="005A6C68">
              <w:rPr>
                <w:sz w:val="16"/>
                <w:szCs w:val="16"/>
              </w:rPr>
              <w:t>/Department</w:t>
            </w:r>
            <w:r>
              <w:rPr>
                <w:sz w:val="16"/>
                <w:szCs w:val="16"/>
              </w:rPr>
              <w:t xml:space="preserve"> </w:t>
            </w:r>
            <w:r>
              <w:rPr>
                <w:rFonts w:cs="Arial"/>
                <w:sz w:val="16"/>
                <w:szCs w:val="16"/>
              </w:rPr>
              <w:t>of Industry, Science, Energy and Resources.</w:t>
            </w:r>
          </w:p>
        </w:tc>
      </w:tr>
      <w:tr w:rsidR="001C19F1" w:rsidRPr="001C19F1" w14:paraId="17115C67" w14:textId="77777777" w:rsidTr="001C19F1">
        <w:trPr>
          <w:cnfStyle w:val="000000100000" w:firstRow="0" w:lastRow="0" w:firstColumn="0" w:lastColumn="0" w:oddVBand="0" w:evenVBand="0" w:oddHBand="1" w:evenHBand="0" w:firstRowFirstColumn="0" w:firstRowLastColumn="0" w:lastRowFirstColumn="0" w:lastRowLastColumn="0"/>
          <w:trHeight w:val="227"/>
        </w:trPr>
        <w:tc>
          <w:tcPr>
            <w:tcW w:w="805" w:type="dxa"/>
            <w:shd w:val="clear" w:color="auto" w:fill="0070AE" w:themeFill="accent2" w:themeFillTint="BF"/>
          </w:tcPr>
          <w:p w14:paraId="04053F86" w14:textId="6E29BCEA" w:rsidR="001C19F1" w:rsidRPr="001C19F1" w:rsidRDefault="001C19F1" w:rsidP="001C19F1">
            <w:pPr>
              <w:spacing w:line="240" w:lineRule="auto"/>
              <w:rPr>
                <w:b/>
                <w:color w:val="FFFFFF" w:themeColor="background1"/>
                <w:sz w:val="16"/>
                <w:szCs w:val="16"/>
              </w:rPr>
            </w:pPr>
          </w:p>
        </w:tc>
        <w:tc>
          <w:tcPr>
            <w:tcW w:w="2724" w:type="dxa"/>
            <w:shd w:val="clear" w:color="auto" w:fill="0070AE" w:themeFill="accent2" w:themeFillTint="BF"/>
          </w:tcPr>
          <w:p w14:paraId="58629A4C" w14:textId="36216A2F" w:rsidR="001C19F1" w:rsidRPr="0022784B" w:rsidRDefault="001C19F1" w:rsidP="001C19F1">
            <w:pPr>
              <w:keepNext/>
              <w:rPr>
                <w:rFonts w:cs="Arial"/>
                <w:b/>
                <w:color w:val="FFFFFF" w:themeColor="background1"/>
                <w:sz w:val="16"/>
                <w:szCs w:val="16"/>
              </w:rPr>
            </w:pPr>
            <w:r w:rsidRPr="0022784B">
              <w:rPr>
                <w:b/>
                <w:color w:val="FFFFFF" w:themeColor="background1"/>
                <w:sz w:val="16"/>
                <w:szCs w:val="16"/>
              </w:rPr>
              <w:t>RECOMMENDATION</w:t>
            </w:r>
          </w:p>
        </w:tc>
        <w:tc>
          <w:tcPr>
            <w:tcW w:w="2542" w:type="dxa"/>
            <w:shd w:val="clear" w:color="auto" w:fill="0070AE" w:themeFill="accent2" w:themeFillTint="BF"/>
          </w:tcPr>
          <w:p w14:paraId="76F5574F" w14:textId="77777777" w:rsidR="001C19F1" w:rsidRPr="0022784B" w:rsidRDefault="001C19F1" w:rsidP="001C19F1">
            <w:pPr>
              <w:spacing w:line="240" w:lineRule="auto"/>
              <w:rPr>
                <w:b/>
                <w:color w:val="FFFFFF" w:themeColor="background1"/>
                <w:sz w:val="16"/>
                <w:szCs w:val="16"/>
              </w:rPr>
            </w:pPr>
            <w:r w:rsidRPr="0022784B">
              <w:rPr>
                <w:b/>
                <w:color w:val="FFFFFF" w:themeColor="background1"/>
                <w:sz w:val="16"/>
                <w:szCs w:val="16"/>
              </w:rPr>
              <w:t>ECONOMIC EFFICIENCY</w:t>
            </w:r>
          </w:p>
          <w:p w14:paraId="59C62C4D" w14:textId="071BB31D" w:rsidR="001C19F1" w:rsidRPr="0022784B" w:rsidRDefault="0022784B" w:rsidP="001C19F1">
            <w:pPr>
              <w:spacing w:line="240" w:lineRule="auto"/>
              <w:rPr>
                <w:b/>
                <w:color w:val="FFFFFF" w:themeColor="background1"/>
                <w:sz w:val="16"/>
                <w:szCs w:val="16"/>
              </w:rPr>
            </w:pPr>
            <w:r w:rsidRPr="0022784B">
              <w:rPr>
                <w:b/>
                <w:color w:val="FFFFFF" w:themeColor="background1"/>
                <w:sz w:val="16"/>
                <w:szCs w:val="16"/>
              </w:rPr>
              <w:t>Coats</w:t>
            </w:r>
          </w:p>
        </w:tc>
        <w:tc>
          <w:tcPr>
            <w:tcW w:w="2399" w:type="dxa"/>
            <w:shd w:val="clear" w:color="auto" w:fill="0070AE" w:themeFill="accent2" w:themeFillTint="BF"/>
          </w:tcPr>
          <w:p w14:paraId="58B4D9F5" w14:textId="77777777" w:rsidR="0022784B" w:rsidRPr="0022784B" w:rsidRDefault="0022784B" w:rsidP="001C19F1">
            <w:pPr>
              <w:spacing w:line="240" w:lineRule="auto"/>
              <w:rPr>
                <w:b/>
                <w:color w:val="FFFFFF" w:themeColor="background1"/>
                <w:sz w:val="16"/>
                <w:szCs w:val="16"/>
              </w:rPr>
            </w:pPr>
          </w:p>
          <w:p w14:paraId="229E65E2" w14:textId="42F71E97" w:rsidR="001C19F1" w:rsidRPr="0022784B" w:rsidRDefault="0022784B" w:rsidP="001C19F1">
            <w:pPr>
              <w:spacing w:line="240" w:lineRule="auto"/>
              <w:rPr>
                <w:b/>
                <w:color w:val="FFFFFF" w:themeColor="background1"/>
                <w:sz w:val="16"/>
                <w:szCs w:val="16"/>
              </w:rPr>
            </w:pPr>
            <w:r w:rsidRPr="0022784B">
              <w:rPr>
                <w:b/>
                <w:color w:val="FFFFFF" w:themeColor="background1"/>
                <w:sz w:val="16"/>
                <w:szCs w:val="16"/>
              </w:rPr>
              <w:t>Benefits</w:t>
            </w:r>
          </w:p>
        </w:tc>
        <w:tc>
          <w:tcPr>
            <w:tcW w:w="2400" w:type="dxa"/>
            <w:shd w:val="clear" w:color="auto" w:fill="0070AE" w:themeFill="accent2" w:themeFillTint="BF"/>
          </w:tcPr>
          <w:p w14:paraId="31B755C3" w14:textId="03F27543" w:rsidR="001C19F1" w:rsidRPr="0022784B" w:rsidRDefault="0022784B" w:rsidP="001C19F1">
            <w:pPr>
              <w:spacing w:line="240" w:lineRule="auto"/>
              <w:rPr>
                <w:b/>
                <w:color w:val="FFFFFF" w:themeColor="background1"/>
                <w:sz w:val="16"/>
                <w:szCs w:val="16"/>
              </w:rPr>
            </w:pPr>
            <w:r w:rsidRPr="0022784B">
              <w:rPr>
                <w:b/>
                <w:color w:val="FFFFFF" w:themeColor="background1"/>
                <w:sz w:val="16"/>
                <w:szCs w:val="16"/>
              </w:rPr>
              <w:t>ENVIRONMENTAL EFFECTIVENESS</w:t>
            </w:r>
          </w:p>
        </w:tc>
        <w:tc>
          <w:tcPr>
            <w:tcW w:w="2117" w:type="dxa"/>
            <w:shd w:val="clear" w:color="auto" w:fill="0070AE" w:themeFill="accent2" w:themeFillTint="BF"/>
          </w:tcPr>
          <w:p w14:paraId="6161D854" w14:textId="61943F4D" w:rsidR="001C19F1" w:rsidRPr="0022784B" w:rsidRDefault="0022784B" w:rsidP="001C19F1">
            <w:pPr>
              <w:spacing w:line="240" w:lineRule="auto"/>
              <w:ind w:right="14"/>
              <w:rPr>
                <w:b/>
                <w:color w:val="FFFFFF" w:themeColor="background1"/>
                <w:sz w:val="16"/>
                <w:szCs w:val="16"/>
              </w:rPr>
            </w:pPr>
            <w:r w:rsidRPr="0022784B">
              <w:rPr>
                <w:b/>
                <w:color w:val="FFFFFF" w:themeColor="background1"/>
                <w:sz w:val="16"/>
                <w:szCs w:val="16"/>
              </w:rPr>
              <w:t>EQUITY</w:t>
            </w:r>
          </w:p>
        </w:tc>
        <w:tc>
          <w:tcPr>
            <w:tcW w:w="1755" w:type="dxa"/>
            <w:gridSpan w:val="2"/>
            <w:shd w:val="clear" w:color="auto" w:fill="0070AE" w:themeFill="accent2" w:themeFillTint="BF"/>
          </w:tcPr>
          <w:p w14:paraId="01B4FB17" w14:textId="0C923AF0" w:rsidR="001C19F1" w:rsidRPr="0022784B" w:rsidRDefault="0022784B" w:rsidP="001C19F1">
            <w:pPr>
              <w:spacing w:line="240" w:lineRule="auto"/>
              <w:rPr>
                <w:b/>
                <w:color w:val="FFFFFF" w:themeColor="background1"/>
                <w:sz w:val="16"/>
                <w:szCs w:val="16"/>
              </w:rPr>
            </w:pPr>
            <w:r w:rsidRPr="0022784B">
              <w:rPr>
                <w:b/>
                <w:color w:val="FFFFFF" w:themeColor="background1"/>
                <w:sz w:val="16"/>
                <w:szCs w:val="16"/>
              </w:rPr>
              <w:t>PROCESS</w:t>
            </w:r>
          </w:p>
        </w:tc>
      </w:tr>
      <w:tr w:rsidR="00F05A26" w:rsidRPr="00120E1B" w14:paraId="5A0CDB63" w14:textId="77777777" w:rsidTr="0090077A">
        <w:trPr>
          <w:gridAfter w:val="1"/>
          <w:cnfStyle w:val="000000010000" w:firstRow="0" w:lastRow="0" w:firstColumn="0" w:lastColumn="0" w:oddVBand="0" w:evenVBand="0" w:oddHBand="0" w:evenHBand="1" w:firstRowFirstColumn="0" w:firstRowLastColumn="0" w:lastRowFirstColumn="0" w:lastRowLastColumn="0"/>
          <w:wAfter w:w="365" w:type="dxa"/>
          <w:trHeight w:val="227"/>
        </w:trPr>
        <w:tc>
          <w:tcPr>
            <w:tcW w:w="805" w:type="dxa"/>
          </w:tcPr>
          <w:p w14:paraId="21497AB4" w14:textId="77777777" w:rsidR="00F05A26" w:rsidRPr="00120E1B" w:rsidRDefault="00F05A26" w:rsidP="0090077A">
            <w:pPr>
              <w:spacing w:line="240" w:lineRule="auto"/>
              <w:rPr>
                <w:b/>
                <w:sz w:val="16"/>
                <w:szCs w:val="16"/>
              </w:rPr>
            </w:pPr>
            <w:r>
              <w:rPr>
                <w:b/>
                <w:sz w:val="16"/>
                <w:szCs w:val="16"/>
              </w:rPr>
              <w:t>R. 3</w:t>
            </w:r>
          </w:p>
        </w:tc>
        <w:tc>
          <w:tcPr>
            <w:tcW w:w="2724" w:type="dxa"/>
          </w:tcPr>
          <w:p w14:paraId="1AF50670" w14:textId="77777777" w:rsidR="00F05A26" w:rsidRPr="00BA161A" w:rsidRDefault="00F05A26" w:rsidP="0090077A">
            <w:pPr>
              <w:rPr>
                <w:rFonts w:cs="Arial"/>
                <w:color w:val="000000"/>
                <w:sz w:val="16"/>
                <w:szCs w:val="16"/>
              </w:rPr>
            </w:pPr>
            <w:r w:rsidRPr="00BA161A">
              <w:rPr>
                <w:rFonts w:cs="Arial"/>
                <w:sz w:val="16"/>
                <w:szCs w:val="16"/>
              </w:rPr>
              <w:t xml:space="preserve">Consider ways to incentivise voluntary purchasing of Australian Carbon Credit Units, including for use under </w:t>
            </w:r>
            <w:r w:rsidRPr="00BA161A">
              <w:rPr>
                <w:rFonts w:cs="Arial"/>
                <w:color w:val="000000"/>
                <w:sz w:val="16"/>
                <w:szCs w:val="16"/>
              </w:rPr>
              <w:t xml:space="preserve">the Government’s voluntary carbon neutral scheme </w:t>
            </w:r>
            <w:r w:rsidRPr="00BA161A">
              <w:rPr>
                <w:rFonts w:cs="Arial"/>
                <w:i/>
                <w:color w:val="000000"/>
                <w:sz w:val="16"/>
                <w:szCs w:val="16"/>
              </w:rPr>
              <w:t>Climate Active</w:t>
            </w:r>
            <w:r w:rsidRPr="00BA161A">
              <w:rPr>
                <w:rFonts w:cs="Arial"/>
                <w:color w:val="000000"/>
                <w:sz w:val="16"/>
                <w:szCs w:val="16"/>
              </w:rPr>
              <w:t>. For example, in collaboration with industry representatives:</w:t>
            </w:r>
          </w:p>
          <w:p w14:paraId="4504AF42" w14:textId="72D5CDA6" w:rsidR="00F05A26" w:rsidRPr="006059C5" w:rsidRDefault="00F05A26" w:rsidP="00004274">
            <w:pPr>
              <w:numPr>
                <w:ilvl w:val="0"/>
                <w:numId w:val="39"/>
              </w:numPr>
              <w:spacing w:line="240" w:lineRule="auto"/>
              <w:ind w:left="363"/>
              <w:contextualSpacing/>
              <w:rPr>
                <w:rFonts w:cs="Arial"/>
                <w:sz w:val="16"/>
                <w:szCs w:val="16"/>
              </w:rPr>
            </w:pPr>
            <w:r w:rsidRPr="00BA161A">
              <w:rPr>
                <w:rFonts w:cs="Arial"/>
                <w:sz w:val="16"/>
                <w:szCs w:val="16"/>
              </w:rPr>
              <w:t xml:space="preserve">develop a tiered labelling scheme similar to the Australian Made brand that would enable companies seeking to become carbon neutral to promote those offsets that were sourced from a) ACCUs or </w:t>
            </w:r>
            <w:r w:rsidR="00260256">
              <w:rPr>
                <w:rFonts w:cs="Arial"/>
                <w:sz w:val="16"/>
                <w:szCs w:val="16"/>
              </w:rPr>
              <w:t>b</w:t>
            </w:r>
            <w:r w:rsidRPr="00BA161A">
              <w:rPr>
                <w:rFonts w:cs="Arial"/>
                <w:sz w:val="16"/>
                <w:szCs w:val="16"/>
              </w:rPr>
              <w:t>) ACCUs with social/biodiversity co-benefits</w:t>
            </w:r>
          </w:p>
          <w:p w14:paraId="5FC45622" w14:textId="77777777" w:rsidR="00F05A26" w:rsidRDefault="00F05A26" w:rsidP="00004274">
            <w:pPr>
              <w:numPr>
                <w:ilvl w:val="0"/>
                <w:numId w:val="39"/>
              </w:numPr>
              <w:spacing w:line="240" w:lineRule="auto"/>
              <w:ind w:left="363"/>
              <w:contextualSpacing/>
              <w:rPr>
                <w:rFonts w:cs="Arial"/>
                <w:sz w:val="16"/>
                <w:szCs w:val="16"/>
              </w:rPr>
            </w:pPr>
            <w:r w:rsidRPr="00BA161A">
              <w:rPr>
                <w:rFonts w:cs="Arial"/>
                <w:sz w:val="16"/>
                <w:szCs w:val="16"/>
              </w:rPr>
              <w:t xml:space="preserve">establish annual awards that recognise companies that source for voluntary mitigation action the most carbon offsets in the form of ACCUs. </w:t>
            </w:r>
          </w:p>
          <w:p w14:paraId="0A294A6B" w14:textId="77777777" w:rsidR="00F05A26" w:rsidRPr="006059C5" w:rsidRDefault="00F05A26" w:rsidP="0090077A">
            <w:pPr>
              <w:spacing w:line="240" w:lineRule="auto"/>
              <w:ind w:left="363"/>
              <w:contextualSpacing/>
              <w:rPr>
                <w:rFonts w:cs="Arial"/>
                <w:sz w:val="16"/>
                <w:szCs w:val="16"/>
              </w:rPr>
            </w:pPr>
          </w:p>
        </w:tc>
        <w:tc>
          <w:tcPr>
            <w:tcW w:w="2542" w:type="dxa"/>
          </w:tcPr>
          <w:p w14:paraId="6D18AC35" w14:textId="77777777" w:rsidR="00F05A26" w:rsidRPr="005A6C68" w:rsidRDefault="00F05A26" w:rsidP="0090077A">
            <w:pPr>
              <w:spacing w:line="240" w:lineRule="auto"/>
              <w:rPr>
                <w:sz w:val="16"/>
                <w:szCs w:val="16"/>
              </w:rPr>
            </w:pPr>
            <w:r>
              <w:rPr>
                <w:rFonts w:cs="Arial"/>
                <w:sz w:val="16"/>
                <w:szCs w:val="16"/>
              </w:rPr>
              <w:t>Small increase in administrative costs to the Department and voluntary labelling costs for Climate Active participants.</w:t>
            </w:r>
          </w:p>
        </w:tc>
        <w:tc>
          <w:tcPr>
            <w:tcW w:w="2399" w:type="dxa"/>
          </w:tcPr>
          <w:p w14:paraId="66935614" w14:textId="77777777" w:rsidR="00F05A26" w:rsidRDefault="00F05A26" w:rsidP="0090077A">
            <w:pPr>
              <w:spacing w:line="240" w:lineRule="auto"/>
              <w:rPr>
                <w:sz w:val="16"/>
                <w:szCs w:val="16"/>
              </w:rPr>
            </w:pPr>
            <w:r>
              <w:rPr>
                <w:sz w:val="16"/>
                <w:szCs w:val="16"/>
              </w:rPr>
              <w:t>Labelling and award incentives can increase the value to industry of participating in Climate Active using ACCUs.</w:t>
            </w:r>
            <w:r w:rsidRPr="005A6C68">
              <w:rPr>
                <w:sz w:val="16"/>
                <w:szCs w:val="16"/>
              </w:rPr>
              <w:t xml:space="preserve">  </w:t>
            </w:r>
          </w:p>
          <w:p w14:paraId="3D5A1B9A" w14:textId="77777777" w:rsidR="00F05A26" w:rsidRPr="005A6C68" w:rsidRDefault="00F05A26" w:rsidP="0090077A">
            <w:pPr>
              <w:spacing w:line="240" w:lineRule="auto"/>
              <w:rPr>
                <w:sz w:val="16"/>
                <w:szCs w:val="16"/>
              </w:rPr>
            </w:pPr>
          </w:p>
        </w:tc>
        <w:tc>
          <w:tcPr>
            <w:tcW w:w="2400" w:type="dxa"/>
          </w:tcPr>
          <w:p w14:paraId="44E1B0B9" w14:textId="77777777" w:rsidR="00F05A26" w:rsidRPr="005A6C68" w:rsidRDefault="00F05A26" w:rsidP="0090077A">
            <w:pPr>
              <w:spacing w:line="240" w:lineRule="auto"/>
              <w:rPr>
                <w:sz w:val="16"/>
                <w:szCs w:val="16"/>
              </w:rPr>
            </w:pPr>
            <w:r w:rsidRPr="005A6C68">
              <w:rPr>
                <w:sz w:val="16"/>
                <w:szCs w:val="16"/>
              </w:rPr>
              <w:t xml:space="preserve">May lead to increased abatement in Australia and </w:t>
            </w:r>
            <w:r>
              <w:rPr>
                <w:sz w:val="16"/>
                <w:szCs w:val="16"/>
              </w:rPr>
              <w:t xml:space="preserve">associated </w:t>
            </w:r>
            <w:r w:rsidRPr="005A6C68">
              <w:rPr>
                <w:sz w:val="16"/>
                <w:szCs w:val="16"/>
              </w:rPr>
              <w:t xml:space="preserve">co-benefits. </w:t>
            </w:r>
          </w:p>
        </w:tc>
        <w:tc>
          <w:tcPr>
            <w:tcW w:w="2117" w:type="dxa"/>
          </w:tcPr>
          <w:p w14:paraId="21457184" w14:textId="77777777" w:rsidR="00F05A26" w:rsidRPr="005A6C68" w:rsidRDefault="00F05A26" w:rsidP="0090077A">
            <w:pPr>
              <w:spacing w:line="240" w:lineRule="auto"/>
              <w:ind w:right="14"/>
              <w:rPr>
                <w:sz w:val="16"/>
                <w:szCs w:val="16"/>
              </w:rPr>
            </w:pPr>
            <w:r>
              <w:rPr>
                <w:sz w:val="16"/>
                <w:szCs w:val="16"/>
              </w:rPr>
              <w:t>Enhanced information on ACCU provenance and attributes p</w:t>
            </w:r>
            <w:r w:rsidRPr="005A6C68">
              <w:rPr>
                <w:sz w:val="16"/>
                <w:szCs w:val="16"/>
              </w:rPr>
              <w:t>rovides transparency and cho</w:t>
            </w:r>
            <w:r>
              <w:rPr>
                <w:sz w:val="16"/>
                <w:szCs w:val="16"/>
              </w:rPr>
              <w:t xml:space="preserve">ice for </w:t>
            </w:r>
            <w:r w:rsidRPr="005A6C68">
              <w:rPr>
                <w:sz w:val="16"/>
                <w:szCs w:val="16"/>
              </w:rPr>
              <w:t>consumers.</w:t>
            </w:r>
          </w:p>
          <w:p w14:paraId="0020934C" w14:textId="77777777" w:rsidR="00F05A26" w:rsidRPr="005A6C68" w:rsidRDefault="00F05A26" w:rsidP="0090077A">
            <w:pPr>
              <w:spacing w:line="240" w:lineRule="auto"/>
              <w:ind w:right="14"/>
              <w:rPr>
                <w:sz w:val="16"/>
                <w:szCs w:val="16"/>
              </w:rPr>
            </w:pPr>
          </w:p>
        </w:tc>
        <w:tc>
          <w:tcPr>
            <w:tcW w:w="1755" w:type="dxa"/>
          </w:tcPr>
          <w:p w14:paraId="7CBF82E1" w14:textId="77777777" w:rsidR="00F05A26" w:rsidRPr="005A6C68" w:rsidRDefault="00F05A26" w:rsidP="0090077A">
            <w:pPr>
              <w:spacing w:line="240" w:lineRule="auto"/>
              <w:rPr>
                <w:sz w:val="16"/>
                <w:szCs w:val="16"/>
              </w:rPr>
            </w:pPr>
            <w:r>
              <w:rPr>
                <w:sz w:val="16"/>
                <w:szCs w:val="16"/>
              </w:rPr>
              <w:t>Department</w:t>
            </w:r>
            <w:r>
              <w:rPr>
                <w:rFonts w:cs="Arial"/>
                <w:sz w:val="16"/>
                <w:szCs w:val="16"/>
              </w:rPr>
              <w:t xml:space="preserve"> of Industry, Science, Energy and Resources.</w:t>
            </w:r>
          </w:p>
        </w:tc>
      </w:tr>
      <w:tr w:rsidR="0022784B" w:rsidRPr="0022784B" w14:paraId="5447A42A" w14:textId="77777777" w:rsidTr="0022784B">
        <w:trPr>
          <w:cnfStyle w:val="000000100000" w:firstRow="0" w:lastRow="0" w:firstColumn="0" w:lastColumn="0" w:oddVBand="0" w:evenVBand="0" w:oddHBand="1" w:evenHBand="0" w:firstRowFirstColumn="0" w:firstRowLastColumn="0" w:lastRowFirstColumn="0" w:lastRowLastColumn="0"/>
          <w:trHeight w:val="227"/>
        </w:trPr>
        <w:tc>
          <w:tcPr>
            <w:tcW w:w="805" w:type="dxa"/>
            <w:shd w:val="clear" w:color="auto" w:fill="0070AE" w:themeFill="accent2" w:themeFillTint="BF"/>
          </w:tcPr>
          <w:p w14:paraId="6CEED4E9" w14:textId="77777777" w:rsidR="0022784B" w:rsidRPr="001C19F1" w:rsidRDefault="0022784B" w:rsidP="0022784B">
            <w:pPr>
              <w:spacing w:line="240" w:lineRule="auto"/>
              <w:rPr>
                <w:b/>
                <w:color w:val="FFFFFF" w:themeColor="background1"/>
                <w:sz w:val="16"/>
                <w:szCs w:val="16"/>
              </w:rPr>
            </w:pPr>
          </w:p>
        </w:tc>
        <w:tc>
          <w:tcPr>
            <w:tcW w:w="2724" w:type="dxa"/>
            <w:shd w:val="clear" w:color="auto" w:fill="0070AE" w:themeFill="accent2" w:themeFillTint="BF"/>
          </w:tcPr>
          <w:p w14:paraId="216AF1D9" w14:textId="77777777" w:rsidR="0022784B" w:rsidRPr="0022784B" w:rsidRDefault="0022784B" w:rsidP="0022784B">
            <w:pPr>
              <w:keepNext/>
              <w:rPr>
                <w:rFonts w:cs="Arial"/>
                <w:b/>
                <w:color w:val="FFFFFF" w:themeColor="background1"/>
                <w:sz w:val="16"/>
                <w:szCs w:val="16"/>
              </w:rPr>
            </w:pPr>
            <w:r w:rsidRPr="0022784B">
              <w:rPr>
                <w:b/>
                <w:color w:val="FFFFFF" w:themeColor="background1"/>
                <w:sz w:val="16"/>
                <w:szCs w:val="16"/>
              </w:rPr>
              <w:t>RECOMMENDATION</w:t>
            </w:r>
          </w:p>
        </w:tc>
        <w:tc>
          <w:tcPr>
            <w:tcW w:w="2542" w:type="dxa"/>
            <w:shd w:val="clear" w:color="auto" w:fill="0070AE" w:themeFill="accent2" w:themeFillTint="BF"/>
          </w:tcPr>
          <w:p w14:paraId="1ECCC768" w14:textId="77777777" w:rsidR="0022784B" w:rsidRPr="0022784B" w:rsidRDefault="0022784B" w:rsidP="0022784B">
            <w:pPr>
              <w:spacing w:line="240" w:lineRule="auto"/>
              <w:rPr>
                <w:b/>
                <w:color w:val="FFFFFF" w:themeColor="background1"/>
                <w:sz w:val="16"/>
                <w:szCs w:val="16"/>
              </w:rPr>
            </w:pPr>
            <w:r w:rsidRPr="0022784B">
              <w:rPr>
                <w:b/>
                <w:color w:val="FFFFFF" w:themeColor="background1"/>
                <w:sz w:val="16"/>
                <w:szCs w:val="16"/>
              </w:rPr>
              <w:t>ECONOMIC EFFICIENCY</w:t>
            </w:r>
          </w:p>
          <w:p w14:paraId="310AB5C0" w14:textId="77777777" w:rsidR="0022784B" w:rsidRPr="0022784B" w:rsidRDefault="0022784B" w:rsidP="0022784B">
            <w:pPr>
              <w:spacing w:line="240" w:lineRule="auto"/>
              <w:rPr>
                <w:b/>
                <w:color w:val="FFFFFF" w:themeColor="background1"/>
                <w:sz w:val="16"/>
                <w:szCs w:val="16"/>
              </w:rPr>
            </w:pPr>
            <w:r w:rsidRPr="0022784B">
              <w:rPr>
                <w:b/>
                <w:color w:val="FFFFFF" w:themeColor="background1"/>
                <w:sz w:val="16"/>
                <w:szCs w:val="16"/>
              </w:rPr>
              <w:t>Coats</w:t>
            </w:r>
          </w:p>
        </w:tc>
        <w:tc>
          <w:tcPr>
            <w:tcW w:w="2399" w:type="dxa"/>
            <w:shd w:val="clear" w:color="auto" w:fill="0070AE" w:themeFill="accent2" w:themeFillTint="BF"/>
          </w:tcPr>
          <w:p w14:paraId="02EB5FD8" w14:textId="77777777" w:rsidR="0022784B" w:rsidRPr="0022784B" w:rsidRDefault="0022784B" w:rsidP="0022784B">
            <w:pPr>
              <w:spacing w:line="240" w:lineRule="auto"/>
              <w:rPr>
                <w:b/>
                <w:color w:val="FFFFFF" w:themeColor="background1"/>
                <w:sz w:val="16"/>
                <w:szCs w:val="16"/>
              </w:rPr>
            </w:pPr>
          </w:p>
          <w:p w14:paraId="1AC893D3" w14:textId="77777777" w:rsidR="0022784B" w:rsidRPr="0022784B" w:rsidRDefault="0022784B" w:rsidP="0022784B">
            <w:pPr>
              <w:spacing w:line="240" w:lineRule="auto"/>
              <w:rPr>
                <w:b/>
                <w:color w:val="FFFFFF" w:themeColor="background1"/>
                <w:sz w:val="16"/>
                <w:szCs w:val="16"/>
              </w:rPr>
            </w:pPr>
            <w:r w:rsidRPr="0022784B">
              <w:rPr>
                <w:b/>
                <w:color w:val="FFFFFF" w:themeColor="background1"/>
                <w:sz w:val="16"/>
                <w:szCs w:val="16"/>
              </w:rPr>
              <w:t>Benefits</w:t>
            </w:r>
          </w:p>
        </w:tc>
        <w:tc>
          <w:tcPr>
            <w:tcW w:w="2400" w:type="dxa"/>
            <w:shd w:val="clear" w:color="auto" w:fill="0070AE" w:themeFill="accent2" w:themeFillTint="BF"/>
          </w:tcPr>
          <w:p w14:paraId="1BDBBB88" w14:textId="77777777" w:rsidR="0022784B" w:rsidRPr="0022784B" w:rsidRDefault="0022784B" w:rsidP="0022784B">
            <w:pPr>
              <w:spacing w:line="240" w:lineRule="auto"/>
              <w:rPr>
                <w:b/>
                <w:color w:val="FFFFFF" w:themeColor="background1"/>
                <w:sz w:val="16"/>
                <w:szCs w:val="16"/>
              </w:rPr>
            </w:pPr>
            <w:r w:rsidRPr="0022784B">
              <w:rPr>
                <w:b/>
                <w:color w:val="FFFFFF" w:themeColor="background1"/>
                <w:sz w:val="16"/>
                <w:szCs w:val="16"/>
              </w:rPr>
              <w:t>ENVIRONMENTAL EFFECTIVENESS</w:t>
            </w:r>
          </w:p>
        </w:tc>
        <w:tc>
          <w:tcPr>
            <w:tcW w:w="2117" w:type="dxa"/>
            <w:shd w:val="clear" w:color="auto" w:fill="0070AE" w:themeFill="accent2" w:themeFillTint="BF"/>
          </w:tcPr>
          <w:p w14:paraId="57B60B86" w14:textId="77777777" w:rsidR="0022784B" w:rsidRPr="0022784B" w:rsidRDefault="0022784B" w:rsidP="0022784B">
            <w:pPr>
              <w:spacing w:line="240" w:lineRule="auto"/>
              <w:ind w:right="14"/>
              <w:rPr>
                <w:b/>
                <w:color w:val="FFFFFF" w:themeColor="background1"/>
                <w:sz w:val="16"/>
                <w:szCs w:val="16"/>
              </w:rPr>
            </w:pPr>
            <w:r w:rsidRPr="0022784B">
              <w:rPr>
                <w:b/>
                <w:color w:val="FFFFFF" w:themeColor="background1"/>
                <w:sz w:val="16"/>
                <w:szCs w:val="16"/>
              </w:rPr>
              <w:t>EQUITY</w:t>
            </w:r>
          </w:p>
        </w:tc>
        <w:tc>
          <w:tcPr>
            <w:tcW w:w="1755" w:type="dxa"/>
            <w:gridSpan w:val="2"/>
            <w:shd w:val="clear" w:color="auto" w:fill="0070AE" w:themeFill="accent2" w:themeFillTint="BF"/>
          </w:tcPr>
          <w:p w14:paraId="7DE4F994" w14:textId="77777777" w:rsidR="0022784B" w:rsidRPr="0022784B" w:rsidRDefault="0022784B" w:rsidP="0022784B">
            <w:pPr>
              <w:spacing w:line="240" w:lineRule="auto"/>
              <w:rPr>
                <w:b/>
                <w:color w:val="FFFFFF" w:themeColor="background1"/>
                <w:sz w:val="16"/>
                <w:szCs w:val="16"/>
              </w:rPr>
            </w:pPr>
            <w:r w:rsidRPr="0022784B">
              <w:rPr>
                <w:b/>
                <w:color w:val="FFFFFF" w:themeColor="background1"/>
                <w:sz w:val="16"/>
                <w:szCs w:val="16"/>
              </w:rPr>
              <w:t>PROCESS</w:t>
            </w:r>
          </w:p>
        </w:tc>
      </w:tr>
      <w:tr w:rsidR="00F05A26" w:rsidRPr="00120E1B" w14:paraId="1FC362D0" w14:textId="77777777" w:rsidTr="0090077A">
        <w:trPr>
          <w:gridAfter w:val="1"/>
          <w:cnfStyle w:val="000000010000" w:firstRow="0" w:lastRow="0" w:firstColumn="0" w:lastColumn="0" w:oddVBand="0" w:evenVBand="0" w:oddHBand="0" w:evenHBand="1" w:firstRowFirstColumn="0" w:firstRowLastColumn="0" w:lastRowFirstColumn="0" w:lastRowLastColumn="0"/>
          <w:wAfter w:w="365" w:type="dxa"/>
          <w:trHeight w:val="2211"/>
        </w:trPr>
        <w:tc>
          <w:tcPr>
            <w:tcW w:w="805" w:type="dxa"/>
          </w:tcPr>
          <w:p w14:paraId="3A495189" w14:textId="77777777" w:rsidR="00F05A26" w:rsidRPr="00C20CBA" w:rsidRDefault="00F05A26" w:rsidP="0090077A">
            <w:pPr>
              <w:spacing w:line="240" w:lineRule="auto"/>
              <w:rPr>
                <w:b/>
                <w:sz w:val="16"/>
                <w:szCs w:val="16"/>
              </w:rPr>
            </w:pPr>
            <w:r w:rsidRPr="00C20CBA">
              <w:rPr>
                <w:b/>
                <w:sz w:val="16"/>
                <w:szCs w:val="16"/>
              </w:rPr>
              <w:t>R. 4</w:t>
            </w:r>
          </w:p>
        </w:tc>
        <w:tc>
          <w:tcPr>
            <w:tcW w:w="2724" w:type="dxa"/>
          </w:tcPr>
          <w:p w14:paraId="4FDC9EFC" w14:textId="5DCBFC1E" w:rsidR="00C9067D" w:rsidRPr="001D10CD" w:rsidRDefault="00C9067D" w:rsidP="00C9067D">
            <w:pPr>
              <w:rPr>
                <w:sz w:val="16"/>
                <w:szCs w:val="16"/>
              </w:rPr>
            </w:pPr>
            <w:r w:rsidRPr="001D10CD">
              <w:rPr>
                <w:sz w:val="16"/>
                <w:szCs w:val="16"/>
              </w:rPr>
              <w:t xml:space="preserve"> To facilitate innovative co-financing of ERF projects, particularly those with high upfront costs, the</w:t>
            </w:r>
            <w:r w:rsidRPr="00BA161A">
              <w:rPr>
                <w:rFonts w:cs="Arial"/>
                <w:sz w:val="16"/>
                <w:szCs w:val="16"/>
              </w:rPr>
              <w:t xml:space="preserve"> Regulator, CEFC and ARENA collaborate to align the ERF with the broader suite of Commonwealth, state and territory government climate initiatives and the growing sustainable private finance market</w:t>
            </w:r>
            <w:r w:rsidRPr="001D10CD">
              <w:rPr>
                <w:sz w:val="16"/>
                <w:szCs w:val="16"/>
              </w:rPr>
              <w:t xml:space="preserve">. </w:t>
            </w:r>
          </w:p>
          <w:p w14:paraId="29C9D62E" w14:textId="5284E89D" w:rsidR="00F05A26" w:rsidRPr="00BA161A" w:rsidRDefault="00F05A26" w:rsidP="0090077A">
            <w:pPr>
              <w:spacing w:line="240" w:lineRule="auto"/>
              <w:rPr>
                <w:rFonts w:eastAsia="Times New Roman"/>
                <w:sz w:val="16"/>
                <w:szCs w:val="16"/>
              </w:rPr>
            </w:pPr>
          </w:p>
        </w:tc>
        <w:tc>
          <w:tcPr>
            <w:tcW w:w="2542" w:type="dxa"/>
          </w:tcPr>
          <w:p w14:paraId="3F2A5B48" w14:textId="77777777" w:rsidR="00F05A26" w:rsidRPr="005A6C68" w:rsidRDefault="00F05A26" w:rsidP="0090077A">
            <w:pPr>
              <w:spacing w:line="240" w:lineRule="auto"/>
              <w:rPr>
                <w:sz w:val="16"/>
                <w:szCs w:val="16"/>
              </w:rPr>
            </w:pPr>
            <w:r>
              <w:rPr>
                <w:sz w:val="16"/>
                <w:szCs w:val="16"/>
              </w:rPr>
              <w:t xml:space="preserve">Small administrative cost to Regulator to coordinate with CEFC and ARENA. </w:t>
            </w:r>
          </w:p>
        </w:tc>
        <w:tc>
          <w:tcPr>
            <w:tcW w:w="2399" w:type="dxa"/>
          </w:tcPr>
          <w:p w14:paraId="56FCB850" w14:textId="77777777" w:rsidR="00F05A26" w:rsidRDefault="00F05A26" w:rsidP="0090077A">
            <w:pPr>
              <w:spacing w:line="240" w:lineRule="auto"/>
              <w:rPr>
                <w:sz w:val="16"/>
                <w:szCs w:val="16"/>
              </w:rPr>
            </w:pPr>
            <w:r>
              <w:rPr>
                <w:sz w:val="16"/>
                <w:szCs w:val="16"/>
              </w:rPr>
              <w:t xml:space="preserve">Increased efficiency and reduced costs to participants from greater alignment with finance market. </w:t>
            </w:r>
          </w:p>
          <w:p w14:paraId="3837C921" w14:textId="77777777" w:rsidR="00F05A26" w:rsidRDefault="00F05A26" w:rsidP="0090077A">
            <w:pPr>
              <w:spacing w:line="240" w:lineRule="auto"/>
              <w:rPr>
                <w:sz w:val="16"/>
                <w:szCs w:val="16"/>
              </w:rPr>
            </w:pPr>
          </w:p>
          <w:p w14:paraId="4F2BB853" w14:textId="77777777" w:rsidR="00F05A26" w:rsidRDefault="00F05A26" w:rsidP="0090077A">
            <w:pPr>
              <w:spacing w:line="240" w:lineRule="auto"/>
              <w:rPr>
                <w:sz w:val="16"/>
                <w:szCs w:val="16"/>
              </w:rPr>
            </w:pPr>
            <w:r>
              <w:rPr>
                <w:sz w:val="16"/>
                <w:szCs w:val="16"/>
              </w:rPr>
              <w:t>Better aligns funding incentives to industry across the economy.</w:t>
            </w:r>
          </w:p>
          <w:p w14:paraId="5B4B30FA" w14:textId="77777777" w:rsidR="00F05A26" w:rsidRPr="005A6C68" w:rsidRDefault="00F05A26" w:rsidP="0090077A">
            <w:pPr>
              <w:spacing w:line="240" w:lineRule="auto"/>
              <w:rPr>
                <w:sz w:val="16"/>
                <w:szCs w:val="16"/>
              </w:rPr>
            </w:pPr>
          </w:p>
        </w:tc>
        <w:tc>
          <w:tcPr>
            <w:tcW w:w="2400" w:type="dxa"/>
          </w:tcPr>
          <w:p w14:paraId="6EA2C514" w14:textId="77777777" w:rsidR="00F05A26" w:rsidRPr="005A6C68" w:rsidRDefault="00F05A26" w:rsidP="0090077A">
            <w:pPr>
              <w:spacing w:line="240" w:lineRule="auto"/>
              <w:rPr>
                <w:sz w:val="16"/>
                <w:szCs w:val="16"/>
              </w:rPr>
            </w:pPr>
            <w:r>
              <w:rPr>
                <w:sz w:val="16"/>
                <w:szCs w:val="16"/>
              </w:rPr>
              <w:t>Effective financing support for projects with upfront costs can lead to more ERF projects and abatement.</w:t>
            </w:r>
          </w:p>
        </w:tc>
        <w:tc>
          <w:tcPr>
            <w:tcW w:w="2117" w:type="dxa"/>
          </w:tcPr>
          <w:p w14:paraId="756F7D6F" w14:textId="77777777" w:rsidR="00F05A26" w:rsidRPr="005A6C68" w:rsidRDefault="00F05A26" w:rsidP="0090077A">
            <w:pPr>
              <w:spacing w:line="240" w:lineRule="auto"/>
              <w:ind w:right="14"/>
              <w:rPr>
                <w:sz w:val="16"/>
                <w:szCs w:val="16"/>
              </w:rPr>
            </w:pPr>
            <w:r>
              <w:rPr>
                <w:sz w:val="16"/>
                <w:szCs w:val="16"/>
              </w:rPr>
              <w:t>NA</w:t>
            </w:r>
          </w:p>
        </w:tc>
        <w:tc>
          <w:tcPr>
            <w:tcW w:w="1755" w:type="dxa"/>
          </w:tcPr>
          <w:p w14:paraId="512BFE30" w14:textId="77777777" w:rsidR="00F05A26" w:rsidRPr="005A6C68" w:rsidRDefault="00F05A26" w:rsidP="0090077A">
            <w:pPr>
              <w:spacing w:line="240" w:lineRule="auto"/>
              <w:rPr>
                <w:sz w:val="16"/>
                <w:szCs w:val="16"/>
              </w:rPr>
            </w:pPr>
            <w:r>
              <w:rPr>
                <w:sz w:val="16"/>
                <w:szCs w:val="16"/>
              </w:rPr>
              <w:t>Regulator/ CEFC/ ARENA.</w:t>
            </w:r>
          </w:p>
        </w:tc>
      </w:tr>
      <w:tr w:rsidR="00F05A26" w:rsidRPr="00120E1B" w14:paraId="5859489F" w14:textId="77777777" w:rsidTr="0090077A">
        <w:trPr>
          <w:gridAfter w:val="1"/>
          <w:cnfStyle w:val="000000100000" w:firstRow="0" w:lastRow="0" w:firstColumn="0" w:lastColumn="0" w:oddVBand="0" w:evenVBand="0" w:oddHBand="1" w:evenHBand="0" w:firstRowFirstColumn="0" w:firstRowLastColumn="0" w:lastRowFirstColumn="0" w:lastRowLastColumn="0"/>
          <w:wAfter w:w="365" w:type="dxa"/>
          <w:trHeight w:val="20"/>
        </w:trPr>
        <w:tc>
          <w:tcPr>
            <w:tcW w:w="805" w:type="dxa"/>
          </w:tcPr>
          <w:p w14:paraId="25B28434" w14:textId="77777777" w:rsidR="00F05A26" w:rsidRPr="00C20CBA" w:rsidRDefault="00F05A26" w:rsidP="0090077A">
            <w:pPr>
              <w:spacing w:line="240" w:lineRule="auto"/>
              <w:rPr>
                <w:b/>
                <w:sz w:val="16"/>
                <w:szCs w:val="16"/>
              </w:rPr>
            </w:pPr>
            <w:r w:rsidRPr="00C20CBA">
              <w:rPr>
                <w:b/>
                <w:sz w:val="16"/>
                <w:szCs w:val="16"/>
              </w:rPr>
              <w:t>R. 5</w:t>
            </w:r>
          </w:p>
        </w:tc>
        <w:tc>
          <w:tcPr>
            <w:tcW w:w="2724" w:type="dxa"/>
          </w:tcPr>
          <w:p w14:paraId="4AAE6BF4" w14:textId="48611F32" w:rsidR="00C9067D" w:rsidRPr="001D10CD" w:rsidRDefault="00C9067D" w:rsidP="00C9067D">
            <w:pPr>
              <w:rPr>
                <w:rFonts w:cs="Arial"/>
                <w:sz w:val="16"/>
                <w:szCs w:val="16"/>
              </w:rPr>
            </w:pPr>
            <w:r w:rsidRPr="001D10CD">
              <w:rPr>
                <w:rFonts w:cs="Arial"/>
                <w:sz w:val="16"/>
                <w:szCs w:val="16"/>
              </w:rPr>
              <w:t xml:space="preserve"> To facilitate market certainty and encourage industry participation, publish a statement of priority emissions reduction activities for method development, in conjunction with the annual Low Emissions Technology Statement.</w:t>
            </w:r>
          </w:p>
          <w:p w14:paraId="20703D58" w14:textId="77777777" w:rsidR="00C9067D" w:rsidRPr="001D10CD" w:rsidRDefault="00C9067D" w:rsidP="00C9067D">
            <w:pPr>
              <w:rPr>
                <w:rFonts w:cs="Arial"/>
                <w:sz w:val="16"/>
                <w:szCs w:val="16"/>
              </w:rPr>
            </w:pPr>
          </w:p>
          <w:p w14:paraId="27E21702" w14:textId="16E562CF" w:rsidR="00C9067D" w:rsidRPr="00BA161A" w:rsidRDefault="00C9067D" w:rsidP="00C9067D">
            <w:pPr>
              <w:rPr>
                <w:rFonts w:cs="Arial"/>
                <w:sz w:val="16"/>
                <w:szCs w:val="16"/>
              </w:rPr>
            </w:pPr>
            <w:r w:rsidRPr="00BA161A">
              <w:rPr>
                <w:rFonts w:cs="Arial"/>
                <w:sz w:val="16"/>
                <w:szCs w:val="16"/>
              </w:rPr>
              <w:t>For each prioritised activity</w:t>
            </w:r>
            <w:r w:rsidRPr="001D10CD">
              <w:rPr>
                <w:rFonts w:cs="Arial"/>
                <w:sz w:val="16"/>
                <w:szCs w:val="16"/>
              </w:rPr>
              <w:t>,</w:t>
            </w:r>
            <w:r w:rsidRPr="00C9067D">
              <w:rPr>
                <w:rFonts w:cs="Arial"/>
                <w:sz w:val="16"/>
                <w:szCs w:val="16"/>
              </w:rPr>
              <w:t xml:space="preserve"> the statement should reference</w:t>
            </w:r>
            <w:r w:rsidRPr="00BA161A">
              <w:rPr>
                <w:rFonts w:cs="Arial"/>
                <w:sz w:val="16"/>
                <w:szCs w:val="16"/>
              </w:rPr>
              <w:t xml:space="preserve"> considerations for prioritising activities as set out in the published document </w:t>
            </w:r>
            <w:r w:rsidRPr="00BA161A">
              <w:rPr>
                <w:rFonts w:cs="Arial"/>
                <w:i/>
                <w:sz w:val="16"/>
                <w:szCs w:val="16"/>
              </w:rPr>
              <w:t>Making methods under the ERF</w:t>
            </w:r>
            <w:r w:rsidRPr="00BA161A">
              <w:rPr>
                <w:rFonts w:cs="Arial"/>
                <w:sz w:val="16"/>
                <w:szCs w:val="16"/>
              </w:rPr>
              <w:t>, namely</w:t>
            </w:r>
            <w:r w:rsidRPr="00C9067D">
              <w:rPr>
                <w:rFonts w:cs="Arial"/>
                <w:sz w:val="16"/>
                <w:szCs w:val="16"/>
              </w:rPr>
              <w:t xml:space="preserve">: </w:t>
            </w:r>
          </w:p>
          <w:p w14:paraId="27997FD8" w14:textId="77777777" w:rsidR="00C9067D" w:rsidRPr="00BA161A" w:rsidRDefault="00C9067D" w:rsidP="00C9067D">
            <w:pPr>
              <w:numPr>
                <w:ilvl w:val="0"/>
                <w:numId w:val="17"/>
              </w:numPr>
              <w:contextualSpacing/>
              <w:rPr>
                <w:rFonts w:cs="Arial"/>
                <w:sz w:val="16"/>
                <w:szCs w:val="16"/>
              </w:rPr>
            </w:pPr>
            <w:r w:rsidRPr="00BA161A">
              <w:rPr>
                <w:rFonts w:cs="Arial"/>
                <w:sz w:val="16"/>
                <w:szCs w:val="16"/>
              </w:rPr>
              <w:t>potential uptake of the activity and likely volume of abatement</w:t>
            </w:r>
          </w:p>
          <w:p w14:paraId="46CA4C52" w14:textId="77777777" w:rsidR="00C9067D" w:rsidRPr="00BA161A" w:rsidRDefault="00C9067D" w:rsidP="00C9067D">
            <w:pPr>
              <w:numPr>
                <w:ilvl w:val="0"/>
                <w:numId w:val="17"/>
              </w:numPr>
              <w:contextualSpacing/>
              <w:rPr>
                <w:rFonts w:cs="Arial"/>
                <w:sz w:val="16"/>
                <w:szCs w:val="16"/>
              </w:rPr>
            </w:pPr>
            <w:r w:rsidRPr="00BA161A">
              <w:rPr>
                <w:rFonts w:cs="Arial"/>
                <w:sz w:val="16"/>
                <w:szCs w:val="16"/>
              </w:rPr>
              <w:t>whether the activity is technology proven and commercially ready</w:t>
            </w:r>
          </w:p>
          <w:p w14:paraId="59DED13C" w14:textId="77777777" w:rsidR="00C9067D" w:rsidRPr="00BA161A" w:rsidRDefault="00C9067D" w:rsidP="00C9067D">
            <w:pPr>
              <w:numPr>
                <w:ilvl w:val="0"/>
                <w:numId w:val="17"/>
              </w:numPr>
              <w:contextualSpacing/>
              <w:rPr>
                <w:rFonts w:cs="Arial"/>
                <w:sz w:val="16"/>
                <w:szCs w:val="16"/>
              </w:rPr>
            </w:pPr>
            <w:r w:rsidRPr="00BA161A">
              <w:rPr>
                <w:rFonts w:cs="Arial"/>
                <w:sz w:val="16"/>
                <w:szCs w:val="16"/>
              </w:rPr>
              <w:t>whether emissions reductions could be estimated with a reasonable degree of certainty in a cost-effective way</w:t>
            </w:r>
          </w:p>
          <w:p w14:paraId="540DD6C5" w14:textId="77777777" w:rsidR="00C9067D" w:rsidRPr="00BA161A" w:rsidRDefault="00C9067D" w:rsidP="00C9067D">
            <w:pPr>
              <w:numPr>
                <w:ilvl w:val="0"/>
                <w:numId w:val="17"/>
              </w:numPr>
              <w:contextualSpacing/>
              <w:rPr>
                <w:rFonts w:cs="Arial"/>
                <w:sz w:val="16"/>
                <w:szCs w:val="16"/>
              </w:rPr>
            </w:pPr>
            <w:r w:rsidRPr="00BA161A">
              <w:rPr>
                <w:rFonts w:cs="Arial"/>
                <w:sz w:val="16"/>
                <w:szCs w:val="16"/>
              </w:rPr>
              <w:t>whether the activity could have adverse social, environmental or economic impacts</w:t>
            </w:r>
          </w:p>
          <w:p w14:paraId="31F51397" w14:textId="77777777" w:rsidR="00C9067D" w:rsidRPr="00BA161A" w:rsidRDefault="00C9067D" w:rsidP="00C9067D">
            <w:pPr>
              <w:numPr>
                <w:ilvl w:val="0"/>
                <w:numId w:val="17"/>
              </w:numPr>
              <w:contextualSpacing/>
              <w:rPr>
                <w:rFonts w:cs="Arial"/>
                <w:sz w:val="16"/>
                <w:szCs w:val="16"/>
              </w:rPr>
            </w:pPr>
            <w:r w:rsidRPr="00BA161A">
              <w:rPr>
                <w:rFonts w:cs="Arial"/>
                <w:sz w:val="16"/>
                <w:szCs w:val="16"/>
              </w:rPr>
              <w:t>alternative ways to promote the activity more effectively and efficiently</w:t>
            </w:r>
          </w:p>
          <w:p w14:paraId="21FD6166" w14:textId="77777777" w:rsidR="00C9067D" w:rsidRPr="00BA161A" w:rsidRDefault="00C9067D" w:rsidP="00C9067D">
            <w:pPr>
              <w:rPr>
                <w:rFonts w:cs="Arial"/>
                <w:sz w:val="16"/>
                <w:szCs w:val="16"/>
              </w:rPr>
            </w:pPr>
          </w:p>
          <w:p w14:paraId="108E3BDB" w14:textId="77777777" w:rsidR="00F05A26" w:rsidRDefault="00C9067D" w:rsidP="001D10CD">
            <w:pPr>
              <w:rPr>
                <w:rFonts w:eastAsiaTheme="minorHAnsi" w:cs="Arial"/>
                <w:sz w:val="16"/>
                <w:szCs w:val="16"/>
                <w:lang w:eastAsia="en-US"/>
              </w:rPr>
            </w:pPr>
            <w:r w:rsidRPr="00BA161A">
              <w:rPr>
                <w:rFonts w:eastAsiaTheme="minorHAnsi" w:cs="Arial"/>
                <w:sz w:val="16"/>
                <w:szCs w:val="16"/>
                <w:lang w:eastAsia="en-US"/>
              </w:rPr>
              <w:t>The publication of the statement of priorities be preceded by a formal consultation process for stakeholders to be able to recommend priority activities to the Minister.</w:t>
            </w:r>
          </w:p>
          <w:p w14:paraId="3B9B0412" w14:textId="77777777" w:rsidR="00F05A26" w:rsidRPr="00BA161A" w:rsidRDefault="00F05A26" w:rsidP="0090077A">
            <w:pPr>
              <w:rPr>
                <w:sz w:val="16"/>
                <w:szCs w:val="16"/>
              </w:rPr>
            </w:pPr>
          </w:p>
        </w:tc>
        <w:tc>
          <w:tcPr>
            <w:tcW w:w="2542" w:type="dxa"/>
          </w:tcPr>
          <w:p w14:paraId="44F7F344" w14:textId="77777777" w:rsidR="00F05A26" w:rsidRPr="00120E1B" w:rsidRDefault="00F05A26" w:rsidP="0090077A">
            <w:pPr>
              <w:spacing w:line="240" w:lineRule="auto"/>
              <w:rPr>
                <w:sz w:val="16"/>
                <w:szCs w:val="16"/>
              </w:rPr>
            </w:pPr>
            <w:r>
              <w:rPr>
                <w:rFonts w:cs="Arial"/>
                <w:sz w:val="16"/>
                <w:szCs w:val="16"/>
              </w:rPr>
              <w:t>Small increase in administrative costs to the Department.</w:t>
            </w:r>
          </w:p>
        </w:tc>
        <w:tc>
          <w:tcPr>
            <w:tcW w:w="2399" w:type="dxa"/>
          </w:tcPr>
          <w:p w14:paraId="773C518A" w14:textId="77777777" w:rsidR="00F05A26" w:rsidRPr="005A6C68" w:rsidRDefault="00F05A26" w:rsidP="0090077A">
            <w:pPr>
              <w:spacing w:line="240" w:lineRule="auto"/>
              <w:rPr>
                <w:rFonts w:cs="Arial"/>
                <w:sz w:val="16"/>
                <w:szCs w:val="16"/>
              </w:rPr>
            </w:pPr>
            <w:r>
              <w:rPr>
                <w:rFonts w:cs="Arial"/>
                <w:sz w:val="16"/>
                <w:szCs w:val="16"/>
              </w:rPr>
              <w:t xml:space="preserve">Effective prioritisation and input from stakeholders will </w:t>
            </w:r>
            <w:r w:rsidRPr="005A6C68">
              <w:rPr>
                <w:rFonts w:cs="Arial"/>
                <w:sz w:val="16"/>
                <w:szCs w:val="16"/>
              </w:rPr>
              <w:t xml:space="preserve">ensure efficient allocation of resources in method development. </w:t>
            </w:r>
          </w:p>
          <w:p w14:paraId="6011132B" w14:textId="77777777" w:rsidR="00F05A26" w:rsidRPr="00B97972" w:rsidRDefault="00F05A26" w:rsidP="0090077A">
            <w:pPr>
              <w:spacing w:line="240" w:lineRule="auto"/>
              <w:rPr>
                <w:color w:val="808080"/>
                <w:sz w:val="16"/>
                <w:szCs w:val="16"/>
              </w:rPr>
            </w:pPr>
            <w:r w:rsidRPr="00B97972">
              <w:rPr>
                <w:rFonts w:eastAsiaTheme="minorHAnsi" w:cs="Arial"/>
                <w:sz w:val="16"/>
                <w:szCs w:val="16"/>
                <w:lang w:eastAsia="en-US"/>
              </w:rPr>
              <w:t xml:space="preserve"> </w:t>
            </w:r>
          </w:p>
          <w:p w14:paraId="0A19322A" w14:textId="77777777" w:rsidR="00F05A26" w:rsidRPr="00B97972" w:rsidRDefault="00F05A26" w:rsidP="0090077A">
            <w:pPr>
              <w:spacing w:line="240" w:lineRule="auto"/>
              <w:rPr>
                <w:color w:val="808080"/>
                <w:sz w:val="16"/>
                <w:szCs w:val="16"/>
              </w:rPr>
            </w:pPr>
          </w:p>
          <w:p w14:paraId="03A62B0F" w14:textId="77777777" w:rsidR="00F05A26" w:rsidRPr="00120E1B" w:rsidRDefault="00F05A26" w:rsidP="0090077A">
            <w:pPr>
              <w:spacing w:line="240" w:lineRule="auto"/>
              <w:rPr>
                <w:sz w:val="16"/>
                <w:szCs w:val="16"/>
              </w:rPr>
            </w:pPr>
          </w:p>
        </w:tc>
        <w:tc>
          <w:tcPr>
            <w:tcW w:w="2400" w:type="dxa"/>
          </w:tcPr>
          <w:p w14:paraId="18CEA1F6" w14:textId="77777777" w:rsidR="00F05A26" w:rsidRPr="00120E1B" w:rsidRDefault="00F05A26" w:rsidP="0090077A">
            <w:pPr>
              <w:spacing w:line="240" w:lineRule="auto"/>
              <w:rPr>
                <w:sz w:val="16"/>
                <w:szCs w:val="16"/>
              </w:rPr>
            </w:pPr>
            <w:r>
              <w:rPr>
                <w:rFonts w:cs="Arial"/>
                <w:sz w:val="16"/>
                <w:szCs w:val="16"/>
              </w:rPr>
              <w:t>May lead to increased abatement through new methods being better aligned with market opportunities.</w:t>
            </w:r>
          </w:p>
        </w:tc>
        <w:tc>
          <w:tcPr>
            <w:tcW w:w="2117" w:type="dxa"/>
          </w:tcPr>
          <w:p w14:paraId="4A282718" w14:textId="77777777" w:rsidR="00F05A26" w:rsidRPr="00120E1B" w:rsidRDefault="00F05A26" w:rsidP="0090077A">
            <w:pPr>
              <w:spacing w:line="240" w:lineRule="auto"/>
              <w:rPr>
                <w:sz w:val="16"/>
                <w:szCs w:val="16"/>
              </w:rPr>
            </w:pPr>
            <w:r>
              <w:rPr>
                <w:sz w:val="16"/>
                <w:szCs w:val="16"/>
              </w:rPr>
              <w:t xml:space="preserve">Ensures fair process for stakeholder input to method prioritisation.  </w:t>
            </w:r>
          </w:p>
        </w:tc>
        <w:tc>
          <w:tcPr>
            <w:tcW w:w="1755" w:type="dxa"/>
          </w:tcPr>
          <w:p w14:paraId="01709D90" w14:textId="77777777" w:rsidR="00F05A26" w:rsidRPr="00120E1B" w:rsidRDefault="00F05A26" w:rsidP="0090077A">
            <w:pPr>
              <w:spacing w:line="240" w:lineRule="auto"/>
              <w:rPr>
                <w:sz w:val="16"/>
                <w:szCs w:val="16"/>
              </w:rPr>
            </w:pPr>
            <w:r w:rsidRPr="005A6C68">
              <w:rPr>
                <w:sz w:val="16"/>
                <w:szCs w:val="16"/>
              </w:rPr>
              <w:t xml:space="preserve">Department </w:t>
            </w:r>
            <w:r>
              <w:rPr>
                <w:rFonts w:cs="Arial"/>
                <w:sz w:val="16"/>
                <w:szCs w:val="16"/>
              </w:rPr>
              <w:t>of Industry, Science, Energy and Resources.</w:t>
            </w:r>
          </w:p>
        </w:tc>
      </w:tr>
      <w:tr w:rsidR="00E93CBF" w:rsidRPr="00120E1B" w14:paraId="6A5C3D9B" w14:textId="77777777" w:rsidTr="00E93CBF">
        <w:trPr>
          <w:cnfStyle w:val="000000010000" w:firstRow="0" w:lastRow="0" w:firstColumn="0" w:lastColumn="0" w:oddVBand="0" w:evenVBand="0" w:oddHBand="0" w:evenHBand="1" w:firstRowFirstColumn="0" w:firstRowLastColumn="0" w:lastRowFirstColumn="0" w:lastRowLastColumn="0"/>
          <w:trHeight w:val="20"/>
        </w:trPr>
        <w:tc>
          <w:tcPr>
            <w:tcW w:w="805" w:type="dxa"/>
            <w:shd w:val="clear" w:color="auto" w:fill="0070AE" w:themeFill="accent2" w:themeFillTint="BF"/>
          </w:tcPr>
          <w:p w14:paraId="094759EC" w14:textId="2650FB8C" w:rsidR="00E93CBF" w:rsidRPr="00C20CBA" w:rsidRDefault="00E93CBF" w:rsidP="00E93CBF">
            <w:pPr>
              <w:spacing w:line="240" w:lineRule="auto"/>
              <w:rPr>
                <w:b/>
                <w:sz w:val="16"/>
                <w:szCs w:val="16"/>
              </w:rPr>
            </w:pPr>
          </w:p>
        </w:tc>
        <w:tc>
          <w:tcPr>
            <w:tcW w:w="2724" w:type="dxa"/>
            <w:shd w:val="clear" w:color="auto" w:fill="0070AE" w:themeFill="accent2" w:themeFillTint="BF"/>
          </w:tcPr>
          <w:p w14:paraId="11516B02" w14:textId="2DA773C3" w:rsidR="00E93CBF" w:rsidRPr="001D10CD" w:rsidRDefault="00E93CBF" w:rsidP="00E93CBF">
            <w:pPr>
              <w:rPr>
                <w:rFonts w:cs="Arial"/>
                <w:sz w:val="16"/>
                <w:szCs w:val="16"/>
              </w:rPr>
            </w:pPr>
            <w:r w:rsidRPr="0022784B">
              <w:rPr>
                <w:b/>
                <w:color w:val="FFFFFF" w:themeColor="background1"/>
                <w:sz w:val="16"/>
                <w:szCs w:val="16"/>
              </w:rPr>
              <w:t>RECOMMENDATION</w:t>
            </w:r>
          </w:p>
        </w:tc>
        <w:tc>
          <w:tcPr>
            <w:tcW w:w="2542" w:type="dxa"/>
            <w:shd w:val="clear" w:color="auto" w:fill="0070AE" w:themeFill="accent2" w:themeFillTint="BF"/>
          </w:tcPr>
          <w:p w14:paraId="0C10DBA1" w14:textId="77777777" w:rsidR="00E93CBF" w:rsidRPr="0022784B" w:rsidRDefault="00E93CBF" w:rsidP="00E93CBF">
            <w:pPr>
              <w:spacing w:line="240" w:lineRule="auto"/>
              <w:rPr>
                <w:b/>
                <w:color w:val="FFFFFF" w:themeColor="background1"/>
                <w:sz w:val="16"/>
                <w:szCs w:val="16"/>
              </w:rPr>
            </w:pPr>
            <w:r w:rsidRPr="0022784B">
              <w:rPr>
                <w:b/>
                <w:color w:val="FFFFFF" w:themeColor="background1"/>
                <w:sz w:val="16"/>
                <w:szCs w:val="16"/>
              </w:rPr>
              <w:t>ECONOMIC EFFICIENCY</w:t>
            </w:r>
          </w:p>
          <w:p w14:paraId="7B82EF02" w14:textId="7DC67684" w:rsidR="00E93CBF" w:rsidRDefault="00E93CBF" w:rsidP="00E93CBF">
            <w:pPr>
              <w:spacing w:line="240" w:lineRule="auto"/>
              <w:rPr>
                <w:rFonts w:cs="Arial"/>
                <w:sz w:val="16"/>
                <w:szCs w:val="16"/>
              </w:rPr>
            </w:pPr>
            <w:r w:rsidRPr="0022784B">
              <w:rPr>
                <w:b/>
                <w:color w:val="FFFFFF" w:themeColor="background1"/>
                <w:sz w:val="16"/>
                <w:szCs w:val="16"/>
              </w:rPr>
              <w:t>Coats</w:t>
            </w:r>
          </w:p>
        </w:tc>
        <w:tc>
          <w:tcPr>
            <w:tcW w:w="2399" w:type="dxa"/>
            <w:shd w:val="clear" w:color="auto" w:fill="0070AE" w:themeFill="accent2" w:themeFillTint="BF"/>
          </w:tcPr>
          <w:p w14:paraId="41BDADA6" w14:textId="77777777" w:rsidR="00E93CBF" w:rsidRPr="0022784B" w:rsidRDefault="00E93CBF" w:rsidP="00E93CBF">
            <w:pPr>
              <w:spacing w:line="240" w:lineRule="auto"/>
              <w:rPr>
                <w:b/>
                <w:color w:val="FFFFFF" w:themeColor="background1"/>
                <w:sz w:val="16"/>
                <w:szCs w:val="16"/>
              </w:rPr>
            </w:pPr>
          </w:p>
          <w:p w14:paraId="69182446" w14:textId="24BB9159" w:rsidR="00E93CBF" w:rsidRDefault="00E93CBF" w:rsidP="00E93CBF">
            <w:pPr>
              <w:spacing w:line="240" w:lineRule="auto"/>
              <w:rPr>
                <w:rFonts w:cs="Arial"/>
                <w:sz w:val="16"/>
                <w:szCs w:val="16"/>
              </w:rPr>
            </w:pPr>
            <w:r w:rsidRPr="0022784B">
              <w:rPr>
                <w:b/>
                <w:color w:val="FFFFFF" w:themeColor="background1"/>
                <w:sz w:val="16"/>
                <w:szCs w:val="16"/>
              </w:rPr>
              <w:t>Benefits</w:t>
            </w:r>
          </w:p>
        </w:tc>
        <w:tc>
          <w:tcPr>
            <w:tcW w:w="2400" w:type="dxa"/>
            <w:shd w:val="clear" w:color="auto" w:fill="0070AE" w:themeFill="accent2" w:themeFillTint="BF"/>
          </w:tcPr>
          <w:p w14:paraId="5E3477B5" w14:textId="4AC3C737" w:rsidR="00E93CBF" w:rsidRDefault="00E93CBF" w:rsidP="00E93CBF">
            <w:pPr>
              <w:spacing w:line="240" w:lineRule="auto"/>
              <w:rPr>
                <w:rFonts w:cs="Arial"/>
                <w:sz w:val="16"/>
                <w:szCs w:val="16"/>
              </w:rPr>
            </w:pPr>
            <w:r w:rsidRPr="0022784B">
              <w:rPr>
                <w:b/>
                <w:color w:val="FFFFFF" w:themeColor="background1"/>
                <w:sz w:val="16"/>
                <w:szCs w:val="16"/>
              </w:rPr>
              <w:t>ENVIRONMENTAL EFFECTIVENESS</w:t>
            </w:r>
          </w:p>
        </w:tc>
        <w:tc>
          <w:tcPr>
            <w:tcW w:w="2117" w:type="dxa"/>
            <w:shd w:val="clear" w:color="auto" w:fill="0070AE" w:themeFill="accent2" w:themeFillTint="BF"/>
          </w:tcPr>
          <w:p w14:paraId="1DE13246" w14:textId="53BE788C" w:rsidR="00E93CBF" w:rsidRDefault="00E93CBF" w:rsidP="00E93CBF">
            <w:pPr>
              <w:spacing w:line="240" w:lineRule="auto"/>
              <w:rPr>
                <w:sz w:val="16"/>
                <w:szCs w:val="16"/>
              </w:rPr>
            </w:pPr>
            <w:r w:rsidRPr="0022784B">
              <w:rPr>
                <w:b/>
                <w:color w:val="FFFFFF" w:themeColor="background1"/>
                <w:sz w:val="16"/>
                <w:szCs w:val="16"/>
              </w:rPr>
              <w:t>EQUITY</w:t>
            </w:r>
          </w:p>
        </w:tc>
        <w:tc>
          <w:tcPr>
            <w:tcW w:w="1755" w:type="dxa"/>
            <w:gridSpan w:val="2"/>
            <w:shd w:val="clear" w:color="auto" w:fill="0070AE" w:themeFill="accent2" w:themeFillTint="BF"/>
          </w:tcPr>
          <w:p w14:paraId="635260E6" w14:textId="35C3744A" w:rsidR="00E93CBF" w:rsidRPr="005A6C68" w:rsidRDefault="00E93CBF" w:rsidP="00E93CBF">
            <w:pPr>
              <w:spacing w:line="240" w:lineRule="auto"/>
              <w:rPr>
                <w:sz w:val="16"/>
                <w:szCs w:val="16"/>
              </w:rPr>
            </w:pPr>
            <w:r w:rsidRPr="0022784B">
              <w:rPr>
                <w:b/>
                <w:color w:val="FFFFFF" w:themeColor="background1"/>
                <w:sz w:val="16"/>
                <w:szCs w:val="16"/>
              </w:rPr>
              <w:t>PROCESS</w:t>
            </w:r>
          </w:p>
        </w:tc>
      </w:tr>
      <w:tr w:rsidR="00F05A26" w:rsidRPr="00120E1B" w14:paraId="0568A2F2" w14:textId="77777777" w:rsidTr="0090077A">
        <w:trPr>
          <w:gridAfter w:val="1"/>
          <w:cnfStyle w:val="000000100000" w:firstRow="0" w:lastRow="0" w:firstColumn="0" w:lastColumn="0" w:oddVBand="0" w:evenVBand="0" w:oddHBand="1" w:evenHBand="0" w:firstRowFirstColumn="0" w:firstRowLastColumn="0" w:lastRowFirstColumn="0" w:lastRowLastColumn="0"/>
          <w:wAfter w:w="365" w:type="dxa"/>
          <w:trHeight w:val="227"/>
        </w:trPr>
        <w:tc>
          <w:tcPr>
            <w:tcW w:w="805" w:type="dxa"/>
          </w:tcPr>
          <w:p w14:paraId="7443D526" w14:textId="3E4158CB" w:rsidR="00F05A26" w:rsidRPr="00C20CBA" w:rsidRDefault="00F05A26" w:rsidP="0090077A">
            <w:pPr>
              <w:spacing w:line="240" w:lineRule="auto"/>
              <w:rPr>
                <w:b/>
                <w:sz w:val="16"/>
                <w:szCs w:val="16"/>
              </w:rPr>
            </w:pPr>
            <w:r w:rsidRPr="00C20CBA">
              <w:rPr>
                <w:b/>
                <w:sz w:val="16"/>
                <w:szCs w:val="16"/>
              </w:rPr>
              <w:t>R. 6</w:t>
            </w:r>
            <w:r w:rsidR="00DF0433">
              <w:rPr>
                <w:b/>
                <w:sz w:val="16"/>
                <w:szCs w:val="16"/>
              </w:rPr>
              <w:t xml:space="preserve"> and 7.</w:t>
            </w:r>
          </w:p>
        </w:tc>
        <w:tc>
          <w:tcPr>
            <w:tcW w:w="2724" w:type="dxa"/>
          </w:tcPr>
          <w:p w14:paraId="6BF84C1E" w14:textId="2C64AD93" w:rsidR="00DF0433" w:rsidRDefault="00DF0433" w:rsidP="001D10CD">
            <w:pPr>
              <w:pStyle w:val="CommentText"/>
              <w:rPr>
                <w:sz w:val="16"/>
                <w:szCs w:val="16"/>
              </w:rPr>
            </w:pPr>
            <w:r>
              <w:t xml:space="preserve"> </w:t>
            </w:r>
            <w:r w:rsidRPr="001D10CD">
              <w:rPr>
                <w:sz w:val="16"/>
                <w:szCs w:val="16"/>
              </w:rPr>
              <w:t>To inform and enhance its actions to reduce transaction costs and streamline administrative processes, the Regulator undertake a benchmarking exercise and publish information on indicative administrative and operational costs involved in establishing and undertaking different types of ERF projects. The benchmarking exercise should compare the transaction costs of projects under the ERF with those under other Government programs.</w:t>
            </w:r>
          </w:p>
          <w:p w14:paraId="6ED9D4B8" w14:textId="77777777" w:rsidR="00DF0433" w:rsidRDefault="00DF0433" w:rsidP="0090077A">
            <w:pPr>
              <w:spacing w:line="240" w:lineRule="auto"/>
              <w:rPr>
                <w:sz w:val="16"/>
                <w:szCs w:val="16"/>
              </w:rPr>
            </w:pPr>
          </w:p>
          <w:p w14:paraId="4496D068" w14:textId="68C60756" w:rsidR="00A856A2" w:rsidRPr="001D10CD" w:rsidRDefault="00A856A2" w:rsidP="00A856A2">
            <w:pPr>
              <w:spacing w:line="259" w:lineRule="auto"/>
              <w:rPr>
                <w:rFonts w:cs="Arial"/>
                <w:sz w:val="16"/>
                <w:szCs w:val="16"/>
              </w:rPr>
            </w:pPr>
            <w:r w:rsidRPr="001D10CD">
              <w:rPr>
                <w:rFonts w:cs="Arial"/>
                <w:sz w:val="16"/>
                <w:szCs w:val="16"/>
              </w:rPr>
              <w:t xml:space="preserve"> To encourage greater participation in the ERF, the Regulator continue to explore ways to streamline ERF processes and reduce transaction costs for scheme participants, while continuing to uphold the Offsets Integrity Standards.</w:t>
            </w:r>
          </w:p>
          <w:p w14:paraId="7FC145BA" w14:textId="77777777" w:rsidR="00F05A26" w:rsidRPr="00120E1B" w:rsidRDefault="00F05A26" w:rsidP="00A856A2">
            <w:pPr>
              <w:spacing w:line="240" w:lineRule="auto"/>
              <w:rPr>
                <w:sz w:val="16"/>
                <w:szCs w:val="16"/>
              </w:rPr>
            </w:pPr>
          </w:p>
        </w:tc>
        <w:tc>
          <w:tcPr>
            <w:tcW w:w="2542" w:type="dxa"/>
          </w:tcPr>
          <w:p w14:paraId="349CFF89" w14:textId="77777777" w:rsidR="00F05A26" w:rsidRPr="00120E1B" w:rsidRDefault="00F05A26" w:rsidP="0090077A">
            <w:pPr>
              <w:spacing w:line="240" w:lineRule="auto"/>
              <w:rPr>
                <w:sz w:val="16"/>
                <w:szCs w:val="16"/>
              </w:rPr>
            </w:pPr>
            <w:r>
              <w:rPr>
                <w:sz w:val="16"/>
                <w:szCs w:val="16"/>
              </w:rPr>
              <w:t>Part of Regulator forward work program.</w:t>
            </w:r>
          </w:p>
        </w:tc>
        <w:tc>
          <w:tcPr>
            <w:tcW w:w="2399" w:type="dxa"/>
          </w:tcPr>
          <w:p w14:paraId="0603F421" w14:textId="77777777" w:rsidR="00F05A26" w:rsidRDefault="00F05A26" w:rsidP="0090077A">
            <w:pPr>
              <w:spacing w:line="240" w:lineRule="auto"/>
              <w:rPr>
                <w:sz w:val="16"/>
                <w:szCs w:val="16"/>
              </w:rPr>
            </w:pPr>
            <w:r>
              <w:rPr>
                <w:sz w:val="16"/>
                <w:szCs w:val="16"/>
              </w:rPr>
              <w:t>Reduces administrative costs to the Regulator in the long term.</w:t>
            </w:r>
          </w:p>
          <w:p w14:paraId="60B942CB" w14:textId="77777777" w:rsidR="00F05A26" w:rsidRDefault="00F05A26" w:rsidP="0090077A">
            <w:pPr>
              <w:spacing w:line="240" w:lineRule="auto"/>
              <w:rPr>
                <w:sz w:val="16"/>
                <w:szCs w:val="16"/>
              </w:rPr>
            </w:pPr>
          </w:p>
          <w:p w14:paraId="3E44576A" w14:textId="77777777" w:rsidR="00F05A26" w:rsidRPr="00120E1B" w:rsidRDefault="00F05A26" w:rsidP="0090077A">
            <w:pPr>
              <w:spacing w:line="240" w:lineRule="auto"/>
              <w:rPr>
                <w:sz w:val="16"/>
                <w:szCs w:val="16"/>
              </w:rPr>
            </w:pPr>
            <w:r>
              <w:rPr>
                <w:sz w:val="16"/>
                <w:szCs w:val="16"/>
              </w:rPr>
              <w:t xml:space="preserve">Reduces transaction costs to participants. </w:t>
            </w:r>
          </w:p>
        </w:tc>
        <w:tc>
          <w:tcPr>
            <w:tcW w:w="2400" w:type="dxa"/>
          </w:tcPr>
          <w:p w14:paraId="5EDA4609" w14:textId="77777777" w:rsidR="00F05A26" w:rsidRDefault="00F05A26" w:rsidP="0090077A">
            <w:pPr>
              <w:spacing w:line="240" w:lineRule="auto"/>
              <w:rPr>
                <w:sz w:val="16"/>
                <w:szCs w:val="16"/>
              </w:rPr>
            </w:pPr>
            <w:r>
              <w:rPr>
                <w:sz w:val="16"/>
                <w:szCs w:val="16"/>
              </w:rPr>
              <w:t>No change to integrity of abatement if well implemented.</w:t>
            </w:r>
          </w:p>
          <w:p w14:paraId="76BDC0E0" w14:textId="77777777" w:rsidR="00F05A26" w:rsidRDefault="00F05A26" w:rsidP="0090077A">
            <w:pPr>
              <w:spacing w:line="240" w:lineRule="auto"/>
              <w:rPr>
                <w:sz w:val="16"/>
                <w:szCs w:val="16"/>
              </w:rPr>
            </w:pPr>
          </w:p>
          <w:p w14:paraId="689D4A02" w14:textId="77777777" w:rsidR="00F05A26" w:rsidRPr="00120E1B" w:rsidRDefault="00F05A26" w:rsidP="0090077A">
            <w:pPr>
              <w:spacing w:line="240" w:lineRule="auto"/>
              <w:rPr>
                <w:sz w:val="16"/>
                <w:szCs w:val="16"/>
              </w:rPr>
            </w:pPr>
            <w:r>
              <w:rPr>
                <w:sz w:val="16"/>
                <w:szCs w:val="16"/>
              </w:rPr>
              <w:t xml:space="preserve">Reduced transaction costs may increase participation and abatement.  </w:t>
            </w:r>
          </w:p>
        </w:tc>
        <w:tc>
          <w:tcPr>
            <w:tcW w:w="2117" w:type="dxa"/>
          </w:tcPr>
          <w:p w14:paraId="752D19A5" w14:textId="77777777" w:rsidR="00F05A26" w:rsidRPr="00120E1B" w:rsidRDefault="00F05A26" w:rsidP="0090077A">
            <w:pPr>
              <w:spacing w:line="240" w:lineRule="auto"/>
              <w:rPr>
                <w:sz w:val="16"/>
                <w:szCs w:val="16"/>
              </w:rPr>
            </w:pPr>
            <w:r>
              <w:rPr>
                <w:sz w:val="16"/>
                <w:szCs w:val="16"/>
              </w:rPr>
              <w:t xml:space="preserve">Reduced transaction costs should allow a greater number of businesses to participate in the market. </w:t>
            </w:r>
          </w:p>
        </w:tc>
        <w:tc>
          <w:tcPr>
            <w:tcW w:w="1755" w:type="dxa"/>
          </w:tcPr>
          <w:p w14:paraId="5E3DD6DC" w14:textId="77777777" w:rsidR="00F05A26" w:rsidRPr="00120E1B" w:rsidRDefault="00F05A26" w:rsidP="0090077A">
            <w:pPr>
              <w:spacing w:line="240" w:lineRule="auto"/>
              <w:rPr>
                <w:sz w:val="16"/>
                <w:szCs w:val="16"/>
              </w:rPr>
            </w:pPr>
            <w:r>
              <w:rPr>
                <w:sz w:val="16"/>
                <w:szCs w:val="16"/>
              </w:rPr>
              <w:t>Regulator.</w:t>
            </w:r>
          </w:p>
        </w:tc>
      </w:tr>
      <w:tr w:rsidR="00E93CBF" w:rsidRPr="00120E1B" w14:paraId="45861DB2" w14:textId="77777777" w:rsidTr="00E93CBF">
        <w:trPr>
          <w:cnfStyle w:val="000000010000" w:firstRow="0" w:lastRow="0" w:firstColumn="0" w:lastColumn="0" w:oddVBand="0" w:evenVBand="0" w:oddHBand="0" w:evenHBand="1" w:firstRowFirstColumn="0" w:firstRowLastColumn="0" w:lastRowFirstColumn="0" w:lastRowLastColumn="0"/>
          <w:trHeight w:val="227"/>
        </w:trPr>
        <w:tc>
          <w:tcPr>
            <w:tcW w:w="805" w:type="dxa"/>
            <w:shd w:val="clear" w:color="auto" w:fill="0070AE" w:themeFill="accent2" w:themeFillTint="BF"/>
          </w:tcPr>
          <w:p w14:paraId="3BC81BDC" w14:textId="5E26D1D9" w:rsidR="00E93CBF" w:rsidRPr="00C20CBA" w:rsidRDefault="00E93CBF" w:rsidP="00E93CBF">
            <w:pPr>
              <w:spacing w:line="240" w:lineRule="auto"/>
              <w:rPr>
                <w:b/>
                <w:sz w:val="16"/>
                <w:szCs w:val="16"/>
              </w:rPr>
            </w:pPr>
          </w:p>
        </w:tc>
        <w:tc>
          <w:tcPr>
            <w:tcW w:w="2724" w:type="dxa"/>
            <w:shd w:val="clear" w:color="auto" w:fill="0070AE" w:themeFill="accent2" w:themeFillTint="BF"/>
          </w:tcPr>
          <w:p w14:paraId="06E1A9C2" w14:textId="7AD620C0" w:rsidR="00E93CBF" w:rsidRDefault="00E93CBF" w:rsidP="00E93CBF">
            <w:pPr>
              <w:pStyle w:val="CommentText"/>
            </w:pPr>
            <w:r w:rsidRPr="0022784B">
              <w:rPr>
                <w:b/>
                <w:color w:val="FFFFFF" w:themeColor="background1"/>
                <w:sz w:val="16"/>
                <w:szCs w:val="16"/>
              </w:rPr>
              <w:t>RECOMMENDATION</w:t>
            </w:r>
          </w:p>
        </w:tc>
        <w:tc>
          <w:tcPr>
            <w:tcW w:w="2542" w:type="dxa"/>
            <w:shd w:val="clear" w:color="auto" w:fill="0070AE" w:themeFill="accent2" w:themeFillTint="BF"/>
          </w:tcPr>
          <w:p w14:paraId="03B35A1E" w14:textId="77777777" w:rsidR="00E93CBF" w:rsidRPr="0022784B" w:rsidRDefault="00E93CBF" w:rsidP="00E93CBF">
            <w:pPr>
              <w:spacing w:line="240" w:lineRule="auto"/>
              <w:rPr>
                <w:b/>
                <w:color w:val="FFFFFF" w:themeColor="background1"/>
                <w:sz w:val="16"/>
                <w:szCs w:val="16"/>
              </w:rPr>
            </w:pPr>
            <w:r w:rsidRPr="0022784B">
              <w:rPr>
                <w:b/>
                <w:color w:val="FFFFFF" w:themeColor="background1"/>
                <w:sz w:val="16"/>
                <w:szCs w:val="16"/>
              </w:rPr>
              <w:t>ECONOMIC EFFICIENCY</w:t>
            </w:r>
          </w:p>
          <w:p w14:paraId="1A3A1AFF" w14:textId="1294E7D3" w:rsidR="00E93CBF" w:rsidRDefault="00E93CBF" w:rsidP="00E93CBF">
            <w:pPr>
              <w:spacing w:line="240" w:lineRule="auto"/>
              <w:rPr>
                <w:sz w:val="16"/>
                <w:szCs w:val="16"/>
              </w:rPr>
            </w:pPr>
            <w:r w:rsidRPr="0022784B">
              <w:rPr>
                <w:b/>
                <w:color w:val="FFFFFF" w:themeColor="background1"/>
                <w:sz w:val="16"/>
                <w:szCs w:val="16"/>
              </w:rPr>
              <w:t>Coats</w:t>
            </w:r>
          </w:p>
        </w:tc>
        <w:tc>
          <w:tcPr>
            <w:tcW w:w="2399" w:type="dxa"/>
            <w:shd w:val="clear" w:color="auto" w:fill="0070AE" w:themeFill="accent2" w:themeFillTint="BF"/>
          </w:tcPr>
          <w:p w14:paraId="758E4298" w14:textId="77777777" w:rsidR="00E93CBF" w:rsidRPr="0022784B" w:rsidRDefault="00E93CBF" w:rsidP="00E93CBF">
            <w:pPr>
              <w:spacing w:line="240" w:lineRule="auto"/>
              <w:rPr>
                <w:b/>
                <w:color w:val="FFFFFF" w:themeColor="background1"/>
                <w:sz w:val="16"/>
                <w:szCs w:val="16"/>
              </w:rPr>
            </w:pPr>
          </w:p>
          <w:p w14:paraId="422A5FDC" w14:textId="6D9DC338" w:rsidR="00E93CBF" w:rsidRDefault="00E93CBF" w:rsidP="00E93CBF">
            <w:pPr>
              <w:spacing w:line="240" w:lineRule="auto"/>
              <w:rPr>
                <w:sz w:val="16"/>
                <w:szCs w:val="16"/>
              </w:rPr>
            </w:pPr>
            <w:r w:rsidRPr="0022784B">
              <w:rPr>
                <w:b/>
                <w:color w:val="FFFFFF" w:themeColor="background1"/>
                <w:sz w:val="16"/>
                <w:szCs w:val="16"/>
              </w:rPr>
              <w:t>Benefits</w:t>
            </w:r>
          </w:p>
        </w:tc>
        <w:tc>
          <w:tcPr>
            <w:tcW w:w="2400" w:type="dxa"/>
            <w:shd w:val="clear" w:color="auto" w:fill="0070AE" w:themeFill="accent2" w:themeFillTint="BF"/>
          </w:tcPr>
          <w:p w14:paraId="6EAC4FBD" w14:textId="58571AE0" w:rsidR="00E93CBF" w:rsidRDefault="00E93CBF" w:rsidP="00E93CBF">
            <w:pPr>
              <w:spacing w:line="240" w:lineRule="auto"/>
              <w:rPr>
                <w:sz w:val="16"/>
                <w:szCs w:val="16"/>
              </w:rPr>
            </w:pPr>
            <w:r w:rsidRPr="0022784B">
              <w:rPr>
                <w:b/>
                <w:color w:val="FFFFFF" w:themeColor="background1"/>
                <w:sz w:val="16"/>
                <w:szCs w:val="16"/>
              </w:rPr>
              <w:t>ENVIRONMENTAL EFFECTIVENESS</w:t>
            </w:r>
          </w:p>
        </w:tc>
        <w:tc>
          <w:tcPr>
            <w:tcW w:w="2117" w:type="dxa"/>
            <w:shd w:val="clear" w:color="auto" w:fill="0070AE" w:themeFill="accent2" w:themeFillTint="BF"/>
          </w:tcPr>
          <w:p w14:paraId="637BF72D" w14:textId="20AEF3FF" w:rsidR="00E93CBF" w:rsidRDefault="00E93CBF" w:rsidP="00E93CBF">
            <w:pPr>
              <w:spacing w:line="240" w:lineRule="auto"/>
              <w:rPr>
                <w:sz w:val="16"/>
                <w:szCs w:val="16"/>
              </w:rPr>
            </w:pPr>
            <w:r w:rsidRPr="0022784B">
              <w:rPr>
                <w:b/>
                <w:color w:val="FFFFFF" w:themeColor="background1"/>
                <w:sz w:val="16"/>
                <w:szCs w:val="16"/>
              </w:rPr>
              <w:t>EQUITY</w:t>
            </w:r>
          </w:p>
        </w:tc>
        <w:tc>
          <w:tcPr>
            <w:tcW w:w="1755" w:type="dxa"/>
            <w:gridSpan w:val="2"/>
            <w:shd w:val="clear" w:color="auto" w:fill="0070AE" w:themeFill="accent2" w:themeFillTint="BF"/>
          </w:tcPr>
          <w:p w14:paraId="25C65A62" w14:textId="43CB025F" w:rsidR="00E93CBF" w:rsidRDefault="00E93CBF" w:rsidP="00E93CBF">
            <w:pPr>
              <w:spacing w:line="240" w:lineRule="auto"/>
              <w:rPr>
                <w:sz w:val="16"/>
                <w:szCs w:val="16"/>
              </w:rPr>
            </w:pPr>
            <w:r w:rsidRPr="0022784B">
              <w:rPr>
                <w:b/>
                <w:color w:val="FFFFFF" w:themeColor="background1"/>
                <w:sz w:val="16"/>
                <w:szCs w:val="16"/>
              </w:rPr>
              <w:t>PROCESS</w:t>
            </w:r>
          </w:p>
        </w:tc>
      </w:tr>
      <w:tr w:rsidR="00F05A26" w:rsidRPr="00120E1B" w14:paraId="67C315D4" w14:textId="77777777" w:rsidTr="0090077A">
        <w:trPr>
          <w:gridAfter w:val="1"/>
          <w:cnfStyle w:val="000000100000" w:firstRow="0" w:lastRow="0" w:firstColumn="0" w:lastColumn="0" w:oddVBand="0" w:evenVBand="0" w:oddHBand="1" w:evenHBand="0" w:firstRowFirstColumn="0" w:firstRowLastColumn="0" w:lastRowFirstColumn="0" w:lastRowLastColumn="0"/>
          <w:wAfter w:w="365" w:type="dxa"/>
          <w:trHeight w:val="227"/>
        </w:trPr>
        <w:tc>
          <w:tcPr>
            <w:tcW w:w="805" w:type="dxa"/>
          </w:tcPr>
          <w:p w14:paraId="1A3FDC68" w14:textId="0F079A96" w:rsidR="00F05A26" w:rsidRPr="00C20CBA" w:rsidRDefault="00F05A26" w:rsidP="0090077A">
            <w:pPr>
              <w:spacing w:line="240" w:lineRule="auto"/>
              <w:rPr>
                <w:b/>
                <w:sz w:val="16"/>
                <w:szCs w:val="16"/>
              </w:rPr>
            </w:pPr>
            <w:r w:rsidRPr="00C20CBA">
              <w:rPr>
                <w:b/>
                <w:sz w:val="16"/>
                <w:szCs w:val="16"/>
              </w:rPr>
              <w:t xml:space="preserve">R. </w:t>
            </w:r>
            <w:r w:rsidR="00A856A2">
              <w:rPr>
                <w:b/>
                <w:sz w:val="16"/>
                <w:szCs w:val="16"/>
              </w:rPr>
              <w:t>8</w:t>
            </w:r>
          </w:p>
        </w:tc>
        <w:tc>
          <w:tcPr>
            <w:tcW w:w="2724" w:type="dxa"/>
          </w:tcPr>
          <w:p w14:paraId="439DE864" w14:textId="14737A71" w:rsidR="00295EB1" w:rsidRPr="001D10CD" w:rsidRDefault="00295EB1" w:rsidP="00295EB1">
            <w:pPr>
              <w:rPr>
                <w:sz w:val="16"/>
                <w:szCs w:val="16"/>
              </w:rPr>
            </w:pPr>
            <w:r>
              <w:t xml:space="preserve"> </w:t>
            </w:r>
            <w:r w:rsidRPr="001D10CD">
              <w:rPr>
                <w:sz w:val="16"/>
                <w:szCs w:val="16"/>
              </w:rPr>
              <w:t>To maintain the reputation of Australia’s high integrity carbon offsets market, the Offsets Integrity Standards remain unchanged.</w:t>
            </w:r>
          </w:p>
          <w:p w14:paraId="1BE92896" w14:textId="77777777" w:rsidR="00295EB1" w:rsidRPr="001D10CD" w:rsidRDefault="00295EB1" w:rsidP="00295EB1">
            <w:pPr>
              <w:rPr>
                <w:sz w:val="16"/>
                <w:szCs w:val="16"/>
              </w:rPr>
            </w:pPr>
          </w:p>
          <w:p w14:paraId="5AC6B751" w14:textId="77777777" w:rsidR="00295EB1" w:rsidRPr="001D10CD" w:rsidRDefault="00295EB1" w:rsidP="00295EB1">
            <w:pPr>
              <w:rPr>
                <w:sz w:val="16"/>
                <w:szCs w:val="16"/>
              </w:rPr>
            </w:pPr>
            <w:r w:rsidRPr="001D10CD">
              <w:rPr>
                <w:sz w:val="16"/>
                <w:szCs w:val="16"/>
              </w:rPr>
              <w:t>To promote certainty and transparency on how the ERAC interprets the Offsets Integrity Standards, the ERAC reference the Information Paper: ‘</w:t>
            </w:r>
            <w:r w:rsidRPr="001D10CD">
              <w:rPr>
                <w:i/>
                <w:sz w:val="16"/>
                <w:szCs w:val="16"/>
              </w:rPr>
              <w:t>Committee considerations for interpreting the Emissions Reduction Fund’s Offsets Integrity Standards’</w:t>
            </w:r>
            <w:r w:rsidRPr="001D10CD">
              <w:rPr>
                <w:sz w:val="16"/>
                <w:szCs w:val="16"/>
              </w:rPr>
              <w:t xml:space="preserve"> in its decisions and ensure it is readily accessible to stakeholders. </w:t>
            </w:r>
          </w:p>
          <w:p w14:paraId="48892895" w14:textId="77777777" w:rsidR="00F05A26" w:rsidRPr="00120E1B" w:rsidRDefault="00F05A26" w:rsidP="00295EB1">
            <w:pPr>
              <w:spacing w:line="240" w:lineRule="auto"/>
              <w:rPr>
                <w:sz w:val="16"/>
                <w:szCs w:val="16"/>
              </w:rPr>
            </w:pPr>
          </w:p>
        </w:tc>
        <w:tc>
          <w:tcPr>
            <w:tcW w:w="2542" w:type="dxa"/>
          </w:tcPr>
          <w:p w14:paraId="50E6A9D4" w14:textId="77777777" w:rsidR="00F05A26" w:rsidRDefault="00F05A26" w:rsidP="0090077A">
            <w:pPr>
              <w:spacing w:line="240" w:lineRule="auto"/>
              <w:rPr>
                <w:sz w:val="16"/>
                <w:szCs w:val="16"/>
              </w:rPr>
            </w:pPr>
            <w:r>
              <w:rPr>
                <w:sz w:val="16"/>
                <w:szCs w:val="16"/>
              </w:rPr>
              <w:t>No change.</w:t>
            </w:r>
          </w:p>
          <w:p w14:paraId="3C0E11B8" w14:textId="77777777" w:rsidR="00F05A26" w:rsidRPr="00120E1B" w:rsidRDefault="00F05A26" w:rsidP="0090077A">
            <w:pPr>
              <w:spacing w:line="240" w:lineRule="auto"/>
              <w:rPr>
                <w:sz w:val="16"/>
                <w:szCs w:val="16"/>
              </w:rPr>
            </w:pPr>
          </w:p>
        </w:tc>
        <w:tc>
          <w:tcPr>
            <w:tcW w:w="2399" w:type="dxa"/>
          </w:tcPr>
          <w:p w14:paraId="02CA824F" w14:textId="77777777" w:rsidR="00F05A26" w:rsidRPr="00120E1B" w:rsidRDefault="00F05A26" w:rsidP="0090077A">
            <w:pPr>
              <w:spacing w:line="240" w:lineRule="auto"/>
              <w:rPr>
                <w:sz w:val="16"/>
                <w:szCs w:val="16"/>
              </w:rPr>
            </w:pPr>
            <w:r>
              <w:rPr>
                <w:sz w:val="16"/>
                <w:szCs w:val="16"/>
              </w:rPr>
              <w:t>Improving market confidence in the ERF through e</w:t>
            </w:r>
            <w:r w:rsidRPr="005A6C68">
              <w:rPr>
                <w:sz w:val="16"/>
                <w:szCs w:val="16"/>
              </w:rPr>
              <w:t>nhance</w:t>
            </w:r>
            <w:r>
              <w:rPr>
                <w:sz w:val="16"/>
                <w:szCs w:val="16"/>
              </w:rPr>
              <w:t>d</w:t>
            </w:r>
            <w:r w:rsidRPr="005A6C68">
              <w:rPr>
                <w:sz w:val="16"/>
                <w:szCs w:val="16"/>
              </w:rPr>
              <w:t xml:space="preserve"> transparency of the ERAC’s decision making</w:t>
            </w:r>
            <w:r>
              <w:rPr>
                <w:sz w:val="16"/>
                <w:szCs w:val="16"/>
              </w:rPr>
              <w:t>.</w:t>
            </w:r>
          </w:p>
        </w:tc>
        <w:tc>
          <w:tcPr>
            <w:tcW w:w="2400" w:type="dxa"/>
          </w:tcPr>
          <w:p w14:paraId="2DF5C899" w14:textId="77777777" w:rsidR="00F05A26" w:rsidRDefault="00F05A26" w:rsidP="0090077A">
            <w:pPr>
              <w:spacing w:line="240" w:lineRule="auto"/>
              <w:rPr>
                <w:sz w:val="16"/>
                <w:szCs w:val="16"/>
              </w:rPr>
            </w:pPr>
            <w:r>
              <w:rPr>
                <w:sz w:val="16"/>
                <w:szCs w:val="16"/>
              </w:rPr>
              <w:t>Integrity of abatement maintained.</w:t>
            </w:r>
          </w:p>
          <w:p w14:paraId="491D5C64" w14:textId="77777777" w:rsidR="00F05A26" w:rsidRDefault="00F05A26" w:rsidP="0090077A">
            <w:pPr>
              <w:spacing w:line="240" w:lineRule="auto"/>
              <w:rPr>
                <w:sz w:val="16"/>
                <w:szCs w:val="16"/>
              </w:rPr>
            </w:pPr>
          </w:p>
          <w:p w14:paraId="066E4BC3" w14:textId="77777777" w:rsidR="00F05A26" w:rsidRPr="00BC5ADD" w:rsidRDefault="00F05A26" w:rsidP="0090077A">
            <w:pPr>
              <w:spacing w:line="240" w:lineRule="auto"/>
              <w:rPr>
                <w:sz w:val="16"/>
                <w:szCs w:val="16"/>
              </w:rPr>
            </w:pPr>
          </w:p>
          <w:p w14:paraId="505D2CBD" w14:textId="77777777" w:rsidR="00F05A26" w:rsidRPr="00120E1B" w:rsidRDefault="00F05A26" w:rsidP="0090077A">
            <w:pPr>
              <w:spacing w:line="240" w:lineRule="auto"/>
              <w:rPr>
                <w:sz w:val="16"/>
                <w:szCs w:val="16"/>
              </w:rPr>
            </w:pPr>
          </w:p>
        </w:tc>
        <w:tc>
          <w:tcPr>
            <w:tcW w:w="2117" w:type="dxa"/>
          </w:tcPr>
          <w:p w14:paraId="218A31A5" w14:textId="77777777" w:rsidR="00F05A26" w:rsidRPr="00120E1B" w:rsidRDefault="00F05A26" w:rsidP="0090077A">
            <w:pPr>
              <w:spacing w:line="240" w:lineRule="auto"/>
              <w:rPr>
                <w:sz w:val="16"/>
                <w:szCs w:val="16"/>
              </w:rPr>
            </w:pPr>
            <w:r w:rsidRPr="005A6C68">
              <w:rPr>
                <w:sz w:val="16"/>
                <w:szCs w:val="16"/>
              </w:rPr>
              <w:t>Improves transparency and maintains consistent decision making over time.</w:t>
            </w:r>
          </w:p>
        </w:tc>
        <w:tc>
          <w:tcPr>
            <w:tcW w:w="1755" w:type="dxa"/>
          </w:tcPr>
          <w:p w14:paraId="4D9F3865" w14:textId="77777777" w:rsidR="00F05A26" w:rsidRDefault="00F05A26" w:rsidP="0090077A">
            <w:pPr>
              <w:spacing w:line="240" w:lineRule="auto"/>
              <w:rPr>
                <w:sz w:val="16"/>
                <w:szCs w:val="16"/>
              </w:rPr>
            </w:pPr>
            <w:r>
              <w:rPr>
                <w:sz w:val="16"/>
                <w:szCs w:val="16"/>
              </w:rPr>
              <w:t>ERAC/ Regulator.</w:t>
            </w:r>
          </w:p>
          <w:p w14:paraId="70435008" w14:textId="77777777" w:rsidR="00F05A26" w:rsidRDefault="00F05A26" w:rsidP="0090077A">
            <w:pPr>
              <w:spacing w:line="240" w:lineRule="auto"/>
              <w:rPr>
                <w:sz w:val="16"/>
                <w:szCs w:val="16"/>
              </w:rPr>
            </w:pPr>
          </w:p>
          <w:p w14:paraId="61623ED6" w14:textId="77777777" w:rsidR="00F05A26" w:rsidRDefault="00F05A26" w:rsidP="0090077A">
            <w:pPr>
              <w:spacing w:line="240" w:lineRule="auto"/>
              <w:rPr>
                <w:sz w:val="16"/>
                <w:szCs w:val="16"/>
              </w:rPr>
            </w:pPr>
          </w:p>
          <w:p w14:paraId="1111825E" w14:textId="77777777" w:rsidR="00F05A26" w:rsidRPr="00120E1B" w:rsidRDefault="00F05A26" w:rsidP="0090077A">
            <w:pPr>
              <w:spacing w:line="240" w:lineRule="auto"/>
              <w:rPr>
                <w:sz w:val="16"/>
                <w:szCs w:val="16"/>
              </w:rPr>
            </w:pPr>
          </w:p>
        </w:tc>
      </w:tr>
      <w:tr w:rsidR="00F05A26" w:rsidRPr="00120E1B" w14:paraId="08E35A8B" w14:textId="77777777" w:rsidTr="0090077A">
        <w:trPr>
          <w:gridAfter w:val="1"/>
          <w:cnfStyle w:val="000000010000" w:firstRow="0" w:lastRow="0" w:firstColumn="0" w:lastColumn="0" w:oddVBand="0" w:evenVBand="0" w:oddHBand="0" w:evenHBand="1" w:firstRowFirstColumn="0" w:firstRowLastColumn="0" w:lastRowFirstColumn="0" w:lastRowLastColumn="0"/>
          <w:wAfter w:w="365" w:type="dxa"/>
          <w:trHeight w:val="227"/>
        </w:trPr>
        <w:tc>
          <w:tcPr>
            <w:tcW w:w="805" w:type="dxa"/>
          </w:tcPr>
          <w:p w14:paraId="4229635F" w14:textId="0216D740" w:rsidR="00F05A26" w:rsidRPr="00C20CBA" w:rsidRDefault="00F05A26" w:rsidP="0090077A">
            <w:pPr>
              <w:spacing w:line="240" w:lineRule="auto"/>
              <w:rPr>
                <w:b/>
                <w:sz w:val="16"/>
                <w:szCs w:val="16"/>
              </w:rPr>
            </w:pPr>
            <w:r w:rsidRPr="00C20CBA">
              <w:rPr>
                <w:b/>
                <w:sz w:val="16"/>
                <w:szCs w:val="16"/>
              </w:rPr>
              <w:t xml:space="preserve">R. </w:t>
            </w:r>
            <w:r w:rsidR="00A856A2">
              <w:rPr>
                <w:b/>
                <w:sz w:val="16"/>
                <w:szCs w:val="16"/>
              </w:rPr>
              <w:t>9</w:t>
            </w:r>
          </w:p>
        </w:tc>
        <w:tc>
          <w:tcPr>
            <w:tcW w:w="2724" w:type="dxa"/>
          </w:tcPr>
          <w:p w14:paraId="5AED3DDD" w14:textId="5FF3019F" w:rsidR="00295EB1" w:rsidRDefault="00295EB1" w:rsidP="00295EB1">
            <w:r w:rsidRPr="001D10CD">
              <w:rPr>
                <w:sz w:val="16"/>
                <w:szCs w:val="16"/>
              </w:rPr>
              <w:t xml:space="preserve"> To enhance opportunities and flexibility for project proponents, the ‘newness requirement’</w:t>
            </w:r>
            <w:r w:rsidRPr="00EE4342">
              <w:rPr>
                <w:sz w:val="16"/>
                <w:szCs w:val="16"/>
              </w:rPr>
              <w:t xml:space="preserve"> be amended to allow project activities to commence from the time of submission</w:t>
            </w:r>
            <w:r w:rsidRPr="00F94E82">
              <w:rPr>
                <w:sz w:val="16"/>
                <w:szCs w:val="16"/>
              </w:rPr>
              <w:t xml:space="preserve"> </w:t>
            </w:r>
            <w:r w:rsidRPr="00EE4342">
              <w:rPr>
                <w:sz w:val="16"/>
                <w:szCs w:val="16"/>
              </w:rPr>
              <w:t>of a project application, rat</w:t>
            </w:r>
            <w:r w:rsidRPr="00D925FC">
              <w:rPr>
                <w:rFonts w:cstheme="minorBidi"/>
                <w:sz w:val="16"/>
                <w:szCs w:val="16"/>
              </w:rPr>
              <w:t>her than when the project is</w:t>
            </w:r>
            <w:r w:rsidR="00260256" w:rsidRPr="00D925FC">
              <w:rPr>
                <w:rFonts w:cstheme="minorBidi"/>
                <w:sz w:val="16"/>
                <w:szCs w:val="16"/>
              </w:rPr>
              <w:t xml:space="preserve"> </w:t>
            </w:r>
            <w:r w:rsidRPr="00CB3C5A">
              <w:rPr>
                <w:rFonts w:cstheme="minorBidi"/>
                <w:sz w:val="16"/>
                <w:szCs w:val="16"/>
              </w:rPr>
              <w:t>declared eligible</w:t>
            </w:r>
            <w:r w:rsidRPr="00F94E82">
              <w:rPr>
                <w:sz w:val="16"/>
                <w:szCs w:val="16"/>
              </w:rPr>
              <w:t>.</w:t>
            </w:r>
            <w:r w:rsidRPr="008E28A6">
              <w:t xml:space="preserve"> </w:t>
            </w:r>
          </w:p>
          <w:p w14:paraId="56216EFF" w14:textId="77777777" w:rsidR="00F05A26" w:rsidRPr="00E85613" w:rsidRDefault="00F05A26" w:rsidP="00295EB1">
            <w:pPr>
              <w:spacing w:line="259" w:lineRule="auto"/>
              <w:rPr>
                <w:rFonts w:cs="Arial"/>
                <w:sz w:val="18"/>
                <w:szCs w:val="18"/>
              </w:rPr>
            </w:pPr>
          </w:p>
        </w:tc>
        <w:tc>
          <w:tcPr>
            <w:tcW w:w="2542" w:type="dxa"/>
          </w:tcPr>
          <w:p w14:paraId="5BAC12FD" w14:textId="77777777" w:rsidR="00F05A26" w:rsidRDefault="00F05A26" w:rsidP="0090077A">
            <w:pPr>
              <w:spacing w:line="240" w:lineRule="auto"/>
              <w:rPr>
                <w:sz w:val="16"/>
                <w:szCs w:val="16"/>
              </w:rPr>
            </w:pPr>
            <w:r w:rsidRPr="00BC5ADD">
              <w:rPr>
                <w:sz w:val="16"/>
                <w:szCs w:val="16"/>
              </w:rPr>
              <w:t>Imposes a</w:t>
            </w:r>
            <w:r>
              <w:rPr>
                <w:sz w:val="16"/>
                <w:szCs w:val="16"/>
              </w:rPr>
              <w:t xml:space="preserve"> small</w:t>
            </w:r>
            <w:r w:rsidRPr="00BC5ADD">
              <w:rPr>
                <w:sz w:val="16"/>
                <w:szCs w:val="16"/>
              </w:rPr>
              <w:t xml:space="preserve"> additional administrative cos</w:t>
            </w:r>
            <w:r>
              <w:rPr>
                <w:sz w:val="16"/>
                <w:szCs w:val="16"/>
              </w:rPr>
              <w:t xml:space="preserve">t to the Regulator to establish. </w:t>
            </w:r>
          </w:p>
          <w:p w14:paraId="73615264" w14:textId="77777777" w:rsidR="00F05A26" w:rsidRDefault="00F05A26" w:rsidP="0090077A">
            <w:pPr>
              <w:spacing w:line="240" w:lineRule="auto"/>
              <w:rPr>
                <w:sz w:val="16"/>
                <w:szCs w:val="16"/>
              </w:rPr>
            </w:pPr>
          </w:p>
          <w:p w14:paraId="77A2C867" w14:textId="77777777" w:rsidR="00F05A26" w:rsidRDefault="00F05A26" w:rsidP="0090077A">
            <w:pPr>
              <w:spacing w:line="240" w:lineRule="auto"/>
              <w:rPr>
                <w:sz w:val="16"/>
                <w:szCs w:val="16"/>
              </w:rPr>
            </w:pPr>
            <w:r>
              <w:rPr>
                <w:sz w:val="16"/>
                <w:szCs w:val="16"/>
              </w:rPr>
              <w:t xml:space="preserve">No additional costs over the long term. </w:t>
            </w:r>
          </w:p>
          <w:p w14:paraId="3AEEFDD8" w14:textId="77777777" w:rsidR="00F05A26" w:rsidRPr="00120E1B" w:rsidRDefault="00F05A26" w:rsidP="0090077A">
            <w:pPr>
              <w:spacing w:line="240" w:lineRule="auto"/>
              <w:rPr>
                <w:sz w:val="16"/>
                <w:szCs w:val="16"/>
              </w:rPr>
            </w:pPr>
          </w:p>
        </w:tc>
        <w:tc>
          <w:tcPr>
            <w:tcW w:w="2399" w:type="dxa"/>
          </w:tcPr>
          <w:p w14:paraId="7D8D2CFE" w14:textId="77777777" w:rsidR="00F05A26" w:rsidRPr="00120E1B" w:rsidRDefault="00F05A26" w:rsidP="0090077A">
            <w:pPr>
              <w:spacing w:line="240" w:lineRule="auto"/>
              <w:rPr>
                <w:sz w:val="16"/>
                <w:szCs w:val="16"/>
              </w:rPr>
            </w:pPr>
            <w:r>
              <w:rPr>
                <w:sz w:val="16"/>
                <w:szCs w:val="16"/>
              </w:rPr>
              <w:t xml:space="preserve">Improves efficiency through reducing </w:t>
            </w:r>
            <w:r w:rsidRPr="005A6C68">
              <w:rPr>
                <w:sz w:val="16"/>
                <w:szCs w:val="16"/>
              </w:rPr>
              <w:t xml:space="preserve">barriers to participation </w:t>
            </w:r>
            <w:r>
              <w:rPr>
                <w:sz w:val="16"/>
                <w:szCs w:val="16"/>
              </w:rPr>
              <w:t xml:space="preserve">(particularly for </w:t>
            </w:r>
            <w:r w:rsidRPr="005A6C68">
              <w:rPr>
                <w:sz w:val="16"/>
                <w:szCs w:val="16"/>
              </w:rPr>
              <w:t>projects that require planning and preparation</w:t>
            </w:r>
            <w:r>
              <w:rPr>
                <w:sz w:val="16"/>
                <w:szCs w:val="16"/>
              </w:rPr>
              <w:t>)</w:t>
            </w:r>
            <w:r w:rsidRPr="005A6C68">
              <w:rPr>
                <w:sz w:val="16"/>
                <w:szCs w:val="16"/>
              </w:rPr>
              <w:t xml:space="preserve">. </w:t>
            </w:r>
          </w:p>
        </w:tc>
        <w:tc>
          <w:tcPr>
            <w:tcW w:w="2400" w:type="dxa"/>
          </w:tcPr>
          <w:p w14:paraId="2C041133" w14:textId="77777777" w:rsidR="00F05A26" w:rsidRPr="00120E1B" w:rsidRDefault="00F05A26" w:rsidP="0090077A">
            <w:pPr>
              <w:spacing w:line="240" w:lineRule="auto"/>
              <w:rPr>
                <w:sz w:val="16"/>
                <w:szCs w:val="16"/>
              </w:rPr>
            </w:pPr>
            <w:r w:rsidRPr="005A6C68">
              <w:rPr>
                <w:sz w:val="16"/>
                <w:szCs w:val="16"/>
              </w:rPr>
              <w:t xml:space="preserve">May lead to increased abatement. </w:t>
            </w:r>
          </w:p>
        </w:tc>
        <w:tc>
          <w:tcPr>
            <w:tcW w:w="2117" w:type="dxa"/>
          </w:tcPr>
          <w:p w14:paraId="33148DFF" w14:textId="77777777" w:rsidR="00F05A26" w:rsidRPr="004154D3" w:rsidRDefault="00F05A26" w:rsidP="0090077A">
            <w:pPr>
              <w:spacing w:line="240" w:lineRule="auto"/>
              <w:rPr>
                <w:sz w:val="16"/>
                <w:szCs w:val="16"/>
              </w:rPr>
            </w:pPr>
            <w:r w:rsidRPr="004154D3">
              <w:rPr>
                <w:sz w:val="16"/>
                <w:szCs w:val="16"/>
              </w:rPr>
              <w:t xml:space="preserve">Allows proponents of projects that require longer planning timeframes to participate. </w:t>
            </w:r>
          </w:p>
        </w:tc>
        <w:tc>
          <w:tcPr>
            <w:tcW w:w="1755" w:type="dxa"/>
          </w:tcPr>
          <w:p w14:paraId="36983984" w14:textId="77777777" w:rsidR="00F05A26" w:rsidRPr="004154D3" w:rsidRDefault="00F05A26" w:rsidP="0090077A">
            <w:pPr>
              <w:spacing w:line="240" w:lineRule="auto"/>
              <w:rPr>
                <w:sz w:val="16"/>
                <w:szCs w:val="16"/>
              </w:rPr>
            </w:pPr>
            <w:r w:rsidRPr="004154D3">
              <w:rPr>
                <w:sz w:val="16"/>
                <w:szCs w:val="16"/>
              </w:rPr>
              <w:t>Change to CFI Act</w:t>
            </w:r>
            <w:r>
              <w:rPr>
                <w:sz w:val="16"/>
                <w:szCs w:val="16"/>
              </w:rPr>
              <w:t>.</w:t>
            </w:r>
          </w:p>
        </w:tc>
      </w:tr>
      <w:tr w:rsidR="00F05A26" w:rsidRPr="00120E1B" w14:paraId="078F2D92" w14:textId="77777777" w:rsidTr="0090077A">
        <w:trPr>
          <w:gridAfter w:val="1"/>
          <w:cnfStyle w:val="000000100000" w:firstRow="0" w:lastRow="0" w:firstColumn="0" w:lastColumn="0" w:oddVBand="0" w:evenVBand="0" w:oddHBand="1" w:evenHBand="0" w:firstRowFirstColumn="0" w:firstRowLastColumn="0" w:lastRowFirstColumn="0" w:lastRowLastColumn="0"/>
          <w:wAfter w:w="365" w:type="dxa"/>
          <w:trHeight w:val="227"/>
        </w:trPr>
        <w:tc>
          <w:tcPr>
            <w:tcW w:w="805" w:type="dxa"/>
          </w:tcPr>
          <w:p w14:paraId="151534F4" w14:textId="196469DB" w:rsidR="00F05A26" w:rsidRPr="004808A9" w:rsidRDefault="00F05A26" w:rsidP="0090077A">
            <w:pPr>
              <w:spacing w:line="240" w:lineRule="auto"/>
              <w:rPr>
                <w:b/>
                <w:sz w:val="16"/>
                <w:szCs w:val="16"/>
              </w:rPr>
            </w:pPr>
            <w:r w:rsidRPr="004808A9">
              <w:rPr>
                <w:b/>
                <w:sz w:val="16"/>
                <w:szCs w:val="16"/>
              </w:rPr>
              <w:t xml:space="preserve">R. </w:t>
            </w:r>
            <w:r w:rsidR="00A856A2" w:rsidRPr="004808A9">
              <w:rPr>
                <w:b/>
                <w:sz w:val="16"/>
                <w:szCs w:val="16"/>
              </w:rPr>
              <w:t>10</w:t>
            </w:r>
          </w:p>
        </w:tc>
        <w:tc>
          <w:tcPr>
            <w:tcW w:w="2724" w:type="dxa"/>
          </w:tcPr>
          <w:p w14:paraId="1DCC68A5" w14:textId="45D74946" w:rsidR="004808A9" w:rsidRPr="001D10CD" w:rsidRDefault="004808A9" w:rsidP="004808A9">
            <w:pPr>
              <w:rPr>
                <w:sz w:val="16"/>
                <w:szCs w:val="16"/>
              </w:rPr>
            </w:pPr>
            <w:r w:rsidRPr="001D10CD">
              <w:rPr>
                <w:sz w:val="16"/>
                <w:szCs w:val="16"/>
              </w:rPr>
              <w:t xml:space="preserve"> To allow greater scope for project planning</w:t>
            </w:r>
            <w:r w:rsidRPr="00C55C92">
              <w:rPr>
                <w:rFonts w:cs="Arial"/>
                <w:sz w:val="16"/>
                <w:szCs w:val="16"/>
              </w:rPr>
              <w:t xml:space="preserve">, the Regulator identify within methods </w:t>
            </w:r>
            <w:r w:rsidRPr="001D10CD">
              <w:rPr>
                <w:sz w:val="16"/>
                <w:szCs w:val="16"/>
              </w:rPr>
              <w:t xml:space="preserve">(under development or variation) </w:t>
            </w:r>
            <w:r w:rsidRPr="00C55C92">
              <w:rPr>
                <w:rFonts w:cs="Arial"/>
                <w:sz w:val="16"/>
                <w:szCs w:val="16"/>
              </w:rPr>
              <w:t xml:space="preserve">any planning actions to be excluded from the </w:t>
            </w:r>
            <w:r w:rsidRPr="001D10CD">
              <w:rPr>
                <w:sz w:val="16"/>
                <w:szCs w:val="16"/>
              </w:rPr>
              <w:t>‘</w:t>
            </w:r>
            <w:r w:rsidRPr="00C55C92">
              <w:rPr>
                <w:rFonts w:cs="Arial"/>
                <w:sz w:val="16"/>
                <w:szCs w:val="16"/>
              </w:rPr>
              <w:t xml:space="preserve">newness </w:t>
            </w:r>
            <w:r w:rsidRPr="001D10CD">
              <w:rPr>
                <w:sz w:val="16"/>
                <w:szCs w:val="16"/>
              </w:rPr>
              <w:t>requirement’</w:t>
            </w:r>
            <w:r w:rsidRPr="00C55C92">
              <w:rPr>
                <w:rFonts w:cs="Arial"/>
                <w:sz w:val="16"/>
                <w:szCs w:val="16"/>
              </w:rPr>
              <w:t>, with the ERAC providing assurance that this does not jeopardise additionality.</w:t>
            </w:r>
          </w:p>
          <w:p w14:paraId="50A52FB4" w14:textId="77777777" w:rsidR="00F05A26" w:rsidRPr="001D10CD" w:rsidRDefault="00F05A26" w:rsidP="004808A9">
            <w:pPr>
              <w:spacing w:line="259" w:lineRule="auto"/>
              <w:rPr>
                <w:rFonts w:cs="Arial"/>
                <w:sz w:val="16"/>
                <w:szCs w:val="16"/>
              </w:rPr>
            </w:pPr>
          </w:p>
        </w:tc>
        <w:tc>
          <w:tcPr>
            <w:tcW w:w="2542" w:type="dxa"/>
          </w:tcPr>
          <w:p w14:paraId="6C23E7E0" w14:textId="77777777" w:rsidR="00F05A26" w:rsidRPr="00120E1B" w:rsidRDefault="00F05A26" w:rsidP="0090077A">
            <w:pPr>
              <w:spacing w:line="240" w:lineRule="auto"/>
              <w:rPr>
                <w:sz w:val="16"/>
                <w:szCs w:val="16"/>
              </w:rPr>
            </w:pPr>
            <w:r>
              <w:rPr>
                <w:sz w:val="16"/>
                <w:szCs w:val="16"/>
              </w:rPr>
              <w:t xml:space="preserve">Can be incorporated within current method development and review processes at no cost. </w:t>
            </w:r>
          </w:p>
        </w:tc>
        <w:tc>
          <w:tcPr>
            <w:tcW w:w="2399" w:type="dxa"/>
          </w:tcPr>
          <w:p w14:paraId="38837443" w14:textId="77777777" w:rsidR="00F05A26" w:rsidRPr="00120E1B" w:rsidRDefault="00F05A26" w:rsidP="0090077A">
            <w:pPr>
              <w:spacing w:line="240" w:lineRule="auto"/>
              <w:rPr>
                <w:sz w:val="16"/>
                <w:szCs w:val="16"/>
              </w:rPr>
            </w:pPr>
            <w:r>
              <w:rPr>
                <w:sz w:val="16"/>
                <w:szCs w:val="16"/>
              </w:rPr>
              <w:t xml:space="preserve">Improves efficiency through reducing </w:t>
            </w:r>
            <w:r w:rsidRPr="005A6C68">
              <w:rPr>
                <w:sz w:val="16"/>
                <w:szCs w:val="16"/>
              </w:rPr>
              <w:t xml:space="preserve">barriers to participation </w:t>
            </w:r>
            <w:r>
              <w:rPr>
                <w:sz w:val="16"/>
                <w:szCs w:val="16"/>
              </w:rPr>
              <w:t xml:space="preserve">(particularly for </w:t>
            </w:r>
            <w:r w:rsidRPr="005A6C68">
              <w:rPr>
                <w:sz w:val="16"/>
                <w:szCs w:val="16"/>
              </w:rPr>
              <w:t>projects that require planning and preparation</w:t>
            </w:r>
            <w:r>
              <w:rPr>
                <w:sz w:val="16"/>
                <w:szCs w:val="16"/>
              </w:rPr>
              <w:t>)</w:t>
            </w:r>
            <w:r w:rsidRPr="005A6C68">
              <w:rPr>
                <w:sz w:val="16"/>
                <w:szCs w:val="16"/>
              </w:rPr>
              <w:t>.</w:t>
            </w:r>
          </w:p>
        </w:tc>
        <w:tc>
          <w:tcPr>
            <w:tcW w:w="2400" w:type="dxa"/>
          </w:tcPr>
          <w:p w14:paraId="260FF9CB" w14:textId="77777777" w:rsidR="00F05A26" w:rsidRPr="00120E1B" w:rsidRDefault="00F05A26" w:rsidP="0090077A">
            <w:pPr>
              <w:spacing w:line="240" w:lineRule="auto"/>
              <w:rPr>
                <w:sz w:val="16"/>
                <w:szCs w:val="16"/>
              </w:rPr>
            </w:pPr>
            <w:r>
              <w:rPr>
                <w:sz w:val="16"/>
                <w:szCs w:val="16"/>
              </w:rPr>
              <w:t xml:space="preserve">May lead to increased abatement. </w:t>
            </w:r>
          </w:p>
        </w:tc>
        <w:tc>
          <w:tcPr>
            <w:tcW w:w="2117" w:type="dxa"/>
          </w:tcPr>
          <w:p w14:paraId="4DEEB736" w14:textId="77777777" w:rsidR="00F05A26" w:rsidRPr="00120E1B" w:rsidRDefault="00F05A26" w:rsidP="0090077A">
            <w:pPr>
              <w:spacing w:line="240" w:lineRule="auto"/>
              <w:rPr>
                <w:sz w:val="16"/>
                <w:szCs w:val="16"/>
              </w:rPr>
            </w:pPr>
            <w:r>
              <w:rPr>
                <w:sz w:val="16"/>
                <w:szCs w:val="16"/>
              </w:rPr>
              <w:t xml:space="preserve">Allows proponents of projects that require longer planning timeframes to participate. </w:t>
            </w:r>
          </w:p>
        </w:tc>
        <w:tc>
          <w:tcPr>
            <w:tcW w:w="1755" w:type="dxa"/>
          </w:tcPr>
          <w:p w14:paraId="59F783FC" w14:textId="77777777" w:rsidR="00F05A26" w:rsidRPr="00120E1B" w:rsidRDefault="00F05A26" w:rsidP="0090077A">
            <w:pPr>
              <w:spacing w:line="240" w:lineRule="auto"/>
              <w:rPr>
                <w:sz w:val="16"/>
                <w:szCs w:val="16"/>
              </w:rPr>
            </w:pPr>
            <w:r>
              <w:rPr>
                <w:sz w:val="16"/>
                <w:szCs w:val="16"/>
              </w:rPr>
              <w:t>Regulator/ ERAC.</w:t>
            </w:r>
          </w:p>
        </w:tc>
      </w:tr>
      <w:tr w:rsidR="00E93CBF" w:rsidRPr="00120E1B" w14:paraId="00392C6A" w14:textId="77777777" w:rsidTr="00E93CBF">
        <w:trPr>
          <w:cnfStyle w:val="000000010000" w:firstRow="0" w:lastRow="0" w:firstColumn="0" w:lastColumn="0" w:oddVBand="0" w:evenVBand="0" w:oddHBand="0" w:evenHBand="1" w:firstRowFirstColumn="0" w:firstRowLastColumn="0" w:lastRowFirstColumn="0" w:lastRowLastColumn="0"/>
          <w:trHeight w:val="227"/>
        </w:trPr>
        <w:tc>
          <w:tcPr>
            <w:tcW w:w="805" w:type="dxa"/>
            <w:shd w:val="clear" w:color="auto" w:fill="0070AE" w:themeFill="accent2" w:themeFillTint="BF"/>
          </w:tcPr>
          <w:p w14:paraId="6DC72D5F" w14:textId="5AF25FB0" w:rsidR="00E93CBF" w:rsidRPr="004808A9" w:rsidRDefault="00E93CBF" w:rsidP="00E93CBF">
            <w:pPr>
              <w:spacing w:line="240" w:lineRule="auto"/>
              <w:rPr>
                <w:b/>
                <w:sz w:val="16"/>
                <w:szCs w:val="16"/>
              </w:rPr>
            </w:pPr>
          </w:p>
        </w:tc>
        <w:tc>
          <w:tcPr>
            <w:tcW w:w="2724" w:type="dxa"/>
            <w:shd w:val="clear" w:color="auto" w:fill="0070AE" w:themeFill="accent2" w:themeFillTint="BF"/>
          </w:tcPr>
          <w:p w14:paraId="0D2494E5" w14:textId="44DE0F20" w:rsidR="00E93CBF" w:rsidRPr="001D10CD" w:rsidRDefault="00E93CBF" w:rsidP="00E93CBF">
            <w:pPr>
              <w:rPr>
                <w:sz w:val="16"/>
                <w:szCs w:val="16"/>
              </w:rPr>
            </w:pPr>
            <w:r w:rsidRPr="0022784B">
              <w:rPr>
                <w:b/>
                <w:color w:val="FFFFFF" w:themeColor="background1"/>
                <w:sz w:val="16"/>
                <w:szCs w:val="16"/>
              </w:rPr>
              <w:t>RECOMMENDATION</w:t>
            </w:r>
          </w:p>
        </w:tc>
        <w:tc>
          <w:tcPr>
            <w:tcW w:w="2542" w:type="dxa"/>
            <w:shd w:val="clear" w:color="auto" w:fill="0070AE" w:themeFill="accent2" w:themeFillTint="BF"/>
          </w:tcPr>
          <w:p w14:paraId="15F714B8" w14:textId="77777777" w:rsidR="00E93CBF" w:rsidRPr="0022784B" w:rsidRDefault="00E93CBF" w:rsidP="00E93CBF">
            <w:pPr>
              <w:spacing w:line="240" w:lineRule="auto"/>
              <w:rPr>
                <w:b/>
                <w:color w:val="FFFFFF" w:themeColor="background1"/>
                <w:sz w:val="16"/>
                <w:szCs w:val="16"/>
              </w:rPr>
            </w:pPr>
            <w:r w:rsidRPr="0022784B">
              <w:rPr>
                <w:b/>
                <w:color w:val="FFFFFF" w:themeColor="background1"/>
                <w:sz w:val="16"/>
                <w:szCs w:val="16"/>
              </w:rPr>
              <w:t>ECONOMIC EFFICIENCY</w:t>
            </w:r>
          </w:p>
          <w:p w14:paraId="4F70C093" w14:textId="42E2A55E" w:rsidR="00E93CBF" w:rsidRDefault="00E93CBF" w:rsidP="00E93CBF">
            <w:pPr>
              <w:spacing w:line="240" w:lineRule="auto"/>
              <w:rPr>
                <w:sz w:val="16"/>
                <w:szCs w:val="16"/>
              </w:rPr>
            </w:pPr>
            <w:r w:rsidRPr="0022784B">
              <w:rPr>
                <w:b/>
                <w:color w:val="FFFFFF" w:themeColor="background1"/>
                <w:sz w:val="16"/>
                <w:szCs w:val="16"/>
              </w:rPr>
              <w:t>Coats</w:t>
            </w:r>
          </w:p>
        </w:tc>
        <w:tc>
          <w:tcPr>
            <w:tcW w:w="2399" w:type="dxa"/>
            <w:shd w:val="clear" w:color="auto" w:fill="0070AE" w:themeFill="accent2" w:themeFillTint="BF"/>
          </w:tcPr>
          <w:p w14:paraId="0BEEEEC7" w14:textId="77777777" w:rsidR="00E93CBF" w:rsidRPr="0022784B" w:rsidRDefault="00E93CBF" w:rsidP="00E93CBF">
            <w:pPr>
              <w:spacing w:line="240" w:lineRule="auto"/>
              <w:rPr>
                <w:b/>
                <w:color w:val="FFFFFF" w:themeColor="background1"/>
                <w:sz w:val="16"/>
                <w:szCs w:val="16"/>
              </w:rPr>
            </w:pPr>
          </w:p>
          <w:p w14:paraId="3398A7C3" w14:textId="684B03C9" w:rsidR="00E93CBF" w:rsidRDefault="00E93CBF" w:rsidP="00E93CBF">
            <w:pPr>
              <w:spacing w:line="240" w:lineRule="auto"/>
              <w:rPr>
                <w:sz w:val="16"/>
                <w:szCs w:val="16"/>
              </w:rPr>
            </w:pPr>
            <w:r w:rsidRPr="0022784B">
              <w:rPr>
                <w:b/>
                <w:color w:val="FFFFFF" w:themeColor="background1"/>
                <w:sz w:val="16"/>
                <w:szCs w:val="16"/>
              </w:rPr>
              <w:t>Benefits</w:t>
            </w:r>
          </w:p>
        </w:tc>
        <w:tc>
          <w:tcPr>
            <w:tcW w:w="2400" w:type="dxa"/>
            <w:shd w:val="clear" w:color="auto" w:fill="0070AE" w:themeFill="accent2" w:themeFillTint="BF"/>
          </w:tcPr>
          <w:p w14:paraId="0268ADF3" w14:textId="20DD1867" w:rsidR="00E93CBF" w:rsidRDefault="00E93CBF" w:rsidP="00E93CBF">
            <w:pPr>
              <w:spacing w:line="240" w:lineRule="auto"/>
              <w:rPr>
                <w:sz w:val="16"/>
                <w:szCs w:val="16"/>
              </w:rPr>
            </w:pPr>
            <w:r w:rsidRPr="0022784B">
              <w:rPr>
                <w:b/>
                <w:color w:val="FFFFFF" w:themeColor="background1"/>
                <w:sz w:val="16"/>
                <w:szCs w:val="16"/>
              </w:rPr>
              <w:t>ENVIRONMENTAL EFFECTIVENESS</w:t>
            </w:r>
          </w:p>
        </w:tc>
        <w:tc>
          <w:tcPr>
            <w:tcW w:w="2117" w:type="dxa"/>
            <w:shd w:val="clear" w:color="auto" w:fill="0070AE" w:themeFill="accent2" w:themeFillTint="BF"/>
          </w:tcPr>
          <w:p w14:paraId="04E5E90C" w14:textId="5CFDEDD9" w:rsidR="00E93CBF" w:rsidRDefault="00E93CBF" w:rsidP="00E93CBF">
            <w:pPr>
              <w:spacing w:line="240" w:lineRule="auto"/>
              <w:rPr>
                <w:sz w:val="16"/>
                <w:szCs w:val="16"/>
              </w:rPr>
            </w:pPr>
            <w:r w:rsidRPr="0022784B">
              <w:rPr>
                <w:b/>
                <w:color w:val="FFFFFF" w:themeColor="background1"/>
                <w:sz w:val="16"/>
                <w:szCs w:val="16"/>
              </w:rPr>
              <w:t>EQUITY</w:t>
            </w:r>
          </w:p>
        </w:tc>
        <w:tc>
          <w:tcPr>
            <w:tcW w:w="1755" w:type="dxa"/>
            <w:gridSpan w:val="2"/>
            <w:shd w:val="clear" w:color="auto" w:fill="0070AE" w:themeFill="accent2" w:themeFillTint="BF"/>
          </w:tcPr>
          <w:p w14:paraId="032A1375" w14:textId="5AD5E656" w:rsidR="00E93CBF" w:rsidRDefault="00E93CBF" w:rsidP="00E93CBF">
            <w:pPr>
              <w:spacing w:line="240" w:lineRule="auto"/>
              <w:rPr>
                <w:sz w:val="16"/>
                <w:szCs w:val="16"/>
              </w:rPr>
            </w:pPr>
            <w:r w:rsidRPr="0022784B">
              <w:rPr>
                <w:b/>
                <w:color w:val="FFFFFF" w:themeColor="background1"/>
                <w:sz w:val="16"/>
                <w:szCs w:val="16"/>
              </w:rPr>
              <w:t>PROCESS</w:t>
            </w:r>
          </w:p>
        </w:tc>
      </w:tr>
      <w:tr w:rsidR="00F05A26" w:rsidRPr="00120E1B" w14:paraId="15CE10BB" w14:textId="77777777" w:rsidTr="0090077A">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1AD3F768" w14:textId="29EA39D5" w:rsidR="00F05A26" w:rsidRPr="00C20CBA" w:rsidRDefault="00F05A26" w:rsidP="0090077A">
            <w:pPr>
              <w:spacing w:line="240" w:lineRule="auto"/>
              <w:rPr>
                <w:b/>
                <w:sz w:val="16"/>
                <w:szCs w:val="16"/>
              </w:rPr>
            </w:pPr>
            <w:r w:rsidRPr="00C20CBA">
              <w:rPr>
                <w:b/>
                <w:sz w:val="16"/>
                <w:szCs w:val="16"/>
              </w:rPr>
              <w:t>R. 1</w:t>
            </w:r>
            <w:r w:rsidR="00A856A2">
              <w:rPr>
                <w:b/>
                <w:sz w:val="16"/>
                <w:szCs w:val="16"/>
              </w:rPr>
              <w:t>1</w:t>
            </w:r>
          </w:p>
        </w:tc>
        <w:tc>
          <w:tcPr>
            <w:tcW w:w="2724" w:type="dxa"/>
          </w:tcPr>
          <w:p w14:paraId="79F6FA25" w14:textId="12E75242" w:rsidR="004808A9" w:rsidRPr="001D10CD" w:rsidRDefault="004808A9" w:rsidP="004808A9">
            <w:pPr>
              <w:rPr>
                <w:rFonts w:cs="Arial"/>
                <w:sz w:val="16"/>
                <w:szCs w:val="16"/>
              </w:rPr>
            </w:pPr>
            <w:r>
              <w:rPr>
                <w:rFonts w:cs="Arial"/>
              </w:rPr>
              <w:t xml:space="preserve"> </w:t>
            </w:r>
            <w:r w:rsidRPr="001D10CD">
              <w:rPr>
                <w:rFonts w:cs="Arial"/>
                <w:sz w:val="16"/>
                <w:szCs w:val="16"/>
              </w:rPr>
              <w:t>To</w:t>
            </w:r>
            <w:r w:rsidRPr="00570CC8">
              <w:rPr>
                <w:sz w:val="16"/>
                <w:szCs w:val="16"/>
              </w:rPr>
              <w:t xml:space="preserve"> support potential ERF projects with high upfront costs</w:t>
            </w:r>
            <w:r w:rsidRPr="001D10CD">
              <w:rPr>
                <w:rFonts w:cs="Arial"/>
                <w:sz w:val="16"/>
                <w:szCs w:val="16"/>
              </w:rPr>
              <w:t xml:space="preserve"> while upholding the integrity of the scheme, the Government explore innovative financing approaches on a method by method basis</w:t>
            </w:r>
            <w:r>
              <w:rPr>
                <w:sz w:val="16"/>
                <w:szCs w:val="16"/>
              </w:rPr>
              <w:t>, for example concessional loans</w:t>
            </w:r>
            <w:r w:rsidRPr="00570CC8">
              <w:rPr>
                <w:sz w:val="16"/>
                <w:szCs w:val="16"/>
              </w:rPr>
              <w:t xml:space="preserve"> (see also Recommendation 4)</w:t>
            </w:r>
            <w:r>
              <w:rPr>
                <w:sz w:val="16"/>
                <w:szCs w:val="16"/>
              </w:rPr>
              <w:t>,</w:t>
            </w:r>
            <w:r w:rsidRPr="00570CC8">
              <w:rPr>
                <w:sz w:val="16"/>
                <w:szCs w:val="16"/>
              </w:rPr>
              <w:t xml:space="preserve"> </w:t>
            </w:r>
            <w:r w:rsidRPr="001D10CD">
              <w:rPr>
                <w:rFonts w:cs="Arial"/>
                <w:sz w:val="16"/>
                <w:szCs w:val="16"/>
              </w:rPr>
              <w:t>rather than using</w:t>
            </w:r>
            <w:r w:rsidRPr="00570CC8">
              <w:rPr>
                <w:sz w:val="16"/>
                <w:szCs w:val="16"/>
              </w:rPr>
              <w:t xml:space="preserve"> compressed crediting. </w:t>
            </w:r>
          </w:p>
          <w:p w14:paraId="025F1716" w14:textId="77777777" w:rsidR="00F05A26" w:rsidRPr="00120E1B" w:rsidRDefault="00F05A26" w:rsidP="004808A9">
            <w:pPr>
              <w:spacing w:line="240" w:lineRule="auto"/>
              <w:rPr>
                <w:sz w:val="16"/>
                <w:szCs w:val="16"/>
              </w:rPr>
            </w:pPr>
          </w:p>
        </w:tc>
        <w:tc>
          <w:tcPr>
            <w:tcW w:w="2542" w:type="dxa"/>
          </w:tcPr>
          <w:p w14:paraId="150559F2" w14:textId="77777777" w:rsidR="00F05A26" w:rsidRPr="00120E1B" w:rsidRDefault="00F05A26" w:rsidP="0090077A">
            <w:pPr>
              <w:spacing w:line="240" w:lineRule="auto"/>
              <w:rPr>
                <w:sz w:val="16"/>
                <w:szCs w:val="16"/>
              </w:rPr>
            </w:pPr>
            <w:r>
              <w:rPr>
                <w:sz w:val="16"/>
                <w:szCs w:val="16"/>
              </w:rPr>
              <w:t>Part of current Government response to King Review recommendations on approaches to supporting ERF projects with high upfront costs.</w:t>
            </w:r>
          </w:p>
        </w:tc>
        <w:tc>
          <w:tcPr>
            <w:tcW w:w="2399" w:type="dxa"/>
          </w:tcPr>
          <w:p w14:paraId="0958602D" w14:textId="77777777" w:rsidR="00F05A26" w:rsidRDefault="00F05A26" w:rsidP="0090077A">
            <w:pPr>
              <w:spacing w:line="240" w:lineRule="auto"/>
              <w:rPr>
                <w:sz w:val="16"/>
                <w:szCs w:val="16"/>
              </w:rPr>
            </w:pPr>
            <w:r>
              <w:rPr>
                <w:sz w:val="16"/>
                <w:szCs w:val="16"/>
              </w:rPr>
              <w:t>Increased efficiency and reduced costs to participants from greater alignment of support with project costs.</w:t>
            </w:r>
          </w:p>
          <w:p w14:paraId="1E6E5EDD" w14:textId="77777777" w:rsidR="00F05A26" w:rsidRDefault="00F05A26" w:rsidP="0090077A">
            <w:pPr>
              <w:spacing w:line="240" w:lineRule="auto"/>
              <w:rPr>
                <w:sz w:val="16"/>
                <w:szCs w:val="16"/>
              </w:rPr>
            </w:pPr>
            <w:r>
              <w:rPr>
                <w:sz w:val="16"/>
                <w:szCs w:val="16"/>
              </w:rPr>
              <w:t>Reduction in administrative and regulatory costs to Regulator and participants associated with establishing compressed crediting.</w:t>
            </w:r>
          </w:p>
          <w:p w14:paraId="0B3A06D3" w14:textId="77777777" w:rsidR="00F05A26" w:rsidRPr="00120E1B" w:rsidRDefault="00F05A26" w:rsidP="0090077A">
            <w:pPr>
              <w:spacing w:line="240" w:lineRule="auto"/>
              <w:rPr>
                <w:sz w:val="16"/>
                <w:szCs w:val="16"/>
              </w:rPr>
            </w:pPr>
          </w:p>
        </w:tc>
        <w:tc>
          <w:tcPr>
            <w:tcW w:w="2400" w:type="dxa"/>
          </w:tcPr>
          <w:p w14:paraId="4C248B84" w14:textId="77777777" w:rsidR="00F05A26" w:rsidRDefault="00F05A26" w:rsidP="0090077A">
            <w:pPr>
              <w:spacing w:line="240" w:lineRule="auto"/>
              <w:rPr>
                <w:sz w:val="16"/>
                <w:szCs w:val="16"/>
              </w:rPr>
            </w:pPr>
            <w:r>
              <w:rPr>
                <w:sz w:val="16"/>
                <w:szCs w:val="16"/>
              </w:rPr>
              <w:t>Integrity of scheme maintained.</w:t>
            </w:r>
          </w:p>
          <w:p w14:paraId="31093001" w14:textId="77777777" w:rsidR="00F05A26" w:rsidRPr="00120E1B" w:rsidRDefault="00F05A26" w:rsidP="0090077A">
            <w:pPr>
              <w:spacing w:line="240" w:lineRule="auto"/>
              <w:rPr>
                <w:sz w:val="16"/>
                <w:szCs w:val="16"/>
              </w:rPr>
            </w:pPr>
          </w:p>
        </w:tc>
        <w:tc>
          <w:tcPr>
            <w:tcW w:w="2117" w:type="dxa"/>
          </w:tcPr>
          <w:p w14:paraId="4883632A" w14:textId="77777777" w:rsidR="00F05A26" w:rsidRPr="00120E1B" w:rsidRDefault="00F05A26" w:rsidP="0090077A">
            <w:pPr>
              <w:spacing w:line="240" w:lineRule="auto"/>
              <w:rPr>
                <w:sz w:val="16"/>
                <w:szCs w:val="16"/>
              </w:rPr>
            </w:pPr>
            <w:r>
              <w:rPr>
                <w:sz w:val="16"/>
                <w:szCs w:val="16"/>
              </w:rPr>
              <w:t>NA</w:t>
            </w:r>
          </w:p>
        </w:tc>
        <w:tc>
          <w:tcPr>
            <w:tcW w:w="2120" w:type="dxa"/>
            <w:gridSpan w:val="2"/>
          </w:tcPr>
          <w:p w14:paraId="73802310" w14:textId="77777777" w:rsidR="00F05A26" w:rsidRPr="00120E1B" w:rsidRDefault="00F05A26" w:rsidP="0090077A">
            <w:pPr>
              <w:spacing w:line="240" w:lineRule="auto"/>
              <w:rPr>
                <w:sz w:val="16"/>
                <w:szCs w:val="16"/>
              </w:rPr>
            </w:pPr>
            <w:r>
              <w:rPr>
                <w:sz w:val="16"/>
                <w:szCs w:val="16"/>
              </w:rPr>
              <w:t>Department of Industry, Science, Energy and Resources.</w:t>
            </w:r>
          </w:p>
        </w:tc>
      </w:tr>
      <w:tr w:rsidR="00F05A26" w:rsidRPr="00120E1B" w14:paraId="00ADEAAF" w14:textId="77777777" w:rsidTr="0090077A">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1D648969" w14:textId="1CA14029" w:rsidR="00F05A26" w:rsidRPr="00C20CBA" w:rsidRDefault="00F05A26" w:rsidP="0090077A">
            <w:pPr>
              <w:spacing w:line="240" w:lineRule="auto"/>
              <w:rPr>
                <w:b/>
                <w:sz w:val="16"/>
                <w:szCs w:val="16"/>
              </w:rPr>
            </w:pPr>
            <w:r w:rsidRPr="00C20CBA">
              <w:rPr>
                <w:b/>
                <w:sz w:val="16"/>
                <w:szCs w:val="16"/>
              </w:rPr>
              <w:t>R. 1</w:t>
            </w:r>
            <w:r w:rsidR="00A856A2">
              <w:rPr>
                <w:b/>
                <w:sz w:val="16"/>
                <w:szCs w:val="16"/>
              </w:rPr>
              <w:t>2</w:t>
            </w:r>
          </w:p>
        </w:tc>
        <w:tc>
          <w:tcPr>
            <w:tcW w:w="2724" w:type="dxa"/>
          </w:tcPr>
          <w:p w14:paraId="34041806" w14:textId="51FDB362" w:rsidR="007251F7" w:rsidRPr="001D10CD" w:rsidRDefault="007251F7" w:rsidP="007251F7">
            <w:pPr>
              <w:textAlignment w:val="baseline"/>
              <w:rPr>
                <w:rFonts w:cs="Arial"/>
                <w:sz w:val="16"/>
                <w:szCs w:val="16"/>
              </w:rPr>
            </w:pPr>
            <w:r>
              <w:rPr>
                <w:rFonts w:cs="Arial"/>
              </w:rPr>
              <w:t xml:space="preserve"> </w:t>
            </w:r>
            <w:r w:rsidRPr="001D10CD">
              <w:rPr>
                <w:rFonts w:cs="Arial"/>
                <w:sz w:val="16"/>
                <w:szCs w:val="16"/>
              </w:rPr>
              <w:t>To ensure ongoing confidence in the administration of the ERF under consolidated responsibilities, the Regulator build on its existing probity and governance measures by:</w:t>
            </w:r>
          </w:p>
          <w:p w14:paraId="1C1A7579" w14:textId="77777777" w:rsidR="007251F7" w:rsidRPr="004479E4" w:rsidRDefault="007251F7" w:rsidP="00004274">
            <w:pPr>
              <w:pStyle w:val="ListParagraph"/>
              <w:numPr>
                <w:ilvl w:val="0"/>
                <w:numId w:val="40"/>
              </w:numPr>
              <w:textAlignment w:val="baseline"/>
              <w:rPr>
                <w:rFonts w:cs="Arial"/>
                <w:sz w:val="16"/>
                <w:szCs w:val="16"/>
              </w:rPr>
            </w:pPr>
            <w:r w:rsidRPr="001D10CD">
              <w:rPr>
                <w:rFonts w:cs="Arial"/>
                <w:sz w:val="16"/>
                <w:szCs w:val="16"/>
              </w:rPr>
              <w:t>maintaining</w:t>
            </w:r>
            <w:r w:rsidRPr="004479E4">
              <w:rPr>
                <w:rFonts w:cs="Arial"/>
                <w:sz w:val="16"/>
                <w:szCs w:val="16"/>
              </w:rPr>
              <w:t xml:space="preserve"> separate decision makers, including at senior executive level, for each of </w:t>
            </w:r>
            <w:r w:rsidRPr="001D10CD">
              <w:rPr>
                <w:rFonts w:cs="Arial"/>
                <w:sz w:val="16"/>
                <w:szCs w:val="16"/>
              </w:rPr>
              <w:t>its</w:t>
            </w:r>
            <w:r w:rsidRPr="004479E4">
              <w:rPr>
                <w:rFonts w:cs="Arial"/>
                <w:sz w:val="16"/>
                <w:szCs w:val="16"/>
              </w:rPr>
              <w:t xml:space="preserve"> key functions – method development and variation; compliance and enforcement; and crediting and purchasing of ACCUs</w:t>
            </w:r>
          </w:p>
          <w:p w14:paraId="3E196DE3" w14:textId="77777777" w:rsidR="007251F7" w:rsidRPr="004479E4" w:rsidRDefault="007251F7" w:rsidP="00004274">
            <w:pPr>
              <w:pStyle w:val="ListParagraph"/>
              <w:numPr>
                <w:ilvl w:val="0"/>
                <w:numId w:val="40"/>
              </w:numPr>
              <w:textAlignment w:val="baseline"/>
              <w:rPr>
                <w:rFonts w:cs="Arial"/>
                <w:sz w:val="16"/>
                <w:szCs w:val="16"/>
              </w:rPr>
            </w:pPr>
            <w:r w:rsidRPr="004479E4">
              <w:rPr>
                <w:rFonts w:cs="Arial"/>
                <w:sz w:val="16"/>
                <w:szCs w:val="16"/>
              </w:rPr>
              <w:t xml:space="preserve">obtaining independent probity advice on the operation and separation of the key functions. </w:t>
            </w:r>
          </w:p>
          <w:p w14:paraId="70996984" w14:textId="77777777" w:rsidR="007251F7" w:rsidRPr="001D10CD" w:rsidRDefault="007251F7" w:rsidP="007251F7">
            <w:pPr>
              <w:pStyle w:val="ListParagraph"/>
              <w:tabs>
                <w:tab w:val="left" w:pos="3608"/>
              </w:tabs>
              <w:textAlignment w:val="baseline"/>
              <w:rPr>
                <w:rFonts w:cs="Arial"/>
                <w:sz w:val="16"/>
                <w:szCs w:val="16"/>
              </w:rPr>
            </w:pPr>
            <w:r w:rsidRPr="001D10CD">
              <w:rPr>
                <w:rFonts w:cs="Arial"/>
                <w:sz w:val="16"/>
                <w:szCs w:val="16"/>
              </w:rPr>
              <w:tab/>
            </w:r>
          </w:p>
          <w:p w14:paraId="4871D4CE" w14:textId="77777777" w:rsidR="007251F7" w:rsidRPr="00085B03" w:rsidRDefault="007251F7" w:rsidP="007251F7">
            <w:pPr>
              <w:rPr>
                <w:rStyle w:val="normaltextrun1"/>
              </w:rPr>
            </w:pPr>
            <w:r w:rsidRPr="004479E4">
              <w:rPr>
                <w:rFonts w:cs="Arial"/>
                <w:sz w:val="16"/>
                <w:szCs w:val="16"/>
              </w:rPr>
              <w:t xml:space="preserve">The Australian National Audit Office undertake a performance audit </w:t>
            </w:r>
            <w:r w:rsidRPr="004479E4" w:rsidDel="00A2110D">
              <w:rPr>
                <w:rFonts w:cs="Arial"/>
                <w:sz w:val="16"/>
                <w:szCs w:val="16"/>
              </w:rPr>
              <w:t xml:space="preserve">after the first two years of </w:t>
            </w:r>
            <w:r w:rsidRPr="004479E4">
              <w:rPr>
                <w:rFonts w:cs="Arial"/>
                <w:sz w:val="16"/>
                <w:szCs w:val="16"/>
              </w:rPr>
              <w:t>the consolidation of functions</w:t>
            </w:r>
            <w:r w:rsidRPr="001D10CD">
              <w:rPr>
                <w:rFonts w:cs="Arial"/>
                <w:sz w:val="16"/>
                <w:szCs w:val="16"/>
              </w:rPr>
              <w:t xml:space="preserve"> </w:t>
            </w:r>
            <w:r w:rsidRPr="004479E4">
              <w:rPr>
                <w:rFonts w:cs="Arial"/>
                <w:sz w:val="16"/>
                <w:szCs w:val="16"/>
              </w:rPr>
              <w:t>within the Regulator.</w:t>
            </w:r>
            <w:r w:rsidRPr="00085B03">
              <w:rPr>
                <w:rStyle w:val="normaltextrun1"/>
              </w:rPr>
              <w:t xml:space="preserve"> </w:t>
            </w:r>
          </w:p>
          <w:p w14:paraId="49D6C380" w14:textId="2E7CFAAE" w:rsidR="00F05A26" w:rsidRPr="00EB19DE" w:rsidRDefault="00F05A26" w:rsidP="007251F7">
            <w:pPr>
              <w:spacing w:line="259" w:lineRule="auto"/>
              <w:rPr>
                <w:rFonts w:cs="Arial"/>
                <w:sz w:val="18"/>
                <w:szCs w:val="18"/>
              </w:rPr>
            </w:pPr>
          </w:p>
        </w:tc>
        <w:tc>
          <w:tcPr>
            <w:tcW w:w="2542" w:type="dxa"/>
          </w:tcPr>
          <w:p w14:paraId="4F16DA18" w14:textId="77777777" w:rsidR="00F05A26" w:rsidRPr="005A6C68" w:rsidRDefault="00F05A26" w:rsidP="0090077A">
            <w:pPr>
              <w:spacing w:line="240" w:lineRule="auto"/>
              <w:rPr>
                <w:rFonts w:cs="Arial"/>
                <w:sz w:val="16"/>
                <w:szCs w:val="16"/>
              </w:rPr>
            </w:pPr>
            <w:r w:rsidRPr="008C33D4">
              <w:rPr>
                <w:rFonts w:cs="Arial"/>
                <w:sz w:val="16"/>
                <w:szCs w:val="16"/>
              </w:rPr>
              <w:t xml:space="preserve">Additional administrative </w:t>
            </w:r>
            <w:r>
              <w:rPr>
                <w:rFonts w:cs="Arial"/>
                <w:sz w:val="16"/>
                <w:szCs w:val="16"/>
              </w:rPr>
              <w:t xml:space="preserve">costs </w:t>
            </w:r>
            <w:r w:rsidRPr="008C33D4">
              <w:rPr>
                <w:rFonts w:cs="Arial"/>
                <w:sz w:val="16"/>
                <w:szCs w:val="16"/>
              </w:rPr>
              <w:t>associated with establishing processes and independent advice</w:t>
            </w:r>
            <w:r>
              <w:rPr>
                <w:rFonts w:cs="Arial"/>
                <w:sz w:val="16"/>
                <w:szCs w:val="16"/>
              </w:rPr>
              <w:t xml:space="preserve">. </w:t>
            </w:r>
          </w:p>
          <w:p w14:paraId="3AB9A755" w14:textId="77777777" w:rsidR="00F05A26" w:rsidRPr="00120E1B" w:rsidRDefault="00F05A26" w:rsidP="0090077A">
            <w:pPr>
              <w:spacing w:line="240" w:lineRule="auto"/>
              <w:rPr>
                <w:sz w:val="16"/>
                <w:szCs w:val="16"/>
              </w:rPr>
            </w:pPr>
            <w:r w:rsidRPr="005A6C68" w:rsidDel="00A2768B">
              <w:rPr>
                <w:rFonts w:cs="Arial"/>
                <w:sz w:val="16"/>
                <w:szCs w:val="16"/>
              </w:rPr>
              <w:t xml:space="preserve"> </w:t>
            </w:r>
          </w:p>
        </w:tc>
        <w:tc>
          <w:tcPr>
            <w:tcW w:w="2399" w:type="dxa"/>
          </w:tcPr>
          <w:p w14:paraId="7F552ED5" w14:textId="77777777" w:rsidR="00F05A26" w:rsidRDefault="00F05A26" w:rsidP="0090077A">
            <w:pPr>
              <w:spacing w:line="240" w:lineRule="auto"/>
              <w:rPr>
                <w:rFonts w:cs="Arial"/>
                <w:sz w:val="16"/>
                <w:szCs w:val="16"/>
              </w:rPr>
            </w:pPr>
            <w:r>
              <w:rPr>
                <w:rFonts w:cs="Arial"/>
                <w:sz w:val="16"/>
                <w:szCs w:val="16"/>
              </w:rPr>
              <w:t xml:space="preserve">Market maintains confidence in the ERF through managing perceived conflicts of interest. </w:t>
            </w:r>
          </w:p>
          <w:p w14:paraId="01F2A21C" w14:textId="77777777" w:rsidR="00F05A26" w:rsidRDefault="00F05A26" w:rsidP="0090077A">
            <w:pPr>
              <w:spacing w:line="240" w:lineRule="auto"/>
              <w:rPr>
                <w:rFonts w:cs="Arial"/>
                <w:sz w:val="16"/>
                <w:szCs w:val="16"/>
              </w:rPr>
            </w:pPr>
          </w:p>
          <w:p w14:paraId="5441C20B" w14:textId="77777777" w:rsidR="00F05A26" w:rsidRDefault="00F05A26" w:rsidP="0090077A">
            <w:pPr>
              <w:spacing w:line="240" w:lineRule="auto"/>
              <w:rPr>
                <w:rFonts w:cs="Arial"/>
                <w:sz w:val="16"/>
                <w:szCs w:val="16"/>
              </w:rPr>
            </w:pPr>
          </w:p>
          <w:p w14:paraId="79BE10D6" w14:textId="77777777" w:rsidR="00F05A26" w:rsidRPr="00120E1B" w:rsidRDefault="00F05A26" w:rsidP="0090077A">
            <w:pPr>
              <w:spacing w:line="240" w:lineRule="auto"/>
              <w:rPr>
                <w:sz w:val="16"/>
                <w:szCs w:val="16"/>
              </w:rPr>
            </w:pPr>
          </w:p>
        </w:tc>
        <w:tc>
          <w:tcPr>
            <w:tcW w:w="2400" w:type="dxa"/>
          </w:tcPr>
          <w:p w14:paraId="0B98E7B8" w14:textId="77777777" w:rsidR="00F05A26" w:rsidRDefault="00F05A26" w:rsidP="0090077A">
            <w:pPr>
              <w:spacing w:line="240" w:lineRule="auto"/>
              <w:rPr>
                <w:sz w:val="16"/>
                <w:szCs w:val="16"/>
              </w:rPr>
            </w:pPr>
            <w:r>
              <w:rPr>
                <w:sz w:val="16"/>
                <w:szCs w:val="16"/>
              </w:rPr>
              <w:t>Integrity of scheme maintained.</w:t>
            </w:r>
          </w:p>
          <w:p w14:paraId="03FE28A2" w14:textId="77777777" w:rsidR="00F05A26" w:rsidRPr="00120E1B" w:rsidRDefault="00F05A26" w:rsidP="0090077A">
            <w:pPr>
              <w:spacing w:line="240" w:lineRule="auto"/>
              <w:rPr>
                <w:sz w:val="16"/>
                <w:szCs w:val="16"/>
              </w:rPr>
            </w:pPr>
          </w:p>
        </w:tc>
        <w:tc>
          <w:tcPr>
            <w:tcW w:w="2117" w:type="dxa"/>
          </w:tcPr>
          <w:p w14:paraId="48697776" w14:textId="77777777" w:rsidR="00F05A26" w:rsidRPr="00120E1B" w:rsidRDefault="00F05A26" w:rsidP="0090077A">
            <w:pPr>
              <w:spacing w:line="240" w:lineRule="auto"/>
              <w:rPr>
                <w:sz w:val="16"/>
                <w:szCs w:val="16"/>
              </w:rPr>
            </w:pPr>
            <w:r>
              <w:rPr>
                <w:rFonts w:cs="Arial"/>
                <w:sz w:val="16"/>
                <w:szCs w:val="16"/>
              </w:rPr>
              <w:t>Improved information and transparency for market and Australian public.</w:t>
            </w:r>
          </w:p>
        </w:tc>
        <w:tc>
          <w:tcPr>
            <w:tcW w:w="2120" w:type="dxa"/>
            <w:gridSpan w:val="2"/>
          </w:tcPr>
          <w:p w14:paraId="1118D4F1" w14:textId="77777777" w:rsidR="00F05A26" w:rsidRPr="00120E1B" w:rsidRDefault="00F05A26" w:rsidP="0090077A">
            <w:pPr>
              <w:spacing w:line="240" w:lineRule="auto"/>
              <w:rPr>
                <w:sz w:val="16"/>
                <w:szCs w:val="16"/>
              </w:rPr>
            </w:pPr>
            <w:r>
              <w:rPr>
                <w:rFonts w:cs="Arial"/>
                <w:sz w:val="16"/>
                <w:szCs w:val="16"/>
              </w:rPr>
              <w:t>Regulator/ANAO</w:t>
            </w:r>
          </w:p>
        </w:tc>
      </w:tr>
      <w:tr w:rsidR="00E93CBF" w:rsidRPr="00120E1B" w14:paraId="1DB70FBE" w14:textId="77777777" w:rsidTr="00E93CBF">
        <w:trPr>
          <w:cnfStyle w:val="000000100000" w:firstRow="0" w:lastRow="0" w:firstColumn="0" w:lastColumn="0" w:oddVBand="0" w:evenVBand="0" w:oddHBand="1" w:evenHBand="0" w:firstRowFirstColumn="0" w:firstRowLastColumn="0" w:lastRowFirstColumn="0" w:lastRowLastColumn="0"/>
          <w:trHeight w:val="227"/>
        </w:trPr>
        <w:tc>
          <w:tcPr>
            <w:tcW w:w="805" w:type="dxa"/>
            <w:shd w:val="clear" w:color="auto" w:fill="0070AE" w:themeFill="accent2" w:themeFillTint="BF"/>
          </w:tcPr>
          <w:p w14:paraId="5B7FD817" w14:textId="2A8280AE" w:rsidR="00E93CBF" w:rsidRPr="00C20CBA" w:rsidRDefault="00E93CBF" w:rsidP="00E93CBF">
            <w:pPr>
              <w:spacing w:line="240" w:lineRule="auto"/>
              <w:rPr>
                <w:b/>
                <w:sz w:val="16"/>
                <w:szCs w:val="16"/>
              </w:rPr>
            </w:pPr>
          </w:p>
        </w:tc>
        <w:tc>
          <w:tcPr>
            <w:tcW w:w="2724" w:type="dxa"/>
            <w:shd w:val="clear" w:color="auto" w:fill="0070AE" w:themeFill="accent2" w:themeFillTint="BF"/>
          </w:tcPr>
          <w:p w14:paraId="5291C385" w14:textId="548A1837" w:rsidR="00E93CBF" w:rsidRDefault="00E93CBF" w:rsidP="00E93CBF">
            <w:pPr>
              <w:textAlignment w:val="baseline"/>
              <w:rPr>
                <w:rFonts w:cs="Arial"/>
              </w:rPr>
            </w:pPr>
            <w:r w:rsidRPr="0022784B">
              <w:rPr>
                <w:b/>
                <w:color w:val="FFFFFF" w:themeColor="background1"/>
                <w:sz w:val="16"/>
                <w:szCs w:val="16"/>
              </w:rPr>
              <w:t>RECOMMENDATION</w:t>
            </w:r>
          </w:p>
        </w:tc>
        <w:tc>
          <w:tcPr>
            <w:tcW w:w="2542" w:type="dxa"/>
            <w:shd w:val="clear" w:color="auto" w:fill="0070AE" w:themeFill="accent2" w:themeFillTint="BF"/>
          </w:tcPr>
          <w:p w14:paraId="50CFC69A" w14:textId="77777777" w:rsidR="00E93CBF" w:rsidRPr="0022784B" w:rsidRDefault="00E93CBF" w:rsidP="00E93CBF">
            <w:pPr>
              <w:spacing w:line="240" w:lineRule="auto"/>
              <w:rPr>
                <w:b/>
                <w:color w:val="FFFFFF" w:themeColor="background1"/>
                <w:sz w:val="16"/>
                <w:szCs w:val="16"/>
              </w:rPr>
            </w:pPr>
            <w:r w:rsidRPr="0022784B">
              <w:rPr>
                <w:b/>
                <w:color w:val="FFFFFF" w:themeColor="background1"/>
                <w:sz w:val="16"/>
                <w:szCs w:val="16"/>
              </w:rPr>
              <w:t>ECONOMIC EFFICIENCY</w:t>
            </w:r>
          </w:p>
          <w:p w14:paraId="3D06A500" w14:textId="4E02ECDE" w:rsidR="00E93CBF" w:rsidRPr="008C33D4" w:rsidRDefault="00E93CBF" w:rsidP="00E93CBF">
            <w:pPr>
              <w:spacing w:line="240" w:lineRule="auto"/>
              <w:rPr>
                <w:rFonts w:cs="Arial"/>
                <w:sz w:val="16"/>
                <w:szCs w:val="16"/>
              </w:rPr>
            </w:pPr>
            <w:r w:rsidRPr="0022784B">
              <w:rPr>
                <w:b/>
                <w:color w:val="FFFFFF" w:themeColor="background1"/>
                <w:sz w:val="16"/>
                <w:szCs w:val="16"/>
              </w:rPr>
              <w:t>Coats</w:t>
            </w:r>
          </w:p>
        </w:tc>
        <w:tc>
          <w:tcPr>
            <w:tcW w:w="2399" w:type="dxa"/>
            <w:shd w:val="clear" w:color="auto" w:fill="0070AE" w:themeFill="accent2" w:themeFillTint="BF"/>
          </w:tcPr>
          <w:p w14:paraId="6145E234" w14:textId="77777777" w:rsidR="00E93CBF" w:rsidRPr="0022784B" w:rsidRDefault="00E93CBF" w:rsidP="00E93CBF">
            <w:pPr>
              <w:spacing w:line="240" w:lineRule="auto"/>
              <w:rPr>
                <w:b/>
                <w:color w:val="FFFFFF" w:themeColor="background1"/>
                <w:sz w:val="16"/>
                <w:szCs w:val="16"/>
              </w:rPr>
            </w:pPr>
          </w:p>
          <w:p w14:paraId="42F4C91E" w14:textId="5103D1C3" w:rsidR="00E93CBF" w:rsidRDefault="00E93CBF" w:rsidP="00E93CBF">
            <w:pPr>
              <w:spacing w:line="240" w:lineRule="auto"/>
              <w:rPr>
                <w:rFonts w:cs="Arial"/>
                <w:sz w:val="16"/>
                <w:szCs w:val="16"/>
              </w:rPr>
            </w:pPr>
            <w:r w:rsidRPr="0022784B">
              <w:rPr>
                <w:b/>
                <w:color w:val="FFFFFF" w:themeColor="background1"/>
                <w:sz w:val="16"/>
                <w:szCs w:val="16"/>
              </w:rPr>
              <w:t>Benefits</w:t>
            </w:r>
          </w:p>
        </w:tc>
        <w:tc>
          <w:tcPr>
            <w:tcW w:w="2400" w:type="dxa"/>
            <w:shd w:val="clear" w:color="auto" w:fill="0070AE" w:themeFill="accent2" w:themeFillTint="BF"/>
          </w:tcPr>
          <w:p w14:paraId="43D44EC0" w14:textId="1A92FCC2" w:rsidR="00E93CBF" w:rsidRDefault="00E93CBF" w:rsidP="00E93CBF">
            <w:pPr>
              <w:spacing w:line="240" w:lineRule="auto"/>
              <w:rPr>
                <w:sz w:val="16"/>
                <w:szCs w:val="16"/>
              </w:rPr>
            </w:pPr>
            <w:r w:rsidRPr="0022784B">
              <w:rPr>
                <w:b/>
                <w:color w:val="FFFFFF" w:themeColor="background1"/>
                <w:sz w:val="16"/>
                <w:szCs w:val="16"/>
              </w:rPr>
              <w:t>ENVIRONMENTAL EFFECTIVENESS</w:t>
            </w:r>
          </w:p>
        </w:tc>
        <w:tc>
          <w:tcPr>
            <w:tcW w:w="2117" w:type="dxa"/>
            <w:shd w:val="clear" w:color="auto" w:fill="0070AE" w:themeFill="accent2" w:themeFillTint="BF"/>
          </w:tcPr>
          <w:p w14:paraId="42DE0733" w14:textId="13F76CEE" w:rsidR="00E93CBF" w:rsidRDefault="00E93CBF" w:rsidP="00E93CBF">
            <w:pPr>
              <w:spacing w:line="240" w:lineRule="auto"/>
              <w:rPr>
                <w:rFonts w:cs="Arial"/>
                <w:sz w:val="16"/>
                <w:szCs w:val="16"/>
              </w:rPr>
            </w:pPr>
            <w:r w:rsidRPr="0022784B">
              <w:rPr>
                <w:b/>
                <w:color w:val="FFFFFF" w:themeColor="background1"/>
                <w:sz w:val="16"/>
                <w:szCs w:val="16"/>
              </w:rPr>
              <w:t>EQUITY</w:t>
            </w:r>
          </w:p>
        </w:tc>
        <w:tc>
          <w:tcPr>
            <w:tcW w:w="2120" w:type="dxa"/>
            <w:gridSpan w:val="2"/>
            <w:shd w:val="clear" w:color="auto" w:fill="0070AE" w:themeFill="accent2" w:themeFillTint="BF"/>
          </w:tcPr>
          <w:p w14:paraId="5AC6F522" w14:textId="71281A36" w:rsidR="00E93CBF" w:rsidRDefault="00E93CBF" w:rsidP="00E93CBF">
            <w:pPr>
              <w:spacing w:line="240" w:lineRule="auto"/>
              <w:rPr>
                <w:rFonts w:cs="Arial"/>
                <w:sz w:val="16"/>
                <w:szCs w:val="16"/>
              </w:rPr>
            </w:pPr>
            <w:r w:rsidRPr="0022784B">
              <w:rPr>
                <w:b/>
                <w:color w:val="FFFFFF" w:themeColor="background1"/>
                <w:sz w:val="16"/>
                <w:szCs w:val="16"/>
              </w:rPr>
              <w:t>PROCESS</w:t>
            </w:r>
          </w:p>
        </w:tc>
      </w:tr>
      <w:tr w:rsidR="00F05A26" w:rsidRPr="00120E1B" w14:paraId="28088280" w14:textId="77777777" w:rsidTr="0090077A">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2B10F9D7" w14:textId="71272D59" w:rsidR="00F05A26" w:rsidRPr="00C20CBA" w:rsidRDefault="00F05A26" w:rsidP="0090077A">
            <w:pPr>
              <w:spacing w:line="240" w:lineRule="auto"/>
              <w:rPr>
                <w:b/>
                <w:sz w:val="16"/>
                <w:szCs w:val="16"/>
              </w:rPr>
            </w:pPr>
            <w:r w:rsidRPr="00C20CBA">
              <w:rPr>
                <w:b/>
                <w:sz w:val="16"/>
                <w:szCs w:val="16"/>
              </w:rPr>
              <w:t>R. 1</w:t>
            </w:r>
            <w:r w:rsidR="00A856A2">
              <w:rPr>
                <w:b/>
                <w:sz w:val="16"/>
                <w:szCs w:val="16"/>
              </w:rPr>
              <w:t>3</w:t>
            </w:r>
          </w:p>
        </w:tc>
        <w:tc>
          <w:tcPr>
            <w:tcW w:w="2724" w:type="dxa"/>
          </w:tcPr>
          <w:p w14:paraId="3B1D084F" w14:textId="360555AD" w:rsidR="00E108E3" w:rsidRPr="001D10CD" w:rsidRDefault="00E108E3" w:rsidP="00E108E3">
            <w:pPr>
              <w:textAlignment w:val="baseline"/>
              <w:rPr>
                <w:rStyle w:val="normaltextrun1"/>
                <w:rFonts w:cs="Arial"/>
                <w:sz w:val="16"/>
                <w:szCs w:val="16"/>
              </w:rPr>
            </w:pPr>
            <w:r w:rsidRPr="001D10CD">
              <w:rPr>
                <w:rStyle w:val="normaltextrun1"/>
                <w:rFonts w:cs="Arial"/>
                <w:sz w:val="16"/>
                <w:szCs w:val="16"/>
              </w:rPr>
              <w:t xml:space="preserve">To give industry a greater opportunity to contribute to the development of new methods and increase transparency, the Government consider establishing a Steering Committee under a regulatory instrument to the CFI Act to oversee method development and variations. The Steering Committee should comprise representatives of the CSIRO, the Department (including from the National Greenhouse Gas Inventory team), the Regulator, the carbon industry, and as an observer, the ERAC. </w:t>
            </w:r>
          </w:p>
          <w:p w14:paraId="63D49610" w14:textId="77777777" w:rsidR="00E108E3" w:rsidRPr="001D10CD" w:rsidRDefault="00E108E3" w:rsidP="00E108E3">
            <w:pPr>
              <w:textAlignment w:val="baseline"/>
              <w:rPr>
                <w:rStyle w:val="normaltextrun1"/>
                <w:rFonts w:cs="Arial"/>
                <w:sz w:val="16"/>
                <w:szCs w:val="16"/>
              </w:rPr>
            </w:pPr>
          </w:p>
          <w:p w14:paraId="6D8DDC12" w14:textId="77777777" w:rsidR="00E108E3" w:rsidRPr="001D10CD" w:rsidRDefault="00E108E3" w:rsidP="00E108E3">
            <w:pPr>
              <w:textAlignment w:val="baseline"/>
              <w:rPr>
                <w:rStyle w:val="normaltextrun1"/>
                <w:rFonts w:cs="Arial"/>
                <w:sz w:val="16"/>
                <w:szCs w:val="16"/>
              </w:rPr>
            </w:pPr>
            <w:r w:rsidRPr="001D10CD">
              <w:rPr>
                <w:rStyle w:val="normaltextrun1"/>
                <w:rFonts w:cs="Arial"/>
                <w:sz w:val="16"/>
                <w:szCs w:val="16"/>
              </w:rPr>
              <w:t xml:space="preserve">To enable relevant industry, scientific, carbon market, carbon sequestration and emissions avoidance experts to participate, the Steering Committee convene working groups on a method specific basis. </w:t>
            </w:r>
          </w:p>
          <w:p w14:paraId="76408CD5" w14:textId="77777777" w:rsidR="00E108E3" w:rsidRPr="001D10CD" w:rsidRDefault="00E108E3" w:rsidP="00E108E3">
            <w:pPr>
              <w:textAlignment w:val="baseline"/>
              <w:rPr>
                <w:rStyle w:val="normaltextrun1"/>
                <w:rFonts w:cs="Arial"/>
                <w:sz w:val="16"/>
                <w:szCs w:val="16"/>
              </w:rPr>
            </w:pPr>
          </w:p>
          <w:p w14:paraId="2567AF9B" w14:textId="77777777" w:rsidR="00E108E3" w:rsidRPr="001D10CD" w:rsidRDefault="00E108E3" w:rsidP="00E108E3">
            <w:pPr>
              <w:textAlignment w:val="baseline"/>
              <w:rPr>
                <w:rStyle w:val="normaltextrun1"/>
                <w:rFonts w:cs="Arial"/>
                <w:sz w:val="16"/>
                <w:szCs w:val="16"/>
              </w:rPr>
            </w:pPr>
            <w:r w:rsidRPr="001D10CD">
              <w:rPr>
                <w:rFonts w:eastAsia="Times New Roman"/>
                <w:sz w:val="16"/>
                <w:szCs w:val="16"/>
              </w:rPr>
              <w:t>To</w:t>
            </w:r>
            <w:r w:rsidRPr="001D10CD">
              <w:rPr>
                <w:rFonts w:eastAsia="Times New Roman" w:cs="Arial"/>
                <w:sz w:val="16"/>
                <w:szCs w:val="16"/>
              </w:rPr>
              <w:t xml:space="preserve"> strengthen industry participation,</w:t>
            </w:r>
            <w:r w:rsidRPr="001D10CD">
              <w:rPr>
                <w:rStyle w:val="normaltextrun1"/>
                <w:rFonts w:cs="Arial"/>
                <w:sz w:val="16"/>
                <w:szCs w:val="16"/>
              </w:rPr>
              <w:t xml:space="preserve"> the Committee develop and publish a stakeholder engagement plan.</w:t>
            </w:r>
          </w:p>
          <w:p w14:paraId="214EAFA7" w14:textId="578597CA" w:rsidR="00F05A26" w:rsidRPr="00C55C92" w:rsidRDefault="00F05A26" w:rsidP="00E108E3">
            <w:pPr>
              <w:spacing w:line="259" w:lineRule="auto"/>
              <w:textAlignment w:val="baseline"/>
              <w:rPr>
                <w:rFonts w:cs="Arial"/>
                <w:sz w:val="16"/>
                <w:szCs w:val="16"/>
              </w:rPr>
            </w:pPr>
          </w:p>
        </w:tc>
        <w:tc>
          <w:tcPr>
            <w:tcW w:w="2542" w:type="dxa"/>
          </w:tcPr>
          <w:p w14:paraId="62B55A41" w14:textId="77777777" w:rsidR="00F05A26" w:rsidRPr="005A6C68" w:rsidRDefault="00F05A26" w:rsidP="0090077A">
            <w:pPr>
              <w:spacing w:line="240" w:lineRule="auto"/>
              <w:rPr>
                <w:rFonts w:cs="Arial"/>
                <w:sz w:val="16"/>
                <w:szCs w:val="16"/>
              </w:rPr>
            </w:pPr>
            <w:r>
              <w:rPr>
                <w:rFonts w:cs="Arial"/>
                <w:sz w:val="16"/>
                <w:szCs w:val="16"/>
              </w:rPr>
              <w:t>A</w:t>
            </w:r>
            <w:r w:rsidRPr="005A6C68">
              <w:rPr>
                <w:rFonts w:cs="Arial"/>
                <w:sz w:val="16"/>
                <w:szCs w:val="16"/>
              </w:rPr>
              <w:t>dd</w:t>
            </w:r>
            <w:r>
              <w:rPr>
                <w:rFonts w:cs="Arial"/>
                <w:sz w:val="16"/>
                <w:szCs w:val="16"/>
              </w:rPr>
              <w:t xml:space="preserve">itional administrative cost to Regulator associated with establishing Expert Steering Committee. </w:t>
            </w:r>
          </w:p>
          <w:p w14:paraId="62545F7B" w14:textId="77777777" w:rsidR="00F05A26" w:rsidRPr="00120E1B" w:rsidRDefault="00F05A26" w:rsidP="0090077A">
            <w:pPr>
              <w:spacing w:line="240" w:lineRule="auto"/>
              <w:rPr>
                <w:sz w:val="16"/>
                <w:szCs w:val="16"/>
              </w:rPr>
            </w:pPr>
          </w:p>
        </w:tc>
        <w:tc>
          <w:tcPr>
            <w:tcW w:w="2399" w:type="dxa"/>
          </w:tcPr>
          <w:p w14:paraId="59DFD2CA" w14:textId="77777777" w:rsidR="00F05A26" w:rsidRPr="005B5287" w:rsidRDefault="00F05A26" w:rsidP="0090077A">
            <w:pPr>
              <w:spacing w:line="240" w:lineRule="auto"/>
              <w:rPr>
                <w:sz w:val="16"/>
                <w:szCs w:val="16"/>
              </w:rPr>
            </w:pPr>
            <w:r>
              <w:rPr>
                <w:rFonts w:eastAsiaTheme="minorHAnsi" w:cstheme="minorBidi"/>
                <w:sz w:val="16"/>
                <w:szCs w:val="16"/>
                <w:lang w:eastAsia="en-US"/>
              </w:rPr>
              <w:t>Improved useability, reduced costs and greater effectiveness of methods through greater involvement</w:t>
            </w:r>
            <w:r>
              <w:rPr>
                <w:sz w:val="16"/>
                <w:szCs w:val="16"/>
              </w:rPr>
              <w:t xml:space="preserve"> of industry expertise and resources.</w:t>
            </w:r>
          </w:p>
          <w:p w14:paraId="7AA678CE" w14:textId="77777777" w:rsidR="00F05A26" w:rsidRPr="00120E1B" w:rsidRDefault="00F05A26" w:rsidP="0090077A">
            <w:pPr>
              <w:spacing w:line="240" w:lineRule="auto"/>
              <w:rPr>
                <w:sz w:val="16"/>
                <w:szCs w:val="16"/>
              </w:rPr>
            </w:pPr>
          </w:p>
        </w:tc>
        <w:tc>
          <w:tcPr>
            <w:tcW w:w="2400" w:type="dxa"/>
          </w:tcPr>
          <w:p w14:paraId="5F75667A" w14:textId="77777777" w:rsidR="00F05A26" w:rsidRPr="00120E1B" w:rsidRDefault="00F05A26" w:rsidP="0090077A">
            <w:pPr>
              <w:spacing w:line="240" w:lineRule="auto"/>
              <w:rPr>
                <w:sz w:val="16"/>
                <w:szCs w:val="16"/>
              </w:rPr>
            </w:pPr>
            <w:r>
              <w:rPr>
                <w:sz w:val="16"/>
                <w:szCs w:val="16"/>
              </w:rPr>
              <w:t xml:space="preserve">May lead to increased abatement. </w:t>
            </w:r>
          </w:p>
        </w:tc>
        <w:tc>
          <w:tcPr>
            <w:tcW w:w="2117" w:type="dxa"/>
          </w:tcPr>
          <w:p w14:paraId="35E94909" w14:textId="77777777" w:rsidR="00F05A26" w:rsidRPr="00120E1B" w:rsidRDefault="00F05A26" w:rsidP="0090077A">
            <w:pPr>
              <w:spacing w:line="240" w:lineRule="auto"/>
              <w:rPr>
                <w:sz w:val="16"/>
                <w:szCs w:val="16"/>
              </w:rPr>
            </w:pPr>
            <w:r>
              <w:rPr>
                <w:sz w:val="16"/>
                <w:szCs w:val="16"/>
              </w:rPr>
              <w:t xml:space="preserve">Increases transparency and participation of stakeholders in method development. </w:t>
            </w:r>
          </w:p>
        </w:tc>
        <w:tc>
          <w:tcPr>
            <w:tcW w:w="2120" w:type="dxa"/>
            <w:gridSpan w:val="2"/>
          </w:tcPr>
          <w:p w14:paraId="51A3BBA1" w14:textId="433B0E53" w:rsidR="00F05A26" w:rsidRPr="00F94E82" w:rsidRDefault="00F05A26" w:rsidP="0090077A">
            <w:pPr>
              <w:spacing w:line="240" w:lineRule="auto"/>
              <w:rPr>
                <w:rFonts w:eastAsiaTheme="minorHAnsi" w:cstheme="minorBidi"/>
                <w:sz w:val="16"/>
                <w:szCs w:val="16"/>
                <w:lang w:eastAsia="en-US"/>
              </w:rPr>
            </w:pPr>
            <w:r w:rsidRPr="0091099F">
              <w:rPr>
                <w:sz w:val="16"/>
                <w:szCs w:val="16"/>
              </w:rPr>
              <w:t>Regulator</w:t>
            </w:r>
            <w:r w:rsidR="006E0759">
              <w:rPr>
                <w:rFonts w:eastAsiaTheme="minorHAnsi" w:cstheme="minorBidi"/>
                <w:sz w:val="16"/>
                <w:szCs w:val="16"/>
                <w:lang w:eastAsia="en-US"/>
              </w:rPr>
              <w:t xml:space="preserve"> and Change to legislative rule.</w:t>
            </w:r>
            <w:r w:rsidRPr="0091099F">
              <w:rPr>
                <w:sz w:val="16"/>
                <w:szCs w:val="16"/>
              </w:rPr>
              <w:t xml:space="preserve">  </w:t>
            </w:r>
          </w:p>
          <w:p w14:paraId="36F31F67" w14:textId="77777777" w:rsidR="00F05A26" w:rsidRPr="00120E1B" w:rsidRDefault="00F05A26" w:rsidP="00EE4342">
            <w:pPr>
              <w:spacing w:line="240" w:lineRule="auto"/>
              <w:rPr>
                <w:sz w:val="16"/>
                <w:szCs w:val="16"/>
              </w:rPr>
            </w:pPr>
          </w:p>
        </w:tc>
      </w:tr>
      <w:tr w:rsidR="00F05A26" w:rsidRPr="00120E1B" w14:paraId="5F6A716E" w14:textId="77777777" w:rsidTr="0090077A">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69832A82" w14:textId="0703A1FA" w:rsidR="00F05A26" w:rsidRPr="00C20CBA" w:rsidRDefault="00F05A26" w:rsidP="0090077A">
            <w:pPr>
              <w:spacing w:line="240" w:lineRule="auto"/>
              <w:rPr>
                <w:b/>
                <w:sz w:val="16"/>
                <w:szCs w:val="16"/>
              </w:rPr>
            </w:pPr>
            <w:r w:rsidRPr="00C20CBA">
              <w:rPr>
                <w:b/>
                <w:sz w:val="16"/>
                <w:szCs w:val="16"/>
              </w:rPr>
              <w:t>R. 1</w:t>
            </w:r>
            <w:r w:rsidR="00A856A2">
              <w:rPr>
                <w:b/>
                <w:sz w:val="16"/>
                <w:szCs w:val="16"/>
              </w:rPr>
              <w:t>4</w:t>
            </w:r>
          </w:p>
        </w:tc>
        <w:tc>
          <w:tcPr>
            <w:tcW w:w="2724" w:type="dxa"/>
          </w:tcPr>
          <w:p w14:paraId="5B18CA5E" w14:textId="7BE30440" w:rsidR="00DF33B2" w:rsidRPr="001D10CD" w:rsidRDefault="00DF33B2" w:rsidP="00DF33B2">
            <w:pPr>
              <w:rPr>
                <w:rStyle w:val="normaltextrun1"/>
                <w:rFonts w:cs="Arial"/>
                <w:sz w:val="16"/>
                <w:szCs w:val="16"/>
              </w:rPr>
            </w:pPr>
            <w:r w:rsidRPr="001D10CD">
              <w:rPr>
                <w:rFonts w:cs="Arial"/>
                <w:color w:val="000000"/>
                <w:sz w:val="16"/>
                <w:szCs w:val="16"/>
              </w:rPr>
              <w:t xml:space="preserve"> To assist the ERAC to perform its functions and duties as set out in the CFI Act</w:t>
            </w:r>
            <w:r w:rsidRPr="001D10CD">
              <w:rPr>
                <w:rFonts w:cs="Arial"/>
                <w:i/>
                <w:color w:val="000000"/>
                <w:sz w:val="16"/>
                <w:szCs w:val="16"/>
              </w:rPr>
              <w:t>,</w:t>
            </w:r>
            <w:r w:rsidRPr="001D10CD">
              <w:rPr>
                <w:rFonts w:cs="Arial"/>
                <w:color w:val="000000"/>
                <w:sz w:val="16"/>
                <w:szCs w:val="16"/>
              </w:rPr>
              <w:t xml:space="preserve"> </w:t>
            </w:r>
            <w:r w:rsidRPr="001D10CD">
              <w:rPr>
                <w:rStyle w:val="normaltextrun1"/>
                <w:rFonts w:cs="Arial"/>
                <w:sz w:val="16"/>
                <w:szCs w:val="16"/>
              </w:rPr>
              <w:t>the Regulator establish a</w:t>
            </w:r>
            <w:r w:rsidR="00267222">
              <w:rPr>
                <w:rStyle w:val="normaltextrun1"/>
                <w:rFonts w:cs="Arial"/>
                <w:sz w:val="16"/>
                <w:szCs w:val="16"/>
              </w:rPr>
              <w:t>n</w:t>
            </w:r>
            <w:r w:rsidRPr="001D10CD">
              <w:rPr>
                <w:rStyle w:val="normaltextrun1"/>
                <w:rFonts w:cs="Arial"/>
                <w:sz w:val="16"/>
                <w:szCs w:val="16"/>
              </w:rPr>
              <w:t xml:space="preserve"> </w:t>
            </w:r>
            <w:r w:rsidR="00267222">
              <w:rPr>
                <w:rStyle w:val="normaltextrun1"/>
                <w:rFonts w:cs="Arial"/>
                <w:sz w:val="16"/>
                <w:szCs w:val="16"/>
              </w:rPr>
              <w:t>enhanced</w:t>
            </w:r>
            <w:r w:rsidRPr="001D10CD">
              <w:rPr>
                <w:rStyle w:val="normaltextrun1"/>
                <w:rFonts w:cs="Arial"/>
                <w:sz w:val="16"/>
                <w:szCs w:val="16"/>
              </w:rPr>
              <w:t xml:space="preserve"> agreement with the ERAC </w:t>
            </w:r>
            <w:r w:rsidRPr="001D10CD">
              <w:rPr>
                <w:color w:val="000000"/>
                <w:sz w:val="16"/>
                <w:szCs w:val="16"/>
              </w:rPr>
              <w:t>on the</w:t>
            </w:r>
            <w:r w:rsidRPr="001D10CD">
              <w:rPr>
                <w:rFonts w:cs="Arial"/>
                <w:color w:val="000000"/>
                <w:sz w:val="16"/>
                <w:szCs w:val="16"/>
              </w:rPr>
              <w:t xml:space="preserve"> disclosure of requested information, including a timeline for provision of requested information and the manner in which to treat protected information</w:t>
            </w:r>
            <w:r w:rsidRPr="001D10CD">
              <w:rPr>
                <w:rStyle w:val="normaltextrun1"/>
                <w:rFonts w:cs="Arial"/>
                <w:sz w:val="16"/>
                <w:szCs w:val="16"/>
              </w:rPr>
              <w:t>.</w:t>
            </w:r>
          </w:p>
          <w:p w14:paraId="4C4F54F3" w14:textId="77777777" w:rsidR="00F05A26" w:rsidRPr="00EB19DE" w:rsidRDefault="00F05A26" w:rsidP="00DF33B2">
            <w:pPr>
              <w:spacing w:line="259" w:lineRule="auto"/>
              <w:rPr>
                <w:rFonts w:cs="Arial"/>
                <w:sz w:val="16"/>
                <w:szCs w:val="16"/>
              </w:rPr>
            </w:pPr>
          </w:p>
        </w:tc>
        <w:tc>
          <w:tcPr>
            <w:tcW w:w="2542" w:type="dxa"/>
          </w:tcPr>
          <w:p w14:paraId="1A7ADED2" w14:textId="77777777" w:rsidR="00F05A26" w:rsidRPr="00120E1B" w:rsidRDefault="00F05A26" w:rsidP="0090077A">
            <w:pPr>
              <w:spacing w:line="240" w:lineRule="auto"/>
              <w:rPr>
                <w:sz w:val="16"/>
                <w:szCs w:val="16"/>
              </w:rPr>
            </w:pPr>
            <w:r>
              <w:rPr>
                <w:sz w:val="16"/>
                <w:szCs w:val="16"/>
              </w:rPr>
              <w:t xml:space="preserve">Part of current funding for ERAC Secretariat role. </w:t>
            </w:r>
          </w:p>
        </w:tc>
        <w:tc>
          <w:tcPr>
            <w:tcW w:w="2399" w:type="dxa"/>
          </w:tcPr>
          <w:p w14:paraId="76C2F162" w14:textId="77777777" w:rsidR="00F05A26" w:rsidRPr="00120E1B" w:rsidRDefault="00F05A26" w:rsidP="0090077A">
            <w:pPr>
              <w:spacing w:line="240" w:lineRule="auto"/>
              <w:rPr>
                <w:sz w:val="16"/>
                <w:szCs w:val="16"/>
              </w:rPr>
            </w:pPr>
            <w:r>
              <w:rPr>
                <w:sz w:val="16"/>
                <w:szCs w:val="16"/>
              </w:rPr>
              <w:t xml:space="preserve">Ensures informed decision making by ERAC, high quality advice to the Minister and hence improved outcomes under ERF methods.  </w:t>
            </w:r>
          </w:p>
        </w:tc>
        <w:tc>
          <w:tcPr>
            <w:tcW w:w="2400" w:type="dxa"/>
          </w:tcPr>
          <w:p w14:paraId="2FB3274D" w14:textId="77777777" w:rsidR="00F05A26" w:rsidRPr="00120E1B" w:rsidRDefault="00F05A26" w:rsidP="0090077A">
            <w:pPr>
              <w:spacing w:line="240" w:lineRule="auto"/>
              <w:rPr>
                <w:sz w:val="16"/>
                <w:szCs w:val="16"/>
              </w:rPr>
            </w:pPr>
            <w:r>
              <w:rPr>
                <w:sz w:val="16"/>
                <w:szCs w:val="16"/>
              </w:rPr>
              <w:t>NA</w:t>
            </w:r>
          </w:p>
        </w:tc>
        <w:tc>
          <w:tcPr>
            <w:tcW w:w="2117" w:type="dxa"/>
          </w:tcPr>
          <w:p w14:paraId="06F781A1" w14:textId="77777777" w:rsidR="00F05A26" w:rsidRPr="00120E1B" w:rsidRDefault="00F05A26" w:rsidP="0090077A">
            <w:pPr>
              <w:spacing w:line="240" w:lineRule="auto"/>
              <w:rPr>
                <w:sz w:val="16"/>
                <w:szCs w:val="16"/>
              </w:rPr>
            </w:pPr>
            <w:r>
              <w:rPr>
                <w:sz w:val="16"/>
                <w:szCs w:val="16"/>
              </w:rPr>
              <w:t>NA</w:t>
            </w:r>
          </w:p>
        </w:tc>
        <w:tc>
          <w:tcPr>
            <w:tcW w:w="2120" w:type="dxa"/>
            <w:gridSpan w:val="2"/>
          </w:tcPr>
          <w:p w14:paraId="6034A9FE" w14:textId="4BA158CC" w:rsidR="00F05A26" w:rsidRPr="00120E1B" w:rsidRDefault="00F05A26" w:rsidP="0090077A">
            <w:pPr>
              <w:spacing w:line="240" w:lineRule="auto"/>
              <w:rPr>
                <w:sz w:val="16"/>
                <w:szCs w:val="16"/>
              </w:rPr>
            </w:pPr>
            <w:r>
              <w:rPr>
                <w:sz w:val="16"/>
                <w:szCs w:val="16"/>
              </w:rPr>
              <w:t>Regulator/</w:t>
            </w:r>
            <w:r w:rsidR="006E0759">
              <w:rPr>
                <w:sz w:val="16"/>
                <w:szCs w:val="16"/>
              </w:rPr>
              <w:t xml:space="preserve"> </w:t>
            </w:r>
            <w:r>
              <w:rPr>
                <w:sz w:val="16"/>
                <w:szCs w:val="16"/>
              </w:rPr>
              <w:t>ERAC.</w:t>
            </w:r>
          </w:p>
        </w:tc>
      </w:tr>
      <w:tr w:rsidR="00E93CBF" w:rsidRPr="00120E1B" w14:paraId="4483AAAE" w14:textId="77777777" w:rsidTr="00E93CBF">
        <w:trPr>
          <w:cnfStyle w:val="000000010000" w:firstRow="0" w:lastRow="0" w:firstColumn="0" w:lastColumn="0" w:oddVBand="0" w:evenVBand="0" w:oddHBand="0" w:evenHBand="1" w:firstRowFirstColumn="0" w:firstRowLastColumn="0" w:lastRowFirstColumn="0" w:lastRowLastColumn="0"/>
          <w:trHeight w:val="227"/>
        </w:trPr>
        <w:tc>
          <w:tcPr>
            <w:tcW w:w="805" w:type="dxa"/>
            <w:shd w:val="clear" w:color="auto" w:fill="0070AE" w:themeFill="accent2" w:themeFillTint="BF"/>
          </w:tcPr>
          <w:p w14:paraId="608E8CC1" w14:textId="00247226" w:rsidR="00E93CBF" w:rsidRPr="00C20CBA" w:rsidRDefault="00E93CBF" w:rsidP="00E93CBF">
            <w:pPr>
              <w:spacing w:line="240" w:lineRule="auto"/>
              <w:rPr>
                <w:b/>
                <w:sz w:val="16"/>
                <w:szCs w:val="16"/>
              </w:rPr>
            </w:pPr>
          </w:p>
        </w:tc>
        <w:tc>
          <w:tcPr>
            <w:tcW w:w="2724" w:type="dxa"/>
            <w:shd w:val="clear" w:color="auto" w:fill="0070AE" w:themeFill="accent2" w:themeFillTint="BF"/>
          </w:tcPr>
          <w:p w14:paraId="57BABA14" w14:textId="1DD2C9C1" w:rsidR="00E93CBF" w:rsidRPr="001D10CD" w:rsidRDefault="00E93CBF" w:rsidP="00E93CBF">
            <w:pPr>
              <w:rPr>
                <w:rFonts w:cs="Arial"/>
                <w:color w:val="000000"/>
                <w:sz w:val="16"/>
                <w:szCs w:val="16"/>
              </w:rPr>
            </w:pPr>
            <w:r w:rsidRPr="0022784B">
              <w:rPr>
                <w:b/>
                <w:color w:val="FFFFFF" w:themeColor="background1"/>
                <w:sz w:val="16"/>
                <w:szCs w:val="16"/>
              </w:rPr>
              <w:t>RECOMMENDATION</w:t>
            </w:r>
          </w:p>
        </w:tc>
        <w:tc>
          <w:tcPr>
            <w:tcW w:w="2542" w:type="dxa"/>
            <w:shd w:val="clear" w:color="auto" w:fill="0070AE" w:themeFill="accent2" w:themeFillTint="BF"/>
          </w:tcPr>
          <w:p w14:paraId="3A92B36D" w14:textId="77777777" w:rsidR="00E93CBF" w:rsidRPr="0022784B" w:rsidRDefault="00E93CBF" w:rsidP="00E93CBF">
            <w:pPr>
              <w:spacing w:line="240" w:lineRule="auto"/>
              <w:rPr>
                <w:b/>
                <w:color w:val="FFFFFF" w:themeColor="background1"/>
                <w:sz w:val="16"/>
                <w:szCs w:val="16"/>
              </w:rPr>
            </w:pPr>
            <w:r w:rsidRPr="0022784B">
              <w:rPr>
                <w:b/>
                <w:color w:val="FFFFFF" w:themeColor="background1"/>
                <w:sz w:val="16"/>
                <w:szCs w:val="16"/>
              </w:rPr>
              <w:t>ECONOMIC EFFICIENCY</w:t>
            </w:r>
          </w:p>
          <w:p w14:paraId="318175AC" w14:textId="28FA2CEC" w:rsidR="00E93CBF" w:rsidRDefault="00E93CBF" w:rsidP="00E93CBF">
            <w:pPr>
              <w:spacing w:line="240" w:lineRule="auto"/>
              <w:rPr>
                <w:sz w:val="16"/>
                <w:szCs w:val="16"/>
              </w:rPr>
            </w:pPr>
            <w:r w:rsidRPr="0022784B">
              <w:rPr>
                <w:b/>
                <w:color w:val="FFFFFF" w:themeColor="background1"/>
                <w:sz w:val="16"/>
                <w:szCs w:val="16"/>
              </w:rPr>
              <w:t>Coats</w:t>
            </w:r>
          </w:p>
        </w:tc>
        <w:tc>
          <w:tcPr>
            <w:tcW w:w="2399" w:type="dxa"/>
            <w:shd w:val="clear" w:color="auto" w:fill="0070AE" w:themeFill="accent2" w:themeFillTint="BF"/>
          </w:tcPr>
          <w:p w14:paraId="209A28C9" w14:textId="77777777" w:rsidR="00E93CBF" w:rsidRPr="0022784B" w:rsidRDefault="00E93CBF" w:rsidP="00E93CBF">
            <w:pPr>
              <w:spacing w:line="240" w:lineRule="auto"/>
              <w:rPr>
                <w:b/>
                <w:color w:val="FFFFFF" w:themeColor="background1"/>
                <w:sz w:val="16"/>
                <w:szCs w:val="16"/>
              </w:rPr>
            </w:pPr>
          </w:p>
          <w:p w14:paraId="4E8C0A3F" w14:textId="551B72B2" w:rsidR="00E93CBF" w:rsidRDefault="00E93CBF" w:rsidP="00E93CBF">
            <w:pPr>
              <w:spacing w:line="240" w:lineRule="auto"/>
              <w:rPr>
                <w:sz w:val="16"/>
                <w:szCs w:val="16"/>
              </w:rPr>
            </w:pPr>
            <w:r w:rsidRPr="0022784B">
              <w:rPr>
                <w:b/>
                <w:color w:val="FFFFFF" w:themeColor="background1"/>
                <w:sz w:val="16"/>
                <w:szCs w:val="16"/>
              </w:rPr>
              <w:t>Benefits</w:t>
            </w:r>
          </w:p>
        </w:tc>
        <w:tc>
          <w:tcPr>
            <w:tcW w:w="2400" w:type="dxa"/>
            <w:shd w:val="clear" w:color="auto" w:fill="0070AE" w:themeFill="accent2" w:themeFillTint="BF"/>
          </w:tcPr>
          <w:p w14:paraId="6D71E6A7" w14:textId="190C020A" w:rsidR="00E93CBF" w:rsidRDefault="00E93CBF" w:rsidP="00E93CBF">
            <w:pPr>
              <w:spacing w:line="240" w:lineRule="auto"/>
              <w:rPr>
                <w:sz w:val="16"/>
                <w:szCs w:val="16"/>
              </w:rPr>
            </w:pPr>
            <w:r w:rsidRPr="0022784B">
              <w:rPr>
                <w:b/>
                <w:color w:val="FFFFFF" w:themeColor="background1"/>
                <w:sz w:val="16"/>
                <w:szCs w:val="16"/>
              </w:rPr>
              <w:t>ENVIRONMENTAL EFFECTIVENESS</w:t>
            </w:r>
          </w:p>
        </w:tc>
        <w:tc>
          <w:tcPr>
            <w:tcW w:w="2117" w:type="dxa"/>
            <w:shd w:val="clear" w:color="auto" w:fill="0070AE" w:themeFill="accent2" w:themeFillTint="BF"/>
          </w:tcPr>
          <w:p w14:paraId="45AA97B8" w14:textId="7CB6F845" w:rsidR="00E93CBF" w:rsidRDefault="00E93CBF" w:rsidP="00E93CBF">
            <w:pPr>
              <w:spacing w:line="240" w:lineRule="auto"/>
              <w:rPr>
                <w:sz w:val="16"/>
                <w:szCs w:val="16"/>
              </w:rPr>
            </w:pPr>
            <w:r w:rsidRPr="0022784B">
              <w:rPr>
                <w:b/>
                <w:color w:val="FFFFFF" w:themeColor="background1"/>
                <w:sz w:val="16"/>
                <w:szCs w:val="16"/>
              </w:rPr>
              <w:t>EQUITY</w:t>
            </w:r>
          </w:p>
        </w:tc>
        <w:tc>
          <w:tcPr>
            <w:tcW w:w="2120" w:type="dxa"/>
            <w:gridSpan w:val="2"/>
            <w:shd w:val="clear" w:color="auto" w:fill="0070AE" w:themeFill="accent2" w:themeFillTint="BF"/>
          </w:tcPr>
          <w:p w14:paraId="3C8B3BD8" w14:textId="14B508EF" w:rsidR="00E93CBF" w:rsidRDefault="00E93CBF" w:rsidP="00E93CBF">
            <w:pPr>
              <w:spacing w:line="240" w:lineRule="auto"/>
              <w:rPr>
                <w:sz w:val="16"/>
                <w:szCs w:val="16"/>
              </w:rPr>
            </w:pPr>
            <w:r w:rsidRPr="0022784B">
              <w:rPr>
                <w:b/>
                <w:color w:val="FFFFFF" w:themeColor="background1"/>
                <w:sz w:val="16"/>
                <w:szCs w:val="16"/>
              </w:rPr>
              <w:t>PROCESS</w:t>
            </w:r>
          </w:p>
        </w:tc>
      </w:tr>
      <w:tr w:rsidR="00F05A26" w:rsidRPr="00120E1B" w14:paraId="2A81699E" w14:textId="77777777" w:rsidTr="0090077A">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118E61FB" w14:textId="3169A400" w:rsidR="00F05A26" w:rsidRPr="00C20CBA" w:rsidRDefault="00F05A26" w:rsidP="0090077A">
            <w:pPr>
              <w:spacing w:line="240" w:lineRule="auto"/>
              <w:rPr>
                <w:b/>
                <w:sz w:val="16"/>
                <w:szCs w:val="16"/>
              </w:rPr>
            </w:pPr>
            <w:r w:rsidRPr="00C20CBA">
              <w:rPr>
                <w:b/>
                <w:sz w:val="16"/>
                <w:szCs w:val="16"/>
              </w:rPr>
              <w:t>R. 1</w:t>
            </w:r>
            <w:r w:rsidR="00A856A2">
              <w:rPr>
                <w:b/>
                <w:sz w:val="16"/>
                <w:szCs w:val="16"/>
              </w:rPr>
              <w:t>5</w:t>
            </w:r>
          </w:p>
        </w:tc>
        <w:tc>
          <w:tcPr>
            <w:tcW w:w="2724" w:type="dxa"/>
          </w:tcPr>
          <w:p w14:paraId="6AE8E7CC" w14:textId="3CC565F9" w:rsidR="00D34038" w:rsidRPr="001D10CD" w:rsidRDefault="00D34038" w:rsidP="00D34038">
            <w:pPr>
              <w:rPr>
                <w:sz w:val="16"/>
                <w:szCs w:val="16"/>
              </w:rPr>
            </w:pPr>
            <w:r w:rsidRPr="001D10CD">
              <w:rPr>
                <w:rFonts w:cs="Arial"/>
                <w:sz w:val="16"/>
                <w:szCs w:val="16"/>
              </w:rPr>
              <w:t>To enable it to efficiently maintain the quality of ERF methods, the</w:t>
            </w:r>
            <w:r w:rsidRPr="00D641F0">
              <w:rPr>
                <w:rFonts w:cs="Arial"/>
                <w:sz w:val="16"/>
                <w:szCs w:val="16"/>
              </w:rPr>
              <w:t xml:space="preserve"> ERAC develop a framework for prioritising </w:t>
            </w:r>
            <w:r w:rsidRPr="001D10CD">
              <w:rPr>
                <w:rFonts w:cs="Arial"/>
                <w:sz w:val="16"/>
                <w:szCs w:val="16"/>
              </w:rPr>
              <w:t xml:space="preserve">its </w:t>
            </w:r>
            <w:r w:rsidRPr="00D641F0">
              <w:rPr>
                <w:rFonts w:cs="Arial"/>
                <w:sz w:val="16"/>
                <w:szCs w:val="16"/>
              </w:rPr>
              <w:t xml:space="preserve">periodic method reviews, taking into account </w:t>
            </w:r>
            <w:r w:rsidRPr="001D10CD">
              <w:rPr>
                <w:rFonts w:cs="Arial"/>
                <w:sz w:val="16"/>
                <w:szCs w:val="16"/>
              </w:rPr>
              <w:t>the current and likely future</w:t>
            </w:r>
            <w:r>
              <w:rPr>
                <w:rFonts w:cs="Arial"/>
                <w:sz w:val="16"/>
                <w:szCs w:val="16"/>
              </w:rPr>
              <w:t xml:space="preserve"> </w:t>
            </w:r>
            <w:r w:rsidRPr="00D641F0">
              <w:rPr>
                <w:rFonts w:cs="Arial"/>
                <w:sz w:val="16"/>
                <w:szCs w:val="16"/>
              </w:rPr>
              <w:t>uptake</w:t>
            </w:r>
            <w:r w:rsidRPr="001D10CD">
              <w:rPr>
                <w:rFonts w:cs="Arial"/>
                <w:sz w:val="16"/>
                <w:szCs w:val="16"/>
              </w:rPr>
              <w:t xml:space="preserve"> of the method, the</w:t>
            </w:r>
            <w:r w:rsidRPr="00D641F0">
              <w:rPr>
                <w:rFonts w:cs="Arial"/>
                <w:sz w:val="16"/>
                <w:szCs w:val="16"/>
              </w:rPr>
              <w:t xml:space="preserve"> </w:t>
            </w:r>
            <w:r>
              <w:rPr>
                <w:rFonts w:cs="Arial"/>
                <w:sz w:val="16"/>
                <w:szCs w:val="16"/>
              </w:rPr>
              <w:t>c</w:t>
            </w:r>
            <w:r w:rsidRPr="00D641F0">
              <w:rPr>
                <w:rFonts w:cs="Arial"/>
                <w:sz w:val="16"/>
                <w:szCs w:val="16"/>
              </w:rPr>
              <w:t>omplexity</w:t>
            </w:r>
            <w:r w:rsidRPr="001D10CD">
              <w:rPr>
                <w:rFonts w:cs="Arial"/>
                <w:sz w:val="16"/>
                <w:szCs w:val="16"/>
              </w:rPr>
              <w:t xml:space="preserve"> of the method, the</w:t>
            </w:r>
            <w:r>
              <w:rPr>
                <w:rFonts w:cs="Arial"/>
                <w:sz w:val="16"/>
                <w:szCs w:val="16"/>
              </w:rPr>
              <w:t xml:space="preserve"> </w:t>
            </w:r>
            <w:r w:rsidRPr="00D641F0">
              <w:rPr>
                <w:rFonts w:cs="Arial"/>
                <w:sz w:val="16"/>
                <w:szCs w:val="16"/>
              </w:rPr>
              <w:t xml:space="preserve">likelihood of </w:t>
            </w:r>
            <w:r w:rsidRPr="001D10CD">
              <w:rPr>
                <w:rFonts w:cs="Arial"/>
                <w:sz w:val="16"/>
                <w:szCs w:val="16"/>
              </w:rPr>
              <w:t>breaches of compliance with the</w:t>
            </w:r>
            <w:r>
              <w:rPr>
                <w:rFonts w:cs="Arial"/>
                <w:sz w:val="16"/>
                <w:szCs w:val="16"/>
              </w:rPr>
              <w:t xml:space="preserve"> </w:t>
            </w:r>
            <w:r w:rsidRPr="00D641F0">
              <w:rPr>
                <w:rFonts w:cs="Arial"/>
                <w:sz w:val="16"/>
                <w:szCs w:val="16"/>
              </w:rPr>
              <w:t>Offsets Integrity Standards and any relevant legislative rule changes.</w:t>
            </w:r>
          </w:p>
          <w:p w14:paraId="1E518592" w14:textId="52498E67" w:rsidR="00F05A26" w:rsidRPr="00D641F0" w:rsidRDefault="00F05A26" w:rsidP="0090077A">
            <w:pPr>
              <w:spacing w:line="240" w:lineRule="auto"/>
              <w:rPr>
                <w:rFonts w:cs="Arial"/>
                <w:sz w:val="16"/>
                <w:szCs w:val="16"/>
              </w:rPr>
            </w:pPr>
          </w:p>
          <w:p w14:paraId="387DEC09" w14:textId="77777777" w:rsidR="00F05A26" w:rsidRPr="00120E1B" w:rsidRDefault="00F05A26" w:rsidP="0090077A">
            <w:pPr>
              <w:spacing w:line="240" w:lineRule="auto"/>
              <w:rPr>
                <w:sz w:val="16"/>
                <w:szCs w:val="16"/>
              </w:rPr>
            </w:pPr>
          </w:p>
        </w:tc>
        <w:tc>
          <w:tcPr>
            <w:tcW w:w="2542" w:type="dxa"/>
          </w:tcPr>
          <w:p w14:paraId="51D4DF5F" w14:textId="77777777" w:rsidR="00F05A26" w:rsidRPr="00120E1B" w:rsidRDefault="00F05A26" w:rsidP="0090077A">
            <w:pPr>
              <w:spacing w:line="240" w:lineRule="auto"/>
              <w:rPr>
                <w:sz w:val="16"/>
                <w:szCs w:val="16"/>
              </w:rPr>
            </w:pPr>
            <w:r>
              <w:rPr>
                <w:sz w:val="16"/>
                <w:szCs w:val="16"/>
              </w:rPr>
              <w:t>Small administrative cost to ERAC to establish framework.</w:t>
            </w:r>
          </w:p>
        </w:tc>
        <w:tc>
          <w:tcPr>
            <w:tcW w:w="2399" w:type="dxa"/>
          </w:tcPr>
          <w:p w14:paraId="6E8A3200" w14:textId="77777777" w:rsidR="00F05A26" w:rsidRPr="00120E1B" w:rsidRDefault="00F05A26" w:rsidP="0090077A">
            <w:pPr>
              <w:spacing w:line="240" w:lineRule="auto"/>
              <w:rPr>
                <w:sz w:val="16"/>
                <w:szCs w:val="16"/>
              </w:rPr>
            </w:pPr>
            <w:r>
              <w:rPr>
                <w:sz w:val="16"/>
                <w:szCs w:val="16"/>
              </w:rPr>
              <w:t xml:space="preserve">Greater efficacy resulting from ERAC resources. </w:t>
            </w:r>
          </w:p>
        </w:tc>
        <w:tc>
          <w:tcPr>
            <w:tcW w:w="2400" w:type="dxa"/>
          </w:tcPr>
          <w:p w14:paraId="46AD18D2" w14:textId="77777777" w:rsidR="00F05A26" w:rsidRPr="00120E1B" w:rsidRDefault="00F05A26" w:rsidP="0090077A">
            <w:pPr>
              <w:spacing w:line="240" w:lineRule="auto"/>
              <w:rPr>
                <w:sz w:val="16"/>
                <w:szCs w:val="16"/>
              </w:rPr>
            </w:pPr>
            <w:r>
              <w:rPr>
                <w:sz w:val="16"/>
                <w:szCs w:val="16"/>
              </w:rPr>
              <w:t>May increase integrity of abatement through timely reviews.</w:t>
            </w:r>
          </w:p>
        </w:tc>
        <w:tc>
          <w:tcPr>
            <w:tcW w:w="2117" w:type="dxa"/>
          </w:tcPr>
          <w:p w14:paraId="799DFCA3" w14:textId="77777777" w:rsidR="00F05A26" w:rsidRPr="00120E1B" w:rsidRDefault="00F05A26" w:rsidP="0090077A">
            <w:pPr>
              <w:spacing w:line="240" w:lineRule="auto"/>
              <w:rPr>
                <w:sz w:val="16"/>
                <w:szCs w:val="16"/>
              </w:rPr>
            </w:pPr>
            <w:r>
              <w:rPr>
                <w:sz w:val="16"/>
                <w:szCs w:val="16"/>
              </w:rPr>
              <w:t xml:space="preserve">Greater certainty and transparency for stakeholders. </w:t>
            </w:r>
          </w:p>
        </w:tc>
        <w:tc>
          <w:tcPr>
            <w:tcW w:w="2120" w:type="dxa"/>
            <w:gridSpan w:val="2"/>
          </w:tcPr>
          <w:p w14:paraId="3CF1FCF0" w14:textId="77777777" w:rsidR="00F05A26" w:rsidRPr="00120E1B" w:rsidRDefault="00F05A26" w:rsidP="0090077A">
            <w:pPr>
              <w:spacing w:line="240" w:lineRule="auto"/>
              <w:rPr>
                <w:sz w:val="16"/>
                <w:szCs w:val="16"/>
              </w:rPr>
            </w:pPr>
            <w:r>
              <w:rPr>
                <w:sz w:val="16"/>
                <w:szCs w:val="16"/>
              </w:rPr>
              <w:t>ERAC.</w:t>
            </w:r>
          </w:p>
        </w:tc>
      </w:tr>
      <w:tr w:rsidR="00F05A26" w:rsidRPr="00120E1B" w14:paraId="1A5018F7" w14:textId="77777777" w:rsidTr="0090077A">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41BD917D" w14:textId="7BE5D05A" w:rsidR="00F05A26" w:rsidRPr="00C20CBA" w:rsidRDefault="00F05A26" w:rsidP="0090077A">
            <w:pPr>
              <w:spacing w:line="240" w:lineRule="auto"/>
              <w:rPr>
                <w:b/>
                <w:sz w:val="16"/>
                <w:szCs w:val="16"/>
              </w:rPr>
            </w:pPr>
            <w:r w:rsidRPr="00C20CBA">
              <w:rPr>
                <w:b/>
                <w:sz w:val="16"/>
                <w:szCs w:val="16"/>
              </w:rPr>
              <w:t>R.1</w:t>
            </w:r>
            <w:r w:rsidR="00A856A2">
              <w:rPr>
                <w:b/>
                <w:sz w:val="16"/>
                <w:szCs w:val="16"/>
              </w:rPr>
              <w:t>6</w:t>
            </w:r>
          </w:p>
        </w:tc>
        <w:tc>
          <w:tcPr>
            <w:tcW w:w="2724" w:type="dxa"/>
          </w:tcPr>
          <w:p w14:paraId="39049818" w14:textId="765820C4" w:rsidR="00085B03" w:rsidRPr="001D10CD" w:rsidRDefault="00085B03" w:rsidP="00085B03">
            <w:pPr>
              <w:rPr>
                <w:rFonts w:cs="Arial"/>
                <w:sz w:val="16"/>
                <w:szCs w:val="16"/>
              </w:rPr>
            </w:pPr>
            <w:r w:rsidRPr="001D10CD">
              <w:rPr>
                <w:rFonts w:cs="Arial"/>
                <w:sz w:val="16"/>
                <w:szCs w:val="16"/>
              </w:rPr>
              <w:t xml:space="preserve">To enable crediting periods to be based on up-to-date information, the Government amend the CFI Act to allow the Minister to extend a crediting period, based on advice from the ERAC, regardless of whether the ERAC had previously advised against an extension. </w:t>
            </w:r>
          </w:p>
          <w:p w14:paraId="663B26CD" w14:textId="38BCAB4E" w:rsidR="00F05A26" w:rsidRDefault="00F05A26" w:rsidP="001D10CD">
            <w:pPr>
              <w:spacing w:line="259" w:lineRule="auto"/>
              <w:rPr>
                <w:rFonts w:cs="Arial"/>
                <w:sz w:val="16"/>
                <w:szCs w:val="16"/>
              </w:rPr>
            </w:pPr>
          </w:p>
        </w:tc>
        <w:tc>
          <w:tcPr>
            <w:tcW w:w="2542" w:type="dxa"/>
          </w:tcPr>
          <w:p w14:paraId="064C6868" w14:textId="77777777" w:rsidR="00F05A26" w:rsidRDefault="00F05A26" w:rsidP="0090077A">
            <w:pPr>
              <w:spacing w:line="240" w:lineRule="auto"/>
              <w:rPr>
                <w:sz w:val="16"/>
                <w:szCs w:val="16"/>
              </w:rPr>
            </w:pPr>
            <w:r>
              <w:rPr>
                <w:sz w:val="16"/>
                <w:szCs w:val="16"/>
              </w:rPr>
              <w:t xml:space="preserve">Small administrative cost to Department. </w:t>
            </w:r>
          </w:p>
        </w:tc>
        <w:tc>
          <w:tcPr>
            <w:tcW w:w="2399" w:type="dxa"/>
          </w:tcPr>
          <w:p w14:paraId="3C4E20C5" w14:textId="77777777" w:rsidR="00F05A26" w:rsidRDefault="00F05A26" w:rsidP="0090077A">
            <w:pPr>
              <w:spacing w:line="240" w:lineRule="auto"/>
              <w:rPr>
                <w:sz w:val="16"/>
                <w:szCs w:val="16"/>
              </w:rPr>
            </w:pPr>
            <w:r>
              <w:rPr>
                <w:sz w:val="16"/>
                <w:szCs w:val="16"/>
              </w:rPr>
              <w:t>More efficient decision-making processes for ERAC.</w:t>
            </w:r>
          </w:p>
        </w:tc>
        <w:tc>
          <w:tcPr>
            <w:tcW w:w="2400" w:type="dxa"/>
          </w:tcPr>
          <w:p w14:paraId="1C4BE7E1" w14:textId="77777777" w:rsidR="00F05A26" w:rsidRDefault="00F05A26" w:rsidP="0090077A">
            <w:pPr>
              <w:spacing w:line="240" w:lineRule="auto"/>
              <w:rPr>
                <w:sz w:val="16"/>
                <w:szCs w:val="16"/>
              </w:rPr>
            </w:pPr>
            <w:r>
              <w:rPr>
                <w:sz w:val="16"/>
                <w:szCs w:val="16"/>
              </w:rPr>
              <w:t xml:space="preserve">ERAC decision on additionality of abatement is based on best information.  </w:t>
            </w:r>
          </w:p>
        </w:tc>
        <w:tc>
          <w:tcPr>
            <w:tcW w:w="2117" w:type="dxa"/>
          </w:tcPr>
          <w:p w14:paraId="270B7310" w14:textId="77777777" w:rsidR="00F05A26" w:rsidRDefault="00F05A26" w:rsidP="0090077A">
            <w:pPr>
              <w:spacing w:line="240" w:lineRule="auto"/>
              <w:rPr>
                <w:sz w:val="16"/>
                <w:szCs w:val="16"/>
              </w:rPr>
            </w:pPr>
            <w:r>
              <w:rPr>
                <w:sz w:val="16"/>
                <w:szCs w:val="16"/>
              </w:rPr>
              <w:t>Increases equity by removing barrier to new information being considered.</w:t>
            </w:r>
          </w:p>
        </w:tc>
        <w:tc>
          <w:tcPr>
            <w:tcW w:w="2120" w:type="dxa"/>
            <w:gridSpan w:val="2"/>
          </w:tcPr>
          <w:p w14:paraId="7D49FBDC" w14:textId="77777777" w:rsidR="00F05A26" w:rsidRDefault="00F05A26" w:rsidP="0090077A">
            <w:pPr>
              <w:spacing w:line="240" w:lineRule="auto"/>
              <w:rPr>
                <w:sz w:val="16"/>
                <w:szCs w:val="16"/>
              </w:rPr>
            </w:pPr>
            <w:r>
              <w:rPr>
                <w:sz w:val="16"/>
                <w:szCs w:val="16"/>
              </w:rPr>
              <w:t>Change to CFI Act</w:t>
            </w:r>
          </w:p>
        </w:tc>
      </w:tr>
      <w:tr w:rsidR="00F05A26" w:rsidRPr="00120E1B" w14:paraId="5D7D7ABB" w14:textId="77777777" w:rsidTr="0090077A">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0DDA80E5" w14:textId="3A77172A" w:rsidR="00F05A26" w:rsidRPr="00C20CBA" w:rsidRDefault="00F05A26" w:rsidP="0090077A">
            <w:pPr>
              <w:spacing w:line="240" w:lineRule="auto"/>
              <w:rPr>
                <w:b/>
                <w:sz w:val="16"/>
                <w:szCs w:val="16"/>
              </w:rPr>
            </w:pPr>
            <w:r w:rsidRPr="00C20CBA">
              <w:rPr>
                <w:b/>
                <w:sz w:val="16"/>
                <w:szCs w:val="16"/>
              </w:rPr>
              <w:t>R.1</w:t>
            </w:r>
            <w:r w:rsidR="00A856A2">
              <w:rPr>
                <w:b/>
                <w:sz w:val="16"/>
                <w:szCs w:val="16"/>
              </w:rPr>
              <w:t>7</w:t>
            </w:r>
          </w:p>
        </w:tc>
        <w:tc>
          <w:tcPr>
            <w:tcW w:w="2724" w:type="dxa"/>
          </w:tcPr>
          <w:p w14:paraId="4C9F5878" w14:textId="688C377D" w:rsidR="00446C3C" w:rsidRPr="001D10CD" w:rsidRDefault="00446C3C" w:rsidP="00446C3C">
            <w:pPr>
              <w:rPr>
                <w:sz w:val="16"/>
                <w:szCs w:val="16"/>
              </w:rPr>
            </w:pPr>
            <w:r w:rsidRPr="001D10CD">
              <w:rPr>
                <w:sz w:val="16"/>
                <w:szCs w:val="16"/>
              </w:rPr>
              <w:t>To align with best practice, the Government</w:t>
            </w:r>
            <w:r w:rsidR="006E0759">
              <w:rPr>
                <w:sz w:val="16"/>
                <w:szCs w:val="16"/>
              </w:rPr>
              <w:t>,</w:t>
            </w:r>
            <w:r w:rsidR="006E0759" w:rsidRPr="001D10CD">
              <w:rPr>
                <w:sz w:val="16"/>
                <w:szCs w:val="16"/>
              </w:rPr>
              <w:t xml:space="preserve"> following a formal consultation process with Indigenous stakeholders</w:t>
            </w:r>
            <w:r w:rsidR="006E0759">
              <w:rPr>
                <w:sz w:val="16"/>
                <w:szCs w:val="16"/>
              </w:rPr>
              <w:t>,</w:t>
            </w:r>
            <w:r w:rsidRPr="001D10CD">
              <w:rPr>
                <w:sz w:val="16"/>
                <w:szCs w:val="16"/>
              </w:rPr>
              <w:t xml:space="preserve"> amend the CFI Act to ensure free, prior and informed consent from native title holders prior to the registration of area-based ERF projects on native title land</w:t>
            </w:r>
            <w:r w:rsidR="006E0759">
              <w:rPr>
                <w:sz w:val="16"/>
                <w:szCs w:val="16"/>
              </w:rPr>
              <w:t>.</w:t>
            </w:r>
            <w:r w:rsidRPr="001D10CD">
              <w:rPr>
                <w:sz w:val="16"/>
                <w:szCs w:val="16"/>
              </w:rPr>
              <w:t xml:space="preserve"> </w:t>
            </w:r>
          </w:p>
          <w:p w14:paraId="24E49CB0" w14:textId="23960089" w:rsidR="00F05A26" w:rsidRPr="00120E1B" w:rsidRDefault="00F05A26" w:rsidP="001D10CD">
            <w:pPr>
              <w:spacing w:line="259" w:lineRule="auto"/>
              <w:rPr>
                <w:rFonts w:cs="Arial"/>
                <w:sz w:val="16"/>
                <w:szCs w:val="16"/>
              </w:rPr>
            </w:pPr>
          </w:p>
        </w:tc>
        <w:tc>
          <w:tcPr>
            <w:tcW w:w="2542" w:type="dxa"/>
          </w:tcPr>
          <w:p w14:paraId="715BBF7C" w14:textId="77777777" w:rsidR="00F05A26" w:rsidRPr="000E05D6" w:rsidRDefault="00F05A26" w:rsidP="0090077A">
            <w:pPr>
              <w:spacing w:line="240" w:lineRule="auto"/>
              <w:rPr>
                <w:sz w:val="16"/>
                <w:szCs w:val="16"/>
              </w:rPr>
            </w:pPr>
            <w:r>
              <w:rPr>
                <w:sz w:val="16"/>
                <w:szCs w:val="16"/>
              </w:rPr>
              <w:t>May i</w:t>
            </w:r>
            <w:r w:rsidRPr="000E05D6">
              <w:rPr>
                <w:sz w:val="16"/>
                <w:szCs w:val="16"/>
              </w:rPr>
              <w:t xml:space="preserve">ncrease </w:t>
            </w:r>
            <w:r>
              <w:rPr>
                <w:sz w:val="16"/>
                <w:szCs w:val="16"/>
              </w:rPr>
              <w:t xml:space="preserve">upfront </w:t>
            </w:r>
            <w:r w:rsidRPr="000E05D6">
              <w:rPr>
                <w:sz w:val="16"/>
                <w:szCs w:val="16"/>
              </w:rPr>
              <w:t xml:space="preserve">administrative costs </w:t>
            </w:r>
            <w:r>
              <w:rPr>
                <w:sz w:val="16"/>
                <w:szCs w:val="16"/>
              </w:rPr>
              <w:t xml:space="preserve">and project development time </w:t>
            </w:r>
            <w:r w:rsidRPr="000E05D6">
              <w:rPr>
                <w:sz w:val="16"/>
                <w:szCs w:val="16"/>
              </w:rPr>
              <w:t xml:space="preserve">for scheme participants. </w:t>
            </w:r>
          </w:p>
          <w:p w14:paraId="67CDF70C" w14:textId="77777777" w:rsidR="00F05A26" w:rsidRDefault="00F05A26" w:rsidP="0090077A">
            <w:pPr>
              <w:spacing w:line="240" w:lineRule="auto"/>
              <w:rPr>
                <w:sz w:val="16"/>
                <w:szCs w:val="16"/>
              </w:rPr>
            </w:pPr>
          </w:p>
        </w:tc>
        <w:tc>
          <w:tcPr>
            <w:tcW w:w="2399" w:type="dxa"/>
          </w:tcPr>
          <w:p w14:paraId="638B8310" w14:textId="77777777" w:rsidR="00F05A26" w:rsidRDefault="00F05A26" w:rsidP="0090077A">
            <w:pPr>
              <w:spacing w:line="240" w:lineRule="auto"/>
              <w:rPr>
                <w:sz w:val="16"/>
                <w:szCs w:val="16"/>
              </w:rPr>
            </w:pPr>
            <w:r w:rsidRPr="005A6C68">
              <w:rPr>
                <w:sz w:val="16"/>
                <w:szCs w:val="16"/>
              </w:rPr>
              <w:t xml:space="preserve">Increases transparency. </w:t>
            </w:r>
          </w:p>
          <w:p w14:paraId="7A2FF8BE" w14:textId="77777777" w:rsidR="00F05A26" w:rsidRDefault="00F05A26" w:rsidP="0090077A">
            <w:pPr>
              <w:spacing w:line="240" w:lineRule="auto"/>
              <w:rPr>
                <w:sz w:val="16"/>
                <w:szCs w:val="16"/>
              </w:rPr>
            </w:pPr>
          </w:p>
          <w:p w14:paraId="1D667B80" w14:textId="77777777" w:rsidR="00F05A26" w:rsidRPr="005A6C68" w:rsidRDefault="00F05A26" w:rsidP="0090077A">
            <w:pPr>
              <w:spacing w:line="240" w:lineRule="auto"/>
              <w:rPr>
                <w:sz w:val="16"/>
                <w:szCs w:val="16"/>
              </w:rPr>
            </w:pPr>
            <w:r w:rsidRPr="005A6C68">
              <w:rPr>
                <w:sz w:val="16"/>
                <w:szCs w:val="16"/>
              </w:rPr>
              <w:t>Reduc</w:t>
            </w:r>
            <w:r>
              <w:rPr>
                <w:sz w:val="16"/>
                <w:szCs w:val="16"/>
              </w:rPr>
              <w:t>es risk that ERF contract</w:t>
            </w:r>
            <w:r w:rsidRPr="005A6C68">
              <w:rPr>
                <w:sz w:val="16"/>
                <w:szCs w:val="16"/>
              </w:rPr>
              <w:t xml:space="preserve"> conditions are not met and ERF projects do not deliver abatement.</w:t>
            </w:r>
            <w:r w:rsidRPr="005A6C68" w:rsidDel="004F4B7C">
              <w:rPr>
                <w:sz w:val="16"/>
                <w:szCs w:val="16"/>
              </w:rPr>
              <w:t xml:space="preserve"> </w:t>
            </w:r>
          </w:p>
          <w:p w14:paraId="7F9C9551" w14:textId="77777777" w:rsidR="00F05A26" w:rsidRPr="005A6C68" w:rsidRDefault="00F05A26" w:rsidP="0090077A">
            <w:pPr>
              <w:spacing w:line="240" w:lineRule="auto"/>
              <w:rPr>
                <w:sz w:val="16"/>
                <w:szCs w:val="16"/>
              </w:rPr>
            </w:pPr>
          </w:p>
          <w:p w14:paraId="351950FE" w14:textId="77777777" w:rsidR="00F05A26" w:rsidRDefault="00F05A26" w:rsidP="0090077A">
            <w:pPr>
              <w:spacing w:line="240" w:lineRule="auto"/>
              <w:rPr>
                <w:sz w:val="16"/>
                <w:szCs w:val="16"/>
              </w:rPr>
            </w:pPr>
            <w:r w:rsidRPr="005A6C68">
              <w:rPr>
                <w:sz w:val="16"/>
                <w:szCs w:val="16"/>
              </w:rPr>
              <w:t>May reduce</w:t>
            </w:r>
            <w:r>
              <w:rPr>
                <w:sz w:val="16"/>
                <w:szCs w:val="16"/>
              </w:rPr>
              <w:t xml:space="preserve"> net administrative costs for </w:t>
            </w:r>
            <w:r w:rsidRPr="005A6C68">
              <w:rPr>
                <w:sz w:val="16"/>
                <w:szCs w:val="16"/>
              </w:rPr>
              <w:t>R</w:t>
            </w:r>
            <w:r>
              <w:rPr>
                <w:sz w:val="16"/>
                <w:szCs w:val="16"/>
              </w:rPr>
              <w:t>egulator.</w:t>
            </w:r>
          </w:p>
          <w:p w14:paraId="2744F0D3" w14:textId="77777777" w:rsidR="00F05A26" w:rsidRDefault="00F05A26" w:rsidP="0090077A">
            <w:pPr>
              <w:spacing w:line="240" w:lineRule="auto"/>
              <w:rPr>
                <w:sz w:val="16"/>
                <w:szCs w:val="16"/>
              </w:rPr>
            </w:pPr>
          </w:p>
        </w:tc>
        <w:tc>
          <w:tcPr>
            <w:tcW w:w="2400" w:type="dxa"/>
          </w:tcPr>
          <w:p w14:paraId="1AD78C3F" w14:textId="77777777" w:rsidR="00F05A26" w:rsidRDefault="00F05A26" w:rsidP="0090077A">
            <w:pPr>
              <w:spacing w:line="240" w:lineRule="auto"/>
              <w:rPr>
                <w:sz w:val="16"/>
                <w:szCs w:val="16"/>
              </w:rPr>
            </w:pPr>
            <w:r w:rsidRPr="005A6C68">
              <w:rPr>
                <w:sz w:val="16"/>
                <w:szCs w:val="16"/>
              </w:rPr>
              <w:t>Increased likelihood of Government contracting with projects that will go ahead to deliver abatement.</w:t>
            </w:r>
          </w:p>
        </w:tc>
        <w:tc>
          <w:tcPr>
            <w:tcW w:w="2117" w:type="dxa"/>
          </w:tcPr>
          <w:p w14:paraId="5A2C0C33" w14:textId="77777777" w:rsidR="00F05A26" w:rsidRDefault="00F05A26" w:rsidP="0090077A">
            <w:pPr>
              <w:spacing w:line="240" w:lineRule="auto"/>
              <w:rPr>
                <w:sz w:val="16"/>
                <w:szCs w:val="16"/>
              </w:rPr>
            </w:pPr>
            <w:r w:rsidRPr="004B41B1">
              <w:rPr>
                <w:sz w:val="16"/>
                <w:szCs w:val="16"/>
              </w:rPr>
              <w:t xml:space="preserve">Aligns with UN Declaration on the Rights of Indigenous People for free, prior and informed consent. </w:t>
            </w:r>
          </w:p>
          <w:p w14:paraId="66DCED05" w14:textId="77777777" w:rsidR="00F05A26" w:rsidRDefault="00F05A26" w:rsidP="0090077A">
            <w:pPr>
              <w:spacing w:line="240" w:lineRule="auto"/>
              <w:rPr>
                <w:sz w:val="16"/>
                <w:szCs w:val="16"/>
              </w:rPr>
            </w:pPr>
          </w:p>
          <w:p w14:paraId="447DD99E" w14:textId="77777777" w:rsidR="00F05A26" w:rsidRDefault="00F05A26" w:rsidP="0090077A">
            <w:pPr>
              <w:spacing w:line="240" w:lineRule="auto"/>
              <w:rPr>
                <w:sz w:val="16"/>
                <w:szCs w:val="16"/>
              </w:rPr>
            </w:pPr>
            <w:r w:rsidRPr="005A6C68">
              <w:rPr>
                <w:sz w:val="16"/>
                <w:szCs w:val="16"/>
              </w:rPr>
              <w:t xml:space="preserve">Improves transparency and ability for </w:t>
            </w:r>
            <w:r>
              <w:rPr>
                <w:sz w:val="16"/>
                <w:szCs w:val="16"/>
              </w:rPr>
              <w:t xml:space="preserve">native title eligible interest holders </w:t>
            </w:r>
            <w:r w:rsidRPr="005A6C68">
              <w:rPr>
                <w:sz w:val="16"/>
                <w:szCs w:val="16"/>
              </w:rPr>
              <w:t>to negotiate with scheme participants.</w:t>
            </w:r>
          </w:p>
          <w:p w14:paraId="2B126575" w14:textId="77777777" w:rsidR="00F05A26" w:rsidRDefault="00F05A26" w:rsidP="0090077A">
            <w:pPr>
              <w:spacing w:line="240" w:lineRule="auto"/>
              <w:rPr>
                <w:sz w:val="16"/>
                <w:szCs w:val="16"/>
              </w:rPr>
            </w:pPr>
          </w:p>
        </w:tc>
        <w:tc>
          <w:tcPr>
            <w:tcW w:w="2120" w:type="dxa"/>
            <w:gridSpan w:val="2"/>
          </w:tcPr>
          <w:p w14:paraId="7BCAF1EC" w14:textId="77777777" w:rsidR="00F05A26" w:rsidRDefault="00F05A26" w:rsidP="0090077A">
            <w:pPr>
              <w:spacing w:line="240" w:lineRule="auto"/>
              <w:rPr>
                <w:sz w:val="16"/>
                <w:szCs w:val="16"/>
              </w:rPr>
            </w:pPr>
            <w:r>
              <w:rPr>
                <w:sz w:val="16"/>
                <w:szCs w:val="16"/>
              </w:rPr>
              <w:t>Regulator</w:t>
            </w:r>
          </w:p>
          <w:p w14:paraId="33AFE252" w14:textId="77777777" w:rsidR="00F05A26" w:rsidRDefault="00F05A26" w:rsidP="0090077A">
            <w:pPr>
              <w:spacing w:line="240" w:lineRule="auto"/>
              <w:rPr>
                <w:sz w:val="16"/>
                <w:szCs w:val="16"/>
              </w:rPr>
            </w:pPr>
            <w:r>
              <w:rPr>
                <w:sz w:val="16"/>
                <w:szCs w:val="16"/>
              </w:rPr>
              <w:t xml:space="preserve"> </w:t>
            </w:r>
          </w:p>
          <w:p w14:paraId="7D8A39BA" w14:textId="77777777" w:rsidR="00F05A26" w:rsidRDefault="00F05A26" w:rsidP="0090077A">
            <w:pPr>
              <w:spacing w:line="240" w:lineRule="auto"/>
              <w:rPr>
                <w:sz w:val="16"/>
                <w:szCs w:val="16"/>
              </w:rPr>
            </w:pPr>
            <w:r>
              <w:rPr>
                <w:sz w:val="16"/>
                <w:szCs w:val="16"/>
              </w:rPr>
              <w:t>and</w:t>
            </w:r>
          </w:p>
          <w:p w14:paraId="3AD5A1E3" w14:textId="77777777" w:rsidR="00F05A26" w:rsidRPr="005A6C68" w:rsidRDefault="00F05A26" w:rsidP="0090077A">
            <w:pPr>
              <w:spacing w:line="240" w:lineRule="auto"/>
              <w:rPr>
                <w:sz w:val="16"/>
                <w:szCs w:val="16"/>
              </w:rPr>
            </w:pPr>
          </w:p>
          <w:p w14:paraId="30B04B1F" w14:textId="77777777" w:rsidR="00F05A26" w:rsidRPr="005A6C68" w:rsidRDefault="00F05A26" w:rsidP="0090077A">
            <w:pPr>
              <w:spacing w:line="240" w:lineRule="auto"/>
              <w:rPr>
                <w:sz w:val="16"/>
                <w:szCs w:val="16"/>
              </w:rPr>
            </w:pPr>
            <w:r w:rsidRPr="005A6C68">
              <w:rPr>
                <w:sz w:val="16"/>
                <w:szCs w:val="16"/>
              </w:rPr>
              <w:t>Change to legislative rule</w:t>
            </w:r>
          </w:p>
          <w:p w14:paraId="763EACF0" w14:textId="77777777" w:rsidR="00F05A26" w:rsidRDefault="00F05A26" w:rsidP="0090077A">
            <w:pPr>
              <w:spacing w:line="240" w:lineRule="auto"/>
              <w:rPr>
                <w:sz w:val="16"/>
                <w:szCs w:val="16"/>
              </w:rPr>
            </w:pPr>
          </w:p>
        </w:tc>
      </w:tr>
      <w:tr w:rsidR="00E93CBF" w:rsidRPr="00120E1B" w14:paraId="3245E38B" w14:textId="77777777" w:rsidTr="00E93CBF">
        <w:trPr>
          <w:cnfStyle w:val="000000010000" w:firstRow="0" w:lastRow="0" w:firstColumn="0" w:lastColumn="0" w:oddVBand="0" w:evenVBand="0" w:oddHBand="0" w:evenHBand="1" w:firstRowFirstColumn="0" w:firstRowLastColumn="0" w:lastRowFirstColumn="0" w:lastRowLastColumn="0"/>
          <w:trHeight w:val="227"/>
        </w:trPr>
        <w:tc>
          <w:tcPr>
            <w:tcW w:w="805" w:type="dxa"/>
            <w:shd w:val="clear" w:color="auto" w:fill="0070AE" w:themeFill="accent2" w:themeFillTint="BF"/>
          </w:tcPr>
          <w:p w14:paraId="4080E1F1" w14:textId="0F065E85" w:rsidR="00E93CBF" w:rsidRPr="00C20CBA" w:rsidRDefault="00E93CBF" w:rsidP="00E93CBF">
            <w:pPr>
              <w:spacing w:line="240" w:lineRule="auto"/>
              <w:rPr>
                <w:b/>
                <w:sz w:val="16"/>
                <w:szCs w:val="16"/>
              </w:rPr>
            </w:pPr>
          </w:p>
        </w:tc>
        <w:tc>
          <w:tcPr>
            <w:tcW w:w="2724" w:type="dxa"/>
            <w:shd w:val="clear" w:color="auto" w:fill="0070AE" w:themeFill="accent2" w:themeFillTint="BF"/>
          </w:tcPr>
          <w:p w14:paraId="2B68B331" w14:textId="5C573692" w:rsidR="00E93CBF" w:rsidRPr="001D10CD" w:rsidRDefault="00E93CBF" w:rsidP="00E93CBF">
            <w:pPr>
              <w:rPr>
                <w:sz w:val="16"/>
                <w:szCs w:val="16"/>
              </w:rPr>
            </w:pPr>
            <w:r w:rsidRPr="0022784B">
              <w:rPr>
                <w:b/>
                <w:color w:val="FFFFFF" w:themeColor="background1"/>
                <w:sz w:val="16"/>
                <w:szCs w:val="16"/>
              </w:rPr>
              <w:t>RECOMMENDATION</w:t>
            </w:r>
          </w:p>
        </w:tc>
        <w:tc>
          <w:tcPr>
            <w:tcW w:w="2542" w:type="dxa"/>
            <w:shd w:val="clear" w:color="auto" w:fill="0070AE" w:themeFill="accent2" w:themeFillTint="BF"/>
          </w:tcPr>
          <w:p w14:paraId="18D579A0" w14:textId="77777777" w:rsidR="00E93CBF" w:rsidRPr="0022784B" w:rsidRDefault="00E93CBF" w:rsidP="00E93CBF">
            <w:pPr>
              <w:spacing w:line="240" w:lineRule="auto"/>
              <w:rPr>
                <w:b/>
                <w:color w:val="FFFFFF" w:themeColor="background1"/>
                <w:sz w:val="16"/>
                <w:szCs w:val="16"/>
              </w:rPr>
            </w:pPr>
            <w:r w:rsidRPr="0022784B">
              <w:rPr>
                <w:b/>
                <w:color w:val="FFFFFF" w:themeColor="background1"/>
                <w:sz w:val="16"/>
                <w:szCs w:val="16"/>
              </w:rPr>
              <w:t>ECONOMIC EFFICIENCY</w:t>
            </w:r>
          </w:p>
          <w:p w14:paraId="6AAF3411" w14:textId="50A7A8E5" w:rsidR="00E93CBF" w:rsidRDefault="00E93CBF" w:rsidP="00E93CBF">
            <w:pPr>
              <w:spacing w:line="240" w:lineRule="auto"/>
              <w:rPr>
                <w:sz w:val="16"/>
                <w:szCs w:val="16"/>
              </w:rPr>
            </w:pPr>
            <w:r w:rsidRPr="0022784B">
              <w:rPr>
                <w:b/>
                <w:color w:val="FFFFFF" w:themeColor="background1"/>
                <w:sz w:val="16"/>
                <w:szCs w:val="16"/>
              </w:rPr>
              <w:t>Coats</w:t>
            </w:r>
          </w:p>
        </w:tc>
        <w:tc>
          <w:tcPr>
            <w:tcW w:w="2399" w:type="dxa"/>
            <w:shd w:val="clear" w:color="auto" w:fill="0070AE" w:themeFill="accent2" w:themeFillTint="BF"/>
          </w:tcPr>
          <w:p w14:paraId="4B0734C1" w14:textId="77777777" w:rsidR="00E93CBF" w:rsidRPr="0022784B" w:rsidRDefault="00E93CBF" w:rsidP="00E93CBF">
            <w:pPr>
              <w:spacing w:line="240" w:lineRule="auto"/>
              <w:rPr>
                <w:b/>
                <w:color w:val="FFFFFF" w:themeColor="background1"/>
                <w:sz w:val="16"/>
                <w:szCs w:val="16"/>
              </w:rPr>
            </w:pPr>
          </w:p>
          <w:p w14:paraId="5E6D6523" w14:textId="6E7FA89A" w:rsidR="00E93CBF" w:rsidRPr="005A6C68" w:rsidRDefault="00E93CBF" w:rsidP="00E93CBF">
            <w:pPr>
              <w:spacing w:line="240" w:lineRule="auto"/>
              <w:rPr>
                <w:sz w:val="16"/>
                <w:szCs w:val="16"/>
              </w:rPr>
            </w:pPr>
            <w:r w:rsidRPr="0022784B">
              <w:rPr>
                <w:b/>
                <w:color w:val="FFFFFF" w:themeColor="background1"/>
                <w:sz w:val="16"/>
                <w:szCs w:val="16"/>
              </w:rPr>
              <w:t>Benefits</w:t>
            </w:r>
          </w:p>
        </w:tc>
        <w:tc>
          <w:tcPr>
            <w:tcW w:w="2400" w:type="dxa"/>
            <w:shd w:val="clear" w:color="auto" w:fill="0070AE" w:themeFill="accent2" w:themeFillTint="BF"/>
          </w:tcPr>
          <w:p w14:paraId="25CDDE50" w14:textId="327409A4" w:rsidR="00E93CBF" w:rsidRPr="005A6C68" w:rsidRDefault="00E93CBF" w:rsidP="00E93CBF">
            <w:pPr>
              <w:spacing w:line="240" w:lineRule="auto"/>
              <w:rPr>
                <w:sz w:val="16"/>
                <w:szCs w:val="16"/>
              </w:rPr>
            </w:pPr>
            <w:r w:rsidRPr="0022784B">
              <w:rPr>
                <w:b/>
                <w:color w:val="FFFFFF" w:themeColor="background1"/>
                <w:sz w:val="16"/>
                <w:szCs w:val="16"/>
              </w:rPr>
              <w:t>ENVIRONMENTAL EFFECTIVENESS</w:t>
            </w:r>
          </w:p>
        </w:tc>
        <w:tc>
          <w:tcPr>
            <w:tcW w:w="2117" w:type="dxa"/>
            <w:shd w:val="clear" w:color="auto" w:fill="0070AE" w:themeFill="accent2" w:themeFillTint="BF"/>
          </w:tcPr>
          <w:p w14:paraId="65D65A6F" w14:textId="28A2AF6C" w:rsidR="00E93CBF" w:rsidRPr="004B41B1" w:rsidRDefault="00E93CBF" w:rsidP="00E93CBF">
            <w:pPr>
              <w:spacing w:line="240" w:lineRule="auto"/>
              <w:rPr>
                <w:sz w:val="16"/>
                <w:szCs w:val="16"/>
              </w:rPr>
            </w:pPr>
            <w:r w:rsidRPr="0022784B">
              <w:rPr>
                <w:b/>
                <w:color w:val="FFFFFF" w:themeColor="background1"/>
                <w:sz w:val="16"/>
                <w:szCs w:val="16"/>
              </w:rPr>
              <w:t>EQUITY</w:t>
            </w:r>
          </w:p>
        </w:tc>
        <w:tc>
          <w:tcPr>
            <w:tcW w:w="2120" w:type="dxa"/>
            <w:gridSpan w:val="2"/>
            <w:shd w:val="clear" w:color="auto" w:fill="0070AE" w:themeFill="accent2" w:themeFillTint="BF"/>
          </w:tcPr>
          <w:p w14:paraId="6B583714" w14:textId="16C141CF" w:rsidR="00E93CBF" w:rsidRDefault="00E93CBF" w:rsidP="00E93CBF">
            <w:pPr>
              <w:spacing w:line="240" w:lineRule="auto"/>
              <w:rPr>
                <w:sz w:val="16"/>
                <w:szCs w:val="16"/>
              </w:rPr>
            </w:pPr>
            <w:r w:rsidRPr="0022784B">
              <w:rPr>
                <w:b/>
                <w:color w:val="FFFFFF" w:themeColor="background1"/>
                <w:sz w:val="16"/>
                <w:szCs w:val="16"/>
              </w:rPr>
              <w:t>PROCESS</w:t>
            </w:r>
          </w:p>
        </w:tc>
      </w:tr>
      <w:tr w:rsidR="00F05A26" w:rsidRPr="00120E1B" w14:paraId="45E04B82" w14:textId="77777777" w:rsidTr="0090077A">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31DA4867" w14:textId="05C07383" w:rsidR="00F05A26" w:rsidRPr="00C20CBA" w:rsidRDefault="00F05A26" w:rsidP="0090077A">
            <w:pPr>
              <w:spacing w:line="240" w:lineRule="auto"/>
              <w:rPr>
                <w:b/>
                <w:sz w:val="16"/>
                <w:szCs w:val="16"/>
              </w:rPr>
            </w:pPr>
            <w:r w:rsidRPr="00C20CBA">
              <w:rPr>
                <w:b/>
                <w:sz w:val="16"/>
                <w:szCs w:val="16"/>
              </w:rPr>
              <w:t>R.1</w:t>
            </w:r>
            <w:r w:rsidR="00A856A2">
              <w:rPr>
                <w:b/>
                <w:sz w:val="16"/>
                <w:szCs w:val="16"/>
              </w:rPr>
              <w:t>8</w:t>
            </w:r>
          </w:p>
        </w:tc>
        <w:tc>
          <w:tcPr>
            <w:tcW w:w="2724" w:type="dxa"/>
          </w:tcPr>
          <w:p w14:paraId="7FAC59A6" w14:textId="633FAC17" w:rsidR="00BB4B40" w:rsidRPr="001D10CD" w:rsidRDefault="00BB4B40" w:rsidP="00BB4B40">
            <w:pPr>
              <w:spacing w:after="160"/>
              <w:rPr>
                <w:rFonts w:cs="Arial"/>
                <w:sz w:val="16"/>
                <w:szCs w:val="16"/>
              </w:rPr>
            </w:pPr>
            <w:r>
              <w:rPr>
                <w:rFonts w:cs="Arial"/>
              </w:rPr>
              <w:t xml:space="preserve"> </w:t>
            </w:r>
            <w:r w:rsidRPr="001D10CD">
              <w:rPr>
                <w:rFonts w:cs="Arial"/>
                <w:sz w:val="16"/>
                <w:szCs w:val="16"/>
              </w:rPr>
              <w:t>T</w:t>
            </w:r>
            <w:r w:rsidRPr="001D10CD">
              <w:rPr>
                <w:sz w:val="16"/>
                <w:szCs w:val="16"/>
              </w:rPr>
              <w:t>o deliver fair outcomes as changes to methods are implemented,</w:t>
            </w:r>
            <w:r w:rsidRPr="001D10CD">
              <w:rPr>
                <w:rFonts w:cs="Arial"/>
                <w:sz w:val="16"/>
                <w:szCs w:val="16"/>
              </w:rPr>
              <w:t xml:space="preserve"> the</w:t>
            </w:r>
            <w:r>
              <w:rPr>
                <w:rFonts w:cs="Arial"/>
              </w:rPr>
              <w:t xml:space="preserve"> </w:t>
            </w:r>
            <w:r w:rsidRPr="001D10CD">
              <w:rPr>
                <w:rFonts w:cs="Arial"/>
                <w:sz w:val="16"/>
                <w:szCs w:val="16"/>
              </w:rPr>
              <w:t>Government’s ERF risk sharing framework (currently under development) include guidance on the circumstances under which:</w:t>
            </w:r>
          </w:p>
          <w:p w14:paraId="28AFBA51" w14:textId="77777777" w:rsidR="00BB4B40" w:rsidRPr="00C55C92" w:rsidRDefault="00BB4B40" w:rsidP="00BB4B40">
            <w:pPr>
              <w:pStyle w:val="ListParagraph"/>
              <w:numPr>
                <w:ilvl w:val="0"/>
                <w:numId w:val="23"/>
              </w:numPr>
              <w:rPr>
                <w:rFonts w:cs="Arial"/>
                <w:sz w:val="16"/>
                <w:szCs w:val="16"/>
              </w:rPr>
            </w:pPr>
            <w:r w:rsidRPr="00C55C92">
              <w:rPr>
                <w:rFonts w:cs="Arial"/>
                <w:sz w:val="16"/>
                <w:szCs w:val="16"/>
              </w:rPr>
              <w:t xml:space="preserve">variations and changes (to methods, rules, tools and guidance material) will apply to existing activities </w:t>
            </w:r>
          </w:p>
          <w:p w14:paraId="788B81B3" w14:textId="77777777" w:rsidR="00BB4B40" w:rsidRPr="00C55C92" w:rsidRDefault="00BB4B40" w:rsidP="00BB4B40">
            <w:pPr>
              <w:pStyle w:val="ListParagraph"/>
              <w:numPr>
                <w:ilvl w:val="0"/>
                <w:numId w:val="23"/>
              </w:numPr>
              <w:rPr>
                <w:rFonts w:cs="Arial"/>
                <w:sz w:val="16"/>
                <w:szCs w:val="16"/>
              </w:rPr>
            </w:pPr>
            <w:r w:rsidRPr="00C55C92">
              <w:rPr>
                <w:rFonts w:cs="Arial"/>
                <w:sz w:val="16"/>
                <w:szCs w:val="16"/>
              </w:rPr>
              <w:t>support will be made available to mitigate negative impacts cause by amendments that affect existing projects</w:t>
            </w:r>
          </w:p>
          <w:p w14:paraId="1AFBACC9" w14:textId="77777777" w:rsidR="00BB4B40" w:rsidRPr="00C55C92" w:rsidRDefault="00BB4B40" w:rsidP="00BB4B40">
            <w:pPr>
              <w:pStyle w:val="ListParagraph"/>
              <w:numPr>
                <w:ilvl w:val="0"/>
                <w:numId w:val="23"/>
              </w:numPr>
              <w:rPr>
                <w:rFonts w:cs="Arial"/>
                <w:sz w:val="16"/>
                <w:szCs w:val="16"/>
              </w:rPr>
            </w:pPr>
            <w:r w:rsidRPr="00C55C92">
              <w:rPr>
                <w:rFonts w:cs="Arial"/>
                <w:sz w:val="16"/>
                <w:szCs w:val="16"/>
              </w:rPr>
              <w:t xml:space="preserve">scheme participants will be required to transition to updated methods.  </w:t>
            </w:r>
          </w:p>
          <w:p w14:paraId="44205F21" w14:textId="77777777" w:rsidR="00F05A26" w:rsidRPr="00120E1B" w:rsidRDefault="00F05A26" w:rsidP="00BB4B40">
            <w:pPr>
              <w:spacing w:line="240" w:lineRule="auto"/>
              <w:ind w:left="505"/>
              <w:contextualSpacing/>
              <w:rPr>
                <w:rFonts w:cs="Arial"/>
                <w:sz w:val="16"/>
                <w:szCs w:val="16"/>
              </w:rPr>
            </w:pPr>
          </w:p>
        </w:tc>
        <w:tc>
          <w:tcPr>
            <w:tcW w:w="2542" w:type="dxa"/>
          </w:tcPr>
          <w:p w14:paraId="28EE531A" w14:textId="77777777" w:rsidR="00F05A26" w:rsidRDefault="00F05A26" w:rsidP="0090077A">
            <w:pPr>
              <w:spacing w:line="240" w:lineRule="auto"/>
              <w:rPr>
                <w:sz w:val="16"/>
                <w:szCs w:val="16"/>
              </w:rPr>
            </w:pPr>
            <w:r>
              <w:rPr>
                <w:sz w:val="16"/>
                <w:szCs w:val="16"/>
              </w:rPr>
              <w:t>Part of current commitment to develop a risk sharing framework.</w:t>
            </w:r>
          </w:p>
          <w:p w14:paraId="59F6C551" w14:textId="77777777" w:rsidR="00F05A26" w:rsidRDefault="00F05A26" w:rsidP="0090077A">
            <w:pPr>
              <w:spacing w:line="240" w:lineRule="auto"/>
              <w:rPr>
                <w:sz w:val="16"/>
                <w:szCs w:val="16"/>
              </w:rPr>
            </w:pPr>
          </w:p>
        </w:tc>
        <w:tc>
          <w:tcPr>
            <w:tcW w:w="2399" w:type="dxa"/>
          </w:tcPr>
          <w:p w14:paraId="6AFC8918" w14:textId="77777777" w:rsidR="00F05A26" w:rsidRDefault="00F05A26" w:rsidP="0090077A">
            <w:pPr>
              <w:spacing w:line="240" w:lineRule="auto"/>
              <w:rPr>
                <w:sz w:val="16"/>
                <w:szCs w:val="16"/>
              </w:rPr>
            </w:pPr>
            <w:r>
              <w:rPr>
                <w:sz w:val="16"/>
                <w:szCs w:val="16"/>
              </w:rPr>
              <w:t>Enhances confidence for investors in ERF projects.</w:t>
            </w:r>
          </w:p>
          <w:p w14:paraId="7524414C" w14:textId="77777777" w:rsidR="00F05A26" w:rsidRDefault="00F05A26" w:rsidP="0090077A">
            <w:pPr>
              <w:spacing w:line="240" w:lineRule="auto"/>
              <w:rPr>
                <w:sz w:val="16"/>
                <w:szCs w:val="16"/>
              </w:rPr>
            </w:pPr>
            <w:r>
              <w:rPr>
                <w:sz w:val="16"/>
                <w:szCs w:val="16"/>
              </w:rPr>
              <w:t xml:space="preserve"> </w:t>
            </w:r>
          </w:p>
        </w:tc>
        <w:tc>
          <w:tcPr>
            <w:tcW w:w="2400" w:type="dxa"/>
          </w:tcPr>
          <w:p w14:paraId="0AE9E9E3" w14:textId="77777777" w:rsidR="00F05A26" w:rsidRDefault="00F05A26" w:rsidP="0090077A">
            <w:pPr>
              <w:spacing w:line="240" w:lineRule="auto"/>
              <w:rPr>
                <w:sz w:val="16"/>
                <w:szCs w:val="16"/>
              </w:rPr>
            </w:pPr>
            <w:r>
              <w:rPr>
                <w:sz w:val="16"/>
                <w:szCs w:val="16"/>
              </w:rPr>
              <w:t>Improves integrity of emissions reductions compared to participants remaining on original method/tool for up to 25 years.</w:t>
            </w:r>
          </w:p>
        </w:tc>
        <w:tc>
          <w:tcPr>
            <w:tcW w:w="2117" w:type="dxa"/>
          </w:tcPr>
          <w:p w14:paraId="4ABE64E2" w14:textId="77777777" w:rsidR="00F05A26" w:rsidRDefault="00F05A26" w:rsidP="0090077A">
            <w:pPr>
              <w:spacing w:line="240" w:lineRule="auto"/>
              <w:rPr>
                <w:sz w:val="16"/>
                <w:szCs w:val="16"/>
              </w:rPr>
            </w:pPr>
            <w:r>
              <w:rPr>
                <w:sz w:val="16"/>
                <w:szCs w:val="16"/>
              </w:rPr>
              <w:t xml:space="preserve">Improves understanding and transparency of how participants and their businesses may be impacted by changes to methods/rules/tools. </w:t>
            </w:r>
          </w:p>
        </w:tc>
        <w:tc>
          <w:tcPr>
            <w:tcW w:w="2120" w:type="dxa"/>
            <w:gridSpan w:val="2"/>
          </w:tcPr>
          <w:p w14:paraId="05310D85" w14:textId="77777777" w:rsidR="00F05A26" w:rsidRDefault="00F05A26" w:rsidP="0090077A">
            <w:pPr>
              <w:spacing w:line="240" w:lineRule="auto"/>
              <w:rPr>
                <w:sz w:val="16"/>
                <w:szCs w:val="16"/>
              </w:rPr>
            </w:pPr>
            <w:r>
              <w:rPr>
                <w:sz w:val="16"/>
                <w:szCs w:val="16"/>
              </w:rPr>
              <w:t>Department</w:t>
            </w:r>
            <w:r>
              <w:rPr>
                <w:rFonts w:cs="Arial"/>
                <w:sz w:val="16"/>
                <w:szCs w:val="16"/>
              </w:rPr>
              <w:t xml:space="preserve"> of Industry, Science, Energy and Resources</w:t>
            </w:r>
          </w:p>
        </w:tc>
      </w:tr>
      <w:tr w:rsidR="00F05A26" w:rsidRPr="00120E1B" w14:paraId="390628A7" w14:textId="77777777" w:rsidTr="0090077A">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48BD89CD" w14:textId="431C267B" w:rsidR="00F05A26" w:rsidRPr="00C20CBA" w:rsidRDefault="00F05A26" w:rsidP="0090077A">
            <w:pPr>
              <w:spacing w:line="240" w:lineRule="auto"/>
              <w:rPr>
                <w:b/>
                <w:sz w:val="16"/>
                <w:szCs w:val="16"/>
              </w:rPr>
            </w:pPr>
            <w:r w:rsidRPr="00C20CBA">
              <w:rPr>
                <w:b/>
                <w:sz w:val="16"/>
                <w:szCs w:val="16"/>
              </w:rPr>
              <w:t>R. 1</w:t>
            </w:r>
            <w:r w:rsidR="00A856A2">
              <w:rPr>
                <w:b/>
                <w:sz w:val="16"/>
                <w:szCs w:val="16"/>
              </w:rPr>
              <w:t>9</w:t>
            </w:r>
          </w:p>
        </w:tc>
        <w:tc>
          <w:tcPr>
            <w:tcW w:w="2724" w:type="dxa"/>
          </w:tcPr>
          <w:p w14:paraId="2A5C5391" w14:textId="77777777" w:rsidR="00F05A26" w:rsidRPr="00D53932" w:rsidRDefault="00F05A26" w:rsidP="0090077A">
            <w:pPr>
              <w:rPr>
                <w:sz w:val="16"/>
                <w:szCs w:val="16"/>
              </w:rPr>
            </w:pPr>
            <w:r w:rsidRPr="00D53932">
              <w:rPr>
                <w:sz w:val="16"/>
                <w:szCs w:val="16"/>
              </w:rPr>
              <w:t>That the standard contractual terms for future fixed delivery contracts:</w:t>
            </w:r>
          </w:p>
          <w:p w14:paraId="32FEB034" w14:textId="77777777" w:rsidR="00F05A26" w:rsidRPr="00D53932" w:rsidRDefault="00F05A26" w:rsidP="00004274">
            <w:pPr>
              <w:numPr>
                <w:ilvl w:val="0"/>
                <w:numId w:val="37"/>
              </w:numPr>
              <w:ind w:left="360"/>
              <w:rPr>
                <w:sz w:val="16"/>
                <w:szCs w:val="16"/>
              </w:rPr>
            </w:pPr>
            <w:r w:rsidRPr="00D53932">
              <w:rPr>
                <w:sz w:val="16"/>
                <w:szCs w:val="16"/>
              </w:rPr>
              <w:t>apply commercial contractual damages where non-delivery was not a result</w:t>
            </w:r>
            <w:r w:rsidRPr="00D53932" w:rsidDel="00AF6D3E">
              <w:rPr>
                <w:sz w:val="16"/>
                <w:szCs w:val="16"/>
              </w:rPr>
              <w:t xml:space="preserve"> of </w:t>
            </w:r>
            <w:r w:rsidRPr="00D53932">
              <w:rPr>
                <w:i/>
                <w:sz w:val="16"/>
                <w:szCs w:val="16"/>
              </w:rPr>
              <w:t>force majeure</w:t>
            </w:r>
            <w:r w:rsidRPr="00D53932">
              <w:rPr>
                <w:sz w:val="16"/>
                <w:szCs w:val="16"/>
              </w:rPr>
              <w:t xml:space="preserve"> </w:t>
            </w:r>
          </w:p>
          <w:p w14:paraId="6FBA7C27" w14:textId="77777777" w:rsidR="00F05A26" w:rsidRPr="00D53932" w:rsidRDefault="00F05A26" w:rsidP="00004274">
            <w:pPr>
              <w:numPr>
                <w:ilvl w:val="0"/>
                <w:numId w:val="37"/>
              </w:numPr>
              <w:ind w:left="360"/>
              <w:rPr>
                <w:sz w:val="16"/>
                <w:szCs w:val="16"/>
              </w:rPr>
            </w:pPr>
            <w:r w:rsidRPr="00D53932">
              <w:rPr>
                <w:sz w:val="16"/>
                <w:szCs w:val="16"/>
              </w:rPr>
              <w:t>minimise variations in delivery without cause.</w:t>
            </w:r>
          </w:p>
          <w:p w14:paraId="6039C606" w14:textId="77777777" w:rsidR="00F05A26" w:rsidRPr="00120E1B" w:rsidDel="00EC2A2F" w:rsidRDefault="00F05A26" w:rsidP="0090077A">
            <w:pPr>
              <w:rPr>
                <w:sz w:val="16"/>
                <w:szCs w:val="16"/>
              </w:rPr>
            </w:pPr>
          </w:p>
        </w:tc>
        <w:tc>
          <w:tcPr>
            <w:tcW w:w="2542" w:type="dxa"/>
          </w:tcPr>
          <w:p w14:paraId="236EB6B6" w14:textId="77777777" w:rsidR="00F05A26" w:rsidRPr="005A6C68" w:rsidRDefault="00F05A26" w:rsidP="0090077A">
            <w:pPr>
              <w:spacing w:line="240" w:lineRule="auto"/>
              <w:rPr>
                <w:rFonts w:eastAsiaTheme="minorHAnsi" w:cstheme="minorBidi"/>
                <w:sz w:val="16"/>
                <w:szCs w:val="16"/>
                <w:lang w:eastAsia="en-US"/>
              </w:rPr>
            </w:pPr>
            <w:r>
              <w:rPr>
                <w:sz w:val="16"/>
                <w:szCs w:val="16"/>
              </w:rPr>
              <w:t>Reduces flexibility for participants and potentially increases damages when participants are in breach.</w:t>
            </w:r>
          </w:p>
          <w:p w14:paraId="6964387C" w14:textId="77777777" w:rsidR="00F05A26" w:rsidRPr="00120E1B" w:rsidRDefault="00F05A26" w:rsidP="0090077A">
            <w:pPr>
              <w:spacing w:line="240" w:lineRule="auto"/>
              <w:rPr>
                <w:sz w:val="16"/>
                <w:szCs w:val="16"/>
              </w:rPr>
            </w:pPr>
            <w:r w:rsidRPr="005A6C68" w:rsidDel="00A2768B">
              <w:rPr>
                <w:sz w:val="16"/>
                <w:szCs w:val="16"/>
              </w:rPr>
              <w:t xml:space="preserve"> </w:t>
            </w:r>
          </w:p>
        </w:tc>
        <w:tc>
          <w:tcPr>
            <w:tcW w:w="2399" w:type="dxa"/>
          </w:tcPr>
          <w:p w14:paraId="44D7DB1E" w14:textId="77777777" w:rsidR="00F05A26" w:rsidRPr="00120E1B" w:rsidRDefault="00F05A26" w:rsidP="0090077A">
            <w:pPr>
              <w:spacing w:line="240" w:lineRule="auto"/>
              <w:rPr>
                <w:sz w:val="16"/>
                <w:szCs w:val="16"/>
              </w:rPr>
            </w:pPr>
            <w:r>
              <w:rPr>
                <w:sz w:val="16"/>
                <w:szCs w:val="16"/>
              </w:rPr>
              <w:t xml:space="preserve">Greater certainty of delivery </w:t>
            </w:r>
            <w:r w:rsidRPr="005A6C68">
              <w:rPr>
                <w:sz w:val="16"/>
                <w:szCs w:val="16"/>
              </w:rPr>
              <w:t>under contracts</w:t>
            </w:r>
            <w:r>
              <w:rPr>
                <w:sz w:val="16"/>
                <w:szCs w:val="16"/>
              </w:rPr>
              <w:t xml:space="preserve"> and </w:t>
            </w:r>
            <w:r w:rsidRPr="005A6C68">
              <w:rPr>
                <w:sz w:val="16"/>
                <w:szCs w:val="16"/>
              </w:rPr>
              <w:t>reduce</w:t>
            </w:r>
            <w:r>
              <w:rPr>
                <w:sz w:val="16"/>
                <w:szCs w:val="16"/>
              </w:rPr>
              <w:t>s</w:t>
            </w:r>
            <w:r w:rsidRPr="005A6C68">
              <w:rPr>
                <w:sz w:val="16"/>
                <w:szCs w:val="16"/>
              </w:rPr>
              <w:t xml:space="preserve"> risk to Government of needing to purchase abatement from elsewhere.</w:t>
            </w:r>
            <w:r>
              <w:rPr>
                <w:sz w:val="16"/>
                <w:szCs w:val="16"/>
              </w:rPr>
              <w:t xml:space="preserve"> Reduces incentive for participants to default on contract and maintains confidence in the scheme. </w:t>
            </w:r>
          </w:p>
        </w:tc>
        <w:tc>
          <w:tcPr>
            <w:tcW w:w="2400" w:type="dxa"/>
          </w:tcPr>
          <w:p w14:paraId="27FDE138" w14:textId="77777777" w:rsidR="00F05A26" w:rsidRPr="00120E1B" w:rsidRDefault="00F05A26" w:rsidP="0090077A">
            <w:pPr>
              <w:spacing w:line="240" w:lineRule="auto"/>
              <w:rPr>
                <w:sz w:val="16"/>
                <w:szCs w:val="16"/>
              </w:rPr>
            </w:pPr>
            <w:r w:rsidRPr="005A6C68">
              <w:rPr>
                <w:sz w:val="16"/>
                <w:szCs w:val="16"/>
              </w:rPr>
              <w:t>Increases incentives to deliver abatement.</w:t>
            </w:r>
          </w:p>
        </w:tc>
        <w:tc>
          <w:tcPr>
            <w:tcW w:w="2117" w:type="dxa"/>
          </w:tcPr>
          <w:p w14:paraId="51B5FA95" w14:textId="77777777" w:rsidR="00F05A26" w:rsidRPr="00120E1B" w:rsidRDefault="00F05A26" w:rsidP="0090077A">
            <w:pPr>
              <w:spacing w:line="240" w:lineRule="auto"/>
              <w:rPr>
                <w:sz w:val="16"/>
                <w:szCs w:val="16"/>
              </w:rPr>
            </w:pPr>
            <w:r w:rsidRPr="005A6C68">
              <w:rPr>
                <w:sz w:val="16"/>
                <w:szCs w:val="16"/>
              </w:rPr>
              <w:t>Treats new entrants differently to incumbents</w:t>
            </w:r>
            <w:r>
              <w:rPr>
                <w:sz w:val="16"/>
                <w:szCs w:val="16"/>
              </w:rPr>
              <w:t>.</w:t>
            </w:r>
          </w:p>
        </w:tc>
        <w:tc>
          <w:tcPr>
            <w:tcW w:w="2120" w:type="dxa"/>
            <w:gridSpan w:val="2"/>
          </w:tcPr>
          <w:p w14:paraId="4D5B0CC8" w14:textId="77777777" w:rsidR="00F05A26" w:rsidRPr="00120E1B" w:rsidRDefault="00F05A26" w:rsidP="0090077A">
            <w:pPr>
              <w:spacing w:line="240" w:lineRule="auto"/>
              <w:rPr>
                <w:sz w:val="16"/>
                <w:szCs w:val="16"/>
              </w:rPr>
            </w:pPr>
            <w:r w:rsidRPr="005A6C68">
              <w:rPr>
                <w:sz w:val="16"/>
                <w:szCs w:val="16"/>
              </w:rPr>
              <w:t>R</w:t>
            </w:r>
            <w:r>
              <w:rPr>
                <w:sz w:val="16"/>
                <w:szCs w:val="16"/>
              </w:rPr>
              <w:t>egulator</w:t>
            </w:r>
          </w:p>
        </w:tc>
      </w:tr>
      <w:tr w:rsidR="00F05A26" w:rsidRPr="00120E1B" w14:paraId="0C5BB465" w14:textId="77777777" w:rsidTr="0090077A">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3C5259E6" w14:textId="29FD17DF" w:rsidR="00F05A26" w:rsidRPr="00C20CBA" w:rsidRDefault="00F05A26" w:rsidP="0090077A">
            <w:pPr>
              <w:spacing w:line="240" w:lineRule="auto"/>
              <w:rPr>
                <w:b/>
                <w:sz w:val="16"/>
                <w:szCs w:val="16"/>
              </w:rPr>
            </w:pPr>
            <w:r w:rsidRPr="00C20CBA">
              <w:rPr>
                <w:b/>
                <w:sz w:val="16"/>
                <w:szCs w:val="16"/>
              </w:rPr>
              <w:t xml:space="preserve">R. </w:t>
            </w:r>
            <w:r w:rsidR="00A856A2">
              <w:rPr>
                <w:b/>
                <w:sz w:val="16"/>
                <w:szCs w:val="16"/>
              </w:rPr>
              <w:t>20</w:t>
            </w:r>
          </w:p>
        </w:tc>
        <w:tc>
          <w:tcPr>
            <w:tcW w:w="2724" w:type="dxa"/>
          </w:tcPr>
          <w:p w14:paraId="127D71CA" w14:textId="5A9B1FB5" w:rsidR="0067232F" w:rsidRPr="001D10CD" w:rsidRDefault="0067232F" w:rsidP="0067232F">
            <w:pPr>
              <w:rPr>
                <w:b/>
                <w:sz w:val="16"/>
                <w:szCs w:val="16"/>
              </w:rPr>
            </w:pPr>
            <w:r w:rsidRPr="001D10CD">
              <w:rPr>
                <w:sz w:val="16"/>
                <w:szCs w:val="16"/>
              </w:rPr>
              <w:t>To incentivise</w:t>
            </w:r>
            <w:r w:rsidRPr="00A67124">
              <w:rPr>
                <w:sz w:val="16"/>
                <w:szCs w:val="16"/>
              </w:rPr>
              <w:t xml:space="preserve"> new </w:t>
            </w:r>
            <w:r w:rsidRPr="001D10CD">
              <w:rPr>
                <w:sz w:val="16"/>
                <w:szCs w:val="16"/>
              </w:rPr>
              <w:t>projects</w:t>
            </w:r>
            <w:r w:rsidRPr="00A67124">
              <w:rPr>
                <w:sz w:val="16"/>
                <w:szCs w:val="16"/>
              </w:rPr>
              <w:t xml:space="preserve">, the Government adopt contract terms </w:t>
            </w:r>
            <w:r w:rsidRPr="001D10CD">
              <w:rPr>
                <w:sz w:val="16"/>
                <w:szCs w:val="16"/>
              </w:rPr>
              <w:t xml:space="preserve">that </w:t>
            </w:r>
            <w:r w:rsidRPr="00A67124">
              <w:rPr>
                <w:sz w:val="16"/>
                <w:szCs w:val="16"/>
              </w:rPr>
              <w:t xml:space="preserve">ensure new </w:t>
            </w:r>
            <w:r w:rsidRPr="001D10CD">
              <w:rPr>
                <w:sz w:val="16"/>
                <w:szCs w:val="16"/>
              </w:rPr>
              <w:t xml:space="preserve">fixed delivery </w:t>
            </w:r>
            <w:r w:rsidRPr="00A67124">
              <w:rPr>
                <w:sz w:val="16"/>
                <w:szCs w:val="16"/>
              </w:rPr>
              <w:t xml:space="preserve">contracts are filled predominantly using ACCUs </w:t>
            </w:r>
            <w:r w:rsidRPr="00A67124" w:rsidDel="006170FE">
              <w:rPr>
                <w:sz w:val="16"/>
                <w:szCs w:val="16"/>
              </w:rPr>
              <w:t>from</w:t>
            </w:r>
            <w:r w:rsidRPr="00A67124">
              <w:rPr>
                <w:sz w:val="16"/>
                <w:szCs w:val="16"/>
              </w:rPr>
              <w:t xml:space="preserve"> new ERF projects rather than projects that have already fulfilled ERF contracts (post-contract supply)</w:t>
            </w:r>
            <w:r w:rsidRPr="00A67124">
              <w:rPr>
                <w:b/>
                <w:sz w:val="16"/>
                <w:szCs w:val="16"/>
              </w:rPr>
              <w:t>.</w:t>
            </w:r>
          </w:p>
          <w:p w14:paraId="3E4F8E1E" w14:textId="441270C8" w:rsidR="00F05A26" w:rsidRPr="0067232F" w:rsidRDefault="00F05A26" w:rsidP="0090077A">
            <w:pPr>
              <w:spacing w:line="240" w:lineRule="auto"/>
              <w:rPr>
                <w:b/>
                <w:sz w:val="16"/>
                <w:szCs w:val="16"/>
              </w:rPr>
            </w:pPr>
          </w:p>
          <w:p w14:paraId="0D0BEC45" w14:textId="77777777" w:rsidR="00F05A26" w:rsidRPr="00120E1B" w:rsidRDefault="00F05A26" w:rsidP="0090077A">
            <w:pPr>
              <w:spacing w:line="240" w:lineRule="auto"/>
              <w:rPr>
                <w:sz w:val="16"/>
                <w:szCs w:val="16"/>
              </w:rPr>
            </w:pPr>
          </w:p>
        </w:tc>
        <w:tc>
          <w:tcPr>
            <w:tcW w:w="2542" w:type="dxa"/>
          </w:tcPr>
          <w:p w14:paraId="1D73BE9A" w14:textId="77777777" w:rsidR="00F05A26" w:rsidRDefault="00F05A26" w:rsidP="0090077A">
            <w:pPr>
              <w:spacing w:line="240" w:lineRule="auto"/>
              <w:rPr>
                <w:sz w:val="16"/>
                <w:szCs w:val="16"/>
              </w:rPr>
            </w:pPr>
            <w:r>
              <w:rPr>
                <w:sz w:val="16"/>
                <w:szCs w:val="16"/>
              </w:rPr>
              <w:t>Reduces flexibility for participants</w:t>
            </w:r>
          </w:p>
          <w:p w14:paraId="7C63E1E0" w14:textId="77777777" w:rsidR="00F05A26" w:rsidRDefault="00F05A26" w:rsidP="0090077A">
            <w:pPr>
              <w:spacing w:line="240" w:lineRule="auto"/>
              <w:rPr>
                <w:rFonts w:eastAsiaTheme="minorHAnsi" w:cstheme="minorBidi"/>
                <w:sz w:val="16"/>
                <w:szCs w:val="16"/>
                <w:lang w:eastAsia="en-US"/>
              </w:rPr>
            </w:pPr>
          </w:p>
          <w:p w14:paraId="1EDD369A" w14:textId="77777777" w:rsidR="00F05A26" w:rsidRDefault="00F05A26" w:rsidP="0090077A">
            <w:pPr>
              <w:spacing w:line="240" w:lineRule="auto"/>
              <w:rPr>
                <w:rFonts w:eastAsiaTheme="minorHAnsi" w:cstheme="minorBidi"/>
                <w:sz w:val="16"/>
                <w:szCs w:val="16"/>
                <w:lang w:eastAsia="en-US"/>
              </w:rPr>
            </w:pPr>
          </w:p>
          <w:p w14:paraId="27847EE6" w14:textId="77777777" w:rsidR="00F05A26" w:rsidRPr="005A6C68" w:rsidRDefault="00F05A26" w:rsidP="0090077A">
            <w:pPr>
              <w:spacing w:line="240" w:lineRule="auto"/>
              <w:rPr>
                <w:rFonts w:eastAsiaTheme="minorHAnsi" w:cstheme="minorBidi"/>
                <w:sz w:val="16"/>
                <w:szCs w:val="16"/>
                <w:lang w:eastAsia="en-US"/>
              </w:rPr>
            </w:pPr>
          </w:p>
          <w:p w14:paraId="210505F0" w14:textId="77777777" w:rsidR="00F05A26" w:rsidRDefault="00F05A26" w:rsidP="0090077A">
            <w:pPr>
              <w:spacing w:line="240" w:lineRule="auto"/>
              <w:rPr>
                <w:sz w:val="16"/>
                <w:szCs w:val="16"/>
              </w:rPr>
            </w:pPr>
          </w:p>
          <w:p w14:paraId="58C18D7F" w14:textId="77777777" w:rsidR="00F05A26" w:rsidRPr="00C97C1E" w:rsidRDefault="00F05A26" w:rsidP="0090077A">
            <w:pPr>
              <w:jc w:val="right"/>
              <w:rPr>
                <w:sz w:val="16"/>
                <w:szCs w:val="16"/>
              </w:rPr>
            </w:pPr>
          </w:p>
        </w:tc>
        <w:tc>
          <w:tcPr>
            <w:tcW w:w="2399" w:type="dxa"/>
          </w:tcPr>
          <w:p w14:paraId="145E1BA7" w14:textId="77777777" w:rsidR="00F05A26" w:rsidRDefault="00F05A26" w:rsidP="0090077A">
            <w:pPr>
              <w:spacing w:line="240" w:lineRule="auto"/>
              <w:rPr>
                <w:sz w:val="16"/>
                <w:szCs w:val="16"/>
              </w:rPr>
            </w:pPr>
            <w:r>
              <w:rPr>
                <w:sz w:val="16"/>
                <w:szCs w:val="16"/>
              </w:rPr>
              <w:t xml:space="preserve">Increases incentives for new abatement projects and ensures incumbents are not at an unfair advantage over new project entrants. Ensures public funding is used to incentivise new abatement rather than expend on existing contracts. </w:t>
            </w:r>
          </w:p>
          <w:p w14:paraId="79579953" w14:textId="77777777" w:rsidR="00F05A26" w:rsidRPr="00120E1B" w:rsidRDefault="00F05A26" w:rsidP="0090077A">
            <w:pPr>
              <w:spacing w:line="240" w:lineRule="auto"/>
              <w:rPr>
                <w:sz w:val="16"/>
                <w:szCs w:val="16"/>
              </w:rPr>
            </w:pPr>
          </w:p>
        </w:tc>
        <w:tc>
          <w:tcPr>
            <w:tcW w:w="2400" w:type="dxa"/>
          </w:tcPr>
          <w:p w14:paraId="30A2062E" w14:textId="77777777" w:rsidR="00F05A26" w:rsidRPr="00120E1B" w:rsidRDefault="00F05A26" w:rsidP="0090077A">
            <w:pPr>
              <w:spacing w:line="240" w:lineRule="auto"/>
              <w:rPr>
                <w:sz w:val="16"/>
                <w:szCs w:val="16"/>
              </w:rPr>
            </w:pPr>
            <w:r>
              <w:rPr>
                <w:sz w:val="16"/>
                <w:szCs w:val="16"/>
              </w:rPr>
              <w:t>Increases abatement by incentivising new projects.</w:t>
            </w:r>
          </w:p>
        </w:tc>
        <w:tc>
          <w:tcPr>
            <w:tcW w:w="2117" w:type="dxa"/>
          </w:tcPr>
          <w:p w14:paraId="52D3E475" w14:textId="77777777" w:rsidR="00F05A26" w:rsidRPr="00120E1B" w:rsidRDefault="00F05A26" w:rsidP="0090077A">
            <w:pPr>
              <w:spacing w:line="240" w:lineRule="auto"/>
              <w:rPr>
                <w:sz w:val="16"/>
                <w:szCs w:val="16"/>
              </w:rPr>
            </w:pPr>
            <w:r>
              <w:rPr>
                <w:sz w:val="16"/>
                <w:szCs w:val="16"/>
              </w:rPr>
              <w:t>Ensures incumbents do not have an unfair advantage over new entrants.</w:t>
            </w:r>
          </w:p>
        </w:tc>
        <w:tc>
          <w:tcPr>
            <w:tcW w:w="2120" w:type="dxa"/>
            <w:gridSpan w:val="2"/>
          </w:tcPr>
          <w:p w14:paraId="25F03CDD" w14:textId="77777777" w:rsidR="00F05A26" w:rsidRPr="00120E1B" w:rsidRDefault="00F05A26" w:rsidP="0090077A">
            <w:pPr>
              <w:spacing w:line="240" w:lineRule="auto"/>
              <w:rPr>
                <w:sz w:val="16"/>
                <w:szCs w:val="16"/>
              </w:rPr>
            </w:pPr>
            <w:r>
              <w:rPr>
                <w:sz w:val="16"/>
                <w:szCs w:val="16"/>
              </w:rPr>
              <w:t>Regulator</w:t>
            </w:r>
          </w:p>
        </w:tc>
      </w:tr>
      <w:tr w:rsidR="00E93CBF" w:rsidRPr="00120E1B" w14:paraId="0079B691" w14:textId="77777777" w:rsidTr="00E93CBF">
        <w:trPr>
          <w:cnfStyle w:val="000000010000" w:firstRow="0" w:lastRow="0" w:firstColumn="0" w:lastColumn="0" w:oddVBand="0" w:evenVBand="0" w:oddHBand="0" w:evenHBand="1" w:firstRowFirstColumn="0" w:firstRowLastColumn="0" w:lastRowFirstColumn="0" w:lastRowLastColumn="0"/>
          <w:trHeight w:val="227"/>
        </w:trPr>
        <w:tc>
          <w:tcPr>
            <w:tcW w:w="805" w:type="dxa"/>
            <w:shd w:val="clear" w:color="auto" w:fill="0070AE" w:themeFill="accent2" w:themeFillTint="BF"/>
          </w:tcPr>
          <w:p w14:paraId="3D362C4B" w14:textId="17ADAF8C" w:rsidR="00E93CBF" w:rsidRPr="00C20CBA" w:rsidRDefault="00E93CBF" w:rsidP="00E93CBF">
            <w:pPr>
              <w:spacing w:line="240" w:lineRule="auto"/>
              <w:rPr>
                <w:b/>
                <w:sz w:val="16"/>
                <w:szCs w:val="16"/>
              </w:rPr>
            </w:pPr>
          </w:p>
        </w:tc>
        <w:tc>
          <w:tcPr>
            <w:tcW w:w="2724" w:type="dxa"/>
            <w:shd w:val="clear" w:color="auto" w:fill="0070AE" w:themeFill="accent2" w:themeFillTint="BF"/>
          </w:tcPr>
          <w:p w14:paraId="624E1B7A" w14:textId="56804873" w:rsidR="00E93CBF" w:rsidRPr="001D10CD" w:rsidRDefault="00E93CBF" w:rsidP="00E93CBF">
            <w:pPr>
              <w:rPr>
                <w:sz w:val="16"/>
                <w:szCs w:val="16"/>
              </w:rPr>
            </w:pPr>
            <w:r w:rsidRPr="0022784B">
              <w:rPr>
                <w:b/>
                <w:color w:val="FFFFFF" w:themeColor="background1"/>
                <w:sz w:val="16"/>
                <w:szCs w:val="16"/>
              </w:rPr>
              <w:t>RECOMMENDATION</w:t>
            </w:r>
          </w:p>
        </w:tc>
        <w:tc>
          <w:tcPr>
            <w:tcW w:w="2542" w:type="dxa"/>
            <w:shd w:val="clear" w:color="auto" w:fill="0070AE" w:themeFill="accent2" w:themeFillTint="BF"/>
          </w:tcPr>
          <w:p w14:paraId="12683C32" w14:textId="77777777" w:rsidR="00E93CBF" w:rsidRPr="0022784B" w:rsidRDefault="00E93CBF" w:rsidP="00E93CBF">
            <w:pPr>
              <w:spacing w:line="240" w:lineRule="auto"/>
              <w:rPr>
                <w:b/>
                <w:color w:val="FFFFFF" w:themeColor="background1"/>
                <w:sz w:val="16"/>
                <w:szCs w:val="16"/>
              </w:rPr>
            </w:pPr>
            <w:r w:rsidRPr="0022784B">
              <w:rPr>
                <w:b/>
                <w:color w:val="FFFFFF" w:themeColor="background1"/>
                <w:sz w:val="16"/>
                <w:szCs w:val="16"/>
              </w:rPr>
              <w:t>ECONOMIC EFFICIENCY</w:t>
            </w:r>
          </w:p>
          <w:p w14:paraId="6980F62D" w14:textId="43DA0A87" w:rsidR="00E93CBF" w:rsidRDefault="00E93CBF" w:rsidP="00E93CBF">
            <w:pPr>
              <w:spacing w:line="240" w:lineRule="auto"/>
              <w:rPr>
                <w:sz w:val="16"/>
                <w:szCs w:val="16"/>
              </w:rPr>
            </w:pPr>
            <w:r w:rsidRPr="0022784B">
              <w:rPr>
                <w:b/>
                <w:color w:val="FFFFFF" w:themeColor="background1"/>
                <w:sz w:val="16"/>
                <w:szCs w:val="16"/>
              </w:rPr>
              <w:t>Coats</w:t>
            </w:r>
          </w:p>
        </w:tc>
        <w:tc>
          <w:tcPr>
            <w:tcW w:w="2399" w:type="dxa"/>
            <w:shd w:val="clear" w:color="auto" w:fill="0070AE" w:themeFill="accent2" w:themeFillTint="BF"/>
          </w:tcPr>
          <w:p w14:paraId="1ED2B802" w14:textId="77777777" w:rsidR="00E93CBF" w:rsidRPr="0022784B" w:rsidRDefault="00E93CBF" w:rsidP="00E93CBF">
            <w:pPr>
              <w:spacing w:line="240" w:lineRule="auto"/>
              <w:rPr>
                <w:b/>
                <w:color w:val="FFFFFF" w:themeColor="background1"/>
                <w:sz w:val="16"/>
                <w:szCs w:val="16"/>
              </w:rPr>
            </w:pPr>
          </w:p>
          <w:p w14:paraId="13711AE8" w14:textId="14E9EBD6" w:rsidR="00E93CBF" w:rsidRDefault="00E93CBF" w:rsidP="00E93CBF">
            <w:pPr>
              <w:spacing w:line="240" w:lineRule="auto"/>
              <w:rPr>
                <w:sz w:val="16"/>
                <w:szCs w:val="16"/>
              </w:rPr>
            </w:pPr>
            <w:r w:rsidRPr="0022784B">
              <w:rPr>
                <w:b/>
                <w:color w:val="FFFFFF" w:themeColor="background1"/>
                <w:sz w:val="16"/>
                <w:szCs w:val="16"/>
              </w:rPr>
              <w:t>Benefits</w:t>
            </w:r>
          </w:p>
        </w:tc>
        <w:tc>
          <w:tcPr>
            <w:tcW w:w="2400" w:type="dxa"/>
            <w:shd w:val="clear" w:color="auto" w:fill="0070AE" w:themeFill="accent2" w:themeFillTint="BF"/>
          </w:tcPr>
          <w:p w14:paraId="7521E1BD" w14:textId="6D0932AD" w:rsidR="00E93CBF" w:rsidRDefault="00E93CBF" w:rsidP="00E93CBF">
            <w:pPr>
              <w:spacing w:line="240" w:lineRule="auto"/>
              <w:rPr>
                <w:sz w:val="16"/>
                <w:szCs w:val="16"/>
              </w:rPr>
            </w:pPr>
            <w:r w:rsidRPr="0022784B">
              <w:rPr>
                <w:b/>
                <w:color w:val="FFFFFF" w:themeColor="background1"/>
                <w:sz w:val="16"/>
                <w:szCs w:val="16"/>
              </w:rPr>
              <w:t>ENVIRONMENTAL EFFECTIVENESS</w:t>
            </w:r>
          </w:p>
        </w:tc>
        <w:tc>
          <w:tcPr>
            <w:tcW w:w="2117" w:type="dxa"/>
            <w:shd w:val="clear" w:color="auto" w:fill="0070AE" w:themeFill="accent2" w:themeFillTint="BF"/>
          </w:tcPr>
          <w:p w14:paraId="2FDDF6FD" w14:textId="14EA110F" w:rsidR="00E93CBF" w:rsidRDefault="00E93CBF" w:rsidP="00E93CBF">
            <w:pPr>
              <w:spacing w:line="240" w:lineRule="auto"/>
              <w:rPr>
                <w:sz w:val="16"/>
                <w:szCs w:val="16"/>
              </w:rPr>
            </w:pPr>
            <w:r w:rsidRPr="0022784B">
              <w:rPr>
                <w:b/>
                <w:color w:val="FFFFFF" w:themeColor="background1"/>
                <w:sz w:val="16"/>
                <w:szCs w:val="16"/>
              </w:rPr>
              <w:t>EQUITY</w:t>
            </w:r>
          </w:p>
        </w:tc>
        <w:tc>
          <w:tcPr>
            <w:tcW w:w="2120" w:type="dxa"/>
            <w:gridSpan w:val="2"/>
            <w:shd w:val="clear" w:color="auto" w:fill="0070AE" w:themeFill="accent2" w:themeFillTint="BF"/>
          </w:tcPr>
          <w:p w14:paraId="71590DF7" w14:textId="5E0F9AAC" w:rsidR="00E93CBF" w:rsidRDefault="00E93CBF" w:rsidP="00E93CBF">
            <w:pPr>
              <w:spacing w:line="240" w:lineRule="auto"/>
              <w:rPr>
                <w:sz w:val="16"/>
                <w:szCs w:val="16"/>
              </w:rPr>
            </w:pPr>
            <w:r w:rsidRPr="0022784B">
              <w:rPr>
                <w:b/>
                <w:color w:val="FFFFFF" w:themeColor="background1"/>
                <w:sz w:val="16"/>
                <w:szCs w:val="16"/>
              </w:rPr>
              <w:t>PROCESS</w:t>
            </w:r>
          </w:p>
        </w:tc>
      </w:tr>
      <w:tr w:rsidR="00F05A26" w:rsidRPr="00120E1B" w14:paraId="2AB20ACA" w14:textId="77777777" w:rsidTr="0090077A">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35242C75" w14:textId="6D89A205" w:rsidR="00F05A26" w:rsidRPr="00C20CBA" w:rsidRDefault="00F05A26" w:rsidP="0090077A">
            <w:pPr>
              <w:spacing w:line="240" w:lineRule="auto"/>
              <w:rPr>
                <w:b/>
                <w:sz w:val="16"/>
                <w:szCs w:val="16"/>
              </w:rPr>
            </w:pPr>
            <w:r w:rsidRPr="00C20CBA">
              <w:rPr>
                <w:b/>
                <w:sz w:val="16"/>
                <w:szCs w:val="16"/>
              </w:rPr>
              <w:t>R. 2</w:t>
            </w:r>
            <w:r w:rsidR="00A856A2">
              <w:rPr>
                <w:b/>
                <w:sz w:val="16"/>
                <w:szCs w:val="16"/>
              </w:rPr>
              <w:t>1</w:t>
            </w:r>
          </w:p>
        </w:tc>
        <w:tc>
          <w:tcPr>
            <w:tcW w:w="2724" w:type="dxa"/>
          </w:tcPr>
          <w:p w14:paraId="47CA4CF6" w14:textId="7A36B7A9" w:rsidR="00F05A26" w:rsidRPr="00C55C92" w:rsidRDefault="00F05A26" w:rsidP="0090077A">
            <w:pPr>
              <w:rPr>
                <w:rFonts w:cs="Arial"/>
                <w:sz w:val="16"/>
                <w:szCs w:val="16"/>
              </w:rPr>
            </w:pPr>
            <w:r w:rsidRPr="00C55C92">
              <w:rPr>
                <w:rFonts w:cs="Arial"/>
                <w:sz w:val="16"/>
                <w:szCs w:val="16"/>
              </w:rPr>
              <w:t>T</w:t>
            </w:r>
            <w:r w:rsidR="0067232F">
              <w:rPr>
                <w:rFonts w:cs="Arial"/>
                <w:sz w:val="16"/>
                <w:szCs w:val="16"/>
              </w:rPr>
              <w:t>o enhance climate risk management, t</w:t>
            </w:r>
            <w:r w:rsidRPr="00C55C92">
              <w:rPr>
                <w:rFonts w:cs="Arial"/>
                <w:sz w:val="16"/>
                <w:szCs w:val="16"/>
              </w:rPr>
              <w:t>he Department and the Regulator:</w:t>
            </w:r>
          </w:p>
          <w:p w14:paraId="36F745A5" w14:textId="77777777" w:rsidR="00F05A26" w:rsidRPr="00C55C92" w:rsidRDefault="00F05A26" w:rsidP="00F05A26">
            <w:pPr>
              <w:numPr>
                <w:ilvl w:val="0"/>
                <w:numId w:val="31"/>
              </w:numPr>
              <w:spacing w:line="240" w:lineRule="auto"/>
              <w:ind w:left="363"/>
              <w:contextualSpacing/>
              <w:rPr>
                <w:rFonts w:cs="Arial"/>
                <w:sz w:val="16"/>
                <w:szCs w:val="16"/>
              </w:rPr>
            </w:pPr>
            <w:r w:rsidRPr="00C55C92">
              <w:rPr>
                <w:rFonts w:cs="Arial"/>
                <w:sz w:val="16"/>
                <w:szCs w:val="16"/>
              </w:rPr>
              <w:t xml:space="preserve">undertake climate risk assessments of the ERF scheme using an iterative climate risk management framework such as the Government’s Climate Compass framework. </w:t>
            </w:r>
          </w:p>
          <w:p w14:paraId="4737A155" w14:textId="4E638812" w:rsidR="00F05A26" w:rsidRPr="00C55C92" w:rsidRDefault="00F05A26" w:rsidP="00F05A26">
            <w:pPr>
              <w:numPr>
                <w:ilvl w:val="0"/>
                <w:numId w:val="31"/>
              </w:numPr>
              <w:spacing w:line="240" w:lineRule="auto"/>
              <w:ind w:left="363"/>
              <w:contextualSpacing/>
              <w:rPr>
                <w:rFonts w:cs="Arial"/>
                <w:sz w:val="18"/>
                <w:szCs w:val="18"/>
              </w:rPr>
            </w:pPr>
            <w:r w:rsidRPr="00C55C92">
              <w:rPr>
                <w:rFonts w:cs="Arial"/>
                <w:sz w:val="16"/>
                <w:szCs w:val="16"/>
              </w:rPr>
              <w:t>use the findings of these assessments and existing scientific information to prioritise investment in further data and research to help governments, scheme participants and businesses to understand and manage climate</w:t>
            </w:r>
            <w:r w:rsidR="0066003B">
              <w:rPr>
                <w:rFonts w:cs="Arial"/>
                <w:sz w:val="16"/>
                <w:szCs w:val="16"/>
              </w:rPr>
              <w:t>-</w:t>
            </w:r>
            <w:r w:rsidRPr="00C55C92">
              <w:rPr>
                <w:rFonts w:cs="Arial"/>
                <w:sz w:val="16"/>
                <w:szCs w:val="16"/>
              </w:rPr>
              <w:t>related risk</w:t>
            </w:r>
            <w:r w:rsidRPr="00C55C92">
              <w:rPr>
                <w:rFonts w:cs="Arial"/>
                <w:sz w:val="18"/>
                <w:szCs w:val="18"/>
              </w:rPr>
              <w:t>.</w:t>
            </w:r>
          </w:p>
          <w:p w14:paraId="3C352447" w14:textId="77777777" w:rsidR="00F05A26" w:rsidRPr="00D53932" w:rsidRDefault="00F05A26" w:rsidP="0090077A">
            <w:pPr>
              <w:spacing w:line="240" w:lineRule="auto"/>
              <w:rPr>
                <w:sz w:val="16"/>
                <w:szCs w:val="16"/>
              </w:rPr>
            </w:pPr>
          </w:p>
          <w:p w14:paraId="5DBD8EEF" w14:textId="77777777" w:rsidR="00F05A26" w:rsidRPr="00120E1B" w:rsidRDefault="00F05A26" w:rsidP="0090077A">
            <w:pPr>
              <w:spacing w:line="240" w:lineRule="auto"/>
              <w:rPr>
                <w:sz w:val="16"/>
                <w:szCs w:val="16"/>
              </w:rPr>
            </w:pPr>
          </w:p>
        </w:tc>
        <w:tc>
          <w:tcPr>
            <w:tcW w:w="2542" w:type="dxa"/>
          </w:tcPr>
          <w:p w14:paraId="4C214A2E" w14:textId="77777777" w:rsidR="00F05A26" w:rsidRDefault="00F05A26" w:rsidP="0090077A">
            <w:pPr>
              <w:spacing w:line="240" w:lineRule="auto"/>
              <w:rPr>
                <w:sz w:val="16"/>
                <w:szCs w:val="16"/>
              </w:rPr>
            </w:pPr>
            <w:r>
              <w:rPr>
                <w:sz w:val="16"/>
                <w:szCs w:val="16"/>
              </w:rPr>
              <w:t>Administrative cost to Department and Regulator from undertaking assessment.</w:t>
            </w:r>
          </w:p>
          <w:p w14:paraId="34279B02" w14:textId="77777777" w:rsidR="00F05A26" w:rsidRDefault="00F05A26" w:rsidP="0090077A">
            <w:pPr>
              <w:spacing w:line="240" w:lineRule="auto"/>
              <w:rPr>
                <w:sz w:val="16"/>
                <w:szCs w:val="16"/>
              </w:rPr>
            </w:pPr>
          </w:p>
          <w:p w14:paraId="6E725C76" w14:textId="77777777" w:rsidR="00F05A26" w:rsidRPr="00120E1B" w:rsidRDefault="00F05A26" w:rsidP="0090077A">
            <w:pPr>
              <w:spacing w:line="240" w:lineRule="auto"/>
              <w:rPr>
                <w:sz w:val="16"/>
                <w:szCs w:val="16"/>
              </w:rPr>
            </w:pPr>
            <w:r>
              <w:rPr>
                <w:sz w:val="16"/>
                <w:szCs w:val="16"/>
              </w:rPr>
              <w:t xml:space="preserve">Costs associated with subsequent research and procuring data. </w:t>
            </w:r>
          </w:p>
        </w:tc>
        <w:tc>
          <w:tcPr>
            <w:tcW w:w="2399" w:type="dxa"/>
          </w:tcPr>
          <w:p w14:paraId="345218AC" w14:textId="77777777" w:rsidR="00F05A26" w:rsidRPr="00120E1B" w:rsidRDefault="00F05A26" w:rsidP="0090077A">
            <w:pPr>
              <w:spacing w:line="240" w:lineRule="auto"/>
              <w:rPr>
                <w:sz w:val="16"/>
                <w:szCs w:val="16"/>
              </w:rPr>
            </w:pPr>
            <w:r>
              <w:rPr>
                <w:sz w:val="16"/>
                <w:szCs w:val="16"/>
              </w:rPr>
              <w:t xml:space="preserve">Climate risk is appropriately managed and priced into Government and market decisions. </w:t>
            </w:r>
          </w:p>
        </w:tc>
        <w:tc>
          <w:tcPr>
            <w:tcW w:w="2400" w:type="dxa"/>
          </w:tcPr>
          <w:p w14:paraId="4C89576C" w14:textId="77777777" w:rsidR="00F05A26" w:rsidRPr="00120E1B" w:rsidRDefault="00F05A26" w:rsidP="0090077A">
            <w:pPr>
              <w:spacing w:line="240" w:lineRule="auto"/>
              <w:rPr>
                <w:sz w:val="16"/>
                <w:szCs w:val="16"/>
              </w:rPr>
            </w:pPr>
            <w:r>
              <w:rPr>
                <w:sz w:val="16"/>
                <w:szCs w:val="16"/>
              </w:rPr>
              <w:t>Should lead to reduced rates of lost abatement and identification of robust opportunities for increased abatement.</w:t>
            </w:r>
          </w:p>
        </w:tc>
        <w:tc>
          <w:tcPr>
            <w:tcW w:w="2117" w:type="dxa"/>
          </w:tcPr>
          <w:p w14:paraId="4BEBBB60" w14:textId="77777777" w:rsidR="00F05A26" w:rsidRPr="00120E1B" w:rsidRDefault="00F05A26" w:rsidP="0090077A">
            <w:pPr>
              <w:spacing w:line="240" w:lineRule="auto"/>
              <w:rPr>
                <w:sz w:val="16"/>
                <w:szCs w:val="16"/>
              </w:rPr>
            </w:pPr>
            <w:r>
              <w:rPr>
                <w:sz w:val="16"/>
                <w:szCs w:val="16"/>
              </w:rPr>
              <w:t>Enhances equity by allowing planning for and pricing of climate impacts.</w:t>
            </w:r>
          </w:p>
        </w:tc>
        <w:tc>
          <w:tcPr>
            <w:tcW w:w="2120" w:type="dxa"/>
            <w:gridSpan w:val="2"/>
          </w:tcPr>
          <w:p w14:paraId="2D80365B" w14:textId="77777777" w:rsidR="00F05A26" w:rsidRPr="00120E1B" w:rsidRDefault="00F05A26" w:rsidP="0090077A">
            <w:pPr>
              <w:spacing w:line="240" w:lineRule="auto"/>
              <w:rPr>
                <w:sz w:val="16"/>
                <w:szCs w:val="16"/>
              </w:rPr>
            </w:pPr>
            <w:r>
              <w:rPr>
                <w:sz w:val="16"/>
                <w:szCs w:val="16"/>
              </w:rPr>
              <w:t>Regulator/</w:t>
            </w:r>
            <w:r w:rsidRPr="005A6C68">
              <w:rPr>
                <w:sz w:val="16"/>
                <w:szCs w:val="16"/>
              </w:rPr>
              <w:t xml:space="preserve"> Department </w:t>
            </w:r>
            <w:r>
              <w:rPr>
                <w:rFonts w:cs="Arial"/>
                <w:sz w:val="16"/>
                <w:szCs w:val="16"/>
              </w:rPr>
              <w:t>of Industry, Science, Energy and Resources</w:t>
            </w:r>
          </w:p>
        </w:tc>
      </w:tr>
      <w:tr w:rsidR="00F05A26" w:rsidRPr="00120E1B" w14:paraId="37295CB6" w14:textId="77777777" w:rsidTr="0090077A">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0B54B709" w14:textId="54199C1E" w:rsidR="00F05A26" w:rsidRPr="00C20CBA" w:rsidRDefault="00F05A26" w:rsidP="0090077A">
            <w:pPr>
              <w:spacing w:line="240" w:lineRule="auto"/>
              <w:rPr>
                <w:b/>
                <w:sz w:val="16"/>
                <w:szCs w:val="16"/>
              </w:rPr>
            </w:pPr>
            <w:r w:rsidRPr="00C20CBA">
              <w:rPr>
                <w:b/>
                <w:sz w:val="16"/>
                <w:szCs w:val="16"/>
              </w:rPr>
              <w:t>R.2</w:t>
            </w:r>
            <w:r w:rsidR="00A856A2">
              <w:rPr>
                <w:b/>
                <w:sz w:val="16"/>
                <w:szCs w:val="16"/>
              </w:rPr>
              <w:t>2</w:t>
            </w:r>
          </w:p>
        </w:tc>
        <w:tc>
          <w:tcPr>
            <w:tcW w:w="2724" w:type="dxa"/>
          </w:tcPr>
          <w:p w14:paraId="4BFE8AF7" w14:textId="7586FFF0" w:rsidR="00F05A26" w:rsidRPr="00C55C92" w:rsidRDefault="0067232F" w:rsidP="0090077A">
            <w:pPr>
              <w:spacing w:line="240" w:lineRule="auto"/>
              <w:rPr>
                <w:sz w:val="16"/>
                <w:szCs w:val="16"/>
              </w:rPr>
            </w:pPr>
            <w:r>
              <w:rPr>
                <w:rFonts w:cs="Arial"/>
                <w:sz w:val="16"/>
                <w:szCs w:val="16"/>
              </w:rPr>
              <w:t>To manage costs associated with climate risk, a</w:t>
            </w:r>
            <w:r w:rsidR="00F05A26" w:rsidRPr="00C55C92">
              <w:rPr>
                <w:rFonts w:cs="Arial"/>
                <w:sz w:val="16"/>
                <w:szCs w:val="16"/>
              </w:rPr>
              <w:t>ssess whether the current risk of reversal buffer and permanence period discount are appropriately calibrated for different sequestration activities and</w:t>
            </w:r>
            <w:r w:rsidR="00F05A26" w:rsidRPr="00C55C92" w:rsidDel="00A458D4">
              <w:rPr>
                <w:rFonts w:cs="Arial"/>
                <w:sz w:val="16"/>
                <w:szCs w:val="16"/>
              </w:rPr>
              <w:t xml:space="preserve"> </w:t>
            </w:r>
            <w:r w:rsidR="00F05A26" w:rsidRPr="00C55C92">
              <w:rPr>
                <w:rFonts w:cs="Arial"/>
                <w:sz w:val="16"/>
                <w:szCs w:val="16"/>
              </w:rPr>
              <w:t>regions, and adjust them as the climate continues to change. Risk factors should include activity type, geographic location and climate conditions.</w:t>
            </w:r>
          </w:p>
          <w:p w14:paraId="7F26167E" w14:textId="77777777" w:rsidR="00F05A26" w:rsidRPr="00D53932" w:rsidRDefault="00F05A26" w:rsidP="0090077A">
            <w:pPr>
              <w:spacing w:line="240" w:lineRule="auto"/>
              <w:rPr>
                <w:sz w:val="16"/>
                <w:szCs w:val="16"/>
              </w:rPr>
            </w:pPr>
          </w:p>
        </w:tc>
        <w:tc>
          <w:tcPr>
            <w:tcW w:w="2542" w:type="dxa"/>
          </w:tcPr>
          <w:p w14:paraId="7339EE22" w14:textId="77777777" w:rsidR="00F05A26" w:rsidRDefault="00F05A26" w:rsidP="0090077A">
            <w:pPr>
              <w:spacing w:line="240" w:lineRule="auto"/>
              <w:rPr>
                <w:sz w:val="16"/>
                <w:szCs w:val="16"/>
              </w:rPr>
            </w:pPr>
            <w:r>
              <w:rPr>
                <w:sz w:val="16"/>
                <w:szCs w:val="16"/>
              </w:rPr>
              <w:t>Increases costs for Department and Regulator.</w:t>
            </w:r>
          </w:p>
        </w:tc>
        <w:tc>
          <w:tcPr>
            <w:tcW w:w="2399" w:type="dxa"/>
          </w:tcPr>
          <w:p w14:paraId="1071930E" w14:textId="77777777" w:rsidR="00F05A26" w:rsidRDefault="00F05A26" w:rsidP="0090077A">
            <w:pPr>
              <w:spacing w:line="240" w:lineRule="auto"/>
              <w:rPr>
                <w:sz w:val="16"/>
                <w:szCs w:val="16"/>
              </w:rPr>
            </w:pPr>
            <w:r>
              <w:rPr>
                <w:sz w:val="16"/>
                <w:szCs w:val="16"/>
              </w:rPr>
              <w:t>Assists in appropriately pricing reversal and permanence risks into government and market decisions.</w:t>
            </w:r>
          </w:p>
        </w:tc>
        <w:tc>
          <w:tcPr>
            <w:tcW w:w="2400" w:type="dxa"/>
          </w:tcPr>
          <w:p w14:paraId="70232792" w14:textId="77777777" w:rsidR="00F05A26" w:rsidRDefault="00F05A26" w:rsidP="0090077A">
            <w:pPr>
              <w:spacing w:line="240" w:lineRule="auto"/>
              <w:rPr>
                <w:sz w:val="16"/>
                <w:szCs w:val="16"/>
              </w:rPr>
            </w:pPr>
            <w:r>
              <w:rPr>
                <w:sz w:val="16"/>
                <w:szCs w:val="16"/>
              </w:rPr>
              <w:t xml:space="preserve">Should improve investment in robust abatement. </w:t>
            </w:r>
          </w:p>
        </w:tc>
        <w:tc>
          <w:tcPr>
            <w:tcW w:w="2117" w:type="dxa"/>
          </w:tcPr>
          <w:p w14:paraId="0FB201AE" w14:textId="77777777" w:rsidR="00F05A26" w:rsidRDefault="00F05A26" w:rsidP="0090077A">
            <w:pPr>
              <w:spacing w:line="240" w:lineRule="auto"/>
              <w:rPr>
                <w:sz w:val="16"/>
                <w:szCs w:val="16"/>
              </w:rPr>
            </w:pPr>
            <w:r>
              <w:rPr>
                <w:sz w:val="16"/>
                <w:szCs w:val="16"/>
              </w:rPr>
              <w:t>Increased information for participants enhances equity through improved pricing of reversal and permanence risk.</w:t>
            </w:r>
          </w:p>
        </w:tc>
        <w:tc>
          <w:tcPr>
            <w:tcW w:w="2120" w:type="dxa"/>
            <w:gridSpan w:val="2"/>
          </w:tcPr>
          <w:p w14:paraId="3AF72A95" w14:textId="77777777" w:rsidR="00F05A26" w:rsidRDefault="00F05A26" w:rsidP="0090077A">
            <w:pPr>
              <w:spacing w:line="240" w:lineRule="auto"/>
              <w:rPr>
                <w:sz w:val="16"/>
                <w:szCs w:val="16"/>
              </w:rPr>
            </w:pPr>
            <w:r>
              <w:rPr>
                <w:sz w:val="16"/>
                <w:szCs w:val="16"/>
              </w:rPr>
              <w:t>Regulator/</w:t>
            </w:r>
            <w:r w:rsidRPr="005A6C68">
              <w:rPr>
                <w:sz w:val="16"/>
                <w:szCs w:val="16"/>
              </w:rPr>
              <w:t xml:space="preserve"> Department </w:t>
            </w:r>
            <w:r>
              <w:rPr>
                <w:rFonts w:cs="Arial"/>
                <w:sz w:val="16"/>
                <w:szCs w:val="16"/>
              </w:rPr>
              <w:t>of Industry, Science, Energy and Resources</w:t>
            </w:r>
          </w:p>
        </w:tc>
      </w:tr>
      <w:tr w:rsidR="00E93CBF" w:rsidRPr="00120E1B" w14:paraId="5655EC84" w14:textId="77777777" w:rsidTr="00E93CBF">
        <w:trPr>
          <w:cnfStyle w:val="000000100000" w:firstRow="0" w:lastRow="0" w:firstColumn="0" w:lastColumn="0" w:oddVBand="0" w:evenVBand="0" w:oddHBand="1" w:evenHBand="0" w:firstRowFirstColumn="0" w:firstRowLastColumn="0" w:lastRowFirstColumn="0" w:lastRowLastColumn="0"/>
          <w:trHeight w:val="227"/>
        </w:trPr>
        <w:tc>
          <w:tcPr>
            <w:tcW w:w="805" w:type="dxa"/>
            <w:shd w:val="clear" w:color="auto" w:fill="0070AE" w:themeFill="accent2" w:themeFillTint="BF"/>
          </w:tcPr>
          <w:p w14:paraId="5D87DF71" w14:textId="10ED4D41" w:rsidR="00E93CBF" w:rsidRPr="00C20CBA" w:rsidRDefault="00E93CBF" w:rsidP="00E93CBF">
            <w:pPr>
              <w:spacing w:line="240" w:lineRule="auto"/>
              <w:rPr>
                <w:b/>
                <w:sz w:val="16"/>
                <w:szCs w:val="16"/>
              </w:rPr>
            </w:pPr>
          </w:p>
        </w:tc>
        <w:tc>
          <w:tcPr>
            <w:tcW w:w="2724" w:type="dxa"/>
            <w:shd w:val="clear" w:color="auto" w:fill="0070AE" w:themeFill="accent2" w:themeFillTint="BF"/>
          </w:tcPr>
          <w:p w14:paraId="4093E883" w14:textId="3F3F190F" w:rsidR="00E93CBF" w:rsidRDefault="00E93CBF" w:rsidP="00E93CBF">
            <w:pPr>
              <w:spacing w:line="240" w:lineRule="auto"/>
              <w:rPr>
                <w:rFonts w:cs="Arial"/>
                <w:sz w:val="16"/>
                <w:szCs w:val="16"/>
              </w:rPr>
            </w:pPr>
            <w:r w:rsidRPr="0022784B">
              <w:rPr>
                <w:b/>
                <w:color w:val="FFFFFF" w:themeColor="background1"/>
                <w:sz w:val="16"/>
                <w:szCs w:val="16"/>
              </w:rPr>
              <w:t>RECOMMENDATION</w:t>
            </w:r>
          </w:p>
        </w:tc>
        <w:tc>
          <w:tcPr>
            <w:tcW w:w="2542" w:type="dxa"/>
            <w:shd w:val="clear" w:color="auto" w:fill="0070AE" w:themeFill="accent2" w:themeFillTint="BF"/>
          </w:tcPr>
          <w:p w14:paraId="72B127B1" w14:textId="77777777" w:rsidR="00E93CBF" w:rsidRPr="0022784B" w:rsidRDefault="00E93CBF" w:rsidP="00E93CBF">
            <w:pPr>
              <w:spacing w:line="240" w:lineRule="auto"/>
              <w:rPr>
                <w:b/>
                <w:color w:val="FFFFFF" w:themeColor="background1"/>
                <w:sz w:val="16"/>
                <w:szCs w:val="16"/>
              </w:rPr>
            </w:pPr>
            <w:r w:rsidRPr="0022784B">
              <w:rPr>
                <w:b/>
                <w:color w:val="FFFFFF" w:themeColor="background1"/>
                <w:sz w:val="16"/>
                <w:szCs w:val="16"/>
              </w:rPr>
              <w:t>ECONOMIC EFFICIENCY</w:t>
            </w:r>
          </w:p>
          <w:p w14:paraId="054BCA1A" w14:textId="114CA9F0" w:rsidR="00E93CBF" w:rsidRDefault="00E93CBF" w:rsidP="00E93CBF">
            <w:pPr>
              <w:spacing w:line="240" w:lineRule="auto"/>
              <w:rPr>
                <w:sz w:val="16"/>
                <w:szCs w:val="16"/>
              </w:rPr>
            </w:pPr>
            <w:r w:rsidRPr="0022784B">
              <w:rPr>
                <w:b/>
                <w:color w:val="FFFFFF" w:themeColor="background1"/>
                <w:sz w:val="16"/>
                <w:szCs w:val="16"/>
              </w:rPr>
              <w:t>Coats</w:t>
            </w:r>
          </w:p>
        </w:tc>
        <w:tc>
          <w:tcPr>
            <w:tcW w:w="2399" w:type="dxa"/>
            <w:shd w:val="clear" w:color="auto" w:fill="0070AE" w:themeFill="accent2" w:themeFillTint="BF"/>
          </w:tcPr>
          <w:p w14:paraId="452020BF" w14:textId="77777777" w:rsidR="00E93CBF" w:rsidRPr="0022784B" w:rsidRDefault="00E93CBF" w:rsidP="00E93CBF">
            <w:pPr>
              <w:spacing w:line="240" w:lineRule="auto"/>
              <w:rPr>
                <w:b/>
                <w:color w:val="FFFFFF" w:themeColor="background1"/>
                <w:sz w:val="16"/>
                <w:szCs w:val="16"/>
              </w:rPr>
            </w:pPr>
          </w:p>
          <w:p w14:paraId="4794F91F" w14:textId="7C9520F1" w:rsidR="00E93CBF" w:rsidRDefault="00E93CBF" w:rsidP="00E93CBF">
            <w:pPr>
              <w:spacing w:line="240" w:lineRule="auto"/>
              <w:rPr>
                <w:sz w:val="16"/>
                <w:szCs w:val="16"/>
              </w:rPr>
            </w:pPr>
            <w:r w:rsidRPr="0022784B">
              <w:rPr>
                <w:b/>
                <w:color w:val="FFFFFF" w:themeColor="background1"/>
                <w:sz w:val="16"/>
                <w:szCs w:val="16"/>
              </w:rPr>
              <w:t>Benefits</w:t>
            </w:r>
          </w:p>
        </w:tc>
        <w:tc>
          <w:tcPr>
            <w:tcW w:w="2400" w:type="dxa"/>
            <w:shd w:val="clear" w:color="auto" w:fill="0070AE" w:themeFill="accent2" w:themeFillTint="BF"/>
          </w:tcPr>
          <w:p w14:paraId="39260483" w14:textId="001DAA6D" w:rsidR="00E93CBF" w:rsidRDefault="00E93CBF" w:rsidP="00E93CBF">
            <w:pPr>
              <w:spacing w:line="240" w:lineRule="auto"/>
              <w:rPr>
                <w:sz w:val="16"/>
                <w:szCs w:val="16"/>
              </w:rPr>
            </w:pPr>
            <w:r w:rsidRPr="0022784B">
              <w:rPr>
                <w:b/>
                <w:color w:val="FFFFFF" w:themeColor="background1"/>
                <w:sz w:val="16"/>
                <w:szCs w:val="16"/>
              </w:rPr>
              <w:t>ENVIRONMENTAL EFFECTIVENESS</w:t>
            </w:r>
          </w:p>
        </w:tc>
        <w:tc>
          <w:tcPr>
            <w:tcW w:w="2117" w:type="dxa"/>
            <w:shd w:val="clear" w:color="auto" w:fill="0070AE" w:themeFill="accent2" w:themeFillTint="BF"/>
          </w:tcPr>
          <w:p w14:paraId="0287DECD" w14:textId="0D1FC83B" w:rsidR="00E93CBF" w:rsidRDefault="00E93CBF" w:rsidP="00E93CBF">
            <w:pPr>
              <w:spacing w:line="240" w:lineRule="auto"/>
              <w:rPr>
                <w:sz w:val="16"/>
                <w:szCs w:val="16"/>
              </w:rPr>
            </w:pPr>
            <w:r w:rsidRPr="0022784B">
              <w:rPr>
                <w:b/>
                <w:color w:val="FFFFFF" w:themeColor="background1"/>
                <w:sz w:val="16"/>
                <w:szCs w:val="16"/>
              </w:rPr>
              <w:t>EQUITY</w:t>
            </w:r>
          </w:p>
        </w:tc>
        <w:tc>
          <w:tcPr>
            <w:tcW w:w="2120" w:type="dxa"/>
            <w:gridSpan w:val="2"/>
            <w:shd w:val="clear" w:color="auto" w:fill="0070AE" w:themeFill="accent2" w:themeFillTint="BF"/>
          </w:tcPr>
          <w:p w14:paraId="317AFD58" w14:textId="2E446541" w:rsidR="00E93CBF" w:rsidRDefault="00E93CBF" w:rsidP="00E93CBF">
            <w:pPr>
              <w:spacing w:line="240" w:lineRule="auto"/>
              <w:rPr>
                <w:sz w:val="16"/>
                <w:szCs w:val="16"/>
              </w:rPr>
            </w:pPr>
            <w:r w:rsidRPr="0022784B">
              <w:rPr>
                <w:b/>
                <w:color w:val="FFFFFF" w:themeColor="background1"/>
                <w:sz w:val="16"/>
                <w:szCs w:val="16"/>
              </w:rPr>
              <w:t>PROCESS</w:t>
            </w:r>
          </w:p>
        </w:tc>
      </w:tr>
      <w:tr w:rsidR="00F05A26" w:rsidRPr="00120E1B" w14:paraId="0EF2A931" w14:textId="77777777" w:rsidTr="0090077A">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48D69001" w14:textId="5715A09C" w:rsidR="00F05A26" w:rsidRPr="00C20CBA" w:rsidRDefault="00F05A26" w:rsidP="0090077A">
            <w:pPr>
              <w:spacing w:line="240" w:lineRule="auto"/>
              <w:rPr>
                <w:b/>
                <w:sz w:val="16"/>
                <w:szCs w:val="16"/>
              </w:rPr>
            </w:pPr>
            <w:r w:rsidRPr="00C20CBA">
              <w:rPr>
                <w:b/>
                <w:sz w:val="16"/>
                <w:szCs w:val="16"/>
              </w:rPr>
              <w:t>R. 2</w:t>
            </w:r>
            <w:r w:rsidR="00A856A2">
              <w:rPr>
                <w:b/>
                <w:sz w:val="16"/>
                <w:szCs w:val="16"/>
              </w:rPr>
              <w:t>3</w:t>
            </w:r>
          </w:p>
        </w:tc>
        <w:tc>
          <w:tcPr>
            <w:tcW w:w="2724" w:type="dxa"/>
          </w:tcPr>
          <w:p w14:paraId="4FD8B614" w14:textId="6B8C2287" w:rsidR="00EA7C2A" w:rsidRPr="001D10CD" w:rsidRDefault="00EA7C2A" w:rsidP="00EA7C2A">
            <w:pPr>
              <w:rPr>
                <w:sz w:val="16"/>
                <w:szCs w:val="16"/>
              </w:rPr>
            </w:pPr>
            <w:r w:rsidRPr="001D10CD">
              <w:rPr>
                <w:sz w:val="16"/>
                <w:szCs w:val="16"/>
              </w:rPr>
              <w:t>To encourage more participation in the ERF and best practice implementation of ERF projects, including climate resilience:</w:t>
            </w:r>
          </w:p>
          <w:p w14:paraId="47CE0DA8" w14:textId="77777777" w:rsidR="00EA7C2A" w:rsidRPr="001D10CD" w:rsidRDefault="00EA7C2A" w:rsidP="00004274">
            <w:pPr>
              <w:pStyle w:val="ListParagraph"/>
              <w:numPr>
                <w:ilvl w:val="0"/>
                <w:numId w:val="43"/>
              </w:numPr>
              <w:rPr>
                <w:sz w:val="16"/>
                <w:szCs w:val="16"/>
              </w:rPr>
            </w:pPr>
            <w:r w:rsidRPr="001D10CD">
              <w:rPr>
                <w:sz w:val="16"/>
                <w:szCs w:val="16"/>
              </w:rPr>
              <w:t>develop tailored, region-specific outreach programs for the land and agricultural sectors, in collaboration with other Government programs, for example the Future Drought Fund</w:t>
            </w:r>
          </w:p>
          <w:p w14:paraId="46EED18E" w14:textId="77777777" w:rsidR="00EA7C2A" w:rsidRPr="00F6262C" w:rsidRDefault="00EA7C2A" w:rsidP="00004274">
            <w:pPr>
              <w:pStyle w:val="ListParagraph"/>
              <w:numPr>
                <w:ilvl w:val="0"/>
                <w:numId w:val="43"/>
              </w:numPr>
              <w:ind w:left="714" w:hanging="357"/>
            </w:pPr>
            <w:r w:rsidRPr="001D10CD">
              <w:rPr>
                <w:sz w:val="16"/>
                <w:szCs w:val="16"/>
              </w:rPr>
              <w:t>publish voluntary best practice guidance for ERF projects, including resilience, noting that these would need to be method and region specific</w:t>
            </w:r>
            <w:r w:rsidRPr="00B71059">
              <w:t>.</w:t>
            </w:r>
          </w:p>
          <w:p w14:paraId="6341A755" w14:textId="59486933" w:rsidR="00F05A26" w:rsidRPr="00C20CBA" w:rsidRDefault="00F05A26" w:rsidP="0090077A">
            <w:pPr>
              <w:rPr>
                <w:sz w:val="16"/>
                <w:szCs w:val="16"/>
              </w:rPr>
            </w:pPr>
          </w:p>
          <w:p w14:paraId="40D992A5" w14:textId="2E034E1F" w:rsidR="00F05A26" w:rsidRPr="00120E1B" w:rsidDel="00EC2A2F" w:rsidRDefault="00F05A26" w:rsidP="001D10CD">
            <w:pPr>
              <w:rPr>
                <w:sz w:val="16"/>
                <w:szCs w:val="16"/>
              </w:rPr>
            </w:pPr>
          </w:p>
        </w:tc>
        <w:tc>
          <w:tcPr>
            <w:tcW w:w="2542" w:type="dxa"/>
          </w:tcPr>
          <w:p w14:paraId="75DB8FC4" w14:textId="77777777" w:rsidR="00F05A26" w:rsidRPr="00120E1B" w:rsidRDefault="00F05A26" w:rsidP="0090077A">
            <w:pPr>
              <w:spacing w:line="240" w:lineRule="auto"/>
              <w:rPr>
                <w:sz w:val="16"/>
                <w:szCs w:val="16"/>
              </w:rPr>
            </w:pPr>
            <w:r>
              <w:rPr>
                <w:sz w:val="16"/>
                <w:szCs w:val="16"/>
              </w:rPr>
              <w:t>Increased administrative costs to Department(s)</w:t>
            </w:r>
          </w:p>
        </w:tc>
        <w:tc>
          <w:tcPr>
            <w:tcW w:w="2399" w:type="dxa"/>
          </w:tcPr>
          <w:p w14:paraId="03274B84" w14:textId="77777777" w:rsidR="00F05A26" w:rsidRDefault="00F05A26" w:rsidP="0090077A">
            <w:pPr>
              <w:spacing w:line="240" w:lineRule="auto"/>
              <w:rPr>
                <w:sz w:val="16"/>
                <w:szCs w:val="16"/>
              </w:rPr>
            </w:pPr>
            <w:r>
              <w:rPr>
                <w:sz w:val="16"/>
                <w:szCs w:val="16"/>
              </w:rPr>
              <w:t>Administrative costs are minimised due to collaborating with other Government programs.</w:t>
            </w:r>
          </w:p>
          <w:p w14:paraId="1588BD6E" w14:textId="77777777" w:rsidR="00F05A26" w:rsidRDefault="00F05A26" w:rsidP="0090077A">
            <w:pPr>
              <w:spacing w:line="240" w:lineRule="auto"/>
              <w:rPr>
                <w:sz w:val="16"/>
                <w:szCs w:val="16"/>
              </w:rPr>
            </w:pPr>
          </w:p>
          <w:p w14:paraId="39D7DA76" w14:textId="77777777" w:rsidR="00F05A26" w:rsidRPr="00515C8C" w:rsidRDefault="00F05A26" w:rsidP="0090077A">
            <w:pPr>
              <w:spacing w:line="240" w:lineRule="auto"/>
              <w:rPr>
                <w:sz w:val="16"/>
                <w:szCs w:val="16"/>
              </w:rPr>
            </w:pPr>
            <w:r w:rsidRPr="00515C8C">
              <w:rPr>
                <w:sz w:val="16"/>
                <w:szCs w:val="16"/>
              </w:rPr>
              <w:t xml:space="preserve">Increased information for farmers on opportunities leading to increased participation, assisting climate resilience for farmers and landowners.  </w:t>
            </w:r>
          </w:p>
          <w:p w14:paraId="28E4C5DF" w14:textId="77777777" w:rsidR="00F05A26" w:rsidRPr="00120E1B" w:rsidRDefault="00F05A26" w:rsidP="0090077A">
            <w:pPr>
              <w:spacing w:line="240" w:lineRule="auto"/>
              <w:rPr>
                <w:sz w:val="16"/>
                <w:szCs w:val="16"/>
              </w:rPr>
            </w:pPr>
          </w:p>
        </w:tc>
        <w:tc>
          <w:tcPr>
            <w:tcW w:w="2400" w:type="dxa"/>
          </w:tcPr>
          <w:p w14:paraId="6B87D027" w14:textId="77777777" w:rsidR="00F05A26" w:rsidRPr="00120E1B" w:rsidRDefault="00F05A26" w:rsidP="0090077A">
            <w:pPr>
              <w:spacing w:line="240" w:lineRule="auto"/>
              <w:rPr>
                <w:sz w:val="16"/>
                <w:szCs w:val="16"/>
              </w:rPr>
            </w:pPr>
            <w:r>
              <w:rPr>
                <w:sz w:val="16"/>
                <w:szCs w:val="16"/>
              </w:rPr>
              <w:t xml:space="preserve">Enhanced abatement with environmental co-benefits including resilience. </w:t>
            </w:r>
          </w:p>
        </w:tc>
        <w:tc>
          <w:tcPr>
            <w:tcW w:w="2117" w:type="dxa"/>
          </w:tcPr>
          <w:p w14:paraId="544967B2" w14:textId="77777777" w:rsidR="00F05A26" w:rsidRPr="00120E1B" w:rsidRDefault="00F05A26" w:rsidP="0090077A">
            <w:pPr>
              <w:spacing w:line="240" w:lineRule="auto"/>
              <w:rPr>
                <w:sz w:val="16"/>
                <w:szCs w:val="16"/>
              </w:rPr>
            </w:pPr>
            <w:r>
              <w:rPr>
                <w:sz w:val="16"/>
                <w:szCs w:val="16"/>
              </w:rPr>
              <w:t>Improved information for farmers and landholders, thereby enhancing access to the ERF.</w:t>
            </w:r>
          </w:p>
        </w:tc>
        <w:tc>
          <w:tcPr>
            <w:tcW w:w="2120" w:type="dxa"/>
            <w:gridSpan w:val="2"/>
          </w:tcPr>
          <w:p w14:paraId="1F1BF780" w14:textId="77777777" w:rsidR="00F05A26" w:rsidRPr="00120E1B" w:rsidRDefault="00F05A26" w:rsidP="0090077A">
            <w:pPr>
              <w:spacing w:line="240" w:lineRule="auto"/>
              <w:rPr>
                <w:sz w:val="16"/>
                <w:szCs w:val="16"/>
              </w:rPr>
            </w:pPr>
            <w:r w:rsidRPr="005A6C68">
              <w:rPr>
                <w:sz w:val="16"/>
                <w:szCs w:val="16"/>
              </w:rPr>
              <w:t xml:space="preserve">Department </w:t>
            </w:r>
            <w:r>
              <w:rPr>
                <w:rFonts w:cs="Arial"/>
                <w:sz w:val="16"/>
                <w:szCs w:val="16"/>
              </w:rPr>
              <w:t>of Industry, Science, Energy and Resources</w:t>
            </w:r>
            <w:r>
              <w:rPr>
                <w:sz w:val="16"/>
                <w:szCs w:val="16"/>
              </w:rPr>
              <w:t xml:space="preserve"> /Department of Agriculture, Water and Environment</w:t>
            </w:r>
          </w:p>
        </w:tc>
      </w:tr>
    </w:tbl>
    <w:p w14:paraId="0E517F6A" w14:textId="77777777" w:rsidR="00F05A26" w:rsidRPr="00E162C0" w:rsidRDefault="00F05A26" w:rsidP="00F05A26">
      <w:pPr>
        <w:spacing w:line="259" w:lineRule="auto"/>
        <w:rPr>
          <w:rFonts w:eastAsia="Calibri" w:cs="Arial"/>
          <w:b/>
          <w:szCs w:val="20"/>
        </w:rPr>
      </w:pPr>
    </w:p>
    <w:p w14:paraId="5F32AD88" w14:textId="6387B9AF" w:rsidR="00F05A26" w:rsidRDefault="00F05A26" w:rsidP="00F94E82">
      <w:pPr>
        <w:spacing w:line="259" w:lineRule="auto"/>
      </w:pPr>
      <w:r w:rsidRPr="00E162C0">
        <w:rPr>
          <w:rFonts w:eastAsia="Calibri" w:cs="Arial"/>
          <w:b/>
          <w:sz w:val="18"/>
          <w:szCs w:val="18"/>
        </w:rPr>
        <w:t>Note</w:t>
      </w:r>
      <w:r w:rsidRPr="00E162C0">
        <w:rPr>
          <w:rFonts w:eastAsia="Calibri" w:cs="Arial"/>
          <w:sz w:val="18"/>
          <w:szCs w:val="18"/>
        </w:rPr>
        <w:t>: The implementation column notes how the scheme rules and operation would need to change in order to implement the recommended change. Where an agency (eg Regulator or Department) is noted, the required change is an internal administrative change that does not require changes to legislation or legislative instruments. Regardless of the technical implementation, scheme participant actions may also need to change to comply with the new arrangements.</w:t>
      </w:r>
    </w:p>
    <w:p w14:paraId="26763F45" w14:textId="5122F2D4" w:rsidR="00E80CFE" w:rsidRPr="00E80CFE" w:rsidRDefault="00E80CFE" w:rsidP="00F94E82">
      <w:pPr>
        <w:spacing w:line="259" w:lineRule="auto"/>
      </w:pPr>
      <w:r>
        <w:br w:type="page"/>
      </w:r>
    </w:p>
    <w:p w14:paraId="502FB77B" w14:textId="6F288B56" w:rsidR="0089409D" w:rsidRPr="00E93CBF" w:rsidRDefault="008C7DDA" w:rsidP="00EE4342">
      <w:pPr>
        <w:pStyle w:val="Heading1"/>
        <w:rPr>
          <w:color w:val="0070AE" w:themeColor="accent2" w:themeTint="BF"/>
        </w:rPr>
      </w:pPr>
      <w:bookmarkStart w:id="3921" w:name="_Toc50043908"/>
      <w:bookmarkStart w:id="3922" w:name="_Toc50057760"/>
      <w:bookmarkStart w:id="3923" w:name="_Toc50553638"/>
      <w:bookmarkStart w:id="3924" w:name="_Toc50555401"/>
      <w:bookmarkStart w:id="3925" w:name="_Toc50559861"/>
      <w:bookmarkStart w:id="3926" w:name="_Toc50559914"/>
      <w:bookmarkStart w:id="3927" w:name="_Toc50563848"/>
      <w:bookmarkStart w:id="3928" w:name="_Toc50711401"/>
      <w:bookmarkStart w:id="3929" w:name="_Toc50720983"/>
      <w:bookmarkStart w:id="3930" w:name="_Toc50730707"/>
      <w:bookmarkStart w:id="3931" w:name="_Toc50734933"/>
      <w:bookmarkStart w:id="3932" w:name="_Toc50735536"/>
      <w:bookmarkStart w:id="3933" w:name="_Toc50905555"/>
      <w:bookmarkStart w:id="3934" w:name="_Toc51587040"/>
      <w:bookmarkStart w:id="3935" w:name="_Toc51594900"/>
      <w:bookmarkStart w:id="3936" w:name="_Toc51599503"/>
      <w:bookmarkStart w:id="3937" w:name="_Toc51613539"/>
      <w:bookmarkStart w:id="3938" w:name="_Toc51669651"/>
      <w:bookmarkStart w:id="3939" w:name="_Toc51669746"/>
      <w:bookmarkStart w:id="3940" w:name="_Toc51672895"/>
      <w:bookmarkStart w:id="3941" w:name="_Toc51673945"/>
      <w:bookmarkStart w:id="3942" w:name="_Toc51680762"/>
      <w:bookmarkStart w:id="3943" w:name="_Toc51683291"/>
      <w:bookmarkStart w:id="3944" w:name="_Toc51686027"/>
      <w:bookmarkStart w:id="3945" w:name="_Toc51686885"/>
      <w:bookmarkStart w:id="3946" w:name="_Toc51687765"/>
      <w:bookmarkStart w:id="3947" w:name="_Toc51687909"/>
      <w:bookmarkStart w:id="3948" w:name="_Toc51705786"/>
      <w:bookmarkStart w:id="3949" w:name="_Toc51770732"/>
      <w:bookmarkStart w:id="3950" w:name="_Toc51770918"/>
      <w:bookmarkStart w:id="3951" w:name="_Toc52359261"/>
      <w:bookmarkStart w:id="3952" w:name="_Toc52367294"/>
      <w:bookmarkStart w:id="3953" w:name="_Toc52371634"/>
      <w:bookmarkStart w:id="3954" w:name="_Toc52374782"/>
      <w:bookmarkStart w:id="3955" w:name="_Toc52377320"/>
      <w:bookmarkStart w:id="3956" w:name="_Toc52379242"/>
      <w:bookmarkStart w:id="3957" w:name="_Toc52379597"/>
      <w:bookmarkStart w:id="3958" w:name="_Toc52532807"/>
      <w:bookmarkStart w:id="3959" w:name="_Toc52535702"/>
      <w:bookmarkStart w:id="3960" w:name="_Toc52537520"/>
      <w:bookmarkStart w:id="3961" w:name="_Toc52544083"/>
      <w:bookmarkStart w:id="3962" w:name="_Toc52545687"/>
      <w:bookmarkStart w:id="3963" w:name="_Toc52547919"/>
      <w:bookmarkStart w:id="3964" w:name="_Toc52548608"/>
      <w:bookmarkStart w:id="3965" w:name="_Toc52890900"/>
      <w:bookmarkStart w:id="3966" w:name="_Toc52895103"/>
      <w:bookmarkStart w:id="3967" w:name="_Toc52896627"/>
      <w:bookmarkStart w:id="3968" w:name="_Toc52977804"/>
      <w:bookmarkStart w:id="3969" w:name="_Toc53129490"/>
      <w:r w:rsidRPr="00E93CBF">
        <w:rPr>
          <w:color w:val="0070AE" w:themeColor="accent2" w:themeTint="BF"/>
        </w:rPr>
        <w:t xml:space="preserve">Appendix </w:t>
      </w:r>
      <w:r w:rsidR="003F081F" w:rsidRPr="00E93CBF">
        <w:rPr>
          <w:color w:val="0070AE" w:themeColor="accent2" w:themeTint="BF"/>
        </w:rPr>
        <w:t>C</w:t>
      </w:r>
      <w:r w:rsidRPr="00E93CBF">
        <w:rPr>
          <w:color w:val="0070AE" w:themeColor="accent2" w:themeTint="BF"/>
        </w:rPr>
        <w:t xml:space="preserve">. </w:t>
      </w:r>
      <w:r w:rsidR="002C3390">
        <w:rPr>
          <w:color w:val="0070AE" w:themeColor="accent2" w:themeTint="BF"/>
        </w:rPr>
        <w:t>R</w:t>
      </w:r>
      <w:r w:rsidR="0089409D" w:rsidRPr="00E93CBF">
        <w:rPr>
          <w:color w:val="0070AE" w:themeColor="accent2" w:themeTint="BF"/>
        </w:rPr>
        <w:t>ecommendat</w:t>
      </w:r>
      <w:r w:rsidR="00570347">
        <w:rPr>
          <w:color w:val="0070AE" w:themeColor="accent2" w:themeTint="BF"/>
        </w:rPr>
        <w:t>ions from Authority’s 2017 ERF R</w:t>
      </w:r>
      <w:r w:rsidR="0089409D" w:rsidRPr="00E93CBF">
        <w:rPr>
          <w:color w:val="0070AE" w:themeColor="accent2" w:themeTint="BF"/>
        </w:rPr>
        <w:t>eview and Government response</w:t>
      </w:r>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p>
    <w:p w14:paraId="3D3800D7" w14:textId="77777777" w:rsidR="0089409D" w:rsidRPr="00E93CBF" w:rsidRDefault="0089409D" w:rsidP="00E330EF">
      <w:pPr>
        <w:pStyle w:val="FigureTableHeader"/>
        <w:rPr>
          <w:color w:val="0070AE" w:themeColor="accent2" w:themeTint="BF"/>
        </w:rPr>
      </w:pPr>
      <w:r w:rsidRPr="00E93CBF">
        <w:rPr>
          <w:color w:val="0070AE" w:themeColor="accent2" w:themeTint="BF"/>
        </w:rPr>
        <w:t>Information availability</w:t>
      </w:r>
    </w:p>
    <w:p w14:paraId="2885043C" w14:textId="0BFEFF0F" w:rsidR="0089409D" w:rsidRDefault="0089409D" w:rsidP="0089409D">
      <w:r>
        <w:t>A number of recommendations made by the Authority in 2017 were about the provision of more information to enhance scheme participation and transparency. In most cases, the Regulator and the Department have now made this information publicly available. For example, the Regulator has published Guidance on how the Native Title Act interacts with the ERF and, since December 2019, Quarterly Carbon Market Reports, which provide information on the supply and demand of ACCUs and further information on trends. The Department has published a paper on behalf of the Emissions Reduction Assurance Committee clarifying how it</w:t>
      </w:r>
      <w:r w:rsidR="008C01E6">
        <w:t>s</w:t>
      </w:r>
      <w:r>
        <w:t xml:space="preserve"> Committee interprets the </w:t>
      </w:r>
      <w:r w:rsidR="00BC6591">
        <w:t>Offsets Integrity Standards</w:t>
      </w:r>
      <w:r>
        <w:t>.</w:t>
      </w:r>
    </w:p>
    <w:bookmarkEnd w:id="3874"/>
    <w:p w14:paraId="2CE14BC5" w14:textId="245D150A" w:rsidR="003F14E9" w:rsidRPr="00E93CBF" w:rsidRDefault="00AA3881" w:rsidP="00EE4342">
      <w:pPr>
        <w:pStyle w:val="FigureTableHeader"/>
        <w:rPr>
          <w:color w:val="0070AE" w:themeColor="accent2" w:themeTint="BF"/>
        </w:rPr>
      </w:pPr>
      <w:r w:rsidRPr="00E93CBF">
        <w:rPr>
          <w:color w:val="0070AE" w:themeColor="accent2" w:themeTint="BF"/>
        </w:rPr>
        <w:t xml:space="preserve">recommendations from the Authority’s 2017 ERF review and Government response. </w:t>
      </w:r>
      <w:r w:rsidR="003F14E9" w:rsidRPr="00E93CBF">
        <w:rPr>
          <w:color w:val="0070AE" w:themeColor="accent2" w:themeTint="BF"/>
        </w:rPr>
        <w:t xml:space="preserve">This table is current at </w:t>
      </w:r>
      <w:r w:rsidR="002C7924" w:rsidRPr="00E93CBF">
        <w:rPr>
          <w:color w:val="0070AE" w:themeColor="accent2" w:themeTint="BF"/>
        </w:rPr>
        <w:t>April</w:t>
      </w:r>
      <w:r w:rsidR="003F14E9" w:rsidRPr="00E93CBF">
        <w:rPr>
          <w:color w:val="0070AE" w:themeColor="accent2" w:themeTint="BF"/>
        </w:rPr>
        <w:t xml:space="preserve"> 2020.</w:t>
      </w:r>
    </w:p>
    <w:tbl>
      <w:tblPr>
        <w:tblStyle w:val="TableGrid"/>
        <w:tblpPr w:leftFromText="180" w:rightFromText="180" w:vertAnchor="text" w:tblpY="1"/>
        <w:tblOverlap w:val="never"/>
        <w:tblW w:w="15069"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817"/>
        <w:gridCol w:w="4526"/>
        <w:gridCol w:w="2170"/>
        <w:gridCol w:w="7556"/>
      </w:tblGrid>
      <w:tr w:rsidR="003F14E9" w:rsidRPr="00AD0073" w14:paraId="0A8BA8FC" w14:textId="77777777" w:rsidTr="00BA2FDD">
        <w:trPr>
          <w:cantSplit/>
          <w:trHeight w:val="227"/>
        </w:trPr>
        <w:tc>
          <w:tcPr>
            <w:tcW w:w="817" w:type="dxa"/>
            <w:tcBorders>
              <w:top w:val="single" w:sz="4" w:space="0" w:color="auto"/>
              <w:bottom w:val="dotted" w:sz="4" w:space="0" w:color="auto"/>
            </w:tcBorders>
            <w:vAlign w:val="center"/>
          </w:tcPr>
          <w:p w14:paraId="5A2483E1" w14:textId="77777777" w:rsidR="003F14E9" w:rsidRPr="00BA2FDD" w:rsidRDefault="003F14E9" w:rsidP="0003384E">
            <w:pPr>
              <w:rPr>
                <w:b/>
              </w:rPr>
            </w:pPr>
            <w:r w:rsidRPr="00E705FE">
              <w:rPr>
                <w:b/>
              </w:rPr>
              <w:t xml:space="preserve">Rec No. </w:t>
            </w:r>
          </w:p>
        </w:tc>
        <w:tc>
          <w:tcPr>
            <w:tcW w:w="4526" w:type="dxa"/>
            <w:tcBorders>
              <w:top w:val="single" w:sz="4" w:space="0" w:color="auto"/>
              <w:bottom w:val="dotted" w:sz="4" w:space="0" w:color="auto"/>
            </w:tcBorders>
            <w:vAlign w:val="center"/>
          </w:tcPr>
          <w:p w14:paraId="45E43B3C" w14:textId="77777777" w:rsidR="003F14E9" w:rsidRPr="00BA2FDD" w:rsidRDefault="003F14E9" w:rsidP="0003384E">
            <w:pPr>
              <w:rPr>
                <w:b/>
              </w:rPr>
            </w:pPr>
            <w:r w:rsidRPr="00BA2FDD">
              <w:rPr>
                <w:b/>
              </w:rPr>
              <w:t>Recommendation</w:t>
            </w:r>
          </w:p>
        </w:tc>
        <w:tc>
          <w:tcPr>
            <w:tcW w:w="2170" w:type="dxa"/>
            <w:tcBorders>
              <w:top w:val="single" w:sz="4" w:space="0" w:color="auto"/>
              <w:bottom w:val="dotted" w:sz="4" w:space="0" w:color="auto"/>
            </w:tcBorders>
            <w:vAlign w:val="center"/>
          </w:tcPr>
          <w:p w14:paraId="5FC1473C" w14:textId="77777777" w:rsidR="003F14E9" w:rsidRPr="00BA2FDD" w:rsidRDefault="003F14E9" w:rsidP="0003384E">
            <w:pPr>
              <w:rPr>
                <w:b/>
              </w:rPr>
            </w:pPr>
            <w:r w:rsidRPr="00BA2FDD">
              <w:rPr>
                <w:b/>
              </w:rPr>
              <w:t>Government response</w:t>
            </w:r>
          </w:p>
        </w:tc>
        <w:tc>
          <w:tcPr>
            <w:tcW w:w="7556" w:type="dxa"/>
            <w:tcBorders>
              <w:top w:val="single" w:sz="4" w:space="0" w:color="auto"/>
              <w:bottom w:val="dotted" w:sz="4" w:space="0" w:color="auto"/>
            </w:tcBorders>
            <w:vAlign w:val="center"/>
          </w:tcPr>
          <w:p w14:paraId="14D6ABDB" w14:textId="77777777" w:rsidR="003F14E9" w:rsidRPr="00BA2FDD" w:rsidRDefault="003F14E9" w:rsidP="0003384E">
            <w:pPr>
              <w:rPr>
                <w:b/>
              </w:rPr>
            </w:pPr>
            <w:r w:rsidRPr="00BA2FDD">
              <w:rPr>
                <w:b/>
              </w:rPr>
              <w:t>Implementation</w:t>
            </w:r>
          </w:p>
        </w:tc>
      </w:tr>
      <w:tr w:rsidR="003F14E9" w:rsidRPr="00AD0073" w14:paraId="1E94AD2A" w14:textId="77777777" w:rsidTr="00BA2FDD">
        <w:trPr>
          <w:cantSplit/>
          <w:trHeight w:val="227"/>
        </w:trPr>
        <w:tc>
          <w:tcPr>
            <w:tcW w:w="817" w:type="dxa"/>
            <w:tcBorders>
              <w:top w:val="dotted" w:sz="4" w:space="0" w:color="auto"/>
            </w:tcBorders>
          </w:tcPr>
          <w:p w14:paraId="2ADE7668" w14:textId="77777777" w:rsidR="003F14E9" w:rsidRPr="00AD0073" w:rsidRDefault="003F14E9" w:rsidP="0003384E">
            <w:pPr>
              <w:rPr>
                <w:szCs w:val="20"/>
              </w:rPr>
            </w:pPr>
            <w:r w:rsidRPr="00E705FE">
              <w:t>1</w:t>
            </w:r>
          </w:p>
        </w:tc>
        <w:tc>
          <w:tcPr>
            <w:tcW w:w="4526" w:type="dxa"/>
            <w:tcBorders>
              <w:top w:val="dotted" w:sz="4" w:space="0" w:color="auto"/>
            </w:tcBorders>
          </w:tcPr>
          <w:p w14:paraId="337149BA" w14:textId="77777777" w:rsidR="003F14E9" w:rsidRPr="00E162C0" w:rsidDel="00265566" w:rsidRDefault="003F14E9" w:rsidP="0003384E">
            <w:pPr>
              <w:rPr>
                <w:sz w:val="18"/>
                <w:szCs w:val="18"/>
              </w:rPr>
            </w:pPr>
            <w:r w:rsidRPr="00E162C0">
              <w:rPr>
                <w:sz w:val="18"/>
                <w:szCs w:val="18"/>
              </w:rPr>
              <w:t xml:space="preserve">Establish a formal submission process for new methods to be developed by the Department and publish priorities for method development </w:t>
            </w:r>
            <w:r w:rsidRPr="00E162C0" w:rsidDel="00265566">
              <w:rPr>
                <w:sz w:val="18"/>
                <w:szCs w:val="18"/>
              </w:rPr>
              <w:t>every two years</w:t>
            </w:r>
            <w:r w:rsidRPr="00E162C0">
              <w:rPr>
                <w:sz w:val="18"/>
                <w:szCs w:val="18"/>
              </w:rPr>
              <w:t>.</w:t>
            </w:r>
          </w:p>
        </w:tc>
        <w:tc>
          <w:tcPr>
            <w:tcW w:w="2170" w:type="dxa"/>
            <w:tcBorders>
              <w:top w:val="dotted" w:sz="4" w:space="0" w:color="auto"/>
            </w:tcBorders>
          </w:tcPr>
          <w:p w14:paraId="1C262529" w14:textId="77777777" w:rsidR="003F14E9" w:rsidRPr="00E162C0" w:rsidRDefault="003F14E9" w:rsidP="0003384E">
            <w:pPr>
              <w:rPr>
                <w:sz w:val="18"/>
                <w:szCs w:val="18"/>
              </w:rPr>
            </w:pPr>
            <w:r w:rsidRPr="00E162C0">
              <w:rPr>
                <w:sz w:val="18"/>
                <w:szCs w:val="18"/>
              </w:rPr>
              <w:t>Accepts-in-principle</w:t>
            </w:r>
          </w:p>
        </w:tc>
        <w:tc>
          <w:tcPr>
            <w:tcW w:w="7556" w:type="dxa"/>
            <w:tcBorders>
              <w:top w:val="dotted" w:sz="4" w:space="0" w:color="auto"/>
            </w:tcBorders>
          </w:tcPr>
          <w:p w14:paraId="7E6C5F65" w14:textId="77777777" w:rsidR="003F14E9" w:rsidRPr="00E162C0" w:rsidRDefault="003F14E9" w:rsidP="0003384E">
            <w:pPr>
              <w:rPr>
                <w:sz w:val="18"/>
                <w:szCs w:val="18"/>
              </w:rPr>
            </w:pPr>
            <w:r w:rsidRPr="00E162C0">
              <w:rPr>
                <w:sz w:val="18"/>
                <w:szCs w:val="18"/>
              </w:rPr>
              <w:t xml:space="preserve">Ongoing  </w:t>
            </w:r>
          </w:p>
        </w:tc>
      </w:tr>
      <w:tr w:rsidR="003F14E9" w:rsidRPr="00AD0073" w14:paraId="3DF71A97" w14:textId="77777777" w:rsidTr="0003384E">
        <w:trPr>
          <w:cantSplit/>
          <w:trHeight w:val="227"/>
        </w:trPr>
        <w:tc>
          <w:tcPr>
            <w:tcW w:w="817" w:type="dxa"/>
          </w:tcPr>
          <w:p w14:paraId="48C3E752" w14:textId="77777777" w:rsidR="003F14E9" w:rsidRPr="00AD0073" w:rsidRDefault="003F14E9" w:rsidP="0003384E">
            <w:pPr>
              <w:rPr>
                <w:szCs w:val="20"/>
              </w:rPr>
            </w:pPr>
            <w:r w:rsidRPr="00E705FE">
              <w:t>2</w:t>
            </w:r>
          </w:p>
        </w:tc>
        <w:tc>
          <w:tcPr>
            <w:tcW w:w="4526" w:type="dxa"/>
          </w:tcPr>
          <w:p w14:paraId="1E8DFE12" w14:textId="0AE52169" w:rsidR="003F14E9" w:rsidRPr="00E162C0" w:rsidDel="00265566" w:rsidRDefault="003F14E9" w:rsidP="0003384E">
            <w:pPr>
              <w:rPr>
                <w:sz w:val="18"/>
                <w:szCs w:val="18"/>
              </w:rPr>
            </w:pPr>
            <w:r w:rsidRPr="00E162C0">
              <w:rPr>
                <w:sz w:val="18"/>
                <w:szCs w:val="18"/>
              </w:rPr>
              <w:t xml:space="preserve">Develop guidance to clarify how the Emissions Reduction Assurance Committee (Committee) will interpret the ERF </w:t>
            </w:r>
            <w:r w:rsidR="00BC6591" w:rsidRPr="00E162C0">
              <w:rPr>
                <w:sz w:val="18"/>
                <w:szCs w:val="18"/>
              </w:rPr>
              <w:t>Offsets Integrity Standards</w:t>
            </w:r>
            <w:r w:rsidRPr="00E162C0">
              <w:rPr>
                <w:sz w:val="18"/>
                <w:szCs w:val="18"/>
              </w:rPr>
              <w:t>.</w:t>
            </w:r>
          </w:p>
        </w:tc>
        <w:tc>
          <w:tcPr>
            <w:tcW w:w="2170" w:type="dxa"/>
          </w:tcPr>
          <w:p w14:paraId="4858C4BE" w14:textId="77777777" w:rsidR="003F14E9" w:rsidRPr="00E162C0" w:rsidRDefault="003F14E9" w:rsidP="0003384E">
            <w:pPr>
              <w:rPr>
                <w:sz w:val="18"/>
                <w:szCs w:val="18"/>
              </w:rPr>
            </w:pPr>
            <w:r w:rsidRPr="00E162C0">
              <w:rPr>
                <w:sz w:val="18"/>
                <w:szCs w:val="18"/>
              </w:rPr>
              <w:t>Accepts-in-principle</w:t>
            </w:r>
          </w:p>
        </w:tc>
        <w:tc>
          <w:tcPr>
            <w:tcW w:w="7556" w:type="dxa"/>
          </w:tcPr>
          <w:p w14:paraId="10807C73" w14:textId="77777777" w:rsidR="003F14E9" w:rsidRPr="00E162C0" w:rsidRDefault="003F14E9" w:rsidP="0003384E">
            <w:pPr>
              <w:rPr>
                <w:sz w:val="18"/>
                <w:szCs w:val="18"/>
              </w:rPr>
            </w:pPr>
            <w:r w:rsidRPr="00E162C0">
              <w:rPr>
                <w:sz w:val="18"/>
                <w:szCs w:val="18"/>
              </w:rPr>
              <w:t>Complete</w:t>
            </w:r>
          </w:p>
          <w:p w14:paraId="2C330FEF" w14:textId="77777777" w:rsidR="003F14E9" w:rsidRPr="00E162C0" w:rsidRDefault="003F14E9" w:rsidP="0003384E">
            <w:pPr>
              <w:rPr>
                <w:sz w:val="18"/>
                <w:szCs w:val="18"/>
              </w:rPr>
            </w:pPr>
          </w:p>
        </w:tc>
      </w:tr>
      <w:tr w:rsidR="003F14E9" w:rsidRPr="00AD0073" w14:paraId="70168C5F" w14:textId="77777777" w:rsidTr="0003384E">
        <w:trPr>
          <w:cantSplit/>
          <w:trHeight w:val="227"/>
        </w:trPr>
        <w:tc>
          <w:tcPr>
            <w:tcW w:w="817" w:type="dxa"/>
          </w:tcPr>
          <w:p w14:paraId="4BC3F9BB" w14:textId="77777777" w:rsidR="003F14E9" w:rsidRPr="00AD0073" w:rsidRDefault="003F14E9" w:rsidP="0003384E">
            <w:pPr>
              <w:rPr>
                <w:szCs w:val="20"/>
              </w:rPr>
            </w:pPr>
            <w:r w:rsidRPr="00E705FE">
              <w:t>3</w:t>
            </w:r>
          </w:p>
        </w:tc>
        <w:tc>
          <w:tcPr>
            <w:tcW w:w="4526" w:type="dxa"/>
          </w:tcPr>
          <w:p w14:paraId="385063D6" w14:textId="77777777" w:rsidR="003F14E9" w:rsidRPr="00E162C0" w:rsidRDefault="003F14E9" w:rsidP="0003384E">
            <w:pPr>
              <w:rPr>
                <w:sz w:val="18"/>
                <w:szCs w:val="18"/>
              </w:rPr>
            </w:pPr>
            <w:r w:rsidRPr="00E162C0">
              <w:rPr>
                <w:sz w:val="18"/>
                <w:szCs w:val="18"/>
              </w:rPr>
              <w:t>Separate senior executive accountability for the Committee secretariat from that for method development.</w:t>
            </w:r>
          </w:p>
        </w:tc>
        <w:tc>
          <w:tcPr>
            <w:tcW w:w="2170" w:type="dxa"/>
          </w:tcPr>
          <w:p w14:paraId="7F12C79A" w14:textId="77777777" w:rsidR="003F14E9" w:rsidRPr="00E162C0" w:rsidRDefault="003F14E9" w:rsidP="0003384E">
            <w:pPr>
              <w:rPr>
                <w:sz w:val="18"/>
                <w:szCs w:val="18"/>
              </w:rPr>
            </w:pPr>
            <w:r w:rsidRPr="00E162C0">
              <w:rPr>
                <w:sz w:val="18"/>
                <w:szCs w:val="18"/>
              </w:rPr>
              <w:t>Accepts</w:t>
            </w:r>
          </w:p>
        </w:tc>
        <w:tc>
          <w:tcPr>
            <w:tcW w:w="7556" w:type="dxa"/>
          </w:tcPr>
          <w:p w14:paraId="0E806E5D" w14:textId="77777777" w:rsidR="003F14E9" w:rsidRPr="00E162C0" w:rsidRDefault="003F14E9" w:rsidP="0003384E">
            <w:pPr>
              <w:rPr>
                <w:sz w:val="18"/>
                <w:szCs w:val="18"/>
              </w:rPr>
            </w:pPr>
            <w:r w:rsidRPr="00E162C0">
              <w:rPr>
                <w:sz w:val="18"/>
                <w:szCs w:val="18"/>
              </w:rPr>
              <w:t>Complete</w:t>
            </w:r>
          </w:p>
        </w:tc>
      </w:tr>
      <w:tr w:rsidR="003F14E9" w:rsidRPr="00AD0073" w14:paraId="59B0E3D4" w14:textId="77777777" w:rsidTr="0003384E">
        <w:trPr>
          <w:cantSplit/>
          <w:trHeight w:val="801"/>
        </w:trPr>
        <w:tc>
          <w:tcPr>
            <w:tcW w:w="817" w:type="dxa"/>
          </w:tcPr>
          <w:p w14:paraId="2C140742" w14:textId="77777777" w:rsidR="003F14E9" w:rsidRPr="00AD0073" w:rsidRDefault="003F14E9" w:rsidP="0003384E">
            <w:pPr>
              <w:rPr>
                <w:szCs w:val="20"/>
              </w:rPr>
            </w:pPr>
            <w:r w:rsidRPr="00E705FE">
              <w:t>4</w:t>
            </w:r>
          </w:p>
        </w:tc>
        <w:tc>
          <w:tcPr>
            <w:tcW w:w="4526" w:type="dxa"/>
          </w:tcPr>
          <w:p w14:paraId="17673470" w14:textId="77777777" w:rsidR="003F14E9" w:rsidRPr="00E162C0" w:rsidRDefault="003F14E9" w:rsidP="0003384E">
            <w:pPr>
              <w:rPr>
                <w:sz w:val="18"/>
                <w:szCs w:val="18"/>
              </w:rPr>
            </w:pPr>
            <w:r w:rsidRPr="00E162C0">
              <w:rPr>
                <w:sz w:val="18"/>
                <w:szCs w:val="18"/>
              </w:rPr>
              <w:t xml:space="preserve">Make method variations to incorporate guidance on the most current estimation techniques, tools and calculators. </w:t>
            </w:r>
          </w:p>
          <w:p w14:paraId="6D536EC6" w14:textId="77777777" w:rsidR="003F14E9" w:rsidRPr="00E162C0" w:rsidRDefault="003F14E9" w:rsidP="0003384E">
            <w:pPr>
              <w:rPr>
                <w:sz w:val="18"/>
                <w:szCs w:val="18"/>
              </w:rPr>
            </w:pPr>
            <w:r w:rsidRPr="00E162C0">
              <w:rPr>
                <w:sz w:val="18"/>
                <w:szCs w:val="18"/>
              </w:rPr>
              <w:t>ERF scheme participants must move to the new method within two years if a variation is made.</w:t>
            </w:r>
          </w:p>
        </w:tc>
        <w:tc>
          <w:tcPr>
            <w:tcW w:w="2170" w:type="dxa"/>
          </w:tcPr>
          <w:p w14:paraId="34CD83B6" w14:textId="77777777" w:rsidR="003F14E9" w:rsidRPr="00E162C0" w:rsidRDefault="003F14E9" w:rsidP="0003384E">
            <w:pPr>
              <w:rPr>
                <w:sz w:val="18"/>
                <w:szCs w:val="18"/>
              </w:rPr>
            </w:pPr>
            <w:r w:rsidRPr="00E162C0">
              <w:rPr>
                <w:sz w:val="18"/>
                <w:szCs w:val="18"/>
              </w:rPr>
              <w:t>Notes</w:t>
            </w:r>
          </w:p>
        </w:tc>
        <w:tc>
          <w:tcPr>
            <w:tcW w:w="7556" w:type="dxa"/>
          </w:tcPr>
          <w:p w14:paraId="4B42B89B" w14:textId="77777777" w:rsidR="003F14E9" w:rsidRPr="00E162C0" w:rsidRDefault="003F14E9" w:rsidP="0003384E">
            <w:pPr>
              <w:rPr>
                <w:sz w:val="18"/>
                <w:szCs w:val="18"/>
              </w:rPr>
            </w:pPr>
            <w:r w:rsidRPr="00E162C0">
              <w:rPr>
                <w:sz w:val="18"/>
                <w:szCs w:val="18"/>
              </w:rPr>
              <w:t xml:space="preserve">Ongoing. Government will consult with ERF participants on impacts of compelling participants to transition to updated methods before making a decision. </w:t>
            </w:r>
          </w:p>
        </w:tc>
      </w:tr>
      <w:tr w:rsidR="003F14E9" w:rsidRPr="00AD0073" w14:paraId="241302B7" w14:textId="77777777" w:rsidTr="0003384E">
        <w:trPr>
          <w:cantSplit/>
          <w:trHeight w:val="2211"/>
        </w:trPr>
        <w:tc>
          <w:tcPr>
            <w:tcW w:w="817" w:type="dxa"/>
          </w:tcPr>
          <w:p w14:paraId="72212DD4" w14:textId="77777777" w:rsidR="003F14E9" w:rsidRPr="00AD0073" w:rsidRDefault="003F14E9" w:rsidP="0003384E">
            <w:pPr>
              <w:rPr>
                <w:szCs w:val="20"/>
              </w:rPr>
            </w:pPr>
            <w:r w:rsidRPr="00E705FE">
              <w:t>5</w:t>
            </w:r>
          </w:p>
        </w:tc>
        <w:tc>
          <w:tcPr>
            <w:tcW w:w="4526" w:type="dxa"/>
          </w:tcPr>
          <w:p w14:paraId="7DE81AD8" w14:textId="77777777" w:rsidR="003F14E9" w:rsidRPr="00E162C0" w:rsidRDefault="003F14E9" w:rsidP="0003384E">
            <w:pPr>
              <w:rPr>
                <w:sz w:val="18"/>
                <w:szCs w:val="18"/>
              </w:rPr>
            </w:pPr>
            <w:r w:rsidRPr="00E162C0">
              <w:rPr>
                <w:sz w:val="18"/>
                <w:szCs w:val="18"/>
              </w:rPr>
              <w:t xml:space="preserve">As part of its method reviews, the Committee to: </w:t>
            </w:r>
          </w:p>
          <w:p w14:paraId="4C5AC1FC" w14:textId="77777777" w:rsidR="003F14E9" w:rsidRPr="00E162C0" w:rsidRDefault="003F14E9" w:rsidP="0003384E">
            <w:pPr>
              <w:rPr>
                <w:sz w:val="18"/>
                <w:szCs w:val="18"/>
              </w:rPr>
            </w:pPr>
            <w:r w:rsidRPr="00E162C0">
              <w:rPr>
                <w:sz w:val="18"/>
                <w:szCs w:val="18"/>
              </w:rPr>
              <w:t>- review the measured soil method to assess its effectiveness in distinguishing between natural variability and management actions</w:t>
            </w:r>
          </w:p>
          <w:p w14:paraId="50D0C194" w14:textId="77777777" w:rsidR="003F14E9" w:rsidRPr="00E162C0" w:rsidRDefault="003F14E9" w:rsidP="0003384E">
            <w:pPr>
              <w:rPr>
                <w:sz w:val="18"/>
                <w:szCs w:val="18"/>
              </w:rPr>
            </w:pPr>
            <w:r w:rsidRPr="00E162C0">
              <w:rPr>
                <w:sz w:val="18"/>
                <w:szCs w:val="18"/>
                <w:lang w:val="en-US"/>
              </w:rPr>
              <w:t xml:space="preserve"> - assess the estimation and project requirements for the human-induced regeneration method</w:t>
            </w:r>
          </w:p>
          <w:p w14:paraId="739F2D38" w14:textId="77777777" w:rsidR="003F14E9" w:rsidRPr="00E162C0" w:rsidRDefault="003F14E9" w:rsidP="0003384E">
            <w:pPr>
              <w:rPr>
                <w:sz w:val="18"/>
                <w:szCs w:val="18"/>
              </w:rPr>
            </w:pPr>
            <w:r w:rsidRPr="00E162C0">
              <w:rPr>
                <w:sz w:val="18"/>
                <w:szCs w:val="18"/>
              </w:rPr>
              <w:t>- assess the additionality of project activities and baselines of the native forest managed regrowth method</w:t>
            </w:r>
          </w:p>
          <w:p w14:paraId="3C96B11C" w14:textId="77777777" w:rsidR="003F14E9" w:rsidRPr="00E162C0" w:rsidRDefault="003F14E9" w:rsidP="0003384E">
            <w:pPr>
              <w:rPr>
                <w:sz w:val="18"/>
                <w:szCs w:val="18"/>
              </w:rPr>
            </w:pPr>
            <w:r w:rsidRPr="00E162C0">
              <w:rPr>
                <w:sz w:val="18"/>
                <w:szCs w:val="18"/>
              </w:rPr>
              <w:t>- assess regulatory additionality baselines for the landfill gas method</w:t>
            </w:r>
          </w:p>
          <w:p w14:paraId="7C154B12" w14:textId="77777777" w:rsidR="003F14E9" w:rsidRPr="00E162C0" w:rsidRDefault="003F14E9" w:rsidP="0003384E">
            <w:pPr>
              <w:rPr>
                <w:sz w:val="18"/>
                <w:szCs w:val="18"/>
              </w:rPr>
            </w:pPr>
            <w:r w:rsidRPr="00E162C0">
              <w:rPr>
                <w:sz w:val="18"/>
                <w:szCs w:val="18"/>
              </w:rPr>
              <w:t>- look closely at whether the additionality requirements in each method remain current</w:t>
            </w:r>
            <w:r w:rsidRPr="00E162C0" w:rsidDel="00EC2A2F">
              <w:rPr>
                <w:sz w:val="18"/>
                <w:szCs w:val="18"/>
              </w:rPr>
              <w:t xml:space="preserve"> </w:t>
            </w:r>
            <w:r w:rsidRPr="00E162C0">
              <w:rPr>
                <w:sz w:val="18"/>
                <w:szCs w:val="18"/>
              </w:rPr>
              <w:t>over time.</w:t>
            </w:r>
          </w:p>
        </w:tc>
        <w:tc>
          <w:tcPr>
            <w:tcW w:w="2170" w:type="dxa"/>
          </w:tcPr>
          <w:p w14:paraId="57EDF1D1" w14:textId="77777777" w:rsidR="003F14E9" w:rsidRPr="00E162C0" w:rsidRDefault="003F14E9" w:rsidP="0003384E">
            <w:pPr>
              <w:rPr>
                <w:sz w:val="18"/>
                <w:szCs w:val="18"/>
              </w:rPr>
            </w:pPr>
            <w:r w:rsidRPr="00E162C0">
              <w:rPr>
                <w:sz w:val="18"/>
                <w:szCs w:val="18"/>
              </w:rPr>
              <w:t>Accepts</w:t>
            </w:r>
          </w:p>
          <w:p w14:paraId="5E62B790" w14:textId="77777777" w:rsidR="003F14E9" w:rsidRPr="00E162C0" w:rsidRDefault="003F14E9" w:rsidP="0003384E">
            <w:pPr>
              <w:rPr>
                <w:sz w:val="18"/>
                <w:szCs w:val="18"/>
              </w:rPr>
            </w:pPr>
          </w:p>
          <w:p w14:paraId="0C290AF3" w14:textId="77777777" w:rsidR="003F14E9" w:rsidRPr="00E162C0" w:rsidRDefault="003F14E9" w:rsidP="0003384E">
            <w:pPr>
              <w:rPr>
                <w:sz w:val="18"/>
                <w:szCs w:val="18"/>
              </w:rPr>
            </w:pPr>
          </w:p>
          <w:p w14:paraId="1D95B484" w14:textId="77777777" w:rsidR="003F14E9" w:rsidRPr="00E162C0" w:rsidRDefault="003F14E9" w:rsidP="0003384E">
            <w:pPr>
              <w:jc w:val="right"/>
              <w:rPr>
                <w:sz w:val="18"/>
                <w:szCs w:val="18"/>
              </w:rPr>
            </w:pPr>
          </w:p>
        </w:tc>
        <w:tc>
          <w:tcPr>
            <w:tcW w:w="7556" w:type="dxa"/>
          </w:tcPr>
          <w:p w14:paraId="133AF430" w14:textId="528E8B27" w:rsidR="003F14E9" w:rsidRPr="00E162C0" w:rsidRDefault="00D10072" w:rsidP="0003384E">
            <w:pPr>
              <w:rPr>
                <w:sz w:val="18"/>
                <w:szCs w:val="18"/>
              </w:rPr>
            </w:pPr>
            <w:r w:rsidRPr="00E162C0">
              <w:rPr>
                <w:sz w:val="18"/>
                <w:szCs w:val="18"/>
              </w:rPr>
              <w:t xml:space="preserve"> Part 1 Ongoing – Committee has completed the reviews of human-induced regeneration, native forest managed regrowth and landfill gas methods. The measured soil methods have not been reviewed.</w:t>
            </w:r>
            <w:r w:rsidRPr="00E162C0" w:rsidDel="00D10072">
              <w:rPr>
                <w:sz w:val="18"/>
                <w:szCs w:val="18"/>
              </w:rPr>
              <w:t xml:space="preserve"> </w:t>
            </w:r>
          </w:p>
          <w:p w14:paraId="4DD2F342" w14:textId="77777777" w:rsidR="00EA1B1C" w:rsidRPr="00E162C0" w:rsidRDefault="00EA1B1C" w:rsidP="0003384E">
            <w:pPr>
              <w:rPr>
                <w:sz w:val="18"/>
                <w:szCs w:val="18"/>
              </w:rPr>
            </w:pPr>
          </w:p>
          <w:p w14:paraId="57B68CCF" w14:textId="77777777" w:rsidR="003F14E9" w:rsidRPr="00E162C0" w:rsidRDefault="003F14E9" w:rsidP="0003384E">
            <w:pPr>
              <w:rPr>
                <w:sz w:val="18"/>
                <w:szCs w:val="18"/>
              </w:rPr>
            </w:pPr>
            <w:r w:rsidRPr="00E162C0">
              <w:rPr>
                <w:sz w:val="18"/>
                <w:szCs w:val="18"/>
              </w:rPr>
              <w:t xml:space="preserve">Part 2 – Ongoing as part of usual processes. </w:t>
            </w:r>
          </w:p>
          <w:p w14:paraId="1144C3F5" w14:textId="77777777" w:rsidR="003F14E9" w:rsidRPr="00E162C0" w:rsidRDefault="003F14E9" w:rsidP="0003384E">
            <w:pPr>
              <w:rPr>
                <w:sz w:val="18"/>
                <w:szCs w:val="18"/>
              </w:rPr>
            </w:pPr>
          </w:p>
          <w:p w14:paraId="161E50EB" w14:textId="77777777" w:rsidR="003F14E9" w:rsidRPr="00E162C0" w:rsidRDefault="003F14E9" w:rsidP="0003384E">
            <w:pPr>
              <w:rPr>
                <w:sz w:val="18"/>
                <w:szCs w:val="18"/>
              </w:rPr>
            </w:pPr>
          </w:p>
        </w:tc>
      </w:tr>
      <w:tr w:rsidR="003F14E9" w:rsidRPr="00AD0073" w14:paraId="7D94FD12" w14:textId="77777777" w:rsidTr="0003384E">
        <w:trPr>
          <w:cantSplit/>
          <w:trHeight w:val="842"/>
        </w:trPr>
        <w:tc>
          <w:tcPr>
            <w:tcW w:w="817" w:type="dxa"/>
          </w:tcPr>
          <w:p w14:paraId="085BFAEE" w14:textId="77777777" w:rsidR="003F14E9" w:rsidRPr="00AD0073" w:rsidRDefault="003F14E9" w:rsidP="0003384E">
            <w:pPr>
              <w:rPr>
                <w:szCs w:val="20"/>
              </w:rPr>
            </w:pPr>
            <w:r w:rsidRPr="00E705FE">
              <w:t>6</w:t>
            </w:r>
          </w:p>
        </w:tc>
        <w:tc>
          <w:tcPr>
            <w:tcW w:w="4526" w:type="dxa"/>
          </w:tcPr>
          <w:p w14:paraId="4BB624C6" w14:textId="77777777" w:rsidR="003F14E9" w:rsidRPr="00E162C0" w:rsidRDefault="003F14E9" w:rsidP="0003384E">
            <w:pPr>
              <w:rPr>
                <w:sz w:val="18"/>
                <w:szCs w:val="18"/>
              </w:rPr>
            </w:pPr>
            <w:r w:rsidRPr="00E162C0">
              <w:rPr>
                <w:sz w:val="18"/>
                <w:szCs w:val="18"/>
              </w:rPr>
              <w:t>Require prospective scheme participants to include a plan for maintaining carbon stores when registering sequestration projects.</w:t>
            </w:r>
          </w:p>
        </w:tc>
        <w:tc>
          <w:tcPr>
            <w:tcW w:w="2170" w:type="dxa"/>
          </w:tcPr>
          <w:p w14:paraId="25AD8F21" w14:textId="77777777" w:rsidR="003F14E9" w:rsidRPr="00E162C0" w:rsidRDefault="003F14E9" w:rsidP="0003384E">
            <w:pPr>
              <w:rPr>
                <w:sz w:val="18"/>
                <w:szCs w:val="18"/>
              </w:rPr>
            </w:pPr>
            <w:r w:rsidRPr="00E162C0">
              <w:rPr>
                <w:sz w:val="18"/>
                <w:szCs w:val="18"/>
              </w:rPr>
              <w:t>Accepts</w:t>
            </w:r>
          </w:p>
        </w:tc>
        <w:tc>
          <w:tcPr>
            <w:tcW w:w="7556" w:type="dxa"/>
          </w:tcPr>
          <w:p w14:paraId="0E58BE9B" w14:textId="77777777" w:rsidR="003F14E9" w:rsidRPr="00E162C0" w:rsidRDefault="003F14E9" w:rsidP="0003384E">
            <w:pPr>
              <w:rPr>
                <w:sz w:val="18"/>
                <w:szCs w:val="18"/>
              </w:rPr>
            </w:pPr>
            <w:r w:rsidRPr="00E162C0">
              <w:rPr>
                <w:sz w:val="18"/>
                <w:szCs w:val="18"/>
              </w:rPr>
              <w:t>Complete</w:t>
            </w:r>
          </w:p>
        </w:tc>
      </w:tr>
      <w:tr w:rsidR="003F14E9" w:rsidRPr="00AD0073" w14:paraId="20477C2D" w14:textId="77777777" w:rsidTr="0003384E">
        <w:trPr>
          <w:cantSplit/>
          <w:trHeight w:val="1142"/>
        </w:trPr>
        <w:tc>
          <w:tcPr>
            <w:tcW w:w="817" w:type="dxa"/>
          </w:tcPr>
          <w:p w14:paraId="57BDA7A7" w14:textId="77777777" w:rsidR="003F14E9" w:rsidRPr="00AD0073" w:rsidRDefault="003F14E9" w:rsidP="0003384E">
            <w:pPr>
              <w:rPr>
                <w:szCs w:val="20"/>
              </w:rPr>
            </w:pPr>
            <w:r w:rsidRPr="00E705FE">
              <w:t>7</w:t>
            </w:r>
          </w:p>
        </w:tc>
        <w:tc>
          <w:tcPr>
            <w:tcW w:w="4526" w:type="dxa"/>
          </w:tcPr>
          <w:p w14:paraId="21D5A549" w14:textId="77777777" w:rsidR="003F14E9" w:rsidRPr="00E162C0" w:rsidRDefault="003F14E9" w:rsidP="0003384E">
            <w:pPr>
              <w:rPr>
                <w:sz w:val="18"/>
                <w:szCs w:val="18"/>
              </w:rPr>
            </w:pPr>
            <w:r w:rsidRPr="00E162C0">
              <w:rPr>
                <w:sz w:val="18"/>
                <w:szCs w:val="18"/>
              </w:rPr>
              <w:t>Require fire management plans for sequestration and savanna fire projects.</w:t>
            </w:r>
          </w:p>
        </w:tc>
        <w:tc>
          <w:tcPr>
            <w:tcW w:w="2170" w:type="dxa"/>
          </w:tcPr>
          <w:p w14:paraId="1C329F6A" w14:textId="77777777" w:rsidR="003F14E9" w:rsidRPr="00E162C0" w:rsidRDefault="003F14E9" w:rsidP="0003384E">
            <w:pPr>
              <w:rPr>
                <w:sz w:val="18"/>
                <w:szCs w:val="18"/>
              </w:rPr>
            </w:pPr>
            <w:r w:rsidRPr="00E162C0">
              <w:rPr>
                <w:sz w:val="18"/>
                <w:szCs w:val="18"/>
              </w:rPr>
              <w:t>Notes</w:t>
            </w:r>
          </w:p>
        </w:tc>
        <w:tc>
          <w:tcPr>
            <w:tcW w:w="7556" w:type="dxa"/>
          </w:tcPr>
          <w:p w14:paraId="094B26CA" w14:textId="77777777" w:rsidR="00EA1B1C" w:rsidRPr="00E162C0" w:rsidRDefault="002C7924" w:rsidP="002C7924">
            <w:pPr>
              <w:rPr>
                <w:sz w:val="18"/>
                <w:szCs w:val="18"/>
              </w:rPr>
            </w:pPr>
            <w:r w:rsidRPr="00E162C0">
              <w:rPr>
                <w:sz w:val="18"/>
                <w:szCs w:val="18"/>
              </w:rPr>
              <w:t xml:space="preserve">The Carbon Credits Rule 2015 was amended in May 2018 to include a requirement that sequestration projects provide information on what action will be/has been undertaken to protect sequestered carbon for the permanence period. </w:t>
            </w:r>
          </w:p>
          <w:p w14:paraId="2944C1FE" w14:textId="77777777" w:rsidR="00EA1B1C" w:rsidRPr="00E162C0" w:rsidRDefault="00EA1B1C" w:rsidP="002C7924">
            <w:pPr>
              <w:rPr>
                <w:sz w:val="18"/>
                <w:szCs w:val="18"/>
              </w:rPr>
            </w:pPr>
          </w:p>
          <w:p w14:paraId="742DE8C3" w14:textId="231BBC85" w:rsidR="003F14E9" w:rsidRPr="00E162C0" w:rsidRDefault="003F14E9" w:rsidP="002C7924">
            <w:pPr>
              <w:rPr>
                <w:sz w:val="18"/>
                <w:szCs w:val="18"/>
              </w:rPr>
            </w:pPr>
            <w:r w:rsidRPr="00E162C0">
              <w:rPr>
                <w:sz w:val="18"/>
                <w:szCs w:val="18"/>
              </w:rPr>
              <w:t xml:space="preserve">There is ongoing consideration by the Government and Regulator on how fire risks are dealt with in the ERF as part of ongoing governance arrangements. The Government is not persuaded that provision of fire management plans to the Regulator will ensure fire plans are appropriate or will be implemented. Government believes state/territory authorities are best placed to ensure compliance with fire plan requirements. </w:t>
            </w:r>
          </w:p>
        </w:tc>
      </w:tr>
      <w:tr w:rsidR="003F14E9" w:rsidRPr="00AD0073" w14:paraId="4AA6E5A9" w14:textId="77777777" w:rsidTr="0003384E">
        <w:trPr>
          <w:cantSplit/>
          <w:trHeight w:val="579"/>
        </w:trPr>
        <w:tc>
          <w:tcPr>
            <w:tcW w:w="817" w:type="dxa"/>
          </w:tcPr>
          <w:p w14:paraId="71737D39" w14:textId="77777777" w:rsidR="003F14E9" w:rsidRPr="00AD0073" w:rsidRDefault="003F14E9" w:rsidP="0003384E">
            <w:pPr>
              <w:rPr>
                <w:szCs w:val="20"/>
              </w:rPr>
            </w:pPr>
            <w:r w:rsidRPr="00E705FE">
              <w:t>8</w:t>
            </w:r>
          </w:p>
        </w:tc>
        <w:tc>
          <w:tcPr>
            <w:tcW w:w="4526" w:type="dxa"/>
          </w:tcPr>
          <w:p w14:paraId="7697DA5B" w14:textId="77777777" w:rsidR="003F14E9" w:rsidRPr="00E162C0" w:rsidRDefault="003F14E9" w:rsidP="0003384E">
            <w:pPr>
              <w:rPr>
                <w:sz w:val="18"/>
                <w:szCs w:val="18"/>
              </w:rPr>
            </w:pPr>
            <w:r w:rsidRPr="00E162C0">
              <w:rPr>
                <w:sz w:val="18"/>
                <w:szCs w:val="18"/>
              </w:rPr>
              <w:t>Review the definition of a significant reversal of sequestration to better calibrate the risk of carbon losses.</w:t>
            </w:r>
          </w:p>
        </w:tc>
        <w:tc>
          <w:tcPr>
            <w:tcW w:w="2170" w:type="dxa"/>
          </w:tcPr>
          <w:p w14:paraId="3AA0CF91" w14:textId="77777777" w:rsidR="003F14E9" w:rsidRPr="00E162C0" w:rsidRDefault="003F14E9" w:rsidP="0003384E">
            <w:pPr>
              <w:rPr>
                <w:sz w:val="18"/>
                <w:szCs w:val="18"/>
              </w:rPr>
            </w:pPr>
            <w:r w:rsidRPr="00E162C0">
              <w:rPr>
                <w:sz w:val="18"/>
                <w:szCs w:val="18"/>
              </w:rPr>
              <w:t>Accepts</w:t>
            </w:r>
          </w:p>
        </w:tc>
        <w:tc>
          <w:tcPr>
            <w:tcW w:w="7556" w:type="dxa"/>
          </w:tcPr>
          <w:p w14:paraId="4647C6EA" w14:textId="77777777" w:rsidR="003F14E9" w:rsidRPr="00E162C0" w:rsidRDefault="003F14E9" w:rsidP="0003384E">
            <w:pPr>
              <w:rPr>
                <w:sz w:val="18"/>
                <w:szCs w:val="18"/>
              </w:rPr>
            </w:pPr>
            <w:r w:rsidRPr="00E162C0">
              <w:rPr>
                <w:sz w:val="18"/>
                <w:szCs w:val="18"/>
              </w:rPr>
              <w:t xml:space="preserve">Ongoing. The Department and Regulator will continue to monitor risks to ERF, including risk of reversal, as fund matures.  </w:t>
            </w:r>
          </w:p>
        </w:tc>
      </w:tr>
      <w:tr w:rsidR="003F14E9" w:rsidRPr="00AD0073" w14:paraId="51E7DFD9" w14:textId="77777777" w:rsidTr="0003384E">
        <w:trPr>
          <w:cantSplit/>
          <w:trHeight w:val="517"/>
        </w:trPr>
        <w:tc>
          <w:tcPr>
            <w:tcW w:w="817" w:type="dxa"/>
          </w:tcPr>
          <w:p w14:paraId="7FC55863" w14:textId="77777777" w:rsidR="003F14E9" w:rsidRPr="00AD0073" w:rsidRDefault="003F14E9" w:rsidP="0003384E">
            <w:pPr>
              <w:rPr>
                <w:szCs w:val="20"/>
              </w:rPr>
            </w:pPr>
            <w:r w:rsidRPr="00E705FE">
              <w:t>9</w:t>
            </w:r>
          </w:p>
        </w:tc>
        <w:tc>
          <w:tcPr>
            <w:tcW w:w="4526" w:type="dxa"/>
          </w:tcPr>
          <w:p w14:paraId="50DCBF8E" w14:textId="77777777" w:rsidR="003F14E9" w:rsidRPr="00E162C0" w:rsidRDefault="003F14E9" w:rsidP="0003384E">
            <w:pPr>
              <w:rPr>
                <w:sz w:val="18"/>
                <w:szCs w:val="18"/>
              </w:rPr>
            </w:pPr>
            <w:r w:rsidRPr="00E162C0">
              <w:rPr>
                <w:sz w:val="18"/>
                <w:szCs w:val="18"/>
              </w:rPr>
              <w:t>Remove the ability for a scheme participant to request that the project area be omitted from the project register.</w:t>
            </w:r>
          </w:p>
        </w:tc>
        <w:tc>
          <w:tcPr>
            <w:tcW w:w="2170" w:type="dxa"/>
          </w:tcPr>
          <w:p w14:paraId="3FAD9283" w14:textId="77777777" w:rsidR="003F14E9" w:rsidRPr="00E162C0" w:rsidRDefault="003F14E9" w:rsidP="0003384E">
            <w:pPr>
              <w:rPr>
                <w:sz w:val="18"/>
                <w:szCs w:val="18"/>
              </w:rPr>
            </w:pPr>
            <w:r w:rsidRPr="00E162C0">
              <w:rPr>
                <w:sz w:val="18"/>
                <w:szCs w:val="18"/>
              </w:rPr>
              <w:t>Accepts</w:t>
            </w:r>
          </w:p>
        </w:tc>
        <w:tc>
          <w:tcPr>
            <w:tcW w:w="7556" w:type="dxa"/>
          </w:tcPr>
          <w:p w14:paraId="00DA82F6" w14:textId="77777777" w:rsidR="003F14E9" w:rsidRPr="00E162C0" w:rsidRDefault="003F14E9" w:rsidP="0003384E">
            <w:pPr>
              <w:rPr>
                <w:sz w:val="18"/>
                <w:szCs w:val="18"/>
              </w:rPr>
            </w:pPr>
            <w:r w:rsidRPr="00E162C0">
              <w:rPr>
                <w:sz w:val="18"/>
                <w:szCs w:val="18"/>
              </w:rPr>
              <w:t>Under consideration</w:t>
            </w:r>
          </w:p>
          <w:p w14:paraId="59DEC2E6" w14:textId="77777777" w:rsidR="003F14E9" w:rsidRPr="00E162C0" w:rsidRDefault="003F14E9" w:rsidP="0003384E">
            <w:pPr>
              <w:rPr>
                <w:sz w:val="18"/>
                <w:szCs w:val="18"/>
              </w:rPr>
            </w:pPr>
          </w:p>
        </w:tc>
      </w:tr>
      <w:tr w:rsidR="003F14E9" w:rsidRPr="00AD0073" w14:paraId="2E6FDBF6" w14:textId="77777777" w:rsidTr="0003384E">
        <w:trPr>
          <w:cantSplit/>
          <w:trHeight w:val="441"/>
        </w:trPr>
        <w:tc>
          <w:tcPr>
            <w:tcW w:w="817" w:type="dxa"/>
          </w:tcPr>
          <w:p w14:paraId="47837B85" w14:textId="77777777" w:rsidR="003F14E9" w:rsidRPr="00AD0073" w:rsidRDefault="003F14E9" w:rsidP="0003384E">
            <w:pPr>
              <w:rPr>
                <w:szCs w:val="20"/>
              </w:rPr>
            </w:pPr>
            <w:r w:rsidRPr="00E705FE">
              <w:t>10</w:t>
            </w:r>
          </w:p>
        </w:tc>
        <w:tc>
          <w:tcPr>
            <w:tcW w:w="4526" w:type="dxa"/>
          </w:tcPr>
          <w:p w14:paraId="1A26888B" w14:textId="77777777" w:rsidR="003F14E9" w:rsidRPr="00E162C0" w:rsidRDefault="003F14E9" w:rsidP="0003384E">
            <w:pPr>
              <w:rPr>
                <w:sz w:val="18"/>
                <w:szCs w:val="18"/>
              </w:rPr>
            </w:pPr>
            <w:r w:rsidRPr="00E162C0">
              <w:rPr>
                <w:sz w:val="18"/>
                <w:szCs w:val="18"/>
              </w:rPr>
              <w:t>The Regulator include on their website a search function for ERF projects based on individual properties.</w:t>
            </w:r>
          </w:p>
        </w:tc>
        <w:tc>
          <w:tcPr>
            <w:tcW w:w="2170" w:type="dxa"/>
          </w:tcPr>
          <w:p w14:paraId="5350ED33" w14:textId="77777777" w:rsidR="003F14E9" w:rsidRPr="00E162C0" w:rsidRDefault="003F14E9" w:rsidP="0003384E">
            <w:pPr>
              <w:rPr>
                <w:sz w:val="18"/>
                <w:szCs w:val="18"/>
              </w:rPr>
            </w:pPr>
            <w:r w:rsidRPr="00E162C0">
              <w:rPr>
                <w:sz w:val="18"/>
                <w:szCs w:val="18"/>
              </w:rPr>
              <w:t>Accepts</w:t>
            </w:r>
          </w:p>
        </w:tc>
        <w:tc>
          <w:tcPr>
            <w:tcW w:w="7556" w:type="dxa"/>
          </w:tcPr>
          <w:p w14:paraId="62A899EA" w14:textId="77777777" w:rsidR="003F14E9" w:rsidRPr="00E162C0" w:rsidRDefault="003F14E9" w:rsidP="0003384E">
            <w:pPr>
              <w:rPr>
                <w:sz w:val="18"/>
                <w:szCs w:val="18"/>
              </w:rPr>
            </w:pPr>
            <w:r w:rsidRPr="00E162C0">
              <w:rPr>
                <w:sz w:val="18"/>
                <w:szCs w:val="18"/>
              </w:rPr>
              <w:t>Complete</w:t>
            </w:r>
          </w:p>
          <w:p w14:paraId="79257E6C" w14:textId="77777777" w:rsidR="003F14E9" w:rsidRPr="00E162C0" w:rsidRDefault="003F14E9" w:rsidP="0003384E">
            <w:pPr>
              <w:rPr>
                <w:sz w:val="18"/>
                <w:szCs w:val="18"/>
              </w:rPr>
            </w:pPr>
          </w:p>
        </w:tc>
      </w:tr>
      <w:tr w:rsidR="003F14E9" w:rsidRPr="00AD0073" w14:paraId="40340E93" w14:textId="77777777" w:rsidTr="0003384E">
        <w:trPr>
          <w:cantSplit/>
          <w:trHeight w:val="662"/>
        </w:trPr>
        <w:tc>
          <w:tcPr>
            <w:tcW w:w="817" w:type="dxa"/>
          </w:tcPr>
          <w:p w14:paraId="14564768" w14:textId="77777777" w:rsidR="003F14E9" w:rsidRPr="00AD0073" w:rsidRDefault="003F14E9" w:rsidP="0003384E">
            <w:pPr>
              <w:rPr>
                <w:szCs w:val="20"/>
              </w:rPr>
            </w:pPr>
            <w:r w:rsidRPr="00E705FE">
              <w:t>11</w:t>
            </w:r>
          </w:p>
        </w:tc>
        <w:tc>
          <w:tcPr>
            <w:tcW w:w="4526" w:type="dxa"/>
          </w:tcPr>
          <w:p w14:paraId="4CFE2EDB" w14:textId="77777777" w:rsidR="003F14E9" w:rsidRPr="00E162C0" w:rsidRDefault="003F14E9" w:rsidP="0003384E">
            <w:pPr>
              <w:rPr>
                <w:sz w:val="18"/>
                <w:szCs w:val="18"/>
              </w:rPr>
            </w:pPr>
            <w:r w:rsidRPr="00E162C0">
              <w:rPr>
                <w:sz w:val="18"/>
                <w:szCs w:val="18"/>
              </w:rPr>
              <w:t>Develop guidance for conveyancers and state and territory legal societies on permanence obligations that run with the land.</w:t>
            </w:r>
          </w:p>
        </w:tc>
        <w:tc>
          <w:tcPr>
            <w:tcW w:w="2170" w:type="dxa"/>
          </w:tcPr>
          <w:p w14:paraId="4E586BBD" w14:textId="77777777" w:rsidR="003F14E9" w:rsidRPr="00E162C0" w:rsidRDefault="003F14E9" w:rsidP="0003384E">
            <w:pPr>
              <w:rPr>
                <w:sz w:val="18"/>
                <w:szCs w:val="18"/>
              </w:rPr>
            </w:pPr>
            <w:r w:rsidRPr="00E162C0">
              <w:rPr>
                <w:sz w:val="18"/>
                <w:szCs w:val="18"/>
              </w:rPr>
              <w:t>Accepts</w:t>
            </w:r>
          </w:p>
        </w:tc>
        <w:tc>
          <w:tcPr>
            <w:tcW w:w="7556" w:type="dxa"/>
          </w:tcPr>
          <w:p w14:paraId="312A05E1" w14:textId="2B58F150" w:rsidR="003F14E9" w:rsidRPr="00E162C0" w:rsidRDefault="003F14E9" w:rsidP="0003384E">
            <w:pPr>
              <w:rPr>
                <w:sz w:val="18"/>
                <w:szCs w:val="18"/>
              </w:rPr>
            </w:pPr>
            <w:r w:rsidRPr="00E162C0">
              <w:rPr>
                <w:sz w:val="18"/>
                <w:szCs w:val="18"/>
              </w:rPr>
              <w:t xml:space="preserve">Ongoing </w:t>
            </w:r>
          </w:p>
          <w:p w14:paraId="343068DF" w14:textId="77777777" w:rsidR="003F14E9" w:rsidRPr="00E162C0" w:rsidRDefault="003F14E9" w:rsidP="0003384E">
            <w:pPr>
              <w:rPr>
                <w:sz w:val="18"/>
                <w:szCs w:val="18"/>
              </w:rPr>
            </w:pPr>
          </w:p>
        </w:tc>
      </w:tr>
      <w:tr w:rsidR="003F14E9" w:rsidRPr="00AD0073" w14:paraId="2B2DACF7" w14:textId="77777777" w:rsidTr="0003384E">
        <w:trPr>
          <w:cantSplit/>
          <w:trHeight w:val="741"/>
        </w:trPr>
        <w:tc>
          <w:tcPr>
            <w:tcW w:w="817" w:type="dxa"/>
          </w:tcPr>
          <w:p w14:paraId="281FF5E5" w14:textId="77777777" w:rsidR="003F14E9" w:rsidRPr="00AD0073" w:rsidRDefault="003F14E9" w:rsidP="0003384E">
            <w:pPr>
              <w:rPr>
                <w:szCs w:val="20"/>
              </w:rPr>
            </w:pPr>
            <w:r w:rsidRPr="00E705FE">
              <w:t>12</w:t>
            </w:r>
          </w:p>
        </w:tc>
        <w:tc>
          <w:tcPr>
            <w:tcW w:w="4526" w:type="dxa"/>
          </w:tcPr>
          <w:p w14:paraId="6D291985" w14:textId="77777777" w:rsidR="003F14E9" w:rsidRPr="00E162C0" w:rsidRDefault="003F14E9" w:rsidP="0003384E">
            <w:pPr>
              <w:rPr>
                <w:sz w:val="18"/>
                <w:szCs w:val="18"/>
              </w:rPr>
            </w:pPr>
            <w:r w:rsidRPr="00E162C0">
              <w:rPr>
                <w:sz w:val="18"/>
                <w:szCs w:val="18"/>
              </w:rPr>
              <w:t>CCA review the:</w:t>
            </w:r>
          </w:p>
          <w:p w14:paraId="5CC50085" w14:textId="77777777" w:rsidR="003F14E9" w:rsidRPr="00E162C0" w:rsidRDefault="003F14E9" w:rsidP="0003384E">
            <w:pPr>
              <w:rPr>
                <w:sz w:val="18"/>
                <w:szCs w:val="18"/>
              </w:rPr>
            </w:pPr>
            <w:r w:rsidRPr="00E162C0">
              <w:rPr>
                <w:sz w:val="18"/>
                <w:szCs w:val="18"/>
              </w:rPr>
              <w:t>- risk of reversal buffer and</w:t>
            </w:r>
          </w:p>
          <w:p w14:paraId="0CB1DC3D" w14:textId="77777777" w:rsidR="003F14E9" w:rsidRPr="00E162C0" w:rsidRDefault="003F14E9" w:rsidP="0003384E">
            <w:pPr>
              <w:rPr>
                <w:sz w:val="18"/>
                <w:szCs w:val="18"/>
              </w:rPr>
            </w:pPr>
            <w:r w:rsidRPr="00E162C0">
              <w:rPr>
                <w:sz w:val="18"/>
                <w:szCs w:val="18"/>
              </w:rPr>
              <w:t>- the permanence period discount.</w:t>
            </w:r>
          </w:p>
        </w:tc>
        <w:tc>
          <w:tcPr>
            <w:tcW w:w="2170" w:type="dxa"/>
          </w:tcPr>
          <w:p w14:paraId="1E5AD58C" w14:textId="77777777" w:rsidR="003F14E9" w:rsidRPr="00E162C0" w:rsidRDefault="003F14E9" w:rsidP="0003384E">
            <w:pPr>
              <w:rPr>
                <w:sz w:val="18"/>
                <w:szCs w:val="18"/>
              </w:rPr>
            </w:pPr>
            <w:r w:rsidRPr="00E162C0">
              <w:rPr>
                <w:sz w:val="18"/>
                <w:szCs w:val="18"/>
              </w:rPr>
              <w:t>Notes</w:t>
            </w:r>
          </w:p>
        </w:tc>
        <w:tc>
          <w:tcPr>
            <w:tcW w:w="7556" w:type="dxa"/>
          </w:tcPr>
          <w:p w14:paraId="60C9A391" w14:textId="09E9A0F0" w:rsidR="00D10072" w:rsidRPr="00E162C0" w:rsidRDefault="00D10072" w:rsidP="00D10072">
            <w:pPr>
              <w:pStyle w:val="CommentText"/>
              <w:rPr>
                <w:sz w:val="18"/>
                <w:szCs w:val="18"/>
              </w:rPr>
            </w:pPr>
            <w:r w:rsidRPr="00E162C0">
              <w:rPr>
                <w:sz w:val="18"/>
                <w:szCs w:val="18"/>
              </w:rPr>
              <w:t xml:space="preserve">In this review the Authority has considered the effectiveness of the ‘risk of reversal buffer’ and </w:t>
            </w:r>
            <w:r w:rsidR="006E0759">
              <w:rPr>
                <w:sz w:val="18"/>
                <w:szCs w:val="18"/>
              </w:rPr>
              <w:t>‘</w:t>
            </w:r>
            <w:r w:rsidRPr="00E162C0">
              <w:rPr>
                <w:sz w:val="18"/>
                <w:szCs w:val="18"/>
              </w:rPr>
              <w:t xml:space="preserve">permanence period discount’. </w:t>
            </w:r>
          </w:p>
          <w:p w14:paraId="3294E0F2" w14:textId="77777777" w:rsidR="00D10072" w:rsidRPr="00E162C0" w:rsidRDefault="00D10072" w:rsidP="00D10072">
            <w:pPr>
              <w:pStyle w:val="CommentText"/>
              <w:rPr>
                <w:sz w:val="18"/>
                <w:szCs w:val="18"/>
              </w:rPr>
            </w:pPr>
          </w:p>
          <w:p w14:paraId="4E62463F" w14:textId="2DAAE5F7" w:rsidR="003F14E9" w:rsidRPr="00E162C0" w:rsidRDefault="00D10072" w:rsidP="00D10072">
            <w:pPr>
              <w:rPr>
                <w:sz w:val="18"/>
                <w:szCs w:val="18"/>
              </w:rPr>
            </w:pPr>
            <w:r w:rsidRPr="00E162C0">
              <w:rPr>
                <w:sz w:val="18"/>
                <w:szCs w:val="18"/>
              </w:rPr>
              <w:t xml:space="preserve">The Authority recommends that mechanisms for managing carbon losses in land-based sequestration projects should be reviewed within each method, with consideration to factors such as activity type, geographic location and climate conditions. </w:t>
            </w:r>
          </w:p>
        </w:tc>
      </w:tr>
      <w:tr w:rsidR="003F14E9" w:rsidRPr="00AD0073" w14:paraId="1F14ADBD" w14:textId="77777777" w:rsidTr="0003384E">
        <w:trPr>
          <w:cantSplit/>
          <w:trHeight w:val="695"/>
        </w:trPr>
        <w:tc>
          <w:tcPr>
            <w:tcW w:w="817" w:type="dxa"/>
          </w:tcPr>
          <w:p w14:paraId="12513D8D" w14:textId="77777777" w:rsidR="003F14E9" w:rsidRPr="00AD0073" w:rsidRDefault="003F14E9" w:rsidP="0003384E">
            <w:pPr>
              <w:rPr>
                <w:szCs w:val="20"/>
              </w:rPr>
            </w:pPr>
            <w:r w:rsidRPr="00E705FE">
              <w:t>13</w:t>
            </w:r>
          </w:p>
        </w:tc>
        <w:tc>
          <w:tcPr>
            <w:tcW w:w="4526" w:type="dxa"/>
          </w:tcPr>
          <w:p w14:paraId="51B2F814" w14:textId="77777777" w:rsidR="003F14E9" w:rsidRPr="00E162C0" w:rsidRDefault="003F14E9" w:rsidP="0003384E">
            <w:pPr>
              <w:rPr>
                <w:sz w:val="18"/>
                <w:szCs w:val="18"/>
              </w:rPr>
            </w:pPr>
            <w:r w:rsidRPr="00E162C0">
              <w:rPr>
                <w:sz w:val="18"/>
                <w:szCs w:val="18"/>
              </w:rPr>
              <w:t>Require ERF scheme participants to notify Regulator of individuals and firms that they paid to provide them with advice.</w:t>
            </w:r>
          </w:p>
          <w:p w14:paraId="59E3F766" w14:textId="77777777" w:rsidR="003F14E9" w:rsidRPr="00E162C0" w:rsidDel="00EC2A2F" w:rsidRDefault="003F14E9" w:rsidP="0003384E">
            <w:pPr>
              <w:rPr>
                <w:sz w:val="18"/>
                <w:szCs w:val="18"/>
              </w:rPr>
            </w:pPr>
          </w:p>
        </w:tc>
        <w:tc>
          <w:tcPr>
            <w:tcW w:w="2170" w:type="dxa"/>
          </w:tcPr>
          <w:p w14:paraId="1996DF9F" w14:textId="77777777" w:rsidR="003F14E9" w:rsidRPr="00E162C0" w:rsidRDefault="003F14E9" w:rsidP="0003384E">
            <w:pPr>
              <w:rPr>
                <w:sz w:val="18"/>
                <w:szCs w:val="18"/>
              </w:rPr>
            </w:pPr>
            <w:r w:rsidRPr="00E162C0">
              <w:rPr>
                <w:sz w:val="18"/>
                <w:szCs w:val="18"/>
              </w:rPr>
              <w:t>Does not accept</w:t>
            </w:r>
          </w:p>
        </w:tc>
        <w:tc>
          <w:tcPr>
            <w:tcW w:w="7556" w:type="dxa"/>
          </w:tcPr>
          <w:p w14:paraId="4C0D88E3" w14:textId="77777777" w:rsidR="003F14E9" w:rsidRPr="00E162C0" w:rsidRDefault="003F14E9" w:rsidP="0003384E">
            <w:pPr>
              <w:rPr>
                <w:sz w:val="18"/>
                <w:szCs w:val="18"/>
              </w:rPr>
            </w:pPr>
            <w:r w:rsidRPr="00E162C0">
              <w:rPr>
                <w:sz w:val="18"/>
                <w:szCs w:val="18"/>
              </w:rPr>
              <w:t xml:space="preserve">Government is satisfied that Regulator has appropriate information-gathering powers to effect compliance outcomes. </w:t>
            </w:r>
          </w:p>
          <w:p w14:paraId="3E495A29" w14:textId="77777777" w:rsidR="003F14E9" w:rsidRPr="00E162C0" w:rsidRDefault="003F14E9" w:rsidP="0003384E">
            <w:pPr>
              <w:rPr>
                <w:sz w:val="18"/>
                <w:szCs w:val="18"/>
              </w:rPr>
            </w:pPr>
          </w:p>
        </w:tc>
      </w:tr>
      <w:tr w:rsidR="003F14E9" w:rsidRPr="00AD0073" w14:paraId="6E2B54A0" w14:textId="77777777" w:rsidTr="0003384E">
        <w:trPr>
          <w:cantSplit/>
          <w:trHeight w:val="650"/>
        </w:trPr>
        <w:tc>
          <w:tcPr>
            <w:tcW w:w="817" w:type="dxa"/>
          </w:tcPr>
          <w:p w14:paraId="7759F324" w14:textId="77777777" w:rsidR="003F14E9" w:rsidRPr="00AD0073" w:rsidRDefault="003F14E9" w:rsidP="0003384E">
            <w:pPr>
              <w:rPr>
                <w:szCs w:val="20"/>
              </w:rPr>
            </w:pPr>
            <w:r w:rsidRPr="00E705FE">
              <w:t>14</w:t>
            </w:r>
          </w:p>
        </w:tc>
        <w:tc>
          <w:tcPr>
            <w:tcW w:w="4526" w:type="dxa"/>
          </w:tcPr>
          <w:p w14:paraId="50D190DB" w14:textId="77777777" w:rsidR="003F14E9" w:rsidRPr="00E162C0" w:rsidRDefault="003F14E9" w:rsidP="0003384E">
            <w:pPr>
              <w:rPr>
                <w:sz w:val="18"/>
                <w:szCs w:val="18"/>
              </w:rPr>
            </w:pPr>
            <w:r w:rsidRPr="00E162C0">
              <w:rPr>
                <w:sz w:val="18"/>
                <w:szCs w:val="18"/>
              </w:rPr>
              <w:t>Extend the Fit and Proper Person test to apply to designated agents.</w:t>
            </w:r>
          </w:p>
        </w:tc>
        <w:tc>
          <w:tcPr>
            <w:tcW w:w="2170" w:type="dxa"/>
          </w:tcPr>
          <w:p w14:paraId="12AF073D" w14:textId="77777777" w:rsidR="003F14E9" w:rsidRPr="00E162C0" w:rsidRDefault="003F14E9" w:rsidP="0003384E">
            <w:pPr>
              <w:rPr>
                <w:sz w:val="18"/>
                <w:szCs w:val="18"/>
              </w:rPr>
            </w:pPr>
            <w:r w:rsidRPr="00E162C0">
              <w:rPr>
                <w:sz w:val="18"/>
                <w:szCs w:val="18"/>
              </w:rPr>
              <w:t>Accepts</w:t>
            </w:r>
          </w:p>
        </w:tc>
        <w:tc>
          <w:tcPr>
            <w:tcW w:w="7556" w:type="dxa"/>
          </w:tcPr>
          <w:p w14:paraId="5FB5754B" w14:textId="77777777" w:rsidR="003F14E9" w:rsidRPr="00E162C0" w:rsidRDefault="003F14E9" w:rsidP="0003384E">
            <w:pPr>
              <w:rPr>
                <w:sz w:val="18"/>
                <w:szCs w:val="18"/>
              </w:rPr>
            </w:pPr>
            <w:r w:rsidRPr="00E162C0">
              <w:rPr>
                <w:sz w:val="18"/>
                <w:szCs w:val="18"/>
              </w:rPr>
              <w:t>Under consideration</w:t>
            </w:r>
          </w:p>
          <w:p w14:paraId="4F6198AF" w14:textId="77777777" w:rsidR="003F14E9" w:rsidRPr="00E162C0" w:rsidRDefault="003F14E9" w:rsidP="0003384E">
            <w:pPr>
              <w:rPr>
                <w:sz w:val="18"/>
                <w:szCs w:val="18"/>
              </w:rPr>
            </w:pPr>
          </w:p>
        </w:tc>
      </w:tr>
      <w:tr w:rsidR="003F14E9" w:rsidRPr="00AD0073" w14:paraId="6AFEAFF6" w14:textId="77777777" w:rsidTr="0003384E">
        <w:trPr>
          <w:cantSplit/>
          <w:trHeight w:val="715"/>
        </w:trPr>
        <w:tc>
          <w:tcPr>
            <w:tcW w:w="817" w:type="dxa"/>
          </w:tcPr>
          <w:p w14:paraId="0F5A8347" w14:textId="77777777" w:rsidR="003F14E9" w:rsidRPr="00AD0073" w:rsidRDefault="003F14E9" w:rsidP="0003384E">
            <w:pPr>
              <w:rPr>
                <w:szCs w:val="20"/>
              </w:rPr>
            </w:pPr>
            <w:r w:rsidRPr="00E705FE">
              <w:t>15</w:t>
            </w:r>
          </w:p>
        </w:tc>
        <w:tc>
          <w:tcPr>
            <w:tcW w:w="4526" w:type="dxa"/>
          </w:tcPr>
          <w:p w14:paraId="1E6AE5BB" w14:textId="77777777" w:rsidR="003F14E9" w:rsidRPr="00E162C0" w:rsidRDefault="003F14E9" w:rsidP="0003384E">
            <w:pPr>
              <w:rPr>
                <w:sz w:val="18"/>
                <w:szCs w:val="18"/>
              </w:rPr>
            </w:pPr>
            <w:r w:rsidRPr="00E162C0">
              <w:rPr>
                <w:sz w:val="18"/>
                <w:szCs w:val="18"/>
              </w:rPr>
              <w:t>Require a declaration from landholders that they have read the Department’s aggregation agreement resources to register an aggregated project.</w:t>
            </w:r>
          </w:p>
        </w:tc>
        <w:tc>
          <w:tcPr>
            <w:tcW w:w="2170" w:type="dxa"/>
          </w:tcPr>
          <w:p w14:paraId="05FBED7C" w14:textId="77777777" w:rsidR="003F14E9" w:rsidRPr="00E162C0" w:rsidRDefault="003F14E9" w:rsidP="0003384E">
            <w:pPr>
              <w:rPr>
                <w:sz w:val="18"/>
                <w:szCs w:val="18"/>
              </w:rPr>
            </w:pPr>
            <w:r w:rsidRPr="00E162C0">
              <w:rPr>
                <w:sz w:val="18"/>
                <w:szCs w:val="18"/>
              </w:rPr>
              <w:t>Accepts-in-principle</w:t>
            </w:r>
          </w:p>
        </w:tc>
        <w:tc>
          <w:tcPr>
            <w:tcW w:w="7556" w:type="dxa"/>
          </w:tcPr>
          <w:p w14:paraId="2CD26A84" w14:textId="77777777" w:rsidR="003F14E9" w:rsidRPr="00E162C0" w:rsidRDefault="003F14E9" w:rsidP="0003384E">
            <w:pPr>
              <w:rPr>
                <w:sz w:val="18"/>
                <w:szCs w:val="18"/>
              </w:rPr>
            </w:pPr>
            <w:r w:rsidRPr="00E162C0">
              <w:rPr>
                <w:sz w:val="18"/>
                <w:szCs w:val="18"/>
              </w:rPr>
              <w:t>Under consideration</w:t>
            </w:r>
          </w:p>
          <w:p w14:paraId="1F4D13D6" w14:textId="77777777" w:rsidR="003F14E9" w:rsidRPr="00E162C0" w:rsidRDefault="003F14E9" w:rsidP="0003384E">
            <w:pPr>
              <w:rPr>
                <w:sz w:val="18"/>
                <w:szCs w:val="18"/>
              </w:rPr>
            </w:pPr>
          </w:p>
        </w:tc>
      </w:tr>
      <w:tr w:rsidR="003F14E9" w:rsidRPr="00AD0073" w14:paraId="5BA955E9" w14:textId="77777777" w:rsidTr="0003384E">
        <w:trPr>
          <w:cantSplit/>
          <w:trHeight w:val="697"/>
        </w:trPr>
        <w:tc>
          <w:tcPr>
            <w:tcW w:w="817" w:type="dxa"/>
          </w:tcPr>
          <w:p w14:paraId="47B16B8D" w14:textId="77777777" w:rsidR="003F14E9" w:rsidRPr="00AD0073" w:rsidRDefault="003F14E9" w:rsidP="0003384E">
            <w:pPr>
              <w:rPr>
                <w:szCs w:val="20"/>
              </w:rPr>
            </w:pPr>
            <w:r w:rsidRPr="00E705FE">
              <w:t>16</w:t>
            </w:r>
          </w:p>
        </w:tc>
        <w:tc>
          <w:tcPr>
            <w:tcW w:w="4526" w:type="dxa"/>
          </w:tcPr>
          <w:p w14:paraId="7C77CB5F" w14:textId="77777777" w:rsidR="003F14E9" w:rsidRPr="00E162C0" w:rsidRDefault="003F14E9" w:rsidP="0003384E">
            <w:pPr>
              <w:rPr>
                <w:sz w:val="18"/>
                <w:szCs w:val="18"/>
              </w:rPr>
            </w:pPr>
            <w:r w:rsidRPr="00E162C0">
              <w:rPr>
                <w:sz w:val="18"/>
                <w:szCs w:val="18"/>
              </w:rPr>
              <w:t xml:space="preserve">Some industry bodies and local government associations consider providing advice to their stakeholders on ERF projects. </w:t>
            </w:r>
          </w:p>
        </w:tc>
        <w:tc>
          <w:tcPr>
            <w:tcW w:w="2170" w:type="dxa"/>
          </w:tcPr>
          <w:p w14:paraId="1AC202D6" w14:textId="77777777" w:rsidR="003F14E9" w:rsidRPr="00E162C0" w:rsidRDefault="003F14E9" w:rsidP="0003384E">
            <w:pPr>
              <w:rPr>
                <w:sz w:val="18"/>
                <w:szCs w:val="18"/>
              </w:rPr>
            </w:pPr>
            <w:r w:rsidRPr="00E162C0">
              <w:rPr>
                <w:sz w:val="18"/>
                <w:szCs w:val="18"/>
              </w:rPr>
              <w:t>Notes</w:t>
            </w:r>
          </w:p>
        </w:tc>
        <w:tc>
          <w:tcPr>
            <w:tcW w:w="7556" w:type="dxa"/>
          </w:tcPr>
          <w:p w14:paraId="1FF38105" w14:textId="77777777" w:rsidR="003F14E9" w:rsidRPr="00E162C0" w:rsidRDefault="003F14E9" w:rsidP="0003384E">
            <w:pPr>
              <w:rPr>
                <w:sz w:val="18"/>
                <w:szCs w:val="18"/>
              </w:rPr>
            </w:pPr>
            <w:r w:rsidRPr="00E162C0">
              <w:rPr>
                <w:sz w:val="18"/>
                <w:szCs w:val="18"/>
              </w:rPr>
              <w:t>Recommendation is for action of non-government stakeholders.</w:t>
            </w:r>
          </w:p>
        </w:tc>
      </w:tr>
      <w:tr w:rsidR="003F14E9" w:rsidRPr="00AD0073" w14:paraId="71038EE8" w14:textId="77777777" w:rsidTr="0003384E">
        <w:trPr>
          <w:cantSplit/>
          <w:trHeight w:val="2211"/>
        </w:trPr>
        <w:tc>
          <w:tcPr>
            <w:tcW w:w="817" w:type="dxa"/>
          </w:tcPr>
          <w:p w14:paraId="0A51B539" w14:textId="77777777" w:rsidR="003F14E9" w:rsidRPr="00AD0073" w:rsidRDefault="003F14E9" w:rsidP="0003384E">
            <w:pPr>
              <w:rPr>
                <w:szCs w:val="20"/>
              </w:rPr>
            </w:pPr>
            <w:r w:rsidRPr="00E705FE">
              <w:t>17</w:t>
            </w:r>
          </w:p>
        </w:tc>
        <w:tc>
          <w:tcPr>
            <w:tcW w:w="4526" w:type="dxa"/>
          </w:tcPr>
          <w:p w14:paraId="1062E447" w14:textId="080ECB29" w:rsidR="003F14E9" w:rsidRPr="00E162C0" w:rsidRDefault="003F14E9" w:rsidP="0003384E">
            <w:pPr>
              <w:rPr>
                <w:sz w:val="18"/>
                <w:szCs w:val="18"/>
              </w:rPr>
            </w:pPr>
            <w:r w:rsidRPr="00E162C0">
              <w:rPr>
                <w:sz w:val="18"/>
                <w:szCs w:val="18"/>
              </w:rPr>
              <w:t>Finalise guidance on consultation with Indigenous communities.</w:t>
            </w:r>
          </w:p>
          <w:p w14:paraId="3CDC21AE" w14:textId="77777777" w:rsidR="003F14E9" w:rsidRPr="00E162C0" w:rsidRDefault="003F14E9" w:rsidP="0003384E">
            <w:pPr>
              <w:rPr>
                <w:sz w:val="18"/>
                <w:szCs w:val="18"/>
              </w:rPr>
            </w:pPr>
            <w:r w:rsidRPr="00E162C0">
              <w:rPr>
                <w:sz w:val="18"/>
                <w:szCs w:val="18"/>
              </w:rPr>
              <w:t>Require scheme participants to notify and engage with Registered Native Title Body Corporates and eligible interest holders (EIH) of intention to register a project and provide the Regulator with evidence of consultation.</w:t>
            </w:r>
          </w:p>
          <w:p w14:paraId="6404D84A" w14:textId="77777777" w:rsidR="003F14E9" w:rsidRPr="00E162C0" w:rsidRDefault="003F14E9" w:rsidP="0003384E">
            <w:pPr>
              <w:rPr>
                <w:sz w:val="18"/>
                <w:szCs w:val="18"/>
              </w:rPr>
            </w:pPr>
            <w:r w:rsidRPr="00E162C0">
              <w:rPr>
                <w:sz w:val="18"/>
                <w:szCs w:val="18"/>
              </w:rPr>
              <w:t>Scheme participants not be allowed to bid at auction until all eligible interest holder consents have been obtained.</w:t>
            </w:r>
          </w:p>
        </w:tc>
        <w:tc>
          <w:tcPr>
            <w:tcW w:w="2170" w:type="dxa"/>
          </w:tcPr>
          <w:p w14:paraId="28EA850C" w14:textId="77777777" w:rsidR="003F14E9" w:rsidRPr="00E162C0" w:rsidRDefault="003F14E9" w:rsidP="0003384E">
            <w:pPr>
              <w:rPr>
                <w:sz w:val="18"/>
                <w:szCs w:val="18"/>
              </w:rPr>
            </w:pPr>
            <w:r w:rsidRPr="00E162C0">
              <w:rPr>
                <w:sz w:val="18"/>
                <w:szCs w:val="18"/>
              </w:rPr>
              <w:t>Accepts-in-part</w:t>
            </w:r>
          </w:p>
        </w:tc>
        <w:tc>
          <w:tcPr>
            <w:tcW w:w="7556" w:type="dxa"/>
          </w:tcPr>
          <w:p w14:paraId="47FEE1FE" w14:textId="77777777" w:rsidR="003F14E9" w:rsidRPr="00E162C0" w:rsidRDefault="003F14E9" w:rsidP="0003384E">
            <w:pPr>
              <w:rPr>
                <w:sz w:val="18"/>
                <w:szCs w:val="18"/>
              </w:rPr>
            </w:pPr>
            <w:r w:rsidRPr="00E162C0">
              <w:rPr>
                <w:sz w:val="18"/>
                <w:szCs w:val="18"/>
              </w:rPr>
              <w:t>Part 1 – Complete. In June 2018 Clean Energy Regulator published guidance material.</w:t>
            </w:r>
          </w:p>
          <w:p w14:paraId="1830B5CD" w14:textId="77777777" w:rsidR="003F14E9" w:rsidRPr="00E162C0" w:rsidRDefault="003F14E9" w:rsidP="0003384E">
            <w:pPr>
              <w:rPr>
                <w:sz w:val="18"/>
                <w:szCs w:val="18"/>
              </w:rPr>
            </w:pPr>
          </w:p>
          <w:p w14:paraId="1FBB3BDD" w14:textId="12302DE3" w:rsidR="003F14E9" w:rsidRPr="00E162C0" w:rsidRDefault="003F14E9" w:rsidP="0003384E">
            <w:pPr>
              <w:rPr>
                <w:sz w:val="18"/>
                <w:szCs w:val="18"/>
              </w:rPr>
            </w:pPr>
            <w:r w:rsidRPr="00E162C0">
              <w:rPr>
                <w:sz w:val="18"/>
                <w:szCs w:val="18"/>
              </w:rPr>
              <w:t xml:space="preserve">Part 2 – The Government intends to retain the current approach of allowing conditional project registration whilst eligible interest holder consents are obtained. The Regulator has updated the assessment system for registration of area-based projects to ensure proponents </w:t>
            </w:r>
            <w:r w:rsidR="005E53E2" w:rsidRPr="00E162C0">
              <w:rPr>
                <w:sz w:val="18"/>
                <w:szCs w:val="18"/>
              </w:rPr>
              <w:t xml:space="preserve">identify if native title determinations exist within the project area. </w:t>
            </w:r>
          </w:p>
          <w:p w14:paraId="2E32140B" w14:textId="77777777" w:rsidR="00331DAE" w:rsidRPr="00E162C0" w:rsidRDefault="00331DAE" w:rsidP="0003384E">
            <w:pPr>
              <w:rPr>
                <w:sz w:val="18"/>
                <w:szCs w:val="18"/>
              </w:rPr>
            </w:pPr>
          </w:p>
          <w:p w14:paraId="48A2293C" w14:textId="104507AE" w:rsidR="005E53E2" w:rsidRPr="00E162C0" w:rsidRDefault="005E53E2" w:rsidP="0003384E">
            <w:pPr>
              <w:rPr>
                <w:sz w:val="18"/>
                <w:szCs w:val="18"/>
              </w:rPr>
            </w:pPr>
            <w:r w:rsidRPr="00E162C0">
              <w:rPr>
                <w:sz w:val="18"/>
                <w:szCs w:val="18"/>
              </w:rPr>
              <w:t xml:space="preserve">Updates to the CFI Rule in 2018 and again in 2020 increase requirements to engage with native title holders under some circumstances.  </w:t>
            </w:r>
          </w:p>
          <w:p w14:paraId="6CF43E36" w14:textId="77777777" w:rsidR="003F14E9" w:rsidRPr="00E162C0" w:rsidRDefault="003F14E9" w:rsidP="0003384E">
            <w:pPr>
              <w:rPr>
                <w:sz w:val="18"/>
                <w:szCs w:val="18"/>
              </w:rPr>
            </w:pPr>
          </w:p>
        </w:tc>
      </w:tr>
      <w:tr w:rsidR="003F14E9" w:rsidRPr="00AD0073" w14:paraId="7825963D" w14:textId="77777777" w:rsidTr="0003384E">
        <w:trPr>
          <w:cantSplit/>
          <w:trHeight w:val="838"/>
        </w:trPr>
        <w:tc>
          <w:tcPr>
            <w:tcW w:w="817" w:type="dxa"/>
          </w:tcPr>
          <w:p w14:paraId="308E4CB3" w14:textId="77777777" w:rsidR="003F14E9" w:rsidRPr="00AD0073" w:rsidRDefault="003F14E9" w:rsidP="0003384E">
            <w:pPr>
              <w:rPr>
                <w:szCs w:val="20"/>
              </w:rPr>
            </w:pPr>
            <w:r w:rsidRPr="00E705FE">
              <w:t>18</w:t>
            </w:r>
          </w:p>
        </w:tc>
        <w:tc>
          <w:tcPr>
            <w:tcW w:w="4526" w:type="dxa"/>
          </w:tcPr>
          <w:p w14:paraId="5E213097" w14:textId="77777777" w:rsidR="003F14E9" w:rsidRPr="00E162C0" w:rsidDel="00EC2A2F" w:rsidRDefault="003F14E9" w:rsidP="0003384E">
            <w:pPr>
              <w:rPr>
                <w:sz w:val="18"/>
                <w:szCs w:val="18"/>
              </w:rPr>
            </w:pPr>
            <w:r w:rsidRPr="00E162C0">
              <w:rPr>
                <w:sz w:val="18"/>
                <w:szCs w:val="18"/>
              </w:rPr>
              <w:t>Make explicit the Regulator’s ability to reverse specific decisions in cases where the original decision was based on false or misleading information.</w:t>
            </w:r>
          </w:p>
        </w:tc>
        <w:tc>
          <w:tcPr>
            <w:tcW w:w="2170" w:type="dxa"/>
          </w:tcPr>
          <w:p w14:paraId="3A51E839" w14:textId="77777777" w:rsidR="003F14E9" w:rsidRPr="00E162C0" w:rsidRDefault="003F14E9" w:rsidP="0003384E">
            <w:pPr>
              <w:rPr>
                <w:sz w:val="18"/>
                <w:szCs w:val="18"/>
              </w:rPr>
            </w:pPr>
            <w:r w:rsidRPr="00E162C0">
              <w:rPr>
                <w:sz w:val="18"/>
                <w:szCs w:val="18"/>
              </w:rPr>
              <w:t>Accepts</w:t>
            </w:r>
          </w:p>
        </w:tc>
        <w:tc>
          <w:tcPr>
            <w:tcW w:w="7556" w:type="dxa"/>
          </w:tcPr>
          <w:p w14:paraId="7346A49A" w14:textId="77777777" w:rsidR="003F14E9" w:rsidRPr="00E162C0" w:rsidRDefault="003F14E9" w:rsidP="0003384E">
            <w:pPr>
              <w:rPr>
                <w:sz w:val="18"/>
                <w:szCs w:val="18"/>
              </w:rPr>
            </w:pPr>
            <w:r w:rsidRPr="00E162C0">
              <w:rPr>
                <w:sz w:val="18"/>
                <w:szCs w:val="18"/>
              </w:rPr>
              <w:t xml:space="preserve">Under consideration </w:t>
            </w:r>
          </w:p>
        </w:tc>
      </w:tr>
      <w:tr w:rsidR="003F14E9" w:rsidRPr="00AD0073" w14:paraId="1B5C61C0" w14:textId="77777777" w:rsidTr="0003384E">
        <w:trPr>
          <w:cantSplit/>
          <w:trHeight w:val="980"/>
        </w:trPr>
        <w:tc>
          <w:tcPr>
            <w:tcW w:w="817" w:type="dxa"/>
          </w:tcPr>
          <w:p w14:paraId="55018A62" w14:textId="77777777" w:rsidR="003F14E9" w:rsidRPr="00AD0073" w:rsidRDefault="003F14E9" w:rsidP="0003384E">
            <w:pPr>
              <w:rPr>
                <w:szCs w:val="20"/>
              </w:rPr>
            </w:pPr>
            <w:r w:rsidRPr="00E705FE">
              <w:t>19</w:t>
            </w:r>
          </w:p>
        </w:tc>
        <w:tc>
          <w:tcPr>
            <w:tcW w:w="4526" w:type="dxa"/>
          </w:tcPr>
          <w:p w14:paraId="3726C4EB" w14:textId="77777777" w:rsidR="003F14E9" w:rsidRPr="00E162C0" w:rsidRDefault="003F14E9" w:rsidP="0003384E">
            <w:pPr>
              <w:rPr>
                <w:sz w:val="18"/>
                <w:szCs w:val="18"/>
              </w:rPr>
            </w:pPr>
            <w:r w:rsidRPr="00E162C0">
              <w:rPr>
                <w:sz w:val="18"/>
                <w:szCs w:val="18"/>
              </w:rPr>
              <w:t>Remove the requirement to state whether sequestration or area based projects are consistent with relevant NRM plans and instead require scheme participants to provide evidence that they have advised the relevant NRM body of the proposed project.</w:t>
            </w:r>
          </w:p>
        </w:tc>
        <w:tc>
          <w:tcPr>
            <w:tcW w:w="2170" w:type="dxa"/>
          </w:tcPr>
          <w:p w14:paraId="655D33C0" w14:textId="77777777" w:rsidR="003F14E9" w:rsidRPr="00E162C0" w:rsidRDefault="003F14E9" w:rsidP="0003384E">
            <w:pPr>
              <w:rPr>
                <w:sz w:val="18"/>
                <w:szCs w:val="18"/>
              </w:rPr>
            </w:pPr>
            <w:r w:rsidRPr="00E162C0">
              <w:rPr>
                <w:sz w:val="18"/>
                <w:szCs w:val="18"/>
              </w:rPr>
              <w:t>Accepts</w:t>
            </w:r>
          </w:p>
        </w:tc>
        <w:tc>
          <w:tcPr>
            <w:tcW w:w="7556" w:type="dxa"/>
          </w:tcPr>
          <w:p w14:paraId="4397386C" w14:textId="77777777" w:rsidR="003F14E9" w:rsidRPr="00E162C0" w:rsidRDefault="003F14E9" w:rsidP="0003384E">
            <w:pPr>
              <w:rPr>
                <w:sz w:val="18"/>
                <w:szCs w:val="18"/>
              </w:rPr>
            </w:pPr>
            <w:r w:rsidRPr="00E162C0">
              <w:rPr>
                <w:sz w:val="18"/>
                <w:szCs w:val="18"/>
              </w:rPr>
              <w:t>Under consideration</w:t>
            </w:r>
          </w:p>
        </w:tc>
      </w:tr>
      <w:tr w:rsidR="003F14E9" w:rsidRPr="00AD0073" w14:paraId="62AE21C0" w14:textId="77777777" w:rsidTr="0003384E">
        <w:trPr>
          <w:cantSplit/>
          <w:trHeight w:val="569"/>
        </w:trPr>
        <w:tc>
          <w:tcPr>
            <w:tcW w:w="817" w:type="dxa"/>
          </w:tcPr>
          <w:p w14:paraId="421EC669" w14:textId="77777777" w:rsidR="003F14E9" w:rsidRPr="00AD0073" w:rsidRDefault="003F14E9" w:rsidP="0003384E">
            <w:pPr>
              <w:rPr>
                <w:szCs w:val="20"/>
              </w:rPr>
            </w:pPr>
            <w:r w:rsidRPr="00E705FE">
              <w:t>20</w:t>
            </w:r>
          </w:p>
        </w:tc>
        <w:tc>
          <w:tcPr>
            <w:tcW w:w="4526" w:type="dxa"/>
          </w:tcPr>
          <w:p w14:paraId="31AE84CF" w14:textId="77777777" w:rsidR="003F14E9" w:rsidRPr="00E162C0" w:rsidRDefault="003F14E9" w:rsidP="0003384E">
            <w:pPr>
              <w:rPr>
                <w:sz w:val="18"/>
                <w:szCs w:val="18"/>
              </w:rPr>
            </w:pPr>
            <w:r w:rsidRPr="00E162C0">
              <w:rPr>
                <w:sz w:val="18"/>
                <w:szCs w:val="18"/>
              </w:rPr>
              <w:t>No change to the purchasing principles.</w:t>
            </w:r>
          </w:p>
        </w:tc>
        <w:tc>
          <w:tcPr>
            <w:tcW w:w="2170" w:type="dxa"/>
          </w:tcPr>
          <w:p w14:paraId="0F29CACD" w14:textId="77777777" w:rsidR="003F14E9" w:rsidRPr="00E162C0" w:rsidRDefault="003F14E9" w:rsidP="0003384E">
            <w:pPr>
              <w:rPr>
                <w:sz w:val="18"/>
                <w:szCs w:val="18"/>
              </w:rPr>
            </w:pPr>
            <w:r w:rsidRPr="00E162C0">
              <w:rPr>
                <w:sz w:val="18"/>
                <w:szCs w:val="18"/>
              </w:rPr>
              <w:t>Accepts</w:t>
            </w:r>
          </w:p>
        </w:tc>
        <w:tc>
          <w:tcPr>
            <w:tcW w:w="7556" w:type="dxa"/>
          </w:tcPr>
          <w:p w14:paraId="5155C688" w14:textId="77777777" w:rsidR="003F14E9" w:rsidRPr="00E162C0" w:rsidRDefault="003F14E9" w:rsidP="0003384E">
            <w:pPr>
              <w:rPr>
                <w:sz w:val="18"/>
                <w:szCs w:val="18"/>
              </w:rPr>
            </w:pPr>
            <w:r w:rsidRPr="00E162C0">
              <w:rPr>
                <w:sz w:val="18"/>
                <w:szCs w:val="18"/>
              </w:rPr>
              <w:t xml:space="preserve">Status quo, no action needed. </w:t>
            </w:r>
          </w:p>
        </w:tc>
      </w:tr>
      <w:tr w:rsidR="003F14E9" w:rsidRPr="00AD0073" w14:paraId="5DFB0FD2" w14:textId="77777777" w:rsidTr="0003384E">
        <w:trPr>
          <w:cantSplit/>
          <w:trHeight w:val="422"/>
        </w:trPr>
        <w:tc>
          <w:tcPr>
            <w:tcW w:w="817" w:type="dxa"/>
          </w:tcPr>
          <w:p w14:paraId="4D51B47E" w14:textId="77777777" w:rsidR="003F14E9" w:rsidRPr="00AD0073" w:rsidRDefault="003F14E9" w:rsidP="0003384E">
            <w:pPr>
              <w:rPr>
                <w:szCs w:val="20"/>
              </w:rPr>
            </w:pPr>
            <w:r w:rsidRPr="00E705FE">
              <w:t>21</w:t>
            </w:r>
          </w:p>
        </w:tc>
        <w:tc>
          <w:tcPr>
            <w:tcW w:w="4526" w:type="dxa"/>
          </w:tcPr>
          <w:p w14:paraId="52861546" w14:textId="77777777" w:rsidR="003F14E9" w:rsidRPr="00E162C0" w:rsidRDefault="003F14E9" w:rsidP="0003384E">
            <w:pPr>
              <w:rPr>
                <w:sz w:val="18"/>
                <w:szCs w:val="18"/>
              </w:rPr>
            </w:pPr>
            <w:r w:rsidRPr="00E162C0">
              <w:rPr>
                <w:sz w:val="18"/>
                <w:szCs w:val="18"/>
              </w:rPr>
              <w:t>Revisit the cap on buyer damages under ERF contracts.</w:t>
            </w:r>
          </w:p>
        </w:tc>
        <w:tc>
          <w:tcPr>
            <w:tcW w:w="2170" w:type="dxa"/>
          </w:tcPr>
          <w:p w14:paraId="7CEAED8D" w14:textId="77777777" w:rsidR="003F14E9" w:rsidRPr="00E162C0" w:rsidRDefault="003F14E9" w:rsidP="0003384E">
            <w:pPr>
              <w:rPr>
                <w:sz w:val="18"/>
                <w:szCs w:val="18"/>
              </w:rPr>
            </w:pPr>
            <w:r w:rsidRPr="00E162C0">
              <w:rPr>
                <w:sz w:val="18"/>
                <w:szCs w:val="18"/>
              </w:rPr>
              <w:t>Accepts</w:t>
            </w:r>
          </w:p>
        </w:tc>
        <w:tc>
          <w:tcPr>
            <w:tcW w:w="7556" w:type="dxa"/>
          </w:tcPr>
          <w:p w14:paraId="5BA8333B" w14:textId="77777777" w:rsidR="003F14E9" w:rsidRPr="00E162C0" w:rsidRDefault="003F14E9" w:rsidP="0003384E">
            <w:pPr>
              <w:rPr>
                <w:sz w:val="18"/>
                <w:szCs w:val="18"/>
              </w:rPr>
            </w:pPr>
            <w:r w:rsidRPr="00E162C0">
              <w:rPr>
                <w:sz w:val="18"/>
                <w:szCs w:val="18"/>
              </w:rPr>
              <w:t xml:space="preserve">Ongoing. Regulator will periodically review the cap on buyer’s market damages for new fixed contracts. </w:t>
            </w:r>
          </w:p>
          <w:p w14:paraId="5EC245C2" w14:textId="77777777" w:rsidR="003F14E9" w:rsidRPr="00E162C0" w:rsidRDefault="003F14E9" w:rsidP="0003384E">
            <w:pPr>
              <w:rPr>
                <w:sz w:val="18"/>
                <w:szCs w:val="18"/>
              </w:rPr>
            </w:pPr>
          </w:p>
        </w:tc>
      </w:tr>
      <w:tr w:rsidR="003F14E9" w:rsidRPr="00AD0073" w14:paraId="2F41FB4F" w14:textId="77777777" w:rsidTr="0003384E">
        <w:trPr>
          <w:cantSplit/>
          <w:trHeight w:val="564"/>
        </w:trPr>
        <w:tc>
          <w:tcPr>
            <w:tcW w:w="817" w:type="dxa"/>
          </w:tcPr>
          <w:p w14:paraId="039ADE28" w14:textId="77777777" w:rsidR="003F14E9" w:rsidRPr="00AD0073" w:rsidRDefault="003F14E9" w:rsidP="0003384E">
            <w:pPr>
              <w:rPr>
                <w:szCs w:val="20"/>
              </w:rPr>
            </w:pPr>
            <w:r w:rsidRPr="00E705FE">
              <w:t>22</w:t>
            </w:r>
          </w:p>
        </w:tc>
        <w:tc>
          <w:tcPr>
            <w:tcW w:w="4526" w:type="dxa"/>
          </w:tcPr>
          <w:p w14:paraId="67496977" w14:textId="77777777" w:rsidR="003F14E9" w:rsidRPr="00E162C0" w:rsidRDefault="003F14E9" w:rsidP="0003384E">
            <w:pPr>
              <w:rPr>
                <w:sz w:val="18"/>
                <w:szCs w:val="18"/>
              </w:rPr>
            </w:pPr>
            <w:r w:rsidRPr="00E162C0">
              <w:rPr>
                <w:sz w:val="18"/>
                <w:szCs w:val="18"/>
              </w:rPr>
              <w:t>Require scheme participants to deliver a minimum of 30-50 per cent of ACCUs from the projects they used to register at auction.</w:t>
            </w:r>
          </w:p>
        </w:tc>
        <w:tc>
          <w:tcPr>
            <w:tcW w:w="2170" w:type="dxa"/>
          </w:tcPr>
          <w:p w14:paraId="065FD845" w14:textId="77777777" w:rsidR="003F14E9" w:rsidRPr="00E162C0" w:rsidRDefault="003F14E9" w:rsidP="0003384E">
            <w:pPr>
              <w:rPr>
                <w:sz w:val="18"/>
                <w:szCs w:val="18"/>
              </w:rPr>
            </w:pPr>
            <w:r w:rsidRPr="00E162C0">
              <w:rPr>
                <w:sz w:val="18"/>
                <w:szCs w:val="18"/>
              </w:rPr>
              <w:t>Does not accept</w:t>
            </w:r>
          </w:p>
        </w:tc>
        <w:tc>
          <w:tcPr>
            <w:tcW w:w="7556" w:type="dxa"/>
          </w:tcPr>
          <w:p w14:paraId="497882E2" w14:textId="0A978B00" w:rsidR="003F14E9" w:rsidRPr="00E162C0" w:rsidRDefault="003F14E9" w:rsidP="0003384E">
            <w:pPr>
              <w:rPr>
                <w:sz w:val="18"/>
                <w:szCs w:val="18"/>
              </w:rPr>
            </w:pPr>
            <w:r w:rsidRPr="00E162C0">
              <w:rPr>
                <w:sz w:val="18"/>
                <w:szCs w:val="18"/>
              </w:rPr>
              <w:t>The Government believes that requiring 30-50 per cent of units to come from the registered project will limit options for contract fulfilment and could lead to an increase in delivery risk and price.</w:t>
            </w:r>
          </w:p>
        </w:tc>
      </w:tr>
      <w:tr w:rsidR="003F14E9" w:rsidRPr="00AD0073" w14:paraId="352E4C17" w14:textId="77777777" w:rsidTr="0003384E">
        <w:trPr>
          <w:cantSplit/>
          <w:trHeight w:val="1115"/>
        </w:trPr>
        <w:tc>
          <w:tcPr>
            <w:tcW w:w="817" w:type="dxa"/>
          </w:tcPr>
          <w:p w14:paraId="1152CC0F" w14:textId="77777777" w:rsidR="003F14E9" w:rsidRPr="00AD0073" w:rsidRDefault="003F14E9" w:rsidP="0003384E">
            <w:pPr>
              <w:rPr>
                <w:szCs w:val="20"/>
              </w:rPr>
            </w:pPr>
            <w:r w:rsidRPr="00E705FE">
              <w:t>23</w:t>
            </w:r>
          </w:p>
        </w:tc>
        <w:tc>
          <w:tcPr>
            <w:tcW w:w="4526" w:type="dxa"/>
          </w:tcPr>
          <w:p w14:paraId="306B246E" w14:textId="77777777" w:rsidR="003F14E9" w:rsidRPr="00E162C0" w:rsidDel="00EC2A2F" w:rsidRDefault="003F14E9" w:rsidP="0003384E">
            <w:pPr>
              <w:rPr>
                <w:sz w:val="18"/>
                <w:szCs w:val="18"/>
              </w:rPr>
            </w:pPr>
            <w:r w:rsidRPr="00E162C0">
              <w:rPr>
                <w:sz w:val="18"/>
                <w:szCs w:val="18"/>
              </w:rPr>
              <w:t>Publish timely information about the holding of ACCUs.</w:t>
            </w:r>
          </w:p>
          <w:p w14:paraId="196166A8" w14:textId="77777777" w:rsidR="003F14E9" w:rsidRPr="00E162C0" w:rsidDel="00EC2A2F" w:rsidRDefault="003F14E9" w:rsidP="0003384E">
            <w:pPr>
              <w:rPr>
                <w:sz w:val="18"/>
                <w:szCs w:val="18"/>
              </w:rPr>
            </w:pPr>
            <w:r w:rsidRPr="00E162C0">
              <w:rPr>
                <w:sz w:val="18"/>
                <w:szCs w:val="18"/>
              </w:rPr>
              <w:t>Publish a six monthly ‘statement of opportunities’ that sets out the forward schedule for ACCU delivery, availability of ACCUs in the secondary market and indicative demand and prices.</w:t>
            </w:r>
          </w:p>
        </w:tc>
        <w:tc>
          <w:tcPr>
            <w:tcW w:w="2170" w:type="dxa"/>
          </w:tcPr>
          <w:p w14:paraId="48ABF493" w14:textId="77777777" w:rsidR="003F14E9" w:rsidRPr="00E162C0" w:rsidRDefault="003F14E9" w:rsidP="0003384E">
            <w:pPr>
              <w:rPr>
                <w:sz w:val="18"/>
                <w:szCs w:val="18"/>
              </w:rPr>
            </w:pPr>
            <w:r w:rsidRPr="00E162C0">
              <w:rPr>
                <w:sz w:val="18"/>
                <w:szCs w:val="18"/>
              </w:rPr>
              <w:t>Accepts-in-principle</w:t>
            </w:r>
          </w:p>
        </w:tc>
        <w:tc>
          <w:tcPr>
            <w:tcW w:w="7556" w:type="dxa"/>
          </w:tcPr>
          <w:p w14:paraId="07D2986D" w14:textId="77777777" w:rsidR="003F14E9" w:rsidRPr="00E162C0" w:rsidRDefault="003F14E9" w:rsidP="0003384E">
            <w:pPr>
              <w:rPr>
                <w:sz w:val="18"/>
                <w:szCs w:val="18"/>
              </w:rPr>
            </w:pPr>
            <w:r w:rsidRPr="00E162C0">
              <w:rPr>
                <w:sz w:val="18"/>
                <w:szCs w:val="18"/>
              </w:rPr>
              <w:t>Complete</w:t>
            </w:r>
          </w:p>
        </w:tc>
      </w:tr>
      <w:tr w:rsidR="003F14E9" w:rsidRPr="00AD0073" w14:paraId="319D72CA" w14:textId="77777777" w:rsidTr="0003384E">
        <w:trPr>
          <w:cantSplit/>
          <w:trHeight w:val="525"/>
        </w:trPr>
        <w:tc>
          <w:tcPr>
            <w:tcW w:w="817" w:type="dxa"/>
          </w:tcPr>
          <w:p w14:paraId="4C29D490" w14:textId="77777777" w:rsidR="003F14E9" w:rsidRPr="00AD0073" w:rsidRDefault="003F14E9" w:rsidP="0003384E">
            <w:pPr>
              <w:rPr>
                <w:szCs w:val="20"/>
              </w:rPr>
            </w:pPr>
            <w:r w:rsidRPr="00E705FE">
              <w:t>24</w:t>
            </w:r>
          </w:p>
        </w:tc>
        <w:tc>
          <w:tcPr>
            <w:tcW w:w="4526" w:type="dxa"/>
          </w:tcPr>
          <w:p w14:paraId="7BCC79B7" w14:textId="77777777" w:rsidR="003F14E9" w:rsidRPr="00E162C0" w:rsidDel="00EC2A2F" w:rsidRDefault="003F14E9" w:rsidP="0003384E">
            <w:pPr>
              <w:rPr>
                <w:sz w:val="18"/>
                <w:szCs w:val="18"/>
              </w:rPr>
            </w:pPr>
            <w:r w:rsidRPr="00E162C0">
              <w:rPr>
                <w:sz w:val="18"/>
                <w:szCs w:val="18"/>
              </w:rPr>
              <w:t>Investigate ways to further enhance Regulator’s client services, particularly when responding to complex enquiries.</w:t>
            </w:r>
          </w:p>
        </w:tc>
        <w:tc>
          <w:tcPr>
            <w:tcW w:w="2170" w:type="dxa"/>
          </w:tcPr>
          <w:p w14:paraId="6E6666C7" w14:textId="77777777" w:rsidR="003F14E9" w:rsidRPr="00E162C0" w:rsidRDefault="003F14E9" w:rsidP="0003384E">
            <w:pPr>
              <w:rPr>
                <w:sz w:val="18"/>
                <w:szCs w:val="18"/>
              </w:rPr>
            </w:pPr>
            <w:r w:rsidRPr="00E162C0">
              <w:rPr>
                <w:sz w:val="18"/>
                <w:szCs w:val="18"/>
              </w:rPr>
              <w:t>Accepts</w:t>
            </w:r>
          </w:p>
        </w:tc>
        <w:tc>
          <w:tcPr>
            <w:tcW w:w="7556" w:type="dxa"/>
          </w:tcPr>
          <w:p w14:paraId="6981BF86" w14:textId="4344549C" w:rsidR="003F14E9" w:rsidRPr="00E162C0" w:rsidRDefault="005E53E2" w:rsidP="0003384E">
            <w:pPr>
              <w:rPr>
                <w:sz w:val="18"/>
                <w:szCs w:val="18"/>
              </w:rPr>
            </w:pPr>
            <w:r w:rsidRPr="00E162C0">
              <w:rPr>
                <w:sz w:val="18"/>
                <w:szCs w:val="18"/>
              </w:rPr>
              <w:t>Ongoing</w:t>
            </w:r>
          </w:p>
        </w:tc>
      </w:tr>
      <w:tr w:rsidR="003F14E9" w:rsidRPr="00AD0073" w14:paraId="5951BDD2" w14:textId="77777777" w:rsidTr="0003384E">
        <w:trPr>
          <w:cantSplit/>
          <w:trHeight w:val="590"/>
        </w:trPr>
        <w:tc>
          <w:tcPr>
            <w:tcW w:w="817" w:type="dxa"/>
          </w:tcPr>
          <w:p w14:paraId="00497392" w14:textId="77777777" w:rsidR="003F14E9" w:rsidRPr="00AD0073" w:rsidRDefault="003F14E9" w:rsidP="0003384E">
            <w:pPr>
              <w:rPr>
                <w:szCs w:val="20"/>
              </w:rPr>
            </w:pPr>
            <w:r w:rsidRPr="00E705FE">
              <w:t>25</w:t>
            </w:r>
          </w:p>
        </w:tc>
        <w:tc>
          <w:tcPr>
            <w:tcW w:w="4526" w:type="dxa"/>
          </w:tcPr>
          <w:p w14:paraId="1CE366C2" w14:textId="77777777" w:rsidR="003F14E9" w:rsidRPr="00E162C0" w:rsidRDefault="003F14E9" w:rsidP="0003384E">
            <w:pPr>
              <w:rPr>
                <w:sz w:val="18"/>
                <w:szCs w:val="18"/>
              </w:rPr>
            </w:pPr>
            <w:r w:rsidRPr="00E162C0">
              <w:rPr>
                <w:sz w:val="18"/>
                <w:szCs w:val="18"/>
              </w:rPr>
              <w:t>Expand the Regulator’s regulatory toolkit to include issuing penalty infringement notices.</w:t>
            </w:r>
          </w:p>
        </w:tc>
        <w:tc>
          <w:tcPr>
            <w:tcW w:w="2170" w:type="dxa"/>
          </w:tcPr>
          <w:p w14:paraId="5AE9D53A" w14:textId="77777777" w:rsidR="003F14E9" w:rsidRPr="00E162C0" w:rsidRDefault="003F14E9" w:rsidP="0003384E">
            <w:pPr>
              <w:rPr>
                <w:sz w:val="18"/>
                <w:szCs w:val="18"/>
              </w:rPr>
            </w:pPr>
            <w:r w:rsidRPr="00E162C0">
              <w:rPr>
                <w:sz w:val="18"/>
                <w:szCs w:val="18"/>
              </w:rPr>
              <w:t>Accepts</w:t>
            </w:r>
          </w:p>
        </w:tc>
        <w:tc>
          <w:tcPr>
            <w:tcW w:w="7556" w:type="dxa"/>
          </w:tcPr>
          <w:p w14:paraId="57A5F580" w14:textId="77777777" w:rsidR="003F14E9" w:rsidRPr="00E162C0" w:rsidRDefault="003F14E9" w:rsidP="0003384E">
            <w:pPr>
              <w:rPr>
                <w:sz w:val="18"/>
                <w:szCs w:val="18"/>
              </w:rPr>
            </w:pPr>
            <w:r w:rsidRPr="00E162C0">
              <w:rPr>
                <w:sz w:val="18"/>
                <w:szCs w:val="18"/>
              </w:rPr>
              <w:t>Under consideration</w:t>
            </w:r>
          </w:p>
          <w:p w14:paraId="14C80AC4" w14:textId="77777777" w:rsidR="003F14E9" w:rsidRPr="00E162C0" w:rsidRDefault="003F14E9" w:rsidP="0003384E">
            <w:pPr>
              <w:rPr>
                <w:sz w:val="18"/>
                <w:szCs w:val="18"/>
              </w:rPr>
            </w:pPr>
          </w:p>
        </w:tc>
      </w:tr>
      <w:tr w:rsidR="003F14E9" w:rsidRPr="00C77669" w14:paraId="75E4A014" w14:textId="77777777" w:rsidTr="0003384E">
        <w:trPr>
          <w:cantSplit/>
          <w:trHeight w:val="2211"/>
        </w:trPr>
        <w:tc>
          <w:tcPr>
            <w:tcW w:w="817" w:type="dxa"/>
          </w:tcPr>
          <w:p w14:paraId="2FEBF91B" w14:textId="77777777" w:rsidR="003F14E9" w:rsidRPr="00AD0073" w:rsidRDefault="003F14E9" w:rsidP="0003384E">
            <w:pPr>
              <w:rPr>
                <w:szCs w:val="20"/>
              </w:rPr>
            </w:pPr>
            <w:r w:rsidRPr="00E705FE">
              <w:t>26</w:t>
            </w:r>
          </w:p>
        </w:tc>
        <w:tc>
          <w:tcPr>
            <w:tcW w:w="4526" w:type="dxa"/>
          </w:tcPr>
          <w:p w14:paraId="0AC05628" w14:textId="77777777" w:rsidR="003F14E9" w:rsidRPr="00E162C0" w:rsidRDefault="003F14E9" w:rsidP="0003384E">
            <w:pPr>
              <w:rPr>
                <w:sz w:val="18"/>
                <w:szCs w:val="18"/>
              </w:rPr>
            </w:pPr>
            <w:r w:rsidRPr="00E162C0">
              <w:rPr>
                <w:sz w:val="18"/>
                <w:szCs w:val="18"/>
              </w:rPr>
              <w:t xml:space="preserve">Allocate additional funds to the Department to collaborate with research organisations and stakeholders on new methods for the land sector and require rural research and development corporations </w:t>
            </w:r>
            <w:r w:rsidRPr="00E162C0">
              <w:rPr>
                <w:sz w:val="18"/>
                <w:szCs w:val="18"/>
                <w:lang w:val="en-US"/>
              </w:rPr>
              <w:t>include emissions reductions as priorities for their R&amp;D work</w:t>
            </w:r>
            <w:r w:rsidRPr="00E162C0">
              <w:rPr>
                <w:sz w:val="18"/>
                <w:szCs w:val="18"/>
              </w:rPr>
              <w:t xml:space="preserve">. </w:t>
            </w:r>
          </w:p>
        </w:tc>
        <w:tc>
          <w:tcPr>
            <w:tcW w:w="2170" w:type="dxa"/>
          </w:tcPr>
          <w:p w14:paraId="0FB5EBBD" w14:textId="77777777" w:rsidR="003F14E9" w:rsidRPr="00E162C0" w:rsidRDefault="003F14E9" w:rsidP="0003384E">
            <w:pPr>
              <w:rPr>
                <w:sz w:val="18"/>
                <w:szCs w:val="18"/>
              </w:rPr>
            </w:pPr>
            <w:r w:rsidRPr="00E162C0">
              <w:rPr>
                <w:sz w:val="18"/>
                <w:szCs w:val="18"/>
              </w:rPr>
              <w:t>Notes</w:t>
            </w:r>
          </w:p>
        </w:tc>
        <w:tc>
          <w:tcPr>
            <w:tcW w:w="7556" w:type="dxa"/>
          </w:tcPr>
          <w:p w14:paraId="512175C5" w14:textId="77777777" w:rsidR="003F14E9" w:rsidRPr="00E162C0" w:rsidRDefault="003F14E9" w:rsidP="0003384E">
            <w:pPr>
              <w:rPr>
                <w:sz w:val="18"/>
                <w:szCs w:val="18"/>
              </w:rPr>
            </w:pPr>
            <w:r w:rsidRPr="00E162C0">
              <w:rPr>
                <w:sz w:val="18"/>
                <w:szCs w:val="18"/>
              </w:rPr>
              <w:t xml:space="preserve">Part 1 – Complete.  New departmental funding is available from 2020 financial year for method development. </w:t>
            </w:r>
          </w:p>
          <w:p w14:paraId="37290380" w14:textId="77777777" w:rsidR="00EA1B1C" w:rsidRPr="00E162C0" w:rsidRDefault="00EA1B1C" w:rsidP="0003384E">
            <w:pPr>
              <w:rPr>
                <w:sz w:val="18"/>
                <w:szCs w:val="18"/>
              </w:rPr>
            </w:pPr>
          </w:p>
          <w:p w14:paraId="0BAFE4AE" w14:textId="77777777" w:rsidR="003F14E9" w:rsidRPr="00E162C0" w:rsidRDefault="003F14E9" w:rsidP="0003384E">
            <w:pPr>
              <w:rPr>
                <w:sz w:val="18"/>
                <w:szCs w:val="18"/>
              </w:rPr>
            </w:pPr>
            <w:r w:rsidRPr="00E162C0">
              <w:rPr>
                <w:sz w:val="18"/>
                <w:szCs w:val="18"/>
              </w:rPr>
              <w:t>Part 2 - The Government provides broad advice on research funding to the Rural R&amp;D Corporations (RRDCs). The RRDCs are independent, but the Government has brought the Authority’s recommendation to their attention.</w:t>
            </w:r>
          </w:p>
        </w:tc>
      </w:tr>
    </w:tbl>
    <w:p w14:paraId="5EDE1A4C" w14:textId="77777777" w:rsidR="003F14E9" w:rsidRPr="008420C6" w:rsidRDefault="003F14E9" w:rsidP="003F14E9"/>
    <w:p w14:paraId="6445319B" w14:textId="5EA34F1A" w:rsidR="00DC5482" w:rsidRDefault="008C7DDA" w:rsidP="00566CC4">
      <w:pPr>
        <w:pStyle w:val="Heading1"/>
      </w:pPr>
      <w:r>
        <w:br w:type="page"/>
      </w:r>
      <w:bookmarkStart w:id="3970" w:name="_Toc44514589"/>
      <w:bookmarkStart w:id="3971" w:name="_Toc45030365"/>
      <w:bookmarkStart w:id="3972" w:name="_Toc48996334"/>
      <w:bookmarkStart w:id="3973" w:name="_Toc49350861"/>
      <w:bookmarkStart w:id="3974" w:name="_Toc49352841"/>
      <w:bookmarkStart w:id="3975" w:name="_Toc49354217"/>
      <w:bookmarkStart w:id="3976" w:name="_Toc49355543"/>
      <w:bookmarkStart w:id="3977" w:name="_Toc49429301"/>
      <w:bookmarkStart w:id="3978" w:name="_Toc49434058"/>
      <w:bookmarkStart w:id="3979" w:name="_Toc49441051"/>
      <w:bookmarkStart w:id="3980" w:name="_Toc49441241"/>
      <w:bookmarkStart w:id="3981" w:name="_Toc49442244"/>
      <w:bookmarkStart w:id="3982" w:name="_Toc49508977"/>
      <w:bookmarkStart w:id="3983" w:name="_Toc49519786"/>
      <w:bookmarkStart w:id="3984" w:name="_Toc49521504"/>
      <w:bookmarkStart w:id="3985" w:name="_Toc49524576"/>
      <w:bookmarkStart w:id="3986" w:name="_Toc49524714"/>
      <w:bookmarkStart w:id="3987" w:name="_Toc49527183"/>
      <w:bookmarkStart w:id="3988" w:name="_Toc49528021"/>
      <w:bookmarkStart w:id="3989" w:name="_Toc49692173"/>
      <w:bookmarkStart w:id="3990" w:name="_Toc49710544"/>
      <w:bookmarkStart w:id="3991" w:name="_Toc49710716"/>
      <w:bookmarkStart w:id="3992" w:name="_Toc49713269"/>
      <w:bookmarkStart w:id="3993" w:name="_Toc49713471"/>
      <w:bookmarkStart w:id="3994" w:name="_Toc49776409"/>
      <w:bookmarkStart w:id="3995" w:name="_Toc49784968"/>
      <w:bookmarkStart w:id="3996" w:name="_Toc49786294"/>
      <w:bookmarkStart w:id="3997" w:name="_Toc49787342"/>
      <w:bookmarkStart w:id="3998" w:name="_Toc49787397"/>
      <w:bookmarkStart w:id="3999" w:name="_Toc49850711"/>
      <w:bookmarkStart w:id="4000" w:name="_Toc49852953"/>
      <w:bookmarkStart w:id="4001" w:name="_Toc49854370"/>
      <w:bookmarkStart w:id="4002" w:name="_Toc49856966"/>
      <w:bookmarkStart w:id="4003" w:name="_Toc49858282"/>
      <w:bookmarkStart w:id="4004" w:name="_Toc49858337"/>
      <w:bookmarkStart w:id="4005" w:name="_Toc49863039"/>
      <w:bookmarkStart w:id="4006" w:name="_Toc49867762"/>
      <w:bookmarkStart w:id="4007" w:name="_Toc49870599"/>
      <w:bookmarkStart w:id="4008" w:name="_Toc49871342"/>
      <w:bookmarkStart w:id="4009" w:name="_Toc49872023"/>
      <w:bookmarkStart w:id="4010" w:name="_Toc49872576"/>
      <w:bookmarkStart w:id="4011" w:name="_Toc50027787"/>
      <w:bookmarkStart w:id="4012" w:name="_Toc50029481"/>
      <w:bookmarkStart w:id="4013" w:name="_Toc50043910"/>
      <w:bookmarkStart w:id="4014" w:name="_Toc50057761"/>
      <w:bookmarkStart w:id="4015" w:name="_Toc50553639"/>
      <w:bookmarkStart w:id="4016" w:name="_Toc50555402"/>
      <w:bookmarkStart w:id="4017" w:name="_Toc50559862"/>
      <w:bookmarkStart w:id="4018" w:name="_Toc50559915"/>
      <w:bookmarkStart w:id="4019" w:name="_Toc50563849"/>
      <w:bookmarkStart w:id="4020" w:name="_Toc50711402"/>
      <w:bookmarkStart w:id="4021" w:name="_Toc50720984"/>
      <w:bookmarkStart w:id="4022" w:name="_Toc50730708"/>
      <w:bookmarkStart w:id="4023" w:name="_Toc50734934"/>
      <w:bookmarkStart w:id="4024" w:name="_Toc50735537"/>
      <w:bookmarkStart w:id="4025" w:name="_Toc50905556"/>
      <w:bookmarkStart w:id="4026" w:name="_Toc51587041"/>
      <w:bookmarkStart w:id="4027" w:name="_Toc51594901"/>
      <w:bookmarkStart w:id="4028" w:name="_Toc51599504"/>
      <w:bookmarkStart w:id="4029" w:name="_Toc51613540"/>
      <w:bookmarkStart w:id="4030" w:name="_Toc51669652"/>
      <w:bookmarkStart w:id="4031" w:name="_Toc51669747"/>
      <w:bookmarkStart w:id="4032" w:name="_Toc51672896"/>
      <w:bookmarkStart w:id="4033" w:name="_Toc51673946"/>
      <w:bookmarkStart w:id="4034" w:name="_Toc51680763"/>
      <w:bookmarkStart w:id="4035" w:name="_Toc51683292"/>
      <w:bookmarkStart w:id="4036" w:name="_Toc51686028"/>
      <w:bookmarkStart w:id="4037" w:name="_Toc51686886"/>
      <w:bookmarkStart w:id="4038" w:name="_Toc51687766"/>
      <w:bookmarkStart w:id="4039" w:name="_Toc51687910"/>
      <w:bookmarkStart w:id="4040" w:name="_Toc51705787"/>
      <w:bookmarkStart w:id="4041" w:name="_Toc51770733"/>
      <w:bookmarkStart w:id="4042" w:name="_Toc51770919"/>
      <w:bookmarkStart w:id="4043" w:name="_Toc52359262"/>
      <w:bookmarkStart w:id="4044" w:name="_Toc52367295"/>
      <w:bookmarkStart w:id="4045" w:name="_Toc52371635"/>
      <w:bookmarkStart w:id="4046" w:name="_Toc52374783"/>
      <w:bookmarkStart w:id="4047" w:name="_Toc52377321"/>
      <w:bookmarkStart w:id="4048" w:name="_Toc52379243"/>
      <w:bookmarkStart w:id="4049" w:name="_Toc52379598"/>
      <w:bookmarkStart w:id="4050" w:name="_Toc52532808"/>
      <w:bookmarkStart w:id="4051" w:name="_Toc52535703"/>
      <w:bookmarkStart w:id="4052" w:name="_Toc52537521"/>
      <w:bookmarkStart w:id="4053" w:name="_Toc52544084"/>
      <w:bookmarkStart w:id="4054" w:name="_Toc52545688"/>
      <w:bookmarkStart w:id="4055" w:name="_Toc52547920"/>
      <w:bookmarkStart w:id="4056" w:name="_Toc52890901"/>
      <w:bookmarkStart w:id="4057" w:name="_Toc52895104"/>
      <w:bookmarkStart w:id="4058" w:name="_Toc52896628"/>
      <w:bookmarkStart w:id="4059" w:name="_Toc52977805"/>
      <w:bookmarkStart w:id="4060" w:name="_Toc53129491"/>
      <w:bookmarkStart w:id="4061" w:name="_Toc52548609"/>
      <w:r w:rsidR="00DC5482" w:rsidRPr="00E93CBF">
        <w:rPr>
          <w:color w:val="0070AE" w:themeColor="accent2" w:themeTint="BF"/>
        </w:rPr>
        <w:t xml:space="preserve">Appendix </w:t>
      </w:r>
      <w:r w:rsidR="003F081F" w:rsidRPr="00E93CBF">
        <w:rPr>
          <w:color w:val="0070AE" w:themeColor="accent2" w:themeTint="BF"/>
        </w:rPr>
        <w:t>D</w:t>
      </w:r>
      <w:r w:rsidR="00566CC4" w:rsidRPr="00E93CBF">
        <w:rPr>
          <w:color w:val="0070AE" w:themeColor="accent2" w:themeTint="BF"/>
        </w:rPr>
        <w:t>.</w:t>
      </w:r>
      <w:r w:rsidR="00523EE3" w:rsidRPr="00E93CBF">
        <w:rPr>
          <w:color w:val="0070AE" w:themeColor="accent2" w:themeTint="BF"/>
        </w:rPr>
        <w:t xml:space="preserve"> </w:t>
      </w:r>
      <w:r w:rsidR="006A07D7" w:rsidRPr="00E93CBF">
        <w:rPr>
          <w:color w:val="0070AE" w:themeColor="accent2" w:themeTint="BF"/>
        </w:rPr>
        <w:t>R</w:t>
      </w:r>
      <w:r w:rsidR="007059A5" w:rsidRPr="00E93CBF">
        <w:rPr>
          <w:color w:val="0070AE" w:themeColor="accent2" w:themeTint="BF"/>
        </w:rPr>
        <w:t>ecommendations</w:t>
      </w:r>
      <w:r w:rsidR="00DD6D8C" w:rsidRPr="00E93CBF">
        <w:rPr>
          <w:color w:val="0070AE" w:themeColor="accent2" w:themeTint="BF"/>
        </w:rPr>
        <w:t xml:space="preserve"> from Ex</w:t>
      </w:r>
      <w:r w:rsidR="007059A5" w:rsidRPr="00E93CBF">
        <w:rPr>
          <w:color w:val="0070AE" w:themeColor="accent2" w:themeTint="BF"/>
        </w:rPr>
        <w:t>pert Panel (</w:t>
      </w:r>
      <w:r w:rsidR="00523EE3" w:rsidRPr="00E93CBF">
        <w:rPr>
          <w:color w:val="0070AE" w:themeColor="accent2" w:themeTint="BF"/>
        </w:rPr>
        <w:t>King</w:t>
      </w:r>
      <w:r w:rsidR="007059A5" w:rsidRPr="00E93CBF">
        <w:rPr>
          <w:color w:val="0070AE" w:themeColor="accent2" w:themeTint="BF"/>
        </w:rPr>
        <w:t>)</w:t>
      </w:r>
      <w:r w:rsidR="00570347">
        <w:rPr>
          <w:color w:val="0070AE" w:themeColor="accent2" w:themeTint="BF"/>
        </w:rPr>
        <w:t xml:space="preserve"> R</w:t>
      </w:r>
      <w:r w:rsidR="00523EE3" w:rsidRPr="00E93CBF">
        <w:rPr>
          <w:color w:val="0070AE" w:themeColor="accent2" w:themeTint="BF"/>
        </w:rPr>
        <w:t xml:space="preserve">eview </w:t>
      </w:r>
      <w:r w:rsidR="007059A5" w:rsidRPr="00E93CBF">
        <w:rPr>
          <w:color w:val="0070AE" w:themeColor="accent2" w:themeTint="BF"/>
        </w:rPr>
        <w:t xml:space="preserve">and </w:t>
      </w:r>
      <w:r w:rsidR="001C3076" w:rsidRPr="00E93CBF">
        <w:rPr>
          <w:color w:val="0070AE" w:themeColor="accent2" w:themeTint="BF"/>
        </w:rPr>
        <w:t>r</w:t>
      </w:r>
      <w:r w:rsidR="00BE66D9" w:rsidRPr="00E93CBF">
        <w:rPr>
          <w:color w:val="0070AE" w:themeColor="accent2" w:themeTint="BF"/>
        </w:rPr>
        <w:t>el</w:t>
      </w:r>
      <w:r w:rsidR="002C3390">
        <w:rPr>
          <w:color w:val="0070AE" w:themeColor="accent2" w:themeTint="BF"/>
        </w:rPr>
        <w:t>ated</w:t>
      </w:r>
      <w:r w:rsidR="00BE66D9" w:rsidRPr="00E93CBF">
        <w:rPr>
          <w:color w:val="0070AE" w:themeColor="accent2" w:themeTint="BF"/>
        </w:rPr>
        <w:t xml:space="preserve"> </w:t>
      </w:r>
      <w:r w:rsidR="00523EE3" w:rsidRPr="00E93CBF">
        <w:rPr>
          <w:color w:val="0070AE" w:themeColor="accent2" w:themeTint="BF"/>
        </w:rPr>
        <w:t>Authority</w:t>
      </w:r>
      <w:r w:rsidR="007059A5" w:rsidRPr="00E93CBF">
        <w:rPr>
          <w:color w:val="0070AE" w:themeColor="accent2" w:themeTint="BF"/>
        </w:rPr>
        <w:t xml:space="preserve"> </w:t>
      </w:r>
      <w:r w:rsidR="001C3076" w:rsidRPr="00E93CBF">
        <w:rPr>
          <w:color w:val="0070AE" w:themeColor="accent2" w:themeTint="BF"/>
        </w:rPr>
        <w:t>a</w:t>
      </w:r>
      <w:r w:rsidR="00BE66D9" w:rsidRPr="00E93CBF">
        <w:rPr>
          <w:color w:val="0070AE" w:themeColor="accent2" w:themeTint="BF"/>
        </w:rPr>
        <w:t>dvice</w:t>
      </w:r>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p>
    <w:bookmarkEnd w:id="4061"/>
    <w:p w14:paraId="089432F1" w14:textId="7F364CC3" w:rsidR="00A0484D" w:rsidRPr="008F50D4" w:rsidRDefault="00A0484D" w:rsidP="00523EE3">
      <w:pPr>
        <w:rPr>
          <w:rFonts w:cs="Arial"/>
        </w:rPr>
      </w:pPr>
    </w:p>
    <w:tbl>
      <w:tblPr>
        <w:tblStyle w:val="TableGrid"/>
        <w:tblW w:w="5029" w:type="pct"/>
        <w:tblLook w:val="04A0" w:firstRow="1" w:lastRow="0" w:firstColumn="1" w:lastColumn="0" w:noHBand="0" w:noVBand="1"/>
        <w:tblCaption w:val="Table of Government's responses to Expert Panel recommendations"/>
      </w:tblPr>
      <w:tblGrid>
        <w:gridCol w:w="3548"/>
        <w:gridCol w:w="3548"/>
        <w:gridCol w:w="3549"/>
        <w:gridCol w:w="3549"/>
      </w:tblGrid>
      <w:tr w:rsidR="00523EE3" w:rsidRPr="00181388" w14:paraId="57647BC3" w14:textId="77777777" w:rsidTr="00E93CBF">
        <w:trPr>
          <w:trHeight w:val="276"/>
          <w:tblHeader/>
        </w:trPr>
        <w:tc>
          <w:tcPr>
            <w:tcW w:w="2500" w:type="pct"/>
            <w:gridSpan w:val="2"/>
            <w:shd w:val="clear" w:color="auto" w:fill="0070AE" w:themeFill="accent2" w:themeFillTint="BF"/>
            <w:vAlign w:val="center"/>
          </w:tcPr>
          <w:p w14:paraId="0E40756D" w14:textId="74512E4A" w:rsidR="00523EE3" w:rsidRDefault="00523EE3" w:rsidP="00060357">
            <w:pPr>
              <w:pStyle w:val="TableHeadingRightAligned"/>
              <w:jc w:val="left"/>
            </w:pPr>
            <w:r>
              <w:t>Expert Panel (King) Review</w:t>
            </w:r>
          </w:p>
        </w:tc>
        <w:tc>
          <w:tcPr>
            <w:tcW w:w="2500" w:type="pct"/>
            <w:gridSpan w:val="2"/>
            <w:shd w:val="clear" w:color="auto" w:fill="1EAEFF" w:themeFill="accent2" w:themeFillTint="80"/>
          </w:tcPr>
          <w:p w14:paraId="59E593D0" w14:textId="77777777" w:rsidR="00523EE3" w:rsidRDefault="00523EE3" w:rsidP="00060357">
            <w:pPr>
              <w:pStyle w:val="TableHeadingRightAligned"/>
              <w:jc w:val="left"/>
            </w:pPr>
            <w:r>
              <w:t>Relevant Authority advice</w:t>
            </w:r>
          </w:p>
        </w:tc>
      </w:tr>
      <w:tr w:rsidR="00523EE3" w:rsidRPr="00181388" w14:paraId="53D5882E" w14:textId="77777777" w:rsidTr="00E93CBF">
        <w:trPr>
          <w:trHeight w:val="276"/>
          <w:tblHeader/>
        </w:trPr>
        <w:tc>
          <w:tcPr>
            <w:tcW w:w="1250" w:type="pct"/>
            <w:shd w:val="clear" w:color="auto" w:fill="0070AE" w:themeFill="accent2" w:themeFillTint="BF"/>
            <w:vAlign w:val="center"/>
          </w:tcPr>
          <w:p w14:paraId="44ECC294" w14:textId="0B636674" w:rsidR="00523EE3" w:rsidRPr="008F50D4" w:rsidRDefault="00523EE3" w:rsidP="00060357">
            <w:pPr>
              <w:pStyle w:val="TableHeadingRightAligned"/>
              <w:jc w:val="left"/>
            </w:pPr>
            <w:r w:rsidRPr="008F50D4">
              <w:t>Expert Panel recommendation</w:t>
            </w:r>
            <w:r w:rsidR="004D6990">
              <w:t xml:space="preserve"> relevant to erf</w:t>
            </w:r>
          </w:p>
        </w:tc>
        <w:tc>
          <w:tcPr>
            <w:tcW w:w="1250" w:type="pct"/>
            <w:shd w:val="clear" w:color="auto" w:fill="0070AE" w:themeFill="accent2" w:themeFillTint="BF"/>
            <w:vAlign w:val="center"/>
          </w:tcPr>
          <w:p w14:paraId="49F18055" w14:textId="77777777" w:rsidR="00523EE3" w:rsidRPr="008F50D4" w:rsidRDefault="00523EE3" w:rsidP="00060357">
            <w:pPr>
              <w:pStyle w:val="TableHeadingRightAligned"/>
              <w:jc w:val="left"/>
            </w:pPr>
            <w:r>
              <w:t xml:space="preserve">Government </w:t>
            </w:r>
            <w:r w:rsidRPr="008F50D4">
              <w:t>response</w:t>
            </w:r>
          </w:p>
        </w:tc>
        <w:tc>
          <w:tcPr>
            <w:tcW w:w="1250" w:type="pct"/>
            <w:shd w:val="clear" w:color="auto" w:fill="1EAEFF" w:themeFill="accent2" w:themeFillTint="80"/>
          </w:tcPr>
          <w:p w14:paraId="50D50B2E" w14:textId="712653A8" w:rsidR="00523EE3" w:rsidRPr="008F50D4" w:rsidRDefault="00523EE3" w:rsidP="00060357">
            <w:pPr>
              <w:pStyle w:val="TableHeadingRightAligned"/>
              <w:jc w:val="left"/>
            </w:pPr>
            <w:r w:rsidRPr="008F50D4">
              <w:t>Authority recommendations</w:t>
            </w:r>
          </w:p>
        </w:tc>
        <w:tc>
          <w:tcPr>
            <w:tcW w:w="1250" w:type="pct"/>
            <w:shd w:val="clear" w:color="auto" w:fill="1EAEFF" w:themeFill="accent2" w:themeFillTint="80"/>
          </w:tcPr>
          <w:p w14:paraId="181AB66F" w14:textId="77777777" w:rsidR="00523EE3" w:rsidRPr="008F50D4" w:rsidRDefault="00523EE3" w:rsidP="00060357">
            <w:pPr>
              <w:pStyle w:val="TableHeadingRightAligned"/>
              <w:jc w:val="left"/>
            </w:pPr>
            <w:r>
              <w:t>Government response to Authority recommendations</w:t>
            </w:r>
          </w:p>
        </w:tc>
      </w:tr>
      <w:tr w:rsidR="00060357" w:rsidRPr="00181388" w14:paraId="16D2323C" w14:textId="77777777" w:rsidTr="00E93CBF">
        <w:tc>
          <w:tcPr>
            <w:tcW w:w="5000" w:type="pct"/>
            <w:gridSpan w:val="4"/>
            <w:shd w:val="clear" w:color="auto" w:fill="0070AE" w:themeFill="accent2" w:themeFillTint="BF"/>
          </w:tcPr>
          <w:p w14:paraId="400B914E" w14:textId="04098493" w:rsidR="00060357" w:rsidRPr="00060357" w:rsidRDefault="00060357" w:rsidP="00060357">
            <w:pPr>
              <w:pStyle w:val="Tablebody"/>
              <w:rPr>
                <w:b/>
              </w:rPr>
            </w:pPr>
            <w:r w:rsidRPr="00E93CBF">
              <w:rPr>
                <w:b/>
                <w:color w:val="FFFFFF" w:themeColor="background1"/>
              </w:rPr>
              <w:t>ERF Crediting</w:t>
            </w:r>
            <w:r w:rsidR="00D32E79" w:rsidRPr="00E93CBF">
              <w:rPr>
                <w:b/>
                <w:color w:val="FFFFFF" w:themeColor="background1"/>
              </w:rPr>
              <w:t xml:space="preserve"> (5 recommendations)</w:t>
            </w:r>
          </w:p>
        </w:tc>
      </w:tr>
      <w:tr w:rsidR="00523EE3" w:rsidRPr="00181388" w14:paraId="4BBE8FBA" w14:textId="77777777" w:rsidTr="0032092A">
        <w:tc>
          <w:tcPr>
            <w:tcW w:w="1250" w:type="pct"/>
          </w:tcPr>
          <w:p w14:paraId="1556AB4F" w14:textId="796318ED" w:rsidR="00523EE3" w:rsidRPr="008F50D4" w:rsidRDefault="00523EE3" w:rsidP="004508B7">
            <w:pPr>
              <w:pStyle w:val="Tablebody"/>
            </w:pPr>
            <w:r w:rsidRPr="008F50D4">
              <w:t>Allow certain ERF methods to award ACCUs on a compressed timeframe.</w:t>
            </w:r>
            <w:r>
              <w:t xml:space="preserve"> </w:t>
            </w:r>
            <w:r w:rsidR="00347B38">
              <w:t>Criteria would apply.</w:t>
            </w:r>
          </w:p>
        </w:tc>
        <w:tc>
          <w:tcPr>
            <w:tcW w:w="1250" w:type="pct"/>
          </w:tcPr>
          <w:p w14:paraId="4F61F297" w14:textId="3C12D6CB" w:rsidR="00523EE3" w:rsidRPr="008F50D4" w:rsidRDefault="00523EE3" w:rsidP="004508B7">
            <w:pPr>
              <w:pStyle w:val="Tablebody"/>
            </w:pPr>
            <w:r w:rsidRPr="7943B309">
              <w:rPr>
                <w:b/>
              </w:rPr>
              <w:t>Agreed-in-principle</w:t>
            </w:r>
          </w:p>
        </w:tc>
        <w:tc>
          <w:tcPr>
            <w:tcW w:w="1250" w:type="pct"/>
          </w:tcPr>
          <w:p w14:paraId="093712CE" w14:textId="015ADF55" w:rsidR="00FD69F6" w:rsidRPr="00FD69F6" w:rsidRDefault="00FD69F6" w:rsidP="00FD69F6">
            <w:pPr>
              <w:pStyle w:val="Tablebody"/>
            </w:pPr>
            <w:r w:rsidRPr="00FD69F6">
              <w:rPr>
                <w:b/>
              </w:rPr>
              <w:t>This review R.1</w:t>
            </w:r>
            <w:r w:rsidR="00556C91">
              <w:rPr>
                <w:b/>
              </w:rPr>
              <w:t>1</w:t>
            </w:r>
            <w:r>
              <w:t xml:space="preserve"> </w:t>
            </w:r>
            <w:r w:rsidRPr="00FD69F6">
              <w:t>The Government explore new ways</w:t>
            </w:r>
            <w:r w:rsidRPr="00FD69F6" w:rsidDel="00360997">
              <w:t xml:space="preserve"> </w:t>
            </w:r>
            <w:r w:rsidRPr="00FD69F6">
              <w:t xml:space="preserve">to </w:t>
            </w:r>
            <w:r w:rsidRPr="00FD69F6" w:rsidDel="00E965A2">
              <w:t xml:space="preserve">support </w:t>
            </w:r>
            <w:r w:rsidRPr="00FD69F6">
              <w:t xml:space="preserve">potential ERF projects with high upfront costs on a method by method basis, for example concessional loans (see also Recommendation 4), as an alternative to compressed crediting. </w:t>
            </w:r>
          </w:p>
          <w:p w14:paraId="2C187D59" w14:textId="4D69E0F2" w:rsidR="00523EE3" w:rsidRPr="008F50D4" w:rsidRDefault="00523EE3" w:rsidP="004508B7">
            <w:pPr>
              <w:pStyle w:val="Tablebody"/>
              <w:rPr>
                <w:b/>
              </w:rPr>
            </w:pPr>
          </w:p>
        </w:tc>
        <w:tc>
          <w:tcPr>
            <w:tcW w:w="1250" w:type="pct"/>
          </w:tcPr>
          <w:p w14:paraId="428D8F48" w14:textId="77777777" w:rsidR="00523EE3" w:rsidRPr="00D319F4" w:rsidRDefault="00523EE3" w:rsidP="004508B7">
            <w:pPr>
              <w:pStyle w:val="Tablebody"/>
              <w:rPr>
                <w:b/>
              </w:rPr>
            </w:pPr>
            <w:r w:rsidRPr="7943B309">
              <w:rPr>
                <w:b/>
              </w:rPr>
              <w:t>N/A</w:t>
            </w:r>
          </w:p>
        </w:tc>
      </w:tr>
      <w:tr w:rsidR="00483D15" w:rsidRPr="00181388" w14:paraId="2D65C4F4" w14:textId="77777777" w:rsidTr="0032092A">
        <w:tc>
          <w:tcPr>
            <w:tcW w:w="1250" w:type="pct"/>
          </w:tcPr>
          <w:p w14:paraId="2324F850" w14:textId="530038F2" w:rsidR="00483D15" w:rsidRDefault="00483D15" w:rsidP="00483D15">
            <w:pPr>
              <w:pStyle w:val="Tablebody"/>
            </w:pPr>
            <w:r w:rsidRPr="008F50D4">
              <w:t>Create a fixed priced purchasing desk for small projects under the ERF.</w:t>
            </w:r>
            <w:r>
              <w:t xml:space="preserve"> </w:t>
            </w:r>
          </w:p>
        </w:tc>
        <w:tc>
          <w:tcPr>
            <w:tcW w:w="1250" w:type="pct"/>
          </w:tcPr>
          <w:p w14:paraId="5C56DFB1" w14:textId="2D0E014C" w:rsidR="00483D15" w:rsidRPr="008F50D4" w:rsidRDefault="00483D15" w:rsidP="00483D15">
            <w:pPr>
              <w:pStyle w:val="Tablebody"/>
              <w:rPr>
                <w:b/>
              </w:rPr>
            </w:pPr>
            <w:r w:rsidRPr="7943B309">
              <w:rPr>
                <w:b/>
              </w:rPr>
              <w:t>Agreed</w:t>
            </w:r>
          </w:p>
        </w:tc>
        <w:tc>
          <w:tcPr>
            <w:tcW w:w="1250" w:type="pct"/>
          </w:tcPr>
          <w:p w14:paraId="6C0B5DD0" w14:textId="77777777" w:rsidR="00483D15" w:rsidRDefault="00483D15" w:rsidP="00483D15">
            <w:pPr>
              <w:pStyle w:val="Tablebody"/>
              <w:rPr>
                <w:b/>
              </w:rPr>
            </w:pPr>
            <w:r w:rsidRPr="7943B309">
              <w:rPr>
                <w:b/>
              </w:rPr>
              <w:t>The Authority has recommended addressing a similar issue.</w:t>
            </w:r>
          </w:p>
          <w:p w14:paraId="0BD05FD9" w14:textId="4B532689" w:rsidR="00483D15" w:rsidRPr="008F50D4" w:rsidRDefault="00483D15" w:rsidP="00483D15">
            <w:pPr>
              <w:pStyle w:val="Tablebody"/>
              <w:rPr>
                <w:b/>
              </w:rPr>
            </w:pPr>
            <w:r w:rsidRPr="7943B309">
              <w:rPr>
                <w:b/>
                <w:i/>
              </w:rPr>
              <w:t>Prospering in a low-emissions world</w:t>
            </w:r>
            <w:r w:rsidRPr="7943B309">
              <w:rPr>
                <w:b/>
              </w:rPr>
              <w:t xml:space="preserve"> R.15: </w:t>
            </w:r>
            <w:r w:rsidRPr="008F50D4">
              <w:t>investigate how best to encourage smaller businesses to reduce emissions, including through assistance to participate in the Emissions Reduction Fund (ERF).</w:t>
            </w:r>
            <w:r w:rsidRPr="7943B309">
              <w:rPr>
                <w:b/>
              </w:rPr>
              <w:t xml:space="preserve"> </w:t>
            </w:r>
          </w:p>
        </w:tc>
        <w:tc>
          <w:tcPr>
            <w:tcW w:w="1250" w:type="pct"/>
          </w:tcPr>
          <w:p w14:paraId="53F9B370" w14:textId="08A51DBD" w:rsidR="00483D15" w:rsidRDefault="00483D15" w:rsidP="00483D15">
            <w:pPr>
              <w:pStyle w:val="Tablebody"/>
              <w:rPr>
                <w:b/>
              </w:rPr>
            </w:pPr>
            <w:r w:rsidRPr="7943B309">
              <w:rPr>
                <w:b/>
              </w:rPr>
              <w:t>N/A</w:t>
            </w:r>
          </w:p>
        </w:tc>
      </w:tr>
      <w:tr w:rsidR="00483D15" w:rsidRPr="00181388" w14:paraId="29E16B24" w14:textId="77777777" w:rsidTr="0032092A">
        <w:tc>
          <w:tcPr>
            <w:tcW w:w="1250" w:type="pct"/>
          </w:tcPr>
          <w:p w14:paraId="13C7623B" w14:textId="2976B761" w:rsidR="00483D15" w:rsidRDefault="00483D15" w:rsidP="00483D15">
            <w:pPr>
              <w:pStyle w:val="Tablebody"/>
            </w:pPr>
            <w:r w:rsidRPr="008F50D4">
              <w:t>Create tailored small-scale ERF methods for particular types of agriculture projects, including shelterbelts.</w:t>
            </w:r>
            <w:r>
              <w:t xml:space="preserve"> </w:t>
            </w:r>
            <w:r w:rsidRPr="008F50D4">
              <w:t xml:space="preserve">Small-scale methods would have streamlined </w:t>
            </w:r>
            <w:r w:rsidR="00A0484D">
              <w:t>requirements.</w:t>
            </w:r>
          </w:p>
        </w:tc>
        <w:tc>
          <w:tcPr>
            <w:tcW w:w="1250" w:type="pct"/>
          </w:tcPr>
          <w:p w14:paraId="63102488" w14:textId="461D3D8B" w:rsidR="00483D15" w:rsidRPr="008F50D4" w:rsidRDefault="00483D15" w:rsidP="00483D15">
            <w:pPr>
              <w:pStyle w:val="Tablebody"/>
              <w:rPr>
                <w:b/>
              </w:rPr>
            </w:pPr>
            <w:r w:rsidRPr="7943B309">
              <w:rPr>
                <w:b/>
              </w:rPr>
              <w:t>Agreed</w:t>
            </w:r>
          </w:p>
        </w:tc>
        <w:tc>
          <w:tcPr>
            <w:tcW w:w="1250" w:type="pct"/>
          </w:tcPr>
          <w:p w14:paraId="6091C49D" w14:textId="77777777" w:rsidR="00483D15" w:rsidRDefault="00483D15" w:rsidP="00483D15">
            <w:pPr>
              <w:pStyle w:val="Tablebody"/>
              <w:rPr>
                <w:b/>
              </w:rPr>
            </w:pPr>
            <w:r w:rsidRPr="7943B309">
              <w:rPr>
                <w:b/>
              </w:rPr>
              <w:t xml:space="preserve">The Authority has recommended addressing a similar issue. </w:t>
            </w:r>
          </w:p>
          <w:p w14:paraId="6E87162B" w14:textId="4F881603" w:rsidR="00BE7272" w:rsidRDefault="00483D15" w:rsidP="00570347">
            <w:pPr>
              <w:pStyle w:val="Tablebody"/>
            </w:pPr>
            <w:r w:rsidRPr="7943B309">
              <w:rPr>
                <w:b/>
                <w:i/>
              </w:rPr>
              <w:t>Prospering in a low-emissions world</w:t>
            </w:r>
            <w:r w:rsidRPr="7943B309">
              <w:rPr>
                <w:b/>
              </w:rPr>
              <w:t xml:space="preserve"> R.15: </w:t>
            </w:r>
            <w:r w:rsidRPr="008F50D4">
              <w:t>investigate how best to encourage smaller businesses to reduce emissions, including through assistance to participate in the Emissions Reduction Fund (ERF).</w:t>
            </w:r>
          </w:p>
          <w:p w14:paraId="7D5670F6" w14:textId="0C476A78" w:rsidR="00483D15" w:rsidRPr="008F50D4" w:rsidRDefault="00483D15" w:rsidP="00483D15">
            <w:pPr>
              <w:pStyle w:val="Tablebody"/>
              <w:rPr>
                <w:b/>
              </w:rPr>
            </w:pPr>
          </w:p>
        </w:tc>
        <w:tc>
          <w:tcPr>
            <w:tcW w:w="1250" w:type="pct"/>
          </w:tcPr>
          <w:p w14:paraId="78387B5C" w14:textId="5584D2C0" w:rsidR="00483D15" w:rsidRDefault="00483D15" w:rsidP="00483D15">
            <w:pPr>
              <w:pStyle w:val="Tablebody"/>
              <w:rPr>
                <w:b/>
              </w:rPr>
            </w:pPr>
            <w:r w:rsidRPr="7943B309">
              <w:rPr>
                <w:b/>
              </w:rPr>
              <w:t>N/A</w:t>
            </w:r>
          </w:p>
        </w:tc>
      </w:tr>
      <w:tr w:rsidR="00483D15" w:rsidRPr="00181388" w14:paraId="3CD87569" w14:textId="77777777" w:rsidTr="00A0484D">
        <w:tc>
          <w:tcPr>
            <w:tcW w:w="1250" w:type="pct"/>
          </w:tcPr>
          <w:p w14:paraId="01B79CAE" w14:textId="196F179C" w:rsidR="00483D15" w:rsidRDefault="00483D15" w:rsidP="00483D15">
            <w:pPr>
              <w:pStyle w:val="Tablebody"/>
            </w:pPr>
            <w:r w:rsidRPr="008F50D4">
              <w:t>The Clean Energy Regulator should continue its work on optional delivery contracts</w:t>
            </w:r>
            <w:r w:rsidR="00347B38">
              <w:t>.</w:t>
            </w:r>
            <w:r w:rsidRPr="008F50D4">
              <w:t xml:space="preserve"> </w:t>
            </w:r>
          </w:p>
        </w:tc>
        <w:tc>
          <w:tcPr>
            <w:tcW w:w="1250" w:type="pct"/>
          </w:tcPr>
          <w:p w14:paraId="7C027A1A" w14:textId="7C72DE7F" w:rsidR="00483D15" w:rsidRPr="008F50D4" w:rsidRDefault="00483D15" w:rsidP="00483D15">
            <w:pPr>
              <w:pStyle w:val="Tablebody"/>
              <w:rPr>
                <w:b/>
              </w:rPr>
            </w:pPr>
            <w:r w:rsidRPr="7943B309">
              <w:rPr>
                <w:b/>
              </w:rPr>
              <w:t>Agreed</w:t>
            </w:r>
          </w:p>
        </w:tc>
        <w:tc>
          <w:tcPr>
            <w:tcW w:w="1250" w:type="pct"/>
          </w:tcPr>
          <w:p w14:paraId="06132ED0" w14:textId="5DD8C626" w:rsidR="00483D15" w:rsidRPr="008F50D4" w:rsidRDefault="00483D15" w:rsidP="00C133F7">
            <w:pPr>
              <w:pStyle w:val="Tablebody"/>
              <w:rPr>
                <w:b/>
              </w:rPr>
            </w:pPr>
          </w:p>
        </w:tc>
        <w:tc>
          <w:tcPr>
            <w:tcW w:w="1250" w:type="pct"/>
          </w:tcPr>
          <w:p w14:paraId="28F7933E" w14:textId="14508C5F" w:rsidR="00483D15" w:rsidRDefault="00483D15" w:rsidP="00483D15">
            <w:pPr>
              <w:pStyle w:val="Tablebody"/>
              <w:rPr>
                <w:b/>
              </w:rPr>
            </w:pPr>
            <w:r w:rsidRPr="7943B309">
              <w:rPr>
                <w:b/>
              </w:rPr>
              <w:t>N/A</w:t>
            </w:r>
          </w:p>
        </w:tc>
      </w:tr>
      <w:tr w:rsidR="00483D15" w:rsidRPr="00181388" w14:paraId="7F7BBCD4" w14:textId="77777777" w:rsidTr="00A0484D">
        <w:tc>
          <w:tcPr>
            <w:tcW w:w="1250" w:type="pct"/>
          </w:tcPr>
          <w:p w14:paraId="55446491" w14:textId="167F890A" w:rsidR="00483D15" w:rsidRDefault="00483D15" w:rsidP="00483D15">
            <w:pPr>
              <w:pStyle w:val="Tablebody"/>
            </w:pPr>
            <w:r w:rsidRPr="008F50D4">
              <w:t>Facilitate ‘method stacking’, where multiple ERF projects are taken on the same property</w:t>
            </w:r>
            <w:r w:rsidR="00A0484D">
              <w:t>.</w:t>
            </w:r>
          </w:p>
        </w:tc>
        <w:tc>
          <w:tcPr>
            <w:tcW w:w="1250" w:type="pct"/>
          </w:tcPr>
          <w:p w14:paraId="3BD2DF26" w14:textId="7230555D" w:rsidR="00483D15" w:rsidRPr="008F50D4" w:rsidRDefault="00483D15" w:rsidP="00483D15">
            <w:pPr>
              <w:pStyle w:val="Tablebody"/>
              <w:rPr>
                <w:b/>
              </w:rPr>
            </w:pPr>
            <w:r w:rsidRPr="7943B309">
              <w:rPr>
                <w:b/>
              </w:rPr>
              <w:t>Agreed</w:t>
            </w:r>
          </w:p>
        </w:tc>
        <w:tc>
          <w:tcPr>
            <w:tcW w:w="1250" w:type="pct"/>
          </w:tcPr>
          <w:p w14:paraId="37449044" w14:textId="7ACB395B" w:rsidR="00483D15" w:rsidRDefault="00483D15" w:rsidP="00483D15">
            <w:pPr>
              <w:pStyle w:val="Tablebody"/>
              <w:rPr>
                <w:b/>
              </w:rPr>
            </w:pPr>
            <w:r w:rsidRPr="7943B309">
              <w:rPr>
                <w:b/>
              </w:rPr>
              <w:t xml:space="preserve">The Authority identified the issue in </w:t>
            </w:r>
            <w:r w:rsidRPr="00F94E82">
              <w:rPr>
                <w:b/>
                <w:i/>
              </w:rPr>
              <w:t xml:space="preserve">Reaping the Rewards </w:t>
            </w:r>
            <w:r w:rsidRPr="7943B309">
              <w:rPr>
                <w:b/>
              </w:rPr>
              <w:t>(</w:t>
            </w:r>
            <w:r w:rsidR="007649A0">
              <w:rPr>
                <w:b/>
              </w:rPr>
              <w:t xml:space="preserve">CCA </w:t>
            </w:r>
            <w:r w:rsidRPr="7943B309">
              <w:rPr>
                <w:b/>
              </w:rPr>
              <w:t>2018).</w:t>
            </w:r>
          </w:p>
          <w:p w14:paraId="4036C45B" w14:textId="77777777" w:rsidR="00483D15" w:rsidRPr="00101036" w:rsidRDefault="00483D15" w:rsidP="00101036">
            <w:pPr>
              <w:pStyle w:val="Tablebody"/>
            </w:pPr>
            <w:r w:rsidRPr="00101036">
              <w:t>It noted that an online reporting tool could help simplify reporting and reduces transaction costs for aggregated projects.</w:t>
            </w:r>
          </w:p>
          <w:p w14:paraId="750F25B7" w14:textId="77777777" w:rsidR="00BE7272" w:rsidRDefault="00BE7272" w:rsidP="00BE7272">
            <w:pPr>
              <w:pStyle w:val="Tablebody"/>
              <w:rPr>
                <w:rFonts w:ascii="Calibri" w:hAnsi="Calibri" w:cs="Times New Roman"/>
                <w:b/>
                <w:i/>
              </w:rPr>
            </w:pPr>
          </w:p>
          <w:p w14:paraId="26F1B4E3" w14:textId="16367FDF" w:rsidR="00D34038" w:rsidRPr="00101036" w:rsidRDefault="00BE7272" w:rsidP="00D34038">
            <w:pPr>
              <w:rPr>
                <w:rFonts w:asciiTheme="minorHAnsi" w:hAnsiTheme="minorHAnsi"/>
                <w:sz w:val="18"/>
                <w:szCs w:val="18"/>
              </w:rPr>
            </w:pPr>
            <w:r w:rsidRPr="001D10CD">
              <w:rPr>
                <w:rFonts w:ascii="Calibri" w:hAnsi="Calibri" w:cs="Times New Roman"/>
                <w:b/>
              </w:rPr>
              <w:t>This review</w:t>
            </w:r>
            <w:r w:rsidR="00FD69F6" w:rsidRPr="001D10CD">
              <w:rPr>
                <w:rFonts w:ascii="Calibri" w:hAnsi="Calibri" w:cs="Times New Roman"/>
                <w:b/>
              </w:rPr>
              <w:t xml:space="preserve"> R. 1</w:t>
            </w:r>
            <w:r w:rsidR="00556C91">
              <w:rPr>
                <w:rFonts w:ascii="Calibri" w:hAnsi="Calibri" w:cs="Times New Roman"/>
                <w:b/>
              </w:rPr>
              <w:t>5</w:t>
            </w:r>
            <w:r w:rsidR="00FD69F6" w:rsidRPr="001D10CD">
              <w:rPr>
                <w:rFonts w:ascii="Calibri" w:hAnsi="Calibri" w:cs="Times New Roman"/>
                <w:b/>
              </w:rPr>
              <w:t xml:space="preserve"> (part of</w:t>
            </w:r>
            <w:r w:rsidR="00FD69F6" w:rsidRPr="0091099F">
              <w:rPr>
                <w:rFonts w:ascii="Calibri" w:hAnsi="Calibri" w:cs="Times New Roman"/>
                <w:b/>
              </w:rPr>
              <w:t>)</w:t>
            </w:r>
            <w:r w:rsidRPr="0091099F">
              <w:rPr>
                <w:rFonts w:ascii="Calibri" w:hAnsi="Calibri" w:cs="Times New Roman"/>
                <w:b/>
              </w:rPr>
              <w:t>:</w:t>
            </w:r>
            <w:r w:rsidRPr="00BE7272">
              <w:rPr>
                <w:rFonts w:ascii="Calibri" w:hAnsi="Calibri" w:cs="Times New Roman"/>
              </w:rPr>
              <w:t xml:space="preserve"> </w:t>
            </w:r>
            <w:r>
              <w:rPr>
                <w:rFonts w:ascii="Calibri" w:hAnsi="Calibri" w:cs="Times New Roman"/>
              </w:rPr>
              <w:t>N</w:t>
            </w:r>
            <w:r w:rsidRPr="00BE7272">
              <w:rPr>
                <w:rFonts w:ascii="Calibri" w:hAnsi="Calibri" w:cs="Times New Roman"/>
              </w:rPr>
              <w:t xml:space="preserve">otes </w:t>
            </w:r>
            <w:r w:rsidRPr="00101036">
              <w:rPr>
                <w:rFonts w:asciiTheme="minorHAnsi" w:hAnsiTheme="minorHAnsi"/>
                <w:sz w:val="18"/>
                <w:szCs w:val="18"/>
              </w:rPr>
              <w:t xml:space="preserve">method stacking could have a material impact on a method complying with the Offsets Integrity Standards. </w:t>
            </w:r>
            <w:r w:rsidR="00D34038" w:rsidRPr="00101036">
              <w:rPr>
                <w:rFonts w:asciiTheme="minorHAnsi" w:hAnsiTheme="minorHAnsi"/>
                <w:sz w:val="18"/>
                <w:szCs w:val="18"/>
              </w:rPr>
              <w:t xml:space="preserve"> Recommend the ERAC develop a framework for prioritising its periodic method reviews, taking into account the current and likely future uptake of the method, the complexity of the method, the likelihood of breaches of compliance with the Offsets Integrity Standards and any relevant legislative rule changes.</w:t>
            </w:r>
          </w:p>
          <w:p w14:paraId="23C791CB" w14:textId="05CD1029" w:rsidR="00483D15" w:rsidRPr="008F50D4" w:rsidRDefault="00483D15" w:rsidP="00D34038">
            <w:pPr>
              <w:pStyle w:val="Tablebody"/>
              <w:rPr>
                <w:b/>
              </w:rPr>
            </w:pPr>
          </w:p>
        </w:tc>
        <w:tc>
          <w:tcPr>
            <w:tcW w:w="1250" w:type="pct"/>
          </w:tcPr>
          <w:p w14:paraId="3A30DC2F" w14:textId="58FCC365" w:rsidR="00483D15" w:rsidRDefault="00483D15" w:rsidP="00483D15">
            <w:pPr>
              <w:pStyle w:val="Tablebody"/>
              <w:rPr>
                <w:b/>
              </w:rPr>
            </w:pPr>
            <w:r w:rsidRPr="7943B309">
              <w:rPr>
                <w:b/>
              </w:rPr>
              <w:t>N/A</w:t>
            </w:r>
          </w:p>
        </w:tc>
      </w:tr>
    </w:tbl>
    <w:p w14:paraId="51D56A41" w14:textId="77777777" w:rsidR="005A6180" w:rsidRDefault="005A6180">
      <w:r>
        <w:br w:type="page"/>
      </w:r>
    </w:p>
    <w:tbl>
      <w:tblPr>
        <w:tblStyle w:val="TableGrid"/>
        <w:tblW w:w="5029" w:type="pct"/>
        <w:tblLook w:val="04A0" w:firstRow="1" w:lastRow="0" w:firstColumn="1" w:lastColumn="0" w:noHBand="0" w:noVBand="1"/>
        <w:tblCaption w:val="Table of Government's responses to Expert Panel recommendations"/>
      </w:tblPr>
      <w:tblGrid>
        <w:gridCol w:w="3548"/>
        <w:gridCol w:w="3548"/>
        <w:gridCol w:w="3549"/>
        <w:gridCol w:w="3549"/>
      </w:tblGrid>
      <w:tr w:rsidR="00060357" w:rsidRPr="00181388" w14:paraId="62F56A8F" w14:textId="77777777" w:rsidTr="00E93CBF">
        <w:tc>
          <w:tcPr>
            <w:tcW w:w="5000" w:type="pct"/>
            <w:gridSpan w:val="4"/>
            <w:shd w:val="clear" w:color="auto" w:fill="0070AE" w:themeFill="accent2" w:themeFillTint="BF"/>
          </w:tcPr>
          <w:p w14:paraId="134BEDFB" w14:textId="2BDB3873" w:rsidR="00060357" w:rsidRDefault="00060357" w:rsidP="00060357">
            <w:pPr>
              <w:pStyle w:val="Tablebody"/>
              <w:rPr>
                <w:b/>
              </w:rPr>
            </w:pPr>
            <w:r w:rsidRPr="00E93CBF">
              <w:rPr>
                <w:b/>
                <w:color w:val="FFFFFF" w:themeColor="background1"/>
              </w:rPr>
              <w:t>ERF: Method development</w:t>
            </w:r>
            <w:r w:rsidR="00D32E79" w:rsidRPr="00E93CBF">
              <w:rPr>
                <w:b/>
                <w:color w:val="FFFFFF" w:themeColor="background1"/>
              </w:rPr>
              <w:t xml:space="preserve"> (5 recommendations)</w:t>
            </w:r>
          </w:p>
        </w:tc>
      </w:tr>
      <w:tr w:rsidR="00523EE3" w:rsidRPr="00181388" w14:paraId="6E8424DC" w14:textId="77777777" w:rsidTr="00A0484D">
        <w:tc>
          <w:tcPr>
            <w:tcW w:w="1250" w:type="pct"/>
          </w:tcPr>
          <w:p w14:paraId="689CB2DA" w14:textId="0A2F2769" w:rsidR="00523EE3" w:rsidRPr="008F50D4" w:rsidRDefault="00523EE3" w:rsidP="004508B7">
            <w:pPr>
              <w:pStyle w:val="Tablebody"/>
            </w:pPr>
            <w:r w:rsidRPr="008F50D4">
              <w:t>Establish a new process to provide third parties with the opportunity to propose and prepare ERF methods.</w:t>
            </w:r>
          </w:p>
          <w:p w14:paraId="6A1C9316" w14:textId="6218CE7B" w:rsidR="00523EE3" w:rsidRPr="008F50D4" w:rsidRDefault="00347B38" w:rsidP="00060357">
            <w:pPr>
              <w:pStyle w:val="Tablebody"/>
            </w:pPr>
            <w:r>
              <w:t>[Use] a</w:t>
            </w:r>
            <w:r w:rsidR="00483D15" w:rsidRPr="008F50D4">
              <w:t xml:space="preserve"> multi-stage review, development and approval process</w:t>
            </w:r>
            <w:r>
              <w:t>.</w:t>
            </w:r>
            <w:r w:rsidR="00483D15" w:rsidRPr="008F50D4">
              <w:t xml:space="preserve"> </w:t>
            </w:r>
          </w:p>
        </w:tc>
        <w:tc>
          <w:tcPr>
            <w:tcW w:w="1250" w:type="pct"/>
            <w:shd w:val="clear" w:color="auto" w:fill="auto"/>
          </w:tcPr>
          <w:p w14:paraId="40C4DCF2" w14:textId="4F4C4A96" w:rsidR="00523EE3" w:rsidRPr="008F50D4" w:rsidRDefault="00523EE3" w:rsidP="004508B7">
            <w:pPr>
              <w:pStyle w:val="Tablebody"/>
            </w:pPr>
            <w:r w:rsidRPr="7943B309">
              <w:rPr>
                <w:b/>
              </w:rPr>
              <w:t>Agreed</w:t>
            </w:r>
          </w:p>
        </w:tc>
        <w:tc>
          <w:tcPr>
            <w:tcW w:w="1250" w:type="pct"/>
          </w:tcPr>
          <w:p w14:paraId="5B5CF6B8" w14:textId="77777777" w:rsidR="00523EE3" w:rsidRPr="008F50D4" w:rsidRDefault="00523EE3" w:rsidP="004508B7">
            <w:pPr>
              <w:pStyle w:val="Tablebody"/>
              <w:rPr>
                <w:b/>
              </w:rPr>
            </w:pPr>
            <w:r w:rsidRPr="7943B309">
              <w:rPr>
                <w:b/>
              </w:rPr>
              <w:t xml:space="preserve">The Authority has recommended addressing a similar issue. </w:t>
            </w:r>
          </w:p>
          <w:p w14:paraId="48E8BBAA" w14:textId="77777777" w:rsidR="00523EE3" w:rsidRDefault="00523EE3" w:rsidP="004508B7">
            <w:pPr>
              <w:pStyle w:val="Tablebody"/>
            </w:pPr>
            <w:r w:rsidRPr="7943B309">
              <w:rPr>
                <w:b/>
              </w:rPr>
              <w:t xml:space="preserve">2017 ERF review R.1 (part of): </w:t>
            </w:r>
            <w:r w:rsidRPr="008F50D4">
              <w:t xml:space="preserve">the Department establish a formal submission process so stakeholders can propose new Emissions Reduction Fund methods. </w:t>
            </w:r>
          </w:p>
          <w:p w14:paraId="0D43A9BB" w14:textId="77777777" w:rsidR="00BE7272" w:rsidRDefault="00BE7272" w:rsidP="00BE7272">
            <w:pPr>
              <w:spacing w:before="40" w:after="40" w:line="240" w:lineRule="auto"/>
            </w:pPr>
          </w:p>
          <w:p w14:paraId="6436A22E" w14:textId="43D44622" w:rsidR="00523EE3" w:rsidRPr="00BE7272" w:rsidRDefault="00BE7272" w:rsidP="00191EB2">
            <w:pPr>
              <w:spacing w:before="40" w:after="40" w:line="240" w:lineRule="auto"/>
              <w:rPr>
                <w:rFonts w:ascii="Calibri" w:hAnsi="Calibri" w:cs="Times New Roman"/>
                <w:sz w:val="18"/>
                <w:szCs w:val="18"/>
              </w:rPr>
            </w:pPr>
            <w:r w:rsidRPr="001D10CD">
              <w:rPr>
                <w:rFonts w:ascii="Calibri" w:hAnsi="Calibri" w:cs="Times New Roman"/>
                <w:b/>
                <w:sz w:val="18"/>
                <w:szCs w:val="18"/>
              </w:rPr>
              <w:t>This review R.1</w:t>
            </w:r>
            <w:r w:rsidR="00556C91">
              <w:rPr>
                <w:rFonts w:ascii="Calibri" w:hAnsi="Calibri" w:cs="Times New Roman"/>
                <w:b/>
                <w:sz w:val="18"/>
                <w:szCs w:val="18"/>
              </w:rPr>
              <w:t>3</w:t>
            </w:r>
            <w:r w:rsidRPr="001D10CD">
              <w:rPr>
                <w:rFonts w:ascii="Calibri" w:hAnsi="Calibri" w:cs="Times New Roman"/>
                <w:b/>
                <w:sz w:val="18"/>
                <w:szCs w:val="18"/>
              </w:rPr>
              <w:t xml:space="preserve"> (part of</w:t>
            </w:r>
            <w:r w:rsidRPr="00BE7272">
              <w:rPr>
                <w:rFonts w:ascii="Calibri" w:hAnsi="Calibri" w:cs="Times New Roman"/>
                <w:b/>
                <w:i/>
                <w:sz w:val="18"/>
                <w:szCs w:val="18"/>
              </w:rPr>
              <w:t>):</w:t>
            </w:r>
            <w:r w:rsidRPr="00BE7272">
              <w:rPr>
                <w:rFonts w:ascii="Calibri" w:hAnsi="Calibri" w:cs="Times New Roman"/>
                <w:sz w:val="18"/>
                <w:szCs w:val="18"/>
              </w:rPr>
              <w:t xml:space="preserve"> establishing a formal Steering Committee to oversee method processes. This would better harness valuable input from industry and other third-party experts. </w:t>
            </w:r>
          </w:p>
        </w:tc>
        <w:tc>
          <w:tcPr>
            <w:tcW w:w="1250" w:type="pct"/>
          </w:tcPr>
          <w:p w14:paraId="1EF8A0DF" w14:textId="77777777" w:rsidR="00523EE3" w:rsidRPr="00D319F4" w:rsidRDefault="00523EE3" w:rsidP="004508B7">
            <w:pPr>
              <w:pStyle w:val="Tablebody"/>
              <w:rPr>
                <w:b/>
              </w:rPr>
            </w:pPr>
            <w:r w:rsidRPr="7943B309">
              <w:rPr>
                <w:b/>
              </w:rPr>
              <w:t>Accepted-in-principle</w:t>
            </w:r>
          </w:p>
          <w:p w14:paraId="125F5673" w14:textId="77777777" w:rsidR="00523EE3" w:rsidRPr="00D319F4" w:rsidRDefault="00523EE3" w:rsidP="004508B7">
            <w:pPr>
              <w:pStyle w:val="Tablebody"/>
            </w:pPr>
            <w:r w:rsidRPr="00D319F4">
              <w:t>The Department has supplied a channel (on its website) through which stakeholders can suggest a new method for consideration in the method prioritisation process.</w:t>
            </w:r>
          </w:p>
        </w:tc>
      </w:tr>
      <w:tr w:rsidR="00483D15" w:rsidRPr="00181388" w14:paraId="6C1567AF" w14:textId="77777777" w:rsidTr="00A0484D">
        <w:tc>
          <w:tcPr>
            <w:tcW w:w="1250" w:type="pct"/>
          </w:tcPr>
          <w:p w14:paraId="5A29C872" w14:textId="4F3D2409" w:rsidR="00483D15" w:rsidRPr="008F50D4" w:rsidRDefault="00483D15" w:rsidP="00483D15">
            <w:pPr>
              <w:pStyle w:val="Tablebody"/>
            </w:pPr>
            <w:r w:rsidRPr="008F50D4">
              <w:t>Establish a pilot method program to test new method ideas a</w:t>
            </w:r>
            <w:r>
              <w:t>nd expedite method preparation.</w:t>
            </w:r>
            <w:r w:rsidRPr="008F50D4">
              <w:t xml:space="preserve"> </w:t>
            </w:r>
          </w:p>
        </w:tc>
        <w:tc>
          <w:tcPr>
            <w:tcW w:w="1250" w:type="pct"/>
            <w:shd w:val="clear" w:color="auto" w:fill="auto"/>
          </w:tcPr>
          <w:p w14:paraId="0FFB9D1A" w14:textId="7716D043" w:rsidR="00483D15" w:rsidRPr="008F50D4" w:rsidRDefault="00483D15" w:rsidP="00483D15">
            <w:pPr>
              <w:pStyle w:val="Tablebody"/>
              <w:rPr>
                <w:b/>
              </w:rPr>
            </w:pPr>
            <w:r w:rsidRPr="7943B309">
              <w:rPr>
                <w:b/>
              </w:rPr>
              <w:t>Agreed</w:t>
            </w:r>
          </w:p>
        </w:tc>
        <w:tc>
          <w:tcPr>
            <w:tcW w:w="1250" w:type="pct"/>
          </w:tcPr>
          <w:p w14:paraId="2F0467A5" w14:textId="77777777" w:rsidR="00FD69F6" w:rsidRDefault="00483D15" w:rsidP="00FD69F6">
            <w:pPr>
              <w:spacing w:before="40" w:after="40" w:line="240" w:lineRule="auto"/>
              <w:rPr>
                <w:rFonts w:ascii="Calibri" w:hAnsi="Calibri" w:cs="Times New Roman"/>
                <w:b/>
                <w:sz w:val="18"/>
                <w:szCs w:val="18"/>
              </w:rPr>
            </w:pPr>
            <w:r w:rsidRPr="00F424C9">
              <w:rPr>
                <w:rFonts w:ascii="Calibri" w:hAnsi="Calibri" w:cs="Times New Roman"/>
                <w:b/>
                <w:sz w:val="18"/>
                <w:szCs w:val="18"/>
              </w:rPr>
              <w:t xml:space="preserve">The Authority has </w:t>
            </w:r>
            <w:r w:rsidR="00FD69F6">
              <w:rPr>
                <w:rFonts w:ascii="Calibri" w:hAnsi="Calibri" w:cs="Times New Roman"/>
                <w:b/>
                <w:sz w:val="18"/>
                <w:szCs w:val="18"/>
              </w:rPr>
              <w:t>considered</w:t>
            </w:r>
            <w:r>
              <w:rPr>
                <w:rFonts w:ascii="Calibri" w:hAnsi="Calibri" w:cs="Times New Roman"/>
                <w:b/>
                <w:sz w:val="18"/>
                <w:szCs w:val="18"/>
              </w:rPr>
              <w:t xml:space="preserve"> a similar </w:t>
            </w:r>
            <w:r w:rsidR="00FD69F6">
              <w:rPr>
                <w:rFonts w:ascii="Calibri" w:hAnsi="Calibri" w:cs="Times New Roman"/>
                <w:b/>
                <w:sz w:val="18"/>
                <w:szCs w:val="18"/>
              </w:rPr>
              <w:t xml:space="preserve">issue in this review. </w:t>
            </w:r>
          </w:p>
          <w:p w14:paraId="42C6A033" w14:textId="04D8DA54" w:rsidR="00483D15" w:rsidRPr="008F50D4" w:rsidRDefault="00FD69F6" w:rsidP="00483D15">
            <w:pPr>
              <w:pStyle w:val="Tablebody"/>
              <w:rPr>
                <w:b/>
              </w:rPr>
            </w:pPr>
            <w:r w:rsidRPr="00FD69F6">
              <w:rPr>
                <w:rFonts w:ascii="Calibri" w:hAnsi="Calibri" w:cs="Times New Roman"/>
              </w:rPr>
              <w:t>It considers that a formal Steering Committee (</w:t>
            </w:r>
            <w:r w:rsidR="006E0759">
              <w:rPr>
                <w:rFonts w:ascii="Calibri" w:hAnsi="Calibri" w:cs="Times New Roman"/>
              </w:rPr>
              <w:t>R</w:t>
            </w:r>
            <w:r w:rsidR="00483D15" w:rsidRPr="00FD69F6">
              <w:rPr>
                <w:rFonts w:ascii="Calibri" w:hAnsi="Calibri" w:cs="Times New Roman"/>
              </w:rPr>
              <w:t>ecommendation</w:t>
            </w:r>
            <w:r w:rsidRPr="00FD69F6">
              <w:rPr>
                <w:rFonts w:ascii="Calibri" w:hAnsi="Calibri" w:cs="Times New Roman"/>
              </w:rPr>
              <w:t xml:space="preserve"> 1</w:t>
            </w:r>
            <w:r w:rsidR="00E108E3">
              <w:rPr>
                <w:rFonts w:ascii="Calibri" w:hAnsi="Calibri" w:cs="Times New Roman"/>
              </w:rPr>
              <w:t>3</w:t>
            </w:r>
            <w:r w:rsidRPr="00FD69F6">
              <w:rPr>
                <w:rFonts w:ascii="Calibri" w:hAnsi="Calibri" w:cs="Times New Roman"/>
              </w:rPr>
              <w:t>) would be well suited to help inform or advise on a pilot program.  It notes that a pilot approach could be beneficial in order to test the feasibility and workability of methods prior to their adoption</w:t>
            </w:r>
            <w:r w:rsidR="00483D15" w:rsidRPr="00FD69F6">
              <w:rPr>
                <w:rFonts w:ascii="Calibri" w:hAnsi="Calibri" w:cs="Times New Roman"/>
              </w:rPr>
              <w:t>.</w:t>
            </w:r>
            <w:r w:rsidR="00483D15">
              <w:rPr>
                <w:rFonts w:ascii="Calibri" w:hAnsi="Calibri" w:cs="Times New Roman"/>
                <w:b/>
              </w:rPr>
              <w:t xml:space="preserve"> </w:t>
            </w:r>
          </w:p>
        </w:tc>
        <w:tc>
          <w:tcPr>
            <w:tcW w:w="1250" w:type="pct"/>
          </w:tcPr>
          <w:p w14:paraId="58FC8F61" w14:textId="2AE37251" w:rsidR="00483D15" w:rsidRPr="00D319F4" w:rsidRDefault="00483D15" w:rsidP="00483D15">
            <w:pPr>
              <w:pStyle w:val="Tablebody"/>
              <w:rPr>
                <w:b/>
              </w:rPr>
            </w:pPr>
            <w:r w:rsidRPr="7943B309">
              <w:rPr>
                <w:b/>
              </w:rPr>
              <w:t>N/A</w:t>
            </w:r>
          </w:p>
        </w:tc>
      </w:tr>
      <w:tr w:rsidR="00483D15" w:rsidRPr="00181388" w14:paraId="0E0BD0D7" w14:textId="77777777" w:rsidTr="00A0484D">
        <w:tc>
          <w:tcPr>
            <w:tcW w:w="1250" w:type="pct"/>
          </w:tcPr>
          <w:p w14:paraId="22F05018" w14:textId="724692B8" w:rsidR="00483D15" w:rsidRDefault="00483D15" w:rsidP="00483D15">
            <w:pPr>
              <w:pStyle w:val="Tablebody"/>
            </w:pPr>
            <w:r w:rsidRPr="008F50D4">
              <w:t>Amend the ERF legislation to enable a method to be developed for carbon capture and storage and/or carbon capture, utilisation and storage.</w:t>
            </w:r>
            <w:r>
              <w:t xml:space="preserve"> </w:t>
            </w:r>
          </w:p>
        </w:tc>
        <w:tc>
          <w:tcPr>
            <w:tcW w:w="1250" w:type="pct"/>
            <w:shd w:val="clear" w:color="auto" w:fill="auto"/>
          </w:tcPr>
          <w:p w14:paraId="783D76F1" w14:textId="064187FA" w:rsidR="00483D15" w:rsidRPr="008F50D4" w:rsidRDefault="00483D15" w:rsidP="00483D15">
            <w:pPr>
              <w:pStyle w:val="Tablebody"/>
              <w:rPr>
                <w:b/>
              </w:rPr>
            </w:pPr>
            <w:r w:rsidRPr="7943B309">
              <w:rPr>
                <w:b/>
              </w:rPr>
              <w:t>Agreed</w:t>
            </w:r>
          </w:p>
        </w:tc>
        <w:tc>
          <w:tcPr>
            <w:tcW w:w="1250" w:type="pct"/>
          </w:tcPr>
          <w:p w14:paraId="6908EDAA" w14:textId="300C04CA" w:rsidR="00483D15" w:rsidRPr="008F50D4" w:rsidRDefault="00483D15" w:rsidP="00C133F7">
            <w:pPr>
              <w:pStyle w:val="Tablebody"/>
              <w:rPr>
                <w:b/>
              </w:rPr>
            </w:pPr>
          </w:p>
        </w:tc>
        <w:tc>
          <w:tcPr>
            <w:tcW w:w="1250" w:type="pct"/>
          </w:tcPr>
          <w:p w14:paraId="1692852D" w14:textId="36EB0C60" w:rsidR="00483D15" w:rsidRDefault="00483D15" w:rsidP="00483D15">
            <w:pPr>
              <w:pStyle w:val="Tablebody"/>
              <w:rPr>
                <w:b/>
              </w:rPr>
            </w:pPr>
            <w:r w:rsidRPr="7943B309">
              <w:rPr>
                <w:b/>
              </w:rPr>
              <w:t>N/A</w:t>
            </w:r>
          </w:p>
        </w:tc>
      </w:tr>
      <w:tr w:rsidR="00483D15" w:rsidRPr="00181388" w14:paraId="09059B2E" w14:textId="77777777" w:rsidTr="00A0484D">
        <w:tc>
          <w:tcPr>
            <w:tcW w:w="1250" w:type="pct"/>
          </w:tcPr>
          <w:p w14:paraId="2AF99656" w14:textId="02242A50" w:rsidR="00483D15" w:rsidRDefault="00483D15" w:rsidP="00483D15">
            <w:pPr>
              <w:pStyle w:val="Tablebody"/>
            </w:pPr>
            <w:r w:rsidRPr="008F50D4">
              <w:t>Undertake consultation on amending the water requirements that apply to farm forestry and plantation projects under the ERF.</w:t>
            </w:r>
            <w:r>
              <w:t xml:space="preserve"> </w:t>
            </w:r>
          </w:p>
        </w:tc>
        <w:tc>
          <w:tcPr>
            <w:tcW w:w="1250" w:type="pct"/>
            <w:shd w:val="clear" w:color="auto" w:fill="auto"/>
          </w:tcPr>
          <w:p w14:paraId="44092F51" w14:textId="03AF7940" w:rsidR="00483D15" w:rsidRPr="008F50D4" w:rsidRDefault="00483D15" w:rsidP="00483D15">
            <w:pPr>
              <w:pStyle w:val="Tablebody"/>
              <w:rPr>
                <w:b/>
              </w:rPr>
            </w:pPr>
            <w:r w:rsidRPr="7943B309">
              <w:rPr>
                <w:b/>
              </w:rPr>
              <w:t>Agreed</w:t>
            </w:r>
          </w:p>
        </w:tc>
        <w:tc>
          <w:tcPr>
            <w:tcW w:w="1250" w:type="pct"/>
          </w:tcPr>
          <w:p w14:paraId="2F691A9B" w14:textId="79CEC644" w:rsidR="00483D15" w:rsidRPr="008F50D4" w:rsidRDefault="00483D15" w:rsidP="00483D15">
            <w:pPr>
              <w:pStyle w:val="Tablebody"/>
              <w:rPr>
                <w:b/>
              </w:rPr>
            </w:pPr>
            <w:r w:rsidRPr="7943B309">
              <w:rPr>
                <w:b/>
              </w:rPr>
              <w:t xml:space="preserve">The Authority identified the issue in the 2017 ERF review. It stated no change was needed in 2017. </w:t>
            </w:r>
          </w:p>
        </w:tc>
        <w:tc>
          <w:tcPr>
            <w:tcW w:w="1250" w:type="pct"/>
          </w:tcPr>
          <w:p w14:paraId="6E2E8087" w14:textId="3956B524" w:rsidR="00483D15" w:rsidRDefault="00483D15" w:rsidP="00483D15">
            <w:pPr>
              <w:pStyle w:val="Tablebody"/>
              <w:rPr>
                <w:b/>
              </w:rPr>
            </w:pPr>
            <w:r w:rsidRPr="7943B309">
              <w:rPr>
                <w:b/>
              </w:rPr>
              <w:t>N/A</w:t>
            </w:r>
          </w:p>
        </w:tc>
      </w:tr>
      <w:tr w:rsidR="00483D15" w:rsidRPr="00181388" w14:paraId="0F1305AD" w14:textId="77777777" w:rsidTr="00A0484D">
        <w:tc>
          <w:tcPr>
            <w:tcW w:w="1250" w:type="pct"/>
          </w:tcPr>
          <w:p w14:paraId="0F909FA5" w14:textId="2400B684" w:rsidR="00483D15" w:rsidRDefault="00483D15" w:rsidP="00483D15">
            <w:pPr>
              <w:pStyle w:val="Tablebody"/>
            </w:pPr>
            <w:r w:rsidRPr="008F50D4">
              <w:t>Develop and publish a formal policy governing the prioritisation and development of ERF methods.</w:t>
            </w:r>
            <w:r>
              <w:t xml:space="preserve"> </w:t>
            </w:r>
          </w:p>
        </w:tc>
        <w:tc>
          <w:tcPr>
            <w:tcW w:w="1250" w:type="pct"/>
            <w:shd w:val="clear" w:color="auto" w:fill="auto"/>
          </w:tcPr>
          <w:p w14:paraId="3A492A80" w14:textId="13765257" w:rsidR="00483D15" w:rsidRPr="008F50D4" w:rsidRDefault="00483D15" w:rsidP="00483D15">
            <w:pPr>
              <w:pStyle w:val="Tablebody"/>
              <w:rPr>
                <w:b/>
              </w:rPr>
            </w:pPr>
            <w:r w:rsidRPr="7943B309">
              <w:rPr>
                <w:b/>
              </w:rPr>
              <w:t>Agreed</w:t>
            </w:r>
          </w:p>
        </w:tc>
        <w:tc>
          <w:tcPr>
            <w:tcW w:w="1250" w:type="pct"/>
          </w:tcPr>
          <w:p w14:paraId="4F42B2A4" w14:textId="77777777" w:rsidR="00483D15" w:rsidRPr="008F50D4" w:rsidRDefault="00483D15" w:rsidP="00483D15">
            <w:pPr>
              <w:pStyle w:val="Tablebody"/>
              <w:rPr>
                <w:b/>
              </w:rPr>
            </w:pPr>
            <w:r w:rsidRPr="7943B309">
              <w:rPr>
                <w:b/>
              </w:rPr>
              <w:t>The Authority made a very similar recommendation in 2017.</w:t>
            </w:r>
          </w:p>
          <w:p w14:paraId="3B132F1C" w14:textId="0E3C868F" w:rsidR="00483D15" w:rsidRDefault="00483D15" w:rsidP="00483D15">
            <w:pPr>
              <w:pStyle w:val="Tablebody"/>
            </w:pPr>
            <w:r w:rsidRPr="7943B309">
              <w:rPr>
                <w:b/>
              </w:rPr>
              <w:t>2017 ERF review R.1:</w:t>
            </w:r>
            <w:r>
              <w:t xml:space="preserve"> T</w:t>
            </w:r>
            <w:r w:rsidRPr="008F50D4">
              <w:t>he Department establish a formal submission process so stakeholders can propose new Emissions Reduction Fund methods. Following assessment of stakeholder proposals by the Department, the Minister would publish priorities for method development every two years.</w:t>
            </w:r>
          </w:p>
          <w:p w14:paraId="43A8C98D" w14:textId="77777777" w:rsidR="00570347" w:rsidRDefault="00570347" w:rsidP="00483D15">
            <w:pPr>
              <w:pStyle w:val="Tablebody"/>
            </w:pPr>
          </w:p>
          <w:p w14:paraId="145B09C2" w14:textId="1B6020F7" w:rsidR="00C9067D" w:rsidRPr="001D10CD" w:rsidRDefault="00FD69F6" w:rsidP="00C9067D">
            <w:pPr>
              <w:rPr>
                <w:rFonts w:asciiTheme="minorHAnsi" w:eastAsia="Calibri" w:hAnsiTheme="minorHAnsi" w:cstheme="minorHAnsi"/>
                <w:sz w:val="18"/>
                <w:szCs w:val="18"/>
              </w:rPr>
            </w:pPr>
            <w:r w:rsidRPr="001D10CD">
              <w:rPr>
                <w:rFonts w:asciiTheme="minorHAnsi" w:hAnsiTheme="minorHAnsi" w:cstheme="minorHAnsi"/>
                <w:b/>
                <w:sz w:val="18"/>
                <w:szCs w:val="18"/>
              </w:rPr>
              <w:t>This review R.5 (part of)</w:t>
            </w:r>
            <w:r w:rsidR="006E0759">
              <w:rPr>
                <w:rFonts w:asciiTheme="minorHAnsi" w:hAnsiTheme="minorHAnsi" w:cstheme="minorHAnsi"/>
                <w:sz w:val="18"/>
                <w:szCs w:val="18"/>
              </w:rPr>
              <w:t xml:space="preserve">: </w:t>
            </w:r>
            <w:r w:rsidR="00C9067D" w:rsidRPr="001D10CD">
              <w:rPr>
                <w:rFonts w:asciiTheme="minorHAnsi" w:eastAsia="Calibri" w:hAnsiTheme="minorHAnsi" w:cstheme="minorHAnsi"/>
                <w:sz w:val="18"/>
                <w:szCs w:val="18"/>
              </w:rPr>
              <w:t>To facilitate market certainty and encourage industry participation, publish a statement of priority emissions reduction activities for method development, in conjunction with the annual Low Emissions Technology Statement.</w:t>
            </w:r>
          </w:p>
          <w:p w14:paraId="039221F6" w14:textId="77777777" w:rsidR="00C9067D" w:rsidRPr="001D10CD" w:rsidRDefault="00C9067D" w:rsidP="00C9067D">
            <w:pPr>
              <w:rPr>
                <w:rFonts w:asciiTheme="minorHAnsi" w:eastAsia="Calibri" w:hAnsiTheme="minorHAnsi" w:cstheme="minorHAnsi"/>
                <w:sz w:val="18"/>
                <w:szCs w:val="18"/>
              </w:rPr>
            </w:pPr>
          </w:p>
          <w:p w14:paraId="11AB2D9F" w14:textId="5232D1C4" w:rsidR="00FD69F6" w:rsidRPr="001D10CD" w:rsidRDefault="00C9067D" w:rsidP="001D10CD">
            <w:pPr>
              <w:rPr>
                <w:rFonts w:cstheme="minorHAnsi"/>
              </w:rPr>
            </w:pPr>
            <w:r w:rsidRPr="001D10CD">
              <w:rPr>
                <w:rFonts w:asciiTheme="minorHAnsi" w:hAnsiTheme="minorHAnsi" w:cstheme="minorHAnsi"/>
                <w:sz w:val="18"/>
                <w:szCs w:val="18"/>
              </w:rPr>
              <w:t>The publication of the statement of priorities be preceded by a formal consultation process for stakeholders to be able to recommend priority activities to the Minister.</w:t>
            </w:r>
          </w:p>
          <w:p w14:paraId="23F034C3" w14:textId="73E0C9D0" w:rsidR="00483D15" w:rsidRPr="008F50D4" w:rsidRDefault="00483D15" w:rsidP="00483D15">
            <w:pPr>
              <w:pStyle w:val="Tablebody"/>
              <w:rPr>
                <w:b/>
              </w:rPr>
            </w:pPr>
          </w:p>
        </w:tc>
        <w:tc>
          <w:tcPr>
            <w:tcW w:w="1250" w:type="pct"/>
          </w:tcPr>
          <w:p w14:paraId="1FA8EC7E" w14:textId="77777777" w:rsidR="00483D15" w:rsidRPr="00576FC9" w:rsidRDefault="00483D15" w:rsidP="00483D15">
            <w:pPr>
              <w:pStyle w:val="Tablebody"/>
              <w:rPr>
                <w:b/>
              </w:rPr>
            </w:pPr>
            <w:r w:rsidRPr="7943B309">
              <w:rPr>
                <w:b/>
              </w:rPr>
              <w:t>Accepted-in-principle</w:t>
            </w:r>
          </w:p>
          <w:p w14:paraId="4DE95AA2" w14:textId="77777777" w:rsidR="00483D15" w:rsidRPr="00576FC9" w:rsidRDefault="00483D15" w:rsidP="00483D15">
            <w:pPr>
              <w:pStyle w:val="Tablebody"/>
            </w:pPr>
            <w:r w:rsidRPr="00576FC9">
              <w:t xml:space="preserve">The Department published on its website a fact sheet outlining how potential methods are prioritised, and supplied a channel through which stakeholders can suggest a new method for consideration in the method prioritisation process. </w:t>
            </w:r>
          </w:p>
          <w:p w14:paraId="5124E286" w14:textId="5336ABCD" w:rsidR="00483D15" w:rsidRDefault="00483D15" w:rsidP="00483D15">
            <w:pPr>
              <w:pStyle w:val="Tablebody"/>
              <w:rPr>
                <w:b/>
              </w:rPr>
            </w:pPr>
            <w:r w:rsidRPr="00576FC9">
              <w:t>The Department is examining whether a more formal process for obtaining stakeholders’ method proposals would be an improvement on current practice.</w:t>
            </w:r>
          </w:p>
        </w:tc>
      </w:tr>
      <w:tr w:rsidR="00060357" w:rsidRPr="00181388" w14:paraId="1824A672" w14:textId="77777777" w:rsidTr="00E93CBF">
        <w:tc>
          <w:tcPr>
            <w:tcW w:w="5000" w:type="pct"/>
            <w:gridSpan w:val="4"/>
            <w:shd w:val="clear" w:color="auto" w:fill="0070AE" w:themeFill="accent2" w:themeFillTint="BF"/>
          </w:tcPr>
          <w:p w14:paraId="0F99BE42" w14:textId="19871DC8" w:rsidR="00060357" w:rsidRDefault="00060357" w:rsidP="00060357">
            <w:pPr>
              <w:pStyle w:val="Tablebody"/>
              <w:rPr>
                <w:b/>
              </w:rPr>
            </w:pPr>
            <w:r w:rsidRPr="00E93CBF">
              <w:rPr>
                <w:b/>
                <w:color w:val="FFFFFF" w:themeColor="background1"/>
              </w:rPr>
              <w:t>ERF: Governance</w:t>
            </w:r>
            <w:r w:rsidR="00D32E79" w:rsidRPr="00E93CBF">
              <w:rPr>
                <w:b/>
                <w:color w:val="FFFFFF" w:themeColor="background1"/>
              </w:rPr>
              <w:t xml:space="preserve"> (4 recommendations)</w:t>
            </w:r>
          </w:p>
        </w:tc>
      </w:tr>
      <w:tr w:rsidR="00523EE3" w:rsidRPr="00181388" w14:paraId="083761C3" w14:textId="77777777" w:rsidTr="00A0484D">
        <w:tc>
          <w:tcPr>
            <w:tcW w:w="1250" w:type="pct"/>
          </w:tcPr>
          <w:p w14:paraId="3F4F0DE5" w14:textId="500DCB6C" w:rsidR="00523EE3" w:rsidRPr="008F50D4" w:rsidRDefault="00523EE3" w:rsidP="004508B7">
            <w:pPr>
              <w:pStyle w:val="Tablebody"/>
            </w:pPr>
            <w:r w:rsidRPr="008F50D4">
              <w:t>Introduce a formal ‘duty of utmost good faith’ on participants in the ERF.</w:t>
            </w:r>
          </w:p>
        </w:tc>
        <w:tc>
          <w:tcPr>
            <w:tcW w:w="1250" w:type="pct"/>
          </w:tcPr>
          <w:p w14:paraId="3EB30A4C" w14:textId="1461BAF9" w:rsidR="00523EE3" w:rsidRPr="008F50D4" w:rsidRDefault="00523EE3" w:rsidP="004508B7">
            <w:pPr>
              <w:pStyle w:val="Tablebody"/>
            </w:pPr>
            <w:r w:rsidRPr="7943B309">
              <w:rPr>
                <w:b/>
              </w:rPr>
              <w:t>Agreed</w:t>
            </w:r>
          </w:p>
        </w:tc>
        <w:tc>
          <w:tcPr>
            <w:tcW w:w="1250" w:type="pct"/>
          </w:tcPr>
          <w:p w14:paraId="433B94A6" w14:textId="282EAB1D" w:rsidR="00FD69F6" w:rsidRPr="00FD69F6" w:rsidRDefault="00FD69F6" w:rsidP="00FD69F6">
            <w:pPr>
              <w:pStyle w:val="Tablebody"/>
            </w:pPr>
          </w:p>
          <w:p w14:paraId="64CE6FC0" w14:textId="6C657AED" w:rsidR="00523EE3" w:rsidRPr="008F50D4" w:rsidRDefault="00523EE3" w:rsidP="004508B7">
            <w:pPr>
              <w:pStyle w:val="Tablebody"/>
              <w:rPr>
                <w:b/>
              </w:rPr>
            </w:pPr>
          </w:p>
        </w:tc>
        <w:tc>
          <w:tcPr>
            <w:tcW w:w="1250" w:type="pct"/>
          </w:tcPr>
          <w:p w14:paraId="5EA20219" w14:textId="77777777" w:rsidR="00523EE3" w:rsidRPr="00D319F4" w:rsidRDefault="00523EE3" w:rsidP="004508B7">
            <w:pPr>
              <w:pStyle w:val="Tablebody"/>
              <w:rPr>
                <w:b/>
              </w:rPr>
            </w:pPr>
            <w:r w:rsidRPr="7943B309">
              <w:rPr>
                <w:b/>
              </w:rPr>
              <w:t>N/A</w:t>
            </w:r>
          </w:p>
        </w:tc>
      </w:tr>
      <w:tr w:rsidR="00523EE3" w:rsidRPr="00181388" w14:paraId="58E8F847" w14:textId="77777777" w:rsidTr="00A0484D">
        <w:tc>
          <w:tcPr>
            <w:tcW w:w="1250" w:type="pct"/>
          </w:tcPr>
          <w:p w14:paraId="4FAE1FCD" w14:textId="77777777" w:rsidR="00523EE3" w:rsidRPr="008F50D4" w:rsidRDefault="00523EE3" w:rsidP="004508B7">
            <w:pPr>
              <w:pStyle w:val="Tablebody"/>
            </w:pPr>
            <w:r w:rsidRPr="008F50D4">
              <w:t>Review the ERF’s governance arrangements to ensure the efficient and effe</w:t>
            </w:r>
            <w:r>
              <w:t xml:space="preserve">ctive operation of the scheme. </w:t>
            </w:r>
            <w:r w:rsidRPr="008F50D4">
              <w:t>The review should include the structure and staffing of the Emissions Reduction Assurance Committee (ERAC), and whether it should be staffed and supported by officers from the Department, the Clean Energy Regulator, or another agency.</w:t>
            </w:r>
          </w:p>
        </w:tc>
        <w:tc>
          <w:tcPr>
            <w:tcW w:w="1250" w:type="pct"/>
          </w:tcPr>
          <w:p w14:paraId="2D94425C" w14:textId="16316096" w:rsidR="00523EE3" w:rsidRPr="008F50D4" w:rsidRDefault="00523EE3" w:rsidP="004508B7">
            <w:pPr>
              <w:pStyle w:val="Tablebody"/>
            </w:pPr>
            <w:r w:rsidRPr="7943B309">
              <w:rPr>
                <w:b/>
              </w:rPr>
              <w:t>Agreed</w:t>
            </w:r>
          </w:p>
        </w:tc>
        <w:tc>
          <w:tcPr>
            <w:tcW w:w="1250" w:type="pct"/>
          </w:tcPr>
          <w:p w14:paraId="43427FE0" w14:textId="75A2AAB6" w:rsidR="00523EE3" w:rsidRPr="00B51016" w:rsidRDefault="00090798" w:rsidP="004508B7">
            <w:pPr>
              <w:pStyle w:val="Tablebody"/>
              <w:rPr>
                <w:b/>
              </w:rPr>
            </w:pPr>
            <w:r w:rsidRPr="7943B309">
              <w:rPr>
                <w:b/>
              </w:rPr>
              <w:t>T</w:t>
            </w:r>
            <w:r w:rsidR="00483D15" w:rsidRPr="7943B309">
              <w:rPr>
                <w:b/>
              </w:rPr>
              <w:t>he</w:t>
            </w:r>
            <w:r w:rsidR="00523EE3" w:rsidRPr="7943B309">
              <w:rPr>
                <w:b/>
              </w:rPr>
              <w:t xml:space="preserve"> Authority made a related recommendation in the 2017 ERF review: </w:t>
            </w:r>
          </w:p>
          <w:p w14:paraId="34730142" w14:textId="77777777" w:rsidR="00523EE3" w:rsidRDefault="00523EE3" w:rsidP="004508B7">
            <w:pPr>
              <w:pStyle w:val="Tablebody"/>
            </w:pPr>
            <w:r w:rsidRPr="7943B309">
              <w:rPr>
                <w:b/>
              </w:rPr>
              <w:t xml:space="preserve">R.3 </w:t>
            </w:r>
            <w:r w:rsidRPr="00B51016">
              <w:t>Senior Executive accountability for the Emissions Reduction Assurance Committee secretariat to be segregated from method development</w:t>
            </w:r>
            <w:r w:rsidRPr="00903158">
              <w:t>.</w:t>
            </w:r>
          </w:p>
          <w:p w14:paraId="36838386" w14:textId="77777777" w:rsidR="00570347" w:rsidRDefault="00570347" w:rsidP="004508B7">
            <w:pPr>
              <w:pStyle w:val="Tablebody"/>
            </w:pPr>
          </w:p>
          <w:p w14:paraId="7E6B9D1B" w14:textId="332BA0A9" w:rsidR="007251F7" w:rsidRPr="001D10CD" w:rsidRDefault="00191EB2" w:rsidP="007251F7">
            <w:pPr>
              <w:textAlignment w:val="baseline"/>
              <w:rPr>
                <w:rFonts w:asciiTheme="minorHAnsi" w:eastAsia="Calibri" w:hAnsiTheme="minorHAnsi" w:cstheme="minorHAnsi"/>
                <w:sz w:val="18"/>
                <w:szCs w:val="18"/>
              </w:rPr>
            </w:pPr>
            <w:r w:rsidRPr="001D10CD">
              <w:rPr>
                <w:rFonts w:asciiTheme="minorHAnsi" w:hAnsiTheme="minorHAnsi" w:cstheme="minorHAnsi"/>
                <w:b/>
                <w:sz w:val="18"/>
                <w:szCs w:val="18"/>
              </w:rPr>
              <w:t>This review R.1</w:t>
            </w:r>
            <w:r w:rsidR="00556C91" w:rsidRPr="001D10CD">
              <w:rPr>
                <w:rFonts w:asciiTheme="minorHAnsi" w:hAnsiTheme="minorHAnsi" w:cstheme="minorHAnsi"/>
                <w:b/>
                <w:sz w:val="18"/>
                <w:szCs w:val="18"/>
              </w:rPr>
              <w:t>2</w:t>
            </w:r>
            <w:r w:rsidR="006E0759">
              <w:rPr>
                <w:b/>
              </w:rPr>
              <w:t xml:space="preserve">: </w:t>
            </w:r>
            <w:r w:rsidR="007251F7" w:rsidRPr="001D10CD">
              <w:rPr>
                <w:rFonts w:asciiTheme="minorHAnsi" w:eastAsia="Calibri" w:hAnsiTheme="minorHAnsi" w:cstheme="minorHAnsi"/>
                <w:sz w:val="18"/>
                <w:szCs w:val="18"/>
              </w:rPr>
              <w:t>To ensure ongoing confidence in the administration of the ERF under consolidated responsibilities, the Regulator build on its existing probity and governance measures by:</w:t>
            </w:r>
          </w:p>
          <w:p w14:paraId="01771FBB" w14:textId="77777777" w:rsidR="007251F7" w:rsidRPr="001D10CD" w:rsidRDefault="007251F7" w:rsidP="00004274">
            <w:pPr>
              <w:pStyle w:val="ListParagraph"/>
              <w:numPr>
                <w:ilvl w:val="0"/>
                <w:numId w:val="40"/>
              </w:numPr>
              <w:textAlignment w:val="baseline"/>
              <w:rPr>
                <w:rFonts w:asciiTheme="minorHAnsi" w:eastAsia="Calibri" w:hAnsiTheme="minorHAnsi" w:cstheme="minorHAnsi"/>
                <w:sz w:val="18"/>
                <w:szCs w:val="18"/>
              </w:rPr>
            </w:pPr>
            <w:r w:rsidRPr="001D10CD">
              <w:rPr>
                <w:rFonts w:asciiTheme="minorHAnsi" w:eastAsia="Calibri" w:hAnsiTheme="minorHAnsi" w:cstheme="minorHAnsi"/>
                <w:sz w:val="18"/>
                <w:szCs w:val="18"/>
              </w:rPr>
              <w:t xml:space="preserve">maintaining </w:t>
            </w:r>
            <w:r w:rsidRPr="001D10CD">
              <w:rPr>
                <w:rFonts w:asciiTheme="minorHAnsi" w:hAnsiTheme="minorHAnsi" w:cstheme="minorHAnsi"/>
                <w:sz w:val="18"/>
                <w:szCs w:val="18"/>
              </w:rPr>
              <w:t>separate decision makers, including at senior executive level, for each of its key functions – method development and variation; compliance and enforcement; and crediting and purchasing of ACCUs</w:t>
            </w:r>
          </w:p>
          <w:p w14:paraId="3C6F2956" w14:textId="40FA2A64" w:rsidR="007251F7" w:rsidRPr="001D10CD" w:rsidRDefault="007251F7" w:rsidP="00004274">
            <w:pPr>
              <w:pStyle w:val="ListParagraph"/>
              <w:numPr>
                <w:ilvl w:val="0"/>
                <w:numId w:val="40"/>
              </w:numPr>
              <w:textAlignment w:val="baseline"/>
              <w:rPr>
                <w:rFonts w:asciiTheme="minorHAnsi" w:eastAsia="Calibri" w:hAnsiTheme="minorHAnsi" w:cstheme="minorHAnsi"/>
                <w:sz w:val="18"/>
                <w:szCs w:val="18"/>
              </w:rPr>
            </w:pPr>
            <w:r w:rsidRPr="001D10CD">
              <w:rPr>
                <w:rFonts w:asciiTheme="minorHAnsi" w:eastAsia="Calibri" w:hAnsiTheme="minorHAnsi" w:cstheme="minorHAnsi"/>
                <w:sz w:val="18"/>
                <w:szCs w:val="18"/>
              </w:rPr>
              <w:t xml:space="preserve">obtaining independent probity advice on the operation and separation of the key functions. </w:t>
            </w:r>
          </w:p>
          <w:p w14:paraId="0F91A8E7" w14:textId="77777777" w:rsidR="007251F7" w:rsidRPr="001D10CD" w:rsidRDefault="007251F7" w:rsidP="007251F7">
            <w:pPr>
              <w:rPr>
                <w:rStyle w:val="normaltextrun1"/>
                <w:rFonts w:asciiTheme="minorHAnsi" w:hAnsiTheme="minorHAnsi" w:cstheme="minorHAnsi"/>
                <w:sz w:val="18"/>
                <w:szCs w:val="18"/>
              </w:rPr>
            </w:pPr>
            <w:r w:rsidRPr="001D10CD">
              <w:rPr>
                <w:rFonts w:asciiTheme="minorHAnsi" w:eastAsia="Calibri" w:hAnsiTheme="minorHAnsi" w:cstheme="minorHAnsi"/>
                <w:sz w:val="18"/>
                <w:szCs w:val="18"/>
              </w:rPr>
              <w:t xml:space="preserve">The </w:t>
            </w:r>
            <w:r w:rsidRPr="001D10CD">
              <w:rPr>
                <w:rFonts w:asciiTheme="minorHAnsi" w:hAnsiTheme="minorHAnsi" w:cstheme="minorHAnsi"/>
                <w:sz w:val="18"/>
                <w:szCs w:val="18"/>
              </w:rPr>
              <w:t xml:space="preserve">Australian National Audit Office undertake a performance audit </w:t>
            </w:r>
            <w:r w:rsidRPr="001D10CD" w:rsidDel="00A2110D">
              <w:rPr>
                <w:rFonts w:asciiTheme="minorHAnsi" w:hAnsiTheme="minorHAnsi" w:cstheme="minorHAnsi"/>
                <w:sz w:val="18"/>
                <w:szCs w:val="18"/>
              </w:rPr>
              <w:t xml:space="preserve">after the first two years of </w:t>
            </w:r>
            <w:r w:rsidRPr="001D10CD">
              <w:rPr>
                <w:rFonts w:asciiTheme="minorHAnsi" w:hAnsiTheme="minorHAnsi" w:cstheme="minorHAnsi"/>
                <w:sz w:val="18"/>
                <w:szCs w:val="18"/>
              </w:rPr>
              <w:t>the consolidation of functions within the Regulator.</w:t>
            </w:r>
            <w:r w:rsidRPr="001D10CD">
              <w:rPr>
                <w:rStyle w:val="normaltextrun1"/>
                <w:rFonts w:asciiTheme="minorHAnsi" w:hAnsiTheme="minorHAnsi" w:cstheme="minorHAnsi"/>
                <w:sz w:val="18"/>
                <w:szCs w:val="18"/>
              </w:rPr>
              <w:t xml:space="preserve"> </w:t>
            </w:r>
          </w:p>
          <w:p w14:paraId="54C3AD37" w14:textId="77777777" w:rsidR="00191EB2" w:rsidRDefault="00191EB2" w:rsidP="00191EB2">
            <w:pPr>
              <w:pStyle w:val="Tablebody"/>
            </w:pPr>
          </w:p>
          <w:p w14:paraId="4F8717D0" w14:textId="2BBF4EBC" w:rsidR="00FD69F6" w:rsidRDefault="00191EB2" w:rsidP="004508B7">
            <w:pPr>
              <w:pStyle w:val="Tablebody"/>
              <w:rPr>
                <w:b/>
              </w:rPr>
            </w:pPr>
            <w:r w:rsidRPr="001D10CD">
              <w:rPr>
                <w:rFonts w:cstheme="minorHAnsi"/>
                <w:b/>
              </w:rPr>
              <w:t>R.1</w:t>
            </w:r>
            <w:r w:rsidR="00556C91" w:rsidRPr="001D10CD">
              <w:rPr>
                <w:rFonts w:cstheme="minorHAnsi"/>
                <w:b/>
              </w:rPr>
              <w:t>4</w:t>
            </w:r>
            <w:r w:rsidRPr="00FD69F6">
              <w:t xml:space="preserve"> </w:t>
            </w:r>
            <w:r w:rsidR="00DF33B2" w:rsidRPr="00DF33B2">
              <w:rPr>
                <w:rFonts w:cstheme="minorHAnsi"/>
                <w:color w:val="000000"/>
              </w:rPr>
              <w:t>To assist the ERAC to perform its functions and duties as set out in the CFI Act</w:t>
            </w:r>
            <w:r w:rsidR="00DF33B2" w:rsidRPr="00DF33B2">
              <w:rPr>
                <w:rFonts w:cstheme="minorHAnsi"/>
                <w:i/>
                <w:color w:val="000000"/>
              </w:rPr>
              <w:t>,</w:t>
            </w:r>
            <w:r w:rsidR="00DF33B2" w:rsidRPr="00DF33B2">
              <w:rPr>
                <w:rFonts w:cstheme="minorHAnsi"/>
                <w:color w:val="000000"/>
              </w:rPr>
              <w:t xml:space="preserve"> </w:t>
            </w:r>
            <w:r w:rsidR="00DF33B2" w:rsidRPr="00DF33B2">
              <w:rPr>
                <w:rStyle w:val="normaltextrun1"/>
                <w:rFonts w:cstheme="minorHAnsi"/>
              </w:rPr>
              <w:t xml:space="preserve">the Regulator establish a formal agreement with the ERAC </w:t>
            </w:r>
            <w:r w:rsidR="00DF33B2" w:rsidRPr="00DF33B2">
              <w:rPr>
                <w:rFonts w:cstheme="minorHAnsi"/>
                <w:color w:val="000000"/>
              </w:rPr>
              <w:t>on the disclosure of requested information, including a timeline for provision of requested information and the manner in which to treat protected information</w:t>
            </w:r>
            <w:r w:rsidR="00DF33B2" w:rsidRPr="00DF33B2">
              <w:rPr>
                <w:rStyle w:val="normaltextrun1"/>
                <w:rFonts w:cstheme="minorHAnsi"/>
              </w:rPr>
              <w:t>.</w:t>
            </w:r>
          </w:p>
          <w:p w14:paraId="69308D8A" w14:textId="290483F8" w:rsidR="00523EE3" w:rsidRPr="0046653C" w:rsidRDefault="00523EE3" w:rsidP="004508B7">
            <w:pPr>
              <w:pStyle w:val="Tablebody"/>
              <w:rPr>
                <w:b/>
              </w:rPr>
            </w:pPr>
          </w:p>
        </w:tc>
        <w:tc>
          <w:tcPr>
            <w:tcW w:w="1250" w:type="pct"/>
          </w:tcPr>
          <w:p w14:paraId="06B2C6D2" w14:textId="77777777" w:rsidR="00523EE3" w:rsidRPr="00C1389A" w:rsidRDefault="00523EE3" w:rsidP="004508B7">
            <w:pPr>
              <w:pStyle w:val="Tablebody"/>
              <w:rPr>
                <w:b/>
              </w:rPr>
            </w:pPr>
            <w:r w:rsidRPr="7943B309">
              <w:rPr>
                <w:b/>
              </w:rPr>
              <w:t>Accepted</w:t>
            </w:r>
          </w:p>
          <w:p w14:paraId="1382180B" w14:textId="77777777" w:rsidR="00523EE3" w:rsidRPr="00C1389A" w:rsidRDefault="00523EE3" w:rsidP="004508B7">
            <w:pPr>
              <w:pStyle w:val="Tablebody"/>
            </w:pPr>
          </w:p>
          <w:p w14:paraId="00E128DB" w14:textId="77777777" w:rsidR="00523EE3" w:rsidRPr="00AC276F" w:rsidRDefault="00523EE3" w:rsidP="004508B7">
            <w:pPr>
              <w:pStyle w:val="Tablebody"/>
            </w:pPr>
            <w:r w:rsidRPr="00C1389A">
              <w:t>Accountabilities have been separated.</w:t>
            </w:r>
            <w:r w:rsidRPr="00AC276F">
              <w:t xml:space="preserve"> </w:t>
            </w:r>
          </w:p>
        </w:tc>
      </w:tr>
      <w:tr w:rsidR="00523EE3" w:rsidRPr="00181388" w14:paraId="6FA888CE" w14:textId="77777777" w:rsidTr="00090798">
        <w:trPr>
          <w:trHeight w:val="2324"/>
        </w:trPr>
        <w:tc>
          <w:tcPr>
            <w:tcW w:w="1250" w:type="pct"/>
          </w:tcPr>
          <w:p w14:paraId="3F7988E6" w14:textId="3195EBDF" w:rsidR="00523EE3" w:rsidRPr="008F50D4" w:rsidRDefault="00523EE3" w:rsidP="004508B7">
            <w:pPr>
              <w:pStyle w:val="Tablebody"/>
            </w:pPr>
            <w:r w:rsidRPr="008F50D4">
              <w:t>Establish a scheme to subsidise the costs of directly measuring the abatement associated with certain types of project activities, particularly the sequestration of carbon in agricultural soils.</w:t>
            </w:r>
            <w:r>
              <w:t xml:space="preserve"> </w:t>
            </w:r>
          </w:p>
        </w:tc>
        <w:tc>
          <w:tcPr>
            <w:tcW w:w="1250" w:type="pct"/>
          </w:tcPr>
          <w:p w14:paraId="160503B4" w14:textId="4D1ED432" w:rsidR="00523EE3" w:rsidRPr="008F50D4" w:rsidRDefault="00523EE3" w:rsidP="004508B7">
            <w:pPr>
              <w:pStyle w:val="Tablebody"/>
            </w:pPr>
            <w:r w:rsidRPr="7943B309">
              <w:rPr>
                <w:b/>
              </w:rPr>
              <w:t>Agreed-in-principle</w:t>
            </w:r>
          </w:p>
        </w:tc>
        <w:tc>
          <w:tcPr>
            <w:tcW w:w="1250" w:type="pct"/>
          </w:tcPr>
          <w:p w14:paraId="596BC3A4" w14:textId="77777777" w:rsidR="00523EE3" w:rsidRDefault="00523EE3" w:rsidP="004508B7">
            <w:pPr>
              <w:pStyle w:val="Tablebody"/>
              <w:rPr>
                <w:b/>
              </w:rPr>
            </w:pPr>
            <w:r w:rsidRPr="7943B309">
              <w:rPr>
                <w:b/>
              </w:rPr>
              <w:t xml:space="preserve">The Authority has recommended addressing a similar issue. </w:t>
            </w:r>
          </w:p>
          <w:p w14:paraId="7E5FE573" w14:textId="77777777" w:rsidR="00570347" w:rsidRPr="0046653C" w:rsidRDefault="00570347" w:rsidP="004508B7">
            <w:pPr>
              <w:pStyle w:val="Tablebody"/>
              <w:rPr>
                <w:b/>
              </w:rPr>
            </w:pPr>
          </w:p>
          <w:p w14:paraId="14628E55" w14:textId="7C871695" w:rsidR="00523EE3" w:rsidRPr="0046653C" w:rsidRDefault="00523EE3" w:rsidP="004508B7">
            <w:pPr>
              <w:pStyle w:val="Tablebody"/>
              <w:rPr>
                <w:b/>
              </w:rPr>
            </w:pPr>
            <w:r w:rsidRPr="7943B309">
              <w:rPr>
                <w:b/>
                <w:i/>
              </w:rPr>
              <w:t>Prospering in a low-emissions world</w:t>
            </w:r>
            <w:r w:rsidRPr="7943B309">
              <w:rPr>
                <w:b/>
              </w:rPr>
              <w:t xml:space="preserve"> R.21 (part of): </w:t>
            </w:r>
            <w:r w:rsidRPr="0046653C">
              <w:t>allocate additional funds for research on low-emissions agriculture and carbon farming, including… the development of tools to report on the emissions profile of agricultural activities</w:t>
            </w:r>
            <w:r w:rsidRPr="006374E6">
              <w:t>.</w:t>
            </w:r>
            <w:r w:rsidRPr="007A43D6">
              <w:t xml:space="preserve"> </w:t>
            </w:r>
            <w:r w:rsidRPr="00B51016">
              <w:t>For example, research on a remote sensing measurement technique for soil carbon.</w:t>
            </w:r>
            <w:r>
              <w:t xml:space="preserve"> </w:t>
            </w:r>
          </w:p>
        </w:tc>
        <w:tc>
          <w:tcPr>
            <w:tcW w:w="1250" w:type="pct"/>
          </w:tcPr>
          <w:p w14:paraId="23FB02D6" w14:textId="77777777" w:rsidR="00523EE3" w:rsidRPr="00576FC9" w:rsidRDefault="00523EE3" w:rsidP="004508B7">
            <w:pPr>
              <w:pStyle w:val="Tablebody"/>
              <w:rPr>
                <w:b/>
              </w:rPr>
            </w:pPr>
            <w:r w:rsidRPr="7943B309">
              <w:rPr>
                <w:b/>
              </w:rPr>
              <w:t>N/A</w:t>
            </w:r>
          </w:p>
        </w:tc>
      </w:tr>
      <w:tr w:rsidR="00523EE3" w:rsidRPr="00181388" w14:paraId="3E3B0455" w14:textId="77777777" w:rsidTr="00A0484D">
        <w:tc>
          <w:tcPr>
            <w:tcW w:w="1250" w:type="pct"/>
          </w:tcPr>
          <w:p w14:paraId="623C4B8F" w14:textId="6E0D5631" w:rsidR="00523EE3" w:rsidRPr="008F50D4" w:rsidRDefault="00523EE3" w:rsidP="004508B7">
            <w:pPr>
              <w:pStyle w:val="Tablebody"/>
            </w:pPr>
            <w:r w:rsidRPr="008F50D4">
              <w:t xml:space="preserve">The Clean Energy Regulator should continue its efforts to streamline ERF audit requirements at an administrative level and to explore the potential to use </w:t>
            </w:r>
            <w:r w:rsidR="00CB1557">
              <w:t>‘</w:t>
            </w:r>
            <w:r w:rsidRPr="008F50D4">
              <w:t>big data</w:t>
            </w:r>
            <w:r w:rsidR="00CB1557">
              <w:t>’</w:t>
            </w:r>
            <w:r w:rsidRPr="008F50D4">
              <w:t xml:space="preserve"> as an alternative to more traditional audit processes.</w:t>
            </w:r>
            <w:r>
              <w:t xml:space="preserve"> </w:t>
            </w:r>
          </w:p>
        </w:tc>
        <w:tc>
          <w:tcPr>
            <w:tcW w:w="1250" w:type="pct"/>
          </w:tcPr>
          <w:p w14:paraId="134D1157" w14:textId="15497003" w:rsidR="00523EE3" w:rsidRPr="008F50D4" w:rsidRDefault="00523EE3" w:rsidP="004508B7">
            <w:pPr>
              <w:pStyle w:val="Tablebody"/>
            </w:pPr>
            <w:r w:rsidRPr="7943B309">
              <w:rPr>
                <w:b/>
              </w:rPr>
              <w:t>Agreed</w:t>
            </w:r>
          </w:p>
        </w:tc>
        <w:tc>
          <w:tcPr>
            <w:tcW w:w="1250" w:type="pct"/>
          </w:tcPr>
          <w:p w14:paraId="7EBE1327" w14:textId="022831DC" w:rsidR="00523EE3" w:rsidRPr="008F50D4" w:rsidRDefault="00523EE3" w:rsidP="00060357">
            <w:pPr>
              <w:pStyle w:val="Tablebody"/>
              <w:rPr>
                <w:b/>
              </w:rPr>
            </w:pPr>
            <w:r w:rsidRPr="7943B309">
              <w:rPr>
                <w:b/>
              </w:rPr>
              <w:t xml:space="preserve">The Authority identified the issue in the 2017 ERF review. It stated no change was needed in 2017. </w:t>
            </w:r>
          </w:p>
        </w:tc>
        <w:tc>
          <w:tcPr>
            <w:tcW w:w="1250" w:type="pct"/>
          </w:tcPr>
          <w:p w14:paraId="5CF1AB07" w14:textId="77777777" w:rsidR="00523EE3" w:rsidRPr="00576FC9" w:rsidRDefault="00523EE3" w:rsidP="004508B7">
            <w:pPr>
              <w:pStyle w:val="Tablebody"/>
              <w:rPr>
                <w:b/>
              </w:rPr>
            </w:pPr>
            <w:r w:rsidRPr="7943B309">
              <w:rPr>
                <w:b/>
              </w:rPr>
              <w:t>N/A</w:t>
            </w:r>
          </w:p>
        </w:tc>
      </w:tr>
      <w:tr w:rsidR="00C1389A" w:rsidRPr="00181388" w14:paraId="42276ACA" w14:textId="77777777" w:rsidTr="00E93CBF">
        <w:trPr>
          <w:trHeight w:val="340"/>
        </w:trPr>
        <w:tc>
          <w:tcPr>
            <w:tcW w:w="5000" w:type="pct"/>
            <w:gridSpan w:val="4"/>
            <w:shd w:val="clear" w:color="auto" w:fill="0070AE" w:themeFill="accent2" w:themeFillTint="BF"/>
          </w:tcPr>
          <w:p w14:paraId="21E75152" w14:textId="5FDE1DCA" w:rsidR="00C1389A" w:rsidRPr="00C1389A" w:rsidRDefault="00C1389A" w:rsidP="00C1389A">
            <w:pPr>
              <w:pStyle w:val="Tablebody"/>
              <w:rPr>
                <w:rFonts w:ascii="Arial" w:hAnsi="Arial" w:cs="Arial"/>
                <w:b/>
                <w:sz w:val="20"/>
                <w:szCs w:val="20"/>
              </w:rPr>
            </w:pPr>
            <w:r w:rsidRPr="00E93CBF">
              <w:rPr>
                <w:b/>
                <w:color w:val="FFFFFF" w:themeColor="background1"/>
              </w:rPr>
              <w:t xml:space="preserve">Voluntary </w:t>
            </w:r>
            <w:r w:rsidR="00E93CBF" w:rsidRPr="00E93CBF">
              <w:rPr>
                <w:b/>
                <w:color w:val="FFFFFF" w:themeColor="background1"/>
              </w:rPr>
              <w:t>Market</w:t>
            </w:r>
            <w:r w:rsidR="00D32E79" w:rsidRPr="00E93CBF">
              <w:rPr>
                <w:b/>
                <w:color w:val="FFFFFF" w:themeColor="background1"/>
              </w:rPr>
              <w:t xml:space="preserve"> (2 recommendations)</w:t>
            </w:r>
          </w:p>
        </w:tc>
      </w:tr>
      <w:tr w:rsidR="00523EE3" w:rsidRPr="00181388" w14:paraId="28A2489D" w14:textId="77777777" w:rsidTr="00A0484D">
        <w:trPr>
          <w:trHeight w:val="1304"/>
        </w:trPr>
        <w:tc>
          <w:tcPr>
            <w:tcW w:w="1250" w:type="pct"/>
          </w:tcPr>
          <w:p w14:paraId="45315EE7" w14:textId="34FF0C7C" w:rsidR="00523EE3" w:rsidRPr="008F50D4" w:rsidRDefault="00523EE3" w:rsidP="004508B7">
            <w:pPr>
              <w:pStyle w:val="Tablebody"/>
            </w:pPr>
            <w:r w:rsidRPr="008F50D4">
              <w:t>The Clean Energy Regulator should</w:t>
            </w:r>
            <w:r w:rsidR="0032092A">
              <w:t>…[</w:t>
            </w:r>
            <w:r w:rsidR="00483D15" w:rsidRPr="008F50D4">
              <w:t>improv</w:t>
            </w:r>
            <w:r w:rsidR="0032092A">
              <w:t>e]</w:t>
            </w:r>
            <w:r w:rsidRPr="008F50D4">
              <w:t xml:space="preserve"> registry systems to provide information about the provenance of certificates and support private quality branding of co-benefits associated with different abatement units.</w:t>
            </w:r>
          </w:p>
        </w:tc>
        <w:tc>
          <w:tcPr>
            <w:tcW w:w="1250" w:type="pct"/>
          </w:tcPr>
          <w:p w14:paraId="08DC434E" w14:textId="35DA0B93" w:rsidR="00523EE3" w:rsidRPr="008F50D4" w:rsidRDefault="00523EE3" w:rsidP="004508B7">
            <w:pPr>
              <w:pStyle w:val="Tablebody"/>
            </w:pPr>
            <w:r w:rsidRPr="7943B309">
              <w:rPr>
                <w:b/>
              </w:rPr>
              <w:t>Agreed</w:t>
            </w:r>
          </w:p>
        </w:tc>
        <w:tc>
          <w:tcPr>
            <w:tcW w:w="1250" w:type="pct"/>
          </w:tcPr>
          <w:p w14:paraId="38598EEA" w14:textId="10B089CB" w:rsidR="00191EB2" w:rsidRPr="00191EB2" w:rsidRDefault="00191EB2" w:rsidP="00191EB2">
            <w:pPr>
              <w:rPr>
                <w:rFonts w:asciiTheme="minorHAnsi" w:hAnsiTheme="minorHAnsi" w:cstheme="minorHAnsi"/>
                <w:color w:val="000000"/>
                <w:sz w:val="18"/>
                <w:szCs w:val="18"/>
              </w:rPr>
            </w:pPr>
            <w:r w:rsidRPr="001D10CD">
              <w:rPr>
                <w:rFonts w:ascii="Calibri" w:hAnsi="Calibri" w:cs="Times New Roman"/>
                <w:b/>
                <w:sz w:val="18"/>
                <w:szCs w:val="18"/>
              </w:rPr>
              <w:t>This review R.3</w:t>
            </w:r>
            <w:r w:rsidRPr="00191EB2">
              <w:rPr>
                <w:rFonts w:ascii="Calibri" w:hAnsi="Calibri" w:cs="Times New Roman"/>
                <w:b/>
                <w:sz w:val="18"/>
                <w:szCs w:val="18"/>
              </w:rPr>
              <w:t xml:space="preserve"> </w:t>
            </w:r>
            <w:r w:rsidRPr="00191EB2">
              <w:rPr>
                <w:rFonts w:asciiTheme="minorHAnsi" w:hAnsiTheme="minorHAnsi" w:cstheme="minorHAnsi"/>
                <w:sz w:val="18"/>
                <w:szCs w:val="18"/>
              </w:rPr>
              <w:t xml:space="preserve">Consider ways to incentivise voluntary purchasing of Australian Carbon Credit Units, including for use under </w:t>
            </w:r>
            <w:r w:rsidRPr="00191EB2">
              <w:rPr>
                <w:rFonts w:asciiTheme="minorHAnsi" w:hAnsiTheme="minorHAnsi" w:cstheme="minorHAnsi"/>
                <w:color w:val="000000"/>
                <w:sz w:val="18"/>
                <w:szCs w:val="18"/>
              </w:rPr>
              <w:t xml:space="preserve">the Government’s voluntary carbon neutral scheme </w:t>
            </w:r>
            <w:r w:rsidRPr="00191EB2">
              <w:rPr>
                <w:rFonts w:asciiTheme="minorHAnsi" w:hAnsiTheme="minorHAnsi" w:cstheme="minorHAnsi"/>
                <w:i/>
                <w:color w:val="000000"/>
                <w:sz w:val="18"/>
                <w:szCs w:val="18"/>
              </w:rPr>
              <w:t>Climate Active</w:t>
            </w:r>
            <w:r w:rsidRPr="00191EB2">
              <w:rPr>
                <w:rFonts w:asciiTheme="minorHAnsi" w:hAnsiTheme="minorHAnsi" w:cstheme="minorHAnsi"/>
                <w:color w:val="000000"/>
                <w:sz w:val="18"/>
                <w:szCs w:val="18"/>
              </w:rPr>
              <w:t>. For example, in collaboration with industry representatives</w:t>
            </w:r>
            <w:r>
              <w:rPr>
                <w:rFonts w:asciiTheme="minorHAnsi" w:hAnsiTheme="minorHAnsi" w:cstheme="minorHAnsi"/>
                <w:color w:val="000000"/>
                <w:sz w:val="18"/>
                <w:szCs w:val="18"/>
              </w:rPr>
              <w:t>:</w:t>
            </w:r>
          </w:p>
          <w:p w14:paraId="65D6DDBE" w14:textId="1B2DBC09" w:rsidR="00191EB2" w:rsidRPr="00191EB2" w:rsidRDefault="00191EB2" w:rsidP="00004274">
            <w:pPr>
              <w:pStyle w:val="ListParagraph"/>
              <w:numPr>
                <w:ilvl w:val="0"/>
                <w:numId w:val="39"/>
              </w:numPr>
              <w:ind w:left="360"/>
              <w:rPr>
                <w:rFonts w:asciiTheme="minorHAnsi" w:hAnsiTheme="minorHAnsi" w:cstheme="minorHAnsi"/>
                <w:sz w:val="18"/>
                <w:szCs w:val="18"/>
              </w:rPr>
            </w:pPr>
            <w:r w:rsidRPr="00191EB2">
              <w:rPr>
                <w:rFonts w:asciiTheme="minorHAnsi" w:hAnsiTheme="minorHAnsi" w:cstheme="minorHAnsi"/>
                <w:sz w:val="18"/>
                <w:szCs w:val="18"/>
              </w:rPr>
              <w:t>develop a tiered labelling scheme similar to the Australian Made brand that would enable companies seeking to become carbon neutral to promote those offsets that were sourced from a) ACCUs or B) ACCUs with social/biodiversity co-benefits</w:t>
            </w:r>
          </w:p>
          <w:p w14:paraId="242C8C30" w14:textId="7EFB1655" w:rsidR="00570347" w:rsidRPr="00570347" w:rsidRDefault="00191EB2" w:rsidP="00060357">
            <w:pPr>
              <w:pStyle w:val="ListParagraph"/>
              <w:numPr>
                <w:ilvl w:val="0"/>
                <w:numId w:val="39"/>
              </w:numPr>
              <w:ind w:left="360"/>
              <w:rPr>
                <w:rFonts w:asciiTheme="minorHAnsi" w:hAnsiTheme="minorHAnsi" w:cstheme="minorHAnsi"/>
                <w:sz w:val="18"/>
                <w:szCs w:val="18"/>
              </w:rPr>
            </w:pPr>
            <w:r w:rsidRPr="00191EB2">
              <w:rPr>
                <w:rFonts w:asciiTheme="minorHAnsi" w:hAnsiTheme="minorHAnsi" w:cstheme="minorHAnsi"/>
                <w:sz w:val="18"/>
                <w:szCs w:val="18"/>
              </w:rPr>
              <w:t xml:space="preserve">establish annual awards that recognise companies that source for voluntary mitigation action the most carbon offsets in the form of ACCUs. </w:t>
            </w:r>
          </w:p>
        </w:tc>
        <w:tc>
          <w:tcPr>
            <w:tcW w:w="1250" w:type="pct"/>
          </w:tcPr>
          <w:p w14:paraId="5C0AE28E" w14:textId="77777777" w:rsidR="00523EE3" w:rsidRPr="008F50D4" w:rsidRDefault="00523EE3" w:rsidP="004508B7">
            <w:pPr>
              <w:pStyle w:val="Tablebody"/>
              <w:rPr>
                <w:rFonts w:ascii="Arial" w:hAnsi="Arial" w:cs="Arial"/>
                <w:b/>
                <w:sz w:val="20"/>
                <w:szCs w:val="20"/>
              </w:rPr>
            </w:pPr>
            <w:r w:rsidRPr="7943B309">
              <w:rPr>
                <w:rFonts w:ascii="Arial" w:hAnsi="Arial" w:cs="Arial"/>
                <w:b/>
                <w:sz w:val="20"/>
                <w:szCs w:val="20"/>
              </w:rPr>
              <w:t>N/A</w:t>
            </w:r>
          </w:p>
        </w:tc>
      </w:tr>
      <w:tr w:rsidR="00523EE3" w:rsidRPr="00181388" w14:paraId="3E80C1A6" w14:textId="77777777" w:rsidTr="00090798">
        <w:trPr>
          <w:trHeight w:val="1134"/>
        </w:trPr>
        <w:tc>
          <w:tcPr>
            <w:tcW w:w="1250" w:type="pct"/>
          </w:tcPr>
          <w:p w14:paraId="4AD07B36" w14:textId="420B9BD9" w:rsidR="00523EE3" w:rsidRPr="008F50D4" w:rsidRDefault="00523EE3" w:rsidP="004508B7">
            <w:pPr>
              <w:pStyle w:val="Tablebody"/>
            </w:pPr>
            <w:r w:rsidRPr="008F50D4">
              <w:t>The Commonwealth should work with state and territory governments to encourage their use of the national crediting architecture for the purposes of offsetting emissions from particular developments.</w:t>
            </w:r>
            <w:r>
              <w:t xml:space="preserve"> </w:t>
            </w:r>
          </w:p>
        </w:tc>
        <w:tc>
          <w:tcPr>
            <w:tcW w:w="1250" w:type="pct"/>
          </w:tcPr>
          <w:p w14:paraId="5124D15A" w14:textId="607F45CC" w:rsidR="00523EE3" w:rsidRPr="008F50D4" w:rsidRDefault="00523EE3" w:rsidP="004508B7">
            <w:pPr>
              <w:pStyle w:val="Tablebody"/>
            </w:pPr>
            <w:r w:rsidRPr="7943B309">
              <w:rPr>
                <w:b/>
              </w:rPr>
              <w:t>Agreed</w:t>
            </w:r>
          </w:p>
        </w:tc>
        <w:tc>
          <w:tcPr>
            <w:tcW w:w="1250" w:type="pct"/>
          </w:tcPr>
          <w:p w14:paraId="628AB4ED" w14:textId="0C227983" w:rsidR="00523EE3" w:rsidRPr="008F50D4" w:rsidRDefault="00523EE3" w:rsidP="004508B7">
            <w:pPr>
              <w:pStyle w:val="Tablebody"/>
            </w:pPr>
          </w:p>
        </w:tc>
        <w:tc>
          <w:tcPr>
            <w:tcW w:w="1250" w:type="pct"/>
          </w:tcPr>
          <w:p w14:paraId="7E4BD6EA" w14:textId="77777777" w:rsidR="00523EE3" w:rsidRPr="00C133F7" w:rsidRDefault="00523EE3" w:rsidP="004508B7">
            <w:pPr>
              <w:pStyle w:val="Tablebody"/>
              <w:rPr>
                <w:b/>
              </w:rPr>
            </w:pPr>
            <w:r w:rsidRPr="7943B309">
              <w:rPr>
                <w:b/>
              </w:rPr>
              <w:t>N/A</w:t>
            </w:r>
          </w:p>
        </w:tc>
      </w:tr>
      <w:tr w:rsidR="006E7FAC" w:rsidRPr="00181388" w14:paraId="696C91CA" w14:textId="77777777" w:rsidTr="00E93CBF">
        <w:trPr>
          <w:trHeight w:val="340"/>
        </w:trPr>
        <w:tc>
          <w:tcPr>
            <w:tcW w:w="5000" w:type="pct"/>
            <w:gridSpan w:val="4"/>
            <w:shd w:val="clear" w:color="auto" w:fill="0070AE" w:themeFill="accent2" w:themeFillTint="BF"/>
          </w:tcPr>
          <w:p w14:paraId="442F6618" w14:textId="1063C6FB" w:rsidR="006E7FAC" w:rsidRDefault="006E7FAC" w:rsidP="006E7FAC">
            <w:pPr>
              <w:pStyle w:val="Tablebody"/>
              <w:rPr>
                <w:rFonts w:ascii="Arial" w:hAnsi="Arial" w:cs="Arial"/>
                <w:b/>
                <w:sz w:val="20"/>
                <w:szCs w:val="20"/>
              </w:rPr>
            </w:pPr>
            <w:r w:rsidRPr="00E93CBF">
              <w:rPr>
                <w:b/>
                <w:color w:val="FFFFFF" w:themeColor="background1"/>
              </w:rPr>
              <w:t>Enabling markets: knowledge sharing</w:t>
            </w:r>
            <w:r w:rsidR="00D32E79" w:rsidRPr="00E93CBF">
              <w:rPr>
                <w:b/>
                <w:color w:val="FFFFFF" w:themeColor="background1"/>
              </w:rPr>
              <w:t xml:space="preserve"> (1 recommendation)</w:t>
            </w:r>
          </w:p>
        </w:tc>
      </w:tr>
      <w:tr w:rsidR="00523EE3" w:rsidRPr="00181388" w14:paraId="57F8D397" w14:textId="77777777" w:rsidTr="00A0484D">
        <w:trPr>
          <w:trHeight w:val="609"/>
        </w:trPr>
        <w:tc>
          <w:tcPr>
            <w:tcW w:w="1250" w:type="pct"/>
          </w:tcPr>
          <w:p w14:paraId="09AD96E4" w14:textId="32AF1ECC" w:rsidR="00523EE3" w:rsidRPr="008F50D4" w:rsidRDefault="00523EE3" w:rsidP="004508B7">
            <w:pPr>
              <w:pStyle w:val="Tablebody"/>
            </w:pPr>
            <w:r w:rsidRPr="008F50D4">
              <w:t>Establish a knowledge sharing and outreach program to address information barriers impeding the uptake of ERF projects and investment in cost-effective abatement opportunities.</w:t>
            </w:r>
          </w:p>
        </w:tc>
        <w:tc>
          <w:tcPr>
            <w:tcW w:w="1250" w:type="pct"/>
          </w:tcPr>
          <w:p w14:paraId="6CC8C2CC" w14:textId="5A239C62" w:rsidR="00523EE3" w:rsidRPr="008F50D4" w:rsidRDefault="00523EE3" w:rsidP="004508B7">
            <w:pPr>
              <w:pStyle w:val="Tablebody"/>
            </w:pPr>
            <w:r w:rsidRPr="7943B309">
              <w:rPr>
                <w:b/>
              </w:rPr>
              <w:t>Noted</w:t>
            </w:r>
          </w:p>
        </w:tc>
        <w:tc>
          <w:tcPr>
            <w:tcW w:w="1250" w:type="pct"/>
          </w:tcPr>
          <w:p w14:paraId="6CE60BA3" w14:textId="77777777" w:rsidR="00523EE3" w:rsidRPr="008F50D4" w:rsidRDefault="00523EE3" w:rsidP="004508B7">
            <w:pPr>
              <w:pStyle w:val="Tablebody"/>
              <w:rPr>
                <w:b/>
              </w:rPr>
            </w:pPr>
            <w:r w:rsidRPr="7943B309">
              <w:rPr>
                <w:b/>
              </w:rPr>
              <w:t xml:space="preserve">The Authority has recommended addressing a similar issue. </w:t>
            </w:r>
          </w:p>
          <w:p w14:paraId="50594C0C" w14:textId="77777777" w:rsidR="00523EE3" w:rsidRDefault="00523EE3" w:rsidP="004508B7">
            <w:pPr>
              <w:pStyle w:val="Tablebody"/>
            </w:pPr>
            <w:r w:rsidRPr="7943B309">
              <w:rPr>
                <w:b/>
              </w:rPr>
              <w:t xml:space="preserve">2017 ERF review R.16: </w:t>
            </w:r>
            <w:bookmarkStart w:id="4062" w:name="_Ref500236857"/>
            <w:r w:rsidRPr="008F50D4">
              <w:t>some industry bodies and local government associations consider providing advice on Emissions Reduction Fund projects to</w:t>
            </w:r>
            <w:r w:rsidRPr="008F50D4" w:rsidDel="001E3C5C">
              <w:t xml:space="preserve"> </w:t>
            </w:r>
            <w:r w:rsidRPr="008F50D4">
              <w:t>their members</w:t>
            </w:r>
            <w:bookmarkEnd w:id="4062"/>
            <w:r w:rsidRPr="008F50D4">
              <w:t>.</w:t>
            </w:r>
          </w:p>
          <w:p w14:paraId="0CC74E7D" w14:textId="77777777" w:rsidR="00523EE3" w:rsidRPr="008F50D4" w:rsidRDefault="00523EE3" w:rsidP="004508B7">
            <w:pPr>
              <w:pStyle w:val="Tablebody"/>
              <w:rPr>
                <w:b/>
              </w:rPr>
            </w:pPr>
          </w:p>
          <w:p w14:paraId="109B6D13" w14:textId="77777777" w:rsidR="00523EE3" w:rsidRDefault="00523EE3" w:rsidP="004508B7">
            <w:pPr>
              <w:pStyle w:val="Tablebody"/>
            </w:pPr>
            <w:r w:rsidRPr="7943B309">
              <w:rPr>
                <w:b/>
                <w:i/>
              </w:rPr>
              <w:t>Reaping the Rewards</w:t>
            </w:r>
            <w:r w:rsidRPr="7943B309">
              <w:rPr>
                <w:b/>
              </w:rPr>
              <w:t xml:space="preserve"> R.14 (part of): </w:t>
            </w:r>
            <w:r w:rsidRPr="008F50D4">
              <w:t>the Rural Research and Development Corporations and other relevant research bodies build on their existing extension programs to continue to offer guidance to landholders on how to reduce emissions and encourage natural resource management while further improving farm productivity.</w:t>
            </w:r>
          </w:p>
          <w:p w14:paraId="4FD78B9C" w14:textId="2ACA072B" w:rsidR="00191EB2" w:rsidRDefault="00191EB2" w:rsidP="004508B7">
            <w:pPr>
              <w:pStyle w:val="Tablebody"/>
            </w:pPr>
          </w:p>
          <w:p w14:paraId="10B942CB" w14:textId="1B90F62F" w:rsidR="00191EB2" w:rsidRPr="00D7489F" w:rsidRDefault="00191EB2" w:rsidP="00191EB2">
            <w:pPr>
              <w:pStyle w:val="Tablebody"/>
            </w:pPr>
            <w:r w:rsidRPr="00191EB2">
              <w:rPr>
                <w:b/>
              </w:rPr>
              <w:t>This review R.2</w:t>
            </w:r>
            <w:r w:rsidR="00556C91">
              <w:rPr>
                <w:b/>
              </w:rPr>
              <w:t>3</w:t>
            </w:r>
            <w:r w:rsidR="006E0759">
              <w:t>:</w:t>
            </w:r>
            <w:r w:rsidRPr="00B71059">
              <w:t>Provide tailored, region</w:t>
            </w:r>
            <w:r>
              <w:t>-</w:t>
            </w:r>
            <w:r w:rsidRPr="00B71059">
              <w:t xml:space="preserve">specific outreach programs </w:t>
            </w:r>
            <w:r>
              <w:t xml:space="preserve">for the land and agricultural sectors </w:t>
            </w:r>
            <w:r w:rsidRPr="00B71059">
              <w:t>to provide information on best practice implementation of ERF projects including climate resilience</w:t>
            </w:r>
            <w:r w:rsidRPr="00084282">
              <w:t>,</w:t>
            </w:r>
            <w:r w:rsidRPr="00B71059">
              <w:t xml:space="preserve"> in co</w:t>
            </w:r>
            <w:r>
              <w:t xml:space="preserve">llaboration </w:t>
            </w:r>
            <w:r w:rsidRPr="00B71059">
              <w:t>with other Government programs, for example the Future Drought Fund.</w:t>
            </w:r>
            <w:r w:rsidRPr="00191EB2">
              <w:t xml:space="preserve"> </w:t>
            </w:r>
          </w:p>
          <w:p w14:paraId="2E443180" w14:textId="77777777" w:rsidR="00191EB2" w:rsidRPr="00F6262C" w:rsidRDefault="00191EB2" w:rsidP="00191EB2">
            <w:pPr>
              <w:pStyle w:val="Tablebody"/>
            </w:pPr>
          </w:p>
          <w:p w14:paraId="092BC77B" w14:textId="77777777" w:rsidR="00191EB2" w:rsidRPr="00F6262C" w:rsidRDefault="00191EB2" w:rsidP="00191EB2">
            <w:pPr>
              <w:pStyle w:val="Tablebody"/>
            </w:pPr>
            <w:r w:rsidRPr="00B71059">
              <w:t>Publish voluntary best practice guidance for ERF projects to improve climate resilience, noting that these would need to be method and region specific.</w:t>
            </w:r>
          </w:p>
          <w:p w14:paraId="0DAC6C79" w14:textId="751DBBC4" w:rsidR="00191EB2" w:rsidRDefault="00191EB2" w:rsidP="004508B7">
            <w:pPr>
              <w:pStyle w:val="Tablebody"/>
            </w:pPr>
          </w:p>
          <w:p w14:paraId="52B5BFD9" w14:textId="7C104A79" w:rsidR="00523EE3" w:rsidRPr="00DB53B0" w:rsidRDefault="00523EE3" w:rsidP="004508B7">
            <w:pPr>
              <w:pStyle w:val="Tablebody"/>
            </w:pPr>
          </w:p>
        </w:tc>
        <w:tc>
          <w:tcPr>
            <w:tcW w:w="1250" w:type="pct"/>
          </w:tcPr>
          <w:p w14:paraId="218DD7DB" w14:textId="77777777" w:rsidR="00523EE3" w:rsidRPr="00576FC9" w:rsidRDefault="00523EE3" w:rsidP="004508B7">
            <w:pPr>
              <w:pStyle w:val="Tablebody"/>
              <w:rPr>
                <w:b/>
              </w:rPr>
            </w:pPr>
            <w:r w:rsidRPr="7943B309">
              <w:rPr>
                <w:b/>
              </w:rPr>
              <w:t>Noted</w:t>
            </w:r>
          </w:p>
          <w:p w14:paraId="599EA5E1" w14:textId="77777777" w:rsidR="00523EE3" w:rsidRPr="00576FC9" w:rsidRDefault="00523EE3" w:rsidP="004508B7">
            <w:pPr>
              <w:pStyle w:val="Tablebody"/>
            </w:pPr>
            <w:r w:rsidRPr="00576FC9">
              <w:t>The Government noted the extensive engagement with industry bodies and local governments during implementation of the ERF, and ‘welcomed further engagement from industry bodies and local government’.</w:t>
            </w:r>
          </w:p>
          <w:p w14:paraId="364E80DB" w14:textId="77777777" w:rsidR="00523EE3" w:rsidRPr="00576FC9" w:rsidRDefault="00523EE3" w:rsidP="004508B7">
            <w:pPr>
              <w:pStyle w:val="Tablebody"/>
            </w:pPr>
          </w:p>
          <w:p w14:paraId="7CB21C69" w14:textId="77777777" w:rsidR="00523EE3" w:rsidRPr="00576FC9" w:rsidRDefault="00523EE3" w:rsidP="004508B7">
            <w:pPr>
              <w:pStyle w:val="Tablebody"/>
              <w:rPr>
                <w:b/>
              </w:rPr>
            </w:pPr>
            <w:r w:rsidRPr="7943B309">
              <w:rPr>
                <w:b/>
              </w:rPr>
              <w:t>N/A</w:t>
            </w:r>
          </w:p>
        </w:tc>
      </w:tr>
      <w:tr w:rsidR="00C425F4" w:rsidRPr="00181388" w14:paraId="179D955A" w14:textId="77777777" w:rsidTr="00E93CBF">
        <w:trPr>
          <w:trHeight w:val="340"/>
        </w:trPr>
        <w:tc>
          <w:tcPr>
            <w:tcW w:w="5000" w:type="pct"/>
            <w:gridSpan w:val="4"/>
            <w:shd w:val="clear" w:color="auto" w:fill="0070AE" w:themeFill="accent2" w:themeFillTint="BF"/>
          </w:tcPr>
          <w:p w14:paraId="5694701B" w14:textId="5BC924BF" w:rsidR="00C425F4" w:rsidRDefault="00C425F4" w:rsidP="00C425F4">
            <w:pPr>
              <w:pStyle w:val="Tablebody"/>
              <w:rPr>
                <w:rFonts w:ascii="Arial" w:hAnsi="Arial" w:cs="Arial"/>
                <w:b/>
                <w:sz w:val="20"/>
                <w:szCs w:val="20"/>
              </w:rPr>
            </w:pPr>
            <w:r w:rsidRPr="00E93CBF">
              <w:rPr>
                <w:b/>
                <w:color w:val="FFFFFF" w:themeColor="background1"/>
              </w:rPr>
              <w:t>Safeguard Crediting</w:t>
            </w:r>
            <w:r w:rsidR="00D32E79" w:rsidRPr="00E93CBF">
              <w:rPr>
                <w:b/>
                <w:color w:val="FFFFFF" w:themeColor="background1"/>
              </w:rPr>
              <w:t xml:space="preserve"> (1 recommendation)</w:t>
            </w:r>
          </w:p>
        </w:tc>
      </w:tr>
      <w:tr w:rsidR="00523EE3" w:rsidRPr="00181388" w14:paraId="7C886BD0" w14:textId="77777777" w:rsidTr="00A0484D">
        <w:trPr>
          <w:trHeight w:val="850"/>
        </w:trPr>
        <w:tc>
          <w:tcPr>
            <w:tcW w:w="1250" w:type="pct"/>
          </w:tcPr>
          <w:p w14:paraId="7DE0133B" w14:textId="228E9982" w:rsidR="00523EE3" w:rsidRPr="008F50D4" w:rsidRDefault="00523EE3" w:rsidP="00060357">
            <w:pPr>
              <w:pStyle w:val="Tablebody"/>
            </w:pPr>
            <w:r w:rsidRPr="008F50D4">
              <w:t xml:space="preserve">Establish a ‘below-baseline crediting arrangement’ for large facilities using the </w:t>
            </w:r>
            <w:r w:rsidRPr="008F50D4" w:rsidDel="00EF3364">
              <w:t>Safeguard Mechanism</w:t>
            </w:r>
            <w:r w:rsidRPr="008F50D4">
              <w:t xml:space="preserve"> architecture.</w:t>
            </w:r>
            <w:r>
              <w:t xml:space="preserve"> </w:t>
            </w:r>
            <w:r w:rsidRPr="008F50D4">
              <w:t>The arrangement would provide credits to facilities who reduce their emissions below their Safeguard baselines by undertaking ‘transformative’ abatement projects.</w:t>
            </w:r>
          </w:p>
        </w:tc>
        <w:tc>
          <w:tcPr>
            <w:tcW w:w="1250" w:type="pct"/>
          </w:tcPr>
          <w:p w14:paraId="18232191" w14:textId="27D2402B" w:rsidR="00523EE3" w:rsidRPr="008F50D4" w:rsidRDefault="00523EE3" w:rsidP="00060357">
            <w:pPr>
              <w:pStyle w:val="Tablebody"/>
            </w:pPr>
            <w:r w:rsidRPr="7943B309">
              <w:rPr>
                <w:b/>
              </w:rPr>
              <w:t>Agreed</w:t>
            </w:r>
          </w:p>
        </w:tc>
        <w:tc>
          <w:tcPr>
            <w:tcW w:w="1250" w:type="pct"/>
          </w:tcPr>
          <w:p w14:paraId="17F3E526" w14:textId="3AE3D0C3" w:rsidR="00523EE3" w:rsidRDefault="00523EE3" w:rsidP="004508B7">
            <w:pPr>
              <w:pStyle w:val="Tablebody"/>
              <w:rPr>
                <w:b/>
              </w:rPr>
            </w:pPr>
            <w:r w:rsidRPr="7943B309">
              <w:rPr>
                <w:b/>
              </w:rPr>
              <w:t xml:space="preserve">The Authority has made recommendations on the </w:t>
            </w:r>
            <w:r w:rsidR="00EF3364">
              <w:rPr>
                <w:b/>
              </w:rPr>
              <w:t>Safeguard Mechanism</w:t>
            </w:r>
            <w:r w:rsidRPr="7943B309">
              <w:rPr>
                <w:b/>
              </w:rPr>
              <w:t xml:space="preserve"> but with key differences. </w:t>
            </w:r>
          </w:p>
          <w:p w14:paraId="0F13BDBD" w14:textId="77777777" w:rsidR="00570347" w:rsidRDefault="00570347" w:rsidP="004508B7">
            <w:pPr>
              <w:pStyle w:val="Tablebody"/>
              <w:rPr>
                <w:b/>
              </w:rPr>
            </w:pPr>
          </w:p>
          <w:p w14:paraId="02AAA352" w14:textId="1DB1F7A6" w:rsidR="00523EE3" w:rsidRPr="008F50D4" w:rsidRDefault="00523EE3" w:rsidP="004508B7">
            <w:pPr>
              <w:pStyle w:val="Tablebody"/>
            </w:pPr>
            <w:r w:rsidRPr="7943B309">
              <w:rPr>
                <w:b/>
                <w:i/>
              </w:rPr>
              <w:t>Prospering in a low-emissions world</w:t>
            </w:r>
            <w:r w:rsidRPr="7943B309">
              <w:rPr>
                <w:b/>
              </w:rPr>
              <w:t xml:space="preserve"> R.14:</w:t>
            </w:r>
            <w:r w:rsidRPr="008F50D4">
              <w:t xml:space="preserve"> enhance the </w:t>
            </w:r>
            <w:r w:rsidRPr="008F50D4" w:rsidDel="00EF3364">
              <w:t>Safeguard Mechanism</w:t>
            </w:r>
            <w:r w:rsidRPr="008F50D4">
              <w:t xml:space="preserve"> to deliver emission reductions from large emitters in industry, with:</w:t>
            </w:r>
          </w:p>
          <w:p w14:paraId="67484353" w14:textId="77777777" w:rsidR="00523EE3" w:rsidRPr="008F50D4" w:rsidRDefault="00523EE3" w:rsidP="00060357">
            <w:pPr>
              <w:pStyle w:val="Tablebody"/>
            </w:pPr>
            <w:r w:rsidRPr="008F50D4">
              <w:t>declining baselines with clear trajectories and the ability to trade under- and over-achievement once baselines have commenced declining and are binding</w:t>
            </w:r>
          </w:p>
          <w:p w14:paraId="5C024361" w14:textId="77777777" w:rsidR="00523EE3" w:rsidRDefault="00523EE3" w:rsidP="004508B7">
            <w:pPr>
              <w:pStyle w:val="Tablebody"/>
            </w:pPr>
            <w:r w:rsidRPr="008F50D4">
              <w:t xml:space="preserve">targeted, transitional and transparent competitiveness assistance to emissions-intensive, trade-exposed industries captured by the enhanced </w:t>
            </w:r>
            <w:r w:rsidRPr="008F50D4" w:rsidDel="00EF3364">
              <w:t>Safeguard Mechanism</w:t>
            </w:r>
            <w:r w:rsidRPr="008F50D4">
              <w:t xml:space="preserve"> where a demonstrated risk of carbon leakage exists.</w:t>
            </w:r>
          </w:p>
          <w:p w14:paraId="42C4AA17" w14:textId="77777777" w:rsidR="00570347" w:rsidRDefault="00570347" w:rsidP="004508B7">
            <w:pPr>
              <w:pStyle w:val="Tablebody"/>
            </w:pPr>
          </w:p>
          <w:p w14:paraId="031E1588" w14:textId="78236684" w:rsidR="00944212" w:rsidRPr="001D10CD" w:rsidRDefault="00191EB2" w:rsidP="00944212">
            <w:pPr>
              <w:keepNext/>
              <w:rPr>
                <w:rFonts w:asciiTheme="minorHAnsi" w:hAnsiTheme="minorHAnsi" w:cstheme="minorHAnsi"/>
                <w:color w:val="000000"/>
                <w:sz w:val="18"/>
                <w:szCs w:val="18"/>
              </w:rPr>
            </w:pPr>
            <w:r w:rsidRPr="00DF0433">
              <w:rPr>
                <w:rFonts w:asciiTheme="minorHAnsi" w:hAnsiTheme="minorHAnsi" w:cstheme="minorHAnsi"/>
                <w:b/>
                <w:sz w:val="18"/>
                <w:szCs w:val="18"/>
              </w:rPr>
              <w:t>This review R.2</w:t>
            </w:r>
            <w:r w:rsidR="006E0759">
              <w:rPr>
                <w:rFonts w:asciiTheme="minorHAnsi" w:hAnsiTheme="minorHAnsi" w:cstheme="minorHAnsi"/>
                <w:b/>
                <w:sz w:val="18"/>
                <w:szCs w:val="18"/>
              </w:rPr>
              <w:t>:</w:t>
            </w:r>
            <w:r w:rsidRPr="00DF0433">
              <w:rPr>
                <w:rFonts w:asciiTheme="minorHAnsi" w:hAnsiTheme="minorHAnsi" w:cstheme="minorHAnsi"/>
                <w:b/>
                <w:sz w:val="18"/>
                <w:szCs w:val="18"/>
              </w:rPr>
              <w:t xml:space="preserve"> </w:t>
            </w:r>
            <w:r w:rsidR="00944212" w:rsidRPr="001D10CD">
              <w:rPr>
                <w:rFonts w:asciiTheme="minorHAnsi" w:hAnsiTheme="minorHAnsi" w:cstheme="minorHAnsi"/>
                <w:color w:val="000000"/>
                <w:sz w:val="18"/>
                <w:szCs w:val="18"/>
              </w:rPr>
              <w:t xml:space="preserve">To </w:t>
            </w:r>
            <w:r w:rsidR="00944212" w:rsidRPr="001D10CD">
              <w:rPr>
                <w:rFonts w:asciiTheme="minorHAnsi" w:hAnsiTheme="minorHAnsi" w:cstheme="minorHAnsi"/>
                <w:sz w:val="18"/>
                <w:szCs w:val="18"/>
              </w:rPr>
              <w:t>realise abatement opportunities in industrial facilities,</w:t>
            </w:r>
            <w:r w:rsidR="00944212" w:rsidRPr="001D10CD">
              <w:rPr>
                <w:rFonts w:asciiTheme="minorHAnsi" w:hAnsiTheme="minorHAnsi" w:cstheme="minorHAnsi"/>
                <w:color w:val="000000"/>
                <w:sz w:val="18"/>
                <w:szCs w:val="18"/>
              </w:rPr>
              <w:t xml:space="preserve">  leverage co-investment and avoid risks to the ACCU market, the Government’s </w:t>
            </w:r>
            <w:r w:rsidR="00944212" w:rsidRPr="001D10CD">
              <w:rPr>
                <w:rFonts w:asciiTheme="minorHAnsi" w:hAnsiTheme="minorHAnsi" w:cstheme="minorHAnsi"/>
                <w:sz w:val="18"/>
                <w:szCs w:val="18"/>
              </w:rPr>
              <w:t xml:space="preserve">low-emissions technology incentive scheme make Safeguard Mechanism Credit - concessional loans bundled with grants and tax incentives - available to Safeguard-covered facilities undertaking transformative, below-baseline abatement projects. </w:t>
            </w:r>
          </w:p>
          <w:p w14:paraId="342CB702" w14:textId="77777777" w:rsidR="00944212" w:rsidRPr="001D10CD" w:rsidRDefault="00944212" w:rsidP="00944212">
            <w:pPr>
              <w:keepNext/>
              <w:rPr>
                <w:rFonts w:asciiTheme="minorHAnsi" w:hAnsiTheme="minorHAnsi" w:cstheme="minorHAnsi"/>
                <w:color w:val="000000"/>
                <w:sz w:val="18"/>
                <w:szCs w:val="18"/>
              </w:rPr>
            </w:pPr>
          </w:p>
          <w:p w14:paraId="32758ED6" w14:textId="77777777" w:rsidR="00944212" w:rsidRPr="001D10CD" w:rsidRDefault="00944212" w:rsidP="00944212">
            <w:pPr>
              <w:keepNext/>
              <w:rPr>
                <w:rFonts w:asciiTheme="minorHAnsi" w:hAnsiTheme="minorHAnsi" w:cstheme="minorHAnsi"/>
                <w:color w:val="000000"/>
                <w:sz w:val="18"/>
                <w:szCs w:val="18"/>
              </w:rPr>
            </w:pPr>
            <w:r w:rsidRPr="001D10CD">
              <w:rPr>
                <w:rFonts w:asciiTheme="minorHAnsi" w:hAnsiTheme="minorHAnsi" w:cstheme="minorHAnsi"/>
                <w:color w:val="000000"/>
                <w:sz w:val="18"/>
                <w:szCs w:val="18"/>
              </w:rPr>
              <w:t>If designed as a carbon market mechanism, and noting the King Review recommendation that the incentive scheme not be an offsets scheme, risks to the ACCU market be mitigated by:</w:t>
            </w:r>
          </w:p>
          <w:p w14:paraId="62F580AE" w14:textId="77777777" w:rsidR="00944212" w:rsidRPr="001D10CD" w:rsidRDefault="00944212" w:rsidP="00004274">
            <w:pPr>
              <w:pStyle w:val="ListParagraph"/>
              <w:keepNext/>
              <w:numPr>
                <w:ilvl w:val="0"/>
                <w:numId w:val="44"/>
              </w:numPr>
              <w:spacing w:after="160"/>
              <w:rPr>
                <w:rFonts w:asciiTheme="minorHAnsi" w:hAnsiTheme="minorHAnsi" w:cstheme="minorHAnsi"/>
                <w:sz w:val="18"/>
                <w:szCs w:val="18"/>
              </w:rPr>
            </w:pPr>
            <w:r w:rsidRPr="001D10CD">
              <w:rPr>
                <w:rFonts w:asciiTheme="minorHAnsi" w:hAnsiTheme="minorHAnsi" w:cstheme="minorHAnsi"/>
                <w:color w:val="000000"/>
                <w:sz w:val="18"/>
                <w:szCs w:val="18"/>
              </w:rPr>
              <w:t>ensuring below-baseline carbon credits (SMCs) are:</w:t>
            </w:r>
          </w:p>
          <w:p w14:paraId="7F568459" w14:textId="77777777" w:rsidR="00944212" w:rsidRPr="001D10CD" w:rsidRDefault="00944212" w:rsidP="00004274">
            <w:pPr>
              <w:pStyle w:val="ListParagraph"/>
              <w:keepNext/>
              <w:numPr>
                <w:ilvl w:val="0"/>
                <w:numId w:val="45"/>
              </w:numPr>
              <w:spacing w:after="160"/>
              <w:rPr>
                <w:rFonts w:asciiTheme="minorHAnsi" w:hAnsiTheme="minorHAnsi" w:cstheme="minorHAnsi"/>
                <w:sz w:val="18"/>
                <w:szCs w:val="18"/>
              </w:rPr>
            </w:pPr>
            <w:r w:rsidRPr="001D10CD">
              <w:rPr>
                <w:rFonts w:asciiTheme="minorHAnsi" w:hAnsiTheme="minorHAnsi" w:cstheme="minorHAnsi"/>
                <w:color w:val="000000"/>
                <w:sz w:val="18"/>
                <w:szCs w:val="18"/>
              </w:rPr>
              <w:t xml:space="preserve">allocated for emissions reductions that meet a ‘transformative project’ threshold, for example by setting crediting baselines well below compliance baselines </w:t>
            </w:r>
          </w:p>
          <w:p w14:paraId="3520552D" w14:textId="77777777" w:rsidR="00944212" w:rsidRPr="001D10CD" w:rsidRDefault="00944212" w:rsidP="00004274">
            <w:pPr>
              <w:pStyle w:val="ListParagraph"/>
              <w:keepNext/>
              <w:numPr>
                <w:ilvl w:val="0"/>
                <w:numId w:val="45"/>
              </w:numPr>
              <w:spacing w:after="160"/>
              <w:rPr>
                <w:rFonts w:asciiTheme="minorHAnsi" w:hAnsiTheme="minorHAnsi" w:cstheme="minorHAnsi"/>
                <w:sz w:val="18"/>
                <w:szCs w:val="18"/>
              </w:rPr>
            </w:pPr>
            <w:r w:rsidRPr="001D10CD">
              <w:rPr>
                <w:rFonts w:asciiTheme="minorHAnsi" w:hAnsiTheme="minorHAnsi" w:cstheme="minorHAnsi"/>
                <w:color w:val="000000"/>
                <w:sz w:val="18"/>
                <w:szCs w:val="18"/>
              </w:rPr>
              <w:t>saleable only to the Government and to entities under the Safeguard Mechanism for the purpose of complying with Safeguard obligations (and not otherwise fungible with ACCUs)</w:t>
            </w:r>
          </w:p>
          <w:p w14:paraId="34706927" w14:textId="1C230BE6" w:rsidR="00944212" w:rsidRPr="001D10CD" w:rsidRDefault="00944212" w:rsidP="00004274">
            <w:pPr>
              <w:pStyle w:val="ListParagraph"/>
              <w:keepNext/>
              <w:numPr>
                <w:ilvl w:val="0"/>
                <w:numId w:val="46"/>
              </w:numPr>
              <w:spacing w:after="160"/>
              <w:rPr>
                <w:rFonts w:asciiTheme="minorHAnsi" w:hAnsiTheme="minorHAnsi" w:cstheme="minorHAnsi"/>
                <w:sz w:val="18"/>
                <w:szCs w:val="18"/>
              </w:rPr>
            </w:pPr>
            <w:r w:rsidRPr="001D10CD">
              <w:rPr>
                <w:rFonts w:asciiTheme="minorHAnsi" w:hAnsiTheme="minorHAnsi" w:cstheme="minorHAnsi"/>
                <w:color w:val="000000"/>
                <w:sz w:val="18"/>
                <w:szCs w:val="18"/>
              </w:rPr>
              <w:t>allowing banking of SMCs for use in future years only after an assessment of the outcomes of the initial pilot phase</w:t>
            </w:r>
          </w:p>
          <w:p w14:paraId="577ED3C9" w14:textId="77777777" w:rsidR="00944212" w:rsidRPr="001D10CD" w:rsidRDefault="00944212" w:rsidP="00004274">
            <w:pPr>
              <w:pStyle w:val="ListParagraph"/>
              <w:keepNext/>
              <w:numPr>
                <w:ilvl w:val="0"/>
                <w:numId w:val="46"/>
              </w:numPr>
              <w:spacing w:after="160"/>
              <w:rPr>
                <w:rFonts w:asciiTheme="minorHAnsi" w:hAnsiTheme="minorHAnsi" w:cstheme="minorHAnsi"/>
                <w:sz w:val="18"/>
                <w:szCs w:val="18"/>
              </w:rPr>
            </w:pPr>
            <w:r w:rsidRPr="001D10CD">
              <w:rPr>
                <w:rFonts w:asciiTheme="minorHAnsi" w:hAnsiTheme="minorHAnsi" w:cstheme="minorHAnsi"/>
                <w:color w:val="000000"/>
                <w:sz w:val="18"/>
                <w:szCs w:val="18"/>
              </w:rPr>
              <w:t>funding any Government purchase of SMCs separately from amounts already allocated to the CSF for the purchase of ACCUs</w:t>
            </w:r>
          </w:p>
          <w:p w14:paraId="2421054B" w14:textId="378F9EF6" w:rsidR="00523EE3" w:rsidRPr="008F50D4" w:rsidRDefault="00944212" w:rsidP="00944212">
            <w:pPr>
              <w:keepNext/>
              <w:rPr>
                <w:b/>
              </w:rPr>
            </w:pPr>
            <w:r w:rsidRPr="001D10CD">
              <w:rPr>
                <w:rFonts w:asciiTheme="minorHAnsi" w:hAnsiTheme="minorHAnsi" w:cstheme="minorHAnsi"/>
                <w:color w:val="000000"/>
                <w:sz w:val="18"/>
                <w:szCs w:val="18"/>
              </w:rPr>
              <w:t>giving future consideration to implementing declining baselines with clear trajectories, to maintain demand for ACCUs and SMCs (for example, as technology evolves) and enhance co-investment in both schemes.</w:t>
            </w:r>
          </w:p>
        </w:tc>
        <w:tc>
          <w:tcPr>
            <w:tcW w:w="1250" w:type="pct"/>
          </w:tcPr>
          <w:p w14:paraId="21D4D1FC" w14:textId="77777777" w:rsidR="00523EE3" w:rsidRPr="001C2A4E" w:rsidRDefault="00523EE3" w:rsidP="004508B7">
            <w:pPr>
              <w:pStyle w:val="Tablebody"/>
              <w:rPr>
                <w:b/>
              </w:rPr>
            </w:pPr>
            <w:r w:rsidRPr="7943B309">
              <w:rPr>
                <w:b/>
              </w:rPr>
              <w:t>N/A</w:t>
            </w:r>
          </w:p>
        </w:tc>
      </w:tr>
    </w:tbl>
    <w:p w14:paraId="7E4DF230" w14:textId="2AB5D304" w:rsidR="00DC5482" w:rsidRDefault="00090798" w:rsidP="00DE2F2F">
      <w:pPr>
        <w:pStyle w:val="Footnote"/>
      </w:pPr>
      <w:r w:rsidRPr="7943B309">
        <w:rPr>
          <w:b/>
        </w:rPr>
        <w:t>Note:</w:t>
      </w:r>
      <w:r>
        <w:t xml:space="preserve"> </w:t>
      </w:r>
      <w:r w:rsidR="005A6180">
        <w:t>R</w:t>
      </w:r>
      <w:r>
        <w:t>ecommendations from the Expert Panel</w:t>
      </w:r>
      <w:r w:rsidR="00EB1448">
        <w:t xml:space="preserve"> </w:t>
      </w:r>
      <w:r>
        <w:t>review have been abridged for the purposes of presenting them in this table.</w:t>
      </w:r>
      <w:r w:rsidR="005A6180">
        <w:t xml:space="preserve"> </w:t>
      </w:r>
      <w:r w:rsidR="004D6990">
        <w:t xml:space="preserve">This table presents </w:t>
      </w:r>
      <w:r w:rsidR="00EB1448">
        <w:t xml:space="preserve">only </w:t>
      </w:r>
      <w:r w:rsidR="004D6990">
        <w:t xml:space="preserve">the recommendations from the Expert Panel review that are relevant to the ERF and is </w:t>
      </w:r>
      <w:r w:rsidR="005A6180">
        <w:t>not a complete list of recommendations from that review.</w:t>
      </w:r>
    </w:p>
    <w:p w14:paraId="79F5360E" w14:textId="77777777" w:rsidR="000059D7" w:rsidRDefault="000059D7">
      <w:pPr>
        <w:spacing w:line="259" w:lineRule="auto"/>
        <w:sectPr w:rsidR="000059D7" w:rsidSect="0070582C">
          <w:pgSz w:w="16838" w:h="11906" w:orient="landscape"/>
          <w:pgMar w:top="1440" w:right="1276" w:bottom="1440" w:left="1440" w:header="851" w:footer="708" w:gutter="0"/>
          <w:cols w:space="708"/>
          <w:docGrid w:linePitch="360"/>
        </w:sectPr>
      </w:pPr>
    </w:p>
    <w:p w14:paraId="56233444" w14:textId="5EABAD7F" w:rsidR="000059D7" w:rsidRDefault="000059D7" w:rsidP="000059D7">
      <w:pPr>
        <w:pStyle w:val="Heading1"/>
        <w:rPr>
          <w:color w:val="0070AE" w:themeColor="accent2" w:themeTint="BF"/>
        </w:rPr>
      </w:pPr>
      <w:bookmarkStart w:id="4063" w:name="_Toc494905162"/>
      <w:bookmarkStart w:id="4064" w:name="_Toc44514590"/>
      <w:bookmarkStart w:id="4065" w:name="_Toc45030366"/>
      <w:bookmarkStart w:id="4066" w:name="_Toc48996335"/>
      <w:bookmarkStart w:id="4067" w:name="_Toc49350862"/>
      <w:bookmarkStart w:id="4068" w:name="_Toc49352842"/>
      <w:bookmarkStart w:id="4069" w:name="_Toc49354218"/>
      <w:bookmarkStart w:id="4070" w:name="_Toc49355544"/>
      <w:bookmarkStart w:id="4071" w:name="_Toc49429302"/>
      <w:bookmarkStart w:id="4072" w:name="_Toc49434059"/>
      <w:bookmarkStart w:id="4073" w:name="_Toc49441052"/>
      <w:bookmarkStart w:id="4074" w:name="_Toc49441242"/>
      <w:bookmarkStart w:id="4075" w:name="_Toc49442245"/>
      <w:bookmarkStart w:id="4076" w:name="_Toc49508978"/>
      <w:bookmarkStart w:id="4077" w:name="_Toc49519787"/>
      <w:bookmarkStart w:id="4078" w:name="_Toc49521505"/>
      <w:bookmarkStart w:id="4079" w:name="_Toc49524577"/>
      <w:bookmarkStart w:id="4080" w:name="_Toc49524715"/>
      <w:bookmarkStart w:id="4081" w:name="_Toc49527184"/>
      <w:bookmarkStart w:id="4082" w:name="_Toc49528022"/>
      <w:bookmarkStart w:id="4083" w:name="_Toc49692174"/>
      <w:bookmarkStart w:id="4084" w:name="_Toc49710545"/>
      <w:bookmarkStart w:id="4085" w:name="_Toc49710717"/>
      <w:bookmarkStart w:id="4086" w:name="_Toc49713270"/>
      <w:bookmarkStart w:id="4087" w:name="_Toc49713472"/>
      <w:bookmarkStart w:id="4088" w:name="_Toc49776410"/>
      <w:bookmarkStart w:id="4089" w:name="_Toc49784969"/>
      <w:bookmarkStart w:id="4090" w:name="_Toc49786295"/>
      <w:bookmarkStart w:id="4091" w:name="_Toc49787343"/>
      <w:bookmarkStart w:id="4092" w:name="_Toc49787398"/>
      <w:bookmarkStart w:id="4093" w:name="_Toc49850712"/>
      <w:bookmarkStart w:id="4094" w:name="_Toc49852954"/>
      <w:bookmarkStart w:id="4095" w:name="_Toc49854371"/>
      <w:bookmarkStart w:id="4096" w:name="_Toc49856967"/>
      <w:bookmarkStart w:id="4097" w:name="_Toc49858283"/>
      <w:bookmarkStart w:id="4098" w:name="_Toc49858338"/>
      <w:bookmarkStart w:id="4099" w:name="_Toc49863040"/>
      <w:bookmarkStart w:id="4100" w:name="_Toc49867763"/>
      <w:bookmarkStart w:id="4101" w:name="_Toc49870600"/>
      <w:bookmarkStart w:id="4102" w:name="_Toc49871343"/>
      <w:bookmarkStart w:id="4103" w:name="_Toc49872024"/>
      <w:bookmarkStart w:id="4104" w:name="_Toc49872577"/>
      <w:bookmarkStart w:id="4105" w:name="_Toc50027788"/>
      <w:bookmarkStart w:id="4106" w:name="_Toc50029482"/>
      <w:bookmarkStart w:id="4107" w:name="_Toc50043911"/>
      <w:bookmarkStart w:id="4108" w:name="_Toc50057762"/>
      <w:bookmarkStart w:id="4109" w:name="_Toc50553640"/>
      <w:bookmarkStart w:id="4110" w:name="_Toc50555403"/>
      <w:bookmarkStart w:id="4111" w:name="_Toc50559863"/>
      <w:bookmarkStart w:id="4112" w:name="_Toc50559916"/>
      <w:bookmarkStart w:id="4113" w:name="_Toc50563850"/>
      <w:bookmarkStart w:id="4114" w:name="_Toc50711403"/>
      <w:bookmarkStart w:id="4115" w:name="_Toc50720985"/>
      <w:bookmarkStart w:id="4116" w:name="_Toc50730709"/>
      <w:bookmarkStart w:id="4117" w:name="_Toc50734935"/>
      <w:bookmarkStart w:id="4118" w:name="_Toc50735538"/>
      <w:bookmarkStart w:id="4119" w:name="_Toc50905557"/>
      <w:bookmarkStart w:id="4120" w:name="_Toc51587042"/>
      <w:bookmarkStart w:id="4121" w:name="_Toc51594902"/>
      <w:bookmarkStart w:id="4122" w:name="_Toc51599505"/>
      <w:bookmarkStart w:id="4123" w:name="_Toc51613541"/>
      <w:bookmarkStart w:id="4124" w:name="_Toc51669653"/>
      <w:bookmarkStart w:id="4125" w:name="_Toc51669748"/>
      <w:bookmarkStart w:id="4126" w:name="_Toc51672897"/>
      <w:bookmarkStart w:id="4127" w:name="_Toc51673947"/>
      <w:bookmarkStart w:id="4128" w:name="_Toc51680764"/>
      <w:bookmarkStart w:id="4129" w:name="_Toc51683293"/>
      <w:bookmarkStart w:id="4130" w:name="_Toc51686029"/>
      <w:bookmarkStart w:id="4131" w:name="_Toc51686887"/>
      <w:bookmarkStart w:id="4132" w:name="_Toc51687767"/>
      <w:bookmarkStart w:id="4133" w:name="_Toc51687911"/>
      <w:bookmarkStart w:id="4134" w:name="_Toc51705788"/>
      <w:bookmarkStart w:id="4135" w:name="_Toc51770734"/>
      <w:bookmarkStart w:id="4136" w:name="_Toc51770920"/>
      <w:bookmarkStart w:id="4137" w:name="_Toc52359263"/>
      <w:bookmarkStart w:id="4138" w:name="_Toc52367296"/>
      <w:bookmarkStart w:id="4139" w:name="_Toc52371636"/>
      <w:bookmarkStart w:id="4140" w:name="_Toc52374784"/>
      <w:bookmarkStart w:id="4141" w:name="_Toc52377322"/>
      <w:bookmarkStart w:id="4142" w:name="_Toc52379244"/>
      <w:bookmarkStart w:id="4143" w:name="_Toc52379599"/>
      <w:bookmarkStart w:id="4144" w:name="_Toc52532809"/>
      <w:bookmarkStart w:id="4145" w:name="_Toc52535704"/>
      <w:bookmarkStart w:id="4146" w:name="_Toc52537522"/>
      <w:bookmarkStart w:id="4147" w:name="_Toc52544085"/>
      <w:bookmarkStart w:id="4148" w:name="_Toc52545689"/>
      <w:bookmarkStart w:id="4149" w:name="_Toc52547921"/>
      <w:bookmarkStart w:id="4150" w:name="_Toc52548610"/>
      <w:bookmarkStart w:id="4151" w:name="_Toc52890902"/>
      <w:bookmarkStart w:id="4152" w:name="_Toc52895105"/>
      <w:bookmarkStart w:id="4153" w:name="_Toc52896629"/>
      <w:bookmarkStart w:id="4154" w:name="_Toc52977806"/>
      <w:bookmarkStart w:id="4155" w:name="_Toc53129492"/>
      <w:r w:rsidRPr="00E93CBF">
        <w:rPr>
          <w:color w:val="0070AE" w:themeColor="accent2" w:themeTint="BF"/>
        </w:rPr>
        <w:t xml:space="preserve">Appendix </w:t>
      </w:r>
      <w:r w:rsidR="003F081F" w:rsidRPr="00E93CBF">
        <w:rPr>
          <w:color w:val="0070AE" w:themeColor="accent2" w:themeTint="BF"/>
        </w:rPr>
        <w:t>E</w:t>
      </w:r>
      <w:r w:rsidRPr="00E93CBF">
        <w:rPr>
          <w:color w:val="0070AE" w:themeColor="accent2" w:themeTint="BF"/>
        </w:rPr>
        <w:t>. Summary of methods</w:t>
      </w:r>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p>
    <w:p w14:paraId="580BF2F9" w14:textId="77777777" w:rsidR="001156AD" w:rsidRPr="001156AD" w:rsidRDefault="001156AD" w:rsidP="001156AD"/>
    <w:tbl>
      <w:tblPr>
        <w:tblStyle w:val="PlainTable1"/>
        <w:tblW w:w="10238" w:type="dxa"/>
        <w:jc w:val="right"/>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2076"/>
        <w:gridCol w:w="2927"/>
        <w:gridCol w:w="3447"/>
        <w:gridCol w:w="570"/>
        <w:gridCol w:w="1218"/>
      </w:tblGrid>
      <w:tr w:rsidR="009E11F5" w:rsidRPr="000059D7" w14:paraId="429D6D3B" w14:textId="77777777" w:rsidTr="00E93CBF">
        <w:trPr>
          <w:cnfStyle w:val="100000000000" w:firstRow="1" w:lastRow="0" w:firstColumn="0" w:lastColumn="0" w:oddVBand="0" w:evenVBand="0" w:oddHBand="0" w:evenHBand="0" w:firstRowFirstColumn="0" w:firstRowLastColumn="0" w:lastRowFirstColumn="0" w:lastRowLastColumn="0"/>
          <w:trHeight w:val="719"/>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0070AE" w:themeFill="accent2" w:themeFillTint="BF"/>
            <w:tcMar>
              <w:left w:w="57" w:type="dxa"/>
              <w:right w:w="57" w:type="dxa"/>
            </w:tcMar>
            <w:vAlign w:val="center"/>
          </w:tcPr>
          <w:p w14:paraId="39AB7538" w14:textId="77777777" w:rsidR="009E11F5" w:rsidRPr="000059D7" w:rsidRDefault="009E11F5" w:rsidP="005737A9">
            <w:pPr>
              <w:pStyle w:val="Tabletext"/>
              <w:rPr>
                <w:color w:val="FFFFFF" w:themeColor="background1"/>
              </w:rPr>
            </w:pPr>
            <w:r w:rsidRPr="000059D7">
              <w:rPr>
                <w:color w:val="FFFFFF" w:themeColor="background1"/>
              </w:rPr>
              <w:t>METHOD</w:t>
            </w:r>
            <w:r w:rsidRPr="000059D7">
              <w:rPr>
                <w:color w:val="FFFFFF" w:themeColor="background1"/>
                <w:vertAlign w:val="superscript"/>
              </w:rPr>
              <w:footnoteReference w:id="18"/>
            </w:r>
          </w:p>
        </w:tc>
        <w:tc>
          <w:tcPr>
            <w:tcW w:w="6524" w:type="dxa"/>
            <w:gridSpan w:val="2"/>
            <w:shd w:val="clear" w:color="auto" w:fill="0070AE" w:themeFill="accent2" w:themeFillTint="BF"/>
            <w:tcMar>
              <w:left w:w="57" w:type="dxa"/>
              <w:right w:w="57" w:type="dxa"/>
            </w:tcMar>
            <w:vAlign w:val="center"/>
          </w:tcPr>
          <w:p w14:paraId="01BCBF90" w14:textId="77777777" w:rsidR="009E11F5" w:rsidRPr="000059D7" w:rsidRDefault="009E11F5" w:rsidP="005737A9">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059D7">
              <w:rPr>
                <w:color w:val="FFFFFF" w:themeColor="background1"/>
              </w:rPr>
              <w:t>DESCRIPTION</w:t>
            </w:r>
            <w:r w:rsidRPr="000059D7">
              <w:rPr>
                <w:color w:val="FFFFFF" w:themeColor="background1"/>
                <w:vertAlign w:val="superscript"/>
              </w:rPr>
              <w:footnoteReference w:id="19"/>
            </w:r>
          </w:p>
        </w:tc>
        <w:tc>
          <w:tcPr>
            <w:tcW w:w="1816" w:type="dxa"/>
            <w:gridSpan w:val="2"/>
            <w:shd w:val="clear" w:color="auto" w:fill="0070AE" w:themeFill="accent2" w:themeFillTint="BF"/>
            <w:tcMar>
              <w:left w:w="57" w:type="dxa"/>
              <w:right w:w="57" w:type="dxa"/>
            </w:tcMar>
          </w:tcPr>
          <w:p w14:paraId="410D9F1A" w14:textId="77777777" w:rsidR="009E11F5" w:rsidRPr="000059D7" w:rsidRDefault="009E11F5" w:rsidP="005737A9">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059D7">
              <w:rPr>
                <w:color w:val="FFFFFF" w:themeColor="background1"/>
              </w:rPr>
              <w:t>CONTRACTED ABATEMENT</w:t>
            </w:r>
            <w:r>
              <w:rPr>
                <w:color w:val="FFFFFF" w:themeColor="background1"/>
              </w:rPr>
              <w:t xml:space="preserve"> Fixed delivery (Optional delivery)</w:t>
            </w:r>
            <w:r w:rsidRPr="000059D7">
              <w:rPr>
                <w:color w:val="FFFFFF" w:themeColor="background1"/>
              </w:rPr>
              <w:t xml:space="preserve"> (MILLION ACCUs)</w:t>
            </w:r>
          </w:p>
        </w:tc>
      </w:tr>
      <w:tr w:rsidR="009E11F5" w:rsidRPr="00A54B8C" w14:paraId="1EE1C27C" w14:textId="77777777" w:rsidTr="00E93CBF">
        <w:trPr>
          <w:cnfStyle w:val="000000100000" w:firstRow="0" w:lastRow="0" w:firstColumn="0" w:lastColumn="0" w:oddVBand="0" w:evenVBand="0" w:oddHBand="1" w:evenHBand="0" w:firstRowFirstColumn="0" w:firstRowLastColumn="0" w:lastRowFirstColumn="0" w:lastRowLastColumn="0"/>
          <w:trHeight w:val="186"/>
          <w:jc w:val="right"/>
        </w:trPr>
        <w:tc>
          <w:tcPr>
            <w:cnfStyle w:val="001000000000" w:firstRow="0" w:lastRow="0" w:firstColumn="1" w:lastColumn="0" w:oddVBand="0" w:evenVBand="0" w:oddHBand="0" w:evenHBand="0" w:firstRowFirstColumn="0" w:firstRowLastColumn="0" w:lastRowFirstColumn="0" w:lastRowLastColumn="0"/>
            <w:tcW w:w="5119" w:type="dxa"/>
            <w:gridSpan w:val="2"/>
            <w:shd w:val="clear" w:color="auto" w:fill="1EAEFF" w:themeFill="accent2" w:themeFillTint="80"/>
            <w:tcMar>
              <w:left w:w="57" w:type="dxa"/>
              <w:right w:w="57" w:type="dxa"/>
            </w:tcMar>
            <w:vAlign w:val="center"/>
          </w:tcPr>
          <w:p w14:paraId="2C745789" w14:textId="77777777" w:rsidR="009E11F5" w:rsidRPr="00E04B7C" w:rsidRDefault="009E11F5" w:rsidP="005737A9">
            <w:pPr>
              <w:spacing w:after="160" w:line="259" w:lineRule="auto"/>
              <w:rPr>
                <w:rFonts w:cs="Arial"/>
                <w:color w:val="414141"/>
                <w:szCs w:val="20"/>
              </w:rPr>
            </w:pPr>
            <w:r w:rsidRPr="00E93CBF">
              <w:rPr>
                <w:color w:val="FFFFFF" w:themeColor="background1"/>
              </w:rPr>
              <w:t xml:space="preserve">Vegetation Management </w:t>
            </w:r>
          </w:p>
        </w:tc>
        <w:tc>
          <w:tcPr>
            <w:tcW w:w="5355" w:type="dxa"/>
            <w:gridSpan w:val="3"/>
            <w:shd w:val="clear" w:color="auto" w:fill="1EAEFF" w:themeFill="accent2" w:themeFillTint="80"/>
            <w:vAlign w:val="center"/>
          </w:tcPr>
          <w:p w14:paraId="064EFA37" w14:textId="77777777" w:rsidR="009E11F5" w:rsidRPr="00E93CBF" w:rsidRDefault="009E11F5" w:rsidP="005737A9">
            <w:pPr>
              <w:spacing w:line="259" w:lineRule="auto"/>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E93CBF">
              <w:rPr>
                <w:rFonts w:cs="Arial"/>
                <w:b/>
                <w:color w:val="FFFFFF" w:themeColor="background1"/>
                <w:szCs w:val="20"/>
              </w:rPr>
              <w:t>128.9</w:t>
            </w:r>
            <w:r w:rsidRPr="00E93CBF">
              <w:rPr>
                <w:rFonts w:cs="Arial"/>
                <w:b/>
                <w:color w:val="FFFFFF" w:themeColor="background1"/>
              </w:rPr>
              <w:t xml:space="preserve"> (</w:t>
            </w:r>
            <w:r w:rsidRPr="00E93CBF">
              <w:rPr>
                <w:rFonts w:cs="Arial"/>
                <w:b/>
                <w:color w:val="FFFFFF" w:themeColor="background1"/>
                <w:szCs w:val="20"/>
              </w:rPr>
              <w:t>7.2</w:t>
            </w:r>
            <w:r w:rsidRPr="00E93CBF">
              <w:rPr>
                <w:rFonts w:cs="Arial"/>
                <w:b/>
                <w:color w:val="FFFFFF" w:themeColor="background1"/>
              </w:rPr>
              <w:t>)</w:t>
            </w:r>
          </w:p>
        </w:tc>
      </w:tr>
      <w:tr w:rsidR="009E11F5" w:rsidRPr="000059D7" w14:paraId="773E046B" w14:textId="77777777" w:rsidTr="005737A9">
        <w:trPr>
          <w:trHeight w:val="559"/>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55EED2DB" w14:textId="77777777" w:rsidR="009E11F5" w:rsidRPr="000059D7" w:rsidRDefault="009E11F5" w:rsidP="005737A9">
            <w:pPr>
              <w:spacing w:after="160" w:line="259" w:lineRule="auto"/>
            </w:pPr>
            <w:r w:rsidRPr="000059D7">
              <w:t xml:space="preserve">Avoided Deforestation </w:t>
            </w:r>
          </w:p>
        </w:tc>
        <w:tc>
          <w:tcPr>
            <w:tcW w:w="7107" w:type="dxa"/>
            <w:gridSpan w:val="3"/>
            <w:shd w:val="clear" w:color="auto" w:fill="auto"/>
            <w:tcMar>
              <w:left w:w="57" w:type="dxa"/>
              <w:right w:w="57" w:type="dxa"/>
            </w:tcMar>
            <w:vAlign w:val="center"/>
          </w:tcPr>
          <w:p w14:paraId="461C0429" w14:textId="77777777" w:rsidR="009E11F5" w:rsidRPr="000059D7"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0059D7">
              <w:t xml:space="preserve">Protects native forest that would otherwise be cleared for use as cropland or grassland, thereby storing carbon in the trees as they grow and avoiding emissions that would have occurred by clearing. To be eligible, the landholder must have received a clearing permit before 1 July 2010. </w:t>
            </w:r>
          </w:p>
        </w:tc>
        <w:tc>
          <w:tcPr>
            <w:tcW w:w="1231" w:type="dxa"/>
            <w:shd w:val="clear" w:color="auto" w:fill="auto"/>
            <w:tcMar>
              <w:left w:w="57" w:type="dxa"/>
              <w:right w:w="57" w:type="dxa"/>
            </w:tcMar>
            <w:vAlign w:val="center"/>
          </w:tcPr>
          <w:p w14:paraId="3BD86240" w14:textId="77777777" w:rsidR="009E11F5" w:rsidRPr="00A54B8C" w:rsidRDefault="009E11F5" w:rsidP="005737A9">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414141"/>
                <w:szCs w:val="20"/>
              </w:rPr>
            </w:pPr>
            <w:r w:rsidRPr="00A54B8C">
              <w:rPr>
                <w:rFonts w:cs="Arial"/>
                <w:color w:val="414141"/>
                <w:szCs w:val="20"/>
              </w:rPr>
              <w:t>26.3</w:t>
            </w:r>
          </w:p>
        </w:tc>
      </w:tr>
      <w:tr w:rsidR="009E11F5" w:rsidRPr="000059D7" w14:paraId="272D2787" w14:textId="77777777" w:rsidTr="005737A9">
        <w:trPr>
          <w:cnfStyle w:val="000000100000" w:firstRow="0" w:lastRow="0" w:firstColumn="0" w:lastColumn="0" w:oddVBand="0" w:evenVBand="0" w:oddHBand="1" w:evenHBand="0" w:firstRowFirstColumn="0" w:firstRowLastColumn="0" w:lastRowFirstColumn="0" w:lastRowLastColumn="0"/>
          <w:trHeight w:val="732"/>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213C6E8A" w14:textId="77777777" w:rsidR="009E11F5" w:rsidRPr="000059D7" w:rsidRDefault="009E11F5" w:rsidP="005737A9">
            <w:pPr>
              <w:spacing w:after="160" w:line="259" w:lineRule="auto"/>
            </w:pPr>
            <w:r w:rsidRPr="000059D7">
              <w:t>Avoided clearing of native regrowth</w:t>
            </w:r>
          </w:p>
        </w:tc>
        <w:tc>
          <w:tcPr>
            <w:tcW w:w="7107" w:type="dxa"/>
            <w:gridSpan w:val="3"/>
            <w:shd w:val="clear" w:color="auto" w:fill="auto"/>
            <w:tcMar>
              <w:left w:w="57" w:type="dxa"/>
              <w:right w:w="57" w:type="dxa"/>
            </w:tcMar>
            <w:vAlign w:val="center"/>
          </w:tcPr>
          <w:p w14:paraId="26696CBD" w14:textId="77777777" w:rsidR="009E11F5" w:rsidRPr="000059D7"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r w:rsidRPr="000059D7">
              <w:t>Retains native forest that would otherwise be cleared in the normal course of events, thereby storing carbon.</w:t>
            </w:r>
          </w:p>
        </w:tc>
        <w:tc>
          <w:tcPr>
            <w:tcW w:w="1231" w:type="dxa"/>
            <w:shd w:val="clear" w:color="auto" w:fill="auto"/>
            <w:tcMar>
              <w:left w:w="57" w:type="dxa"/>
              <w:right w:w="57" w:type="dxa"/>
            </w:tcMar>
            <w:vAlign w:val="center"/>
          </w:tcPr>
          <w:p w14:paraId="357D68E0" w14:textId="77777777" w:rsidR="009E11F5" w:rsidRPr="00A54B8C" w:rsidRDefault="009E11F5" w:rsidP="005737A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414141"/>
                <w:szCs w:val="20"/>
              </w:rPr>
            </w:pPr>
            <w:r w:rsidRPr="00A54B8C">
              <w:rPr>
                <w:rFonts w:cs="Arial"/>
                <w:color w:val="414141"/>
                <w:szCs w:val="20"/>
              </w:rPr>
              <w:t>0.4</w:t>
            </w:r>
          </w:p>
        </w:tc>
      </w:tr>
      <w:tr w:rsidR="009E11F5" w:rsidRPr="000059D7" w14:paraId="6C330209" w14:textId="77777777" w:rsidTr="005737A9">
        <w:trPr>
          <w:trHeight w:val="745"/>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0A522AD5" w14:textId="77777777" w:rsidR="009E11F5" w:rsidRPr="000059D7" w:rsidRDefault="009E11F5" w:rsidP="005737A9">
            <w:pPr>
              <w:spacing w:after="160" w:line="259" w:lineRule="auto"/>
            </w:pPr>
            <w:r w:rsidRPr="000059D7">
              <w:t>Human-induced regeneration of a permanent even-aged native forest</w:t>
            </w:r>
          </w:p>
        </w:tc>
        <w:tc>
          <w:tcPr>
            <w:tcW w:w="7107" w:type="dxa"/>
            <w:gridSpan w:val="3"/>
            <w:shd w:val="clear" w:color="auto" w:fill="auto"/>
            <w:tcMar>
              <w:left w:w="57" w:type="dxa"/>
              <w:right w:w="57" w:type="dxa"/>
            </w:tcMar>
            <w:vAlign w:val="center"/>
          </w:tcPr>
          <w:p w14:paraId="0D41D71E" w14:textId="77777777" w:rsidR="009E11F5" w:rsidRPr="000059D7"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0059D7">
              <w:t>Establishes a native forest on land where native forest is being supressed using regeneration activities. Regeneration activities include excluding livestock, managing the timing and extent of grazing, and stopping destruction or suppression of native regrowth.</w:t>
            </w:r>
          </w:p>
        </w:tc>
        <w:tc>
          <w:tcPr>
            <w:tcW w:w="1231" w:type="dxa"/>
            <w:shd w:val="clear" w:color="auto" w:fill="auto"/>
            <w:tcMar>
              <w:left w:w="57" w:type="dxa"/>
              <w:right w:w="57" w:type="dxa"/>
            </w:tcMar>
            <w:vAlign w:val="center"/>
          </w:tcPr>
          <w:p w14:paraId="31E6540B" w14:textId="77777777" w:rsidR="009E11F5" w:rsidRPr="00A54B8C" w:rsidRDefault="009E11F5" w:rsidP="005737A9">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414141"/>
                <w:szCs w:val="20"/>
              </w:rPr>
            </w:pPr>
            <w:r w:rsidRPr="00A54B8C">
              <w:rPr>
                <w:rFonts w:cs="Arial"/>
                <w:color w:val="414141"/>
                <w:szCs w:val="20"/>
              </w:rPr>
              <w:t>94.6 (6.5)</w:t>
            </w:r>
          </w:p>
        </w:tc>
      </w:tr>
      <w:tr w:rsidR="009E11F5" w:rsidRPr="000059D7" w14:paraId="2FC10D35" w14:textId="77777777" w:rsidTr="005737A9">
        <w:trPr>
          <w:cnfStyle w:val="000000100000" w:firstRow="0" w:lastRow="0" w:firstColumn="0" w:lastColumn="0" w:oddVBand="0" w:evenVBand="0" w:oddHBand="1" w:evenHBand="0" w:firstRowFirstColumn="0" w:firstRowLastColumn="0" w:lastRowFirstColumn="0" w:lastRowLastColumn="0"/>
          <w:trHeight w:val="559"/>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7BE1FD84" w14:textId="77777777" w:rsidR="009E11F5" w:rsidRPr="000059D7" w:rsidRDefault="009E11F5" w:rsidP="005737A9">
            <w:pPr>
              <w:spacing w:after="160" w:line="259" w:lineRule="auto"/>
            </w:pPr>
            <w:r w:rsidRPr="000059D7">
              <w:t>Native forest from managed regrowth</w:t>
            </w:r>
          </w:p>
        </w:tc>
        <w:tc>
          <w:tcPr>
            <w:tcW w:w="7107" w:type="dxa"/>
            <w:gridSpan w:val="3"/>
            <w:shd w:val="clear" w:color="auto" w:fill="auto"/>
            <w:tcMar>
              <w:left w:w="57" w:type="dxa"/>
              <w:right w:w="57" w:type="dxa"/>
            </w:tcMar>
            <w:vAlign w:val="center"/>
          </w:tcPr>
          <w:p w14:paraId="27C7A0AC" w14:textId="77777777" w:rsidR="009E11F5" w:rsidRPr="000059D7"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r w:rsidRPr="000059D7">
              <w:t>Allows native vegetation to regrow by stopping activities that prevent regeneration of native vegetation. Project proponents can erect fencing to exclude livestock or remove non-native plant and animal species.</w:t>
            </w:r>
          </w:p>
        </w:tc>
        <w:tc>
          <w:tcPr>
            <w:tcW w:w="1231" w:type="dxa"/>
            <w:shd w:val="clear" w:color="auto" w:fill="auto"/>
            <w:tcMar>
              <w:left w:w="57" w:type="dxa"/>
              <w:right w:w="57" w:type="dxa"/>
            </w:tcMar>
            <w:vAlign w:val="center"/>
          </w:tcPr>
          <w:p w14:paraId="306BB9BB" w14:textId="77777777" w:rsidR="009E11F5" w:rsidRPr="00A54B8C" w:rsidRDefault="009E11F5" w:rsidP="005737A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414141"/>
                <w:szCs w:val="20"/>
              </w:rPr>
            </w:pPr>
            <w:r w:rsidRPr="00A54B8C">
              <w:rPr>
                <w:rFonts w:cs="Arial"/>
                <w:color w:val="414141"/>
                <w:szCs w:val="20"/>
              </w:rPr>
              <w:t>3.5</w:t>
            </w:r>
          </w:p>
        </w:tc>
      </w:tr>
      <w:tr w:rsidR="009E11F5" w:rsidRPr="00720B6D" w14:paraId="3A9CF614" w14:textId="77777777" w:rsidTr="005737A9">
        <w:trPr>
          <w:trHeight w:val="372"/>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1C246EAA" w14:textId="77777777" w:rsidR="009E11F5" w:rsidRPr="000059D7" w:rsidRDefault="009E11F5" w:rsidP="005737A9">
            <w:pPr>
              <w:spacing w:after="160" w:line="259" w:lineRule="auto"/>
            </w:pPr>
            <w:r w:rsidRPr="000059D7">
              <w:t>Reforestation and Afforestation</w:t>
            </w:r>
          </w:p>
        </w:tc>
        <w:tc>
          <w:tcPr>
            <w:tcW w:w="7107" w:type="dxa"/>
            <w:gridSpan w:val="3"/>
            <w:shd w:val="clear" w:color="auto" w:fill="auto"/>
            <w:tcMar>
              <w:left w:w="57" w:type="dxa"/>
              <w:right w:w="57" w:type="dxa"/>
            </w:tcMar>
            <w:vAlign w:val="center"/>
          </w:tcPr>
          <w:p w14:paraId="3CB64361" w14:textId="77777777" w:rsidR="009E11F5" w:rsidRPr="000059D7"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0059D7">
              <w:t>Establishes forests by permanently planting a new forest or re-establishing a depleted forest on land previously used for grazing or cropping. Uses measurement to estimate carbon stored. Projects can involve any type of tree species, except for declared weed species.</w:t>
            </w:r>
          </w:p>
        </w:tc>
        <w:tc>
          <w:tcPr>
            <w:tcW w:w="1231" w:type="dxa"/>
            <w:shd w:val="clear" w:color="auto" w:fill="auto"/>
            <w:tcMar>
              <w:left w:w="57" w:type="dxa"/>
              <w:right w:w="57" w:type="dxa"/>
            </w:tcMar>
            <w:vAlign w:val="center"/>
          </w:tcPr>
          <w:p w14:paraId="3743AEFD" w14:textId="77777777" w:rsidR="009E11F5" w:rsidRPr="00A54B8C" w:rsidRDefault="009E11F5" w:rsidP="005737A9">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414141"/>
                <w:szCs w:val="20"/>
              </w:rPr>
            </w:pPr>
            <w:r w:rsidRPr="00A54B8C">
              <w:rPr>
                <w:rFonts w:cs="Arial"/>
                <w:color w:val="414141"/>
                <w:szCs w:val="20"/>
              </w:rPr>
              <w:t>0.9</w:t>
            </w:r>
          </w:p>
        </w:tc>
      </w:tr>
      <w:tr w:rsidR="009E11F5" w:rsidRPr="000059D7" w14:paraId="762F3B5D" w14:textId="77777777" w:rsidTr="005737A9">
        <w:trPr>
          <w:cnfStyle w:val="000000100000" w:firstRow="0" w:lastRow="0" w:firstColumn="0" w:lastColumn="0" w:oddVBand="0" w:evenVBand="0" w:oddHBand="1" w:evenHBand="0" w:firstRowFirstColumn="0" w:firstRowLastColumn="0" w:lastRowFirstColumn="0" w:lastRowLastColumn="0"/>
          <w:trHeight w:val="559"/>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29932C3" w14:textId="77777777" w:rsidR="009E11F5" w:rsidRPr="000059D7" w:rsidRDefault="009E11F5" w:rsidP="005737A9">
            <w:pPr>
              <w:spacing w:after="160" w:line="259" w:lineRule="auto"/>
            </w:pPr>
            <w:r w:rsidRPr="000059D7">
              <w:t xml:space="preserve">Reforestation by Environmental or Mallee Plantings </w:t>
            </w:r>
            <w:r>
              <w:t>–</w:t>
            </w:r>
            <w:r w:rsidRPr="000059D7">
              <w:t xml:space="preserve"> FullCAM</w:t>
            </w:r>
          </w:p>
        </w:tc>
        <w:tc>
          <w:tcPr>
            <w:tcW w:w="7107" w:type="dxa"/>
            <w:gridSpan w:val="3"/>
            <w:shd w:val="clear" w:color="auto" w:fill="auto"/>
            <w:tcMar>
              <w:left w:w="57" w:type="dxa"/>
              <w:right w:w="57" w:type="dxa"/>
            </w:tcMar>
            <w:vAlign w:val="center"/>
          </w:tcPr>
          <w:p w14:paraId="3A3D1FFB" w14:textId="77777777" w:rsidR="009E11F5" w:rsidRPr="005E00CB"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rPr>
                <w:highlight w:val="cyan"/>
              </w:rPr>
            </w:pPr>
            <w:r w:rsidRPr="005E00CB">
              <w:t>Establishes new forests by permanently planting native trees or mallees to store carbon</w:t>
            </w:r>
            <w:r>
              <w:t>.</w:t>
            </w:r>
            <w:r w:rsidRPr="005E00CB">
              <w:t xml:space="preserve"> The method uses FullCAM to estimate carbon captured by the growing trees.</w:t>
            </w:r>
          </w:p>
        </w:tc>
        <w:tc>
          <w:tcPr>
            <w:tcW w:w="1231" w:type="dxa"/>
            <w:shd w:val="clear" w:color="auto" w:fill="auto"/>
            <w:tcMar>
              <w:left w:w="57" w:type="dxa"/>
              <w:right w:w="57" w:type="dxa"/>
            </w:tcMar>
            <w:vAlign w:val="center"/>
          </w:tcPr>
          <w:p w14:paraId="5600C26A" w14:textId="77777777" w:rsidR="009E11F5" w:rsidRPr="00A54B8C" w:rsidRDefault="009E11F5" w:rsidP="005737A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414141"/>
                <w:szCs w:val="20"/>
              </w:rPr>
            </w:pPr>
            <w:r w:rsidRPr="00A54B8C">
              <w:rPr>
                <w:rFonts w:cs="Arial"/>
                <w:color w:val="414141"/>
                <w:szCs w:val="20"/>
              </w:rPr>
              <w:t>1.8</w:t>
            </w:r>
          </w:p>
        </w:tc>
      </w:tr>
      <w:tr w:rsidR="009E11F5" w:rsidRPr="000059D7" w14:paraId="15BC43F9" w14:textId="77777777" w:rsidTr="005737A9">
        <w:trPr>
          <w:trHeight w:val="545"/>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0D055D58" w14:textId="77777777" w:rsidR="009E11F5" w:rsidRPr="000059D7" w:rsidRDefault="009E11F5" w:rsidP="005737A9">
            <w:pPr>
              <w:spacing w:after="160" w:line="259" w:lineRule="auto"/>
            </w:pPr>
            <w:r w:rsidRPr="000059D7">
              <w:t>Measurement based methods for new farm forestry plantations</w:t>
            </w:r>
          </w:p>
        </w:tc>
        <w:tc>
          <w:tcPr>
            <w:tcW w:w="7107" w:type="dxa"/>
            <w:gridSpan w:val="3"/>
            <w:shd w:val="clear" w:color="auto" w:fill="auto"/>
            <w:tcMar>
              <w:left w:w="57" w:type="dxa"/>
              <w:right w:w="57" w:type="dxa"/>
            </w:tcMar>
            <w:vAlign w:val="center"/>
          </w:tcPr>
          <w:p w14:paraId="21DAA481" w14:textId="77777777" w:rsidR="009E11F5" w:rsidRPr="000059D7"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0059D7">
              <w:t>Establishes and maintains trees on land that has previously been used for grazing or cropping to sequester carbon. Scheme participants can establish either a permanent planting or a harvest plantation. Harvest plantations allow the commercial harvesting of project trees.</w:t>
            </w:r>
          </w:p>
        </w:tc>
        <w:tc>
          <w:tcPr>
            <w:tcW w:w="1231" w:type="dxa"/>
            <w:shd w:val="clear" w:color="auto" w:fill="auto"/>
            <w:tcMar>
              <w:left w:w="57" w:type="dxa"/>
              <w:right w:w="57" w:type="dxa"/>
            </w:tcMar>
            <w:vAlign w:val="center"/>
          </w:tcPr>
          <w:p w14:paraId="5BE5B0CB" w14:textId="77777777" w:rsidR="009E11F5" w:rsidRPr="00A54B8C" w:rsidRDefault="009E11F5" w:rsidP="005737A9">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414141"/>
                <w:szCs w:val="20"/>
              </w:rPr>
            </w:pPr>
            <w:r w:rsidRPr="00A54B8C">
              <w:rPr>
                <w:rFonts w:cs="Arial"/>
                <w:color w:val="414141"/>
                <w:szCs w:val="20"/>
              </w:rPr>
              <w:t>0.0</w:t>
            </w:r>
          </w:p>
        </w:tc>
      </w:tr>
      <w:tr w:rsidR="009E11F5" w:rsidRPr="000059D7" w14:paraId="1EEFCEF4" w14:textId="77777777" w:rsidTr="005737A9">
        <w:trPr>
          <w:cnfStyle w:val="000000100000" w:firstRow="0" w:lastRow="0" w:firstColumn="0" w:lastColumn="0" w:oddVBand="0" w:evenVBand="0" w:oddHBand="1" w:evenHBand="0" w:firstRowFirstColumn="0" w:firstRowLastColumn="0" w:lastRowFirstColumn="0" w:lastRowLastColumn="0"/>
          <w:trHeight w:val="559"/>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72887455" w14:textId="77777777" w:rsidR="009E11F5" w:rsidRPr="000059D7" w:rsidRDefault="009E11F5" w:rsidP="005737A9">
            <w:pPr>
              <w:spacing w:after="160" w:line="259" w:lineRule="auto"/>
            </w:pPr>
            <w:r w:rsidRPr="000059D7">
              <w:t>Designated Verified Carbon Standard projects</w:t>
            </w:r>
          </w:p>
        </w:tc>
        <w:tc>
          <w:tcPr>
            <w:tcW w:w="7107" w:type="dxa"/>
            <w:gridSpan w:val="3"/>
            <w:shd w:val="clear" w:color="auto" w:fill="auto"/>
            <w:tcMar>
              <w:left w:w="57" w:type="dxa"/>
              <w:right w:w="57" w:type="dxa"/>
            </w:tcMar>
            <w:vAlign w:val="center"/>
          </w:tcPr>
          <w:p w14:paraId="77E3C8A7" w14:textId="77777777" w:rsidR="009E11F5" w:rsidRPr="000059D7"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r w:rsidRPr="000059D7">
              <w:t>Enables projects validated under the Verified Carbon Standard (internationally recognised and credible international standard) to transition to the ERF. Project proponents avoid emissions and sequester carbon by protecting native forests and not harvesting them.</w:t>
            </w:r>
          </w:p>
        </w:tc>
        <w:tc>
          <w:tcPr>
            <w:tcW w:w="1231" w:type="dxa"/>
            <w:shd w:val="clear" w:color="auto" w:fill="auto"/>
            <w:tcMar>
              <w:left w:w="57" w:type="dxa"/>
              <w:right w:w="57" w:type="dxa"/>
            </w:tcMar>
            <w:vAlign w:val="center"/>
          </w:tcPr>
          <w:p w14:paraId="78959E88" w14:textId="77777777" w:rsidR="009E11F5" w:rsidRPr="00A54B8C" w:rsidRDefault="009E11F5" w:rsidP="005737A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414141"/>
                <w:szCs w:val="20"/>
              </w:rPr>
            </w:pPr>
            <w:r w:rsidRPr="00A54B8C">
              <w:rPr>
                <w:rFonts w:cs="Arial"/>
                <w:color w:val="414141"/>
                <w:szCs w:val="20"/>
              </w:rPr>
              <w:t>0.8</w:t>
            </w:r>
          </w:p>
        </w:tc>
      </w:tr>
      <w:tr w:rsidR="009E11F5" w:rsidRPr="000059D7" w14:paraId="49C4CB6C" w14:textId="77777777" w:rsidTr="005737A9">
        <w:trPr>
          <w:trHeight w:val="745"/>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70E330BE" w14:textId="77777777" w:rsidR="009E11F5" w:rsidRPr="000059D7" w:rsidRDefault="009E11F5" w:rsidP="005737A9">
            <w:pPr>
              <w:spacing w:after="160" w:line="259" w:lineRule="auto"/>
            </w:pPr>
            <w:r w:rsidRPr="000059D7">
              <w:t>Plantation forestry</w:t>
            </w:r>
          </w:p>
        </w:tc>
        <w:tc>
          <w:tcPr>
            <w:tcW w:w="7107" w:type="dxa"/>
            <w:gridSpan w:val="3"/>
            <w:shd w:val="clear" w:color="auto" w:fill="auto"/>
            <w:tcMar>
              <w:left w:w="57" w:type="dxa"/>
              <w:right w:w="57" w:type="dxa"/>
            </w:tcMar>
            <w:vAlign w:val="center"/>
          </w:tcPr>
          <w:p w14:paraId="1060EADF" w14:textId="77777777" w:rsidR="009E11F5"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0059D7">
              <w:t>Increases carbon storage through establishing and managing commercial plantation forests by establishing new plantation forests, converting short-rotation plantations to long rotations, or maintaining existing plantations established under another ERF method. Carbon continues to be stored in the wood products from the harvested plantations. This method uses FullCAM to model the carbon abatement of projects.</w:t>
            </w:r>
          </w:p>
          <w:p w14:paraId="56D1DB83" w14:textId="77777777" w:rsidR="00101036" w:rsidRPr="000059D7" w:rsidRDefault="00101036" w:rsidP="005737A9">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231" w:type="dxa"/>
            <w:shd w:val="clear" w:color="auto" w:fill="auto"/>
            <w:tcMar>
              <w:left w:w="57" w:type="dxa"/>
              <w:right w:w="57" w:type="dxa"/>
            </w:tcMar>
            <w:vAlign w:val="center"/>
          </w:tcPr>
          <w:p w14:paraId="4BDF1F69" w14:textId="77777777" w:rsidR="009E11F5" w:rsidRPr="00A54B8C" w:rsidRDefault="009E11F5" w:rsidP="005737A9">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414141"/>
                <w:szCs w:val="20"/>
              </w:rPr>
            </w:pPr>
            <w:r w:rsidRPr="00A54B8C">
              <w:rPr>
                <w:rFonts w:cs="Arial"/>
                <w:color w:val="414141"/>
                <w:szCs w:val="20"/>
              </w:rPr>
              <w:t>0.5 (0.7)</w:t>
            </w:r>
          </w:p>
        </w:tc>
      </w:tr>
      <w:tr w:rsidR="009E11F5" w:rsidRPr="00E04B7C" w14:paraId="6349A3D2" w14:textId="77777777" w:rsidTr="00E93CBF">
        <w:trPr>
          <w:cnfStyle w:val="000000100000" w:firstRow="0" w:lastRow="0" w:firstColumn="0" w:lastColumn="0" w:oddVBand="0" w:evenVBand="0" w:oddHBand="1" w:evenHBand="0" w:firstRowFirstColumn="0" w:firstRowLastColumn="0" w:lastRowFirstColumn="0" w:lastRowLastColumn="0"/>
          <w:trHeight w:val="186"/>
          <w:jc w:val="right"/>
        </w:trPr>
        <w:tc>
          <w:tcPr>
            <w:cnfStyle w:val="001000000000" w:firstRow="0" w:lastRow="0" w:firstColumn="1" w:lastColumn="0" w:oddVBand="0" w:evenVBand="0" w:oddHBand="0" w:evenHBand="0" w:firstRowFirstColumn="0" w:firstRowLastColumn="0" w:lastRowFirstColumn="0" w:lastRowLastColumn="0"/>
            <w:tcW w:w="5119" w:type="dxa"/>
            <w:gridSpan w:val="2"/>
            <w:shd w:val="clear" w:color="auto" w:fill="1EAEFF" w:themeFill="accent2" w:themeFillTint="80"/>
            <w:tcMar>
              <w:left w:w="57" w:type="dxa"/>
              <w:right w:w="57" w:type="dxa"/>
            </w:tcMar>
            <w:vAlign w:val="center"/>
          </w:tcPr>
          <w:p w14:paraId="1DBCC4A1" w14:textId="77777777" w:rsidR="009E11F5" w:rsidRPr="00E04B7C" w:rsidRDefault="009E11F5" w:rsidP="005737A9">
            <w:pPr>
              <w:spacing w:after="160" w:line="259" w:lineRule="auto"/>
              <w:rPr>
                <w:rFonts w:cs="Arial"/>
                <w:color w:val="414141"/>
                <w:szCs w:val="20"/>
              </w:rPr>
            </w:pPr>
            <w:r w:rsidRPr="00E93CBF">
              <w:rPr>
                <w:rFonts w:cs="Arial"/>
                <w:color w:val="FFFFFF" w:themeColor="background1"/>
              </w:rPr>
              <w:t xml:space="preserve">Waste and wastewater </w:t>
            </w:r>
          </w:p>
        </w:tc>
        <w:tc>
          <w:tcPr>
            <w:tcW w:w="5355" w:type="dxa"/>
            <w:gridSpan w:val="3"/>
            <w:shd w:val="clear" w:color="auto" w:fill="1EAEFF" w:themeFill="accent2" w:themeFillTint="80"/>
            <w:vAlign w:val="center"/>
          </w:tcPr>
          <w:p w14:paraId="6DD01885" w14:textId="77777777" w:rsidR="009E11F5" w:rsidRPr="00E93CBF" w:rsidRDefault="009E11F5" w:rsidP="005737A9">
            <w:pPr>
              <w:spacing w:line="259" w:lineRule="auto"/>
              <w:jc w:val="right"/>
              <w:cnfStyle w:val="000000100000" w:firstRow="0" w:lastRow="0" w:firstColumn="0" w:lastColumn="0" w:oddVBand="0" w:evenVBand="0" w:oddHBand="1" w:evenHBand="0" w:firstRowFirstColumn="0" w:firstRowLastColumn="0" w:lastRowFirstColumn="0" w:lastRowLastColumn="0"/>
              <w:rPr>
                <w:rFonts w:cs="Arial"/>
                <w:b/>
                <w:szCs w:val="20"/>
              </w:rPr>
            </w:pPr>
            <w:r w:rsidRPr="00E93CBF">
              <w:rPr>
                <w:rFonts w:cs="Arial"/>
                <w:b/>
                <w:color w:val="FFFFFF" w:themeColor="background1"/>
                <w:szCs w:val="20"/>
              </w:rPr>
              <w:t>25.7 (0.1)</w:t>
            </w:r>
          </w:p>
        </w:tc>
      </w:tr>
      <w:tr w:rsidR="009E11F5" w:rsidRPr="000059D7" w14:paraId="7142CB45" w14:textId="77777777" w:rsidTr="005737A9">
        <w:trPr>
          <w:trHeight w:val="732"/>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1B1E92B9" w14:textId="77777777" w:rsidR="009E11F5" w:rsidRPr="000059D7" w:rsidRDefault="009E11F5" w:rsidP="005737A9">
            <w:pPr>
              <w:spacing w:after="160" w:line="259" w:lineRule="auto"/>
            </w:pPr>
            <w:r w:rsidRPr="000059D7">
              <w:t>Landfill gas</w:t>
            </w:r>
          </w:p>
        </w:tc>
        <w:tc>
          <w:tcPr>
            <w:tcW w:w="7107" w:type="dxa"/>
            <w:gridSpan w:val="3"/>
            <w:shd w:val="clear" w:color="auto" w:fill="auto"/>
            <w:tcMar>
              <w:left w:w="57" w:type="dxa"/>
              <w:right w:w="57" w:type="dxa"/>
            </w:tcMar>
            <w:vAlign w:val="center"/>
          </w:tcPr>
          <w:p w14:paraId="7EEF781A" w14:textId="77777777" w:rsidR="009E11F5" w:rsidRPr="000059D7"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0059D7">
              <w:t>Reduces methane from landfills by installing or expanding the operation of a flare or an electricity production system.</w:t>
            </w:r>
          </w:p>
        </w:tc>
        <w:tc>
          <w:tcPr>
            <w:tcW w:w="1231" w:type="dxa"/>
            <w:shd w:val="clear" w:color="auto" w:fill="auto"/>
            <w:tcMar>
              <w:left w:w="57" w:type="dxa"/>
              <w:right w:w="57" w:type="dxa"/>
            </w:tcMar>
            <w:vAlign w:val="center"/>
          </w:tcPr>
          <w:p w14:paraId="43DF86CA" w14:textId="77777777" w:rsidR="009E11F5" w:rsidRPr="00A54B8C" w:rsidRDefault="009E11F5" w:rsidP="005737A9">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414141"/>
                <w:szCs w:val="20"/>
              </w:rPr>
            </w:pPr>
            <w:r w:rsidRPr="00A54B8C">
              <w:rPr>
                <w:rFonts w:cs="Arial"/>
                <w:color w:val="414141"/>
                <w:szCs w:val="20"/>
              </w:rPr>
              <w:t>21.8 (0.1)</w:t>
            </w:r>
          </w:p>
        </w:tc>
      </w:tr>
      <w:tr w:rsidR="009E11F5" w:rsidRPr="000059D7" w14:paraId="67B9E9A3" w14:textId="77777777" w:rsidTr="005737A9">
        <w:trPr>
          <w:cnfStyle w:val="000000100000" w:firstRow="0" w:lastRow="0" w:firstColumn="0" w:lastColumn="0" w:oddVBand="0" w:evenVBand="0" w:oddHBand="1" w:evenHBand="0" w:firstRowFirstColumn="0" w:firstRowLastColumn="0" w:lastRowFirstColumn="0" w:lastRowLastColumn="0"/>
          <w:trHeight w:val="372"/>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2A7D18BE" w14:textId="77777777" w:rsidR="009E11F5" w:rsidRPr="000059D7" w:rsidRDefault="009E11F5" w:rsidP="005737A9">
            <w:pPr>
              <w:spacing w:after="160" w:line="259" w:lineRule="auto"/>
            </w:pPr>
            <w:r w:rsidRPr="000059D7">
              <w:t>Alternative waste treatment</w:t>
            </w:r>
          </w:p>
        </w:tc>
        <w:tc>
          <w:tcPr>
            <w:tcW w:w="7107" w:type="dxa"/>
            <w:gridSpan w:val="3"/>
            <w:shd w:val="clear" w:color="auto" w:fill="auto"/>
            <w:tcMar>
              <w:left w:w="57" w:type="dxa"/>
              <w:right w:w="57" w:type="dxa"/>
            </w:tcMar>
            <w:vAlign w:val="center"/>
          </w:tcPr>
          <w:p w14:paraId="1C2B0279" w14:textId="77777777" w:rsidR="009E11F5" w:rsidRPr="000059D7"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r w:rsidRPr="000059D7">
              <w:t>Project activities include recycling or composting waste at alternative treatment facilities to reduce methane from landfills.</w:t>
            </w:r>
          </w:p>
        </w:tc>
        <w:tc>
          <w:tcPr>
            <w:tcW w:w="1231" w:type="dxa"/>
            <w:shd w:val="clear" w:color="auto" w:fill="auto"/>
            <w:tcMar>
              <w:left w:w="57" w:type="dxa"/>
              <w:right w:w="57" w:type="dxa"/>
            </w:tcMar>
            <w:vAlign w:val="center"/>
          </w:tcPr>
          <w:p w14:paraId="390AA071" w14:textId="77777777" w:rsidR="009E11F5" w:rsidRPr="00A54B8C" w:rsidRDefault="009E11F5" w:rsidP="005737A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414141"/>
                <w:szCs w:val="20"/>
              </w:rPr>
            </w:pPr>
            <w:r w:rsidRPr="00A54B8C">
              <w:rPr>
                <w:rFonts w:cs="Arial"/>
                <w:color w:val="414141"/>
                <w:szCs w:val="20"/>
              </w:rPr>
              <w:t>3.6</w:t>
            </w:r>
          </w:p>
        </w:tc>
      </w:tr>
      <w:tr w:rsidR="009E11F5" w:rsidRPr="000059D7" w14:paraId="4C979687" w14:textId="77777777" w:rsidTr="005737A9">
        <w:trPr>
          <w:trHeight w:val="1118"/>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62450334" w14:textId="77777777" w:rsidR="009E11F5" w:rsidRPr="000059D7" w:rsidRDefault="009E11F5" w:rsidP="005737A9">
            <w:pPr>
              <w:spacing w:after="160" w:line="259" w:lineRule="auto"/>
            </w:pPr>
            <w:r w:rsidRPr="000059D7">
              <w:t>Source Separated Organic Waste</w:t>
            </w:r>
          </w:p>
        </w:tc>
        <w:tc>
          <w:tcPr>
            <w:tcW w:w="7107" w:type="dxa"/>
            <w:gridSpan w:val="3"/>
            <w:shd w:val="clear" w:color="auto" w:fill="auto"/>
            <w:tcMar>
              <w:left w:w="57" w:type="dxa"/>
              <w:right w:w="57" w:type="dxa"/>
            </w:tcMar>
            <w:vAlign w:val="center"/>
          </w:tcPr>
          <w:p w14:paraId="0C98DECD" w14:textId="77777777" w:rsidR="009E11F5" w:rsidRPr="000059D7"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0059D7">
              <w:t>Prevents the release of emissions from landfill by supporting activities that separate organic materials from waste at the point of generation. This waste is then treated using alternative treatments such as composting and biodigestion.</w:t>
            </w:r>
          </w:p>
        </w:tc>
        <w:tc>
          <w:tcPr>
            <w:tcW w:w="1231" w:type="dxa"/>
            <w:shd w:val="clear" w:color="auto" w:fill="auto"/>
            <w:tcMar>
              <w:left w:w="57" w:type="dxa"/>
              <w:right w:w="57" w:type="dxa"/>
            </w:tcMar>
            <w:vAlign w:val="center"/>
          </w:tcPr>
          <w:p w14:paraId="5FA80A14" w14:textId="77777777" w:rsidR="009E11F5" w:rsidRPr="00A54B8C" w:rsidRDefault="009E11F5" w:rsidP="005737A9">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414141"/>
                <w:szCs w:val="20"/>
              </w:rPr>
            </w:pPr>
            <w:r w:rsidRPr="00A54B8C">
              <w:rPr>
                <w:rFonts w:cs="Arial"/>
                <w:color w:val="414141"/>
                <w:szCs w:val="20"/>
              </w:rPr>
              <w:t>0.1</w:t>
            </w:r>
          </w:p>
        </w:tc>
      </w:tr>
      <w:tr w:rsidR="009E11F5" w:rsidRPr="000059D7" w14:paraId="0D5E75AB" w14:textId="77777777" w:rsidTr="005737A9">
        <w:trPr>
          <w:cnfStyle w:val="000000100000" w:firstRow="0" w:lastRow="0" w:firstColumn="0" w:lastColumn="0" w:oddVBand="0" w:evenVBand="0" w:oddHBand="1" w:evenHBand="0" w:firstRowFirstColumn="0" w:firstRowLastColumn="0" w:lastRowFirstColumn="0" w:lastRowLastColumn="0"/>
          <w:trHeight w:val="559"/>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6E769D25" w14:textId="77777777" w:rsidR="009E11F5" w:rsidRPr="000059D7" w:rsidRDefault="009E11F5" w:rsidP="005737A9">
            <w:pPr>
              <w:spacing w:after="160" w:line="259" w:lineRule="auto"/>
            </w:pPr>
            <w:r w:rsidRPr="000059D7">
              <w:t>Wastewater treatment</w:t>
            </w:r>
          </w:p>
        </w:tc>
        <w:tc>
          <w:tcPr>
            <w:tcW w:w="7107" w:type="dxa"/>
            <w:gridSpan w:val="3"/>
            <w:shd w:val="clear" w:color="auto" w:fill="auto"/>
            <w:tcMar>
              <w:left w:w="57" w:type="dxa"/>
              <w:right w:w="57" w:type="dxa"/>
            </w:tcMar>
            <w:vAlign w:val="center"/>
          </w:tcPr>
          <w:p w14:paraId="5777880E" w14:textId="77777777" w:rsidR="009E11F5" w:rsidRPr="000059D7"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r w:rsidRPr="000059D7">
              <w:t>Captures and combusts methane generated by wastewater treatment by replacing open lagoons with either a covered lagoon or an engineered biodigestor and combusting the biogas.</w:t>
            </w:r>
          </w:p>
        </w:tc>
        <w:tc>
          <w:tcPr>
            <w:tcW w:w="1231" w:type="dxa"/>
            <w:shd w:val="clear" w:color="auto" w:fill="auto"/>
            <w:tcMar>
              <w:left w:w="57" w:type="dxa"/>
              <w:right w:w="57" w:type="dxa"/>
            </w:tcMar>
            <w:vAlign w:val="center"/>
          </w:tcPr>
          <w:p w14:paraId="1FAB656B" w14:textId="77777777" w:rsidR="009E11F5" w:rsidRPr="00A54B8C" w:rsidRDefault="009E11F5" w:rsidP="005737A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414141"/>
                <w:szCs w:val="20"/>
              </w:rPr>
            </w:pPr>
            <w:r w:rsidRPr="00A54B8C">
              <w:rPr>
                <w:rFonts w:cs="Arial"/>
                <w:color w:val="414141"/>
                <w:szCs w:val="20"/>
              </w:rPr>
              <w:t>0.1</w:t>
            </w:r>
          </w:p>
        </w:tc>
      </w:tr>
      <w:tr w:rsidR="009E11F5" w:rsidRPr="000059D7" w14:paraId="18E4ACD9" w14:textId="77777777" w:rsidTr="00E93CBF">
        <w:trPr>
          <w:trHeight w:val="186"/>
          <w:jc w:val="right"/>
        </w:trPr>
        <w:tc>
          <w:tcPr>
            <w:cnfStyle w:val="001000000000" w:firstRow="0" w:lastRow="0" w:firstColumn="1" w:lastColumn="0" w:oddVBand="0" w:evenVBand="0" w:oddHBand="0" w:evenHBand="0" w:firstRowFirstColumn="0" w:firstRowLastColumn="0" w:lastRowFirstColumn="0" w:lastRowLastColumn="0"/>
            <w:tcW w:w="5119" w:type="dxa"/>
            <w:gridSpan w:val="2"/>
            <w:shd w:val="clear" w:color="auto" w:fill="1EAEFF" w:themeFill="accent2" w:themeFillTint="80"/>
            <w:tcMar>
              <w:left w:w="57" w:type="dxa"/>
              <w:right w:w="57" w:type="dxa"/>
            </w:tcMar>
            <w:vAlign w:val="center"/>
          </w:tcPr>
          <w:p w14:paraId="7BD4D2A5" w14:textId="77777777" w:rsidR="009E11F5" w:rsidRPr="00E93CBF" w:rsidRDefault="009E11F5" w:rsidP="005737A9">
            <w:pPr>
              <w:spacing w:after="160" w:line="259" w:lineRule="auto"/>
              <w:rPr>
                <w:b w:val="0"/>
                <w:color w:val="FFFFFF" w:themeColor="background1"/>
              </w:rPr>
            </w:pPr>
            <w:r w:rsidRPr="00E93CBF">
              <w:rPr>
                <w:color w:val="FFFFFF" w:themeColor="background1"/>
              </w:rPr>
              <w:t>Agriculture – soil carbon</w:t>
            </w:r>
          </w:p>
        </w:tc>
        <w:tc>
          <w:tcPr>
            <w:tcW w:w="5355" w:type="dxa"/>
            <w:gridSpan w:val="3"/>
            <w:shd w:val="clear" w:color="auto" w:fill="1EAEFF" w:themeFill="accent2" w:themeFillTint="80"/>
            <w:vAlign w:val="center"/>
          </w:tcPr>
          <w:p w14:paraId="2EA2069E" w14:textId="77777777" w:rsidR="009E11F5" w:rsidRPr="00E93CBF" w:rsidRDefault="009E11F5" w:rsidP="005737A9">
            <w:pPr>
              <w:spacing w:line="259" w:lineRule="auto"/>
              <w:jc w:val="right"/>
              <w:cnfStyle w:val="000000000000" w:firstRow="0" w:lastRow="0" w:firstColumn="0" w:lastColumn="0" w:oddVBand="0" w:evenVBand="0" w:oddHBand="0" w:evenHBand="0" w:firstRowFirstColumn="0" w:firstRowLastColumn="0" w:lastRowFirstColumn="0" w:lastRowLastColumn="0"/>
              <w:rPr>
                <w:b/>
                <w:color w:val="FFFFFF" w:themeColor="background1"/>
              </w:rPr>
            </w:pPr>
            <w:r w:rsidRPr="00E93CBF">
              <w:rPr>
                <w:b/>
                <w:color w:val="FFFFFF" w:themeColor="background1"/>
              </w:rPr>
              <w:t>13.6 (0.3)</w:t>
            </w:r>
          </w:p>
        </w:tc>
      </w:tr>
      <w:tr w:rsidR="009E11F5" w:rsidRPr="00EF4DED" w14:paraId="5DE944F4" w14:textId="77777777" w:rsidTr="005737A9">
        <w:trPr>
          <w:cnfStyle w:val="000000100000" w:firstRow="0" w:lastRow="0" w:firstColumn="0" w:lastColumn="0" w:oddVBand="0" w:evenVBand="0" w:oddHBand="1" w:evenHBand="0" w:firstRowFirstColumn="0" w:firstRowLastColumn="0" w:lastRowFirstColumn="0" w:lastRowLastColumn="0"/>
          <w:trHeight w:val="545"/>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tcPr>
          <w:p w14:paraId="17C7C552" w14:textId="77777777" w:rsidR="009E11F5" w:rsidRPr="00A54B8C" w:rsidRDefault="009E11F5" w:rsidP="005737A9">
            <w:pPr>
              <w:spacing w:line="259" w:lineRule="auto"/>
            </w:pPr>
            <w:r w:rsidRPr="00A54B8C">
              <w:t>Sequestering carbon in soils (measured)</w:t>
            </w:r>
          </w:p>
        </w:tc>
        <w:tc>
          <w:tcPr>
            <w:tcW w:w="7107" w:type="dxa"/>
            <w:gridSpan w:val="3"/>
            <w:shd w:val="clear" w:color="auto" w:fill="auto"/>
            <w:tcMar>
              <w:left w:w="57" w:type="dxa"/>
              <w:right w:w="57" w:type="dxa"/>
            </w:tcMar>
            <w:vAlign w:val="center"/>
          </w:tcPr>
          <w:p w14:paraId="65E98F03" w14:textId="77777777" w:rsidR="009E11F5" w:rsidRPr="00A54B8C" w:rsidRDefault="009E11F5" w:rsidP="005737A9">
            <w:pPr>
              <w:spacing w:line="259" w:lineRule="auto"/>
              <w:cnfStyle w:val="000000100000" w:firstRow="0" w:lastRow="0" w:firstColumn="0" w:lastColumn="0" w:oddVBand="0" w:evenVBand="0" w:oddHBand="1" w:evenHBand="0" w:firstRowFirstColumn="0" w:firstRowLastColumn="0" w:lastRowFirstColumn="0" w:lastRowLastColumn="0"/>
            </w:pPr>
            <w:r w:rsidRPr="00A54B8C">
              <w:t>Increases the carbon stored in soils in agricultural systems as a result of changed management practices. The amount of carbon sequestered is estimated by direct-measurement using soil sampling.</w:t>
            </w:r>
          </w:p>
          <w:p w14:paraId="4C205715" w14:textId="77777777" w:rsidR="009E11F5" w:rsidRPr="00A54B8C" w:rsidRDefault="009E11F5" w:rsidP="005737A9">
            <w:pPr>
              <w:spacing w:line="259" w:lineRule="auto"/>
              <w:cnfStyle w:val="000000100000" w:firstRow="0" w:lastRow="0" w:firstColumn="0" w:lastColumn="0" w:oddVBand="0" w:evenVBand="0" w:oddHBand="1" w:evenHBand="0" w:firstRowFirstColumn="0" w:firstRowLastColumn="0" w:lastRowFirstColumn="0" w:lastRowLastColumn="0"/>
            </w:pPr>
            <w:r w:rsidRPr="00A54B8C">
              <w:t>Includes ACCUs contracted under the grazing systems method, now closed to new projects.</w:t>
            </w:r>
          </w:p>
        </w:tc>
        <w:tc>
          <w:tcPr>
            <w:tcW w:w="1231" w:type="dxa"/>
            <w:shd w:val="clear" w:color="auto" w:fill="auto"/>
            <w:tcMar>
              <w:left w:w="57" w:type="dxa"/>
              <w:right w:w="57" w:type="dxa"/>
            </w:tcMar>
            <w:vAlign w:val="center"/>
          </w:tcPr>
          <w:p w14:paraId="0FB9972D" w14:textId="77777777" w:rsidR="009E11F5" w:rsidRPr="00A54B8C" w:rsidRDefault="009E11F5" w:rsidP="005737A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414141"/>
                <w:szCs w:val="20"/>
              </w:rPr>
            </w:pPr>
            <w:r w:rsidRPr="00A54B8C">
              <w:rPr>
                <w:rFonts w:cs="Arial"/>
                <w:color w:val="414141"/>
                <w:szCs w:val="20"/>
              </w:rPr>
              <w:t>13.6 (0.3)</w:t>
            </w:r>
          </w:p>
        </w:tc>
      </w:tr>
      <w:tr w:rsidR="009E11F5" w:rsidRPr="000059D7" w14:paraId="3D9C9637" w14:textId="77777777" w:rsidTr="005737A9">
        <w:trPr>
          <w:trHeight w:val="932"/>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tcPr>
          <w:p w14:paraId="590739E7" w14:textId="77777777" w:rsidR="009E11F5" w:rsidRPr="000059D7" w:rsidRDefault="009E11F5" w:rsidP="005737A9">
            <w:pPr>
              <w:spacing w:after="160" w:line="259" w:lineRule="auto"/>
            </w:pPr>
            <w:r w:rsidRPr="000059D7">
              <w:t>Estimating sequestration of carbon in soil using default values</w:t>
            </w:r>
          </w:p>
        </w:tc>
        <w:tc>
          <w:tcPr>
            <w:tcW w:w="7107" w:type="dxa"/>
            <w:gridSpan w:val="3"/>
            <w:shd w:val="clear" w:color="auto" w:fill="auto"/>
            <w:tcMar>
              <w:left w:w="57" w:type="dxa"/>
              <w:right w:w="57" w:type="dxa"/>
            </w:tcMar>
            <w:vAlign w:val="center"/>
          </w:tcPr>
          <w:p w14:paraId="05453707" w14:textId="77777777" w:rsidR="009E11F5" w:rsidRPr="000059D7"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0059D7">
              <w:t>Increases the carbon stored in soil through one or more of three project management activities: sustainable intensification (increasing biomass yields through inputs such as fertiliser, lime and water), stubble retention or conversion to pasture. The amount of carbon stored is estimated using default values that are based on FullCAM modelling.</w:t>
            </w:r>
          </w:p>
        </w:tc>
        <w:tc>
          <w:tcPr>
            <w:tcW w:w="1231" w:type="dxa"/>
            <w:shd w:val="clear" w:color="auto" w:fill="auto"/>
            <w:tcMar>
              <w:left w:w="57" w:type="dxa"/>
              <w:right w:w="57" w:type="dxa"/>
            </w:tcMar>
            <w:vAlign w:val="center"/>
          </w:tcPr>
          <w:p w14:paraId="4B5CAE6E" w14:textId="77777777" w:rsidR="009E11F5" w:rsidRPr="000059D7" w:rsidRDefault="009E11F5" w:rsidP="005737A9">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54B8C">
              <w:t>0.0</w:t>
            </w:r>
          </w:p>
        </w:tc>
      </w:tr>
      <w:tr w:rsidR="009E11F5" w:rsidRPr="000059D7" w14:paraId="1AD6DC6E" w14:textId="77777777" w:rsidTr="00E93CBF">
        <w:trPr>
          <w:cnfStyle w:val="000000100000" w:firstRow="0" w:lastRow="0" w:firstColumn="0" w:lastColumn="0" w:oddVBand="0" w:evenVBand="0" w:oddHBand="1" w:evenHBand="0" w:firstRowFirstColumn="0" w:firstRowLastColumn="0" w:lastRowFirstColumn="0" w:lastRowLastColumn="0"/>
          <w:trHeight w:val="187"/>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1EAEFF" w:themeFill="accent2" w:themeFillTint="80"/>
            <w:tcMar>
              <w:left w:w="57" w:type="dxa"/>
              <w:right w:w="57" w:type="dxa"/>
            </w:tcMar>
            <w:vAlign w:val="center"/>
          </w:tcPr>
          <w:p w14:paraId="3B3B972B" w14:textId="77777777" w:rsidR="009E11F5" w:rsidRPr="000059D7" w:rsidRDefault="009E11F5" w:rsidP="005737A9">
            <w:pPr>
              <w:spacing w:after="160" w:line="259" w:lineRule="auto"/>
            </w:pPr>
            <w:r w:rsidRPr="00E93CBF">
              <w:rPr>
                <w:color w:val="FFFFFF" w:themeColor="background1"/>
              </w:rPr>
              <w:t>Agriculture - other</w:t>
            </w:r>
          </w:p>
        </w:tc>
        <w:tc>
          <w:tcPr>
            <w:tcW w:w="7107" w:type="dxa"/>
            <w:gridSpan w:val="3"/>
            <w:shd w:val="clear" w:color="auto" w:fill="1EAEFF" w:themeFill="accent2" w:themeFillTint="80"/>
            <w:tcMar>
              <w:left w:w="57" w:type="dxa"/>
              <w:right w:w="57" w:type="dxa"/>
            </w:tcMar>
            <w:vAlign w:val="center"/>
          </w:tcPr>
          <w:p w14:paraId="782328A1" w14:textId="77777777" w:rsidR="009E11F5" w:rsidRPr="000059D7" w:rsidRDefault="009E11F5" w:rsidP="005737A9">
            <w:pPr>
              <w:spacing w:line="259" w:lineRule="auto"/>
              <w:cnfStyle w:val="000000100000" w:firstRow="0" w:lastRow="0" w:firstColumn="0" w:lastColumn="0" w:oddVBand="0" w:evenVBand="0" w:oddHBand="1" w:evenHBand="0" w:firstRowFirstColumn="0" w:firstRowLastColumn="0" w:lastRowFirstColumn="0" w:lastRowLastColumn="0"/>
            </w:pPr>
          </w:p>
        </w:tc>
        <w:tc>
          <w:tcPr>
            <w:tcW w:w="1231" w:type="dxa"/>
            <w:shd w:val="clear" w:color="auto" w:fill="1EAEFF" w:themeFill="accent2" w:themeFillTint="80"/>
            <w:tcMar>
              <w:left w:w="57" w:type="dxa"/>
              <w:right w:w="57" w:type="dxa"/>
            </w:tcMar>
            <w:vAlign w:val="center"/>
          </w:tcPr>
          <w:p w14:paraId="77DAAAC9" w14:textId="77777777" w:rsidR="009E11F5" w:rsidRDefault="009E11F5" w:rsidP="005737A9">
            <w:pPr>
              <w:spacing w:line="259" w:lineRule="auto"/>
              <w:jc w:val="center"/>
              <w:cnfStyle w:val="000000100000" w:firstRow="0" w:lastRow="0" w:firstColumn="0" w:lastColumn="0" w:oddVBand="0" w:evenVBand="0" w:oddHBand="1" w:evenHBand="0" w:firstRowFirstColumn="0" w:firstRowLastColumn="0" w:lastRowFirstColumn="0" w:lastRowLastColumn="0"/>
            </w:pPr>
            <w:r w:rsidRPr="00E93CBF">
              <w:rPr>
                <w:b/>
                <w:color w:val="FFFFFF" w:themeColor="background1"/>
              </w:rPr>
              <w:t>1.1</w:t>
            </w:r>
          </w:p>
        </w:tc>
      </w:tr>
      <w:tr w:rsidR="009E11F5" w:rsidRPr="000059D7" w14:paraId="751695D1" w14:textId="77777777" w:rsidTr="005737A9">
        <w:trPr>
          <w:trHeight w:val="559"/>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tcPr>
          <w:p w14:paraId="3FD321BB" w14:textId="77777777" w:rsidR="009E11F5" w:rsidRPr="000059D7" w:rsidRDefault="009E11F5" w:rsidP="005737A9">
            <w:pPr>
              <w:spacing w:line="259" w:lineRule="auto"/>
            </w:pPr>
            <w:r>
              <w:t>Animal effluent management</w:t>
            </w:r>
          </w:p>
        </w:tc>
        <w:tc>
          <w:tcPr>
            <w:tcW w:w="7107" w:type="dxa"/>
            <w:gridSpan w:val="3"/>
            <w:shd w:val="clear" w:color="auto" w:fill="auto"/>
            <w:tcMar>
              <w:left w:w="57" w:type="dxa"/>
              <w:right w:w="57" w:type="dxa"/>
            </w:tcMar>
            <w:vAlign w:val="center"/>
          </w:tcPr>
          <w:p w14:paraId="21C1DE80" w14:textId="77777777" w:rsidR="009E11F5" w:rsidRPr="000059D7" w:rsidRDefault="009E11F5" w:rsidP="005737A9">
            <w:pPr>
              <w:spacing w:line="259" w:lineRule="auto"/>
              <w:cnfStyle w:val="000000000000" w:firstRow="0" w:lastRow="0" w:firstColumn="0" w:lastColumn="0" w:oddVBand="0" w:evenVBand="0" w:oddHBand="0" w:evenHBand="0" w:firstRowFirstColumn="0" w:firstRowLastColumn="0" w:lastRowFirstColumn="0" w:lastRowLastColumn="0"/>
            </w:pPr>
            <w:r>
              <w:t xml:space="preserve">Prevents the release of emissions generated from piggery and dairy manure by either collecting and combusting the methane component, or avoiding emissions of methane and nitrous oxide through the treatment of solid waste, or both. Includes ACCUs contracted under the piggeries and dairy methods, now closed to new projects. </w:t>
            </w:r>
          </w:p>
        </w:tc>
        <w:tc>
          <w:tcPr>
            <w:tcW w:w="1231" w:type="dxa"/>
            <w:shd w:val="clear" w:color="auto" w:fill="auto"/>
            <w:tcMar>
              <w:left w:w="57" w:type="dxa"/>
              <w:right w:w="57" w:type="dxa"/>
            </w:tcMar>
            <w:vAlign w:val="center"/>
          </w:tcPr>
          <w:p w14:paraId="258186A1" w14:textId="77777777" w:rsidR="009E11F5" w:rsidRDefault="009E11F5" w:rsidP="005737A9">
            <w:pPr>
              <w:spacing w:line="259" w:lineRule="auto"/>
              <w:jc w:val="center"/>
              <w:cnfStyle w:val="000000000000" w:firstRow="0" w:lastRow="0" w:firstColumn="0" w:lastColumn="0" w:oddVBand="0" w:evenVBand="0" w:oddHBand="0" w:evenHBand="0" w:firstRowFirstColumn="0" w:firstRowLastColumn="0" w:lastRowFirstColumn="0" w:lastRowLastColumn="0"/>
            </w:pPr>
            <w:r w:rsidRPr="00A54B8C">
              <w:t>0.9</w:t>
            </w:r>
          </w:p>
        </w:tc>
      </w:tr>
      <w:tr w:rsidR="009E11F5" w:rsidRPr="000059D7" w14:paraId="732704E4" w14:textId="77777777" w:rsidTr="005737A9">
        <w:trPr>
          <w:cnfStyle w:val="000000100000" w:firstRow="0" w:lastRow="0" w:firstColumn="0" w:lastColumn="0" w:oddVBand="0" w:evenVBand="0" w:oddHBand="1" w:evenHBand="0" w:firstRowFirstColumn="0" w:firstRowLastColumn="0" w:lastRowFirstColumn="0" w:lastRowLastColumn="0"/>
          <w:trHeight w:val="559"/>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7E7E7021" w14:textId="77777777" w:rsidR="009E11F5" w:rsidRPr="000059D7" w:rsidRDefault="009E11F5" w:rsidP="005737A9">
            <w:pPr>
              <w:spacing w:after="160" w:line="259" w:lineRule="auto"/>
            </w:pPr>
            <w:r w:rsidRPr="000059D7">
              <w:t>Fertiliser use efficiency in irrigated cotton</w:t>
            </w:r>
          </w:p>
        </w:tc>
        <w:tc>
          <w:tcPr>
            <w:tcW w:w="7107" w:type="dxa"/>
            <w:gridSpan w:val="3"/>
            <w:shd w:val="clear" w:color="auto" w:fill="auto"/>
            <w:tcMar>
              <w:left w:w="57" w:type="dxa"/>
              <w:right w:w="57" w:type="dxa"/>
            </w:tcMar>
            <w:vAlign w:val="center"/>
          </w:tcPr>
          <w:p w14:paraId="53A08FE8" w14:textId="77777777" w:rsidR="009E11F5" w:rsidRPr="000059D7"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r w:rsidRPr="000059D7">
              <w:t>Improves the efficiency of synthetic fertiliser use in irrigated cotton, reducing nitrous oxide emissions by activities such as changing the rate, timing or type of nitrogen fertiliser application.</w:t>
            </w:r>
          </w:p>
        </w:tc>
        <w:tc>
          <w:tcPr>
            <w:tcW w:w="1231" w:type="dxa"/>
            <w:shd w:val="clear" w:color="auto" w:fill="auto"/>
            <w:tcMar>
              <w:left w:w="57" w:type="dxa"/>
              <w:right w:w="57" w:type="dxa"/>
            </w:tcMar>
            <w:vAlign w:val="center"/>
          </w:tcPr>
          <w:p w14:paraId="51BDA31A" w14:textId="77777777" w:rsidR="009E11F5" w:rsidRPr="000059D7" w:rsidRDefault="009E11F5" w:rsidP="005737A9">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54B8C">
              <w:t>0.0</w:t>
            </w:r>
          </w:p>
        </w:tc>
      </w:tr>
      <w:tr w:rsidR="009E11F5" w:rsidRPr="000059D7" w14:paraId="10A53625" w14:textId="77777777" w:rsidTr="005737A9">
        <w:trPr>
          <w:trHeight w:val="704"/>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AF3A6F9" w14:textId="77777777" w:rsidR="009E11F5" w:rsidRPr="000059D7" w:rsidRDefault="009E11F5" w:rsidP="005737A9">
            <w:pPr>
              <w:spacing w:after="160" w:line="259" w:lineRule="auto"/>
            </w:pPr>
            <w:r w:rsidRPr="000059D7">
              <w:t>Beef cattle herd management</w:t>
            </w:r>
          </w:p>
        </w:tc>
        <w:tc>
          <w:tcPr>
            <w:tcW w:w="7107" w:type="dxa"/>
            <w:gridSpan w:val="3"/>
            <w:shd w:val="clear" w:color="auto" w:fill="auto"/>
            <w:tcMar>
              <w:left w:w="57" w:type="dxa"/>
              <w:right w:w="57" w:type="dxa"/>
            </w:tcMar>
            <w:vAlign w:val="center"/>
          </w:tcPr>
          <w:p w14:paraId="305979F2" w14:textId="77777777" w:rsidR="009E11F5" w:rsidRPr="000059D7"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0059D7">
              <w:t>Reduces the emissions intensity of beef cattle production through a broad range of management activities that may include introducing supplement feeding, improving pastures and installing fences to control herd movements.</w:t>
            </w:r>
          </w:p>
        </w:tc>
        <w:tc>
          <w:tcPr>
            <w:tcW w:w="1231" w:type="dxa"/>
            <w:shd w:val="clear" w:color="auto" w:fill="auto"/>
            <w:tcMar>
              <w:left w:w="57" w:type="dxa"/>
              <w:right w:w="57" w:type="dxa"/>
            </w:tcMar>
            <w:vAlign w:val="center"/>
          </w:tcPr>
          <w:p w14:paraId="73A80A6F" w14:textId="77777777" w:rsidR="009E11F5" w:rsidRPr="000059D7" w:rsidRDefault="009E11F5" w:rsidP="005737A9">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54B8C">
              <w:t>0.2</w:t>
            </w:r>
          </w:p>
        </w:tc>
      </w:tr>
      <w:tr w:rsidR="009E11F5" w:rsidRPr="000059D7" w14:paraId="3CDE5B58" w14:textId="77777777" w:rsidTr="005737A9">
        <w:trPr>
          <w:cnfStyle w:val="000000100000" w:firstRow="0" w:lastRow="0" w:firstColumn="0" w:lastColumn="0" w:oddVBand="0" w:evenVBand="0" w:oddHBand="1" w:evenHBand="0" w:firstRowFirstColumn="0" w:firstRowLastColumn="0" w:lastRowFirstColumn="0" w:lastRowLastColumn="0"/>
          <w:trHeight w:val="732"/>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2D1AD99F" w14:textId="77777777" w:rsidR="009E11F5" w:rsidRPr="000059D7" w:rsidRDefault="009E11F5" w:rsidP="005737A9">
            <w:pPr>
              <w:spacing w:after="160" w:line="259" w:lineRule="auto"/>
            </w:pPr>
            <w:r w:rsidRPr="000059D7">
              <w:t xml:space="preserve">Reducing greenhouse gas emissions in beef cattle through feeding nitrate containing supplements* </w:t>
            </w:r>
          </w:p>
        </w:tc>
        <w:tc>
          <w:tcPr>
            <w:tcW w:w="7107" w:type="dxa"/>
            <w:gridSpan w:val="3"/>
            <w:shd w:val="clear" w:color="auto" w:fill="auto"/>
            <w:tcMar>
              <w:left w:w="57" w:type="dxa"/>
              <w:right w:w="57" w:type="dxa"/>
            </w:tcMar>
            <w:vAlign w:val="center"/>
          </w:tcPr>
          <w:p w14:paraId="7A1B7ABB" w14:textId="77777777" w:rsidR="009E11F5" w:rsidRPr="000059D7"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r w:rsidRPr="000059D7">
              <w:t>Reduces methane emissions from enteric fermentation by replacing urea lick blocks with nitrate lick blocks for pasture-fed beef cattle.</w:t>
            </w:r>
          </w:p>
        </w:tc>
        <w:tc>
          <w:tcPr>
            <w:tcW w:w="1231" w:type="dxa"/>
            <w:shd w:val="clear" w:color="auto" w:fill="auto"/>
            <w:tcMar>
              <w:left w:w="57" w:type="dxa"/>
              <w:right w:w="57" w:type="dxa"/>
            </w:tcMar>
            <w:vAlign w:val="center"/>
          </w:tcPr>
          <w:p w14:paraId="0B404D33" w14:textId="77777777" w:rsidR="009E11F5" w:rsidRPr="00635712" w:rsidRDefault="009E11F5" w:rsidP="005737A9">
            <w:pPr>
              <w:spacing w:after="160" w:line="259" w:lineRule="auto"/>
              <w:jc w:val="center"/>
              <w:cnfStyle w:val="000000100000" w:firstRow="0" w:lastRow="0" w:firstColumn="0" w:lastColumn="0" w:oddVBand="0" w:evenVBand="0" w:oddHBand="1" w:evenHBand="0" w:firstRowFirstColumn="0" w:firstRowLastColumn="0" w:lastRowFirstColumn="0" w:lastRowLastColumn="0"/>
              <w:rPr>
                <w:highlight w:val="cyan"/>
              </w:rPr>
            </w:pPr>
            <w:r w:rsidRPr="00A54B8C">
              <w:t>0.0</w:t>
            </w:r>
          </w:p>
        </w:tc>
      </w:tr>
      <w:tr w:rsidR="009E11F5" w:rsidRPr="000059D7" w14:paraId="0FBFF070" w14:textId="77777777" w:rsidTr="005737A9">
        <w:trPr>
          <w:trHeight w:val="745"/>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97F647F" w14:textId="77777777" w:rsidR="009E11F5" w:rsidRDefault="009E11F5" w:rsidP="005737A9">
            <w:pPr>
              <w:spacing w:after="160" w:line="259" w:lineRule="auto"/>
            </w:pPr>
            <w:r w:rsidRPr="000059D7">
              <w:t>Reducing greenhouse gas emissions in milking cows through feeding dietary additives*</w:t>
            </w:r>
          </w:p>
          <w:p w14:paraId="673F1CB9" w14:textId="77777777" w:rsidR="0091099F" w:rsidRDefault="0091099F" w:rsidP="005737A9">
            <w:pPr>
              <w:spacing w:after="160" w:line="259" w:lineRule="auto"/>
            </w:pPr>
          </w:p>
          <w:p w14:paraId="39631330" w14:textId="77777777" w:rsidR="0091099F" w:rsidRPr="000059D7" w:rsidRDefault="0091099F" w:rsidP="005737A9">
            <w:pPr>
              <w:spacing w:after="160" w:line="259" w:lineRule="auto"/>
            </w:pPr>
          </w:p>
        </w:tc>
        <w:tc>
          <w:tcPr>
            <w:tcW w:w="7107" w:type="dxa"/>
            <w:gridSpan w:val="3"/>
            <w:shd w:val="clear" w:color="auto" w:fill="auto"/>
            <w:tcMar>
              <w:left w:w="57" w:type="dxa"/>
              <w:right w:w="57" w:type="dxa"/>
            </w:tcMar>
            <w:vAlign w:val="center"/>
          </w:tcPr>
          <w:p w14:paraId="28E3F892" w14:textId="77777777" w:rsidR="009E11F5" w:rsidRPr="000059D7"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0059D7">
              <w:t>Reduces methane emissions from enteric fermentation by improving feed quality for milking cows. Eligible additives increase the fat content of a milking cow's diet, for example canola meal. Increasing the fat content of a milking cow’s diet reduces the emissions that result from the digestion process.</w:t>
            </w:r>
          </w:p>
        </w:tc>
        <w:tc>
          <w:tcPr>
            <w:tcW w:w="1231" w:type="dxa"/>
            <w:shd w:val="clear" w:color="auto" w:fill="auto"/>
            <w:tcMar>
              <w:left w:w="57" w:type="dxa"/>
              <w:right w:w="57" w:type="dxa"/>
            </w:tcMar>
            <w:vAlign w:val="center"/>
          </w:tcPr>
          <w:p w14:paraId="4CC3D49A" w14:textId="77777777" w:rsidR="009E11F5" w:rsidRPr="000059D7" w:rsidRDefault="009E11F5" w:rsidP="005737A9">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54B8C">
              <w:t>0.0</w:t>
            </w:r>
          </w:p>
        </w:tc>
      </w:tr>
      <w:tr w:rsidR="009E11F5" w:rsidRPr="000059D7" w14:paraId="131F58E1" w14:textId="77777777" w:rsidTr="00E93CBF">
        <w:trPr>
          <w:cnfStyle w:val="000000100000" w:firstRow="0" w:lastRow="0" w:firstColumn="0" w:lastColumn="0" w:oddVBand="0" w:evenVBand="0" w:oddHBand="1" w:evenHBand="0" w:firstRowFirstColumn="0" w:firstRowLastColumn="0" w:lastRowFirstColumn="0" w:lastRowLastColumn="0"/>
          <w:trHeight w:val="186"/>
          <w:jc w:val="right"/>
        </w:trPr>
        <w:tc>
          <w:tcPr>
            <w:cnfStyle w:val="001000000000" w:firstRow="0" w:lastRow="0" w:firstColumn="1" w:lastColumn="0" w:oddVBand="0" w:evenVBand="0" w:oddHBand="0" w:evenHBand="0" w:firstRowFirstColumn="0" w:firstRowLastColumn="0" w:lastRowFirstColumn="0" w:lastRowLastColumn="0"/>
            <w:tcW w:w="5119" w:type="dxa"/>
            <w:gridSpan w:val="2"/>
            <w:shd w:val="clear" w:color="auto" w:fill="1EAEFF" w:themeFill="accent2" w:themeFillTint="80"/>
            <w:tcMar>
              <w:left w:w="57" w:type="dxa"/>
              <w:right w:w="57" w:type="dxa"/>
            </w:tcMar>
            <w:vAlign w:val="center"/>
          </w:tcPr>
          <w:p w14:paraId="5177C005" w14:textId="77777777" w:rsidR="009E11F5" w:rsidRPr="000059D7" w:rsidRDefault="009E11F5" w:rsidP="005737A9">
            <w:pPr>
              <w:spacing w:after="160" w:line="259" w:lineRule="auto"/>
            </w:pPr>
            <w:r w:rsidRPr="00E93CBF">
              <w:rPr>
                <w:color w:val="FFFFFF" w:themeColor="background1"/>
              </w:rPr>
              <w:t>Savanna Burning</w:t>
            </w:r>
          </w:p>
        </w:tc>
        <w:tc>
          <w:tcPr>
            <w:tcW w:w="5355" w:type="dxa"/>
            <w:gridSpan w:val="3"/>
            <w:shd w:val="clear" w:color="auto" w:fill="1EAEFF" w:themeFill="accent2" w:themeFillTint="80"/>
            <w:vAlign w:val="center"/>
          </w:tcPr>
          <w:p w14:paraId="7A0E56A8" w14:textId="77777777" w:rsidR="009E11F5" w:rsidRPr="000059D7" w:rsidRDefault="009E11F5" w:rsidP="005737A9">
            <w:pPr>
              <w:spacing w:line="259" w:lineRule="auto"/>
              <w:jc w:val="right"/>
              <w:cnfStyle w:val="000000100000" w:firstRow="0" w:lastRow="0" w:firstColumn="0" w:lastColumn="0" w:oddVBand="0" w:evenVBand="0" w:oddHBand="1" w:evenHBand="0" w:firstRowFirstColumn="0" w:firstRowLastColumn="0" w:lastRowFirstColumn="0" w:lastRowLastColumn="0"/>
              <w:rPr>
                <w:b/>
                <w:bCs/>
              </w:rPr>
            </w:pPr>
            <w:r w:rsidRPr="00E93CBF">
              <w:rPr>
                <w:b/>
                <w:color w:val="FFFFFF" w:themeColor="background1"/>
              </w:rPr>
              <w:t>13.6</w:t>
            </w:r>
          </w:p>
        </w:tc>
      </w:tr>
      <w:tr w:rsidR="009E11F5" w:rsidRPr="000059D7" w14:paraId="354A81AF" w14:textId="77777777" w:rsidTr="005737A9">
        <w:trPr>
          <w:trHeight w:val="559"/>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4A16E4E" w14:textId="77777777" w:rsidR="009E11F5" w:rsidRPr="000059D7" w:rsidRDefault="009E11F5" w:rsidP="005737A9">
            <w:pPr>
              <w:spacing w:after="160" w:line="259" w:lineRule="auto"/>
            </w:pPr>
            <w:r w:rsidRPr="000059D7">
              <w:t>Savanna fire management</w:t>
            </w:r>
          </w:p>
        </w:tc>
        <w:tc>
          <w:tcPr>
            <w:tcW w:w="7107" w:type="dxa"/>
            <w:gridSpan w:val="3"/>
            <w:shd w:val="clear" w:color="auto" w:fill="auto"/>
            <w:tcMar>
              <w:left w:w="57" w:type="dxa"/>
              <w:right w:w="57" w:type="dxa"/>
            </w:tcMar>
            <w:vAlign w:val="center"/>
          </w:tcPr>
          <w:p w14:paraId="30117383" w14:textId="77777777" w:rsidR="009E11F5" w:rsidRPr="000059D7"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0059D7">
              <w:t>Reduces greenhouse gas emissions through fire management in the early dry season in northern savannas, aimed at reducing the incidence and extent of larger, higher intensity late dry season fires.</w:t>
            </w:r>
          </w:p>
        </w:tc>
        <w:tc>
          <w:tcPr>
            <w:tcW w:w="1231" w:type="dxa"/>
            <w:shd w:val="clear" w:color="auto" w:fill="auto"/>
            <w:tcMar>
              <w:left w:w="57" w:type="dxa"/>
              <w:right w:w="57" w:type="dxa"/>
            </w:tcMar>
            <w:vAlign w:val="center"/>
          </w:tcPr>
          <w:p w14:paraId="288945E1" w14:textId="77777777" w:rsidR="009E11F5" w:rsidRPr="000059D7" w:rsidRDefault="009E11F5" w:rsidP="005737A9">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54B8C">
              <w:t>13.6</w:t>
            </w:r>
          </w:p>
        </w:tc>
      </w:tr>
      <w:tr w:rsidR="009E11F5" w:rsidRPr="00A54B8C" w14:paraId="485B4289" w14:textId="77777777" w:rsidTr="005737A9">
        <w:trPr>
          <w:cnfStyle w:val="000000100000" w:firstRow="0" w:lastRow="0" w:firstColumn="0" w:lastColumn="0" w:oddVBand="0" w:evenVBand="0" w:oddHBand="1" w:evenHBand="0" w:firstRowFirstColumn="0" w:firstRowLastColumn="0" w:lastRowFirstColumn="0" w:lastRowLastColumn="0"/>
          <w:trHeight w:val="559"/>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tcPr>
          <w:p w14:paraId="065DF237" w14:textId="77777777" w:rsidR="009E11F5" w:rsidRPr="000059D7" w:rsidRDefault="009E11F5" w:rsidP="005737A9">
            <w:pPr>
              <w:spacing w:line="259" w:lineRule="auto"/>
            </w:pPr>
            <w:r w:rsidRPr="000059D7">
              <w:t>Savanna fire management</w:t>
            </w:r>
            <w:r>
              <w:t xml:space="preserve"> and sequestration</w:t>
            </w:r>
          </w:p>
        </w:tc>
        <w:tc>
          <w:tcPr>
            <w:tcW w:w="7107" w:type="dxa"/>
            <w:gridSpan w:val="3"/>
            <w:shd w:val="clear" w:color="auto" w:fill="auto"/>
            <w:tcMar>
              <w:left w:w="57" w:type="dxa"/>
              <w:right w:w="57" w:type="dxa"/>
            </w:tcMar>
            <w:vAlign w:val="center"/>
          </w:tcPr>
          <w:p w14:paraId="5D21E113" w14:textId="77777777" w:rsidR="009E11F5" w:rsidRPr="00A54B8C" w:rsidRDefault="009E11F5" w:rsidP="005737A9">
            <w:pPr>
              <w:spacing w:line="259" w:lineRule="auto"/>
              <w:cnfStyle w:val="000000100000" w:firstRow="0" w:lastRow="0" w:firstColumn="0" w:lastColumn="0" w:oddVBand="0" w:evenVBand="0" w:oddHBand="1" w:evenHBand="0" w:firstRowFirstColumn="0" w:firstRowLastColumn="0" w:lastRowFirstColumn="0" w:lastRowLastColumn="0"/>
            </w:pPr>
            <w:r w:rsidRPr="00A54B8C">
              <w:t xml:space="preserve">Reduces greenhouse gas emissions through fire management in the early dry season in northern savannas, aimed at reducing the incidence and extent of larger, higher intensity late dry season fires. In addition, this method credits increased carbon storage as a result of changed fire management. </w:t>
            </w:r>
          </w:p>
        </w:tc>
        <w:tc>
          <w:tcPr>
            <w:tcW w:w="1231" w:type="dxa"/>
            <w:shd w:val="clear" w:color="auto" w:fill="auto"/>
            <w:tcMar>
              <w:left w:w="57" w:type="dxa"/>
              <w:right w:w="57" w:type="dxa"/>
            </w:tcMar>
            <w:vAlign w:val="center"/>
          </w:tcPr>
          <w:p w14:paraId="77C47F79" w14:textId="77777777" w:rsidR="009E11F5" w:rsidRPr="00A54B8C" w:rsidRDefault="009E11F5" w:rsidP="005737A9">
            <w:pPr>
              <w:spacing w:line="259" w:lineRule="auto"/>
              <w:jc w:val="center"/>
              <w:cnfStyle w:val="000000100000" w:firstRow="0" w:lastRow="0" w:firstColumn="0" w:lastColumn="0" w:oddVBand="0" w:evenVBand="0" w:oddHBand="1" w:evenHBand="0" w:firstRowFirstColumn="0" w:firstRowLastColumn="0" w:lastRowFirstColumn="0" w:lastRowLastColumn="0"/>
            </w:pPr>
            <w:r w:rsidRPr="00A54B8C">
              <w:t>0.0</w:t>
            </w:r>
          </w:p>
        </w:tc>
      </w:tr>
      <w:tr w:rsidR="009E11F5" w:rsidRPr="00A54B8C" w14:paraId="0759A675" w14:textId="77777777" w:rsidTr="00E93CBF">
        <w:trPr>
          <w:trHeight w:val="173"/>
          <w:jc w:val="right"/>
        </w:trPr>
        <w:tc>
          <w:tcPr>
            <w:cnfStyle w:val="001000000000" w:firstRow="0" w:lastRow="0" w:firstColumn="1" w:lastColumn="0" w:oddVBand="0" w:evenVBand="0" w:oddHBand="0" w:evenHBand="0" w:firstRowFirstColumn="0" w:firstRowLastColumn="0" w:lastRowFirstColumn="0" w:lastRowLastColumn="0"/>
            <w:tcW w:w="5119" w:type="dxa"/>
            <w:gridSpan w:val="2"/>
            <w:shd w:val="clear" w:color="auto" w:fill="1EAEFF" w:themeFill="accent2" w:themeFillTint="80"/>
            <w:tcMar>
              <w:left w:w="57" w:type="dxa"/>
              <w:right w:w="57" w:type="dxa"/>
            </w:tcMar>
            <w:vAlign w:val="center"/>
          </w:tcPr>
          <w:p w14:paraId="70146C17" w14:textId="77777777" w:rsidR="009E11F5" w:rsidRPr="00A54B8C" w:rsidRDefault="009E11F5" w:rsidP="005737A9">
            <w:pPr>
              <w:spacing w:line="259" w:lineRule="auto"/>
              <w:rPr>
                <w:b w:val="0"/>
                <w:bCs w:val="0"/>
              </w:rPr>
            </w:pPr>
            <w:r w:rsidRPr="00E93CBF">
              <w:rPr>
                <w:color w:val="FFFFFF" w:themeColor="background1"/>
              </w:rPr>
              <w:t>Fugitives (Mining, oil and gas)</w:t>
            </w:r>
          </w:p>
        </w:tc>
        <w:tc>
          <w:tcPr>
            <w:tcW w:w="5355" w:type="dxa"/>
            <w:gridSpan w:val="3"/>
            <w:shd w:val="clear" w:color="auto" w:fill="1EAEFF" w:themeFill="accent2" w:themeFillTint="80"/>
            <w:vAlign w:val="center"/>
          </w:tcPr>
          <w:p w14:paraId="5A83A4E4" w14:textId="77777777" w:rsidR="009E11F5" w:rsidRPr="00A54B8C" w:rsidRDefault="009E11F5" w:rsidP="005737A9">
            <w:pPr>
              <w:spacing w:after="160" w:line="259" w:lineRule="auto"/>
              <w:jc w:val="right"/>
              <w:cnfStyle w:val="000000000000" w:firstRow="0" w:lastRow="0" w:firstColumn="0" w:lastColumn="0" w:oddVBand="0" w:evenVBand="0" w:oddHBand="0" w:evenHBand="0" w:firstRowFirstColumn="0" w:firstRowLastColumn="0" w:lastRowFirstColumn="0" w:lastRowLastColumn="0"/>
              <w:rPr>
                <w:b/>
              </w:rPr>
            </w:pPr>
            <w:r w:rsidRPr="00E93CBF">
              <w:rPr>
                <w:b/>
                <w:color w:val="FFFFFF" w:themeColor="background1"/>
              </w:rPr>
              <w:t>2.6</w:t>
            </w:r>
          </w:p>
        </w:tc>
      </w:tr>
      <w:tr w:rsidR="009E11F5" w:rsidRPr="00A54B8C" w14:paraId="63618B32" w14:textId="77777777" w:rsidTr="005737A9">
        <w:trPr>
          <w:cnfStyle w:val="000000100000" w:firstRow="0" w:lastRow="0" w:firstColumn="0" w:lastColumn="0" w:oddVBand="0" w:evenVBand="0" w:oddHBand="1" w:evenHBand="0" w:firstRowFirstColumn="0" w:firstRowLastColumn="0" w:lastRowFirstColumn="0" w:lastRowLastColumn="0"/>
          <w:trHeight w:val="559"/>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15539200" w14:textId="77777777" w:rsidR="009E11F5" w:rsidRPr="000059D7" w:rsidRDefault="009E11F5" w:rsidP="005737A9">
            <w:pPr>
              <w:spacing w:after="160" w:line="259" w:lineRule="auto"/>
            </w:pPr>
            <w:r w:rsidRPr="000059D7">
              <w:t>Coal mine waste gas</w:t>
            </w:r>
          </w:p>
        </w:tc>
        <w:tc>
          <w:tcPr>
            <w:tcW w:w="7107" w:type="dxa"/>
            <w:gridSpan w:val="3"/>
            <w:shd w:val="clear" w:color="auto" w:fill="auto"/>
            <w:tcMar>
              <w:left w:w="57" w:type="dxa"/>
              <w:right w:w="57" w:type="dxa"/>
            </w:tcMar>
            <w:vAlign w:val="center"/>
          </w:tcPr>
          <w:p w14:paraId="4214C605" w14:textId="77777777" w:rsidR="009E11F5" w:rsidRPr="00A54B8C"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r w:rsidRPr="00A54B8C">
              <w:t>Reduces coal mine waste gas methane by installing or expanding the operation of a flare or an electricity production system. Projects may be credited both for methane destruction and for electricity displacement.</w:t>
            </w:r>
          </w:p>
        </w:tc>
        <w:tc>
          <w:tcPr>
            <w:tcW w:w="1231" w:type="dxa"/>
            <w:shd w:val="clear" w:color="auto" w:fill="auto"/>
            <w:tcMar>
              <w:left w:w="57" w:type="dxa"/>
              <w:right w:w="57" w:type="dxa"/>
            </w:tcMar>
            <w:vAlign w:val="center"/>
          </w:tcPr>
          <w:p w14:paraId="31FD7440" w14:textId="77777777" w:rsidR="009E11F5" w:rsidRPr="00A54B8C" w:rsidRDefault="009E11F5" w:rsidP="005737A9">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54B8C">
              <w:t>2.6</w:t>
            </w:r>
          </w:p>
        </w:tc>
      </w:tr>
      <w:tr w:rsidR="009E11F5" w:rsidRPr="00A54B8C" w14:paraId="716C3AC4" w14:textId="77777777" w:rsidTr="005737A9">
        <w:trPr>
          <w:trHeight w:val="372"/>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025F61A" w14:textId="77777777" w:rsidR="009E11F5" w:rsidRPr="000059D7" w:rsidRDefault="009E11F5" w:rsidP="005737A9">
            <w:pPr>
              <w:spacing w:after="160" w:line="259" w:lineRule="auto"/>
            </w:pPr>
            <w:r w:rsidRPr="000059D7">
              <w:t>Oil and gas fugitives</w:t>
            </w:r>
          </w:p>
        </w:tc>
        <w:tc>
          <w:tcPr>
            <w:tcW w:w="7107" w:type="dxa"/>
            <w:gridSpan w:val="3"/>
            <w:shd w:val="clear" w:color="auto" w:fill="auto"/>
            <w:tcMar>
              <w:left w:w="57" w:type="dxa"/>
              <w:right w:w="57" w:type="dxa"/>
            </w:tcMar>
            <w:vAlign w:val="center"/>
          </w:tcPr>
          <w:p w14:paraId="3B5EFD5E" w14:textId="77777777" w:rsidR="009E11F5" w:rsidRPr="00A54B8C"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A54B8C">
              <w:t xml:space="preserve">Reduces fugitive methane emissions from venting at oil and natural gas extraction, production, transport and processing facilities through the use of flares. </w:t>
            </w:r>
          </w:p>
        </w:tc>
        <w:tc>
          <w:tcPr>
            <w:tcW w:w="1231" w:type="dxa"/>
            <w:shd w:val="clear" w:color="auto" w:fill="auto"/>
            <w:tcMar>
              <w:left w:w="57" w:type="dxa"/>
              <w:right w:w="57" w:type="dxa"/>
            </w:tcMar>
            <w:vAlign w:val="center"/>
          </w:tcPr>
          <w:p w14:paraId="462AC249" w14:textId="77777777" w:rsidR="009E11F5" w:rsidRPr="00A54B8C" w:rsidRDefault="009E11F5" w:rsidP="005737A9">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54B8C">
              <w:t>0.0</w:t>
            </w:r>
          </w:p>
        </w:tc>
      </w:tr>
      <w:tr w:rsidR="009E11F5" w:rsidRPr="00A54B8C" w14:paraId="2EDA4682" w14:textId="77777777" w:rsidTr="00E93CBF">
        <w:trPr>
          <w:cnfStyle w:val="000000100000" w:firstRow="0" w:lastRow="0" w:firstColumn="0" w:lastColumn="0" w:oddVBand="0" w:evenVBand="0" w:oddHBand="1" w:evenHBand="0" w:firstRowFirstColumn="0" w:firstRowLastColumn="0" w:lastRowFirstColumn="0" w:lastRowLastColumn="0"/>
          <w:trHeight w:val="186"/>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1EAEFF" w:themeFill="accent2" w:themeFillTint="80"/>
            <w:tcMar>
              <w:left w:w="57" w:type="dxa"/>
              <w:right w:w="57" w:type="dxa"/>
            </w:tcMar>
            <w:vAlign w:val="center"/>
          </w:tcPr>
          <w:p w14:paraId="60175FA5" w14:textId="77777777" w:rsidR="009E11F5" w:rsidRPr="000059D7" w:rsidRDefault="009E11F5" w:rsidP="005737A9">
            <w:pPr>
              <w:spacing w:after="160" w:line="259" w:lineRule="auto"/>
            </w:pPr>
            <w:r w:rsidRPr="00E93CBF">
              <w:rPr>
                <w:color w:val="FFFFFF" w:themeColor="background1"/>
              </w:rPr>
              <w:t>Energy efficiency</w:t>
            </w:r>
          </w:p>
        </w:tc>
        <w:tc>
          <w:tcPr>
            <w:tcW w:w="7107" w:type="dxa"/>
            <w:gridSpan w:val="3"/>
            <w:shd w:val="clear" w:color="auto" w:fill="1EAEFF" w:themeFill="accent2" w:themeFillTint="80"/>
            <w:tcMar>
              <w:left w:w="57" w:type="dxa"/>
              <w:right w:w="57" w:type="dxa"/>
            </w:tcMar>
            <w:vAlign w:val="center"/>
          </w:tcPr>
          <w:p w14:paraId="7BBD3340" w14:textId="77777777" w:rsidR="009E11F5" w:rsidRPr="00A54B8C"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1231" w:type="dxa"/>
            <w:shd w:val="clear" w:color="auto" w:fill="1EAEFF" w:themeFill="accent2" w:themeFillTint="80"/>
            <w:tcMar>
              <w:left w:w="57" w:type="dxa"/>
              <w:right w:w="57" w:type="dxa"/>
            </w:tcMar>
            <w:vAlign w:val="center"/>
          </w:tcPr>
          <w:p w14:paraId="24641730" w14:textId="77777777" w:rsidR="009E11F5" w:rsidRPr="00E93CBF"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E93CBF">
              <w:rPr>
                <w:b/>
                <w:color w:val="FFFFFF" w:themeColor="background1"/>
              </w:rPr>
              <w:t>5.4 (0.1)</w:t>
            </w:r>
          </w:p>
        </w:tc>
      </w:tr>
      <w:tr w:rsidR="009E11F5" w:rsidRPr="000059D7" w14:paraId="59C3AB35" w14:textId="77777777" w:rsidTr="005737A9">
        <w:trPr>
          <w:trHeight w:val="545"/>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tcPr>
          <w:p w14:paraId="06CFBA4E" w14:textId="77777777" w:rsidR="009E11F5" w:rsidRPr="000059D7" w:rsidRDefault="009E11F5" w:rsidP="005737A9">
            <w:pPr>
              <w:spacing w:line="259" w:lineRule="auto"/>
            </w:pPr>
            <w:r w:rsidRPr="00986819">
              <w:t>Industrial Equipment Upgrades</w:t>
            </w:r>
          </w:p>
        </w:tc>
        <w:tc>
          <w:tcPr>
            <w:tcW w:w="7107" w:type="dxa"/>
            <w:gridSpan w:val="3"/>
            <w:shd w:val="clear" w:color="auto" w:fill="auto"/>
            <w:tcMar>
              <w:left w:w="57" w:type="dxa"/>
              <w:right w:w="57" w:type="dxa"/>
            </w:tcMar>
            <w:vAlign w:val="center"/>
          </w:tcPr>
          <w:p w14:paraId="6A2AE3FA" w14:textId="77777777" w:rsidR="009E11F5" w:rsidRPr="00A54B8C" w:rsidRDefault="009E11F5" w:rsidP="005737A9">
            <w:pPr>
              <w:spacing w:line="259" w:lineRule="auto"/>
              <w:cnfStyle w:val="000000000000" w:firstRow="0" w:lastRow="0" w:firstColumn="0" w:lastColumn="0" w:oddVBand="0" w:evenVBand="0" w:oddHBand="0" w:evenHBand="0" w:firstRowFirstColumn="0" w:firstRowLastColumn="0" w:lastRowFirstColumn="0" w:lastRowLastColumn="0"/>
            </w:pPr>
            <w:r w:rsidRPr="00A54B8C">
              <w:t>Improves the energy efficiency of commercial or industrial equipment by upgrading equipment that has been recommended by a qualified auditor in an energy audit or energy efficiency report and verified as meeting method requirements. The method is for projects with an annual energy consumption limit of 500,000 gigajoules.</w:t>
            </w:r>
          </w:p>
        </w:tc>
        <w:tc>
          <w:tcPr>
            <w:tcW w:w="1231" w:type="dxa"/>
            <w:shd w:val="clear" w:color="auto" w:fill="auto"/>
            <w:tcMar>
              <w:left w:w="57" w:type="dxa"/>
              <w:right w:w="57" w:type="dxa"/>
            </w:tcMar>
            <w:vAlign w:val="center"/>
          </w:tcPr>
          <w:p w14:paraId="0A78DD04" w14:textId="77777777" w:rsidR="009E11F5" w:rsidRPr="00A54B8C" w:rsidRDefault="009E11F5" w:rsidP="005737A9">
            <w:pPr>
              <w:spacing w:line="259" w:lineRule="auto"/>
              <w:jc w:val="center"/>
              <w:cnfStyle w:val="000000000000" w:firstRow="0" w:lastRow="0" w:firstColumn="0" w:lastColumn="0" w:oddVBand="0" w:evenVBand="0" w:oddHBand="0" w:evenHBand="0" w:firstRowFirstColumn="0" w:firstRowLastColumn="0" w:lastRowFirstColumn="0" w:lastRowLastColumn="0"/>
            </w:pPr>
            <w:r w:rsidRPr="00A54B8C">
              <w:t>0.0</w:t>
            </w:r>
          </w:p>
        </w:tc>
      </w:tr>
      <w:tr w:rsidR="009E11F5" w:rsidRPr="000059D7" w14:paraId="798364CB" w14:textId="77777777" w:rsidTr="005737A9">
        <w:trPr>
          <w:cnfStyle w:val="000000100000" w:firstRow="0" w:lastRow="0" w:firstColumn="0" w:lastColumn="0" w:oddVBand="0" w:evenVBand="0" w:oddHBand="1" w:evenHBand="0" w:firstRowFirstColumn="0" w:firstRowLastColumn="0" w:lastRowFirstColumn="0" w:lastRowLastColumn="0"/>
          <w:trHeight w:val="545"/>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428BF868" w14:textId="77777777" w:rsidR="009E11F5" w:rsidRPr="000059D7" w:rsidRDefault="009E11F5" w:rsidP="005737A9">
            <w:pPr>
              <w:spacing w:after="160" w:line="259" w:lineRule="auto"/>
            </w:pPr>
            <w:r w:rsidRPr="000059D7">
              <w:t>Aggregated small energy users</w:t>
            </w:r>
          </w:p>
        </w:tc>
        <w:tc>
          <w:tcPr>
            <w:tcW w:w="7107" w:type="dxa"/>
            <w:gridSpan w:val="3"/>
            <w:shd w:val="clear" w:color="auto" w:fill="auto"/>
            <w:tcMar>
              <w:left w:w="57" w:type="dxa"/>
              <w:right w:w="57" w:type="dxa"/>
            </w:tcMar>
            <w:vAlign w:val="center"/>
          </w:tcPr>
          <w:p w14:paraId="0EC573B1" w14:textId="77777777" w:rsidR="009E11F5" w:rsidRPr="00A54B8C"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r w:rsidRPr="00A54B8C">
              <w:t>Promotes goods and services to improve energy efficiency and reduce emissions amongst a large group of households or small businesses such as switching to LED lighting or installing more efficient water heating systems.</w:t>
            </w:r>
          </w:p>
        </w:tc>
        <w:tc>
          <w:tcPr>
            <w:tcW w:w="1231" w:type="dxa"/>
            <w:shd w:val="clear" w:color="auto" w:fill="auto"/>
            <w:tcMar>
              <w:left w:w="57" w:type="dxa"/>
              <w:right w:w="57" w:type="dxa"/>
            </w:tcMar>
            <w:vAlign w:val="center"/>
          </w:tcPr>
          <w:p w14:paraId="47F412D6" w14:textId="77777777" w:rsidR="009E11F5" w:rsidRPr="00A54B8C" w:rsidRDefault="009E11F5" w:rsidP="005737A9">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54B8C">
              <w:t>0.0</w:t>
            </w:r>
          </w:p>
        </w:tc>
      </w:tr>
      <w:tr w:rsidR="009E11F5" w:rsidRPr="000059D7" w14:paraId="3DE6A19E" w14:textId="77777777" w:rsidTr="005737A9">
        <w:trPr>
          <w:trHeight w:val="932"/>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40BEC3C5" w14:textId="77777777" w:rsidR="009E11F5" w:rsidRPr="000059D7" w:rsidRDefault="009E11F5" w:rsidP="005737A9">
            <w:pPr>
              <w:spacing w:after="160" w:line="259" w:lineRule="auto"/>
            </w:pPr>
            <w:r w:rsidRPr="000059D7">
              <w:t>Commercial and public lighting</w:t>
            </w:r>
          </w:p>
        </w:tc>
        <w:tc>
          <w:tcPr>
            <w:tcW w:w="7107" w:type="dxa"/>
            <w:gridSpan w:val="3"/>
            <w:shd w:val="clear" w:color="auto" w:fill="auto"/>
            <w:tcMar>
              <w:left w:w="57" w:type="dxa"/>
              <w:right w:w="57" w:type="dxa"/>
            </w:tcMar>
            <w:vAlign w:val="center"/>
          </w:tcPr>
          <w:p w14:paraId="71693880" w14:textId="77777777" w:rsidR="009E11F5" w:rsidRPr="00A54B8C"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A54B8C">
              <w:t>Improves the energy efficiency of lighting systems in commercial, industrial or public buildings or in public areas. Projects can include modification of existing lighting equipment or control systems.</w:t>
            </w:r>
          </w:p>
        </w:tc>
        <w:tc>
          <w:tcPr>
            <w:tcW w:w="1231" w:type="dxa"/>
            <w:shd w:val="clear" w:color="auto" w:fill="auto"/>
            <w:tcMar>
              <w:left w:w="57" w:type="dxa"/>
              <w:right w:w="57" w:type="dxa"/>
            </w:tcMar>
            <w:vAlign w:val="center"/>
          </w:tcPr>
          <w:p w14:paraId="6CA981D4" w14:textId="77777777" w:rsidR="009E11F5" w:rsidRPr="00A54B8C" w:rsidRDefault="009E11F5" w:rsidP="005737A9">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54B8C">
              <w:t>2.8 (0.05)</w:t>
            </w:r>
          </w:p>
        </w:tc>
      </w:tr>
      <w:tr w:rsidR="009E11F5" w:rsidRPr="000059D7" w14:paraId="6628DBAA" w14:textId="77777777" w:rsidTr="005737A9">
        <w:trPr>
          <w:cnfStyle w:val="000000100000" w:firstRow="0" w:lastRow="0" w:firstColumn="0" w:lastColumn="0" w:oddVBand="0" w:evenVBand="0" w:oddHBand="1" w:evenHBand="0" w:firstRowFirstColumn="0" w:firstRowLastColumn="0" w:lastRowFirstColumn="0" w:lastRowLastColumn="0"/>
          <w:trHeight w:val="1118"/>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53D31120" w14:textId="77777777" w:rsidR="009E11F5" w:rsidRPr="000059D7" w:rsidRDefault="009E11F5" w:rsidP="005737A9">
            <w:pPr>
              <w:spacing w:after="160" w:line="259" w:lineRule="auto"/>
            </w:pPr>
            <w:r w:rsidRPr="000059D7">
              <w:t>Commercial building energy efficiency</w:t>
            </w:r>
          </w:p>
        </w:tc>
        <w:tc>
          <w:tcPr>
            <w:tcW w:w="7107" w:type="dxa"/>
            <w:gridSpan w:val="3"/>
            <w:shd w:val="clear" w:color="auto" w:fill="auto"/>
            <w:tcMar>
              <w:left w:w="57" w:type="dxa"/>
              <w:right w:w="57" w:type="dxa"/>
            </w:tcMar>
            <w:vAlign w:val="center"/>
          </w:tcPr>
          <w:p w14:paraId="6344D396" w14:textId="77777777" w:rsidR="009E11F5" w:rsidRPr="000059D7"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r w:rsidRPr="000059D7">
              <w:t>Improves the energy efficiency of a single building or a group of buildings to reduce their emissions intensity. Projects can include upgrading lighting systems or introducing more energy efficient heating and cooling systems, or changing the components or shell of the building to reduce energy consumption.</w:t>
            </w:r>
          </w:p>
        </w:tc>
        <w:tc>
          <w:tcPr>
            <w:tcW w:w="1231" w:type="dxa"/>
            <w:shd w:val="clear" w:color="auto" w:fill="auto"/>
            <w:tcMar>
              <w:left w:w="57" w:type="dxa"/>
              <w:right w:w="57" w:type="dxa"/>
            </w:tcMar>
            <w:vAlign w:val="center"/>
          </w:tcPr>
          <w:p w14:paraId="62760EF6" w14:textId="77777777" w:rsidR="009E11F5" w:rsidRPr="00A54B8C" w:rsidRDefault="009E11F5" w:rsidP="005737A9">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54B8C">
              <w:t>0.0</w:t>
            </w:r>
          </w:p>
        </w:tc>
      </w:tr>
      <w:tr w:rsidR="009E11F5" w:rsidRPr="000059D7" w14:paraId="2A968843" w14:textId="77777777" w:rsidTr="005737A9">
        <w:trPr>
          <w:trHeight w:val="745"/>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tcPr>
          <w:p w14:paraId="488002F7" w14:textId="77777777" w:rsidR="009E11F5" w:rsidRPr="000059D7" w:rsidRDefault="009E11F5" w:rsidP="005737A9">
            <w:pPr>
              <w:spacing w:after="160" w:line="259" w:lineRule="auto"/>
            </w:pPr>
            <w:r w:rsidRPr="000059D7">
              <w:t>High efficiency commercial appliances</w:t>
            </w:r>
          </w:p>
        </w:tc>
        <w:tc>
          <w:tcPr>
            <w:tcW w:w="7107" w:type="dxa"/>
            <w:gridSpan w:val="3"/>
            <w:shd w:val="clear" w:color="auto" w:fill="auto"/>
            <w:tcMar>
              <w:left w:w="57" w:type="dxa"/>
              <w:right w:w="57" w:type="dxa"/>
            </w:tcMar>
            <w:vAlign w:val="center"/>
          </w:tcPr>
          <w:p w14:paraId="71FEA162" w14:textId="77777777" w:rsidR="009E11F5" w:rsidRPr="000059D7"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0059D7">
              <w:t>Improves the energy efficiency of commercial appliances such as air conditioners and refrigerated display cabinets by upgrading existing appliances or installing ones.</w:t>
            </w:r>
          </w:p>
        </w:tc>
        <w:tc>
          <w:tcPr>
            <w:tcW w:w="1231" w:type="dxa"/>
            <w:shd w:val="clear" w:color="auto" w:fill="auto"/>
            <w:tcMar>
              <w:left w:w="57" w:type="dxa"/>
              <w:right w:w="57" w:type="dxa"/>
            </w:tcMar>
            <w:vAlign w:val="center"/>
          </w:tcPr>
          <w:p w14:paraId="50821CC5" w14:textId="77777777" w:rsidR="009E11F5" w:rsidRPr="00A54B8C" w:rsidRDefault="009E11F5" w:rsidP="005737A9">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54B8C">
              <w:t>0.0</w:t>
            </w:r>
          </w:p>
        </w:tc>
      </w:tr>
      <w:tr w:rsidR="009E11F5" w:rsidRPr="000059D7" w14:paraId="41F280FA" w14:textId="77777777" w:rsidTr="005737A9">
        <w:trPr>
          <w:cnfStyle w:val="000000100000" w:firstRow="0" w:lastRow="0" w:firstColumn="0" w:lastColumn="0" w:oddVBand="0" w:evenVBand="0" w:oddHBand="1" w:evenHBand="0" w:firstRowFirstColumn="0" w:firstRowLastColumn="0" w:lastRowFirstColumn="0" w:lastRowLastColumn="0"/>
          <w:trHeight w:val="932"/>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6BF62BE2" w14:textId="77777777" w:rsidR="009E11F5" w:rsidRPr="000059D7" w:rsidRDefault="009E11F5" w:rsidP="005737A9">
            <w:pPr>
              <w:spacing w:after="160" w:line="259" w:lineRule="auto"/>
            </w:pPr>
            <w:r w:rsidRPr="000059D7">
              <w:t>Industrial Electricity and Fuel Efficiency</w:t>
            </w:r>
          </w:p>
        </w:tc>
        <w:tc>
          <w:tcPr>
            <w:tcW w:w="7107" w:type="dxa"/>
            <w:gridSpan w:val="3"/>
            <w:shd w:val="clear" w:color="auto" w:fill="auto"/>
            <w:tcMar>
              <w:left w:w="57" w:type="dxa"/>
              <w:right w:w="57" w:type="dxa"/>
            </w:tcMar>
            <w:vAlign w:val="center"/>
          </w:tcPr>
          <w:p w14:paraId="5DFE6A1F" w14:textId="77777777" w:rsidR="009E11F5" w:rsidRPr="000059D7"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r w:rsidRPr="000059D7">
              <w:t xml:space="preserve">Improves the energy efficiency of commercial or industrial equipment by upgrading equipment such as boilers or pumps or converting equipment to operate on lower emissions fuel (fuel switching). </w:t>
            </w:r>
          </w:p>
        </w:tc>
        <w:tc>
          <w:tcPr>
            <w:tcW w:w="1231" w:type="dxa"/>
            <w:shd w:val="clear" w:color="auto" w:fill="auto"/>
            <w:tcMar>
              <w:left w:w="57" w:type="dxa"/>
              <w:right w:w="57" w:type="dxa"/>
            </w:tcMar>
            <w:vAlign w:val="center"/>
          </w:tcPr>
          <w:p w14:paraId="043A0C32" w14:textId="77777777" w:rsidR="009E11F5" w:rsidRPr="00A54B8C" w:rsidRDefault="009E11F5" w:rsidP="005737A9">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54B8C">
              <w:t>2.6 (0.1)</w:t>
            </w:r>
          </w:p>
        </w:tc>
      </w:tr>
      <w:tr w:rsidR="009E11F5" w:rsidRPr="000059D7" w14:paraId="14A8C03B" w14:textId="77777777" w:rsidTr="005737A9">
        <w:trPr>
          <w:trHeight w:val="559"/>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0F4AD41C" w14:textId="77777777" w:rsidR="009E11F5" w:rsidRPr="000059D7" w:rsidRDefault="009E11F5" w:rsidP="005737A9">
            <w:pPr>
              <w:spacing w:after="160" w:line="259" w:lineRule="auto"/>
            </w:pPr>
            <w:r w:rsidRPr="000059D7">
              <w:t>Refrigeration and Ventilation Fans</w:t>
            </w:r>
          </w:p>
        </w:tc>
        <w:tc>
          <w:tcPr>
            <w:tcW w:w="7107" w:type="dxa"/>
            <w:gridSpan w:val="3"/>
            <w:shd w:val="clear" w:color="auto" w:fill="auto"/>
            <w:tcMar>
              <w:left w:w="57" w:type="dxa"/>
              <w:right w:w="57" w:type="dxa"/>
            </w:tcMar>
            <w:vAlign w:val="center"/>
          </w:tcPr>
          <w:p w14:paraId="711F1E9D" w14:textId="77777777" w:rsidR="009E11F5"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0059D7">
              <w:t>Improves the energy efficiency of fans used in refrigeration systems such as refrigerated display cabinets and cold storage warehouses, as well as fans ventilating commercial and industrial buildings. Scheme participants can upgrade existing fans or install new ones.</w:t>
            </w:r>
          </w:p>
          <w:p w14:paraId="44B7EF1E" w14:textId="77777777" w:rsidR="00101036" w:rsidRPr="000059D7" w:rsidRDefault="00101036" w:rsidP="005737A9">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231" w:type="dxa"/>
            <w:shd w:val="clear" w:color="auto" w:fill="auto"/>
            <w:tcMar>
              <w:left w:w="57" w:type="dxa"/>
              <w:right w:w="57" w:type="dxa"/>
            </w:tcMar>
            <w:vAlign w:val="center"/>
          </w:tcPr>
          <w:p w14:paraId="5F5D2D89" w14:textId="77777777" w:rsidR="009E11F5" w:rsidRPr="00A54B8C" w:rsidRDefault="009E11F5" w:rsidP="005737A9">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54B8C">
              <w:t>0.0</w:t>
            </w:r>
          </w:p>
        </w:tc>
      </w:tr>
      <w:tr w:rsidR="009E11F5" w:rsidRPr="000059D7" w14:paraId="13C884BC" w14:textId="77777777" w:rsidTr="00E93CBF">
        <w:trPr>
          <w:cnfStyle w:val="000000100000" w:firstRow="0" w:lastRow="0" w:firstColumn="0" w:lastColumn="0" w:oddVBand="0" w:evenVBand="0" w:oddHBand="1" w:evenHBand="0" w:firstRowFirstColumn="0" w:firstRowLastColumn="0" w:lastRowFirstColumn="0" w:lastRowLastColumn="0"/>
          <w:trHeight w:val="173"/>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1EAEFF" w:themeFill="accent2" w:themeFillTint="80"/>
            <w:tcMar>
              <w:left w:w="57" w:type="dxa"/>
              <w:right w:w="57" w:type="dxa"/>
            </w:tcMar>
            <w:vAlign w:val="center"/>
          </w:tcPr>
          <w:p w14:paraId="28E35AA5" w14:textId="77777777" w:rsidR="009E11F5" w:rsidRPr="000059D7" w:rsidRDefault="009E11F5" w:rsidP="005737A9">
            <w:pPr>
              <w:spacing w:after="160" w:line="259" w:lineRule="auto"/>
            </w:pPr>
            <w:r w:rsidRPr="00E93CBF">
              <w:rPr>
                <w:color w:val="FFFFFF" w:themeColor="background1"/>
              </w:rPr>
              <w:t>Transport</w:t>
            </w:r>
          </w:p>
        </w:tc>
        <w:tc>
          <w:tcPr>
            <w:tcW w:w="7107" w:type="dxa"/>
            <w:gridSpan w:val="3"/>
            <w:shd w:val="clear" w:color="auto" w:fill="1EAEFF" w:themeFill="accent2" w:themeFillTint="80"/>
            <w:tcMar>
              <w:left w:w="57" w:type="dxa"/>
              <w:right w:w="57" w:type="dxa"/>
            </w:tcMar>
            <w:vAlign w:val="center"/>
          </w:tcPr>
          <w:p w14:paraId="35194329" w14:textId="77777777" w:rsidR="009E11F5" w:rsidRPr="000059D7"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1231" w:type="dxa"/>
            <w:shd w:val="clear" w:color="auto" w:fill="1EAEFF" w:themeFill="accent2" w:themeFillTint="80"/>
            <w:tcMar>
              <w:left w:w="57" w:type="dxa"/>
              <w:right w:w="57" w:type="dxa"/>
            </w:tcMar>
            <w:vAlign w:val="center"/>
          </w:tcPr>
          <w:p w14:paraId="25323FDB" w14:textId="77777777" w:rsidR="009E11F5" w:rsidRPr="00E93CBF" w:rsidRDefault="009E11F5" w:rsidP="005737A9">
            <w:pPr>
              <w:spacing w:after="160" w:line="259" w:lineRule="auto"/>
              <w:jc w:val="center"/>
              <w:cnfStyle w:val="000000100000" w:firstRow="0" w:lastRow="0" w:firstColumn="0" w:lastColumn="0" w:oddVBand="0" w:evenVBand="0" w:oddHBand="1" w:evenHBand="0" w:firstRowFirstColumn="0" w:firstRowLastColumn="0" w:lastRowFirstColumn="0" w:lastRowLastColumn="0"/>
              <w:rPr>
                <w:b/>
              </w:rPr>
            </w:pPr>
            <w:r w:rsidRPr="00E93CBF">
              <w:rPr>
                <w:b/>
                <w:color w:val="FFFFFF" w:themeColor="background1"/>
              </w:rPr>
              <w:t>1.2</w:t>
            </w:r>
          </w:p>
        </w:tc>
      </w:tr>
      <w:tr w:rsidR="009E11F5" w:rsidRPr="000059D7" w14:paraId="310F135F" w14:textId="77777777" w:rsidTr="005737A9">
        <w:trPr>
          <w:trHeight w:val="559"/>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0E98E16A" w14:textId="77777777" w:rsidR="009E11F5" w:rsidRPr="000059D7" w:rsidRDefault="009E11F5" w:rsidP="005737A9">
            <w:pPr>
              <w:spacing w:after="160" w:line="259" w:lineRule="auto"/>
            </w:pPr>
            <w:r w:rsidRPr="000059D7">
              <w:t>Land and sea transport</w:t>
            </w:r>
          </w:p>
        </w:tc>
        <w:tc>
          <w:tcPr>
            <w:tcW w:w="7107" w:type="dxa"/>
            <w:gridSpan w:val="3"/>
            <w:shd w:val="clear" w:color="auto" w:fill="auto"/>
            <w:tcMar>
              <w:left w:w="57" w:type="dxa"/>
              <w:right w:w="57" w:type="dxa"/>
            </w:tcMar>
            <w:vAlign w:val="center"/>
          </w:tcPr>
          <w:p w14:paraId="1A0C4D11" w14:textId="77777777" w:rsidR="009E11F5" w:rsidRPr="000059D7"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r w:rsidRPr="000059D7">
              <w:t>Reduces the emissions intensity of vehicles by replacing existing vehicles, modifying existing vehicles, changing energy sources (fuel switching) or mix of energy sources, and changing operational practices.</w:t>
            </w:r>
          </w:p>
        </w:tc>
        <w:tc>
          <w:tcPr>
            <w:tcW w:w="1231" w:type="dxa"/>
            <w:shd w:val="clear" w:color="auto" w:fill="auto"/>
            <w:tcMar>
              <w:left w:w="57" w:type="dxa"/>
              <w:right w:w="57" w:type="dxa"/>
            </w:tcMar>
            <w:vAlign w:val="center"/>
          </w:tcPr>
          <w:p w14:paraId="64F5496F" w14:textId="77777777" w:rsidR="009E11F5" w:rsidRPr="00A54B8C" w:rsidRDefault="009E11F5" w:rsidP="005737A9">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54B8C">
              <w:t>1.2</w:t>
            </w:r>
          </w:p>
        </w:tc>
      </w:tr>
      <w:tr w:rsidR="009E11F5" w:rsidRPr="000059D7" w14:paraId="2BF896A8" w14:textId="77777777" w:rsidTr="005737A9">
        <w:trPr>
          <w:cnfStyle w:val="000000100000" w:firstRow="0" w:lastRow="0" w:firstColumn="0" w:lastColumn="0" w:oddVBand="0" w:evenVBand="0" w:oddHBand="1" w:evenHBand="0" w:firstRowFirstColumn="0" w:firstRowLastColumn="0" w:lastRowFirstColumn="0" w:lastRowLastColumn="0"/>
          <w:trHeight w:val="559"/>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2A66FA81" w14:textId="77777777" w:rsidR="009E11F5" w:rsidRPr="000059D7" w:rsidRDefault="009E11F5" w:rsidP="005737A9">
            <w:pPr>
              <w:spacing w:after="160" w:line="259" w:lineRule="auto"/>
            </w:pPr>
            <w:r w:rsidRPr="000059D7">
              <w:t>Aviation</w:t>
            </w:r>
          </w:p>
        </w:tc>
        <w:tc>
          <w:tcPr>
            <w:tcW w:w="7107" w:type="dxa"/>
            <w:gridSpan w:val="3"/>
            <w:shd w:val="clear" w:color="auto" w:fill="auto"/>
            <w:tcMar>
              <w:left w:w="57" w:type="dxa"/>
              <w:right w:w="57" w:type="dxa"/>
            </w:tcMar>
            <w:vAlign w:val="center"/>
          </w:tcPr>
          <w:p w14:paraId="4BA4FC48" w14:textId="77777777" w:rsidR="009E11F5" w:rsidRPr="000059D7"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r w:rsidRPr="000059D7">
              <w:t>Improves the energy efficiency of air transport through a broad range of activities including modifying existing planes, changing energy sources or the mix of energy sources, and changing operational practices.</w:t>
            </w:r>
          </w:p>
        </w:tc>
        <w:tc>
          <w:tcPr>
            <w:tcW w:w="1231" w:type="dxa"/>
            <w:shd w:val="clear" w:color="auto" w:fill="auto"/>
            <w:tcMar>
              <w:left w:w="57" w:type="dxa"/>
              <w:right w:w="57" w:type="dxa"/>
            </w:tcMar>
            <w:vAlign w:val="center"/>
          </w:tcPr>
          <w:p w14:paraId="136F32B2" w14:textId="77777777" w:rsidR="009E11F5" w:rsidRPr="00A54B8C" w:rsidRDefault="009E11F5" w:rsidP="005737A9">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54B8C">
              <w:t>0.0</w:t>
            </w:r>
          </w:p>
        </w:tc>
      </w:tr>
      <w:tr w:rsidR="009E11F5" w:rsidRPr="000059D7" w14:paraId="0F3E10B7" w14:textId="77777777" w:rsidTr="00E93CBF">
        <w:trPr>
          <w:trHeight w:val="186"/>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1EAEFF" w:themeFill="accent2" w:themeFillTint="80"/>
            <w:tcMar>
              <w:left w:w="57" w:type="dxa"/>
              <w:right w:w="57" w:type="dxa"/>
            </w:tcMar>
            <w:vAlign w:val="center"/>
          </w:tcPr>
          <w:p w14:paraId="7AB86326" w14:textId="77777777" w:rsidR="009E11F5" w:rsidRPr="000059D7" w:rsidRDefault="009E11F5" w:rsidP="005737A9">
            <w:pPr>
              <w:spacing w:after="160" w:line="259" w:lineRule="auto"/>
            </w:pPr>
            <w:r w:rsidRPr="00E93CBF">
              <w:rPr>
                <w:color w:val="FFFFFF" w:themeColor="background1"/>
              </w:rPr>
              <w:t>Facilities</w:t>
            </w:r>
          </w:p>
        </w:tc>
        <w:tc>
          <w:tcPr>
            <w:tcW w:w="7107" w:type="dxa"/>
            <w:gridSpan w:val="3"/>
            <w:shd w:val="clear" w:color="auto" w:fill="1EAEFF" w:themeFill="accent2" w:themeFillTint="80"/>
            <w:tcMar>
              <w:left w:w="57" w:type="dxa"/>
              <w:right w:w="57" w:type="dxa"/>
            </w:tcMar>
            <w:vAlign w:val="center"/>
          </w:tcPr>
          <w:p w14:paraId="0EC0AAE2" w14:textId="77777777" w:rsidR="009E11F5" w:rsidRPr="000059D7" w:rsidRDefault="009E11F5" w:rsidP="005737A9">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231" w:type="dxa"/>
            <w:shd w:val="clear" w:color="auto" w:fill="1EAEFF" w:themeFill="accent2" w:themeFillTint="80"/>
            <w:tcMar>
              <w:left w:w="57" w:type="dxa"/>
              <w:right w:w="57" w:type="dxa"/>
            </w:tcMar>
            <w:vAlign w:val="center"/>
          </w:tcPr>
          <w:p w14:paraId="1068602B" w14:textId="77777777" w:rsidR="009E11F5" w:rsidRPr="00E93CBF" w:rsidRDefault="009E11F5" w:rsidP="005737A9">
            <w:pPr>
              <w:spacing w:after="160" w:line="259" w:lineRule="auto"/>
              <w:jc w:val="center"/>
              <w:cnfStyle w:val="000000000000" w:firstRow="0" w:lastRow="0" w:firstColumn="0" w:lastColumn="0" w:oddVBand="0" w:evenVBand="0" w:oddHBand="0" w:evenHBand="0" w:firstRowFirstColumn="0" w:firstRowLastColumn="0" w:lastRowFirstColumn="0" w:lastRowLastColumn="0"/>
              <w:rPr>
                <w:b/>
              </w:rPr>
            </w:pPr>
            <w:r w:rsidRPr="00E93CBF">
              <w:rPr>
                <w:b/>
                <w:color w:val="FFFFFF" w:themeColor="background1"/>
              </w:rPr>
              <w:t>0.0</w:t>
            </w:r>
          </w:p>
        </w:tc>
      </w:tr>
      <w:tr w:rsidR="009E11F5" w:rsidRPr="000059D7" w14:paraId="1105ED4E" w14:textId="77777777" w:rsidTr="005737A9">
        <w:trPr>
          <w:cnfStyle w:val="000000100000" w:firstRow="0" w:lastRow="0" w:firstColumn="0" w:lastColumn="0" w:oddVBand="0" w:evenVBand="0" w:oddHBand="1" w:evenHBand="0" w:firstRowFirstColumn="0" w:firstRowLastColumn="0" w:lastRowFirstColumn="0" w:lastRowLastColumn="0"/>
          <w:trHeight w:val="918"/>
          <w:jc w:val="right"/>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5B13EDB5" w14:textId="77777777" w:rsidR="009E11F5" w:rsidRPr="000059D7" w:rsidRDefault="009E11F5" w:rsidP="005737A9">
            <w:pPr>
              <w:spacing w:after="160" w:line="259" w:lineRule="auto"/>
            </w:pPr>
            <w:r w:rsidRPr="000059D7">
              <w:t>Facilities</w:t>
            </w:r>
          </w:p>
        </w:tc>
        <w:tc>
          <w:tcPr>
            <w:tcW w:w="7107" w:type="dxa"/>
            <w:gridSpan w:val="3"/>
            <w:shd w:val="clear" w:color="auto" w:fill="auto"/>
            <w:tcMar>
              <w:left w:w="57" w:type="dxa"/>
              <w:right w:w="57" w:type="dxa"/>
            </w:tcMar>
            <w:vAlign w:val="center"/>
          </w:tcPr>
          <w:p w14:paraId="26931F8F" w14:textId="77777777" w:rsidR="009E11F5" w:rsidRPr="000059D7" w:rsidRDefault="009E11F5" w:rsidP="005737A9">
            <w:pPr>
              <w:spacing w:after="160" w:line="259" w:lineRule="auto"/>
              <w:cnfStyle w:val="000000100000" w:firstRow="0" w:lastRow="0" w:firstColumn="0" w:lastColumn="0" w:oddVBand="0" w:evenVBand="0" w:oddHBand="1" w:evenHBand="0" w:firstRowFirstColumn="0" w:firstRowLastColumn="0" w:lastRowFirstColumn="0" w:lastRowLastColumn="0"/>
            </w:pPr>
            <w:r w:rsidRPr="000059D7">
              <w:t>Reduces the emissions intensity of a facility. Projects may involve a broad range of activities and may include upgrading turbines or reducing industrial process emissions. The method determines a baseline emissions intensity against which project abatement is calculated. Credits are then awarded to participating facilities that reduce their emissions intensity per unit of output below the baseline level.</w:t>
            </w:r>
          </w:p>
        </w:tc>
        <w:tc>
          <w:tcPr>
            <w:tcW w:w="1231" w:type="dxa"/>
            <w:shd w:val="clear" w:color="auto" w:fill="auto"/>
            <w:tcMar>
              <w:left w:w="57" w:type="dxa"/>
              <w:right w:w="57" w:type="dxa"/>
            </w:tcMar>
            <w:vAlign w:val="center"/>
          </w:tcPr>
          <w:p w14:paraId="752E6C84" w14:textId="77777777" w:rsidR="009E11F5" w:rsidRPr="00A54B8C" w:rsidRDefault="009E11F5" w:rsidP="005737A9">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54B8C">
              <w:t>0.0</w:t>
            </w:r>
          </w:p>
        </w:tc>
      </w:tr>
    </w:tbl>
    <w:p w14:paraId="2B6D8BCD" w14:textId="77777777" w:rsidR="009E11F5" w:rsidRDefault="009E11F5" w:rsidP="009E11F5"/>
    <w:p w14:paraId="7B90EA15" w14:textId="65DBBB40" w:rsidR="0059230B" w:rsidRPr="0059230B" w:rsidRDefault="00B43944" w:rsidP="00B43944">
      <w:pPr>
        <w:spacing w:line="259" w:lineRule="auto"/>
      </w:pPr>
      <w:r>
        <w:br w:type="page"/>
      </w:r>
    </w:p>
    <w:p w14:paraId="2FA6DB1D" w14:textId="399AFF50" w:rsidR="00B45A31" w:rsidRPr="00E93CBF" w:rsidRDefault="00B45A31" w:rsidP="00F975A3">
      <w:pPr>
        <w:pStyle w:val="Heading1"/>
        <w:ind w:left="0" w:firstLine="0"/>
        <w:rPr>
          <w:color w:val="0070AE" w:themeColor="accent2" w:themeTint="BF"/>
        </w:rPr>
      </w:pPr>
      <w:bookmarkStart w:id="4156" w:name="_Toc50027789"/>
      <w:bookmarkStart w:id="4157" w:name="_Toc50029483"/>
      <w:bookmarkStart w:id="4158" w:name="_Toc50043912"/>
      <w:bookmarkStart w:id="4159" w:name="_Toc50057763"/>
      <w:bookmarkStart w:id="4160" w:name="_Toc50553641"/>
      <w:bookmarkStart w:id="4161" w:name="_Toc50555404"/>
      <w:bookmarkStart w:id="4162" w:name="_Toc50559864"/>
      <w:bookmarkStart w:id="4163" w:name="_Toc50559917"/>
      <w:bookmarkStart w:id="4164" w:name="_Toc50563851"/>
      <w:bookmarkStart w:id="4165" w:name="_Toc50711404"/>
      <w:bookmarkStart w:id="4166" w:name="_Toc50720986"/>
      <w:bookmarkStart w:id="4167" w:name="_Toc50730710"/>
      <w:bookmarkStart w:id="4168" w:name="_Toc50734936"/>
      <w:bookmarkStart w:id="4169" w:name="_Toc50735539"/>
      <w:bookmarkStart w:id="4170" w:name="_Toc50905558"/>
      <w:bookmarkStart w:id="4171" w:name="_Toc51587043"/>
      <w:bookmarkStart w:id="4172" w:name="_Toc51594903"/>
      <w:bookmarkStart w:id="4173" w:name="_Toc51599506"/>
      <w:bookmarkStart w:id="4174" w:name="_Toc51613542"/>
      <w:bookmarkStart w:id="4175" w:name="_Toc51669654"/>
      <w:bookmarkStart w:id="4176" w:name="_Toc51669749"/>
      <w:bookmarkStart w:id="4177" w:name="_Toc51672898"/>
      <w:bookmarkStart w:id="4178" w:name="_Toc51673948"/>
      <w:bookmarkStart w:id="4179" w:name="_Toc51680765"/>
      <w:bookmarkStart w:id="4180" w:name="_Toc51683294"/>
      <w:bookmarkStart w:id="4181" w:name="_Toc51686030"/>
      <w:bookmarkStart w:id="4182" w:name="_Toc51686888"/>
      <w:bookmarkStart w:id="4183" w:name="_Toc51687768"/>
      <w:bookmarkStart w:id="4184" w:name="_Toc51687912"/>
      <w:bookmarkStart w:id="4185" w:name="_Toc51705789"/>
      <w:bookmarkStart w:id="4186" w:name="_Toc51770735"/>
      <w:bookmarkStart w:id="4187" w:name="_Toc51770921"/>
      <w:bookmarkStart w:id="4188" w:name="_Toc52359264"/>
      <w:bookmarkStart w:id="4189" w:name="_Toc52367297"/>
      <w:bookmarkStart w:id="4190" w:name="_Toc52371637"/>
      <w:bookmarkStart w:id="4191" w:name="_Toc52374785"/>
      <w:bookmarkStart w:id="4192" w:name="_Toc52377323"/>
      <w:bookmarkStart w:id="4193" w:name="_Toc52379245"/>
      <w:bookmarkStart w:id="4194" w:name="_Toc52379600"/>
      <w:bookmarkStart w:id="4195" w:name="_Toc52532810"/>
      <w:bookmarkStart w:id="4196" w:name="_Toc52535705"/>
      <w:bookmarkStart w:id="4197" w:name="_Toc52537523"/>
      <w:bookmarkStart w:id="4198" w:name="_Toc52544086"/>
      <w:bookmarkStart w:id="4199" w:name="_Toc52545690"/>
      <w:bookmarkStart w:id="4200" w:name="_Toc52547922"/>
      <w:bookmarkStart w:id="4201" w:name="_Toc52548611"/>
      <w:bookmarkStart w:id="4202" w:name="_Toc52890903"/>
      <w:bookmarkStart w:id="4203" w:name="_Toc52895106"/>
      <w:bookmarkStart w:id="4204" w:name="_Toc52896630"/>
      <w:bookmarkStart w:id="4205" w:name="_Toc52977807"/>
      <w:bookmarkStart w:id="4206" w:name="_Toc53129493"/>
      <w:r w:rsidRPr="00E93CBF">
        <w:rPr>
          <w:color w:val="0070AE" w:themeColor="accent2" w:themeTint="BF"/>
        </w:rPr>
        <w:t xml:space="preserve">Appendix </w:t>
      </w:r>
      <w:r w:rsidR="003F081F" w:rsidRPr="00E93CBF">
        <w:rPr>
          <w:color w:val="0070AE" w:themeColor="accent2" w:themeTint="BF"/>
        </w:rPr>
        <w:t>F</w:t>
      </w:r>
      <w:r w:rsidR="004028D8" w:rsidRPr="00E93CBF">
        <w:rPr>
          <w:color w:val="0070AE" w:themeColor="accent2" w:themeTint="BF"/>
        </w:rPr>
        <w:t>.</w:t>
      </w:r>
      <w:r w:rsidRPr="00E93CBF">
        <w:rPr>
          <w:color w:val="0070AE" w:themeColor="accent2" w:themeTint="BF"/>
        </w:rPr>
        <w:t xml:space="preserve"> </w:t>
      </w:r>
      <w:r w:rsidR="004028D8" w:rsidRPr="00E93CBF">
        <w:rPr>
          <w:color w:val="0070AE" w:themeColor="accent2" w:themeTint="BF"/>
        </w:rPr>
        <w:t>The CSIRO report findings on specific ERF activity categories</w:t>
      </w:r>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p>
    <w:p w14:paraId="216B6004" w14:textId="5846FD6E" w:rsidR="004028D8" w:rsidRDefault="004028D8" w:rsidP="000E1933">
      <w:pPr>
        <w:pStyle w:val="FigureTableHeader"/>
        <w:pBdr>
          <w:top w:val="dotted" w:sz="18" w:space="0" w:color="6E8DB0"/>
        </w:pBdr>
        <w:ind w:left="0" w:firstLine="0"/>
      </w:pPr>
    </w:p>
    <w:tbl>
      <w:tblPr>
        <w:tblStyle w:val="TableGrid"/>
        <w:tblW w:w="10485" w:type="dxa"/>
        <w:tblLook w:val="04A0" w:firstRow="1" w:lastRow="0" w:firstColumn="1" w:lastColumn="0" w:noHBand="0" w:noVBand="1"/>
      </w:tblPr>
      <w:tblGrid>
        <w:gridCol w:w="10485"/>
      </w:tblGrid>
      <w:tr w:rsidR="004028D8" w14:paraId="249C5562" w14:textId="77777777" w:rsidTr="00F975A3">
        <w:tc>
          <w:tcPr>
            <w:tcW w:w="10485" w:type="dxa"/>
            <w:shd w:val="clear" w:color="auto" w:fill="0070AE" w:themeFill="accent2" w:themeFillTint="BF"/>
          </w:tcPr>
          <w:p w14:paraId="2F4F2BCE" w14:textId="77777777" w:rsidR="004028D8" w:rsidRPr="006E63A1" w:rsidRDefault="004028D8" w:rsidP="003702EC">
            <w:pPr>
              <w:rPr>
                <w:color w:val="FFFFFF" w:themeColor="background1"/>
              </w:rPr>
            </w:pPr>
            <w:r w:rsidRPr="006E63A1">
              <w:rPr>
                <w:color w:val="FFFFFF" w:themeColor="background1"/>
              </w:rPr>
              <w:t>Management of agricultural soils</w:t>
            </w:r>
          </w:p>
          <w:p w14:paraId="0B505A14" w14:textId="77777777" w:rsidR="004028D8" w:rsidRDefault="004028D8" w:rsidP="003702EC"/>
        </w:tc>
      </w:tr>
      <w:tr w:rsidR="004028D8" w14:paraId="1C5F2078" w14:textId="77777777" w:rsidTr="00F975A3">
        <w:tc>
          <w:tcPr>
            <w:tcW w:w="10485" w:type="dxa"/>
          </w:tcPr>
          <w:p w14:paraId="242D4305" w14:textId="5071407F" w:rsidR="00B81436" w:rsidRDefault="00B81436" w:rsidP="000E1933">
            <w:pPr>
              <w:spacing w:line="240" w:lineRule="auto"/>
              <w:rPr>
                <w:i/>
              </w:rPr>
            </w:pPr>
            <w:r w:rsidRPr="00B81436">
              <w:rPr>
                <w:i/>
              </w:rPr>
              <w:t xml:space="preserve">Overall relative risk rating: Highest </w:t>
            </w:r>
          </w:p>
          <w:p w14:paraId="2594AA48" w14:textId="7ACC0E2F" w:rsidR="00A95724" w:rsidRPr="001D10CD" w:rsidRDefault="00A95724" w:rsidP="000E1933">
            <w:pPr>
              <w:spacing w:line="240" w:lineRule="auto"/>
            </w:pPr>
            <w:r w:rsidRPr="001D10CD">
              <w:t>Risk factor assessment</w:t>
            </w:r>
            <w:r w:rsidR="005D07BB" w:rsidRPr="001D10CD">
              <w:t xml:space="preserve">: 5 High, </w:t>
            </w:r>
            <w:r w:rsidR="006C22A6" w:rsidRPr="001D10CD">
              <w:t>2</w:t>
            </w:r>
            <w:r w:rsidR="005D07BB" w:rsidRPr="001D10CD">
              <w:t xml:space="preserve"> Medium, 3 Low,</w:t>
            </w:r>
            <w:r w:rsidRPr="001D10CD">
              <w:t xml:space="preserve"> </w:t>
            </w:r>
            <w:r w:rsidR="006C22A6" w:rsidRPr="001D10CD">
              <w:t>3</w:t>
            </w:r>
            <w:r w:rsidRPr="001D10CD">
              <w:t xml:space="preserve"> n</w:t>
            </w:r>
            <w:r w:rsidR="005D07BB" w:rsidRPr="001D10CD">
              <w:t>ot rated</w:t>
            </w:r>
            <w:r w:rsidR="008C51FF" w:rsidRPr="001D10CD">
              <w:t xml:space="preserve"> due to insufficient information</w:t>
            </w:r>
            <w:r w:rsidR="005D07BB" w:rsidRPr="001D10CD">
              <w:t xml:space="preserve"> and </w:t>
            </w:r>
            <w:r w:rsidRPr="001D10CD">
              <w:t xml:space="preserve">5 risk factors not applicable </w:t>
            </w:r>
          </w:p>
          <w:p w14:paraId="50BE0A0E" w14:textId="77777777" w:rsidR="00A95724" w:rsidRDefault="00A95724" w:rsidP="003702EC">
            <w:pPr>
              <w:rPr>
                <w:i/>
              </w:rPr>
            </w:pPr>
          </w:p>
          <w:p w14:paraId="162BC90C" w14:textId="5A12B400" w:rsidR="00997FDF" w:rsidRDefault="004028D8" w:rsidP="003702EC">
            <w:r>
              <w:t xml:space="preserve">The dominant risks for </w:t>
            </w:r>
            <w:r w:rsidR="00A95724">
              <w:t>this</w:t>
            </w:r>
            <w:r w:rsidR="005D07BB">
              <w:t xml:space="preserve"> activity type </w:t>
            </w:r>
            <w:r>
              <w:t xml:space="preserve">were </w:t>
            </w:r>
            <w:r w:rsidR="005D07BB">
              <w:t>found to be</w:t>
            </w:r>
            <w:r>
              <w:t xml:space="preserve"> associated with </w:t>
            </w:r>
            <w:r w:rsidR="008C4FEB">
              <w:t>projected</w:t>
            </w:r>
            <w:r>
              <w:t xml:space="preserve"> climate change impacts on the rates of organic matter input to soil, and the rates of loss through changes to soil respiration and the microbial biota</w:t>
            </w:r>
            <w:r w:rsidR="00997FDF">
              <w:t xml:space="preserve"> (High)</w:t>
            </w:r>
            <w:r>
              <w:t xml:space="preserve">. The vulnerability of soil organic carbon (SOC) to loss has been recently highlighted by a number of studies suggesting the majority of the spatial and temporal variability observed in SOC can be attributed to non-management related factors. For example </w:t>
            </w:r>
            <w:r w:rsidRPr="009E7399">
              <w:t>Badgery et al.</w:t>
            </w:r>
            <w:r w:rsidR="008C51FF" w:rsidRPr="009E7399">
              <w:t xml:space="preserve"> 2020</w:t>
            </w:r>
            <w:r>
              <w:t xml:space="preserve"> showed, across 10 locations in NSW and over a 16 year period, that all of the SOC gains made over the early years following changes in management, designed specifically to build SOC, were lost by year 16. </w:t>
            </w:r>
            <w:r w:rsidR="00997FDF">
              <w:t xml:space="preserve"> </w:t>
            </w:r>
            <w:r w:rsidR="005D07BB">
              <w:t xml:space="preserve">The </w:t>
            </w:r>
            <w:r>
              <w:t>patterns of subsequent reversal of</w:t>
            </w:r>
            <w:r w:rsidR="005D07BB">
              <w:t xml:space="preserve"> SOC sequestered</w:t>
            </w:r>
            <w:r>
              <w:t xml:space="preserve"> were similar over widely differing management interventions, suggesting the primary factor controlling the reversal was not solely related to management. </w:t>
            </w:r>
          </w:p>
          <w:p w14:paraId="3C269641" w14:textId="77777777" w:rsidR="00997FDF" w:rsidRDefault="00997FDF" w:rsidP="003702EC"/>
          <w:p w14:paraId="1C845936" w14:textId="1096B94D" w:rsidR="004028D8" w:rsidRDefault="004028D8" w:rsidP="003702EC">
            <w:r>
              <w:t xml:space="preserve">Because of the wide range of management activities allowed under the </w:t>
            </w:r>
            <w:r w:rsidR="005D07BB">
              <w:t>direct measurement soil method</w:t>
            </w:r>
            <w:r>
              <w:t xml:space="preserve">, there are also a wide range of adaptive measures that can be taken to </w:t>
            </w:r>
            <w:r w:rsidR="005D07BB">
              <w:t>improve the likelihood of</w:t>
            </w:r>
            <w:r>
              <w:t xml:space="preserve"> success of the management change with respect to such factors as productivity and economic returns, and associated co-benefits regarding soil health. However, the effectiveness of such adaptive measure for helping to secure SOC over the long term remains untested.</w:t>
            </w:r>
          </w:p>
        </w:tc>
      </w:tr>
      <w:tr w:rsidR="004028D8" w14:paraId="687E892B" w14:textId="77777777" w:rsidTr="00F975A3">
        <w:tc>
          <w:tcPr>
            <w:tcW w:w="10485" w:type="dxa"/>
            <w:shd w:val="clear" w:color="auto" w:fill="0070AE" w:themeFill="accent2" w:themeFillTint="BF"/>
          </w:tcPr>
          <w:p w14:paraId="086D69BF" w14:textId="77777777" w:rsidR="004028D8" w:rsidRDefault="004028D8" w:rsidP="003702EC">
            <w:r w:rsidRPr="006E63A1">
              <w:rPr>
                <w:color w:val="FFFFFF" w:themeColor="background1"/>
              </w:rPr>
              <w:t>Plantings of new forests</w:t>
            </w:r>
          </w:p>
        </w:tc>
      </w:tr>
      <w:tr w:rsidR="004028D8" w14:paraId="4F4D99C1" w14:textId="77777777" w:rsidTr="00F975A3">
        <w:tc>
          <w:tcPr>
            <w:tcW w:w="10485" w:type="dxa"/>
          </w:tcPr>
          <w:p w14:paraId="254E466E" w14:textId="74E03DCA" w:rsidR="00B81436" w:rsidRDefault="00B81436" w:rsidP="000E1933">
            <w:pPr>
              <w:spacing w:line="259" w:lineRule="auto"/>
              <w:rPr>
                <w:i/>
              </w:rPr>
            </w:pPr>
            <w:r w:rsidRPr="00B81436">
              <w:rPr>
                <w:i/>
              </w:rPr>
              <w:t xml:space="preserve">Overall relative risk rating: Second highest </w:t>
            </w:r>
          </w:p>
          <w:p w14:paraId="22A69BF7" w14:textId="3D02B8B5" w:rsidR="00A95724" w:rsidRPr="006830AD" w:rsidRDefault="00A95724" w:rsidP="00996B9D">
            <w:pPr>
              <w:pStyle w:val="BodyText"/>
            </w:pPr>
            <w:r w:rsidRPr="006830AD">
              <w:t xml:space="preserve">Risk factor assessment: </w:t>
            </w:r>
            <w:r w:rsidR="006C22A6">
              <w:t>2</w:t>
            </w:r>
            <w:r w:rsidRPr="006830AD">
              <w:t xml:space="preserve"> High, </w:t>
            </w:r>
            <w:r w:rsidR="006C22A6">
              <w:t>5</w:t>
            </w:r>
            <w:r w:rsidRPr="006830AD">
              <w:t xml:space="preserve"> Medium, </w:t>
            </w:r>
            <w:r w:rsidR="006C22A6">
              <w:t>4</w:t>
            </w:r>
            <w:r w:rsidRPr="006830AD">
              <w:t xml:space="preserve"> Low, </w:t>
            </w:r>
            <w:r w:rsidR="006C22A6">
              <w:t>2</w:t>
            </w:r>
            <w:r w:rsidRPr="006830AD">
              <w:t xml:space="preserve"> not rated </w:t>
            </w:r>
            <w:r w:rsidR="008C51FF" w:rsidRPr="006830AD">
              <w:t xml:space="preserve">due to insufficient information </w:t>
            </w:r>
            <w:r w:rsidRPr="006830AD">
              <w:t xml:space="preserve">and 5 risk factors </w:t>
            </w:r>
            <w:r w:rsidR="008C51FF" w:rsidRPr="006830AD">
              <w:t>n</w:t>
            </w:r>
            <w:r w:rsidR="00DD17EC" w:rsidRPr="006830AD">
              <w:t xml:space="preserve">ot applicable </w:t>
            </w:r>
          </w:p>
          <w:p w14:paraId="4B145698" w14:textId="77777777" w:rsidR="00A95724" w:rsidRDefault="00A95724" w:rsidP="00996B9D">
            <w:pPr>
              <w:pStyle w:val="BodyText"/>
            </w:pPr>
          </w:p>
          <w:p w14:paraId="36E246A4" w14:textId="77A97388" w:rsidR="00997FDF" w:rsidRDefault="004028D8" w:rsidP="00996B9D">
            <w:pPr>
              <w:pStyle w:val="BodyText"/>
            </w:pPr>
            <w:r>
              <w:t xml:space="preserve">The majority of risks identified for </w:t>
            </w:r>
            <w:r w:rsidR="0091099F">
              <w:t>pl</w:t>
            </w:r>
            <w:r>
              <w:t xml:space="preserve">anting of new forests were </w:t>
            </w:r>
            <w:r w:rsidR="005D07BB">
              <w:t xml:space="preserve">found to be </w:t>
            </w:r>
            <w:r>
              <w:t>associated with risks of</w:t>
            </w:r>
            <w:r w:rsidDel="00540C2D">
              <w:t xml:space="preserve"> </w:t>
            </w:r>
            <w:r w:rsidR="00540C2D">
              <w:t>accumulation of carbon abatement</w:t>
            </w:r>
            <w:r>
              <w:t>, arising from reductions in tree growth (and hence sequestration rates) from persistent increases in temperature</w:t>
            </w:r>
            <w:r w:rsidR="00997FDF">
              <w:t xml:space="preserve"> (High)</w:t>
            </w:r>
            <w:r>
              <w:t>, persistent increases in water stress</w:t>
            </w:r>
            <w:r w:rsidR="00997FDF">
              <w:t xml:space="preserve"> (High)</w:t>
            </w:r>
            <w:r>
              <w:t>, and disturbances from heat-stress and droughts</w:t>
            </w:r>
            <w:r w:rsidR="00997FDF">
              <w:t xml:space="preserve"> (Medium)</w:t>
            </w:r>
            <w:r>
              <w:t>. The greatest risk period is soon after planting or germination, when plants are young and more vulnerable to climatic stress. Wildfires were also identified as a particular risk factor</w:t>
            </w:r>
            <w:r w:rsidR="00997FDF">
              <w:t xml:space="preserve"> (Medium)</w:t>
            </w:r>
            <w:r>
              <w:t xml:space="preserve">, associated with risks to </w:t>
            </w:r>
            <w:r w:rsidR="00997FDF">
              <w:t>maintaining stored carbon</w:t>
            </w:r>
            <w:r>
              <w:t xml:space="preserve">, but predominantly at the project level. </w:t>
            </w:r>
          </w:p>
          <w:p w14:paraId="70882867" w14:textId="77777777" w:rsidR="00997FDF" w:rsidRDefault="00997FDF" w:rsidP="00996B9D">
            <w:pPr>
              <w:pStyle w:val="BodyText"/>
            </w:pPr>
          </w:p>
          <w:p w14:paraId="59612D15" w14:textId="2C74CDA0" w:rsidR="004028D8" w:rsidRDefault="004028D8" w:rsidP="00996B9D">
            <w:pPr>
              <w:pStyle w:val="BodyText"/>
            </w:pPr>
            <w:r>
              <w:t>Of all the activity categories</w:t>
            </w:r>
            <w:r w:rsidR="00997FDF">
              <w:t>,</w:t>
            </w:r>
            <w:r>
              <w:t xml:space="preserve"> </w:t>
            </w:r>
            <w:r w:rsidR="008C01E6">
              <w:t>p</w:t>
            </w:r>
            <w:r>
              <w:t>lanting new forests has the widest range of opportunities for adaptation, such as varying species, genetic stock, planting configuration and fire risk reduction management; and with additionally strong opportunities to generate economic, social and environmental co-benefits.</w:t>
            </w:r>
          </w:p>
          <w:p w14:paraId="000B5F24" w14:textId="77777777" w:rsidR="004028D8" w:rsidRDefault="004028D8" w:rsidP="003702EC"/>
        </w:tc>
      </w:tr>
      <w:tr w:rsidR="004028D8" w14:paraId="63F3A5A0" w14:textId="77777777" w:rsidTr="00F975A3">
        <w:tc>
          <w:tcPr>
            <w:tcW w:w="10485" w:type="dxa"/>
            <w:shd w:val="clear" w:color="auto" w:fill="0070AE" w:themeFill="accent2" w:themeFillTint="BF"/>
          </w:tcPr>
          <w:p w14:paraId="6F106B5C" w14:textId="77777777" w:rsidR="004028D8" w:rsidRDefault="004028D8" w:rsidP="003702EC">
            <w:r w:rsidRPr="006E63A1">
              <w:rPr>
                <w:color w:val="FFFFFF" w:themeColor="background1"/>
              </w:rPr>
              <w:t>Savanna fire management</w:t>
            </w:r>
          </w:p>
        </w:tc>
      </w:tr>
      <w:tr w:rsidR="004028D8" w14:paraId="0BE66882" w14:textId="77777777" w:rsidTr="00F975A3">
        <w:tc>
          <w:tcPr>
            <w:tcW w:w="10485" w:type="dxa"/>
          </w:tcPr>
          <w:p w14:paraId="543E642C" w14:textId="6FE549D4" w:rsidR="00B81436" w:rsidRDefault="00B81436" w:rsidP="000E1933">
            <w:pPr>
              <w:spacing w:line="259" w:lineRule="auto"/>
              <w:rPr>
                <w:i/>
              </w:rPr>
            </w:pPr>
            <w:r w:rsidRPr="00B81436">
              <w:rPr>
                <w:i/>
              </w:rPr>
              <w:t>Overall relative risk rating: Third</w:t>
            </w:r>
            <w:r w:rsidR="00997FDF" w:rsidRPr="00B81436">
              <w:rPr>
                <w:i/>
              </w:rPr>
              <w:t xml:space="preserve"> highest</w:t>
            </w:r>
          </w:p>
          <w:p w14:paraId="1E3AC8C9" w14:textId="5D12CB8A" w:rsidR="00A95724" w:rsidRPr="006830AD" w:rsidRDefault="00A95724" w:rsidP="00996B9D">
            <w:pPr>
              <w:pStyle w:val="BodyText"/>
            </w:pPr>
            <w:r w:rsidRPr="006830AD">
              <w:t xml:space="preserve">Risk factor assessment: </w:t>
            </w:r>
            <w:r w:rsidR="00D874A9" w:rsidRPr="006830AD">
              <w:t>1 High, 5 Medium, 1 Low,</w:t>
            </w:r>
            <w:r w:rsidR="00997FDF">
              <w:t xml:space="preserve"> and </w:t>
            </w:r>
            <w:r w:rsidR="00D874A9" w:rsidRPr="006830AD">
              <w:t>11</w:t>
            </w:r>
            <w:r w:rsidR="00997FDF" w:rsidRPr="006830AD">
              <w:t xml:space="preserve"> risk </w:t>
            </w:r>
            <w:r w:rsidR="00D874A9" w:rsidRPr="006830AD">
              <w:t xml:space="preserve">factors </w:t>
            </w:r>
            <w:r w:rsidR="008C51FF" w:rsidRPr="006830AD">
              <w:t>n</w:t>
            </w:r>
            <w:r w:rsidR="00DD17EC">
              <w:t>ot applicable</w:t>
            </w:r>
          </w:p>
          <w:p w14:paraId="688486D6" w14:textId="77777777" w:rsidR="00D874A9" w:rsidRPr="00D874A9" w:rsidRDefault="00D874A9" w:rsidP="00996B9D">
            <w:pPr>
              <w:pStyle w:val="BodyText"/>
            </w:pPr>
          </w:p>
          <w:p w14:paraId="5C66FB29" w14:textId="3AC210A2" w:rsidR="008D15A8" w:rsidRDefault="004028D8" w:rsidP="00996B9D">
            <w:pPr>
              <w:pStyle w:val="BodyText"/>
            </w:pPr>
            <w:r w:rsidRPr="0093527D">
              <w:t>There are several factors that can interact to either lead to increased or decreased opportunities for sequestration, leading to an intermed</w:t>
            </w:r>
            <w:r w:rsidR="0093527D">
              <w:t>iate-level overall risk rating.</w:t>
            </w:r>
            <w:r w:rsidR="00997FDF">
              <w:t xml:space="preserve"> </w:t>
            </w:r>
            <w:r>
              <w:t xml:space="preserve">A persistent increase in water stress was judged to be a high risk to both </w:t>
            </w:r>
            <w:r w:rsidR="0010129D">
              <w:t xml:space="preserve">accumulation </w:t>
            </w:r>
            <w:r>
              <w:t xml:space="preserve">and </w:t>
            </w:r>
            <w:r w:rsidR="0010129D">
              <w:t xml:space="preserve">maintenance </w:t>
            </w:r>
            <w:r>
              <w:t>for the Savanna fire management activity. This is because a decrease in water availability will lead to a decline in maximum biomass potential</w:t>
            </w:r>
            <w:r w:rsidR="008D15A8">
              <w:t xml:space="preserve">. This will result in slower rates of fuel accumulation, meaning there will be less abatement from fire management. </w:t>
            </w:r>
            <w:r w:rsidR="0093527D">
              <w:t>T</w:t>
            </w:r>
            <w:r w:rsidR="008D15A8">
              <w:t xml:space="preserve">here are some climate </w:t>
            </w:r>
            <w:r w:rsidR="0010129D">
              <w:t xml:space="preserve">factors </w:t>
            </w:r>
            <w:r w:rsidR="008D15A8">
              <w:t xml:space="preserve">that </w:t>
            </w:r>
            <w:r w:rsidR="0093527D">
              <w:t xml:space="preserve">may work in reverse to increase abatement potential including increased fire weather and intensity. </w:t>
            </w:r>
            <w:r w:rsidR="0093527D" w:rsidRPr="0093527D">
              <w:t xml:space="preserve">However, this </w:t>
            </w:r>
            <w:r w:rsidR="0010129D">
              <w:t>increase</w:t>
            </w:r>
            <w:r w:rsidR="0093527D" w:rsidRPr="0093527D">
              <w:t xml:space="preserve"> will only be possible where project managers can manage fires carefully to minimise the chance of a late dry sea</w:t>
            </w:r>
            <w:r w:rsidR="0093527D">
              <w:t>son fire accidentally occurring.</w:t>
            </w:r>
          </w:p>
          <w:p w14:paraId="10832B4A" w14:textId="77777777" w:rsidR="00B81436" w:rsidRDefault="00B81436" w:rsidP="00996B9D">
            <w:pPr>
              <w:pStyle w:val="BodyText"/>
            </w:pPr>
          </w:p>
          <w:p w14:paraId="1525D90C" w14:textId="3261E23D" w:rsidR="004028D8" w:rsidRDefault="004028D8" w:rsidP="00996B9D">
            <w:pPr>
              <w:pStyle w:val="BodyText"/>
            </w:pPr>
            <w:r>
              <w:t>Savanna burning projects have an extensive history of delivering co-benefits, particularly with respect to indigenous livelihoods and biodiversity outcomes. However given the large spatial extent of most projects, and the ubiquitous nature of the risk factors (e.g. temperature increase; cyclone activity) relatively few adaptation opportunities were identified that have the potential to significantly mitigate the identified risks. Control of Gamba grass was identified as a key risk mitigation strategy, in those areas under threat from this invasive species.</w:t>
            </w:r>
          </w:p>
          <w:p w14:paraId="680466BE" w14:textId="77777777" w:rsidR="004028D8" w:rsidRDefault="004028D8" w:rsidP="003702EC"/>
        </w:tc>
      </w:tr>
      <w:tr w:rsidR="004028D8" w14:paraId="492AF43E" w14:textId="77777777" w:rsidTr="00F975A3">
        <w:tc>
          <w:tcPr>
            <w:tcW w:w="10485" w:type="dxa"/>
            <w:shd w:val="clear" w:color="auto" w:fill="0070AE" w:themeFill="accent2" w:themeFillTint="BF"/>
          </w:tcPr>
          <w:p w14:paraId="214402C5" w14:textId="269DD9AB" w:rsidR="004028D8" w:rsidRDefault="004028D8" w:rsidP="003702EC">
            <w:r w:rsidRPr="006E63A1">
              <w:rPr>
                <w:color w:val="FFFFFF" w:themeColor="background1"/>
              </w:rPr>
              <w:t>Management of intertidal ecosystems (</w:t>
            </w:r>
            <w:r w:rsidR="00335142">
              <w:rPr>
                <w:color w:val="FFFFFF" w:themeColor="background1"/>
              </w:rPr>
              <w:t xml:space="preserve">Proposed </w:t>
            </w:r>
            <w:r w:rsidRPr="006E63A1">
              <w:rPr>
                <w:color w:val="FFFFFF" w:themeColor="background1"/>
              </w:rPr>
              <w:t>Blue Carbon</w:t>
            </w:r>
            <w:r w:rsidR="00335142">
              <w:rPr>
                <w:color w:val="FFFFFF" w:themeColor="background1"/>
              </w:rPr>
              <w:t xml:space="preserve"> method</w:t>
            </w:r>
            <w:r w:rsidRPr="006E63A1">
              <w:rPr>
                <w:color w:val="FFFFFF" w:themeColor="background1"/>
              </w:rPr>
              <w:t>)</w:t>
            </w:r>
          </w:p>
        </w:tc>
      </w:tr>
      <w:tr w:rsidR="004028D8" w14:paraId="5CBA960F" w14:textId="77777777" w:rsidTr="00F975A3">
        <w:tc>
          <w:tcPr>
            <w:tcW w:w="10485" w:type="dxa"/>
          </w:tcPr>
          <w:p w14:paraId="3E459F98" w14:textId="077B0291" w:rsidR="00B81436" w:rsidRPr="000E1933" w:rsidRDefault="00B81436" w:rsidP="000E1933">
            <w:pPr>
              <w:spacing w:line="259" w:lineRule="auto"/>
              <w:rPr>
                <w:i/>
              </w:rPr>
            </w:pPr>
            <w:r w:rsidRPr="000E1933">
              <w:rPr>
                <w:i/>
              </w:rPr>
              <w:t>Overall relative risk rating: Fourth highest</w:t>
            </w:r>
          </w:p>
          <w:p w14:paraId="671E4E34" w14:textId="18012CBF" w:rsidR="00D874A9" w:rsidRDefault="00D874A9" w:rsidP="00996B9D">
            <w:pPr>
              <w:pStyle w:val="BodyText"/>
            </w:pPr>
            <w:r w:rsidRPr="00D874A9">
              <w:t xml:space="preserve">Risk factor assessment: </w:t>
            </w:r>
            <w:r w:rsidR="008C51FF">
              <w:t xml:space="preserve">6 Medium, </w:t>
            </w:r>
            <w:r w:rsidR="006C22A6">
              <w:t>3</w:t>
            </w:r>
            <w:r w:rsidR="008C51FF">
              <w:t xml:space="preserve"> Low</w:t>
            </w:r>
            <w:r>
              <w:t xml:space="preserve">, </w:t>
            </w:r>
            <w:r w:rsidR="00335142">
              <w:t xml:space="preserve">1 </w:t>
            </w:r>
            <w:r w:rsidR="008C51FF">
              <w:t xml:space="preserve">not rated due to insufficient information </w:t>
            </w:r>
            <w:r w:rsidR="00335142">
              <w:t xml:space="preserve">and 9 risks factors </w:t>
            </w:r>
            <w:r w:rsidR="00392D79">
              <w:t>n</w:t>
            </w:r>
            <w:r w:rsidR="00DD17EC">
              <w:t>ot applicable</w:t>
            </w:r>
          </w:p>
          <w:p w14:paraId="5C906341" w14:textId="77777777" w:rsidR="00D874A9" w:rsidRDefault="00D874A9" w:rsidP="00996B9D">
            <w:pPr>
              <w:pStyle w:val="BodyText"/>
            </w:pPr>
          </w:p>
          <w:p w14:paraId="724C5C5D" w14:textId="582AEB96" w:rsidR="00335142" w:rsidRDefault="004028D8" w:rsidP="00996B9D">
            <w:pPr>
              <w:pStyle w:val="BodyText"/>
            </w:pPr>
            <w:r>
              <w:t xml:space="preserve">Intertidal ecosystems can be considered ’high energy’, in that they are subject to regular and profound environmental perturbations, from the daily tidal cycle through to runoff and freshwater inundation. There are </w:t>
            </w:r>
            <w:r w:rsidR="0010129D">
              <w:t>climatic</w:t>
            </w:r>
            <w:r>
              <w:t xml:space="preserve"> risks to both </w:t>
            </w:r>
            <w:r w:rsidR="00335142">
              <w:t xml:space="preserve">accumulation of carbon </w:t>
            </w:r>
            <w:r w:rsidRPr="00335142">
              <w:t xml:space="preserve">and </w:t>
            </w:r>
            <w:r w:rsidR="00335142">
              <w:t>maintenance of carbon in</w:t>
            </w:r>
            <w:r>
              <w:t xml:space="preserve"> sequestration activities in Blue Carbon ecosystems, </w:t>
            </w:r>
            <w:r w:rsidR="00335142">
              <w:t>with</w:t>
            </w:r>
            <w:r>
              <w:t xml:space="preserve"> the primary drivers connected and interacting</w:t>
            </w:r>
            <w:r w:rsidR="00335142">
              <w:t xml:space="preserve">. Medium risks were found for a number of risk factors </w:t>
            </w:r>
            <w:r w:rsidR="008C51FF">
              <w:t>including</w:t>
            </w:r>
            <w:r>
              <w:t xml:space="preserve"> changes to sea levels</w:t>
            </w:r>
            <w:r w:rsidR="00335142">
              <w:t>,</w:t>
            </w:r>
            <w:r>
              <w:t xml:space="preserve"> drought, storm impacts, extreme temperatures, and impacts to rates of sedimentation and erosion. Because </w:t>
            </w:r>
            <w:r w:rsidR="008C51FF">
              <w:t xml:space="preserve">many of </w:t>
            </w:r>
            <w:r w:rsidRPr="00335142">
              <w:t xml:space="preserve">these </w:t>
            </w:r>
            <w:r w:rsidR="008C51FF">
              <w:t>risk</w:t>
            </w:r>
            <w:r>
              <w:t xml:space="preserve"> factors can cause either accretion or loss of carbon, the magnitude and direction of change in carbon storage is uncertain</w:t>
            </w:r>
            <w:r w:rsidR="0093527D">
              <w:t>.</w:t>
            </w:r>
          </w:p>
          <w:p w14:paraId="34F40F0E" w14:textId="77777777" w:rsidR="00335142" w:rsidRDefault="00335142" w:rsidP="00996B9D">
            <w:pPr>
              <w:pStyle w:val="BodyText"/>
            </w:pPr>
          </w:p>
          <w:p w14:paraId="0FE8BC9A" w14:textId="7829C317" w:rsidR="004028D8" w:rsidRDefault="0093527D" w:rsidP="00996B9D">
            <w:pPr>
              <w:pStyle w:val="BodyText"/>
            </w:pPr>
            <w:r>
              <w:t>T</w:t>
            </w:r>
            <w:r w:rsidR="004028D8" w:rsidRPr="00335142">
              <w:t>he</w:t>
            </w:r>
            <w:r w:rsidR="004028D8">
              <w:t xml:space="preserve"> primary management intervention involves the re-introduction of tidal flows to restore mangrove and tidal marsh ecosystems, this implies that the management interventions are likely to include modification of existing infrastructure, such as levees and embankments. Because of this level of control in how projects are designed and implemented, it is possible this could provide opportunities to mitigate against some of the major risk factors, such as carefully designed engineering to simultaneously promote increased tidal flows, but also provide protection to the regenerating systems from disturbances such as tidal surges and storm damage.</w:t>
            </w:r>
          </w:p>
          <w:p w14:paraId="6E981DC2" w14:textId="77777777" w:rsidR="004028D8" w:rsidRDefault="004028D8" w:rsidP="003702EC"/>
        </w:tc>
      </w:tr>
      <w:tr w:rsidR="004028D8" w14:paraId="277938B1" w14:textId="77777777" w:rsidTr="00F975A3">
        <w:tc>
          <w:tcPr>
            <w:tcW w:w="10485" w:type="dxa"/>
            <w:shd w:val="clear" w:color="auto" w:fill="0070AE" w:themeFill="accent2" w:themeFillTint="BF"/>
          </w:tcPr>
          <w:p w14:paraId="7D1B9D94" w14:textId="77777777" w:rsidR="004028D8" w:rsidRDefault="004028D8" w:rsidP="003702EC">
            <w:r w:rsidRPr="006E63A1">
              <w:rPr>
                <w:color w:val="FFFFFF" w:themeColor="background1"/>
              </w:rPr>
              <w:t>Re-establishment of native forest cover</w:t>
            </w:r>
          </w:p>
        </w:tc>
      </w:tr>
      <w:tr w:rsidR="004028D8" w14:paraId="654D1709" w14:textId="77777777" w:rsidTr="00F975A3">
        <w:tc>
          <w:tcPr>
            <w:tcW w:w="10485" w:type="dxa"/>
          </w:tcPr>
          <w:p w14:paraId="33329E8E" w14:textId="2AB90A5B" w:rsidR="00B81436" w:rsidRDefault="00B81436" w:rsidP="000E1933">
            <w:pPr>
              <w:spacing w:line="259" w:lineRule="auto"/>
              <w:rPr>
                <w:i/>
              </w:rPr>
            </w:pPr>
            <w:r w:rsidRPr="00B81436">
              <w:rPr>
                <w:i/>
              </w:rPr>
              <w:t>Overall relative risk rating:  Fifth highest</w:t>
            </w:r>
          </w:p>
          <w:p w14:paraId="5C218169" w14:textId="65CCE9C1" w:rsidR="008C51FF" w:rsidRPr="006830AD" w:rsidRDefault="008C51FF" w:rsidP="00996B9D">
            <w:pPr>
              <w:pStyle w:val="BodyText"/>
            </w:pPr>
            <w:r w:rsidRPr="006830AD">
              <w:t xml:space="preserve">Risk factors assessment: 5 Medium, 4 Low, 3 </w:t>
            </w:r>
            <w:r w:rsidR="00392D79" w:rsidRPr="006830AD">
              <w:t xml:space="preserve">not rated due to insufficient information </w:t>
            </w:r>
            <w:r w:rsidRPr="006830AD">
              <w:t xml:space="preserve">and 6 risk factors </w:t>
            </w:r>
            <w:r w:rsidR="00392D79" w:rsidRPr="006830AD">
              <w:t>n</w:t>
            </w:r>
            <w:r w:rsidR="00DD17EC" w:rsidRPr="006830AD">
              <w:t>ot applicable</w:t>
            </w:r>
          </w:p>
          <w:p w14:paraId="72941A03" w14:textId="77777777" w:rsidR="008C51FF" w:rsidRDefault="008C51FF" w:rsidP="00996B9D">
            <w:pPr>
              <w:pStyle w:val="BodyText"/>
            </w:pPr>
          </w:p>
          <w:p w14:paraId="259CBFC5" w14:textId="001E6904" w:rsidR="00392D79" w:rsidRDefault="004028D8" w:rsidP="00996B9D">
            <w:pPr>
              <w:pStyle w:val="BodyText"/>
            </w:pPr>
            <w:r w:rsidRPr="008D15A8">
              <w:t xml:space="preserve">The key stage of vulnerability for these projects is during the establishment and early years of growth. </w:t>
            </w:r>
            <w:r>
              <w:t xml:space="preserve">From the perspective of abatement </w:t>
            </w:r>
            <w:r w:rsidR="00392D79">
              <w:t>accumulation</w:t>
            </w:r>
            <w:r>
              <w:t xml:space="preserve">, the main risks are associated with changes in the climate that affects the survivorship of young regenerating stands, and the growth rates of mature stands. The main drivers were identified to be changes in average and maximum temperature, and the associated variables potential evapotranspiration and relative humidity, which have the potential to reduce net primary productivity, and hence rates of carbon sequestration. Regarding </w:t>
            </w:r>
            <w:r w:rsidR="00392D79">
              <w:t xml:space="preserve">maintaining carbon </w:t>
            </w:r>
            <w:r>
              <w:t xml:space="preserve">abatement, the </w:t>
            </w:r>
            <w:r w:rsidR="0093527D">
              <w:t>key</w:t>
            </w:r>
            <w:r>
              <w:t xml:space="preserve"> risk </w:t>
            </w:r>
            <w:r w:rsidRPr="00392D79">
              <w:t>factor</w:t>
            </w:r>
            <w:r w:rsidR="0093527D">
              <w:t>s</w:t>
            </w:r>
            <w:r>
              <w:t xml:space="preserve"> identified was from mortality associated with extreme drought</w:t>
            </w:r>
            <w:r w:rsidR="00392D79">
              <w:t xml:space="preserve"> (Medium)</w:t>
            </w:r>
            <w:r w:rsidRPr="00392D79">
              <w:t>,</w:t>
            </w:r>
            <w:r>
              <w:t xml:space="preserve"> although the ultimate consequences for carbon abatement are uncertain as they are a function of the combined rates of subsequent debris decay and other losses (such as from termites), and rates of post-drought recovery. The drought risk is exacerbated through the regional concentration of projects in north west </w:t>
            </w:r>
            <w:r w:rsidR="006C22A6">
              <w:t>N</w:t>
            </w:r>
            <w:r>
              <w:t xml:space="preserve">ew South Wales, and south west Queensland. Because fire is not a major feature in the areas where these activities have been established, or are likely to be established in the future, </w:t>
            </w:r>
            <w:r w:rsidR="008D15A8">
              <w:t>this risk</w:t>
            </w:r>
            <w:r>
              <w:t xml:space="preserve"> was </w:t>
            </w:r>
            <w:r w:rsidR="008D15A8">
              <w:t xml:space="preserve">rated </w:t>
            </w:r>
            <w:r w:rsidRPr="00392D79">
              <w:t>a</w:t>
            </w:r>
            <w:r w:rsidR="008D15A8">
              <w:t>s low</w:t>
            </w:r>
            <w:r>
              <w:t>, although fire does occur within the</w:t>
            </w:r>
            <w:r w:rsidR="0010129D">
              <w:t>se</w:t>
            </w:r>
            <w:r>
              <w:t xml:space="preserve"> region</w:t>
            </w:r>
            <w:r w:rsidR="0010129D">
              <w:t>s</w:t>
            </w:r>
            <w:r>
              <w:t xml:space="preserve">, and hence individual project should have in place appropriate fire management plans. </w:t>
            </w:r>
          </w:p>
          <w:p w14:paraId="00ED184B" w14:textId="77777777" w:rsidR="00392D79" w:rsidRDefault="00392D79" w:rsidP="00996B9D">
            <w:pPr>
              <w:pStyle w:val="BodyText"/>
            </w:pPr>
          </w:p>
          <w:p w14:paraId="7080B6F0" w14:textId="0975A2A4" w:rsidR="004028D8" w:rsidRDefault="004028D8" w:rsidP="00996B9D">
            <w:pPr>
              <w:pStyle w:val="BodyText"/>
            </w:pPr>
            <w:r>
              <w:t>The embedded methodological requirements of having to demonstrate a potential for forest cover to be achieved (through e.g. evidence of seedlings or young regrowth), and for having to demonstrate advancement of the vegetation towards forest cover over time, provides strong mitigation against the vulnerable early stages of regeneration.</w:t>
            </w:r>
          </w:p>
          <w:p w14:paraId="14F710D2" w14:textId="77777777" w:rsidR="004028D8" w:rsidRDefault="004028D8" w:rsidP="003702EC"/>
        </w:tc>
      </w:tr>
      <w:tr w:rsidR="004028D8" w14:paraId="2C807DF8" w14:textId="77777777" w:rsidTr="00F975A3">
        <w:tc>
          <w:tcPr>
            <w:tcW w:w="10485" w:type="dxa"/>
            <w:shd w:val="clear" w:color="auto" w:fill="0070AE" w:themeFill="accent2" w:themeFillTint="BF"/>
          </w:tcPr>
          <w:p w14:paraId="5979B0CD" w14:textId="77777777" w:rsidR="004028D8" w:rsidRDefault="004028D8" w:rsidP="003702EC">
            <w:r w:rsidRPr="006E63A1">
              <w:rPr>
                <w:color w:val="FFFFFF" w:themeColor="background1"/>
              </w:rPr>
              <w:t>Protection of existing forests</w:t>
            </w:r>
          </w:p>
        </w:tc>
      </w:tr>
      <w:tr w:rsidR="004028D8" w14:paraId="03241B68" w14:textId="77777777" w:rsidTr="00F975A3">
        <w:tc>
          <w:tcPr>
            <w:tcW w:w="10485" w:type="dxa"/>
          </w:tcPr>
          <w:p w14:paraId="10EF4527" w14:textId="455EE5C2" w:rsidR="00B81436" w:rsidRDefault="00B81436" w:rsidP="000E1933">
            <w:pPr>
              <w:spacing w:line="259" w:lineRule="auto"/>
              <w:rPr>
                <w:i/>
              </w:rPr>
            </w:pPr>
            <w:r w:rsidRPr="00B81436">
              <w:rPr>
                <w:i/>
              </w:rPr>
              <w:t xml:space="preserve">Overall risk rating: Sixth highest </w:t>
            </w:r>
            <w:r>
              <w:rPr>
                <w:i/>
              </w:rPr>
              <w:t>(least risk)</w:t>
            </w:r>
          </w:p>
          <w:p w14:paraId="5A4683D0" w14:textId="29AF78D3" w:rsidR="00392D79" w:rsidRDefault="00392D79" w:rsidP="003702EC">
            <w:pPr>
              <w:rPr>
                <w:i/>
              </w:rPr>
            </w:pPr>
            <w:r w:rsidRPr="00392D79">
              <w:rPr>
                <w:i/>
              </w:rPr>
              <w:t>R</w:t>
            </w:r>
            <w:r w:rsidRPr="001D10CD">
              <w:t xml:space="preserve">isk factor assessment: 1 Medium, </w:t>
            </w:r>
            <w:r w:rsidR="006C22A6" w:rsidRPr="001D10CD">
              <w:t>6</w:t>
            </w:r>
            <w:r w:rsidRPr="001D10CD">
              <w:t xml:space="preserve"> Low, 1 not rated due to insufficient information, 11 risk factors </w:t>
            </w:r>
            <w:r w:rsidR="00B81436" w:rsidRPr="001D10CD">
              <w:t xml:space="preserve">not applicable </w:t>
            </w:r>
          </w:p>
          <w:p w14:paraId="2C7332B8" w14:textId="77777777" w:rsidR="00392D79" w:rsidRPr="00392D79" w:rsidRDefault="00392D79" w:rsidP="003702EC">
            <w:pPr>
              <w:rPr>
                <w:i/>
              </w:rPr>
            </w:pPr>
          </w:p>
          <w:p w14:paraId="1AC250B3" w14:textId="246B830B" w:rsidR="00392D79" w:rsidRDefault="004028D8" w:rsidP="003702EC">
            <w:r w:rsidRPr="00D232E2">
              <w:t xml:space="preserve">Because </w:t>
            </w:r>
            <w:r>
              <w:t xml:space="preserve">both </w:t>
            </w:r>
            <w:r w:rsidRPr="00D232E2">
              <w:t>the Avoided</w:t>
            </w:r>
            <w:r>
              <w:t xml:space="preserve"> </w:t>
            </w:r>
            <w:r w:rsidRPr="00D232E2">
              <w:t>D</w:t>
            </w:r>
            <w:r>
              <w:t>eforestation</w:t>
            </w:r>
            <w:r w:rsidRPr="00D232E2">
              <w:t xml:space="preserve"> and Avoided</w:t>
            </w:r>
            <w:r>
              <w:t xml:space="preserve"> </w:t>
            </w:r>
            <w:r w:rsidRPr="00D232E2">
              <w:t>C</w:t>
            </w:r>
            <w:r>
              <w:t xml:space="preserve">learing methodologies within this activity class </w:t>
            </w:r>
            <w:r w:rsidRPr="00D232E2">
              <w:t xml:space="preserve">involve the protection of existing forests, the question of risks to </w:t>
            </w:r>
            <w:r w:rsidR="006C22A6">
              <w:t xml:space="preserve">accumulation </w:t>
            </w:r>
            <w:r w:rsidRPr="00D232E2">
              <w:t xml:space="preserve">are </w:t>
            </w:r>
            <w:r>
              <w:t>not relevant, and risks associated with initial forest regeneration are avoided</w:t>
            </w:r>
            <w:r w:rsidRPr="00D232E2">
              <w:t xml:space="preserve">. The main risks </w:t>
            </w:r>
            <w:r w:rsidR="00392D79">
              <w:t>were</w:t>
            </w:r>
            <w:r w:rsidRPr="00D232E2">
              <w:t xml:space="preserve"> </w:t>
            </w:r>
            <w:r>
              <w:t>therefore</w:t>
            </w:r>
            <w:r w:rsidR="00392D79">
              <w:t xml:space="preserve"> found to be</w:t>
            </w:r>
            <w:r>
              <w:t xml:space="preserve"> </w:t>
            </w:r>
            <w:r w:rsidRPr="00D232E2">
              <w:t>associated with abatement reversal</w:t>
            </w:r>
            <w:r>
              <w:t xml:space="preserve">, which were </w:t>
            </w:r>
            <w:r w:rsidRPr="00D232E2">
              <w:t xml:space="preserve">identified </w:t>
            </w:r>
            <w:r>
              <w:t xml:space="preserve">to be </w:t>
            </w:r>
            <w:r w:rsidRPr="00D232E2">
              <w:t>mortality associated with extreme drought, although as noted the ultimate consequences for carbon abatement are uncertain as they are a function of the combined rates of subsequent debris decay and other losses (such as from termites), and rates of post-drought recovery. Because of the potentially broad spatial scale of drought events, and given the concentration of current projects geographically, there are implications at both the whole portfolio level, as well as the individual project level.</w:t>
            </w:r>
            <w:r>
              <w:t xml:space="preserve"> </w:t>
            </w:r>
          </w:p>
          <w:p w14:paraId="005F2940" w14:textId="77777777" w:rsidR="00392D79" w:rsidRDefault="00392D79" w:rsidP="003702EC"/>
          <w:p w14:paraId="586D503C" w14:textId="65F3581F" w:rsidR="004028D8" w:rsidRDefault="004028D8" w:rsidP="003702EC">
            <w:r>
              <w:t>Opportunities mitigating these risks are limited, but include control of invasive weeds (an existing requirement of the methodology), which also helps mitigate against risks from wildfire – although for Avoided Deforestation, fire risks were assessed to be low, similar to the Re-establishment of native forest cover class, and individual project should also have in place appropriate fire management plans. In the areas most suited to the Avoided Clearing methodology the fire risk is relatively higher, due to higher productivity and greater contiguity of ground fuels</w:t>
            </w:r>
            <w:r w:rsidR="0091099F">
              <w:t>.</w:t>
            </w:r>
          </w:p>
          <w:p w14:paraId="74ABF006" w14:textId="77777777" w:rsidR="004028D8" w:rsidRDefault="004028D8" w:rsidP="003702EC"/>
        </w:tc>
      </w:tr>
    </w:tbl>
    <w:p w14:paraId="5B362BE1" w14:textId="77777777" w:rsidR="004028D8" w:rsidRDefault="004028D8" w:rsidP="00F975A3"/>
    <w:p w14:paraId="16643DB9" w14:textId="77777777" w:rsidR="003702EC" w:rsidRDefault="003702EC" w:rsidP="00F975A3">
      <w:pPr>
        <w:sectPr w:rsidR="003702EC" w:rsidSect="0070582C">
          <w:footerReference w:type="default" r:id="rId47"/>
          <w:pgSz w:w="11906" w:h="16838"/>
          <w:pgMar w:top="720" w:right="720" w:bottom="720" w:left="720" w:header="425" w:footer="425" w:gutter="0"/>
          <w:cols w:space="708"/>
          <w:titlePg/>
          <w:docGrid w:linePitch="360"/>
        </w:sectPr>
      </w:pPr>
    </w:p>
    <w:p w14:paraId="1F7B94AC" w14:textId="77777777" w:rsidR="00FE3F8C" w:rsidRPr="00E93CBF" w:rsidRDefault="00FE3F8C" w:rsidP="00FE3F8C">
      <w:pPr>
        <w:pStyle w:val="Heading1"/>
        <w:ind w:left="0" w:firstLine="0"/>
        <w:rPr>
          <w:color w:val="0070AE" w:themeColor="accent2" w:themeTint="BF"/>
        </w:rPr>
      </w:pPr>
      <w:bookmarkStart w:id="4207" w:name="_Toc51771187"/>
      <w:bookmarkStart w:id="4208" w:name="_Toc51770922"/>
      <w:bookmarkStart w:id="4209" w:name="_Toc51770736"/>
      <w:bookmarkStart w:id="4210" w:name="_Toc51705790"/>
      <w:bookmarkStart w:id="4211" w:name="_Toc51687913"/>
      <w:bookmarkStart w:id="4212" w:name="_Toc51687769"/>
      <w:bookmarkStart w:id="4213" w:name="_Toc51686889"/>
      <w:bookmarkStart w:id="4214" w:name="_Toc51686031"/>
      <w:bookmarkStart w:id="4215" w:name="_Toc51683295"/>
      <w:bookmarkStart w:id="4216" w:name="_Toc51680766"/>
      <w:bookmarkStart w:id="4217" w:name="_Toc51673949"/>
      <w:bookmarkStart w:id="4218" w:name="_Toc51672899"/>
      <w:bookmarkStart w:id="4219" w:name="_Toc51669750"/>
      <w:bookmarkStart w:id="4220" w:name="_Toc51669655"/>
      <w:bookmarkStart w:id="4221" w:name="_Toc51613543"/>
      <w:bookmarkStart w:id="4222" w:name="_Toc51599507"/>
      <w:bookmarkStart w:id="4223" w:name="_Toc51594904"/>
      <w:bookmarkStart w:id="4224" w:name="_Toc51587044"/>
      <w:bookmarkStart w:id="4225" w:name="_Toc50905559"/>
      <w:bookmarkStart w:id="4226" w:name="_Toc50735540"/>
      <w:bookmarkStart w:id="4227" w:name="_Toc50734937"/>
      <w:bookmarkStart w:id="4228" w:name="_Toc50730711"/>
      <w:bookmarkStart w:id="4229" w:name="_Toc50720987"/>
      <w:bookmarkStart w:id="4230" w:name="_Toc50711405"/>
      <w:bookmarkStart w:id="4231" w:name="_Toc50563852"/>
      <w:bookmarkStart w:id="4232" w:name="_Toc50559918"/>
      <w:bookmarkStart w:id="4233" w:name="_Toc50559865"/>
      <w:bookmarkStart w:id="4234" w:name="_Toc50555405"/>
      <w:bookmarkStart w:id="4235" w:name="_Toc50553642"/>
      <w:bookmarkStart w:id="4236" w:name="_Toc50057764"/>
      <w:bookmarkStart w:id="4237" w:name="_Toc49872578"/>
      <w:bookmarkStart w:id="4238" w:name="_Toc49872025"/>
      <w:bookmarkStart w:id="4239" w:name="_Toc49871344"/>
      <w:bookmarkStart w:id="4240" w:name="_Toc49870601"/>
      <w:bookmarkStart w:id="4241" w:name="_Toc49867764"/>
      <w:bookmarkStart w:id="4242" w:name="_Toc49863041"/>
      <w:bookmarkStart w:id="4243" w:name="_Toc49858339"/>
      <w:bookmarkStart w:id="4244" w:name="_Toc49858284"/>
      <w:bookmarkStart w:id="4245" w:name="_Toc49856968"/>
      <w:bookmarkStart w:id="4246" w:name="_Toc49854372"/>
      <w:bookmarkStart w:id="4247" w:name="_Toc49852955"/>
      <w:bookmarkStart w:id="4248" w:name="_Toc49850713"/>
      <w:bookmarkStart w:id="4249" w:name="_Toc49787399"/>
      <w:bookmarkStart w:id="4250" w:name="_Toc49787344"/>
      <w:bookmarkStart w:id="4251" w:name="_Toc49786296"/>
      <w:bookmarkStart w:id="4252" w:name="_Toc49784970"/>
      <w:bookmarkStart w:id="4253" w:name="_Toc49776411"/>
      <w:bookmarkStart w:id="4254" w:name="_Toc49713473"/>
      <w:bookmarkStart w:id="4255" w:name="_Toc49713271"/>
      <w:bookmarkStart w:id="4256" w:name="_Toc49710718"/>
      <w:bookmarkStart w:id="4257" w:name="_Toc49710546"/>
      <w:bookmarkStart w:id="4258" w:name="_Toc49692169"/>
      <w:bookmarkStart w:id="4259" w:name="_Toc49528017"/>
      <w:bookmarkStart w:id="4260" w:name="_Toc49527179"/>
      <w:bookmarkStart w:id="4261" w:name="_Toc49524710"/>
      <w:bookmarkStart w:id="4262" w:name="_Toc49524572"/>
      <w:bookmarkStart w:id="4263" w:name="_Toc49521500"/>
      <w:bookmarkStart w:id="4264" w:name="_Toc49519782"/>
      <w:bookmarkStart w:id="4265" w:name="_Toc49508973"/>
      <w:bookmarkStart w:id="4266" w:name="_Toc49442240"/>
      <w:bookmarkStart w:id="4267" w:name="_Toc49441237"/>
      <w:bookmarkStart w:id="4268" w:name="_Toc49441047"/>
      <w:bookmarkStart w:id="4269" w:name="_Toc49434054"/>
      <w:bookmarkStart w:id="4270" w:name="_Toc49429297"/>
      <w:bookmarkStart w:id="4271" w:name="_Toc49355539"/>
      <w:bookmarkStart w:id="4272" w:name="_Toc49354213"/>
      <w:bookmarkStart w:id="4273" w:name="_Toc49352837"/>
      <w:bookmarkStart w:id="4274" w:name="_Toc49350857"/>
      <w:bookmarkStart w:id="4275" w:name="_Toc48996330"/>
      <w:bookmarkStart w:id="4276" w:name="_Toc50043913"/>
      <w:bookmarkStart w:id="4277" w:name="_Toc50029484"/>
      <w:bookmarkStart w:id="4278" w:name="_Toc50027790"/>
      <w:bookmarkStart w:id="4279" w:name="_Toc45030361"/>
      <w:bookmarkStart w:id="4280" w:name="_Toc44514585"/>
      <w:bookmarkStart w:id="4281" w:name="_Toc500516283"/>
      <w:bookmarkStart w:id="4282" w:name="_Toc500514231"/>
      <w:bookmarkStart w:id="4283" w:name="_Toc500512971"/>
      <w:bookmarkStart w:id="4284" w:name="_Toc500491034"/>
      <w:bookmarkStart w:id="4285" w:name="_Toc500401546"/>
      <w:bookmarkStart w:id="4286" w:name="_Toc500254041"/>
      <w:bookmarkStart w:id="4287" w:name="_Toc500251444"/>
      <w:bookmarkStart w:id="4288" w:name="_Toc500251169"/>
      <w:bookmarkStart w:id="4289" w:name="_Toc499051817"/>
      <w:bookmarkStart w:id="4290" w:name="_Toc499043792"/>
      <w:bookmarkStart w:id="4291" w:name="_Toc498691610"/>
      <w:bookmarkStart w:id="4292" w:name="_Toc52359265"/>
      <w:bookmarkStart w:id="4293" w:name="_Toc52367298"/>
      <w:bookmarkStart w:id="4294" w:name="_Toc52371638"/>
      <w:bookmarkStart w:id="4295" w:name="_Toc52374786"/>
      <w:bookmarkStart w:id="4296" w:name="_Toc52377324"/>
      <w:bookmarkStart w:id="4297" w:name="_Toc52379246"/>
      <w:bookmarkStart w:id="4298" w:name="_Toc52379601"/>
      <w:bookmarkStart w:id="4299" w:name="_Toc52532811"/>
      <w:bookmarkStart w:id="4300" w:name="_Toc52535706"/>
      <w:bookmarkStart w:id="4301" w:name="_Toc52537524"/>
      <w:bookmarkStart w:id="4302" w:name="_Toc52544087"/>
      <w:bookmarkStart w:id="4303" w:name="_Toc52545691"/>
      <w:bookmarkStart w:id="4304" w:name="_Toc52547923"/>
      <w:bookmarkStart w:id="4305" w:name="_Toc52548612"/>
      <w:bookmarkStart w:id="4306" w:name="_Toc52890904"/>
      <w:bookmarkStart w:id="4307" w:name="_Toc52895107"/>
      <w:bookmarkStart w:id="4308" w:name="_Toc52896631"/>
      <w:bookmarkStart w:id="4309" w:name="_Toc52977808"/>
      <w:bookmarkStart w:id="4310" w:name="_Toc53129494"/>
      <w:r w:rsidRPr="00E93CBF">
        <w:rPr>
          <w:color w:val="0070AE" w:themeColor="accent2" w:themeTint="BF"/>
        </w:rPr>
        <w:t>References</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p>
    <w:p w14:paraId="63035FC0" w14:textId="77777777" w:rsidR="00FE3F8C" w:rsidRDefault="00FE3F8C" w:rsidP="00FE3F8C">
      <w:pPr>
        <w:rPr>
          <w:rFonts w:cs="Arial"/>
          <w:b/>
          <w:szCs w:val="20"/>
        </w:rPr>
      </w:pPr>
    </w:p>
    <w:p w14:paraId="137D3DB7" w14:textId="225A6A70" w:rsidR="00FE3F8C" w:rsidRPr="00986FBF" w:rsidRDefault="00FE3F8C" w:rsidP="00FE3F8C">
      <w:pPr>
        <w:rPr>
          <w:rFonts w:cs="Arial"/>
          <w:b/>
          <w:szCs w:val="20"/>
        </w:rPr>
      </w:pPr>
      <w:r w:rsidRPr="005F2967">
        <w:rPr>
          <w:rFonts w:cs="Arial"/>
          <w:b/>
          <w:szCs w:val="20"/>
        </w:rPr>
        <w:t>Australian Building Codes Board (ABCB) n.d</w:t>
      </w:r>
      <w:r w:rsidRPr="00986FBF">
        <w:rPr>
          <w:rFonts w:cs="Arial"/>
          <w:b/>
          <w:szCs w:val="20"/>
        </w:rPr>
        <w:t>.</w:t>
      </w:r>
      <w:r w:rsidR="004177C9">
        <w:rPr>
          <w:rFonts w:cs="Arial"/>
          <w:b/>
          <w:szCs w:val="20"/>
        </w:rPr>
        <w:t>,</w:t>
      </w:r>
      <w:r w:rsidR="00F94E82">
        <w:rPr>
          <w:rFonts w:cs="Arial"/>
          <w:b/>
          <w:szCs w:val="20"/>
        </w:rPr>
        <w:t xml:space="preserve"> </w:t>
      </w:r>
      <w:r w:rsidRPr="00986FBF">
        <w:rPr>
          <w:rFonts w:cs="Arial"/>
          <w:i/>
          <w:szCs w:val="20"/>
        </w:rPr>
        <w:t>The board</w:t>
      </w:r>
      <w:r w:rsidRPr="00986FBF">
        <w:rPr>
          <w:rFonts w:cs="Arial"/>
          <w:szCs w:val="20"/>
        </w:rPr>
        <w:t xml:space="preserve">, viewed 15 September 2020, </w:t>
      </w:r>
      <w:hyperlink r:id="rId48" w:history="1">
        <w:r w:rsidRPr="00986FBF">
          <w:rPr>
            <w:rStyle w:val="Hyperlink"/>
            <w:rFonts w:cs="Arial"/>
            <w:szCs w:val="20"/>
          </w:rPr>
          <w:t>https://www.abcb.gov.au/ABCB/The-Board</w:t>
        </w:r>
      </w:hyperlink>
      <w:r>
        <w:t xml:space="preserve">. </w:t>
      </w:r>
    </w:p>
    <w:p w14:paraId="36D8ECDA" w14:textId="16B56743" w:rsidR="00FE3F8C" w:rsidRDefault="00FE3F8C" w:rsidP="00FE3F8C">
      <w:r w:rsidRPr="00227807">
        <w:rPr>
          <w:rFonts w:cs="Arial"/>
          <w:b/>
          <w:szCs w:val="20"/>
        </w:rPr>
        <w:t>Administrator of the Australian Carbon Industry Code of Conduct (the Code) 2020</w:t>
      </w:r>
      <w:r w:rsidRPr="00986FBF">
        <w:rPr>
          <w:rFonts w:cs="Arial"/>
          <w:szCs w:val="20"/>
        </w:rPr>
        <w:t xml:space="preserve">, </w:t>
      </w:r>
      <w:r w:rsidRPr="00986FBF">
        <w:rPr>
          <w:rFonts w:cs="Arial"/>
          <w:i/>
          <w:szCs w:val="20"/>
        </w:rPr>
        <w:t>Independent Review of the Carbon Industry Code of Conduct Administrator Response &amp; Transition Plan August 2020</w:t>
      </w:r>
      <w:r w:rsidRPr="00986FBF">
        <w:rPr>
          <w:rFonts w:cs="Arial"/>
          <w:szCs w:val="20"/>
        </w:rPr>
        <w:t xml:space="preserve">, </w:t>
      </w:r>
      <w:r w:rsidRPr="00227807">
        <w:rPr>
          <w:rFonts w:cs="Arial"/>
          <w:szCs w:val="20"/>
        </w:rPr>
        <w:t xml:space="preserve">viewed </w:t>
      </w:r>
      <w:r w:rsidRPr="0057731E">
        <w:rPr>
          <w:rFonts w:cs="Arial"/>
          <w:szCs w:val="20"/>
        </w:rPr>
        <w:t>3 September 2020,</w:t>
      </w:r>
      <w:r w:rsidRPr="00680992">
        <w:rPr>
          <w:rFonts w:cs="Arial"/>
          <w:szCs w:val="20"/>
        </w:rPr>
        <w:t xml:space="preserve"> </w:t>
      </w:r>
      <w:hyperlink r:id="rId49" w:history="1">
        <w:r w:rsidRPr="00986FBF">
          <w:rPr>
            <w:rStyle w:val="Hyperlink"/>
            <w:rFonts w:cs="Arial"/>
            <w:szCs w:val="20"/>
          </w:rPr>
          <w:t>http://marketplace.carbonmarketinstitute.org/wp-content/uploads/2020/08/Administrator-Response-Transition-Plan-Code-Independent-Review.pdf</w:t>
        </w:r>
      </w:hyperlink>
      <w:r w:rsidRPr="00986FBF">
        <w:rPr>
          <w:rFonts w:cs="Arial"/>
          <w:szCs w:val="20"/>
        </w:rPr>
        <w:t>.</w:t>
      </w:r>
    </w:p>
    <w:p w14:paraId="3B0349F4" w14:textId="77777777" w:rsidR="00FE3F8C" w:rsidRPr="00986FBF" w:rsidRDefault="00FE3F8C" w:rsidP="00FE3F8C">
      <w:pPr>
        <w:rPr>
          <w:rFonts w:cs="Arial"/>
          <w:i/>
          <w:iCs/>
          <w:szCs w:val="20"/>
        </w:rPr>
      </w:pPr>
      <w:r w:rsidRPr="0072065C">
        <w:rPr>
          <w:rFonts w:cs="Arial"/>
          <w:b/>
          <w:iCs/>
          <w:szCs w:val="20"/>
        </w:rPr>
        <w:t>Australian Fisheries Management Authority (AFMA) 2018</w:t>
      </w:r>
      <w:r>
        <w:rPr>
          <w:rFonts w:cs="Arial"/>
          <w:szCs w:val="20"/>
        </w:rPr>
        <w:t>,</w:t>
      </w:r>
      <w:r>
        <w:rPr>
          <w:rFonts w:cs="Arial"/>
          <w:b/>
          <w:szCs w:val="20"/>
        </w:rPr>
        <w:t xml:space="preserve"> </w:t>
      </w:r>
      <w:r>
        <w:rPr>
          <w:rFonts w:cs="Arial"/>
          <w:i/>
          <w:szCs w:val="20"/>
        </w:rPr>
        <w:t>Fisheries Management Paper 1</w:t>
      </w:r>
      <w:r>
        <w:rPr>
          <w:rFonts w:cs="Arial"/>
          <w:szCs w:val="20"/>
        </w:rPr>
        <w:t>,</w:t>
      </w:r>
      <w:r>
        <w:rPr>
          <w:rFonts w:cs="Arial"/>
          <w:i/>
          <w:szCs w:val="20"/>
        </w:rPr>
        <w:t xml:space="preserve"> </w:t>
      </w:r>
      <w:r w:rsidRPr="0057731E">
        <w:rPr>
          <w:rFonts w:cs="Arial"/>
          <w:i/>
          <w:szCs w:val="20"/>
        </w:rPr>
        <w:t>Management Advisory Committees, October 2018</w:t>
      </w:r>
      <w:r>
        <w:rPr>
          <w:rFonts w:cs="Arial"/>
          <w:szCs w:val="20"/>
        </w:rPr>
        <w:t>,</w:t>
      </w:r>
      <w:r>
        <w:rPr>
          <w:rFonts w:cs="Arial"/>
          <w:i/>
          <w:szCs w:val="20"/>
        </w:rPr>
        <w:t xml:space="preserve"> </w:t>
      </w:r>
      <w:r>
        <w:rPr>
          <w:rFonts w:cs="Arial"/>
          <w:szCs w:val="20"/>
        </w:rPr>
        <w:t xml:space="preserve">viewed 24 August 2020, </w:t>
      </w:r>
      <w:hyperlink r:id="rId50" w:history="1">
        <w:r w:rsidRPr="00986FBF">
          <w:rPr>
            <w:rStyle w:val="Hyperlink"/>
            <w:rFonts w:cs="Arial"/>
            <w:iCs/>
            <w:szCs w:val="20"/>
          </w:rPr>
          <w:t>https://www.afma.gov.au/sites/default/files/revised_fmp1_to_reflect_legislative_changes_-_october_2018.pdf?acsf_files_redirect</w:t>
        </w:r>
      </w:hyperlink>
      <w:r w:rsidRPr="00986FBF">
        <w:rPr>
          <w:rFonts w:cs="Arial"/>
          <w:iCs/>
          <w:szCs w:val="20"/>
        </w:rPr>
        <w:t xml:space="preserve">. </w:t>
      </w:r>
    </w:p>
    <w:p w14:paraId="0838D88E" w14:textId="3B5179AB" w:rsidR="00FE3F8C" w:rsidRPr="00986FBF" w:rsidRDefault="00FE3F8C" w:rsidP="00FE3F8C">
      <w:pPr>
        <w:tabs>
          <w:tab w:val="left" w:pos="6140"/>
        </w:tabs>
        <w:rPr>
          <w:rFonts w:cs="Arial"/>
          <w:b/>
          <w:szCs w:val="20"/>
        </w:rPr>
      </w:pPr>
      <w:r w:rsidRPr="00370433">
        <w:rPr>
          <w:rFonts w:cs="Arial"/>
          <w:b/>
          <w:szCs w:val="20"/>
        </w:rPr>
        <w:t>Australian Government Takeovers Panel n.d</w:t>
      </w:r>
      <w:r w:rsidRPr="00986FBF">
        <w:rPr>
          <w:rFonts w:cs="Arial"/>
          <w:b/>
          <w:szCs w:val="20"/>
        </w:rPr>
        <w:t>.</w:t>
      </w:r>
      <w:r w:rsidR="00370433">
        <w:rPr>
          <w:rFonts w:cs="Arial"/>
          <w:szCs w:val="20"/>
        </w:rPr>
        <w:t>,</w:t>
      </w:r>
      <w:r w:rsidRPr="00986FBF">
        <w:rPr>
          <w:rFonts w:cs="Arial"/>
          <w:b/>
          <w:szCs w:val="20"/>
        </w:rPr>
        <w:t xml:space="preserve"> </w:t>
      </w:r>
      <w:r w:rsidRPr="00986FBF">
        <w:rPr>
          <w:rFonts w:cs="Arial"/>
          <w:i/>
          <w:szCs w:val="20"/>
        </w:rPr>
        <w:t>Takeovers Panel</w:t>
      </w:r>
      <w:r w:rsidRPr="00986FBF">
        <w:rPr>
          <w:rFonts w:cs="Arial"/>
          <w:szCs w:val="20"/>
        </w:rPr>
        <w:t xml:space="preserve">, viewed 15 September 2020, </w:t>
      </w:r>
      <w:hyperlink r:id="rId51" w:anchor="role" w:history="1">
        <w:r w:rsidRPr="00986FBF">
          <w:rPr>
            <w:rStyle w:val="Hyperlink"/>
            <w:rFonts w:cs="Arial"/>
            <w:szCs w:val="20"/>
          </w:rPr>
          <w:t>https://www.takeovers.gov.au/content/DisplayDoc.aspx?doc=about/about_the_panel.htm#role</w:t>
        </w:r>
      </w:hyperlink>
      <w:r w:rsidRPr="00D03C95">
        <w:rPr>
          <w:rStyle w:val="Hyperlink"/>
          <w:rFonts w:cs="Arial"/>
          <w:szCs w:val="20"/>
          <w:u w:val="none"/>
        </w:rPr>
        <w:t>.</w:t>
      </w:r>
      <w:r>
        <w:t xml:space="preserve"> </w:t>
      </w:r>
    </w:p>
    <w:p w14:paraId="56D67FD1" w14:textId="77777777" w:rsidR="00707500" w:rsidRPr="00986FBF" w:rsidRDefault="00707500" w:rsidP="00707500">
      <w:pPr>
        <w:rPr>
          <w:rStyle w:val="Hyperlink"/>
          <w:rFonts w:cs="Arial"/>
          <w:color w:val="000000" w:themeColor="text1"/>
          <w:szCs w:val="20"/>
        </w:rPr>
      </w:pPr>
      <w:r w:rsidRPr="009B65DB">
        <w:rPr>
          <w:b/>
        </w:rPr>
        <w:t>Australian Government 2020a</w:t>
      </w:r>
      <w:r w:rsidRPr="00986FBF">
        <w:rPr>
          <w:rFonts w:cs="Arial"/>
          <w:szCs w:val="20"/>
        </w:rPr>
        <w:t xml:space="preserve">, </w:t>
      </w:r>
      <w:r w:rsidRPr="00986FBF">
        <w:rPr>
          <w:rFonts w:cs="Arial"/>
          <w:i/>
          <w:szCs w:val="20"/>
        </w:rPr>
        <w:t>Australian Government response to the Final Report of the Expert Panel examining additional sources of low-cost abatement (‘the King Review’)</w:t>
      </w:r>
      <w:r w:rsidRPr="00986FBF">
        <w:rPr>
          <w:rFonts w:cs="Arial"/>
          <w:szCs w:val="20"/>
        </w:rPr>
        <w:t xml:space="preserve">, viewed 4 August 2020, </w:t>
      </w:r>
      <w:hyperlink r:id="rId52" w:history="1">
        <w:r w:rsidRPr="00986FBF">
          <w:rPr>
            <w:rStyle w:val="Hyperlink"/>
            <w:rFonts w:cs="Arial"/>
            <w:szCs w:val="20"/>
          </w:rPr>
          <w:t>https://www.industry.gov.au/sites/default/files/2020-05/government-response-to-the-expert-panel-report-examining-additional-sources-of-low-cost-abatement.pdf</w:t>
        </w:r>
      </w:hyperlink>
      <w:r w:rsidRPr="000C4AB9">
        <w:rPr>
          <w:rStyle w:val="Hyperlink"/>
          <w:rFonts w:cs="Arial"/>
          <w:color w:val="000000" w:themeColor="text1"/>
          <w:szCs w:val="20"/>
          <w:u w:val="none"/>
        </w:rPr>
        <w:t>.</w:t>
      </w:r>
    </w:p>
    <w:p w14:paraId="07D87AEF" w14:textId="25618D7B" w:rsidR="00FE3F8C" w:rsidRDefault="001B5487" w:rsidP="00FE3F8C">
      <w:pPr>
        <w:tabs>
          <w:tab w:val="left" w:pos="6140"/>
        </w:tabs>
        <w:rPr>
          <w:rStyle w:val="Hyperlink"/>
        </w:rPr>
      </w:pPr>
      <w:r w:rsidRPr="0057731E">
        <w:rPr>
          <w:rFonts w:eastAsia="Times New Roman" w:cs="Arial"/>
          <w:b/>
          <w:szCs w:val="20"/>
          <w:lang w:eastAsia="en-AU"/>
        </w:rPr>
        <w:t>Australian Government 2020b</w:t>
      </w:r>
      <w:r w:rsidR="00FE3F8C" w:rsidRPr="00986FBF">
        <w:rPr>
          <w:rFonts w:cs="Arial"/>
          <w:szCs w:val="20"/>
        </w:rPr>
        <w:t xml:space="preserve">, </w:t>
      </w:r>
      <w:r w:rsidR="00FE3F8C" w:rsidRPr="00986FBF">
        <w:rPr>
          <w:rFonts w:cs="Arial"/>
          <w:i/>
          <w:szCs w:val="20"/>
        </w:rPr>
        <w:t>Report of the Expert Panel examining additional sources of low cost abatement</w:t>
      </w:r>
      <w:r w:rsidR="00246287" w:rsidRPr="00986FBF">
        <w:rPr>
          <w:rFonts w:cs="Arial"/>
          <w:i/>
          <w:szCs w:val="20"/>
        </w:rPr>
        <w:t xml:space="preserve"> (‘the King Review’)</w:t>
      </w:r>
      <w:r w:rsidR="00FE3F8C" w:rsidRPr="00680992">
        <w:rPr>
          <w:rFonts w:cs="Arial"/>
          <w:i/>
          <w:szCs w:val="20"/>
        </w:rPr>
        <w:t>, 14 February 2020</w:t>
      </w:r>
      <w:r w:rsidR="00FE3F8C">
        <w:rPr>
          <w:rFonts w:cs="Arial"/>
          <w:szCs w:val="20"/>
        </w:rPr>
        <w:t xml:space="preserve">, viewed 4 August 2020, </w:t>
      </w:r>
      <w:hyperlink r:id="rId53" w:history="1">
        <w:r w:rsidR="00FE3F8C" w:rsidRPr="00986FBF">
          <w:rPr>
            <w:rStyle w:val="Hyperlink"/>
            <w:rFonts w:cs="Arial"/>
            <w:szCs w:val="20"/>
          </w:rPr>
          <w:t>https://www.industry.gov.au/sites/default/files/2020-05/expert-panel-report-examining-additional-sources-of-low-cost-abatement.pdf</w:t>
        </w:r>
      </w:hyperlink>
      <w:r w:rsidR="00FE3F8C" w:rsidRPr="000C4AB9">
        <w:rPr>
          <w:rStyle w:val="Hyperlink"/>
          <w:rFonts w:cs="Arial"/>
          <w:color w:val="000000" w:themeColor="text1"/>
          <w:szCs w:val="20"/>
          <w:u w:val="none"/>
        </w:rPr>
        <w:t>.</w:t>
      </w:r>
    </w:p>
    <w:p w14:paraId="07C8E035" w14:textId="4B5D1419" w:rsidR="00FE3F8C" w:rsidRDefault="00FE3F8C" w:rsidP="00FE3F8C">
      <w:pPr>
        <w:rPr>
          <w:rFonts w:eastAsia="Times New Roman" w:cs="Arial"/>
          <w:i/>
          <w:color w:val="000000" w:themeColor="text1"/>
          <w:szCs w:val="20"/>
          <w:lang w:eastAsia="en-AU"/>
        </w:rPr>
      </w:pPr>
      <w:r w:rsidRPr="0057731E">
        <w:rPr>
          <w:rFonts w:eastAsia="Times New Roman" w:cs="Arial"/>
          <w:b/>
          <w:color w:val="000000" w:themeColor="text1"/>
          <w:szCs w:val="20"/>
          <w:lang w:eastAsia="en-AU"/>
        </w:rPr>
        <w:t>Australian Government 2019</w:t>
      </w:r>
      <w:r w:rsidR="00F94A3A">
        <w:rPr>
          <w:rFonts w:eastAsia="Times New Roman" w:cs="Arial"/>
          <w:b/>
          <w:color w:val="000000" w:themeColor="text1"/>
          <w:szCs w:val="20"/>
          <w:lang w:eastAsia="en-AU"/>
        </w:rPr>
        <w:t>a</w:t>
      </w:r>
      <w:r>
        <w:rPr>
          <w:rFonts w:eastAsia="Times New Roman" w:cs="Arial"/>
          <w:color w:val="000000" w:themeColor="text1"/>
          <w:szCs w:val="20"/>
          <w:lang w:eastAsia="en-AU"/>
        </w:rPr>
        <w:t xml:space="preserve">, </w:t>
      </w:r>
      <w:r>
        <w:rPr>
          <w:rFonts w:eastAsia="Times New Roman" w:cs="Arial"/>
          <w:i/>
          <w:color w:val="000000" w:themeColor="text1"/>
          <w:szCs w:val="20"/>
          <w:lang w:eastAsia="en-AU"/>
        </w:rPr>
        <w:t>Budget Measures Budget Paper No. 2 2019-20</w:t>
      </w:r>
      <w:r w:rsidRPr="00986FBF">
        <w:rPr>
          <w:rFonts w:eastAsia="Times New Roman" w:cs="Arial"/>
          <w:i/>
          <w:color w:val="000000" w:themeColor="text1"/>
          <w:szCs w:val="20"/>
          <w:lang w:eastAsia="en-AU"/>
        </w:rPr>
        <w:t>.</w:t>
      </w:r>
    </w:p>
    <w:p w14:paraId="4A98A8E9" w14:textId="1E3E8E26" w:rsidR="00F701AA" w:rsidRDefault="00F701AA" w:rsidP="00FE3F8C">
      <w:pPr>
        <w:rPr>
          <w:i/>
        </w:rPr>
      </w:pPr>
      <w:r w:rsidRPr="0057731E">
        <w:rPr>
          <w:rFonts w:cs="Arial"/>
          <w:b/>
          <w:szCs w:val="20"/>
        </w:rPr>
        <w:t>Australian Government 2019</w:t>
      </w:r>
      <w:r w:rsidRPr="00F701AA">
        <w:rPr>
          <w:rFonts w:cs="Arial"/>
          <w:b/>
          <w:szCs w:val="20"/>
        </w:rPr>
        <w:t>b</w:t>
      </w:r>
      <w:r w:rsidRPr="00986FBF">
        <w:rPr>
          <w:rFonts w:cs="Arial"/>
          <w:szCs w:val="20"/>
        </w:rPr>
        <w:t>,</w:t>
      </w:r>
      <w:r w:rsidRPr="00680992">
        <w:rPr>
          <w:rFonts w:cs="Arial"/>
          <w:i/>
          <w:szCs w:val="20"/>
        </w:rPr>
        <w:t xml:space="preserve"> </w:t>
      </w:r>
      <w:r>
        <w:rPr>
          <w:rFonts w:cs="Arial"/>
          <w:szCs w:val="20"/>
        </w:rPr>
        <w:t xml:space="preserve">Budget 2019-20, Portfolio Budget Statement 2019-20, Budget Related Paper No. 1.6, Environment and Energy Portfolio. </w:t>
      </w:r>
    </w:p>
    <w:p w14:paraId="404E0481" w14:textId="076CBA98" w:rsidR="00FE3F8C" w:rsidRDefault="00FE3F8C" w:rsidP="00FE3F8C">
      <w:pPr>
        <w:rPr>
          <w:rStyle w:val="Hyperlink"/>
        </w:rPr>
      </w:pPr>
      <w:r w:rsidRPr="00F701AA">
        <w:rPr>
          <w:rFonts w:cs="Arial"/>
          <w:b/>
          <w:szCs w:val="20"/>
        </w:rPr>
        <w:t>Australian Government 2019</w:t>
      </w:r>
      <w:r w:rsidR="00F701AA" w:rsidRPr="00F701AA">
        <w:rPr>
          <w:rFonts w:cs="Arial"/>
          <w:b/>
          <w:szCs w:val="20"/>
        </w:rPr>
        <w:t>c</w:t>
      </w:r>
      <w:r w:rsidRPr="0057731E">
        <w:rPr>
          <w:rFonts w:cs="Arial"/>
          <w:b/>
          <w:szCs w:val="20"/>
        </w:rPr>
        <w:t>,</w:t>
      </w:r>
      <w:r w:rsidRPr="00986FBF">
        <w:rPr>
          <w:rFonts w:cs="Arial"/>
          <w:szCs w:val="20"/>
        </w:rPr>
        <w:t xml:space="preserve"> </w:t>
      </w:r>
      <w:r w:rsidRPr="00986FBF">
        <w:rPr>
          <w:rFonts w:cs="Arial"/>
          <w:i/>
          <w:szCs w:val="20"/>
        </w:rPr>
        <w:t>Australian Government response to the Climate Change Authority’s Review of the Emissions Reduction Fund</w:t>
      </w:r>
      <w:r w:rsidRPr="00986FBF">
        <w:rPr>
          <w:rFonts w:cs="Arial"/>
          <w:szCs w:val="20"/>
        </w:rPr>
        <w:t xml:space="preserve">, viewed 12 August 2020, </w:t>
      </w:r>
      <w:hyperlink r:id="rId54" w:history="1">
        <w:r w:rsidRPr="00986FBF">
          <w:rPr>
            <w:rStyle w:val="Hyperlink"/>
            <w:rFonts w:cs="Arial"/>
            <w:szCs w:val="20"/>
          </w:rPr>
          <w:t>https://www.environment.gov.au/system/files/resources/73b550d8-f879-45e7-bb11-3ced98078319/files/government-response-cca-review-erf.pdf</w:t>
        </w:r>
      </w:hyperlink>
      <w:r w:rsidRPr="000C4AB9">
        <w:rPr>
          <w:rStyle w:val="Hyperlink"/>
          <w:rFonts w:cs="Arial"/>
          <w:color w:val="000000" w:themeColor="text1"/>
          <w:szCs w:val="20"/>
          <w:u w:val="none"/>
        </w:rPr>
        <w:t>.</w:t>
      </w:r>
    </w:p>
    <w:p w14:paraId="6CEAE242" w14:textId="5FA67238" w:rsidR="00FE3F8C" w:rsidRPr="00986FBF" w:rsidRDefault="00FE3F8C" w:rsidP="00FE3F8C">
      <w:pPr>
        <w:rPr>
          <w:rStyle w:val="Hyperlink"/>
          <w:rFonts w:cs="Arial"/>
          <w:color w:val="000000" w:themeColor="text1"/>
          <w:szCs w:val="20"/>
        </w:rPr>
      </w:pPr>
      <w:r w:rsidRPr="00CD16BE">
        <w:rPr>
          <w:rFonts w:cs="Arial"/>
          <w:b/>
          <w:szCs w:val="20"/>
        </w:rPr>
        <w:t>Australian Government 2014</w:t>
      </w:r>
      <w:r w:rsidRPr="00986FBF">
        <w:rPr>
          <w:rFonts w:cs="Arial"/>
          <w:szCs w:val="20"/>
        </w:rPr>
        <w:t xml:space="preserve">, </w:t>
      </w:r>
      <w:r w:rsidRPr="00986FBF">
        <w:rPr>
          <w:rFonts w:cs="Arial"/>
          <w:i/>
          <w:szCs w:val="20"/>
        </w:rPr>
        <w:t xml:space="preserve">Emissions </w:t>
      </w:r>
      <w:r w:rsidR="004177C9">
        <w:rPr>
          <w:rFonts w:cs="Arial"/>
          <w:i/>
          <w:szCs w:val="20"/>
        </w:rPr>
        <w:t>R</w:t>
      </w:r>
      <w:r w:rsidRPr="00986FBF">
        <w:rPr>
          <w:rFonts w:cs="Arial"/>
          <w:i/>
          <w:szCs w:val="20"/>
        </w:rPr>
        <w:t>eduction Fund White Paper, April 2014</w:t>
      </w:r>
      <w:r w:rsidRPr="00986FBF">
        <w:rPr>
          <w:rFonts w:cs="Arial"/>
          <w:szCs w:val="20"/>
        </w:rPr>
        <w:t xml:space="preserve">, viewed </w:t>
      </w:r>
      <w:r w:rsidRPr="008E0E0B">
        <w:rPr>
          <w:rFonts w:cs="Arial"/>
          <w:szCs w:val="20"/>
        </w:rPr>
        <w:t>5</w:t>
      </w:r>
      <w:r w:rsidRPr="00986FBF">
        <w:rPr>
          <w:rFonts w:cs="Arial"/>
          <w:szCs w:val="20"/>
        </w:rPr>
        <w:t xml:space="preserve"> August 2020, </w:t>
      </w:r>
      <w:hyperlink r:id="rId55" w:history="1">
        <w:r w:rsidRPr="00986FBF">
          <w:rPr>
            <w:rStyle w:val="Hyperlink"/>
            <w:rFonts w:cs="Arial"/>
            <w:szCs w:val="20"/>
          </w:rPr>
          <w:t>https://www.environment.gov.au/system/files/resources/1f98a924-5946-404c-9510-d440304280f1/files/erf-white-paper.pdf</w:t>
        </w:r>
      </w:hyperlink>
      <w:r w:rsidRPr="0057731E">
        <w:rPr>
          <w:rStyle w:val="Hyperlink"/>
          <w:rFonts w:cs="Arial"/>
          <w:color w:val="000000" w:themeColor="text1"/>
          <w:szCs w:val="20"/>
          <w:u w:val="none"/>
        </w:rPr>
        <w:t>.</w:t>
      </w:r>
    </w:p>
    <w:p w14:paraId="1C66DF97" w14:textId="678E1656" w:rsidR="00282C4F" w:rsidRDefault="00FE3F8C" w:rsidP="00F94E82">
      <w:pPr>
        <w:spacing w:after="0"/>
        <w:textAlignment w:val="baseline"/>
        <w:rPr>
          <w:rFonts w:eastAsia="Times New Roman" w:cs="Arial"/>
          <w:b/>
          <w:bCs/>
          <w:color w:val="000000" w:themeColor="text1"/>
          <w:szCs w:val="20"/>
          <w:lang w:eastAsia="en-AU"/>
        </w:rPr>
      </w:pPr>
      <w:r w:rsidRPr="00495B0A">
        <w:rPr>
          <w:rFonts w:cs="Arial"/>
          <w:b/>
          <w:szCs w:val="20"/>
        </w:rPr>
        <w:t>Australian Government n.d</w:t>
      </w:r>
      <w:r w:rsidRPr="00BB748B">
        <w:rPr>
          <w:rFonts w:cs="Arial"/>
          <w:szCs w:val="20"/>
        </w:rPr>
        <w:t>.</w:t>
      </w:r>
      <w:r w:rsidR="00495B0A" w:rsidRPr="00BB748B">
        <w:rPr>
          <w:rFonts w:cs="Arial"/>
          <w:szCs w:val="20"/>
        </w:rPr>
        <w:t>,</w:t>
      </w:r>
      <w:r w:rsidR="00F94E82">
        <w:rPr>
          <w:rFonts w:cs="Arial"/>
          <w:szCs w:val="20"/>
        </w:rPr>
        <w:t xml:space="preserve"> </w:t>
      </w:r>
      <w:r w:rsidRPr="0057731E">
        <w:rPr>
          <w:rFonts w:cs="Arial"/>
          <w:i/>
          <w:szCs w:val="20"/>
        </w:rPr>
        <w:t>Making methods under the Emissions Reduction Fund</w:t>
      </w:r>
      <w:r w:rsidRPr="00986FBF">
        <w:rPr>
          <w:rFonts w:cs="Arial"/>
          <w:szCs w:val="20"/>
        </w:rPr>
        <w:t xml:space="preserve">, viewed 18 September 2020, </w:t>
      </w:r>
      <w:hyperlink r:id="rId56" w:history="1">
        <w:r w:rsidRPr="00986FBF">
          <w:rPr>
            <w:rStyle w:val="Hyperlink"/>
            <w:rFonts w:eastAsia="Times New Roman" w:cs="Arial"/>
            <w:szCs w:val="20"/>
            <w:lang w:eastAsia="en-AU"/>
          </w:rPr>
          <w:t>https://www.environment.gov.au/system/files/resources/721e8088-a670-4032-b947-1b078ce49624/files/erf-method-development-factsheet.pdf</w:t>
        </w:r>
      </w:hyperlink>
      <w:r w:rsidRPr="0057731E">
        <w:rPr>
          <w:rStyle w:val="Hyperlink"/>
          <w:rFonts w:eastAsia="Times New Roman" w:cs="Arial"/>
          <w:szCs w:val="20"/>
          <w:u w:val="none"/>
          <w:lang w:eastAsia="en-AU"/>
        </w:rPr>
        <w:t>.</w:t>
      </w:r>
    </w:p>
    <w:p w14:paraId="00CDD7F7" w14:textId="77777777" w:rsidR="00101036" w:rsidRDefault="00101036" w:rsidP="00FE3F8C">
      <w:pPr>
        <w:rPr>
          <w:rFonts w:cs="Arial"/>
          <w:b/>
          <w:szCs w:val="20"/>
        </w:rPr>
      </w:pPr>
    </w:p>
    <w:p w14:paraId="5F322E1E" w14:textId="49BCEF0F" w:rsidR="00FE3F8C" w:rsidRPr="00680992" w:rsidRDefault="00FE3F8C" w:rsidP="00FE3F8C">
      <w:pPr>
        <w:rPr>
          <w:rFonts w:cs="Arial"/>
          <w:i/>
          <w:szCs w:val="20"/>
        </w:rPr>
      </w:pPr>
      <w:r w:rsidRPr="009E7399">
        <w:rPr>
          <w:rFonts w:cs="Arial"/>
          <w:b/>
          <w:szCs w:val="20"/>
        </w:rPr>
        <w:t>Badgery W.</w:t>
      </w:r>
      <w:r w:rsidRPr="00986FBF">
        <w:rPr>
          <w:rFonts w:cs="Arial"/>
          <w:b/>
          <w:szCs w:val="20"/>
        </w:rPr>
        <w:t xml:space="preserve"> B., Mwendwa J. M., Anwar M. R., Simmons A. T., Broadfoot K. M., Rohan M. &amp; Singh B. P. (2020)</w:t>
      </w:r>
      <w:r w:rsidR="004177C9">
        <w:rPr>
          <w:rFonts w:cs="Arial"/>
          <w:b/>
          <w:szCs w:val="20"/>
        </w:rPr>
        <w:t>,</w:t>
      </w:r>
      <w:r w:rsidRPr="00986FBF">
        <w:rPr>
          <w:rFonts w:cs="Arial"/>
          <w:b/>
          <w:szCs w:val="20"/>
        </w:rPr>
        <w:t xml:space="preserve"> ‘</w:t>
      </w:r>
      <w:r w:rsidRPr="00986FBF">
        <w:rPr>
          <w:rFonts w:cs="Arial"/>
          <w:szCs w:val="20"/>
        </w:rPr>
        <w:t>Unexpected increases in soil carbon eventually fell in low rainfall farming systems’</w:t>
      </w:r>
      <w:r w:rsidRPr="00680992">
        <w:rPr>
          <w:rFonts w:cs="Arial"/>
          <w:i/>
          <w:szCs w:val="20"/>
        </w:rPr>
        <w:t xml:space="preserve"> Journal of Environmental Management 261, 110192.</w:t>
      </w:r>
    </w:p>
    <w:p w14:paraId="23201ED9" w14:textId="77777777" w:rsidR="00FE3F8C" w:rsidRPr="00680992" w:rsidRDefault="00FE3F8C" w:rsidP="00FE3F8C">
      <w:pPr>
        <w:rPr>
          <w:rFonts w:eastAsia="Times New Roman" w:cs="Arial"/>
          <w:color w:val="000000" w:themeColor="text1"/>
          <w:szCs w:val="20"/>
          <w:lang w:eastAsia="en-AU"/>
        </w:rPr>
      </w:pPr>
      <w:r w:rsidRPr="00BF247E">
        <w:rPr>
          <w:rFonts w:eastAsia="Times New Roman" w:cs="Arial"/>
          <w:b/>
          <w:color w:val="000000" w:themeColor="text1"/>
          <w:szCs w:val="20"/>
          <w:lang w:eastAsia="en-AU"/>
        </w:rPr>
        <w:t>Battaglia, M. and Bruce,</w:t>
      </w:r>
      <w:r w:rsidRPr="00986FBF">
        <w:rPr>
          <w:rFonts w:eastAsia="Times New Roman" w:cs="Arial"/>
          <w:b/>
          <w:color w:val="000000" w:themeColor="text1"/>
          <w:szCs w:val="20"/>
          <w:lang w:eastAsia="en-AU"/>
        </w:rPr>
        <w:t xml:space="preserve"> J 2017</w:t>
      </w:r>
      <w:r w:rsidRPr="00986FBF">
        <w:rPr>
          <w:rFonts w:eastAsia="Times New Roman" w:cs="Arial"/>
          <w:color w:val="000000" w:themeColor="text1"/>
          <w:szCs w:val="20"/>
          <w:lang w:eastAsia="en-AU"/>
        </w:rPr>
        <w:t xml:space="preserve">, ‘Direct climate change impacts on growth and drought risk in blue gum (Eucalyptus globulus)’, </w:t>
      </w:r>
      <w:r w:rsidRPr="00986FBF">
        <w:rPr>
          <w:rFonts w:eastAsia="Times New Roman" w:cs="Arial"/>
          <w:i/>
          <w:color w:val="000000" w:themeColor="text1"/>
          <w:szCs w:val="20"/>
          <w:lang w:eastAsia="en-AU"/>
        </w:rPr>
        <w:t>Australian Forestry,</w:t>
      </w:r>
      <w:r w:rsidRPr="00680992">
        <w:rPr>
          <w:rFonts w:eastAsia="Times New Roman" w:cs="Arial"/>
          <w:color w:val="000000" w:themeColor="text1"/>
          <w:szCs w:val="20"/>
          <w:lang w:eastAsia="en-AU"/>
        </w:rPr>
        <w:t xml:space="preserve"> vol, 80, pp. 216 - 27.</w:t>
      </w:r>
    </w:p>
    <w:p w14:paraId="224C3E87" w14:textId="0FC315F7" w:rsidR="00FE3F8C" w:rsidRPr="00986FBF" w:rsidRDefault="00FE3F8C" w:rsidP="00FE3F8C">
      <w:pPr>
        <w:rPr>
          <w:rFonts w:cs="Arial"/>
          <w:szCs w:val="20"/>
        </w:rPr>
      </w:pPr>
      <w:r w:rsidRPr="00253323">
        <w:rPr>
          <w:rFonts w:cs="Arial"/>
          <w:b/>
          <w:szCs w:val="20"/>
        </w:rPr>
        <w:t>Baumber, A, Waters, C M,</w:t>
      </w:r>
      <w:r w:rsidRPr="00986FBF">
        <w:rPr>
          <w:rFonts w:cs="Arial"/>
          <w:b/>
          <w:szCs w:val="20"/>
        </w:rPr>
        <w:t xml:space="preserve"> Cross, R, Metternicht, G and Simpson, M 2020</w:t>
      </w:r>
      <w:r w:rsidRPr="00986FBF">
        <w:rPr>
          <w:rFonts w:cs="Arial"/>
          <w:szCs w:val="20"/>
        </w:rPr>
        <w:t>, ‘Carbon farming for resilient rangelands: People, paddocks and policy’</w:t>
      </w:r>
      <w:r w:rsidR="003B50D2" w:rsidRPr="00986FBF">
        <w:rPr>
          <w:rFonts w:cs="Arial"/>
          <w:szCs w:val="20"/>
        </w:rPr>
        <w:t>,</w:t>
      </w:r>
      <w:r w:rsidRPr="00680992">
        <w:rPr>
          <w:rFonts w:cs="Arial"/>
          <w:szCs w:val="20"/>
        </w:rPr>
        <w:t xml:space="preserve"> </w:t>
      </w:r>
      <w:r>
        <w:rPr>
          <w:rFonts w:cs="Arial"/>
          <w:i/>
          <w:szCs w:val="20"/>
        </w:rPr>
        <w:t xml:space="preserve">The Rangeland Journal </w:t>
      </w:r>
      <w:r>
        <w:rPr>
          <w:rFonts w:cs="Arial"/>
          <w:szCs w:val="20"/>
        </w:rPr>
        <w:t>[</w:t>
      </w:r>
      <w:r>
        <w:rPr>
          <w:rFonts w:cs="Arial"/>
          <w:i/>
          <w:szCs w:val="20"/>
        </w:rPr>
        <w:t>In Review</w:t>
      </w:r>
      <w:r w:rsidRPr="00986FBF">
        <w:rPr>
          <w:rFonts w:cs="Arial"/>
          <w:szCs w:val="20"/>
        </w:rPr>
        <w:t>].</w:t>
      </w:r>
    </w:p>
    <w:p w14:paraId="5FDEED73" w14:textId="5AFA7D1E" w:rsidR="00282C4F" w:rsidRPr="00986FBF" w:rsidRDefault="003B50D2" w:rsidP="0057731E">
      <w:pPr>
        <w:autoSpaceDE w:val="0"/>
        <w:autoSpaceDN w:val="0"/>
        <w:adjustRightInd w:val="0"/>
        <w:spacing w:after="40"/>
        <w:rPr>
          <w:rFonts w:cs="Arial"/>
          <w:szCs w:val="20"/>
        </w:rPr>
      </w:pPr>
      <w:r w:rsidRPr="0057731E">
        <w:rPr>
          <w:rFonts w:cs="Arial"/>
          <w:b/>
          <w:szCs w:val="20"/>
        </w:rPr>
        <w:t>Bennett R. G., Mendham D., Ogden G. &amp; Bartle J. (201</w:t>
      </w:r>
      <w:r w:rsidR="00042AFB">
        <w:rPr>
          <w:rFonts w:cs="Arial"/>
          <w:b/>
          <w:szCs w:val="20"/>
        </w:rPr>
        <w:t>4</w:t>
      </w:r>
      <w:r w:rsidRPr="0057731E">
        <w:rPr>
          <w:rFonts w:cs="Arial"/>
          <w:b/>
          <w:szCs w:val="20"/>
        </w:rPr>
        <w:t>)</w:t>
      </w:r>
      <w:r w:rsidRPr="0057731E">
        <w:rPr>
          <w:rFonts w:cs="Arial"/>
          <w:szCs w:val="20"/>
        </w:rPr>
        <w:t xml:space="preserve"> ‘</w:t>
      </w:r>
      <w:r w:rsidRPr="0057731E">
        <w:rPr>
          <w:rFonts w:eastAsia="Times New Roman" w:cs="Arial"/>
          <w:color w:val="000000" w:themeColor="text1"/>
          <w:szCs w:val="20"/>
          <w:lang w:eastAsia="en-AU"/>
        </w:rPr>
        <w:t>Enhancing tree belt productivity through capture of short-slope runoff water</w:t>
      </w:r>
      <w:r w:rsidRPr="00986FBF">
        <w:rPr>
          <w:rFonts w:eastAsia="Times New Roman" w:cs="Arial"/>
          <w:color w:val="000000" w:themeColor="text1"/>
          <w:szCs w:val="20"/>
          <w:lang w:eastAsia="en-AU"/>
        </w:rPr>
        <w:t>’</w:t>
      </w:r>
      <w:r w:rsidRPr="0057731E">
        <w:rPr>
          <w:rFonts w:cs="Arial"/>
          <w:szCs w:val="20"/>
        </w:rPr>
        <w:t xml:space="preserve">, </w:t>
      </w:r>
      <w:r w:rsidRPr="0057731E">
        <w:rPr>
          <w:rFonts w:eastAsia="Times New Roman" w:cs="Arial"/>
          <w:i/>
          <w:color w:val="000000" w:themeColor="text1"/>
          <w:szCs w:val="20"/>
          <w:lang w:eastAsia="en-AU"/>
        </w:rPr>
        <w:t>GCB Bioenergy</w:t>
      </w:r>
      <w:r w:rsidRPr="0057731E">
        <w:rPr>
          <w:rFonts w:cs="Arial"/>
          <w:szCs w:val="20"/>
        </w:rPr>
        <w:t>, vol, 7, pp. 1107-17.</w:t>
      </w:r>
    </w:p>
    <w:p w14:paraId="620796C2" w14:textId="3679EB47" w:rsidR="00FE3F8C" w:rsidRPr="005512D9" w:rsidRDefault="00FE3F8C" w:rsidP="00FE3F8C">
      <w:pPr>
        <w:rPr>
          <w:rFonts w:cs="Arial"/>
          <w:szCs w:val="20"/>
        </w:rPr>
      </w:pPr>
      <w:r w:rsidRPr="005512D9">
        <w:rPr>
          <w:b/>
        </w:rPr>
        <w:t>Broekhoff, D, Gillenwater, M, Colbert-Sangree, T and Cage P 2019</w:t>
      </w:r>
      <w:r>
        <w:t xml:space="preserve">, </w:t>
      </w:r>
      <w:r w:rsidRPr="00E21B84">
        <w:rPr>
          <w:i/>
        </w:rPr>
        <w:t>Securing Climate Benefit: A Guide to Using Carbon Offsets</w:t>
      </w:r>
      <w:r w:rsidR="00E21B84">
        <w:t>,</w:t>
      </w:r>
      <w:r>
        <w:t xml:space="preserve"> Stockholm Environment Institute &amp; Greenhouse Gas Management Institute, viewed 16 September 2020, </w:t>
      </w:r>
      <w:hyperlink r:id="rId57" w:history="1">
        <w:r w:rsidRPr="0057731E">
          <w:rPr>
            <w:rStyle w:val="Hyperlink"/>
            <w:rFonts w:cs="Arial"/>
            <w:szCs w:val="20"/>
          </w:rPr>
          <w:t>https://www.offsetguide.org/wp-content/uploads/2020/03/Carbon-Offset-Guide_3122020.pdf</w:t>
        </w:r>
      </w:hyperlink>
      <w:r w:rsidR="005512D9">
        <w:rPr>
          <w:rStyle w:val="Hyperlink"/>
          <w:rFonts w:cs="Arial"/>
          <w:iCs/>
          <w:szCs w:val="20"/>
          <w:u w:val="none"/>
        </w:rPr>
        <w:t>.</w:t>
      </w:r>
    </w:p>
    <w:p w14:paraId="20B0EF0F" w14:textId="13141B10" w:rsidR="004E647C" w:rsidRDefault="00FE3F8C" w:rsidP="00FE3F8C">
      <w:pPr>
        <w:rPr>
          <w:rFonts w:eastAsia="Times New Roman" w:cs="Arial"/>
          <w:b/>
          <w:bCs/>
          <w:color w:val="000000" w:themeColor="text1"/>
          <w:szCs w:val="20"/>
          <w:lang w:eastAsia="en-AU"/>
        </w:rPr>
      </w:pPr>
      <w:r w:rsidRPr="00D40B0C">
        <w:rPr>
          <w:rFonts w:cs="Arial"/>
          <w:b/>
          <w:szCs w:val="20"/>
        </w:rPr>
        <w:t>California Air Resources Board (CARB) n.d</w:t>
      </w:r>
      <w:r w:rsidRPr="00D40B0C">
        <w:rPr>
          <w:rFonts w:cs="Arial"/>
          <w:b/>
          <w:iCs/>
          <w:szCs w:val="20"/>
        </w:rPr>
        <w:t>.</w:t>
      </w:r>
      <w:r w:rsidRPr="0057731E">
        <w:rPr>
          <w:rFonts w:cs="Arial"/>
          <w:szCs w:val="20"/>
        </w:rPr>
        <w:t>,</w:t>
      </w:r>
      <w:r w:rsidRPr="00986FBF">
        <w:rPr>
          <w:rFonts w:cs="Arial"/>
          <w:i/>
          <w:iCs/>
          <w:szCs w:val="20"/>
        </w:rPr>
        <w:t xml:space="preserve"> ARB Offset Credit Issuance, </w:t>
      </w:r>
      <w:r w:rsidRPr="00986FBF">
        <w:rPr>
          <w:rFonts w:cs="Arial"/>
          <w:iCs/>
          <w:szCs w:val="20"/>
        </w:rPr>
        <w:t xml:space="preserve">viewed 16 September 2020, </w:t>
      </w:r>
      <w:hyperlink r:id="rId58" w:history="1">
        <w:r w:rsidR="00E21B84">
          <w:rPr>
            <w:rStyle w:val="Hyperlink"/>
            <w:rFonts w:cs="Arial"/>
            <w:iCs/>
            <w:szCs w:val="20"/>
          </w:rPr>
          <w:t>https://ww2.arb.ca.gov/our-work/programs/compliance-offset-program/arb-offset-credit-issuance</w:t>
        </w:r>
      </w:hyperlink>
      <w:r w:rsidR="00E21B84">
        <w:rPr>
          <w:rStyle w:val="Hyperlink"/>
          <w:rFonts w:cs="Arial"/>
          <w:iCs/>
          <w:szCs w:val="20"/>
          <w:u w:val="none"/>
        </w:rPr>
        <w:t>.</w:t>
      </w:r>
      <w:r w:rsidR="00EC3533" w:rsidDel="00EC3533">
        <w:rPr>
          <w:rStyle w:val="Hyperlink"/>
          <w:rFonts w:cs="Arial"/>
          <w:iCs/>
          <w:szCs w:val="20"/>
        </w:rPr>
        <w:fldChar w:fldCharType="begin"/>
      </w:r>
      <w:r w:rsidR="00EC3533" w:rsidDel="00EC3533">
        <w:rPr>
          <w:rStyle w:val="Hyperlink"/>
          <w:rFonts w:cs="Arial"/>
          <w:iCs/>
          <w:szCs w:val="20"/>
        </w:rPr>
        <w:fldChar w:fldCharType="separate"/>
      </w:r>
      <w:r w:rsidRPr="00986FBF" w:rsidDel="00EC3533">
        <w:rPr>
          <w:rStyle w:val="Hyperlink"/>
          <w:rFonts w:cs="Arial"/>
          <w:iCs/>
          <w:szCs w:val="20"/>
        </w:rPr>
        <w:t>https://ww2.arb.ca.gov/our-work/programs/compliance-offset-program/arb-offset-credit-issuance</w:t>
      </w:r>
      <w:r w:rsidR="00EC3533" w:rsidDel="00EC3533">
        <w:rPr>
          <w:rStyle w:val="Hyperlink"/>
          <w:rFonts w:cs="Arial"/>
          <w:iCs/>
          <w:szCs w:val="20"/>
        </w:rPr>
        <w:fldChar w:fldCharType="end"/>
      </w:r>
    </w:p>
    <w:p w14:paraId="0AF18384" w14:textId="0F81305C" w:rsidR="00FE3F8C" w:rsidRPr="00986FBF" w:rsidRDefault="00FE3F8C" w:rsidP="00FE3F8C">
      <w:pPr>
        <w:rPr>
          <w:rFonts w:cs="Arial"/>
          <w:szCs w:val="20"/>
        </w:rPr>
      </w:pPr>
      <w:r w:rsidRPr="003E022D">
        <w:rPr>
          <w:rFonts w:cs="Arial"/>
          <w:b/>
          <w:szCs w:val="20"/>
        </w:rPr>
        <w:t>CMI 2020</w:t>
      </w:r>
      <w:r w:rsidR="006227A6">
        <w:rPr>
          <w:rFonts w:cs="Arial"/>
          <w:b/>
          <w:szCs w:val="20"/>
        </w:rPr>
        <w:t>a</w:t>
      </w:r>
      <w:r w:rsidRPr="00986FBF">
        <w:rPr>
          <w:rFonts w:cs="Arial"/>
          <w:szCs w:val="20"/>
        </w:rPr>
        <w:t xml:space="preserve">, </w:t>
      </w:r>
      <w:r w:rsidRPr="00986FBF">
        <w:rPr>
          <w:rFonts w:cs="Arial"/>
          <w:i/>
          <w:szCs w:val="20"/>
        </w:rPr>
        <w:t>Independent Review of the Australian Carbon Industry Code of Conduct, April 2020</w:t>
      </w:r>
      <w:r w:rsidRPr="00986FBF">
        <w:rPr>
          <w:rFonts w:cs="Arial"/>
          <w:szCs w:val="20"/>
        </w:rPr>
        <w:t xml:space="preserve">, viewed 19 August 2020, </w:t>
      </w:r>
      <w:hyperlink r:id="rId59" w:history="1">
        <w:r w:rsidRPr="00986FBF">
          <w:rPr>
            <w:rStyle w:val="Hyperlink"/>
            <w:rFonts w:cs="Arial"/>
            <w:szCs w:val="20"/>
          </w:rPr>
          <w:t>http://marketplace.carbonmarketinstitute.org/wp-content/uploads/2020/04/Australian-Carbon-Industry-Code-of-Conduct-Independent-Review.pdf</w:t>
        </w:r>
      </w:hyperlink>
      <w:r w:rsidRPr="00986FBF">
        <w:rPr>
          <w:rFonts w:cs="Arial"/>
          <w:szCs w:val="20"/>
        </w:rPr>
        <w:t>.</w:t>
      </w:r>
    </w:p>
    <w:p w14:paraId="38EC1197" w14:textId="08BDDC9B" w:rsidR="00D31372" w:rsidRDefault="00FE3F8C" w:rsidP="00FE3F8C">
      <w:pPr>
        <w:rPr>
          <w:rStyle w:val="Hyperlink"/>
          <w:rFonts w:cs="Arial"/>
          <w:color w:val="000000" w:themeColor="text1"/>
          <w:szCs w:val="20"/>
          <w:u w:val="none"/>
        </w:rPr>
      </w:pPr>
      <w:r w:rsidRPr="003E022D">
        <w:rPr>
          <w:rFonts w:cs="Arial"/>
          <w:b/>
          <w:szCs w:val="20"/>
        </w:rPr>
        <w:t>CMI 2020</w:t>
      </w:r>
      <w:r w:rsidR="006227A6">
        <w:rPr>
          <w:rFonts w:cs="Arial"/>
          <w:b/>
          <w:szCs w:val="20"/>
        </w:rPr>
        <w:t>b</w:t>
      </w:r>
      <w:r w:rsidRPr="00986FBF">
        <w:rPr>
          <w:rFonts w:cs="Arial"/>
          <w:szCs w:val="20"/>
        </w:rPr>
        <w:t>,</w:t>
      </w:r>
      <w:r w:rsidRPr="0057731E">
        <w:rPr>
          <w:rFonts w:cs="Arial"/>
          <w:i/>
          <w:szCs w:val="20"/>
        </w:rPr>
        <w:t>Independent Review</w:t>
      </w:r>
      <w:r w:rsidRPr="00986FBF">
        <w:rPr>
          <w:rFonts w:cs="Arial"/>
          <w:i/>
          <w:szCs w:val="20"/>
        </w:rPr>
        <w:t xml:space="preserve"> of the Australian Carbon Industry Code of Conduct Administrator Response &amp; Transition Plan August 2020</w:t>
      </w:r>
      <w:r w:rsidRPr="00986FBF">
        <w:rPr>
          <w:rFonts w:cs="Arial"/>
          <w:szCs w:val="20"/>
        </w:rPr>
        <w:t xml:space="preserve">, viewed 17 September 2020, </w:t>
      </w:r>
      <w:hyperlink r:id="rId60" w:history="1">
        <w:r w:rsidR="00D31372" w:rsidRPr="00986FBF">
          <w:rPr>
            <w:rStyle w:val="Hyperlink"/>
            <w:rFonts w:cs="Arial"/>
            <w:szCs w:val="20"/>
          </w:rPr>
          <w:t>http://marketplace.carbonmarketinstitute.org/wp-content/uploads/2020/08/Administrator-Response-Transition-Plan-Code-Independent-Review.pdf</w:t>
        </w:r>
      </w:hyperlink>
      <w:r w:rsidR="007108DC" w:rsidRPr="00986FBF">
        <w:rPr>
          <w:rStyle w:val="Hyperlink"/>
          <w:rFonts w:cs="Arial"/>
          <w:color w:val="000000" w:themeColor="text1"/>
          <w:szCs w:val="20"/>
          <w:u w:val="none"/>
        </w:rPr>
        <w:t>.</w:t>
      </w:r>
    </w:p>
    <w:p w14:paraId="1F691688" w14:textId="134AF097" w:rsidR="00282C4F" w:rsidRPr="00986FBF" w:rsidRDefault="00282C4F" w:rsidP="00FE3F8C">
      <w:pPr>
        <w:rPr>
          <w:rStyle w:val="Hyperlink"/>
          <w:rFonts w:cs="Arial"/>
          <w:color w:val="000000" w:themeColor="text1"/>
          <w:szCs w:val="20"/>
          <w:u w:val="none"/>
        </w:rPr>
      </w:pPr>
      <w:r w:rsidRPr="007F0721">
        <w:rPr>
          <w:rFonts w:cs="Arial"/>
          <w:b/>
          <w:szCs w:val="20"/>
        </w:rPr>
        <w:t>CMI 2020</w:t>
      </w:r>
      <w:r>
        <w:rPr>
          <w:rFonts w:cs="Arial"/>
          <w:b/>
          <w:szCs w:val="20"/>
        </w:rPr>
        <w:t>c</w:t>
      </w:r>
      <w:r w:rsidRPr="00986FBF">
        <w:rPr>
          <w:rFonts w:cs="Arial"/>
          <w:szCs w:val="20"/>
        </w:rPr>
        <w:t xml:space="preserve">, </w:t>
      </w:r>
      <w:r w:rsidRPr="00986FBF">
        <w:rPr>
          <w:rFonts w:cs="Arial"/>
          <w:i/>
          <w:szCs w:val="20"/>
        </w:rPr>
        <w:t>Australia’s carbon industry reaches critical maturity milestone</w:t>
      </w:r>
      <w:r w:rsidRPr="00986FBF">
        <w:rPr>
          <w:rFonts w:cs="Arial"/>
          <w:szCs w:val="20"/>
        </w:rPr>
        <w:t xml:space="preserve">, media release 11 August 2020, viewed 19 August 2020, </w:t>
      </w:r>
      <w:hyperlink r:id="rId61" w:history="1">
        <w:r w:rsidRPr="00986FBF">
          <w:rPr>
            <w:rStyle w:val="Hyperlink"/>
            <w:rFonts w:cs="Arial"/>
            <w:szCs w:val="20"/>
          </w:rPr>
          <w:t>https://carbonmarketinstitute.org/australias-carbon-industry-critical-milestone/</w:t>
        </w:r>
      </w:hyperlink>
      <w:r w:rsidRPr="00986FBF">
        <w:rPr>
          <w:rFonts w:cs="Arial"/>
          <w:szCs w:val="20"/>
        </w:rPr>
        <w:t>.</w:t>
      </w:r>
    </w:p>
    <w:p w14:paraId="68D68AE6" w14:textId="77777777" w:rsidR="00FE3F8C" w:rsidRDefault="00FE3F8C" w:rsidP="00FE3F8C">
      <w:pPr>
        <w:rPr>
          <w:rStyle w:val="Hyperlink"/>
          <w:rFonts w:cs="Arial"/>
          <w:color w:val="000000" w:themeColor="text1"/>
          <w:szCs w:val="20"/>
          <w:u w:val="none"/>
        </w:rPr>
      </w:pPr>
      <w:r w:rsidRPr="005C77DF">
        <w:rPr>
          <w:rFonts w:cs="Arial"/>
          <w:b/>
          <w:szCs w:val="20"/>
        </w:rPr>
        <w:t>CMI 2018</w:t>
      </w:r>
      <w:r w:rsidRPr="00986FBF">
        <w:rPr>
          <w:rFonts w:cs="Arial"/>
          <w:szCs w:val="20"/>
        </w:rPr>
        <w:t>,</w:t>
      </w:r>
      <w:r w:rsidRPr="00986FBF">
        <w:rPr>
          <w:rFonts w:cs="Arial"/>
          <w:b/>
          <w:szCs w:val="20"/>
        </w:rPr>
        <w:t xml:space="preserve"> </w:t>
      </w:r>
      <w:r w:rsidRPr="00986FBF">
        <w:rPr>
          <w:rFonts w:cs="Arial"/>
          <w:i/>
          <w:szCs w:val="20"/>
        </w:rPr>
        <w:t>Australian Carbon Industry Code of Conduct</w:t>
      </w:r>
      <w:r w:rsidRPr="00986FBF">
        <w:rPr>
          <w:rFonts w:cs="Arial"/>
          <w:szCs w:val="20"/>
        </w:rPr>
        <w:t xml:space="preserve">, viewed 17 August 2020, </w:t>
      </w:r>
      <w:hyperlink r:id="rId62" w:history="1">
        <w:r w:rsidRPr="00986FBF">
          <w:rPr>
            <w:rStyle w:val="Hyperlink"/>
            <w:rFonts w:cs="Arial"/>
            <w:szCs w:val="20"/>
          </w:rPr>
          <w:t>http://marketplace.carbonmarketinstitute.org/code/</w:t>
        </w:r>
      </w:hyperlink>
      <w:r w:rsidRPr="00CE7EF8">
        <w:rPr>
          <w:rStyle w:val="Hyperlink"/>
          <w:rFonts w:cs="Arial"/>
          <w:color w:val="000000" w:themeColor="text1"/>
          <w:szCs w:val="20"/>
          <w:u w:val="none"/>
        </w:rPr>
        <w:t>.</w:t>
      </w:r>
    </w:p>
    <w:p w14:paraId="4CBC3B95" w14:textId="70E388CB" w:rsidR="006C369C" w:rsidRPr="006C369C" w:rsidRDefault="006C369C" w:rsidP="00FE3F8C">
      <w:pPr>
        <w:rPr>
          <w:rFonts w:eastAsia="Times New Roman" w:cs="Arial"/>
          <w:color w:val="000000" w:themeColor="text1"/>
          <w:szCs w:val="20"/>
          <w:lang w:eastAsia="en-AU"/>
        </w:rPr>
      </w:pPr>
      <w:r w:rsidRPr="00986FBF">
        <w:rPr>
          <w:rFonts w:eastAsia="Times New Roman" w:cs="Arial"/>
          <w:b/>
          <w:bCs/>
          <w:color w:val="000000" w:themeColor="text1"/>
          <w:szCs w:val="20"/>
          <w:lang w:eastAsia="en-AU"/>
        </w:rPr>
        <w:t>CMI 2017</w:t>
      </w:r>
      <w:r w:rsidRPr="00986FBF">
        <w:rPr>
          <w:rFonts w:eastAsia="Times New Roman" w:cs="Arial"/>
          <w:color w:val="000000" w:themeColor="text1"/>
          <w:szCs w:val="20"/>
          <w:lang w:eastAsia="en-AU"/>
        </w:rPr>
        <w:t xml:space="preserve">, </w:t>
      </w:r>
      <w:r w:rsidRPr="00986FBF">
        <w:rPr>
          <w:rFonts w:eastAsia="Times New Roman" w:cs="Arial"/>
          <w:i/>
          <w:color w:val="000000" w:themeColor="text1"/>
          <w:szCs w:val="20"/>
          <w:lang w:eastAsia="en-AU"/>
        </w:rPr>
        <w:t>Carbon Farming Industry Roadmap</w:t>
      </w:r>
      <w:r w:rsidRPr="00680992">
        <w:rPr>
          <w:rFonts w:eastAsia="Times New Roman" w:cs="Arial"/>
          <w:color w:val="000000" w:themeColor="text1"/>
          <w:szCs w:val="20"/>
          <w:lang w:eastAsia="en-AU"/>
        </w:rPr>
        <w:t xml:space="preserve">, report, viewed 30 November 2017, </w:t>
      </w:r>
      <w:hyperlink r:id="rId63" w:history="1">
        <w:r w:rsidRPr="00986FBF">
          <w:rPr>
            <w:rStyle w:val="Hyperlink"/>
            <w:rFonts w:eastAsia="Times New Roman" w:cs="Arial"/>
            <w:szCs w:val="20"/>
            <w:lang w:eastAsia="en-AU"/>
          </w:rPr>
          <w:t>www.carbonmarketinstitute.org/wp-content/uploads/2017/11/Carbon-Farming-Industry-Roadmap.pdf</w:t>
        </w:r>
      </w:hyperlink>
      <w:r w:rsidRPr="00986FBF">
        <w:rPr>
          <w:rFonts w:eastAsia="Times New Roman" w:cs="Arial"/>
          <w:color w:val="000000" w:themeColor="text1"/>
          <w:szCs w:val="20"/>
          <w:lang w:eastAsia="en-AU"/>
        </w:rPr>
        <w:t xml:space="preserve">. </w:t>
      </w:r>
    </w:p>
    <w:p w14:paraId="62A42BFB" w14:textId="77777777" w:rsidR="00FE3F8C" w:rsidRDefault="00FE3F8C" w:rsidP="00FE3F8C">
      <w:pPr>
        <w:rPr>
          <w:rStyle w:val="Hyperlink"/>
          <w:rFonts w:cs="Arial"/>
          <w:color w:val="000000" w:themeColor="text1"/>
          <w:szCs w:val="20"/>
        </w:rPr>
      </w:pPr>
      <w:r w:rsidRPr="00B20686">
        <w:rPr>
          <w:rFonts w:cs="Arial"/>
          <w:b/>
          <w:szCs w:val="20"/>
        </w:rPr>
        <w:t>Carbon Offset Guide n.d.</w:t>
      </w:r>
      <w:r w:rsidRPr="00B20686">
        <w:rPr>
          <w:rFonts w:cs="Arial"/>
          <w:szCs w:val="20"/>
        </w:rPr>
        <w:t>,</w:t>
      </w:r>
      <w:r w:rsidRPr="00986FBF">
        <w:rPr>
          <w:rFonts w:cs="Arial"/>
          <w:b/>
          <w:szCs w:val="20"/>
        </w:rPr>
        <w:t xml:space="preserve"> </w:t>
      </w:r>
      <w:r w:rsidRPr="00986FBF">
        <w:rPr>
          <w:rFonts w:cs="Arial"/>
          <w:i/>
          <w:szCs w:val="20"/>
        </w:rPr>
        <w:t>How Carbon Offset Programs Address Additionality</w:t>
      </w:r>
      <w:r w:rsidRPr="00986FBF">
        <w:rPr>
          <w:rFonts w:cs="Arial"/>
          <w:szCs w:val="20"/>
        </w:rPr>
        <w:t xml:space="preserve">, viewed 2 August 2020, </w:t>
      </w:r>
      <w:hyperlink r:id="rId64" w:history="1">
        <w:r w:rsidRPr="00986FBF">
          <w:rPr>
            <w:rStyle w:val="Hyperlink"/>
            <w:rFonts w:cs="Arial"/>
            <w:szCs w:val="20"/>
          </w:rPr>
          <w:t>http://www.offsetguide.org/high-quality-offsets/additionality/high-quality-offsets-additionality-how-carbon-offset-programs-address-additionality/</w:t>
        </w:r>
      </w:hyperlink>
      <w:r w:rsidRPr="00CE7EF8">
        <w:rPr>
          <w:rStyle w:val="Hyperlink"/>
          <w:rFonts w:cs="Arial"/>
          <w:color w:val="000000" w:themeColor="text1"/>
          <w:szCs w:val="20"/>
          <w:u w:val="none"/>
        </w:rPr>
        <w:t>.</w:t>
      </w:r>
    </w:p>
    <w:p w14:paraId="583C742F" w14:textId="6C14D77D" w:rsidR="005417F9" w:rsidRDefault="00B16C5A" w:rsidP="005417F9">
      <w:pPr>
        <w:rPr>
          <w:rFonts w:eastAsia="Times New Roman"/>
          <w:color w:val="000000" w:themeColor="text1"/>
          <w:lang w:eastAsia="en-AU"/>
        </w:rPr>
      </w:pPr>
      <w:r w:rsidRPr="00986FBF">
        <w:rPr>
          <w:rFonts w:cs="Arial"/>
          <w:b/>
          <w:bCs/>
          <w:szCs w:val="20"/>
          <w:lang w:eastAsia="en-AU"/>
        </w:rPr>
        <w:t>Clean Energy Regulator (CER)</w:t>
      </w:r>
      <w:r w:rsidR="005417F9" w:rsidRPr="00986FBF" w:rsidDel="00B16C5A">
        <w:rPr>
          <w:rFonts w:cs="Arial"/>
          <w:b/>
          <w:szCs w:val="20"/>
          <w:lang w:eastAsia="en-AU"/>
        </w:rPr>
        <w:t xml:space="preserve"> </w:t>
      </w:r>
      <w:r w:rsidR="005417F9" w:rsidRPr="009B65DB">
        <w:rPr>
          <w:b/>
        </w:rPr>
        <w:t>2020a</w:t>
      </w:r>
      <w:r w:rsidR="005417F9" w:rsidRPr="00986FBF">
        <w:rPr>
          <w:rFonts w:eastAsia="Times New Roman" w:cs="Arial"/>
          <w:color w:val="000000" w:themeColor="text1"/>
          <w:szCs w:val="20"/>
          <w:lang w:eastAsia="en-AU"/>
        </w:rPr>
        <w:t xml:space="preserve">, </w:t>
      </w:r>
      <w:r w:rsidR="005417F9" w:rsidRPr="00986FBF">
        <w:rPr>
          <w:rFonts w:eastAsia="Times New Roman" w:cs="Arial"/>
          <w:i/>
          <w:color w:val="000000" w:themeColor="text1"/>
          <w:szCs w:val="20"/>
          <w:lang w:eastAsia="en-AU"/>
        </w:rPr>
        <w:t xml:space="preserve">Carbon abatement contract </w:t>
      </w:r>
      <w:r w:rsidR="005417F9" w:rsidRPr="00986FBF">
        <w:rPr>
          <w:rFonts w:eastAsia="Times New Roman" w:cs="Arial"/>
          <w:i/>
          <w:iCs/>
          <w:color w:val="000000" w:themeColor="text1"/>
          <w:szCs w:val="20"/>
          <w:lang w:eastAsia="en-AU"/>
        </w:rPr>
        <w:t>register</w:t>
      </w:r>
      <w:r w:rsidR="005417F9" w:rsidRPr="00986FBF">
        <w:rPr>
          <w:rFonts w:eastAsia="Times New Roman" w:cs="Arial"/>
          <w:iCs/>
          <w:color w:val="000000" w:themeColor="text1"/>
          <w:szCs w:val="20"/>
          <w:lang w:eastAsia="en-AU"/>
        </w:rPr>
        <w:t xml:space="preserve">, viewed </w:t>
      </w:r>
      <w:r w:rsidR="005417F9">
        <w:rPr>
          <w:rFonts w:eastAsia="Times New Roman" w:cs="Arial"/>
          <w:iCs/>
          <w:color w:val="000000" w:themeColor="text1"/>
          <w:szCs w:val="20"/>
          <w:lang w:eastAsia="en-AU"/>
        </w:rPr>
        <w:t>1 October 2020,</w:t>
      </w:r>
      <w:r w:rsidR="005417F9" w:rsidRPr="00986FBF">
        <w:rPr>
          <w:rFonts w:eastAsia="Times New Roman" w:cs="Arial"/>
          <w:iCs/>
          <w:color w:val="000000" w:themeColor="text1"/>
          <w:szCs w:val="20"/>
          <w:lang w:eastAsia="en-AU"/>
        </w:rPr>
        <w:t xml:space="preserve"> </w:t>
      </w:r>
      <w:hyperlink r:id="rId65" w:history="1">
        <w:r w:rsidR="005417F9" w:rsidRPr="00986FBF">
          <w:rPr>
            <w:rStyle w:val="Hyperlink"/>
            <w:rFonts w:eastAsia="Times New Roman" w:cs="Arial"/>
            <w:iCs/>
            <w:szCs w:val="20"/>
            <w:lang w:eastAsia="en-AU"/>
          </w:rPr>
          <w:t>http://www.cleanenergyregulator.gov.au/ERF/project-and-contracts-registers/carbon-abatement-contract-register</w:t>
        </w:r>
      </w:hyperlink>
      <w:r w:rsidR="005417F9" w:rsidRPr="00986FBF">
        <w:rPr>
          <w:rFonts w:eastAsia="Times New Roman" w:cs="Arial"/>
          <w:iCs/>
          <w:color w:val="000000" w:themeColor="text1"/>
          <w:szCs w:val="20"/>
          <w:lang w:eastAsia="en-AU"/>
        </w:rPr>
        <w:t>.</w:t>
      </w:r>
    </w:p>
    <w:p w14:paraId="3F9449FB" w14:textId="77777777" w:rsidR="002020E2" w:rsidRPr="00986FBF" w:rsidRDefault="002020E2" w:rsidP="002020E2">
      <w:pPr>
        <w:rPr>
          <w:rFonts w:cs="Arial"/>
          <w:b/>
          <w:color w:val="000000" w:themeColor="text1"/>
          <w:szCs w:val="20"/>
        </w:rPr>
      </w:pPr>
      <w:r w:rsidRPr="009B65DB">
        <w:rPr>
          <w:b/>
        </w:rPr>
        <w:t>CER 2020b</w:t>
      </w:r>
      <w:r w:rsidRPr="00986FBF">
        <w:rPr>
          <w:rFonts w:cs="Arial"/>
          <w:szCs w:val="20"/>
        </w:rPr>
        <w:t xml:space="preserve">, </w:t>
      </w:r>
      <w:r w:rsidRPr="00986FBF">
        <w:rPr>
          <w:rFonts w:cs="Arial"/>
          <w:i/>
          <w:szCs w:val="20"/>
        </w:rPr>
        <w:t>Guidelines for the eleventh Emissions Reduction Fund auction</w:t>
      </w:r>
      <w:r w:rsidRPr="00986FBF">
        <w:rPr>
          <w:rFonts w:cs="Arial"/>
          <w:szCs w:val="20"/>
        </w:rPr>
        <w:t xml:space="preserve">, viewed 17 August 2020, </w:t>
      </w:r>
      <w:r w:rsidRPr="00986FBF">
        <w:rPr>
          <w:rStyle w:val="Hyperlink"/>
          <w:rFonts w:cs="Arial"/>
          <w:szCs w:val="20"/>
        </w:rPr>
        <w:t>http://www.cleanenergyregulator.gov.au/DocumentAssets/Documents/Guidelines%20for%20the%20eleventh%20Emissions%20Reduction%20Fund%20auction.pdf</w:t>
      </w:r>
      <w:r w:rsidRPr="00CE7EF8">
        <w:rPr>
          <w:rStyle w:val="Hyperlink"/>
          <w:rFonts w:cs="Arial"/>
          <w:color w:val="000000" w:themeColor="text1"/>
          <w:szCs w:val="20"/>
          <w:u w:val="none"/>
        </w:rPr>
        <w:t>.</w:t>
      </w:r>
    </w:p>
    <w:p w14:paraId="1143594C" w14:textId="77777777" w:rsidR="00CF7B11" w:rsidRPr="00986FBF" w:rsidRDefault="00CF7B11" w:rsidP="00CF7B11">
      <w:pPr>
        <w:rPr>
          <w:rStyle w:val="Hyperlink"/>
          <w:rFonts w:cs="Arial"/>
          <w:szCs w:val="20"/>
        </w:rPr>
      </w:pPr>
      <w:r w:rsidRPr="009B65DB">
        <w:rPr>
          <w:b/>
        </w:rPr>
        <w:t>CER 2020c</w:t>
      </w:r>
      <w:r w:rsidRPr="00986FBF">
        <w:rPr>
          <w:rFonts w:eastAsia="Times New Roman" w:cs="Arial"/>
          <w:color w:val="000000" w:themeColor="text1"/>
          <w:szCs w:val="20"/>
          <w:lang w:eastAsia="en-AU"/>
        </w:rPr>
        <w:t xml:space="preserve">, </w:t>
      </w:r>
      <w:r w:rsidRPr="00986FBF">
        <w:rPr>
          <w:rFonts w:eastAsia="Times New Roman" w:cs="Arial"/>
          <w:i/>
          <w:color w:val="000000" w:themeColor="text1"/>
          <w:szCs w:val="20"/>
          <w:lang w:eastAsia="en-AU"/>
        </w:rPr>
        <w:t>Safeguard facility reported emissions 2018-19</w:t>
      </w:r>
      <w:r w:rsidRPr="00986FBF">
        <w:rPr>
          <w:rFonts w:eastAsia="Times New Roman" w:cs="Arial"/>
          <w:color w:val="000000" w:themeColor="text1"/>
          <w:szCs w:val="20"/>
          <w:lang w:eastAsia="en-AU"/>
        </w:rPr>
        <w:t xml:space="preserve">, viewed 30 April 2020, </w:t>
      </w:r>
      <w:hyperlink r:id="rId66" w:history="1">
        <w:r w:rsidRPr="00986FBF">
          <w:rPr>
            <w:rStyle w:val="Hyperlink"/>
            <w:rFonts w:cs="Arial"/>
            <w:szCs w:val="20"/>
          </w:rPr>
          <w:t>http://www.cleanenergyregulator.gov.au/NGER/National%20greenhouse%20and%20energy%20reporting%20data/safeguard-facility-reported-emissions/safeguard-facility-emissions-2018-19</w:t>
        </w:r>
      </w:hyperlink>
      <w:r w:rsidRPr="00CE7EF8">
        <w:rPr>
          <w:rStyle w:val="Hyperlink"/>
          <w:rFonts w:cs="Arial"/>
          <w:color w:val="000000" w:themeColor="text1"/>
          <w:szCs w:val="20"/>
          <w:u w:val="none"/>
        </w:rPr>
        <w:t>.</w:t>
      </w:r>
    </w:p>
    <w:p w14:paraId="0C932BE3" w14:textId="758A96F2" w:rsidR="00FE3F8C" w:rsidRDefault="00FE3F8C" w:rsidP="00FE3F8C">
      <w:pPr>
        <w:rPr>
          <w:rStyle w:val="Hyperlink"/>
          <w:rFonts w:cs="Arial"/>
          <w:color w:val="000000" w:themeColor="text1"/>
          <w:szCs w:val="20"/>
          <w:lang w:eastAsia="en-AU"/>
        </w:rPr>
      </w:pPr>
      <w:r w:rsidRPr="0057731E" w:rsidDel="00B16C5A">
        <w:rPr>
          <w:b/>
        </w:rPr>
        <w:t>CER</w:t>
      </w:r>
      <w:r w:rsidR="0097240A">
        <w:rPr>
          <w:b/>
        </w:rPr>
        <w:t xml:space="preserve"> 2020d</w:t>
      </w:r>
      <w:r w:rsidRPr="00986FBF">
        <w:rPr>
          <w:rFonts w:cs="Arial"/>
          <w:szCs w:val="20"/>
          <w:lang w:eastAsia="en-AU"/>
        </w:rPr>
        <w:t xml:space="preserve">, </w:t>
      </w:r>
      <w:r w:rsidRPr="00986FBF">
        <w:rPr>
          <w:rFonts w:cs="Arial"/>
          <w:i/>
          <w:szCs w:val="20"/>
        </w:rPr>
        <w:t>Auction results</w:t>
      </w:r>
      <w:r w:rsidRPr="00680992">
        <w:rPr>
          <w:rFonts w:cs="Arial"/>
          <w:szCs w:val="20"/>
        </w:rPr>
        <w:t xml:space="preserve">, viewed 21 September 2020, </w:t>
      </w:r>
      <w:hyperlink r:id="rId67" w:history="1">
        <w:r w:rsidRPr="00986FBF">
          <w:rPr>
            <w:rStyle w:val="Hyperlink"/>
            <w:rFonts w:cs="Arial"/>
            <w:szCs w:val="20"/>
            <w:lang w:eastAsia="en-AU"/>
          </w:rPr>
          <w:t>http://www.cleanenergyregulator.gov.au/ERF/Auctions-results</w:t>
        </w:r>
      </w:hyperlink>
      <w:r w:rsidRPr="00CE7EF8">
        <w:rPr>
          <w:rStyle w:val="Hyperlink"/>
          <w:rFonts w:cs="Arial"/>
          <w:color w:val="000000" w:themeColor="text1"/>
          <w:szCs w:val="20"/>
          <w:u w:val="none"/>
          <w:lang w:eastAsia="en-AU"/>
        </w:rPr>
        <w:t>.</w:t>
      </w:r>
    </w:p>
    <w:p w14:paraId="5B337F24" w14:textId="77777777" w:rsidR="00155A4B" w:rsidRPr="00986FBF" w:rsidRDefault="00155A4B" w:rsidP="00155A4B">
      <w:pPr>
        <w:rPr>
          <w:rFonts w:eastAsia="Times New Roman" w:cs="Arial"/>
          <w:iCs/>
          <w:color w:val="000000" w:themeColor="text1"/>
          <w:szCs w:val="20"/>
          <w:lang w:eastAsia="en-AU"/>
        </w:rPr>
      </w:pPr>
      <w:r w:rsidRPr="00701615">
        <w:rPr>
          <w:rFonts w:eastAsia="Times New Roman" w:cs="Arial"/>
          <w:b/>
          <w:color w:val="000000" w:themeColor="text1"/>
          <w:szCs w:val="20"/>
          <w:lang w:eastAsia="en-AU"/>
        </w:rPr>
        <w:t>CER 2020</w:t>
      </w:r>
      <w:r>
        <w:rPr>
          <w:rFonts w:eastAsia="Times New Roman" w:cs="Arial"/>
          <w:b/>
          <w:color w:val="000000" w:themeColor="text1"/>
          <w:szCs w:val="20"/>
          <w:lang w:eastAsia="en-AU"/>
        </w:rPr>
        <w:t>e</w:t>
      </w:r>
      <w:r w:rsidRPr="00986FBF">
        <w:rPr>
          <w:rFonts w:eastAsia="Times New Roman" w:cs="Arial"/>
          <w:color w:val="000000" w:themeColor="text1"/>
          <w:szCs w:val="20"/>
          <w:lang w:eastAsia="en-AU"/>
        </w:rPr>
        <w:t xml:space="preserve">, </w:t>
      </w:r>
      <w:r w:rsidRPr="00986FBF">
        <w:rPr>
          <w:rFonts w:eastAsia="Times New Roman" w:cs="Arial"/>
          <w:i/>
          <w:color w:val="000000" w:themeColor="text1"/>
          <w:szCs w:val="20"/>
          <w:lang w:eastAsia="en-AU"/>
        </w:rPr>
        <w:t xml:space="preserve">Emissions Reduction Fund </w:t>
      </w:r>
      <w:r w:rsidRPr="00986FBF">
        <w:rPr>
          <w:rFonts w:eastAsia="Times New Roman" w:cs="Arial"/>
          <w:i/>
          <w:iCs/>
          <w:color w:val="000000" w:themeColor="text1"/>
          <w:szCs w:val="20"/>
          <w:lang w:eastAsia="en-AU"/>
        </w:rPr>
        <w:t>Project register</w:t>
      </w:r>
      <w:r w:rsidRPr="00986FBF">
        <w:rPr>
          <w:rFonts w:eastAsia="Times New Roman" w:cs="Arial"/>
          <w:iCs/>
          <w:color w:val="000000" w:themeColor="text1"/>
          <w:szCs w:val="20"/>
          <w:lang w:eastAsia="en-AU"/>
        </w:rPr>
        <w:t xml:space="preserve">, viewed </w:t>
      </w:r>
      <w:r>
        <w:rPr>
          <w:rFonts w:eastAsia="Times New Roman" w:cs="Arial"/>
          <w:iCs/>
          <w:color w:val="000000" w:themeColor="text1"/>
          <w:szCs w:val="20"/>
          <w:lang w:eastAsia="en-AU"/>
        </w:rPr>
        <w:t>1 October 2020,</w:t>
      </w:r>
      <w:r w:rsidRPr="00986FBF">
        <w:rPr>
          <w:rFonts w:eastAsia="Times New Roman" w:cs="Arial"/>
          <w:iCs/>
          <w:color w:val="000000" w:themeColor="text1"/>
          <w:szCs w:val="20"/>
          <w:lang w:eastAsia="en-AU"/>
        </w:rPr>
        <w:t xml:space="preserve"> </w:t>
      </w:r>
      <w:hyperlink r:id="rId68" w:history="1">
        <w:r w:rsidRPr="00986FBF">
          <w:rPr>
            <w:rStyle w:val="Hyperlink"/>
            <w:rFonts w:eastAsia="Times New Roman" w:cs="Arial"/>
            <w:iCs/>
            <w:szCs w:val="20"/>
            <w:lang w:eastAsia="en-AU"/>
          </w:rPr>
          <w:t>http://www.cleanenergyregulator.gov.au/ERF/project-and-contracts-registers/project-register</w:t>
        </w:r>
      </w:hyperlink>
      <w:r w:rsidRPr="00986FBF">
        <w:rPr>
          <w:rFonts w:eastAsia="Times New Roman" w:cs="Arial"/>
          <w:iCs/>
          <w:color w:val="000000" w:themeColor="text1"/>
          <w:szCs w:val="20"/>
          <w:lang w:eastAsia="en-AU"/>
        </w:rPr>
        <w:t>.</w:t>
      </w:r>
    </w:p>
    <w:p w14:paraId="2C18A6AF" w14:textId="20D0D542" w:rsidR="008735AE" w:rsidRPr="00986FBF" w:rsidRDefault="008735AE" w:rsidP="008735AE">
      <w:pPr>
        <w:rPr>
          <w:rFonts w:eastAsia="Times New Roman" w:cs="Arial"/>
          <w:color w:val="000000" w:themeColor="text1"/>
          <w:szCs w:val="20"/>
          <w:lang w:eastAsia="en-AU"/>
        </w:rPr>
      </w:pPr>
      <w:r w:rsidRPr="009B65DB">
        <w:rPr>
          <w:b/>
        </w:rPr>
        <w:t>CER 2020f</w:t>
      </w:r>
      <w:r w:rsidRPr="00986FBF">
        <w:rPr>
          <w:rFonts w:eastAsia="Times New Roman" w:cs="Arial"/>
          <w:color w:val="000000" w:themeColor="text1"/>
          <w:szCs w:val="20"/>
          <w:lang w:eastAsia="en-AU"/>
        </w:rPr>
        <w:t xml:space="preserve">, </w:t>
      </w:r>
      <w:r w:rsidRPr="00986FBF">
        <w:rPr>
          <w:rFonts w:eastAsia="Times New Roman" w:cs="Arial"/>
          <w:i/>
          <w:color w:val="000000" w:themeColor="text1"/>
          <w:szCs w:val="20"/>
          <w:lang w:eastAsia="en-AU"/>
        </w:rPr>
        <w:t>Quarterly Carbon Market Report – June Quarter 2020</w:t>
      </w:r>
      <w:r w:rsidRPr="00986FBF">
        <w:rPr>
          <w:rFonts w:eastAsia="Times New Roman" w:cs="Arial"/>
          <w:color w:val="000000" w:themeColor="text1"/>
          <w:szCs w:val="20"/>
          <w:lang w:eastAsia="en-AU"/>
        </w:rPr>
        <w:t>, viewed 2 September 2020</w:t>
      </w:r>
      <w:r>
        <w:t>,</w:t>
      </w:r>
      <w:r w:rsidR="00AB6526">
        <w:t xml:space="preserve"> </w:t>
      </w:r>
      <w:hyperlink r:id="rId69" w:history="1">
        <w:r>
          <w:rPr>
            <w:rStyle w:val="Hyperlink"/>
          </w:rPr>
          <w:t>http://www.cleanenergyregulator.gov.au/DocumentAssets/Pages/Quarterly-Carbon-Market-Report---June-Quarter-2020.aspx</w:t>
        </w:r>
      </w:hyperlink>
      <w:r>
        <w:rPr>
          <w:rStyle w:val="Hyperlink"/>
          <w:u w:val="none"/>
        </w:rPr>
        <w:t>.</w:t>
      </w:r>
    </w:p>
    <w:p w14:paraId="19B48687" w14:textId="77777777" w:rsidR="00722385" w:rsidRPr="00986FBF" w:rsidRDefault="00722385" w:rsidP="00722385">
      <w:pPr>
        <w:rPr>
          <w:rStyle w:val="Hyperlink"/>
          <w:rFonts w:cs="Arial"/>
          <w:color w:val="000000" w:themeColor="text1"/>
          <w:szCs w:val="20"/>
        </w:rPr>
      </w:pPr>
      <w:r w:rsidRPr="009B65DB">
        <w:rPr>
          <w:b/>
        </w:rPr>
        <w:t>CER 2020g</w:t>
      </w:r>
      <w:r w:rsidRPr="00986FBF">
        <w:rPr>
          <w:rStyle w:val="Hyperlink"/>
          <w:rFonts w:cs="Arial"/>
          <w:color w:val="000000" w:themeColor="text1"/>
          <w:szCs w:val="20"/>
          <w:u w:val="none"/>
        </w:rPr>
        <w:t xml:space="preserve">, </w:t>
      </w:r>
      <w:r w:rsidRPr="00986FBF">
        <w:rPr>
          <w:rStyle w:val="Hyperlink"/>
          <w:rFonts w:cs="Arial"/>
          <w:i/>
          <w:color w:val="000000" w:themeColor="text1"/>
          <w:szCs w:val="20"/>
          <w:u w:val="none"/>
        </w:rPr>
        <w:t>Contract term, 4 August 2020,</w:t>
      </w:r>
      <w:r w:rsidRPr="00986FBF">
        <w:rPr>
          <w:rStyle w:val="Hyperlink"/>
          <w:rFonts w:cs="Arial"/>
          <w:color w:val="000000" w:themeColor="text1"/>
          <w:szCs w:val="20"/>
          <w:u w:val="none"/>
        </w:rPr>
        <w:t xml:space="preserve"> viewed 7 September 2020,</w:t>
      </w:r>
      <w:r w:rsidRPr="00986FBF">
        <w:rPr>
          <w:rStyle w:val="Hyperlink"/>
          <w:rFonts w:cs="Arial"/>
          <w:color w:val="000000" w:themeColor="text1"/>
          <w:szCs w:val="20"/>
        </w:rPr>
        <w:t xml:space="preserve"> </w:t>
      </w:r>
      <w:hyperlink r:id="rId70" w:history="1">
        <w:r w:rsidRPr="00986FBF">
          <w:rPr>
            <w:rStyle w:val="Hyperlink"/>
            <w:rFonts w:cs="Arial"/>
            <w:szCs w:val="20"/>
          </w:rPr>
          <w:t>http://www.cleanenergyregulator.gov.au/ERF/Want-to-participate-in-the-Emissions-Reduction-Fund/Step-2-Contracts-and-auctions/contract-duration</w:t>
        </w:r>
      </w:hyperlink>
      <w:r w:rsidRPr="00986FBF">
        <w:rPr>
          <w:rStyle w:val="Hyperlink"/>
          <w:rFonts w:cs="Arial"/>
          <w:color w:val="000000" w:themeColor="text1"/>
          <w:szCs w:val="20"/>
          <w:u w:val="none"/>
        </w:rPr>
        <w:t>.</w:t>
      </w:r>
    </w:p>
    <w:p w14:paraId="12F5DBAF" w14:textId="77777777" w:rsidR="007F63EB" w:rsidRDefault="007F63EB" w:rsidP="007F63EB">
      <w:pPr>
        <w:rPr>
          <w:rFonts w:eastAsia="Times New Roman"/>
          <w:color w:val="000000" w:themeColor="text1"/>
          <w:lang w:eastAsia="en-AU"/>
        </w:rPr>
      </w:pPr>
      <w:r w:rsidRPr="009B65DB">
        <w:rPr>
          <w:b/>
        </w:rPr>
        <w:t>CER 2020h</w:t>
      </w:r>
      <w:r w:rsidRPr="00986FBF">
        <w:rPr>
          <w:rFonts w:eastAsia="Times New Roman" w:cs="Arial"/>
          <w:color w:val="000000" w:themeColor="text1"/>
          <w:szCs w:val="20"/>
          <w:lang w:eastAsia="en-AU"/>
        </w:rPr>
        <w:t xml:space="preserve">, </w:t>
      </w:r>
      <w:r w:rsidRPr="00986FBF">
        <w:rPr>
          <w:rFonts w:eastAsia="Times New Roman" w:cs="Arial"/>
          <w:i/>
          <w:color w:val="000000" w:themeColor="text1"/>
          <w:szCs w:val="20"/>
          <w:lang w:eastAsia="en-AU"/>
        </w:rPr>
        <w:t>Calculated baseline, 18 June 2020</w:t>
      </w:r>
      <w:r w:rsidRPr="00986FBF">
        <w:rPr>
          <w:rFonts w:eastAsia="Times New Roman" w:cs="Arial"/>
          <w:color w:val="000000" w:themeColor="text1"/>
          <w:szCs w:val="20"/>
          <w:lang w:eastAsia="en-AU"/>
        </w:rPr>
        <w:t xml:space="preserve">, viewed 22 July 2020, </w:t>
      </w:r>
      <w:hyperlink r:id="rId71" w:history="1">
        <w:r w:rsidRPr="00986FBF">
          <w:rPr>
            <w:rStyle w:val="Hyperlink"/>
            <w:rFonts w:eastAsia="Times New Roman" w:cs="Arial"/>
            <w:szCs w:val="20"/>
            <w:lang w:eastAsia="en-AU"/>
          </w:rPr>
          <w:t>http://www.cleanenergyregulator.gov.au/NGER/The-safeguard-mechanism/Baselines/Calculated-baseline</w:t>
        </w:r>
      </w:hyperlink>
      <w:r w:rsidRPr="00986FBF">
        <w:rPr>
          <w:rFonts w:eastAsia="Times New Roman" w:cs="Arial"/>
          <w:color w:val="000000" w:themeColor="text1"/>
          <w:szCs w:val="20"/>
          <w:lang w:eastAsia="en-AU"/>
        </w:rPr>
        <w:t>.</w:t>
      </w:r>
    </w:p>
    <w:p w14:paraId="4D8A7163" w14:textId="77777777" w:rsidR="00742EEC" w:rsidRDefault="00742EEC" w:rsidP="00742EEC">
      <w:pPr>
        <w:rPr>
          <w:rStyle w:val="Hyperlink"/>
          <w:rFonts w:cs="Arial"/>
          <w:szCs w:val="20"/>
        </w:rPr>
      </w:pPr>
      <w:r w:rsidRPr="009B65DB">
        <w:rPr>
          <w:b/>
        </w:rPr>
        <w:t>CER 2020i</w:t>
      </w:r>
      <w:r w:rsidRPr="00986FBF">
        <w:rPr>
          <w:rFonts w:eastAsia="Times New Roman" w:cs="Arial"/>
          <w:color w:val="000000" w:themeColor="text1"/>
          <w:szCs w:val="20"/>
          <w:lang w:eastAsia="en-AU"/>
        </w:rPr>
        <w:t xml:space="preserve">, </w:t>
      </w:r>
      <w:r w:rsidRPr="00986FBF">
        <w:rPr>
          <w:rFonts w:eastAsia="Times New Roman" w:cs="Arial"/>
          <w:i/>
          <w:color w:val="000000" w:themeColor="text1"/>
          <w:szCs w:val="20"/>
          <w:lang w:eastAsia="en-AU"/>
        </w:rPr>
        <w:t>Quarterly Carbon Market Report - March Quarter 2020</w:t>
      </w:r>
      <w:r w:rsidRPr="00986FBF">
        <w:rPr>
          <w:rFonts w:eastAsia="Times New Roman" w:cs="Arial"/>
          <w:color w:val="000000" w:themeColor="text1"/>
          <w:szCs w:val="20"/>
          <w:lang w:eastAsia="en-AU"/>
        </w:rPr>
        <w:t xml:space="preserve">, viewed 30 June 2020, </w:t>
      </w:r>
      <w:r w:rsidRPr="00986FBF">
        <w:rPr>
          <w:rStyle w:val="Hyperlink"/>
          <w:rFonts w:cs="Arial"/>
          <w:szCs w:val="20"/>
        </w:rPr>
        <w:t>http://www.cleanenergyregulator.gov.au/DocumentAssets/Documents/Quarterly%20Carbon%20Market%20Report%</w:t>
      </w:r>
      <w:r w:rsidRPr="00680992">
        <w:rPr>
          <w:rStyle w:val="Hyperlink"/>
          <w:rFonts w:cs="Arial"/>
          <w:szCs w:val="20"/>
        </w:rPr>
        <w:t>20-%20March%20Quarter%202020.pdf</w:t>
      </w:r>
      <w:r w:rsidRPr="00CE7EF8">
        <w:rPr>
          <w:rStyle w:val="Hyperlink"/>
          <w:rFonts w:cs="Arial"/>
          <w:color w:val="000000" w:themeColor="text1"/>
          <w:szCs w:val="20"/>
          <w:u w:val="none"/>
        </w:rPr>
        <w:t>.</w:t>
      </w:r>
    </w:p>
    <w:p w14:paraId="322791EE" w14:textId="77777777" w:rsidR="001B1218" w:rsidRDefault="001B1218" w:rsidP="001B1218">
      <w:r w:rsidRPr="00312870">
        <w:rPr>
          <w:rFonts w:eastAsia="Calibri" w:cs="Times New Roman"/>
          <w:b/>
        </w:rPr>
        <w:t>CER 2020</w:t>
      </w:r>
      <w:r>
        <w:rPr>
          <w:rFonts w:eastAsia="Calibri" w:cs="Times New Roman"/>
          <w:b/>
        </w:rPr>
        <w:t>j</w:t>
      </w:r>
      <w:r w:rsidRPr="009B65DB">
        <w:rPr>
          <w:rFonts w:eastAsia="Calibri" w:cs="Times New Roman"/>
        </w:rPr>
        <w:t>,</w:t>
      </w:r>
      <w:r>
        <w:rPr>
          <w:rFonts w:eastAsia="Calibri" w:cs="Times New Roman"/>
        </w:rPr>
        <w:t xml:space="preserve"> </w:t>
      </w:r>
      <w:r>
        <w:rPr>
          <w:rFonts w:eastAsia="Calibri" w:cs="Times New Roman"/>
          <w:i/>
        </w:rPr>
        <w:t>A guide to the 2020 FullCAM – transition arrangements, 31 August 2020,</w:t>
      </w:r>
      <w:r>
        <w:rPr>
          <w:rFonts w:eastAsia="Calibri" w:cs="Times New Roman"/>
        </w:rPr>
        <w:t xml:space="preserve"> viewed 9 September 2020, </w:t>
      </w:r>
      <w:hyperlink r:id="rId72" w:history="1">
        <w:r>
          <w:rPr>
            <w:rStyle w:val="Hyperlink"/>
            <w:rFonts w:eastAsia="Calibri" w:cs="Times New Roman"/>
          </w:rPr>
          <w:t>http://cleanenergyregulator.gov.au/ERF/Pages/Choosing%20a%20project%20type/Opportunities%20for%20the%20land%20sector/Vegetation%20and%20sequestration%20methods/A-guide-to-the-2020-FullCAM-transition-arrangements.aspx</w:t>
        </w:r>
      </w:hyperlink>
      <w:r>
        <w:rPr>
          <w:rFonts w:eastAsia="Calibri" w:cs="Times New Roman"/>
        </w:rPr>
        <w:t>.</w:t>
      </w:r>
    </w:p>
    <w:p w14:paraId="08227EC9" w14:textId="459063A0" w:rsidR="0028353A" w:rsidRPr="00CE7EF8" w:rsidRDefault="0028353A" w:rsidP="0028353A">
      <w:pPr>
        <w:rPr>
          <w:rStyle w:val="Hyperlink"/>
          <w:rFonts w:eastAsia="Calibri" w:cs="Times New Roman"/>
          <w:u w:val="none"/>
        </w:rPr>
      </w:pPr>
      <w:r w:rsidRPr="00A8028C">
        <w:rPr>
          <w:rFonts w:eastAsia="Calibri" w:cs="Times New Roman"/>
          <w:b/>
        </w:rPr>
        <w:t>CER 2020</w:t>
      </w:r>
      <w:r>
        <w:rPr>
          <w:rFonts w:eastAsia="Calibri" w:cs="Times New Roman"/>
          <w:b/>
        </w:rPr>
        <w:t>k</w:t>
      </w:r>
      <w:r>
        <w:rPr>
          <w:rFonts w:eastAsia="Calibri" w:cs="Times New Roman"/>
        </w:rPr>
        <w:t xml:space="preserve">, </w:t>
      </w:r>
      <w:r w:rsidRPr="00F94E82">
        <w:rPr>
          <w:rFonts w:eastAsia="Calibri" w:cs="Times New Roman"/>
          <w:i/>
        </w:rPr>
        <w:t>Quarterly Carbon Market Report</w:t>
      </w:r>
      <w:r>
        <w:rPr>
          <w:rFonts w:eastAsia="Calibri" w:cs="Times New Roman"/>
        </w:rPr>
        <w:t xml:space="preserve"> - December Quarter 2019</w:t>
      </w:r>
      <w:r w:rsidR="00696A0F">
        <w:rPr>
          <w:rFonts w:eastAsia="Calibri" w:cs="Times New Roman"/>
        </w:rPr>
        <w:t xml:space="preserve"> workbook</w:t>
      </w:r>
      <w:r>
        <w:rPr>
          <w:rFonts w:eastAsia="Calibri" w:cs="Times New Roman"/>
        </w:rPr>
        <w:t>, viewed 9 September 2020,</w:t>
      </w:r>
      <w:r w:rsidR="00AB6526">
        <w:rPr>
          <w:rFonts w:eastAsia="Calibri" w:cs="Times New Roman"/>
        </w:rPr>
        <w:t xml:space="preserve"> </w:t>
      </w:r>
      <w:hyperlink r:id="rId73" w:history="1">
        <w:r>
          <w:rPr>
            <w:rStyle w:val="Hyperlink"/>
          </w:rPr>
          <w:t>http://www.cleanenergyregulator.gov.au/DocumentAssets/Pages/Quarterly-Carbon-Market-Report-workbook---December-Quarter-2019.aspx</w:t>
        </w:r>
      </w:hyperlink>
      <w:r w:rsidR="00AB6526">
        <w:rPr>
          <w:rStyle w:val="Hyperlink"/>
          <w:u w:val="none"/>
        </w:rPr>
        <w:t>.</w:t>
      </w:r>
    </w:p>
    <w:p w14:paraId="2B8A93EB" w14:textId="77777777" w:rsidR="00444FBB" w:rsidRDefault="00444FBB" w:rsidP="00444FBB">
      <w:pPr>
        <w:rPr>
          <w:rFonts w:eastAsia="Times New Roman" w:cs="Arial"/>
          <w:color w:val="000000" w:themeColor="text1"/>
          <w:szCs w:val="20"/>
          <w:lang w:eastAsia="en-AU"/>
        </w:rPr>
      </w:pPr>
      <w:r w:rsidRPr="00D40A47">
        <w:rPr>
          <w:rFonts w:eastAsia="Times New Roman" w:cs="Arial"/>
          <w:b/>
          <w:color w:val="000000" w:themeColor="text1"/>
          <w:szCs w:val="20"/>
          <w:lang w:eastAsia="en-AU"/>
        </w:rPr>
        <w:t>CER 2020</w:t>
      </w:r>
      <w:r>
        <w:rPr>
          <w:rFonts w:eastAsia="Times New Roman" w:cs="Arial"/>
          <w:b/>
          <w:color w:val="000000" w:themeColor="text1"/>
          <w:szCs w:val="20"/>
          <w:lang w:eastAsia="en-AU"/>
        </w:rPr>
        <w:t>l</w:t>
      </w:r>
      <w:r w:rsidRPr="00986FBF">
        <w:rPr>
          <w:rFonts w:eastAsia="Times New Roman" w:cs="Arial"/>
          <w:color w:val="000000" w:themeColor="text1"/>
          <w:szCs w:val="20"/>
          <w:lang w:eastAsia="en-AU"/>
        </w:rPr>
        <w:t xml:space="preserve">, </w:t>
      </w:r>
      <w:r w:rsidRPr="00986FBF">
        <w:rPr>
          <w:rFonts w:eastAsia="Times New Roman" w:cs="Arial"/>
          <w:i/>
          <w:color w:val="000000" w:themeColor="text1"/>
          <w:szCs w:val="20"/>
          <w:lang w:eastAsia="en-AU"/>
        </w:rPr>
        <w:t>Conditions precedent, 4 August 2020</w:t>
      </w:r>
      <w:r w:rsidRPr="00986FBF">
        <w:rPr>
          <w:rFonts w:eastAsia="Times New Roman" w:cs="Arial"/>
          <w:color w:val="000000" w:themeColor="text1"/>
          <w:szCs w:val="20"/>
          <w:lang w:eastAsia="en-AU"/>
        </w:rPr>
        <w:t xml:space="preserve">, viewed 26 August 2020, </w:t>
      </w:r>
      <w:hyperlink r:id="rId74" w:history="1">
        <w:r w:rsidRPr="00986FBF">
          <w:rPr>
            <w:rStyle w:val="Hyperlink"/>
            <w:rFonts w:eastAsia="Times New Roman" w:cs="Arial"/>
            <w:szCs w:val="20"/>
            <w:lang w:eastAsia="en-AU"/>
          </w:rPr>
          <w:t>http://www.cleanenergyregulator.gov.au/ERF/Want-to-participate-in-the-Emissions-Reduction-Fund/Step-2-Contracts-and-auctions/auction-qualification/conditions-precedent</w:t>
        </w:r>
      </w:hyperlink>
      <w:r w:rsidRPr="00986FBF">
        <w:rPr>
          <w:rFonts w:eastAsia="Times New Roman" w:cs="Arial"/>
          <w:color w:val="000000" w:themeColor="text1"/>
          <w:szCs w:val="20"/>
          <w:lang w:eastAsia="en-AU"/>
        </w:rPr>
        <w:t>.</w:t>
      </w:r>
    </w:p>
    <w:p w14:paraId="4B9E1481" w14:textId="77777777" w:rsidR="00E1626D" w:rsidRPr="00986FBF" w:rsidRDefault="00E1626D" w:rsidP="00E1626D">
      <w:pPr>
        <w:rPr>
          <w:rFonts w:cs="Arial"/>
          <w:szCs w:val="20"/>
        </w:rPr>
      </w:pPr>
      <w:r w:rsidRPr="00FF18B1">
        <w:rPr>
          <w:rFonts w:cs="Arial"/>
          <w:b/>
          <w:szCs w:val="20"/>
        </w:rPr>
        <w:t>CER 2020</w:t>
      </w:r>
      <w:r>
        <w:rPr>
          <w:rFonts w:cs="Arial"/>
          <w:b/>
          <w:szCs w:val="20"/>
        </w:rPr>
        <w:t>m</w:t>
      </w:r>
      <w:r w:rsidRPr="00986FBF">
        <w:rPr>
          <w:rFonts w:cs="Arial"/>
          <w:szCs w:val="20"/>
        </w:rPr>
        <w:t xml:space="preserve">, </w:t>
      </w:r>
      <w:r w:rsidRPr="00986FBF">
        <w:rPr>
          <w:rFonts w:cs="Arial"/>
          <w:i/>
          <w:szCs w:val="20"/>
        </w:rPr>
        <w:t>Understanding contract delivery schedules, 25 June 2020</w:t>
      </w:r>
      <w:r w:rsidRPr="00986FBF">
        <w:rPr>
          <w:rFonts w:cs="Arial"/>
          <w:szCs w:val="20"/>
        </w:rPr>
        <w:t xml:space="preserve">, viewed 3 September 2020, </w:t>
      </w:r>
      <w:hyperlink r:id="rId75" w:history="1">
        <w:r w:rsidRPr="00986FBF">
          <w:rPr>
            <w:rStyle w:val="Hyperlink"/>
            <w:rFonts w:cs="Arial"/>
            <w:szCs w:val="20"/>
          </w:rPr>
          <w:t>http://www.cleanenergyregulator.gov.au/ERF/Want-to-participate-in-the-Emissions-Reduction-Fund/Step-2-Contracts-and-auctions/understanding-contract-delivery-schedules</w:t>
        </w:r>
      </w:hyperlink>
      <w:r w:rsidRPr="00986FBF">
        <w:rPr>
          <w:rFonts w:cs="Arial"/>
          <w:szCs w:val="20"/>
        </w:rPr>
        <w:t>.</w:t>
      </w:r>
    </w:p>
    <w:p w14:paraId="24D399A7" w14:textId="1FB2FF27" w:rsidR="006B566B" w:rsidRDefault="006B566B" w:rsidP="006B566B">
      <w:pPr>
        <w:rPr>
          <w:rFonts w:eastAsia="Calibri" w:cs="Times New Roman"/>
        </w:rPr>
      </w:pPr>
      <w:r w:rsidRPr="00482A0F">
        <w:rPr>
          <w:rFonts w:eastAsia="Calibri" w:cs="Times New Roman"/>
          <w:b/>
        </w:rPr>
        <w:t>CER 2020</w:t>
      </w:r>
      <w:r>
        <w:rPr>
          <w:rFonts w:eastAsia="Calibri" w:cs="Times New Roman"/>
          <w:b/>
        </w:rPr>
        <w:t>n</w:t>
      </w:r>
      <w:r>
        <w:rPr>
          <w:rFonts w:eastAsia="Calibri" w:cs="Times New Roman"/>
        </w:rPr>
        <w:t>,</w:t>
      </w:r>
      <w:r>
        <w:t xml:space="preserve"> </w:t>
      </w:r>
      <w:r w:rsidRPr="00F94E82">
        <w:rPr>
          <w:rFonts w:eastAsia="Calibri" w:cs="Times New Roman"/>
          <w:i/>
        </w:rPr>
        <w:t>Quarterly Carbon Market Report</w:t>
      </w:r>
      <w:r>
        <w:rPr>
          <w:rFonts w:eastAsia="Calibri" w:cs="Times New Roman"/>
        </w:rPr>
        <w:t xml:space="preserve"> - September Quarter 2019 workbook, viewed 3 September 2020, </w:t>
      </w:r>
      <w:hyperlink r:id="rId76" w:history="1">
        <w:r>
          <w:rPr>
            <w:rStyle w:val="Hyperlink"/>
            <w:rFonts w:eastAsia="Calibri" w:cs="Times New Roman"/>
          </w:rPr>
          <w:t>http://www.cleanenergyregulator.gov.au/DocumentAssets/Pages/Quarterly-Carbon-Market-Report-%E2%80%93-September-Quarter-2019-workbook.aspx</w:t>
        </w:r>
      </w:hyperlink>
      <w:r w:rsidR="00AB6526">
        <w:rPr>
          <w:rStyle w:val="Hyperlink"/>
          <w:rFonts w:eastAsia="Calibri" w:cs="Times New Roman"/>
          <w:u w:val="none"/>
        </w:rPr>
        <w:t>.</w:t>
      </w:r>
    </w:p>
    <w:p w14:paraId="541FAB43" w14:textId="25AF5CEB" w:rsidR="00844EEE" w:rsidRPr="00CE7EF8" w:rsidRDefault="00844EEE" w:rsidP="00844EEE">
      <w:pPr>
        <w:rPr>
          <w:rStyle w:val="Hyperlink"/>
          <w:u w:val="none"/>
        </w:rPr>
      </w:pPr>
      <w:r w:rsidRPr="00482A0F">
        <w:rPr>
          <w:rFonts w:eastAsia="Calibri" w:cs="Times New Roman"/>
          <w:b/>
        </w:rPr>
        <w:t>CER 2020</w:t>
      </w:r>
      <w:r>
        <w:rPr>
          <w:rFonts w:eastAsia="Calibri" w:cs="Times New Roman"/>
          <w:b/>
        </w:rPr>
        <w:t>o</w:t>
      </w:r>
      <w:r>
        <w:rPr>
          <w:rFonts w:eastAsia="Calibri" w:cs="Times New Roman"/>
        </w:rPr>
        <w:t xml:space="preserve">, </w:t>
      </w:r>
      <w:r w:rsidRPr="00F94E82">
        <w:rPr>
          <w:rFonts w:eastAsia="Calibri" w:cs="Times New Roman"/>
          <w:i/>
        </w:rPr>
        <w:t>Quarterly Carbon Market Report</w:t>
      </w:r>
      <w:r>
        <w:rPr>
          <w:rFonts w:eastAsia="Calibri" w:cs="Times New Roman"/>
        </w:rPr>
        <w:t xml:space="preserve"> - June Quarter 2020</w:t>
      </w:r>
      <w:r w:rsidR="00696A0F">
        <w:rPr>
          <w:rFonts w:eastAsia="Calibri" w:cs="Times New Roman"/>
        </w:rPr>
        <w:t xml:space="preserve"> workbook</w:t>
      </w:r>
      <w:r>
        <w:rPr>
          <w:rFonts w:eastAsia="Calibri" w:cs="Times New Roman"/>
        </w:rPr>
        <w:t>, viewed 3 September 2020,</w:t>
      </w:r>
      <w:r w:rsidR="00AB6526">
        <w:rPr>
          <w:rFonts w:eastAsia="Calibri" w:cs="Times New Roman"/>
        </w:rPr>
        <w:t xml:space="preserve"> </w:t>
      </w:r>
      <w:hyperlink r:id="rId77" w:history="1">
        <w:r>
          <w:rPr>
            <w:rStyle w:val="Hyperlink"/>
            <w:rFonts w:eastAsia="Calibri" w:cs="Times New Roman"/>
          </w:rPr>
          <w:t>http://www.cleanenergyregulator.gov.au/DocumentAssets/Pages/Quarterly-Carbon-Market-Report-workbook---June-Quarter-2020.aspx</w:t>
        </w:r>
      </w:hyperlink>
      <w:r w:rsidR="00AB6526">
        <w:rPr>
          <w:rStyle w:val="Hyperlink"/>
          <w:rFonts w:eastAsia="Calibri" w:cs="Times New Roman"/>
          <w:u w:val="none"/>
        </w:rPr>
        <w:t>.</w:t>
      </w:r>
    </w:p>
    <w:p w14:paraId="35768A06" w14:textId="42E676DB" w:rsidR="00673FE1" w:rsidRPr="00CE7EF8" w:rsidRDefault="00673FE1" w:rsidP="00673FE1">
      <w:pPr>
        <w:rPr>
          <w:rStyle w:val="Hyperlink"/>
          <w:rFonts w:eastAsia="Calibri" w:cs="Times New Roman"/>
          <w:u w:val="none"/>
        </w:rPr>
      </w:pPr>
      <w:r w:rsidRPr="00482A0F">
        <w:rPr>
          <w:rFonts w:eastAsia="Calibri" w:cs="Times New Roman"/>
          <w:b/>
        </w:rPr>
        <w:t>CER 2020</w:t>
      </w:r>
      <w:r>
        <w:rPr>
          <w:rFonts w:eastAsia="Calibri" w:cs="Times New Roman"/>
          <w:b/>
        </w:rPr>
        <w:t>p</w:t>
      </w:r>
      <w:r>
        <w:rPr>
          <w:rFonts w:eastAsia="Calibri" w:cs="Times New Roman"/>
        </w:rPr>
        <w:t xml:space="preserve">, </w:t>
      </w:r>
      <w:r w:rsidRPr="00F94E82">
        <w:rPr>
          <w:rFonts w:eastAsia="Calibri" w:cs="Times New Roman"/>
          <w:i/>
        </w:rPr>
        <w:t>Quarterly Carbon Market Report</w:t>
      </w:r>
      <w:r>
        <w:rPr>
          <w:rFonts w:eastAsia="Calibri" w:cs="Times New Roman"/>
        </w:rPr>
        <w:t xml:space="preserve"> – March Quarter 2020</w:t>
      </w:r>
      <w:r w:rsidR="00696A0F">
        <w:rPr>
          <w:rFonts w:eastAsia="Calibri" w:cs="Times New Roman"/>
        </w:rPr>
        <w:t xml:space="preserve"> workbook</w:t>
      </w:r>
      <w:r>
        <w:rPr>
          <w:rFonts w:eastAsia="Calibri" w:cs="Times New Roman"/>
        </w:rPr>
        <w:t>, viewed 9 September 2020,</w:t>
      </w:r>
      <w:r w:rsidR="00AB6526">
        <w:rPr>
          <w:rFonts w:eastAsia="Calibri" w:cs="Times New Roman"/>
        </w:rPr>
        <w:t xml:space="preserve"> </w:t>
      </w:r>
      <w:hyperlink r:id="rId78" w:history="1">
        <w:r>
          <w:rPr>
            <w:rStyle w:val="Hyperlink"/>
          </w:rPr>
          <w:t>http://www.cleanenergyregulator.gov.au/DocumentAssets/Pages/Quarterly-Carbon-Market-Report-workbook---March-Quarter-2020.aspx</w:t>
        </w:r>
      </w:hyperlink>
      <w:r w:rsidR="00AB6526">
        <w:rPr>
          <w:rStyle w:val="Hyperlink"/>
          <w:u w:val="none"/>
        </w:rPr>
        <w:t>.</w:t>
      </w:r>
    </w:p>
    <w:p w14:paraId="029541CF" w14:textId="23EF9B74" w:rsidR="005505B5" w:rsidRDefault="005505B5" w:rsidP="005505B5">
      <w:r>
        <w:rPr>
          <w:rFonts w:cs="Arial"/>
          <w:b/>
          <w:szCs w:val="20"/>
        </w:rPr>
        <w:t>C</w:t>
      </w:r>
      <w:r w:rsidRPr="0036304D">
        <w:rPr>
          <w:rFonts w:cs="Arial"/>
          <w:b/>
          <w:szCs w:val="20"/>
        </w:rPr>
        <w:t>ER 2020</w:t>
      </w:r>
      <w:r>
        <w:rPr>
          <w:rFonts w:cs="Arial"/>
          <w:b/>
          <w:szCs w:val="20"/>
        </w:rPr>
        <w:t>q</w:t>
      </w:r>
      <w:r w:rsidRPr="00986FBF">
        <w:rPr>
          <w:rFonts w:cs="Arial"/>
          <w:szCs w:val="20"/>
        </w:rPr>
        <w:t xml:space="preserve">, </w:t>
      </w:r>
      <w:r w:rsidRPr="00986FBF">
        <w:rPr>
          <w:rFonts w:cs="Arial"/>
          <w:i/>
          <w:szCs w:val="20"/>
        </w:rPr>
        <w:t xml:space="preserve">Reducing the risk of fire and preserving sequestered carbon in ERF vegetation projects v0.1 </w:t>
      </w:r>
      <w:r w:rsidRPr="00986FBF">
        <w:rPr>
          <w:rFonts w:cs="Arial"/>
          <w:szCs w:val="20"/>
        </w:rPr>
        <w:t xml:space="preserve">viewed 5 August 2020, </w:t>
      </w:r>
      <w:hyperlink r:id="rId79" w:history="1">
        <w:r>
          <w:rPr>
            <w:rStyle w:val="Hyperlink"/>
            <w:rFonts w:eastAsia="Calibri" w:cs="Times New Roman"/>
            <w:color w:val="0563C1"/>
          </w:rPr>
          <w:t>http://www.cleanenergyregulator.gov.au/DocumentAssets/Pages/Reducing-the-risk-of-fire-and-preserving-sequestered-carbon-in-ERF-vegetation-projects.aspx</w:t>
        </w:r>
      </w:hyperlink>
      <w:r>
        <w:rPr>
          <w:rFonts w:eastAsia="Calibri" w:cs="Times New Roman"/>
        </w:rPr>
        <w:t>.</w:t>
      </w:r>
    </w:p>
    <w:p w14:paraId="3ADF78AB" w14:textId="29610B3E" w:rsidR="00FE3F8C" w:rsidRPr="00986FBF" w:rsidRDefault="005505B5" w:rsidP="00FE3F8C">
      <w:pPr>
        <w:rPr>
          <w:rFonts w:cs="Arial"/>
          <w:bCs/>
          <w:szCs w:val="20"/>
        </w:rPr>
      </w:pPr>
      <w:r w:rsidRPr="00B20E80">
        <w:rPr>
          <w:rFonts w:cs="Arial"/>
          <w:b/>
          <w:szCs w:val="20"/>
        </w:rPr>
        <w:t>CER 2020</w:t>
      </w:r>
      <w:r w:rsidRPr="009B65DB">
        <w:rPr>
          <w:rFonts w:cs="Arial"/>
          <w:b/>
          <w:szCs w:val="20"/>
        </w:rPr>
        <w:t>r</w:t>
      </w:r>
      <w:r w:rsidRPr="00986FBF">
        <w:rPr>
          <w:rFonts w:cs="Arial"/>
          <w:szCs w:val="20"/>
        </w:rPr>
        <w:t>, personal communication, 24 July 2020.</w:t>
      </w:r>
    </w:p>
    <w:p w14:paraId="1D5F977D" w14:textId="77777777" w:rsidR="00696A0F" w:rsidRDefault="00696A0F" w:rsidP="00FE3F8C">
      <w:pPr>
        <w:rPr>
          <w:rFonts w:cs="Arial"/>
          <w:b/>
          <w:szCs w:val="20"/>
        </w:rPr>
      </w:pPr>
    </w:p>
    <w:p w14:paraId="51A9C2FD" w14:textId="1AE34C4F" w:rsidR="00FE3F8C" w:rsidRDefault="00FE3F8C" w:rsidP="00FE3F8C">
      <w:r w:rsidRPr="00B20E80" w:rsidDel="005505B5">
        <w:rPr>
          <w:rFonts w:cs="Arial"/>
          <w:b/>
          <w:szCs w:val="20"/>
        </w:rPr>
        <w:t xml:space="preserve">CER </w:t>
      </w:r>
      <w:r w:rsidRPr="00460B96" w:rsidDel="000B3D22">
        <w:rPr>
          <w:rFonts w:cs="Arial"/>
          <w:b/>
          <w:szCs w:val="20"/>
        </w:rPr>
        <w:t>2019</w:t>
      </w:r>
      <w:r w:rsidRPr="00986FBF" w:rsidDel="000B3D22">
        <w:rPr>
          <w:rFonts w:cs="Arial"/>
          <w:szCs w:val="20"/>
        </w:rPr>
        <w:t xml:space="preserve">, </w:t>
      </w:r>
      <w:r w:rsidRPr="00986FBF">
        <w:rPr>
          <w:rFonts w:cs="Arial"/>
          <w:i/>
          <w:szCs w:val="20"/>
        </w:rPr>
        <w:t>Guidelines on stratification, evidence and records. For projects under the Human-Induced Regeneration of a Permanent Even-Aged Native Forest and Native Forest from Managed Regrowth methods</w:t>
      </w:r>
      <w:r w:rsidRPr="00680992">
        <w:rPr>
          <w:rFonts w:cs="Arial"/>
          <w:szCs w:val="20"/>
        </w:rPr>
        <w:t xml:space="preserve">, </w:t>
      </w:r>
      <w:r>
        <w:rPr>
          <w:rFonts w:cs="Arial"/>
          <w:i/>
          <w:szCs w:val="20"/>
        </w:rPr>
        <w:t>8 May 2019</w:t>
      </w:r>
      <w:r>
        <w:rPr>
          <w:rFonts w:cs="Arial"/>
          <w:szCs w:val="20"/>
        </w:rPr>
        <w:t xml:space="preserve">, viewed 3 September 2020, </w:t>
      </w:r>
      <w:hyperlink r:id="rId80" w:history="1">
        <w:r w:rsidRPr="00986FBF">
          <w:rPr>
            <w:rStyle w:val="Hyperlink"/>
            <w:rFonts w:cs="Arial"/>
            <w:szCs w:val="20"/>
          </w:rPr>
          <w:t>http://www.cleanenergyregulator.gov.au/DocumentAssets/Documents/Guidelines%20on%20stratification%20evidence%20and%20records%20for%20HIR%20and%20NFMR.pdf</w:t>
        </w:r>
      </w:hyperlink>
      <w:r w:rsidRPr="00CE7EF8">
        <w:rPr>
          <w:rStyle w:val="Hyperlink"/>
          <w:rFonts w:cs="Arial"/>
          <w:color w:val="000000" w:themeColor="text1"/>
          <w:szCs w:val="20"/>
          <w:u w:val="none"/>
        </w:rPr>
        <w:t>.</w:t>
      </w:r>
    </w:p>
    <w:p w14:paraId="45A2B24E" w14:textId="77777777" w:rsidR="00FE3F8C" w:rsidRDefault="00FE3F8C" w:rsidP="00FE3F8C">
      <w:pPr>
        <w:rPr>
          <w:rStyle w:val="Hyperlink"/>
          <w:rFonts w:eastAsia="Times New Roman" w:cs="Arial"/>
          <w:szCs w:val="20"/>
          <w:lang w:eastAsia="en-AU"/>
        </w:rPr>
      </w:pPr>
      <w:r w:rsidRPr="0057731E">
        <w:rPr>
          <w:rStyle w:val="Hyperlink"/>
          <w:rFonts w:eastAsia="Times New Roman" w:cs="Arial"/>
          <w:b/>
          <w:color w:val="000000" w:themeColor="text1"/>
          <w:szCs w:val="20"/>
          <w:u w:val="none"/>
          <w:lang w:eastAsia="en-AU"/>
        </w:rPr>
        <w:t>CER 2018a</w:t>
      </w:r>
      <w:r w:rsidRPr="00986FBF">
        <w:rPr>
          <w:rStyle w:val="Hyperlink"/>
          <w:rFonts w:eastAsia="Times New Roman" w:cs="Arial"/>
          <w:color w:val="000000" w:themeColor="text1"/>
          <w:szCs w:val="20"/>
          <w:u w:val="none"/>
          <w:lang w:eastAsia="en-AU"/>
        </w:rPr>
        <w:t xml:space="preserve">, </w:t>
      </w:r>
      <w:r w:rsidRPr="00986FBF">
        <w:rPr>
          <w:rStyle w:val="Hyperlink"/>
          <w:rFonts w:eastAsia="Times New Roman" w:cs="Arial"/>
          <w:i/>
          <w:color w:val="000000" w:themeColor="text1"/>
          <w:szCs w:val="20"/>
          <w:u w:val="none"/>
          <w:lang w:eastAsia="en-AU"/>
        </w:rPr>
        <w:t>Native title, legal right and eligible interest-holder consent guidance, June 2018</w:t>
      </w:r>
      <w:r w:rsidRPr="00986FBF">
        <w:rPr>
          <w:rStyle w:val="Hyperlink"/>
          <w:rFonts w:eastAsia="Times New Roman" w:cs="Arial"/>
          <w:color w:val="000000" w:themeColor="text1"/>
          <w:szCs w:val="20"/>
          <w:u w:val="none"/>
          <w:lang w:eastAsia="en-AU"/>
        </w:rPr>
        <w:t>, viewed 25 August 2020,</w:t>
      </w:r>
      <w:r w:rsidRPr="00680992">
        <w:rPr>
          <w:rStyle w:val="Hyperlink"/>
          <w:rFonts w:eastAsia="Times New Roman" w:cs="Arial"/>
          <w:color w:val="000000" w:themeColor="text1"/>
          <w:szCs w:val="20"/>
          <w:lang w:eastAsia="en-AU"/>
        </w:rPr>
        <w:t xml:space="preserve"> </w:t>
      </w:r>
      <w:r w:rsidRPr="00680992">
        <w:rPr>
          <w:rStyle w:val="Hyperlink"/>
          <w:rFonts w:eastAsia="Times New Roman" w:cs="Arial"/>
          <w:szCs w:val="20"/>
          <w:lang w:eastAsia="en-AU"/>
        </w:rPr>
        <w:t>http://www.cleanenergyregulator.gov.au/DocumentAssets/Documents/Native%20title,%20legal%20right%20and%20elig</w:t>
      </w:r>
      <w:r>
        <w:rPr>
          <w:rStyle w:val="Hyperlink"/>
          <w:rFonts w:eastAsia="Times New Roman" w:cs="Arial"/>
          <w:szCs w:val="20"/>
          <w:lang w:eastAsia="en-AU"/>
        </w:rPr>
        <w:t>ible%20interest-holder%20consent%20guidance.pdf</w:t>
      </w:r>
      <w:r>
        <w:rPr>
          <w:rStyle w:val="Hyperlink"/>
          <w:rFonts w:eastAsia="Times New Roman" w:cs="Arial"/>
          <w:color w:val="000000" w:themeColor="text1"/>
          <w:szCs w:val="20"/>
          <w:lang w:eastAsia="en-AU"/>
        </w:rPr>
        <w:t>.</w:t>
      </w:r>
    </w:p>
    <w:p w14:paraId="0D9F2E7C" w14:textId="4655DE7D" w:rsidR="00FE3F8C" w:rsidRPr="00986FBF" w:rsidRDefault="00FE3F8C" w:rsidP="00FE3F8C">
      <w:pPr>
        <w:rPr>
          <w:rStyle w:val="Hyperlink"/>
          <w:rFonts w:cs="Arial"/>
          <w:color w:val="000000" w:themeColor="text1"/>
          <w:szCs w:val="20"/>
        </w:rPr>
      </w:pPr>
      <w:r w:rsidRPr="0057731E">
        <w:rPr>
          <w:rStyle w:val="Hyperlink"/>
          <w:rFonts w:eastAsia="Times New Roman" w:cs="Arial"/>
          <w:b/>
          <w:color w:val="000000" w:themeColor="text1"/>
          <w:szCs w:val="20"/>
          <w:u w:val="none"/>
          <w:lang w:eastAsia="en-AU"/>
        </w:rPr>
        <w:t>CER 2018b</w:t>
      </w:r>
      <w:r w:rsidRPr="00CE7EF8">
        <w:rPr>
          <w:rStyle w:val="Hyperlink"/>
          <w:rFonts w:eastAsia="Times New Roman" w:cs="Arial"/>
          <w:color w:val="000000" w:themeColor="text1"/>
          <w:szCs w:val="20"/>
          <w:u w:val="none"/>
          <w:lang w:eastAsia="en-AU"/>
        </w:rPr>
        <w:t xml:space="preserve">, </w:t>
      </w:r>
      <w:r w:rsidRPr="00CE7EF8">
        <w:rPr>
          <w:rStyle w:val="Hyperlink"/>
          <w:rFonts w:eastAsia="Times New Roman" w:cs="Arial"/>
          <w:i/>
          <w:color w:val="000000" w:themeColor="text1"/>
          <w:szCs w:val="20"/>
          <w:u w:val="none"/>
          <w:lang w:eastAsia="en-AU"/>
        </w:rPr>
        <w:t>Carbon Abatement Contract, Code of Common Terms, Version 3.0 of 20 August 2018</w:t>
      </w:r>
      <w:r w:rsidRPr="00CE7EF8">
        <w:rPr>
          <w:rStyle w:val="Hyperlink"/>
          <w:rFonts w:eastAsia="Times New Roman" w:cs="Arial"/>
          <w:color w:val="000000" w:themeColor="text1"/>
          <w:szCs w:val="20"/>
          <w:u w:val="none"/>
          <w:lang w:eastAsia="en-AU"/>
        </w:rPr>
        <w:t xml:space="preserve">, viewed </w:t>
      </w:r>
      <w:r w:rsidR="00A8078B">
        <w:rPr>
          <w:rStyle w:val="Hyperlink"/>
          <w:rFonts w:eastAsia="Times New Roman" w:cs="Arial"/>
          <w:color w:val="000000" w:themeColor="text1"/>
          <w:szCs w:val="20"/>
          <w:u w:val="none"/>
          <w:lang w:eastAsia="en-AU"/>
        </w:rPr>
        <w:t>3</w:t>
      </w:r>
      <w:r w:rsidRPr="00CE7EF8">
        <w:rPr>
          <w:rStyle w:val="Hyperlink"/>
          <w:rFonts w:eastAsia="Times New Roman" w:cs="Arial"/>
          <w:color w:val="000000" w:themeColor="text1"/>
          <w:szCs w:val="20"/>
          <w:u w:val="none"/>
          <w:lang w:eastAsia="en-AU"/>
        </w:rPr>
        <w:t xml:space="preserve"> September 2020, </w:t>
      </w:r>
      <w:hyperlink r:id="rId81" w:history="1">
        <w:r w:rsidRPr="00986FBF">
          <w:rPr>
            <w:rStyle w:val="Hyperlink"/>
            <w:rFonts w:cs="Arial"/>
            <w:szCs w:val="20"/>
          </w:rPr>
          <w:t>http://www.cleanenergyregulator.gov.au/DocumentAssets/Documents/Code%20of%20Common%20Terms%20%E2%80%93%20version%203.pdf</w:t>
        </w:r>
      </w:hyperlink>
      <w:r w:rsidRPr="00CE7EF8">
        <w:rPr>
          <w:rStyle w:val="Hyperlink"/>
          <w:rFonts w:cs="Arial"/>
          <w:color w:val="000000" w:themeColor="text1"/>
          <w:szCs w:val="20"/>
          <w:u w:val="none"/>
        </w:rPr>
        <w:t>.</w:t>
      </w:r>
    </w:p>
    <w:p w14:paraId="2FA92504" w14:textId="63EEC263" w:rsidR="005505B5" w:rsidRDefault="005505B5" w:rsidP="005505B5">
      <w:pPr>
        <w:rPr>
          <w:rStyle w:val="Hyperlink"/>
          <w:rFonts w:cs="Arial"/>
          <w:color w:val="000000" w:themeColor="text1"/>
          <w:szCs w:val="20"/>
        </w:rPr>
      </w:pPr>
      <w:r w:rsidRPr="00812AB8">
        <w:rPr>
          <w:rFonts w:cs="Arial"/>
          <w:b/>
          <w:szCs w:val="20"/>
        </w:rPr>
        <w:t>CER 2017</w:t>
      </w:r>
      <w:r>
        <w:rPr>
          <w:rFonts w:cs="Arial"/>
          <w:b/>
          <w:szCs w:val="20"/>
        </w:rPr>
        <w:t>a</w:t>
      </w:r>
      <w:r w:rsidRPr="00986FBF">
        <w:rPr>
          <w:rFonts w:cs="Arial"/>
          <w:szCs w:val="20"/>
        </w:rPr>
        <w:t xml:space="preserve">, </w:t>
      </w:r>
      <w:r w:rsidRPr="00986FBF">
        <w:rPr>
          <w:rFonts w:cs="Arial"/>
          <w:i/>
          <w:szCs w:val="20"/>
        </w:rPr>
        <w:t>Eligibility and newness, 23 June 2017</w:t>
      </w:r>
      <w:r w:rsidRPr="00986FBF">
        <w:rPr>
          <w:rFonts w:cs="Arial"/>
          <w:szCs w:val="20"/>
        </w:rPr>
        <w:t xml:space="preserve">, viewed 4 August 2020, </w:t>
      </w:r>
      <w:hyperlink r:id="rId82" w:history="1">
        <w:r w:rsidRPr="00986FBF">
          <w:rPr>
            <w:rStyle w:val="Hyperlink"/>
            <w:rFonts w:cs="Arial"/>
            <w:szCs w:val="20"/>
          </w:rPr>
          <w:t>http://www.cleanenergyregulator.gov.au/ERF/Want-to-participate-in-the-Emissions-Reduction-Fund/Planning-a-project/Eligibility-and-newness</w:t>
        </w:r>
      </w:hyperlink>
      <w:r w:rsidRPr="00CE7EF8">
        <w:rPr>
          <w:rStyle w:val="Hyperlink"/>
          <w:rFonts w:cs="Arial"/>
          <w:color w:val="000000" w:themeColor="text1"/>
          <w:szCs w:val="20"/>
          <w:u w:val="none"/>
        </w:rPr>
        <w:t>.</w:t>
      </w:r>
    </w:p>
    <w:p w14:paraId="74AE75EC" w14:textId="5FC7743D" w:rsidR="005505B5" w:rsidRPr="0057731E" w:rsidRDefault="005505B5" w:rsidP="005505B5">
      <w:pPr>
        <w:rPr>
          <w:color w:val="000000" w:themeColor="text1"/>
          <w:u w:val="single"/>
        </w:rPr>
      </w:pPr>
      <w:r w:rsidRPr="009B65DB">
        <w:rPr>
          <w:rStyle w:val="Hyperlink"/>
          <w:rFonts w:cs="Arial"/>
          <w:b/>
          <w:color w:val="000000" w:themeColor="text1"/>
          <w:szCs w:val="20"/>
          <w:u w:val="none"/>
        </w:rPr>
        <w:t>CER 2017b</w:t>
      </w:r>
      <w:r w:rsidRPr="00986FBF">
        <w:rPr>
          <w:rStyle w:val="Hyperlink"/>
          <w:rFonts w:cs="Arial"/>
          <w:color w:val="000000" w:themeColor="text1"/>
          <w:szCs w:val="20"/>
          <w:u w:val="none"/>
        </w:rPr>
        <w:t xml:space="preserve">, </w:t>
      </w:r>
      <w:r w:rsidRPr="00986FBF">
        <w:rPr>
          <w:rStyle w:val="Hyperlink"/>
          <w:rFonts w:cs="Arial"/>
          <w:i/>
          <w:color w:val="000000" w:themeColor="text1"/>
          <w:szCs w:val="20"/>
          <w:u w:val="none"/>
        </w:rPr>
        <w:t>Fit and Proper Person posture, 24 August 2017</w:t>
      </w:r>
      <w:r w:rsidRPr="00986FBF">
        <w:rPr>
          <w:rStyle w:val="Hyperlink"/>
          <w:rFonts w:cs="Arial"/>
          <w:color w:val="000000" w:themeColor="text1"/>
          <w:szCs w:val="20"/>
          <w:u w:val="none"/>
        </w:rPr>
        <w:t xml:space="preserve">, viewed 17 August 2020, </w:t>
      </w:r>
      <w:hyperlink r:id="rId83" w:history="1">
        <w:r w:rsidRPr="00986FBF">
          <w:rPr>
            <w:rStyle w:val="Hyperlink"/>
            <w:rFonts w:cs="Arial"/>
            <w:szCs w:val="20"/>
          </w:rPr>
          <w:t>http://www.cleanenergyregulator.gov.au/About/Policies-and-publications/fit-and-proper-person-posture</w:t>
        </w:r>
      </w:hyperlink>
      <w:r w:rsidRPr="00CE7EF8">
        <w:rPr>
          <w:rStyle w:val="Hyperlink"/>
          <w:rFonts w:cs="Arial"/>
          <w:color w:val="000000" w:themeColor="text1"/>
          <w:szCs w:val="20"/>
          <w:u w:val="none"/>
        </w:rPr>
        <w:t>.</w:t>
      </w:r>
    </w:p>
    <w:p w14:paraId="1BF201F2" w14:textId="0E3A342C" w:rsidR="00FE3F8C" w:rsidRPr="00986FBF" w:rsidRDefault="00FE3F8C" w:rsidP="00FE3F8C">
      <w:pPr>
        <w:rPr>
          <w:rStyle w:val="Hyperlink"/>
          <w:rFonts w:cs="Arial"/>
          <w:color w:val="000000" w:themeColor="text1"/>
          <w:szCs w:val="20"/>
        </w:rPr>
      </w:pPr>
      <w:r w:rsidRPr="0057731E" w:rsidDel="00DE49AC">
        <w:rPr>
          <w:rStyle w:val="Hyperlink"/>
          <w:rFonts w:cs="Arial"/>
          <w:b/>
          <w:color w:val="000000" w:themeColor="text1"/>
          <w:szCs w:val="20"/>
          <w:u w:val="none"/>
        </w:rPr>
        <w:t xml:space="preserve">CER </w:t>
      </w:r>
      <w:r w:rsidR="005505B5" w:rsidRPr="0057731E">
        <w:rPr>
          <w:rStyle w:val="Hyperlink"/>
          <w:rFonts w:cs="Arial"/>
          <w:b/>
          <w:color w:val="000000" w:themeColor="text1"/>
          <w:szCs w:val="20"/>
          <w:u w:val="none"/>
        </w:rPr>
        <w:t>2017</w:t>
      </w:r>
      <w:r w:rsidR="005505B5">
        <w:rPr>
          <w:rStyle w:val="Hyperlink"/>
          <w:rFonts w:cs="Arial"/>
          <w:b/>
          <w:color w:val="000000" w:themeColor="text1"/>
          <w:szCs w:val="20"/>
          <w:u w:val="none"/>
        </w:rPr>
        <w:t>c</w:t>
      </w:r>
      <w:r w:rsidRPr="00986FBF">
        <w:rPr>
          <w:rStyle w:val="Hyperlink"/>
          <w:rFonts w:cs="Arial"/>
          <w:color w:val="000000" w:themeColor="text1"/>
          <w:szCs w:val="20"/>
          <w:u w:val="none"/>
        </w:rPr>
        <w:t xml:space="preserve">, </w:t>
      </w:r>
      <w:r w:rsidRPr="00986FBF">
        <w:rPr>
          <w:rStyle w:val="Hyperlink"/>
          <w:rFonts w:cs="Arial"/>
          <w:i/>
          <w:color w:val="000000" w:themeColor="text1"/>
          <w:szCs w:val="20"/>
          <w:u w:val="none"/>
        </w:rPr>
        <w:t>Guidance: Earning ACCUs under vegetation methods, 13 November 2017,</w:t>
      </w:r>
      <w:r w:rsidRPr="00986FBF">
        <w:rPr>
          <w:rStyle w:val="Hyperlink"/>
          <w:rFonts w:cs="Arial"/>
          <w:color w:val="000000" w:themeColor="text1"/>
          <w:szCs w:val="20"/>
          <w:u w:val="none"/>
        </w:rPr>
        <w:t xml:space="preserve"> viewed 9 September 2020</w:t>
      </w:r>
      <w:r w:rsidR="00DE7F94" w:rsidRPr="00680992">
        <w:rPr>
          <w:rStyle w:val="Hyperlink"/>
          <w:rFonts w:cs="Arial"/>
          <w:color w:val="000000" w:themeColor="text1"/>
          <w:szCs w:val="20"/>
          <w:u w:val="none"/>
        </w:rPr>
        <w:t>,</w:t>
      </w:r>
      <w:r w:rsidDel="00DE7F94">
        <w:rPr>
          <w:rStyle w:val="Hyperlink"/>
          <w:rFonts w:cs="Arial"/>
          <w:color w:val="000000" w:themeColor="text1"/>
          <w:szCs w:val="20"/>
          <w:u w:val="none"/>
        </w:rPr>
        <w:t xml:space="preserve"> </w:t>
      </w:r>
      <w:hyperlink r:id="rId84" w:history="1">
        <w:r w:rsidRPr="00986FBF">
          <w:rPr>
            <w:rStyle w:val="Hyperlink"/>
            <w:rFonts w:cs="Arial"/>
            <w:szCs w:val="20"/>
          </w:rPr>
          <w:t>http://www.cleanenergyregulator.gov.au/About/Pages/News%20and%20updates/NewsItem.aspx?ListId=19b4efbb-6f5d-4637-94c4-121c1f96fcfe&amp;ItemId=440</w:t>
        </w:r>
      </w:hyperlink>
      <w:r w:rsidR="00AB6526">
        <w:rPr>
          <w:rStyle w:val="Hyperlink"/>
          <w:rFonts w:cs="Arial"/>
          <w:szCs w:val="20"/>
          <w:u w:val="none"/>
        </w:rPr>
        <w:t>.</w:t>
      </w:r>
      <w:r w:rsidRPr="00986FBF">
        <w:rPr>
          <w:rStyle w:val="Hyperlink"/>
          <w:rFonts w:cs="Arial"/>
          <w:color w:val="000000" w:themeColor="text1"/>
          <w:szCs w:val="20"/>
        </w:rPr>
        <w:t xml:space="preserve"> </w:t>
      </w:r>
    </w:p>
    <w:p w14:paraId="13EFFBD4" w14:textId="30650C52" w:rsidR="00FE3F8C" w:rsidRPr="00321AD2" w:rsidRDefault="00FE3F8C" w:rsidP="00FE3F8C">
      <w:r w:rsidRPr="00327F4C" w:rsidDel="005505B5">
        <w:rPr>
          <w:rFonts w:eastAsia="Times New Roman" w:cs="Arial"/>
          <w:b/>
          <w:color w:val="000000" w:themeColor="text1"/>
          <w:szCs w:val="20"/>
          <w:lang w:eastAsia="en-AU"/>
        </w:rPr>
        <w:t xml:space="preserve">CER </w:t>
      </w:r>
      <w:r w:rsidRPr="00327F4C">
        <w:rPr>
          <w:rFonts w:eastAsia="Times New Roman" w:cs="Arial"/>
          <w:b/>
          <w:color w:val="000000" w:themeColor="text1"/>
          <w:szCs w:val="20"/>
          <w:lang w:eastAsia="en-AU"/>
        </w:rPr>
        <w:t>2017</w:t>
      </w:r>
      <w:r w:rsidR="00C971C2">
        <w:rPr>
          <w:rFonts w:eastAsia="Times New Roman" w:cs="Arial"/>
          <w:b/>
          <w:color w:val="000000" w:themeColor="text1"/>
          <w:szCs w:val="20"/>
          <w:lang w:eastAsia="en-AU"/>
        </w:rPr>
        <w:t>d</w:t>
      </w:r>
      <w:r w:rsidRPr="00986FBF">
        <w:rPr>
          <w:rFonts w:eastAsia="Times New Roman" w:cs="Arial"/>
          <w:bCs/>
          <w:color w:val="000000" w:themeColor="text1"/>
          <w:szCs w:val="20"/>
          <w:lang w:eastAsia="en-AU"/>
        </w:rPr>
        <w:t xml:space="preserve">, </w:t>
      </w:r>
      <w:r w:rsidRPr="00986FBF">
        <w:rPr>
          <w:rFonts w:eastAsia="Times New Roman" w:cs="Arial"/>
          <w:bCs/>
          <w:i/>
          <w:color w:val="000000" w:themeColor="text1"/>
          <w:szCs w:val="20"/>
          <w:lang w:eastAsia="en-AU"/>
        </w:rPr>
        <w:t>Delivery failure</w:t>
      </w:r>
      <w:r w:rsidRPr="00986FBF">
        <w:rPr>
          <w:rFonts w:eastAsia="Times New Roman" w:cs="Arial"/>
          <w:bCs/>
          <w:color w:val="000000" w:themeColor="text1"/>
          <w:szCs w:val="20"/>
          <w:lang w:eastAsia="en-AU"/>
        </w:rPr>
        <w:t>, viewed 8 September 2020</w:t>
      </w:r>
      <w:r w:rsidR="00DE7F94" w:rsidRPr="00986FBF">
        <w:rPr>
          <w:rFonts w:eastAsia="Times New Roman" w:cs="Arial"/>
          <w:b/>
          <w:bCs/>
          <w:color w:val="000000" w:themeColor="text1"/>
          <w:szCs w:val="20"/>
          <w:lang w:eastAsia="en-AU"/>
        </w:rPr>
        <w:t>,</w:t>
      </w:r>
      <w:r w:rsidDel="00DE7F94">
        <w:rPr>
          <w:rFonts w:eastAsia="Times New Roman" w:cs="Arial"/>
          <w:b/>
          <w:color w:val="000000" w:themeColor="text1"/>
          <w:szCs w:val="20"/>
          <w:lang w:eastAsia="en-AU"/>
        </w:rPr>
        <w:t xml:space="preserve"> </w:t>
      </w:r>
      <w:hyperlink r:id="rId85" w:history="1">
        <w:r>
          <w:rPr>
            <w:rStyle w:val="Hyperlink"/>
          </w:rPr>
          <w:t>http://www.cleanenergyregulator.gov.au/ERF/Want-to-participate-in-the-Emissions-Reduction-Fund/Step-4-Delivery-and-payment/managing-a-contract/delivery-failure</w:t>
        </w:r>
      </w:hyperlink>
      <w:r w:rsidR="00321AD2">
        <w:rPr>
          <w:rStyle w:val="Hyperlink"/>
          <w:u w:val="none"/>
        </w:rPr>
        <w:t>.</w:t>
      </w:r>
    </w:p>
    <w:p w14:paraId="41445A82" w14:textId="08723438" w:rsidR="00CE7EF8" w:rsidRPr="00CE7EF8" w:rsidRDefault="00FE3F8C" w:rsidP="00FE3F8C">
      <w:pPr>
        <w:tabs>
          <w:tab w:val="left" w:pos="2230"/>
        </w:tabs>
        <w:rPr>
          <w:rStyle w:val="Hyperlink"/>
          <w:rFonts w:cs="Arial"/>
          <w:color w:val="000000" w:themeColor="text1"/>
          <w:szCs w:val="20"/>
          <w:u w:val="none"/>
        </w:rPr>
      </w:pPr>
      <w:r w:rsidRPr="0057731E">
        <w:rPr>
          <w:rStyle w:val="Hyperlink"/>
          <w:rFonts w:cs="Arial"/>
          <w:b/>
          <w:color w:val="000000" w:themeColor="text1"/>
          <w:szCs w:val="20"/>
          <w:u w:val="none"/>
        </w:rPr>
        <w:t>CER 2016</w:t>
      </w:r>
      <w:r w:rsidRPr="00986FBF">
        <w:rPr>
          <w:rStyle w:val="Hyperlink"/>
          <w:rFonts w:cs="Arial"/>
          <w:color w:val="000000" w:themeColor="text1"/>
          <w:szCs w:val="20"/>
          <w:u w:val="none"/>
        </w:rPr>
        <w:t xml:space="preserve">, </w:t>
      </w:r>
      <w:r w:rsidRPr="00986FBF">
        <w:rPr>
          <w:rStyle w:val="Hyperlink"/>
          <w:rFonts w:cs="Arial"/>
          <w:i/>
          <w:color w:val="000000" w:themeColor="text1"/>
          <w:szCs w:val="20"/>
          <w:u w:val="none"/>
        </w:rPr>
        <w:t>Method variations</w:t>
      </w:r>
      <w:r w:rsidRPr="00986FBF">
        <w:rPr>
          <w:rStyle w:val="Hyperlink"/>
          <w:rFonts w:cs="Arial"/>
          <w:color w:val="000000" w:themeColor="text1"/>
          <w:szCs w:val="20"/>
          <w:u w:val="none"/>
        </w:rPr>
        <w:t>, viewed 18 September 2020</w:t>
      </w:r>
      <w:r w:rsidR="00DE7F94" w:rsidRPr="00986FBF">
        <w:rPr>
          <w:rStyle w:val="Hyperlink"/>
          <w:rFonts w:cs="Arial"/>
          <w:color w:val="000000" w:themeColor="text1"/>
          <w:szCs w:val="20"/>
          <w:u w:val="none"/>
        </w:rPr>
        <w:t>,</w:t>
      </w:r>
      <w:r w:rsidR="00AB6526">
        <w:rPr>
          <w:rStyle w:val="Hyperlink"/>
          <w:rFonts w:cs="Arial"/>
          <w:color w:val="000000" w:themeColor="text1"/>
          <w:szCs w:val="20"/>
          <w:u w:val="none"/>
        </w:rPr>
        <w:t xml:space="preserve"> </w:t>
      </w:r>
      <w:hyperlink r:id="rId86" w:history="1">
        <w:r w:rsidR="00CE7EF8" w:rsidRPr="00BE043C">
          <w:rPr>
            <w:rStyle w:val="Hyperlink"/>
            <w:rFonts w:cs="Arial"/>
            <w:szCs w:val="20"/>
          </w:rPr>
          <w:t>http://www.cleanenergyregulator.gov.au/ERF/Want-to-participate-in-the-Emissions-Reduction-Fund/Planning-a-project/method-variations</w:t>
        </w:r>
      </w:hyperlink>
      <w:r w:rsidR="00CE7EF8">
        <w:rPr>
          <w:rStyle w:val="Hyperlink"/>
          <w:rFonts w:cs="Arial"/>
          <w:color w:val="000000" w:themeColor="text1"/>
          <w:szCs w:val="20"/>
          <w:u w:val="none"/>
        </w:rPr>
        <w:t>.</w:t>
      </w:r>
    </w:p>
    <w:p w14:paraId="2B9DAB17" w14:textId="1D646AE7" w:rsidR="003578EE" w:rsidRPr="00986FBF" w:rsidRDefault="003578EE" w:rsidP="003578EE">
      <w:pPr>
        <w:rPr>
          <w:rStyle w:val="Hyperlink"/>
          <w:rFonts w:cs="Arial"/>
          <w:color w:val="000000" w:themeColor="text1"/>
          <w:szCs w:val="20"/>
        </w:rPr>
      </w:pPr>
      <w:r w:rsidRPr="009B65DB">
        <w:rPr>
          <w:rStyle w:val="Hyperlink"/>
          <w:rFonts w:cs="Arial"/>
          <w:b/>
          <w:color w:val="000000" w:themeColor="text1"/>
          <w:szCs w:val="20"/>
          <w:u w:val="none"/>
        </w:rPr>
        <w:t>CER 2015</w:t>
      </w:r>
      <w:r>
        <w:rPr>
          <w:rStyle w:val="Hyperlink"/>
          <w:rFonts w:cs="Arial"/>
          <w:b/>
          <w:color w:val="000000" w:themeColor="text1"/>
          <w:szCs w:val="20"/>
          <w:u w:val="none"/>
        </w:rPr>
        <w:t>a</w:t>
      </w:r>
      <w:r w:rsidRPr="00986FBF">
        <w:rPr>
          <w:rStyle w:val="Hyperlink"/>
          <w:rFonts w:cs="Arial"/>
          <w:color w:val="000000" w:themeColor="text1"/>
          <w:szCs w:val="20"/>
          <w:u w:val="none"/>
        </w:rPr>
        <w:t xml:space="preserve">, </w:t>
      </w:r>
      <w:r w:rsidRPr="00986FBF">
        <w:rPr>
          <w:rStyle w:val="Hyperlink"/>
          <w:rFonts w:cs="Arial"/>
          <w:i/>
          <w:color w:val="000000" w:themeColor="text1"/>
          <w:szCs w:val="20"/>
          <w:u w:val="none"/>
        </w:rPr>
        <w:t>About the mechanism, 11 May 2015,</w:t>
      </w:r>
      <w:r w:rsidRPr="00986FBF">
        <w:rPr>
          <w:rStyle w:val="Hyperlink"/>
          <w:rFonts w:cs="Arial"/>
          <w:color w:val="000000" w:themeColor="text1"/>
          <w:szCs w:val="20"/>
          <w:u w:val="none"/>
        </w:rPr>
        <w:t xml:space="preserve"> viewed 7 September 2020, </w:t>
      </w:r>
      <w:hyperlink r:id="rId87" w:history="1">
        <w:r w:rsidRPr="00986FBF">
          <w:rPr>
            <w:rStyle w:val="Hyperlink"/>
            <w:rFonts w:cs="Arial"/>
            <w:szCs w:val="20"/>
          </w:rPr>
          <w:t>http://www.cleanenergyregulator.gov.au/Infohub/CPM/About-the-mechanism</w:t>
        </w:r>
      </w:hyperlink>
      <w:r w:rsidRPr="00986FBF">
        <w:rPr>
          <w:rStyle w:val="Hyperlink"/>
          <w:rFonts w:cs="Arial"/>
          <w:color w:val="000000" w:themeColor="text1"/>
          <w:szCs w:val="20"/>
          <w:u w:val="none"/>
        </w:rPr>
        <w:t>.</w:t>
      </w:r>
    </w:p>
    <w:p w14:paraId="482F7A08" w14:textId="06DF0A2B" w:rsidR="00FE3F8C" w:rsidRPr="00986FBF" w:rsidRDefault="00FE3F8C" w:rsidP="00FE3F8C">
      <w:pPr>
        <w:rPr>
          <w:rStyle w:val="Hyperlink"/>
          <w:rFonts w:cs="Arial"/>
          <w:color w:val="000000" w:themeColor="text1"/>
          <w:szCs w:val="20"/>
        </w:rPr>
      </w:pPr>
      <w:r w:rsidRPr="0057731E">
        <w:rPr>
          <w:rStyle w:val="Hyperlink"/>
          <w:rFonts w:eastAsia="Times New Roman" w:cs="Arial"/>
          <w:b/>
          <w:color w:val="000000" w:themeColor="text1"/>
          <w:szCs w:val="20"/>
          <w:u w:val="none"/>
          <w:lang w:eastAsia="en-AU"/>
        </w:rPr>
        <w:t xml:space="preserve">CER </w:t>
      </w:r>
      <w:r w:rsidRPr="00986FBF">
        <w:rPr>
          <w:rStyle w:val="Hyperlink"/>
          <w:rFonts w:eastAsia="Times New Roman" w:cs="Arial"/>
          <w:color w:val="000000" w:themeColor="text1"/>
          <w:szCs w:val="20"/>
          <w:u w:val="none"/>
          <w:lang w:eastAsia="en-AU"/>
        </w:rPr>
        <w:t xml:space="preserve">, </w:t>
      </w:r>
      <w:r w:rsidRPr="00986FBF">
        <w:rPr>
          <w:rStyle w:val="Hyperlink"/>
          <w:rFonts w:eastAsia="Times New Roman" w:cs="Arial"/>
          <w:i/>
          <w:color w:val="000000" w:themeColor="text1"/>
          <w:szCs w:val="20"/>
          <w:u w:val="none"/>
          <w:lang w:eastAsia="en-AU"/>
        </w:rPr>
        <w:t>Carbon Abatement Contract, Code of Common Terms, Version 2.0 of 21 August 2015</w:t>
      </w:r>
      <w:r w:rsidRPr="00986FBF">
        <w:rPr>
          <w:rStyle w:val="Hyperlink"/>
          <w:rFonts w:eastAsia="Times New Roman" w:cs="Arial"/>
          <w:color w:val="000000" w:themeColor="text1"/>
          <w:szCs w:val="20"/>
          <w:u w:val="none"/>
          <w:lang w:eastAsia="en-AU"/>
        </w:rPr>
        <w:t>, viewed 3 S</w:t>
      </w:r>
      <w:r w:rsidRPr="00680992">
        <w:rPr>
          <w:rStyle w:val="Hyperlink"/>
          <w:rFonts w:eastAsia="Times New Roman" w:cs="Arial"/>
          <w:color w:val="000000" w:themeColor="text1"/>
          <w:szCs w:val="20"/>
          <w:u w:val="none"/>
          <w:lang w:eastAsia="en-AU"/>
        </w:rPr>
        <w:t xml:space="preserve">eptember 2020, </w:t>
      </w:r>
      <w:hyperlink r:id="rId88" w:history="1">
        <w:r w:rsidRPr="00986FBF">
          <w:rPr>
            <w:rStyle w:val="Hyperlink"/>
            <w:rFonts w:cs="Arial"/>
            <w:szCs w:val="20"/>
          </w:rPr>
          <w:t>http://www.cleanenergyregulator.gov.au/DocumentAssets/Documents/Carbon%20Abatement%20Contract%20Code%20of%20Common%20Terms%20v2.0.pdf</w:t>
        </w:r>
      </w:hyperlink>
      <w:r w:rsidRPr="00986FBF">
        <w:rPr>
          <w:rStyle w:val="Hyperlink"/>
          <w:rFonts w:cs="Arial"/>
          <w:color w:val="000000" w:themeColor="text1"/>
          <w:szCs w:val="20"/>
        </w:rPr>
        <w:t>.</w:t>
      </w:r>
    </w:p>
    <w:p w14:paraId="60696543" w14:textId="08C2AF90" w:rsidR="00FE3F8C" w:rsidRPr="00986FBF" w:rsidRDefault="00FE3F8C" w:rsidP="00FE3F8C">
      <w:pPr>
        <w:rPr>
          <w:rStyle w:val="Hyperlink"/>
          <w:rFonts w:cs="Arial"/>
          <w:color w:val="000000" w:themeColor="text1"/>
          <w:szCs w:val="20"/>
        </w:rPr>
      </w:pPr>
      <w:r w:rsidRPr="0057731E">
        <w:rPr>
          <w:rStyle w:val="Hyperlink"/>
          <w:rFonts w:eastAsia="Times New Roman" w:cs="Arial"/>
          <w:b/>
          <w:color w:val="000000" w:themeColor="text1"/>
          <w:szCs w:val="20"/>
          <w:u w:val="none"/>
          <w:lang w:eastAsia="en-AU"/>
        </w:rPr>
        <w:t>CER 2015</w:t>
      </w:r>
      <w:r w:rsidR="00BF7325">
        <w:rPr>
          <w:rStyle w:val="Hyperlink"/>
          <w:rFonts w:eastAsia="Times New Roman" w:cs="Arial"/>
          <w:b/>
          <w:color w:val="000000" w:themeColor="text1"/>
          <w:szCs w:val="20"/>
          <w:u w:val="none"/>
          <w:lang w:eastAsia="en-AU"/>
        </w:rPr>
        <w:t>c</w:t>
      </w:r>
      <w:r w:rsidRPr="00986FBF">
        <w:rPr>
          <w:rStyle w:val="Hyperlink"/>
          <w:rFonts w:eastAsia="Times New Roman" w:cs="Arial"/>
          <w:color w:val="000000" w:themeColor="text1"/>
          <w:szCs w:val="20"/>
          <w:u w:val="none"/>
          <w:lang w:eastAsia="en-AU"/>
        </w:rPr>
        <w:t xml:space="preserve">, </w:t>
      </w:r>
      <w:r w:rsidRPr="00986FBF">
        <w:rPr>
          <w:rStyle w:val="Hyperlink"/>
          <w:rFonts w:eastAsia="Times New Roman" w:cs="Arial"/>
          <w:i/>
          <w:color w:val="000000" w:themeColor="text1"/>
          <w:szCs w:val="20"/>
          <w:u w:val="none"/>
          <w:lang w:eastAsia="en-AU"/>
        </w:rPr>
        <w:t>Carbon Abatement Contract, Code of Common Terms, Version 1.0 of 11 February 2015</w:t>
      </w:r>
      <w:r w:rsidRPr="00986FBF">
        <w:rPr>
          <w:rStyle w:val="Hyperlink"/>
          <w:rFonts w:eastAsia="Times New Roman" w:cs="Arial"/>
          <w:color w:val="000000" w:themeColor="text1"/>
          <w:szCs w:val="20"/>
          <w:u w:val="none"/>
          <w:lang w:eastAsia="en-AU"/>
        </w:rPr>
        <w:t xml:space="preserve">, viewed 3 September 2020, </w:t>
      </w:r>
      <w:hyperlink r:id="rId89" w:history="1">
        <w:r w:rsidRPr="00986FBF">
          <w:rPr>
            <w:rStyle w:val="Hyperlink"/>
            <w:rFonts w:cs="Arial"/>
            <w:szCs w:val="20"/>
          </w:rPr>
          <w:t>http://www.cleanenergyregulator.gov.au/DocumentAssets/Documents/Code%20of%20Common%20Terms%20%E2%80%93%20version%201%20archived.pdf</w:t>
        </w:r>
      </w:hyperlink>
      <w:r w:rsidRPr="00986FBF">
        <w:rPr>
          <w:rStyle w:val="Hyperlink"/>
          <w:rFonts w:cs="Arial"/>
          <w:color w:val="000000" w:themeColor="text1"/>
          <w:szCs w:val="20"/>
        </w:rPr>
        <w:t>.</w:t>
      </w:r>
    </w:p>
    <w:p w14:paraId="349D8EF9" w14:textId="6FDAD1D3" w:rsidR="00FE3F8C" w:rsidRDefault="00FE3F8C" w:rsidP="00FE3F8C">
      <w:pPr>
        <w:rPr>
          <w:rStyle w:val="Hyperlink"/>
          <w:color w:val="000000" w:themeColor="text1"/>
        </w:rPr>
      </w:pPr>
      <w:r w:rsidRPr="006F0B10">
        <w:rPr>
          <w:rFonts w:eastAsia="Times New Roman" w:cs="Arial"/>
          <w:b/>
          <w:color w:val="000000" w:themeColor="text1"/>
          <w:szCs w:val="20"/>
          <w:lang w:eastAsia="en-AU"/>
        </w:rPr>
        <w:t>CER n.d.</w:t>
      </w:r>
      <w:r w:rsidR="00B011F7">
        <w:rPr>
          <w:rFonts w:eastAsia="Times New Roman" w:cs="Arial"/>
          <w:b/>
          <w:color w:val="000000" w:themeColor="text1"/>
          <w:szCs w:val="20"/>
          <w:lang w:eastAsia="en-AU"/>
        </w:rPr>
        <w:t>a</w:t>
      </w:r>
      <w:r w:rsidR="00696A0F">
        <w:rPr>
          <w:rFonts w:eastAsia="Times New Roman" w:cs="Arial"/>
          <w:b/>
          <w:color w:val="000000" w:themeColor="text1"/>
          <w:szCs w:val="20"/>
          <w:lang w:eastAsia="en-AU"/>
        </w:rPr>
        <w:t>.</w:t>
      </w:r>
      <w:r w:rsidR="00696A0F">
        <w:rPr>
          <w:rFonts w:eastAsia="Times New Roman" w:cs="Arial"/>
          <w:color w:val="000000" w:themeColor="text1"/>
          <w:szCs w:val="20"/>
          <w:lang w:eastAsia="en-AU"/>
        </w:rPr>
        <w:t>,</w:t>
      </w:r>
      <w:r w:rsidR="00696A0F">
        <w:rPr>
          <w:rFonts w:eastAsia="Times New Roman" w:cs="Arial"/>
          <w:b/>
          <w:color w:val="000000" w:themeColor="text1"/>
          <w:szCs w:val="20"/>
          <w:lang w:eastAsia="en-AU"/>
        </w:rPr>
        <w:t xml:space="preserve"> </w:t>
      </w:r>
      <w:r w:rsidRPr="00986FBF">
        <w:rPr>
          <w:rFonts w:eastAsia="Times New Roman" w:cs="Arial"/>
          <w:i/>
          <w:color w:val="000000" w:themeColor="text1"/>
          <w:szCs w:val="20"/>
          <w:lang w:eastAsia="en-AU"/>
        </w:rPr>
        <w:t>The Safeguard Mechanism, 26 October 2019,</w:t>
      </w:r>
      <w:r w:rsidRPr="00986FBF">
        <w:rPr>
          <w:rFonts w:eastAsia="Times New Roman" w:cs="Arial"/>
          <w:color w:val="000000" w:themeColor="text1"/>
          <w:szCs w:val="20"/>
          <w:lang w:eastAsia="en-AU"/>
        </w:rPr>
        <w:t xml:space="preserve"> viewed 26 June 2020, </w:t>
      </w:r>
      <w:hyperlink r:id="rId90" w:history="1">
        <w:r w:rsidRPr="00986FBF">
          <w:rPr>
            <w:rStyle w:val="Hyperlink"/>
            <w:rFonts w:cs="Arial"/>
            <w:szCs w:val="20"/>
          </w:rPr>
          <w:t>http://www.cleanenergyregulator.gov.au/NGER/The-safeguard-mechanism</w:t>
        </w:r>
      </w:hyperlink>
      <w:r w:rsidRPr="00986FBF">
        <w:rPr>
          <w:rStyle w:val="Hyperlink"/>
          <w:rFonts w:cs="Arial"/>
          <w:color w:val="000000" w:themeColor="text1"/>
          <w:szCs w:val="20"/>
        </w:rPr>
        <w:t>.</w:t>
      </w:r>
    </w:p>
    <w:p w14:paraId="1B82B2BD" w14:textId="1B756E5B" w:rsidR="00FE3F8C" w:rsidRPr="00986FBF" w:rsidRDefault="00FE3F8C" w:rsidP="00FE3F8C">
      <w:pPr>
        <w:rPr>
          <w:rStyle w:val="Hyperlink"/>
          <w:rFonts w:cs="Arial"/>
          <w:color w:val="000000" w:themeColor="text1"/>
          <w:szCs w:val="20"/>
        </w:rPr>
      </w:pPr>
      <w:r w:rsidRPr="0057731E">
        <w:rPr>
          <w:rStyle w:val="Hyperlink"/>
          <w:rFonts w:cs="Arial"/>
          <w:b/>
          <w:color w:val="000000" w:themeColor="text1"/>
          <w:szCs w:val="20"/>
          <w:u w:val="none"/>
        </w:rPr>
        <w:t>CER n.d.</w:t>
      </w:r>
      <w:r w:rsidR="009950A0">
        <w:rPr>
          <w:rStyle w:val="Hyperlink"/>
          <w:rFonts w:cs="Arial"/>
          <w:b/>
          <w:color w:val="000000" w:themeColor="text1"/>
          <w:szCs w:val="20"/>
          <w:u w:val="none"/>
        </w:rPr>
        <w:t>b</w:t>
      </w:r>
      <w:r w:rsidRPr="0057731E">
        <w:rPr>
          <w:rStyle w:val="Hyperlink"/>
          <w:rFonts w:cs="Arial"/>
          <w:b/>
          <w:color w:val="000000" w:themeColor="text1"/>
          <w:szCs w:val="20"/>
          <w:u w:val="none"/>
        </w:rPr>
        <w:t>.</w:t>
      </w:r>
      <w:r w:rsidRPr="00BB748B">
        <w:rPr>
          <w:rStyle w:val="Hyperlink"/>
          <w:rFonts w:cs="Arial"/>
          <w:color w:val="000000" w:themeColor="text1"/>
          <w:szCs w:val="20"/>
          <w:u w:val="none"/>
        </w:rPr>
        <w:t>,</w:t>
      </w:r>
      <w:r w:rsidRPr="00986FBF">
        <w:rPr>
          <w:rStyle w:val="Hyperlink"/>
          <w:rFonts w:cs="Arial"/>
          <w:color w:val="000000" w:themeColor="text1"/>
          <w:szCs w:val="20"/>
          <w:u w:val="none"/>
        </w:rPr>
        <w:t xml:space="preserve"> </w:t>
      </w:r>
      <w:r w:rsidRPr="00986FBF">
        <w:rPr>
          <w:rStyle w:val="Hyperlink"/>
          <w:rFonts w:cs="Arial"/>
          <w:i/>
          <w:color w:val="000000" w:themeColor="text1"/>
          <w:szCs w:val="20"/>
          <w:u w:val="none"/>
        </w:rPr>
        <w:t>At a glance</w:t>
      </w:r>
      <w:r w:rsidRPr="00986FBF">
        <w:rPr>
          <w:rStyle w:val="Hyperlink"/>
          <w:rFonts w:cs="Arial"/>
          <w:color w:val="000000" w:themeColor="text1"/>
          <w:szCs w:val="20"/>
          <w:u w:val="none"/>
        </w:rPr>
        <w:t xml:space="preserve">, viewed 2 September 2020, </w:t>
      </w:r>
      <w:hyperlink r:id="rId91" w:history="1">
        <w:r w:rsidRPr="00986FBF">
          <w:rPr>
            <w:rStyle w:val="Hyperlink"/>
            <w:rFonts w:cs="Arial"/>
            <w:szCs w:val="20"/>
          </w:rPr>
          <w:t>http://www.cleanenergyregulator.gov.au/csf/Pages/at-a-glance.aspx</w:t>
        </w:r>
      </w:hyperlink>
      <w:r w:rsidRPr="00986FBF">
        <w:rPr>
          <w:rStyle w:val="Hyperlink"/>
          <w:rFonts w:cs="Arial"/>
          <w:color w:val="000000" w:themeColor="text1"/>
          <w:szCs w:val="20"/>
        </w:rPr>
        <w:t>.</w:t>
      </w:r>
    </w:p>
    <w:p w14:paraId="3FA5A863" w14:textId="09B7D201" w:rsidR="00FE3F8C" w:rsidRPr="00986FBF" w:rsidRDefault="00FE3F8C" w:rsidP="00FE3F8C">
      <w:pPr>
        <w:rPr>
          <w:rFonts w:cs="Arial"/>
          <w:color w:val="000000" w:themeColor="text1"/>
          <w:szCs w:val="20"/>
        </w:rPr>
      </w:pPr>
      <w:r w:rsidRPr="00D719CC" w:rsidDel="006C7F18">
        <w:rPr>
          <w:rFonts w:cs="Arial"/>
          <w:b/>
          <w:szCs w:val="20"/>
        </w:rPr>
        <w:t>CER n.d</w:t>
      </w:r>
      <w:r w:rsidRPr="00D719CC">
        <w:rPr>
          <w:rFonts w:cs="Arial"/>
          <w:b/>
          <w:szCs w:val="20"/>
        </w:rPr>
        <w:t>.</w:t>
      </w:r>
      <w:r w:rsidR="009950A0">
        <w:rPr>
          <w:rFonts w:cs="Arial"/>
          <w:b/>
          <w:szCs w:val="20"/>
        </w:rPr>
        <w:t>c</w:t>
      </w:r>
      <w:r w:rsidRPr="00986FBF">
        <w:rPr>
          <w:rFonts w:cs="Arial"/>
          <w:szCs w:val="20"/>
        </w:rPr>
        <w:t>.</w:t>
      </w:r>
      <w:r w:rsidR="00696A0F">
        <w:rPr>
          <w:rFonts w:cs="Arial"/>
          <w:szCs w:val="20"/>
        </w:rPr>
        <w:t>,</w:t>
      </w:r>
      <w:r w:rsidRPr="00986FBF">
        <w:rPr>
          <w:rFonts w:cs="Arial"/>
          <w:szCs w:val="20"/>
        </w:rPr>
        <w:t xml:space="preserve"> </w:t>
      </w:r>
      <w:r w:rsidRPr="00986FBF">
        <w:rPr>
          <w:rFonts w:cs="Arial"/>
          <w:i/>
          <w:szCs w:val="20"/>
        </w:rPr>
        <w:t>Guidance for meeting the requirements of soil carbon land management strategies method</w:t>
      </w:r>
      <w:r w:rsidRPr="00986FBF">
        <w:rPr>
          <w:rFonts w:cs="Arial"/>
          <w:szCs w:val="20"/>
        </w:rPr>
        <w:t xml:space="preserve">, viewed 27 August 2020, </w:t>
      </w:r>
      <w:hyperlink r:id="rId92" w:history="1">
        <w:r w:rsidRPr="00986FBF">
          <w:rPr>
            <w:rStyle w:val="Hyperlink"/>
            <w:rFonts w:cs="Arial"/>
            <w:szCs w:val="20"/>
          </w:rPr>
          <w:t>http://www.cleanenergyregulator.gov.au/DocumentAssets/Documents/Guidance%20for%20meeting%20the%20requirements%20of%20soil%20carbon%20land%20management%20strategies.pdf</w:t>
        </w:r>
      </w:hyperlink>
      <w:r w:rsidRPr="00986FBF">
        <w:rPr>
          <w:rStyle w:val="Hyperlink"/>
          <w:rFonts w:cs="Arial"/>
          <w:color w:val="000000" w:themeColor="text1"/>
          <w:szCs w:val="20"/>
        </w:rPr>
        <w:t>.</w:t>
      </w:r>
    </w:p>
    <w:p w14:paraId="5139A8AB" w14:textId="77777777" w:rsidR="00FE3F8C" w:rsidRPr="00986FBF" w:rsidRDefault="00FE3F8C" w:rsidP="00FE3F8C">
      <w:pPr>
        <w:rPr>
          <w:rFonts w:cs="Arial"/>
          <w:b/>
          <w:szCs w:val="20"/>
          <w:lang w:eastAsia="en-AU"/>
        </w:rPr>
      </w:pPr>
      <w:r w:rsidRPr="009A02B4">
        <w:rPr>
          <w:rFonts w:cs="Arial"/>
          <w:b/>
          <w:szCs w:val="20"/>
          <w:lang w:eastAsia="en-AU"/>
        </w:rPr>
        <w:t>CER pers. comm. A.</w:t>
      </w:r>
      <w:r w:rsidRPr="00986FBF">
        <w:rPr>
          <w:rFonts w:cs="Arial"/>
          <w:b/>
          <w:szCs w:val="20"/>
          <w:lang w:eastAsia="en-AU"/>
        </w:rPr>
        <w:t xml:space="preserve"> </w:t>
      </w:r>
      <w:r w:rsidRPr="00986FBF">
        <w:rPr>
          <w:rFonts w:cs="Arial"/>
          <w:szCs w:val="20"/>
          <w:lang w:eastAsia="en-AU"/>
        </w:rPr>
        <w:t>Data provided.</w:t>
      </w:r>
    </w:p>
    <w:p w14:paraId="2C0885A2" w14:textId="05ED89CD" w:rsidR="00FE3F8C" w:rsidRPr="00986FBF" w:rsidRDefault="00FE3F8C" w:rsidP="00FE3F8C">
      <w:pPr>
        <w:rPr>
          <w:rFonts w:cs="Arial"/>
          <w:szCs w:val="20"/>
        </w:rPr>
      </w:pPr>
      <w:r w:rsidRPr="00CA6359">
        <w:rPr>
          <w:rFonts w:cs="Arial"/>
          <w:b/>
          <w:szCs w:val="20"/>
          <w:lang w:eastAsia="en-AU"/>
        </w:rPr>
        <w:t>Climate Change Authority (CCA) 2020</w:t>
      </w:r>
      <w:r w:rsidR="004E647C">
        <w:rPr>
          <w:rFonts w:cs="Arial"/>
          <w:b/>
          <w:szCs w:val="20"/>
          <w:lang w:eastAsia="en-AU"/>
        </w:rPr>
        <w:t>a</w:t>
      </w:r>
      <w:r w:rsidRPr="0057731E">
        <w:rPr>
          <w:rFonts w:cs="Arial"/>
          <w:szCs w:val="20"/>
          <w:lang w:eastAsia="en-AU"/>
        </w:rPr>
        <w:t>,</w:t>
      </w:r>
      <w:r w:rsidRPr="00986FBF">
        <w:rPr>
          <w:rFonts w:cs="Arial"/>
          <w:b/>
          <w:szCs w:val="20"/>
          <w:lang w:eastAsia="en-AU"/>
        </w:rPr>
        <w:t xml:space="preserve"> </w:t>
      </w:r>
      <w:r w:rsidRPr="00986FBF">
        <w:rPr>
          <w:rFonts w:cs="Arial"/>
          <w:i/>
          <w:szCs w:val="20"/>
          <w:lang w:eastAsia="en-AU"/>
        </w:rPr>
        <w:t>Prospering in a low-emissions world: An updated climate policy toolkit for Australia</w:t>
      </w:r>
      <w:r w:rsidRPr="00986FBF">
        <w:rPr>
          <w:rFonts w:cs="Arial"/>
          <w:szCs w:val="20"/>
          <w:lang w:eastAsia="en-AU"/>
        </w:rPr>
        <w:t xml:space="preserve">, viewed 8 July 2020, </w:t>
      </w:r>
      <w:hyperlink r:id="rId93" w:history="1">
        <w:r w:rsidRPr="0026445E">
          <w:rPr>
            <w:rStyle w:val="Hyperlink"/>
          </w:rPr>
          <w:t>http://climatechangeauthority.gov.au/prospering-low-emissions-world-updated-climate-policy-toolkit-australia</w:t>
        </w:r>
      </w:hyperlink>
      <w:r w:rsidRPr="0026445E">
        <w:rPr>
          <w:rStyle w:val="Hyperlink"/>
        </w:rPr>
        <w:t>.</w:t>
      </w:r>
      <w:r w:rsidRPr="00986FBF">
        <w:rPr>
          <w:rFonts w:cs="Arial"/>
          <w:szCs w:val="20"/>
        </w:rPr>
        <w:t xml:space="preserve"> </w:t>
      </w:r>
    </w:p>
    <w:p w14:paraId="2FBE4458" w14:textId="5CD02599" w:rsidR="0005289F" w:rsidRDefault="0005289F" w:rsidP="00FE3F8C">
      <w:r w:rsidRPr="0057731E">
        <w:rPr>
          <w:rFonts w:cs="Arial"/>
          <w:b/>
          <w:szCs w:val="20"/>
        </w:rPr>
        <w:t>CCA 2020b</w:t>
      </w:r>
      <w:r w:rsidRPr="00986FBF">
        <w:rPr>
          <w:rFonts w:cs="Arial"/>
          <w:szCs w:val="20"/>
        </w:rPr>
        <w:t xml:space="preserve">, </w:t>
      </w:r>
      <w:r>
        <w:rPr>
          <w:rStyle w:val="Emphasis"/>
          <w:rFonts w:cs="Arial"/>
          <w:lang w:val="en"/>
        </w:rPr>
        <w:t xml:space="preserve">Economic recovery, resilience and prosperity after the coronavirus, </w:t>
      </w:r>
      <w:r>
        <w:rPr>
          <w:rStyle w:val="Emphasis"/>
          <w:rFonts w:cs="Arial"/>
          <w:i w:val="0"/>
          <w:lang w:val="en"/>
        </w:rPr>
        <w:t xml:space="preserve">viewed </w:t>
      </w:r>
      <w:r w:rsidR="00986FBF">
        <w:rPr>
          <w:rFonts w:eastAsia="Times New Roman" w:cs="Arial"/>
          <w:iCs/>
          <w:color w:val="000000" w:themeColor="text1"/>
          <w:szCs w:val="20"/>
          <w:lang w:eastAsia="en-AU"/>
        </w:rPr>
        <w:t>1 October 2020,</w:t>
      </w:r>
      <w:r w:rsidR="00986FBF" w:rsidRPr="00986FBF">
        <w:rPr>
          <w:rFonts w:eastAsia="Times New Roman" w:cs="Arial"/>
          <w:iCs/>
          <w:color w:val="000000" w:themeColor="text1"/>
          <w:szCs w:val="20"/>
          <w:lang w:eastAsia="en-AU"/>
        </w:rPr>
        <w:t xml:space="preserve"> </w:t>
      </w:r>
      <w:hyperlink r:id="rId94" w:history="1">
        <w:r>
          <w:rPr>
            <w:rStyle w:val="Hyperlink"/>
          </w:rPr>
          <w:t>https://www.climatechangeauthority.gov.au/publications/economic-recovery-resilience-and-prosperity-after-coronavirus</w:t>
        </w:r>
      </w:hyperlink>
      <w:r w:rsidR="00F71E1F">
        <w:t>.</w:t>
      </w:r>
    </w:p>
    <w:p w14:paraId="058EAE9B" w14:textId="383F5379" w:rsidR="00CE7EF8" w:rsidRDefault="001E3C5B" w:rsidP="00FE3F8C">
      <w:pPr>
        <w:rPr>
          <w:rFonts w:cs="Arial"/>
        </w:rPr>
      </w:pPr>
      <w:r w:rsidRPr="0057731E">
        <w:rPr>
          <w:rFonts w:cs="Arial"/>
          <w:b/>
        </w:rPr>
        <w:t>CCA 2018</w:t>
      </w:r>
      <w:r w:rsidR="000C2A85">
        <w:rPr>
          <w:rFonts w:cs="Arial"/>
        </w:rPr>
        <w:t xml:space="preserve">, </w:t>
      </w:r>
      <w:r w:rsidR="000C2A85">
        <w:rPr>
          <w:rFonts w:cs="Arial"/>
          <w:i/>
        </w:rPr>
        <w:t>Reaping the Rewards: a research report</w:t>
      </w:r>
      <w:r w:rsidR="000C2A85">
        <w:rPr>
          <w:rFonts w:cs="Arial"/>
        </w:rPr>
        <w:t xml:space="preserve">, viewed </w:t>
      </w:r>
      <w:r w:rsidR="00AC04B7">
        <w:rPr>
          <w:rFonts w:cs="Arial"/>
        </w:rPr>
        <w:t>1 October 2020,</w:t>
      </w:r>
      <w:r w:rsidR="000C2A85">
        <w:rPr>
          <w:rFonts w:cs="Arial"/>
        </w:rPr>
        <w:t xml:space="preserve"> </w:t>
      </w:r>
      <w:hyperlink r:id="rId95" w:history="1">
        <w:r w:rsidR="00CE7EF8" w:rsidRPr="00BE043C">
          <w:rPr>
            <w:rStyle w:val="Hyperlink"/>
            <w:rFonts w:cs="Arial"/>
          </w:rPr>
          <w:t>https://www.climatechangeauthority.gov.au/publications/reaping-rewards-research-report</w:t>
        </w:r>
      </w:hyperlink>
      <w:r w:rsidR="00CE7EF8">
        <w:rPr>
          <w:rFonts w:cs="Arial"/>
        </w:rPr>
        <w:t>.</w:t>
      </w:r>
    </w:p>
    <w:p w14:paraId="5DFB65B3" w14:textId="6D91519C" w:rsidR="00FE3F8C" w:rsidRPr="00986FBF" w:rsidRDefault="00FE3F8C" w:rsidP="00FE3F8C">
      <w:pPr>
        <w:rPr>
          <w:rFonts w:cs="Arial"/>
          <w:szCs w:val="20"/>
          <w:lang w:eastAsia="en-AU"/>
        </w:rPr>
      </w:pPr>
      <w:r w:rsidRPr="005E1241">
        <w:rPr>
          <w:rFonts w:cs="Arial"/>
          <w:b/>
          <w:szCs w:val="20"/>
          <w:lang w:eastAsia="en-AU"/>
        </w:rPr>
        <w:t>CCA 2017a</w:t>
      </w:r>
      <w:r w:rsidRPr="00986FBF">
        <w:rPr>
          <w:rFonts w:cs="Arial"/>
          <w:bCs/>
          <w:szCs w:val="20"/>
          <w:lang w:eastAsia="en-AU"/>
        </w:rPr>
        <w:t>,</w:t>
      </w:r>
      <w:r w:rsidRPr="00986FBF">
        <w:rPr>
          <w:rFonts w:cs="Arial"/>
          <w:b/>
          <w:bCs/>
          <w:szCs w:val="20"/>
          <w:lang w:eastAsia="en-AU"/>
        </w:rPr>
        <w:t xml:space="preserve"> </w:t>
      </w:r>
      <w:r w:rsidRPr="00986FBF">
        <w:rPr>
          <w:rFonts w:cs="Arial"/>
          <w:i/>
          <w:szCs w:val="20"/>
          <w:lang w:eastAsia="en-AU"/>
        </w:rPr>
        <w:t>Review of the Emissions Reduction Fund, December 2017</w:t>
      </w:r>
      <w:r w:rsidRPr="00986FBF">
        <w:rPr>
          <w:rFonts w:cs="Arial"/>
          <w:szCs w:val="20"/>
          <w:lang w:eastAsia="en-AU"/>
        </w:rPr>
        <w:t xml:space="preserve">, viewed 8 July 2020, </w:t>
      </w:r>
      <w:hyperlink r:id="rId96" w:history="1">
        <w:r w:rsidRPr="00986FBF">
          <w:rPr>
            <w:rStyle w:val="Hyperlink"/>
            <w:rFonts w:cs="Arial"/>
            <w:szCs w:val="20"/>
            <w:lang w:eastAsia="en-AU"/>
          </w:rPr>
          <w:t>https://www.climatechangeauthority.gov.au/sites/default/files/2020-06/CFI%202017%20December/ERF%20Review%20Report.pdf</w:t>
        </w:r>
      </w:hyperlink>
      <w:r w:rsidR="00A706D6" w:rsidRPr="00986FBF">
        <w:rPr>
          <w:rStyle w:val="Hyperlink"/>
          <w:rFonts w:cs="Arial"/>
          <w:szCs w:val="20"/>
          <w:u w:val="none"/>
          <w:lang w:eastAsia="en-AU"/>
        </w:rPr>
        <w:t>.</w:t>
      </w:r>
    </w:p>
    <w:p w14:paraId="107979AB" w14:textId="188C4094" w:rsidR="00FE3F8C" w:rsidRPr="00986FBF" w:rsidRDefault="00FE3F8C" w:rsidP="00FE3F8C">
      <w:pPr>
        <w:rPr>
          <w:rFonts w:cs="Arial"/>
          <w:szCs w:val="20"/>
          <w:lang w:eastAsia="en-AU"/>
        </w:rPr>
      </w:pPr>
      <w:r w:rsidRPr="004E647C">
        <w:rPr>
          <w:rFonts w:cs="Arial"/>
          <w:b/>
          <w:szCs w:val="20"/>
          <w:lang w:eastAsia="en-AU"/>
        </w:rPr>
        <w:t>CCA 2017b</w:t>
      </w:r>
      <w:r w:rsidRPr="00986FBF">
        <w:rPr>
          <w:rFonts w:cs="Arial"/>
          <w:bCs/>
          <w:szCs w:val="20"/>
          <w:lang w:eastAsia="en-AU"/>
        </w:rPr>
        <w:t>,</w:t>
      </w:r>
      <w:r w:rsidRPr="00986FBF">
        <w:rPr>
          <w:rFonts w:cs="Arial"/>
          <w:b/>
          <w:bCs/>
          <w:szCs w:val="20"/>
          <w:lang w:eastAsia="en-AU"/>
        </w:rPr>
        <w:t xml:space="preserve"> </w:t>
      </w:r>
      <w:r w:rsidRPr="00986FBF">
        <w:rPr>
          <w:rFonts w:cs="Arial"/>
          <w:i/>
          <w:szCs w:val="20"/>
          <w:lang w:eastAsia="en-AU"/>
        </w:rPr>
        <w:t>Review of the Carbon Farming Initiative Legislation and the Emissions Reduction Fund, August 2017</w:t>
      </w:r>
      <w:r w:rsidR="00D05631">
        <w:rPr>
          <w:rFonts w:cs="Arial"/>
          <w:szCs w:val="20"/>
          <w:lang w:eastAsia="en-AU"/>
        </w:rPr>
        <w:t>, viewed 1 October 2020</w:t>
      </w:r>
      <w:r w:rsidRPr="00986FBF">
        <w:rPr>
          <w:rFonts w:cs="Arial"/>
          <w:szCs w:val="20"/>
          <w:lang w:eastAsia="en-AU"/>
        </w:rPr>
        <w:t xml:space="preserve">, </w:t>
      </w:r>
      <w:hyperlink r:id="rId97" w:history="1">
        <w:r w:rsidRPr="00986FBF">
          <w:rPr>
            <w:rStyle w:val="Hyperlink"/>
            <w:rFonts w:cs="Arial"/>
            <w:szCs w:val="20"/>
            <w:lang w:eastAsia="en-AU"/>
          </w:rPr>
          <w:t>https://www.climatechangeauthority.gov.au/sites/default/files/2020-06/CFI%202017%20August/CFI%202017%20Consultation%20Paper.pdf</w:t>
        </w:r>
      </w:hyperlink>
      <w:r w:rsidR="00CE7EF8">
        <w:rPr>
          <w:rStyle w:val="Hyperlink"/>
          <w:rFonts w:cs="Arial"/>
          <w:szCs w:val="20"/>
          <w:u w:val="none"/>
          <w:lang w:eastAsia="en-AU"/>
        </w:rPr>
        <w:t>.</w:t>
      </w:r>
    </w:p>
    <w:p w14:paraId="1F3D4F58" w14:textId="61E5AA3E" w:rsidR="00FE3F8C" w:rsidRPr="00986FBF" w:rsidRDefault="00FE3F8C" w:rsidP="00FE3F8C">
      <w:pPr>
        <w:rPr>
          <w:rFonts w:eastAsia="Times New Roman" w:cs="Arial"/>
          <w:color w:val="000000" w:themeColor="text1"/>
          <w:szCs w:val="20"/>
          <w:lang w:eastAsia="en-AU"/>
        </w:rPr>
      </w:pPr>
      <w:r w:rsidRPr="004E647C">
        <w:rPr>
          <w:rFonts w:eastAsia="Times New Roman" w:cs="Arial"/>
          <w:b/>
          <w:color w:val="000000" w:themeColor="text1"/>
          <w:szCs w:val="20"/>
          <w:lang w:eastAsia="en-AU"/>
        </w:rPr>
        <w:t>CCA 2016</w:t>
      </w:r>
      <w:r w:rsidRPr="00986FBF">
        <w:rPr>
          <w:rFonts w:eastAsia="Times New Roman" w:cs="Arial"/>
          <w:color w:val="000000" w:themeColor="text1"/>
          <w:szCs w:val="20"/>
          <w:lang w:eastAsia="en-AU"/>
        </w:rPr>
        <w:t xml:space="preserve">, </w:t>
      </w:r>
      <w:r w:rsidRPr="00986FBF">
        <w:rPr>
          <w:rFonts w:eastAsia="Times New Roman" w:cs="Arial"/>
          <w:i/>
          <w:iCs/>
          <w:color w:val="000000" w:themeColor="text1"/>
          <w:szCs w:val="20"/>
          <w:lang w:eastAsia="en-AU"/>
        </w:rPr>
        <w:t>Towards a Climate Policy Toolkit: Special Review of Australia's Climate Goals and Policies, August 2016</w:t>
      </w:r>
      <w:r w:rsidRPr="00986FBF">
        <w:rPr>
          <w:rFonts w:eastAsia="Times New Roman" w:cs="Arial"/>
          <w:color w:val="000000" w:themeColor="text1"/>
          <w:szCs w:val="20"/>
          <w:lang w:eastAsia="en-AU"/>
        </w:rPr>
        <w:t xml:space="preserve">, viewed </w:t>
      </w:r>
      <w:r w:rsidR="00986FBF">
        <w:rPr>
          <w:rFonts w:eastAsia="Times New Roman" w:cs="Arial"/>
          <w:iCs/>
          <w:color w:val="000000" w:themeColor="text1"/>
          <w:szCs w:val="20"/>
          <w:lang w:eastAsia="en-AU"/>
        </w:rPr>
        <w:t>1 October 2020,</w:t>
      </w:r>
      <w:r w:rsidR="00986FBF" w:rsidRPr="00986FBF">
        <w:rPr>
          <w:rFonts w:eastAsia="Times New Roman" w:cs="Arial"/>
          <w:iCs/>
          <w:color w:val="000000" w:themeColor="text1"/>
          <w:szCs w:val="20"/>
          <w:lang w:eastAsia="en-AU"/>
        </w:rPr>
        <w:t xml:space="preserve"> </w:t>
      </w:r>
      <w:hyperlink r:id="rId98" w:history="1">
        <w:r w:rsidRPr="00986FBF">
          <w:rPr>
            <w:rStyle w:val="Hyperlink"/>
            <w:rFonts w:eastAsia="Times New Roman" w:cs="Arial"/>
            <w:szCs w:val="20"/>
            <w:lang w:eastAsia="en-AU"/>
          </w:rPr>
          <w:t>https://www.climatechangeauthority.gov.au/sites/default/files/2020-06/Special%20review%20Report%203/Climate%20Change%20Authority%20Special%20Review%20Report%20Three.pdf</w:t>
        </w:r>
      </w:hyperlink>
      <w:r w:rsidRPr="00986FBF">
        <w:rPr>
          <w:rFonts w:eastAsia="Times New Roman" w:cs="Arial"/>
          <w:color w:val="000000" w:themeColor="text1"/>
          <w:szCs w:val="20"/>
          <w:lang w:eastAsia="en-AU"/>
        </w:rPr>
        <w:t>.</w:t>
      </w:r>
    </w:p>
    <w:p w14:paraId="7E0660D5" w14:textId="4C5C86B8" w:rsidR="00FE3F8C" w:rsidRDefault="00FE3F8C" w:rsidP="00FE3F8C">
      <w:pPr>
        <w:rPr>
          <w:rFonts w:cs="Arial"/>
          <w:szCs w:val="20"/>
        </w:rPr>
      </w:pPr>
      <w:r w:rsidRPr="00EE4342">
        <w:rPr>
          <w:rFonts w:cs="Arial"/>
          <w:b/>
          <w:szCs w:val="20"/>
        </w:rPr>
        <w:t>T</w:t>
      </w:r>
      <w:r w:rsidRPr="00F94E82">
        <w:rPr>
          <w:rFonts w:cs="Arial"/>
          <w:b/>
          <w:szCs w:val="20"/>
        </w:rPr>
        <w:t xml:space="preserve">he </w:t>
      </w:r>
      <w:r w:rsidRPr="00986FBF">
        <w:rPr>
          <w:rFonts w:cs="Arial"/>
          <w:b/>
          <w:szCs w:val="20"/>
        </w:rPr>
        <w:t xml:space="preserve">Commonwealth Scientific and Industrial Research Organisation </w:t>
      </w:r>
      <w:r w:rsidRPr="00075F68">
        <w:rPr>
          <w:rFonts w:cs="Arial"/>
          <w:b/>
          <w:szCs w:val="20"/>
        </w:rPr>
        <w:t>(</w:t>
      </w:r>
      <w:r w:rsidRPr="00B6690D">
        <w:rPr>
          <w:rFonts w:cs="Arial"/>
          <w:b/>
          <w:szCs w:val="20"/>
        </w:rPr>
        <w:t>CSIRO) 2020</w:t>
      </w:r>
      <w:r w:rsidRPr="00986FBF">
        <w:rPr>
          <w:rFonts w:cs="Arial"/>
          <w:szCs w:val="20"/>
        </w:rPr>
        <w:t xml:space="preserve">, </w:t>
      </w:r>
      <w:r w:rsidRPr="00986FBF">
        <w:rPr>
          <w:rFonts w:cs="Arial"/>
          <w:i/>
          <w:szCs w:val="20"/>
        </w:rPr>
        <w:t>Technical review of physical risks to carbon sequestration under the Emissions Reduction Fund (ERF)</w:t>
      </w:r>
      <w:r w:rsidRPr="00986FBF">
        <w:rPr>
          <w:rFonts w:cs="Arial"/>
          <w:szCs w:val="20"/>
        </w:rPr>
        <w:t xml:space="preserve">, </w:t>
      </w:r>
      <w:r w:rsidR="00A85E99">
        <w:rPr>
          <w:rFonts w:cs="Arial"/>
          <w:szCs w:val="20"/>
        </w:rPr>
        <w:t xml:space="preserve">Published on the Climate Change Authority website </w:t>
      </w:r>
      <w:hyperlink r:id="rId99" w:history="1">
        <w:r w:rsidR="00A85E99" w:rsidRPr="0061243E">
          <w:rPr>
            <w:rStyle w:val="Hyperlink"/>
            <w:rFonts w:cs="Arial"/>
            <w:szCs w:val="20"/>
          </w:rPr>
          <w:t>https://www.climatechangeauthority.gov.au/</w:t>
        </w:r>
      </w:hyperlink>
      <w:r w:rsidR="00A85E99">
        <w:rPr>
          <w:rFonts w:cs="Arial"/>
          <w:szCs w:val="20"/>
        </w:rPr>
        <w:t>.</w:t>
      </w:r>
      <w:r>
        <w:rPr>
          <w:rFonts w:cs="Arial"/>
          <w:szCs w:val="20"/>
        </w:rPr>
        <w:t xml:space="preserve"> </w:t>
      </w:r>
    </w:p>
    <w:p w14:paraId="28EEDE69" w14:textId="4FB6B01B" w:rsidR="004E647C" w:rsidRDefault="004E647C" w:rsidP="00FE3F8C">
      <w:pPr>
        <w:rPr>
          <w:rFonts w:cs="Arial"/>
          <w:szCs w:val="20"/>
        </w:rPr>
      </w:pPr>
      <w:r w:rsidRPr="004625F9">
        <w:rPr>
          <w:rFonts w:eastAsia="Calibri" w:cs="Arial"/>
          <w:b/>
          <w:szCs w:val="20"/>
        </w:rPr>
        <w:t>CSIRO</w:t>
      </w:r>
      <w:r w:rsidRPr="004625F9">
        <w:rPr>
          <w:rFonts w:eastAsia="Calibri" w:cs="Arial"/>
          <w:szCs w:val="20"/>
        </w:rPr>
        <w:t xml:space="preserve"> and </w:t>
      </w:r>
      <w:r w:rsidRPr="00071120">
        <w:rPr>
          <w:rFonts w:eastAsia="Calibri" w:cs="Arial"/>
          <w:b/>
          <w:szCs w:val="20"/>
        </w:rPr>
        <w:t>Bureau of Meteorology (BOM) 2015</w:t>
      </w:r>
      <w:r w:rsidRPr="00986FBF">
        <w:rPr>
          <w:rFonts w:eastAsia="Calibri" w:cs="Arial"/>
          <w:szCs w:val="20"/>
        </w:rPr>
        <w:t xml:space="preserve">, viewed 7 September 2020, </w:t>
      </w:r>
      <w:hyperlink r:id="rId100" w:history="1">
        <w:r w:rsidRPr="00986FBF">
          <w:rPr>
            <w:rStyle w:val="Hyperlink"/>
            <w:rFonts w:eastAsia="Calibri" w:cs="Arial"/>
            <w:szCs w:val="20"/>
          </w:rPr>
          <w:t>https://www.climatechangeinaustralia.gov.au/en/</w:t>
        </w:r>
      </w:hyperlink>
      <w:r w:rsidRPr="00986FBF">
        <w:rPr>
          <w:rFonts w:eastAsia="Calibri" w:cs="Arial"/>
          <w:szCs w:val="20"/>
        </w:rPr>
        <w:t>.</w:t>
      </w:r>
    </w:p>
    <w:p w14:paraId="55BDD9D1" w14:textId="1452A74E" w:rsidR="00FE3F8C" w:rsidRPr="00986FBF" w:rsidRDefault="00FE3F8C" w:rsidP="00FE3F8C">
      <w:pPr>
        <w:rPr>
          <w:rFonts w:cs="Arial"/>
          <w:szCs w:val="20"/>
        </w:rPr>
      </w:pPr>
      <w:r w:rsidRPr="00022AA4">
        <w:rPr>
          <w:rFonts w:cs="Arial"/>
          <w:b/>
          <w:szCs w:val="20"/>
        </w:rPr>
        <w:t>CSIRO 2009</w:t>
      </w:r>
      <w:r w:rsidRPr="004A369F">
        <w:rPr>
          <w:rStyle w:val="Hyperlink"/>
          <w:rFonts w:cs="Arial"/>
          <w:color w:val="auto"/>
          <w:szCs w:val="20"/>
          <w:u w:val="none"/>
        </w:rPr>
        <w:t xml:space="preserve">, </w:t>
      </w:r>
      <w:r w:rsidRPr="00986FBF">
        <w:rPr>
          <w:rFonts w:cs="Arial"/>
          <w:bCs/>
          <w:i/>
          <w:color w:val="333333"/>
          <w:szCs w:val="20"/>
          <w:lang w:val="en"/>
        </w:rPr>
        <w:t xml:space="preserve">An Analysis of greenhouse gas mitigation and carbon biosequestration opportunities from rural land </w:t>
      </w:r>
      <w:r w:rsidRPr="00986FBF">
        <w:rPr>
          <w:rFonts w:cs="Arial"/>
          <w:bCs/>
          <w:color w:val="333333"/>
          <w:szCs w:val="20"/>
          <w:lang w:val="en"/>
        </w:rPr>
        <w:t xml:space="preserve">use, viewed </w:t>
      </w:r>
      <w:r w:rsidR="00986FBF">
        <w:rPr>
          <w:rFonts w:eastAsia="Times New Roman" w:cs="Arial"/>
          <w:iCs/>
          <w:color w:val="000000" w:themeColor="text1"/>
          <w:szCs w:val="20"/>
          <w:lang w:eastAsia="en-AU"/>
        </w:rPr>
        <w:t>1 October 2020,</w:t>
      </w:r>
      <w:r w:rsidR="00986FBF" w:rsidRPr="00A85E99">
        <w:rPr>
          <w:rStyle w:val="Hyperlink"/>
          <w:rFonts w:cs="Arial"/>
        </w:rPr>
        <w:t xml:space="preserve"> </w:t>
      </w:r>
      <w:hyperlink r:id="rId101" w:history="1">
        <w:r w:rsidR="00A85E99">
          <w:rPr>
            <w:rStyle w:val="Hyperlink"/>
            <w:rFonts w:cs="Arial"/>
          </w:rPr>
          <w:t>https://publications.csiro.au/rpr/pub?pid=changeme:822</w:t>
        </w:r>
      </w:hyperlink>
      <w:r w:rsidRPr="00986FBF">
        <w:rPr>
          <w:rFonts w:eastAsia="Times New Roman" w:cs="Arial"/>
          <w:color w:val="000000" w:themeColor="text1"/>
          <w:szCs w:val="20"/>
          <w:lang w:eastAsia="en-AU"/>
        </w:rPr>
        <w:t xml:space="preserve"> </w:t>
      </w:r>
    </w:p>
    <w:p w14:paraId="6F5A0C4D" w14:textId="164020D2" w:rsidR="00FE3F8C" w:rsidRPr="00986FBF" w:rsidRDefault="00FE3F8C" w:rsidP="00FE3F8C">
      <w:pPr>
        <w:rPr>
          <w:rFonts w:cs="Arial"/>
          <w:szCs w:val="20"/>
        </w:rPr>
      </w:pPr>
      <w:r w:rsidRPr="005A2167">
        <w:rPr>
          <w:rFonts w:cs="Arial"/>
          <w:b/>
          <w:szCs w:val="20"/>
        </w:rPr>
        <w:t>Cowie, A L, Waters, C M,</w:t>
      </w:r>
      <w:r w:rsidRPr="00986FBF">
        <w:rPr>
          <w:rFonts w:cs="Arial"/>
          <w:b/>
          <w:szCs w:val="20"/>
        </w:rPr>
        <w:t xml:space="preserve"> Garland, F, Orgill, S E, Baumber, A, Cross, R, O’Connell, D and Metternicht, G 2019</w:t>
      </w:r>
      <w:r w:rsidRPr="00986FBF">
        <w:rPr>
          <w:rFonts w:cs="Arial"/>
          <w:szCs w:val="20"/>
        </w:rPr>
        <w:t xml:space="preserve">. Assessing resilience to underpin implementation of Land Degradation Neutrality: A case study in the rangelands of western New South Wales, Australia. </w:t>
      </w:r>
      <w:r w:rsidRPr="00986FBF">
        <w:rPr>
          <w:rFonts w:cs="Arial"/>
          <w:i/>
          <w:szCs w:val="20"/>
        </w:rPr>
        <w:t xml:space="preserve">Environmental Science &amp; Policy </w:t>
      </w:r>
      <w:r w:rsidRPr="00986FBF">
        <w:rPr>
          <w:rFonts w:cs="Arial"/>
          <w:szCs w:val="20"/>
        </w:rPr>
        <w:t>100: pp37-46</w:t>
      </w:r>
      <w:r w:rsidR="005A2167">
        <w:rPr>
          <w:rFonts w:cs="Arial"/>
          <w:szCs w:val="20"/>
        </w:rPr>
        <w:t>.</w:t>
      </w:r>
    </w:p>
    <w:p w14:paraId="72A78DEC" w14:textId="2495DFFD" w:rsidR="00FE3F8C" w:rsidRDefault="00FE3F8C" w:rsidP="00FE3F8C">
      <w:pPr>
        <w:rPr>
          <w:rFonts w:cs="Arial"/>
          <w:szCs w:val="20"/>
        </w:rPr>
      </w:pPr>
      <w:r w:rsidRPr="00986FBF">
        <w:rPr>
          <w:rFonts w:cs="Arial"/>
          <w:b/>
          <w:szCs w:val="20"/>
        </w:rPr>
        <w:t xml:space="preserve">Department of Agriculture, Water and the </w:t>
      </w:r>
      <w:r w:rsidRPr="00F071DE">
        <w:rPr>
          <w:rFonts w:cs="Arial"/>
          <w:b/>
          <w:szCs w:val="20"/>
        </w:rPr>
        <w:t>Environment (DAWE) 2019</w:t>
      </w:r>
      <w:r w:rsidRPr="0057731E">
        <w:rPr>
          <w:rFonts w:cs="Arial"/>
          <w:szCs w:val="20"/>
        </w:rPr>
        <w:t>,</w:t>
      </w:r>
      <w:r w:rsidRPr="00986FBF">
        <w:rPr>
          <w:rFonts w:cs="Arial"/>
          <w:b/>
          <w:i/>
          <w:szCs w:val="20"/>
        </w:rPr>
        <w:t xml:space="preserve"> </w:t>
      </w:r>
      <w:r w:rsidRPr="00986FBF">
        <w:rPr>
          <w:rFonts w:cs="Arial"/>
          <w:i/>
          <w:szCs w:val="20"/>
        </w:rPr>
        <w:t xml:space="preserve">FullCAM update for Emissions Reduction Fund vegetation projects, </w:t>
      </w:r>
      <w:r w:rsidRPr="00986FBF">
        <w:rPr>
          <w:rFonts w:cs="Arial"/>
          <w:szCs w:val="20"/>
        </w:rPr>
        <w:t>viewed 9 September 2020</w:t>
      </w:r>
      <w:r w:rsidR="00A83784" w:rsidRPr="00986FBF">
        <w:rPr>
          <w:rFonts w:cs="Arial"/>
          <w:szCs w:val="20"/>
        </w:rPr>
        <w:t>,</w:t>
      </w:r>
      <w:r w:rsidRPr="00986FBF" w:rsidDel="00A83784">
        <w:rPr>
          <w:rFonts w:cs="Arial"/>
          <w:szCs w:val="20"/>
        </w:rPr>
        <w:t xml:space="preserve"> </w:t>
      </w:r>
      <w:hyperlink r:id="rId102" w:history="1">
        <w:r w:rsidRPr="00986FBF">
          <w:rPr>
            <w:rStyle w:val="Hyperlink"/>
            <w:rFonts w:cs="Arial"/>
            <w:szCs w:val="20"/>
          </w:rPr>
          <w:t>https://www.environment.gov.au/node/48625?utm_source=Climate%20change&amp;utm_campaign=feed&amp;utm_medium=rss</w:t>
        </w:r>
      </w:hyperlink>
      <w:r w:rsidR="00CE7EF8">
        <w:rPr>
          <w:rStyle w:val="Hyperlink"/>
          <w:rFonts w:cs="Arial"/>
          <w:szCs w:val="20"/>
          <w:u w:val="none"/>
        </w:rPr>
        <w:t>.</w:t>
      </w:r>
    </w:p>
    <w:p w14:paraId="1B460D69" w14:textId="02CABA68" w:rsidR="00364A96" w:rsidRPr="00986FBF" w:rsidRDefault="00E1264E" w:rsidP="00364A96">
      <w:pPr>
        <w:rPr>
          <w:rStyle w:val="Hyperlink"/>
          <w:rFonts w:cs="Arial"/>
          <w:color w:val="000000" w:themeColor="text1"/>
          <w:szCs w:val="20"/>
        </w:rPr>
      </w:pPr>
      <w:r>
        <w:rPr>
          <w:rStyle w:val="Hyperlink"/>
          <w:rFonts w:cs="Arial"/>
          <w:b/>
          <w:color w:val="000000" w:themeColor="text1"/>
          <w:szCs w:val="20"/>
          <w:u w:val="none"/>
        </w:rPr>
        <w:t>DAWE n.d.a</w:t>
      </w:r>
      <w:r w:rsidR="00696A0F">
        <w:rPr>
          <w:rStyle w:val="Hyperlink"/>
          <w:rFonts w:cs="Arial"/>
          <w:b/>
          <w:color w:val="000000" w:themeColor="text1"/>
          <w:szCs w:val="20"/>
          <w:u w:val="none"/>
        </w:rPr>
        <w:t>.</w:t>
      </w:r>
      <w:r w:rsidR="00364A96" w:rsidRPr="009B65DB">
        <w:rPr>
          <w:rStyle w:val="Hyperlink"/>
          <w:rFonts w:cs="Arial"/>
          <w:color w:val="000000" w:themeColor="text1"/>
          <w:szCs w:val="20"/>
          <w:u w:val="none"/>
        </w:rPr>
        <w:t>.</w:t>
      </w:r>
      <w:r w:rsidR="00364A96" w:rsidRPr="002D4513">
        <w:rPr>
          <w:rStyle w:val="Hyperlink"/>
          <w:rFonts w:cs="Arial"/>
          <w:color w:val="000000" w:themeColor="text1"/>
          <w:szCs w:val="20"/>
          <w:u w:val="none"/>
        </w:rPr>
        <w:t>,</w:t>
      </w:r>
      <w:r w:rsidR="00364A96" w:rsidRPr="00986FBF">
        <w:rPr>
          <w:rStyle w:val="Hyperlink"/>
          <w:rFonts w:cs="Arial"/>
          <w:color w:val="000000" w:themeColor="text1"/>
          <w:szCs w:val="20"/>
          <w:u w:val="none"/>
        </w:rPr>
        <w:t xml:space="preserve"> </w:t>
      </w:r>
      <w:r w:rsidR="00364A96" w:rsidRPr="00986FBF">
        <w:rPr>
          <w:rStyle w:val="Hyperlink"/>
          <w:rFonts w:cs="Arial"/>
          <w:i/>
          <w:color w:val="000000" w:themeColor="text1"/>
          <w:szCs w:val="20"/>
          <w:u w:val="none"/>
        </w:rPr>
        <w:t>Future Drought Fund</w:t>
      </w:r>
      <w:r w:rsidR="00364A96" w:rsidRPr="00986FBF">
        <w:rPr>
          <w:rStyle w:val="Hyperlink"/>
          <w:rFonts w:cs="Arial"/>
          <w:color w:val="000000" w:themeColor="text1"/>
          <w:szCs w:val="20"/>
          <w:u w:val="none"/>
        </w:rPr>
        <w:t>, viewed 8 September 2020,</w:t>
      </w:r>
      <w:r w:rsidR="004227FB" w:rsidRPr="004227FB">
        <w:rPr>
          <w:rStyle w:val="Hyperlink"/>
          <w:rFonts w:cs="Arial"/>
          <w:color w:val="000000" w:themeColor="text1"/>
          <w:szCs w:val="20"/>
          <w:u w:val="none"/>
        </w:rPr>
        <w:t xml:space="preserve"> </w:t>
      </w:r>
      <w:r w:rsidR="00364A96" w:rsidRPr="004227FB">
        <w:rPr>
          <w:rStyle w:val="Hyperlink"/>
          <w:rFonts w:cs="Arial"/>
          <w:szCs w:val="20"/>
        </w:rPr>
        <w:t>https://www.agriculture.gov.au/ag-farm-food/drought/future-drought-fund</w:t>
      </w:r>
      <w:r w:rsidR="00364A96" w:rsidRPr="004227FB">
        <w:rPr>
          <w:rStyle w:val="Hyperlink"/>
          <w:rFonts w:cs="Arial"/>
          <w:color w:val="000000" w:themeColor="text1"/>
          <w:szCs w:val="20"/>
          <w:u w:val="none"/>
        </w:rPr>
        <w:t>.</w:t>
      </w:r>
    </w:p>
    <w:p w14:paraId="4AB80BA8" w14:textId="34A2A6C2" w:rsidR="00265BE7" w:rsidRPr="00693896" w:rsidRDefault="00265BE7" w:rsidP="00FE3F8C">
      <w:pPr>
        <w:rPr>
          <w:rFonts w:cs="Arial"/>
          <w:color w:val="000000" w:themeColor="text1"/>
          <w:szCs w:val="20"/>
        </w:rPr>
      </w:pPr>
      <w:r w:rsidRPr="00986FBF">
        <w:rPr>
          <w:rFonts w:cs="Arial"/>
          <w:b/>
          <w:szCs w:val="20"/>
        </w:rPr>
        <w:t>DAWE n.d.</w:t>
      </w:r>
      <w:r w:rsidR="00E1264E">
        <w:rPr>
          <w:rFonts w:cs="Arial"/>
          <w:b/>
          <w:szCs w:val="20"/>
        </w:rPr>
        <w:t>b.</w:t>
      </w:r>
      <w:r w:rsidR="00DD4733">
        <w:rPr>
          <w:rFonts w:cs="Arial"/>
          <w:szCs w:val="20"/>
        </w:rPr>
        <w:t>,</w:t>
      </w:r>
      <w:r w:rsidRPr="00986FBF">
        <w:rPr>
          <w:rFonts w:cs="Arial"/>
          <w:szCs w:val="20"/>
        </w:rPr>
        <w:t xml:space="preserve"> </w:t>
      </w:r>
      <w:r w:rsidRPr="00986FBF">
        <w:rPr>
          <w:rFonts w:cs="Arial"/>
          <w:i/>
          <w:szCs w:val="20"/>
        </w:rPr>
        <w:t>Carbon Farming Initiative</w:t>
      </w:r>
      <w:r w:rsidRPr="00986FBF">
        <w:rPr>
          <w:rFonts w:cs="Arial"/>
          <w:szCs w:val="20"/>
        </w:rPr>
        <w:t xml:space="preserve">, viewed 2 September 2020, </w:t>
      </w:r>
      <w:hyperlink r:id="rId103" w:history="1">
        <w:r w:rsidRPr="00986FBF">
          <w:rPr>
            <w:rStyle w:val="Hyperlink"/>
            <w:rFonts w:cs="Arial"/>
            <w:szCs w:val="20"/>
          </w:rPr>
          <w:t>https://www.agriculture.gov.au/water/policy/carbon-farming-initiative</w:t>
        </w:r>
      </w:hyperlink>
      <w:r w:rsidRPr="00CE7EF8">
        <w:rPr>
          <w:rStyle w:val="Hyperlink"/>
          <w:rFonts w:cs="Arial"/>
          <w:color w:val="000000" w:themeColor="text1"/>
          <w:szCs w:val="20"/>
          <w:u w:val="none"/>
        </w:rPr>
        <w:t>.</w:t>
      </w:r>
    </w:p>
    <w:p w14:paraId="260C4628" w14:textId="739B07C2" w:rsidR="00F13544" w:rsidRPr="0057731E" w:rsidRDefault="00A2646D" w:rsidP="00A2646D">
      <w:pPr>
        <w:rPr>
          <w:rFonts w:cs="Arial"/>
          <w:szCs w:val="20"/>
        </w:rPr>
      </w:pPr>
      <w:r w:rsidRPr="00693896">
        <w:rPr>
          <w:b/>
          <w:szCs w:val="20"/>
          <w:lang w:val="en"/>
        </w:rPr>
        <w:t>DEE 2020,</w:t>
      </w:r>
      <w:r w:rsidRPr="0057731E">
        <w:rPr>
          <w:szCs w:val="20"/>
          <w:lang w:val="en"/>
        </w:rPr>
        <w:t xml:space="preserve"> </w:t>
      </w:r>
      <w:r w:rsidRPr="0057731E">
        <w:rPr>
          <w:i/>
          <w:szCs w:val="20"/>
          <w:lang w:val="en"/>
        </w:rPr>
        <w:t>Method reviews</w:t>
      </w:r>
      <w:r w:rsidRPr="0057731E">
        <w:rPr>
          <w:szCs w:val="20"/>
          <w:lang w:val="en"/>
        </w:rPr>
        <w:t>, viewed 30 September 2020</w:t>
      </w:r>
      <w:r w:rsidR="00A0019E" w:rsidRPr="004A45AD">
        <w:rPr>
          <w:szCs w:val="20"/>
          <w:lang w:val="en"/>
        </w:rPr>
        <w:t xml:space="preserve">, </w:t>
      </w:r>
      <w:hyperlink r:id="rId104" w:history="1">
        <w:r w:rsidR="00A0019E" w:rsidRPr="00CE0F31">
          <w:rPr>
            <w:rStyle w:val="Hyperlink"/>
            <w:szCs w:val="20"/>
          </w:rPr>
          <w:t>https://webarchive.nla.gov.au/awa/20200413144214/http://environment.gov.au/</w:t>
        </w:r>
      </w:hyperlink>
      <w:r w:rsidR="00CE7EF8">
        <w:rPr>
          <w:szCs w:val="20"/>
        </w:rPr>
        <w:t>.</w:t>
      </w:r>
    </w:p>
    <w:p w14:paraId="38B12F10" w14:textId="1B649547" w:rsidR="00FE3F8C" w:rsidRDefault="00FE3F8C" w:rsidP="00FE3F8C">
      <w:pPr>
        <w:spacing w:before="120"/>
        <w:rPr>
          <w:rStyle w:val="Hyperlink"/>
        </w:rPr>
      </w:pPr>
      <w:r w:rsidRPr="00A06527">
        <w:rPr>
          <w:rFonts w:eastAsia="Calibri" w:cs="Arial"/>
          <w:b/>
          <w:szCs w:val="20"/>
          <w:lang w:eastAsia="en-AU"/>
        </w:rPr>
        <w:t>D</w:t>
      </w:r>
      <w:r w:rsidR="008D637B">
        <w:rPr>
          <w:rFonts w:eastAsia="Calibri" w:cs="Arial"/>
          <w:b/>
          <w:szCs w:val="20"/>
          <w:lang w:eastAsia="en-AU"/>
        </w:rPr>
        <w:t>EE 2018</w:t>
      </w:r>
      <w:r w:rsidRPr="00986FBF">
        <w:rPr>
          <w:rFonts w:eastAsia="Calibri" w:cs="Arial"/>
          <w:szCs w:val="20"/>
          <w:lang w:eastAsia="en-AU"/>
        </w:rPr>
        <w:t>,</w:t>
      </w:r>
      <w:r w:rsidRPr="00986FBF">
        <w:rPr>
          <w:rFonts w:eastAsia="Calibri" w:cs="Arial"/>
          <w:b/>
          <w:szCs w:val="20"/>
          <w:lang w:eastAsia="en-AU"/>
        </w:rPr>
        <w:t xml:space="preserve"> </w:t>
      </w:r>
      <w:r w:rsidRPr="00986FBF">
        <w:rPr>
          <w:rFonts w:eastAsia="Calibri" w:cs="Arial"/>
          <w:i/>
          <w:szCs w:val="20"/>
          <w:lang w:eastAsia="en-AU"/>
        </w:rPr>
        <w:t>Climate Compass—a climate risk management framework for Commonwealth agencies</w:t>
      </w:r>
      <w:r w:rsidRPr="00986FBF">
        <w:rPr>
          <w:rFonts w:eastAsia="Calibri" w:cs="Arial"/>
          <w:szCs w:val="20"/>
          <w:lang w:eastAsia="en-AU"/>
        </w:rPr>
        <w:t xml:space="preserve">, viewed 27 November 2019, </w:t>
      </w:r>
      <w:r w:rsidRPr="00986FBF">
        <w:rPr>
          <w:rStyle w:val="Hyperlink"/>
          <w:rFonts w:cs="Arial"/>
          <w:szCs w:val="20"/>
        </w:rPr>
        <w:t>https://www.environment.gov.au/system/files/resources/1f56cd3f-dd0f-4f4e-9f14-66ceca36125b/files/climate-compass-climate-risk-management-framework-commonwealth-agencies.pdf</w:t>
      </w:r>
      <w:r w:rsidRPr="00CE7EF8">
        <w:rPr>
          <w:rStyle w:val="Hyperlink"/>
          <w:rFonts w:cs="Arial"/>
          <w:color w:val="000000" w:themeColor="text1"/>
          <w:szCs w:val="20"/>
          <w:u w:val="none"/>
        </w:rPr>
        <w:t>.</w:t>
      </w:r>
    </w:p>
    <w:p w14:paraId="7A1ACBAE" w14:textId="271A3D6F" w:rsidR="009835CE" w:rsidRDefault="00FE3F8C" w:rsidP="00FE3F8C">
      <w:pPr>
        <w:spacing w:after="0"/>
        <w:textAlignment w:val="baseline"/>
        <w:rPr>
          <w:rFonts w:eastAsia="Times New Roman"/>
          <w:lang w:val="en-US" w:eastAsia="en-AU"/>
        </w:rPr>
      </w:pPr>
      <w:r w:rsidRPr="00C267E4">
        <w:rPr>
          <w:rFonts w:eastAsia="Times New Roman" w:cs="Arial"/>
          <w:b/>
          <w:szCs w:val="20"/>
          <w:lang w:eastAsia="en-AU"/>
        </w:rPr>
        <w:t>D</w:t>
      </w:r>
      <w:r w:rsidRPr="0061244D">
        <w:rPr>
          <w:rFonts w:eastAsia="Times New Roman" w:cs="Arial"/>
          <w:b/>
          <w:szCs w:val="20"/>
          <w:lang w:eastAsia="en-AU"/>
        </w:rPr>
        <w:t>EE 2015</w:t>
      </w:r>
      <w:r w:rsidRPr="00986FBF">
        <w:rPr>
          <w:rFonts w:eastAsia="Times New Roman" w:cs="Arial"/>
          <w:b/>
          <w:bCs/>
          <w:szCs w:val="20"/>
          <w:lang w:eastAsia="en-AU"/>
        </w:rPr>
        <w:t xml:space="preserve">, </w:t>
      </w:r>
      <w:r w:rsidRPr="00986FBF">
        <w:rPr>
          <w:rFonts w:eastAsia="Times New Roman" w:cs="Arial"/>
          <w:i/>
          <w:iCs/>
          <w:szCs w:val="20"/>
          <w:lang w:eastAsia="en-AU"/>
        </w:rPr>
        <w:t xml:space="preserve">Emissions Reduction Fund: Methodology Determination Guidelines, January 2015, </w:t>
      </w:r>
      <w:r w:rsidRPr="00986FBF">
        <w:rPr>
          <w:rFonts w:eastAsia="Times New Roman" w:cs="Arial"/>
          <w:szCs w:val="20"/>
          <w:lang w:eastAsia="en-AU"/>
        </w:rPr>
        <w:t xml:space="preserve">viewed 30 July 2020, </w:t>
      </w:r>
      <w:hyperlink r:id="rId105" w:tgtFrame="_blank" w:history="1">
        <w:r w:rsidRPr="0026445E">
          <w:rPr>
            <w:rStyle w:val="Hyperlink"/>
            <w:rFonts w:eastAsia="Times New Roman" w:cs="Arial"/>
            <w:szCs w:val="20"/>
            <w:lang w:eastAsia="en-AU"/>
          </w:rPr>
          <w:t>https://www.environment.gov.au/system/files/resources/d4bc7fc6-9e72-45d8-ac4c-07a70fcf647b/files/erf-method-determination-guidelines.pdf</w:t>
        </w:r>
      </w:hyperlink>
      <w:r w:rsidRPr="0026445E">
        <w:rPr>
          <w:rStyle w:val="Hyperlink"/>
        </w:rPr>
        <w:t>.</w:t>
      </w:r>
      <w:r w:rsidRPr="00986FBF">
        <w:rPr>
          <w:rFonts w:eastAsia="Times New Roman" w:cs="Arial"/>
          <w:b/>
          <w:bCs/>
          <w:color w:val="000000" w:themeColor="text1"/>
          <w:szCs w:val="20"/>
          <w:lang w:eastAsia="en-AU"/>
        </w:rPr>
        <w:t> </w:t>
      </w:r>
      <w:r w:rsidRPr="00986FBF">
        <w:rPr>
          <w:rFonts w:eastAsia="Times New Roman" w:cs="Arial"/>
          <w:szCs w:val="20"/>
          <w:lang w:val="en-US" w:eastAsia="en-AU"/>
        </w:rPr>
        <w:t> </w:t>
      </w:r>
    </w:p>
    <w:p w14:paraId="66BAF863" w14:textId="77777777" w:rsidR="00FE3F8C" w:rsidRPr="00986FBF" w:rsidRDefault="00FE3F8C" w:rsidP="00FE3F8C">
      <w:pPr>
        <w:spacing w:after="0"/>
        <w:textAlignment w:val="baseline"/>
        <w:rPr>
          <w:rFonts w:eastAsia="Times New Roman" w:cs="Arial"/>
          <w:szCs w:val="20"/>
          <w:lang w:val="en-US" w:eastAsia="en-AU"/>
        </w:rPr>
      </w:pPr>
    </w:p>
    <w:p w14:paraId="18EA9927" w14:textId="740484E0" w:rsidR="00FE3F8C" w:rsidRPr="00986FBF" w:rsidRDefault="00FE3F8C" w:rsidP="00FE3F8C">
      <w:pPr>
        <w:rPr>
          <w:rFonts w:eastAsia="Times New Roman" w:cs="Arial"/>
          <w:color w:val="000000" w:themeColor="text1"/>
          <w:szCs w:val="20"/>
          <w:lang w:eastAsia="en-AU"/>
        </w:rPr>
      </w:pPr>
      <w:r w:rsidRPr="00986FBF" w:rsidDel="006C7F18">
        <w:rPr>
          <w:rFonts w:eastAsia="Times New Roman" w:cs="Arial"/>
          <w:b/>
          <w:color w:val="000000" w:themeColor="text1"/>
          <w:szCs w:val="20"/>
          <w:lang w:eastAsia="en-AU"/>
        </w:rPr>
        <w:t>Department of In</w:t>
      </w:r>
      <w:r w:rsidRPr="00680992" w:rsidDel="006C7F18">
        <w:rPr>
          <w:rFonts w:eastAsia="Times New Roman" w:cs="Arial"/>
          <w:b/>
          <w:color w:val="000000" w:themeColor="text1"/>
          <w:szCs w:val="20"/>
          <w:lang w:eastAsia="en-AU"/>
        </w:rPr>
        <w:t>dustry, Scienc</w:t>
      </w:r>
      <w:r w:rsidR="0026445E">
        <w:rPr>
          <w:rFonts w:eastAsia="Times New Roman" w:cs="Arial"/>
          <w:b/>
          <w:color w:val="000000" w:themeColor="text1"/>
          <w:szCs w:val="20"/>
          <w:lang w:eastAsia="en-AU"/>
        </w:rPr>
        <w:t>e, Energy and Resources (DISER)</w:t>
      </w:r>
      <w:r w:rsidRPr="00463BB2">
        <w:rPr>
          <w:rFonts w:eastAsia="Times New Roman" w:cs="Arial"/>
          <w:b/>
          <w:color w:val="000000" w:themeColor="text1"/>
          <w:szCs w:val="20"/>
          <w:lang w:eastAsia="en-AU"/>
        </w:rPr>
        <w:t xml:space="preserve"> 2020a</w:t>
      </w:r>
      <w:r w:rsidR="00A527B3" w:rsidRPr="00986FBF">
        <w:rPr>
          <w:rFonts w:eastAsia="Times New Roman" w:cs="Arial"/>
          <w:color w:val="000000" w:themeColor="text1"/>
          <w:szCs w:val="20"/>
          <w:lang w:eastAsia="en-AU"/>
        </w:rPr>
        <w:t>,</w:t>
      </w:r>
      <w:r w:rsidRPr="00986FBF">
        <w:rPr>
          <w:rFonts w:eastAsia="Times New Roman" w:cs="Arial"/>
          <w:color w:val="000000" w:themeColor="text1"/>
          <w:szCs w:val="20"/>
          <w:lang w:eastAsia="en-AU"/>
        </w:rPr>
        <w:t xml:space="preserve"> </w:t>
      </w:r>
      <w:r w:rsidRPr="00986FBF">
        <w:rPr>
          <w:rFonts w:eastAsia="Times New Roman" w:cs="Arial"/>
          <w:i/>
          <w:color w:val="000000" w:themeColor="text1"/>
          <w:szCs w:val="20"/>
          <w:lang w:eastAsia="en-AU"/>
        </w:rPr>
        <w:t>Methods for the Emissions Reduction Fund</w:t>
      </w:r>
      <w:r w:rsidRPr="00986FBF">
        <w:rPr>
          <w:rFonts w:eastAsia="Times New Roman" w:cs="Arial"/>
          <w:color w:val="000000" w:themeColor="text1"/>
          <w:szCs w:val="20"/>
          <w:lang w:eastAsia="en-AU"/>
        </w:rPr>
        <w:t>, viewed 21 September 2020</w:t>
      </w:r>
      <w:r w:rsidR="00A83784" w:rsidRPr="00986FBF">
        <w:rPr>
          <w:rFonts w:eastAsia="Times New Roman" w:cs="Arial"/>
          <w:color w:val="000000" w:themeColor="text1"/>
          <w:szCs w:val="20"/>
          <w:lang w:eastAsia="en-AU"/>
        </w:rPr>
        <w:t>,</w:t>
      </w:r>
      <w:r w:rsidRPr="00986FBF" w:rsidDel="00A83784">
        <w:rPr>
          <w:rFonts w:eastAsia="Times New Roman" w:cs="Arial"/>
          <w:color w:val="000000" w:themeColor="text1"/>
          <w:szCs w:val="20"/>
          <w:lang w:eastAsia="en-AU"/>
        </w:rPr>
        <w:t xml:space="preserve"> </w:t>
      </w:r>
      <w:hyperlink r:id="rId106" w:history="1">
        <w:r w:rsidRPr="00986FBF">
          <w:rPr>
            <w:rStyle w:val="Hyperlink"/>
            <w:rFonts w:eastAsia="Times New Roman" w:cs="Arial"/>
            <w:szCs w:val="20"/>
            <w:lang w:eastAsia="en-AU"/>
          </w:rPr>
          <w:t>https://www.industry.gov.au/regulations-and-standards/methods-for-the-emissions-reduction-fund</w:t>
        </w:r>
      </w:hyperlink>
      <w:r w:rsidR="00CE7EF8">
        <w:rPr>
          <w:rStyle w:val="Hyperlink"/>
          <w:rFonts w:eastAsia="Times New Roman" w:cs="Arial"/>
          <w:szCs w:val="20"/>
          <w:u w:val="none"/>
          <w:lang w:eastAsia="en-AU"/>
        </w:rPr>
        <w:t>.</w:t>
      </w:r>
    </w:p>
    <w:p w14:paraId="514FBBB2" w14:textId="4DAD2866" w:rsidR="00FE3F8C" w:rsidRDefault="00FE3F8C" w:rsidP="0057731E">
      <w:pPr>
        <w:tabs>
          <w:tab w:val="left" w:pos="2000"/>
        </w:tabs>
        <w:rPr>
          <w:rStyle w:val="Hyperlink"/>
          <w:rFonts w:cs="Arial"/>
          <w:color w:val="000000" w:themeColor="text1"/>
          <w:szCs w:val="20"/>
        </w:rPr>
      </w:pPr>
      <w:r w:rsidRPr="00986FBF" w:rsidDel="006C7F18">
        <w:rPr>
          <w:rFonts w:cs="Arial"/>
          <w:b/>
          <w:bCs/>
          <w:szCs w:val="20"/>
        </w:rPr>
        <w:t xml:space="preserve">DISER </w:t>
      </w:r>
      <w:r w:rsidRPr="00A8028C">
        <w:rPr>
          <w:rFonts w:cs="Arial"/>
          <w:b/>
          <w:szCs w:val="20"/>
        </w:rPr>
        <w:t>2020</w:t>
      </w:r>
      <w:r w:rsidR="00C36014">
        <w:rPr>
          <w:rFonts w:cs="Arial"/>
          <w:b/>
          <w:szCs w:val="20"/>
        </w:rPr>
        <w:t>b</w:t>
      </w:r>
      <w:r w:rsidRPr="0057731E">
        <w:rPr>
          <w:rFonts w:cs="Arial"/>
          <w:szCs w:val="20"/>
        </w:rPr>
        <w:t>,</w:t>
      </w:r>
      <w:r w:rsidRPr="00986FBF">
        <w:rPr>
          <w:rFonts w:cs="Arial"/>
          <w:szCs w:val="20"/>
        </w:rPr>
        <w:t xml:space="preserve"> </w:t>
      </w:r>
      <w:r w:rsidRPr="00986FBF">
        <w:rPr>
          <w:rFonts w:cs="Arial"/>
          <w:i/>
          <w:szCs w:val="20"/>
        </w:rPr>
        <w:t>Full Carbon Accounting Model (FullCAM), September 2020,</w:t>
      </w:r>
      <w:r w:rsidRPr="00986FBF">
        <w:rPr>
          <w:rFonts w:cs="Arial"/>
          <w:szCs w:val="20"/>
        </w:rPr>
        <w:t xml:space="preserve"> viewed 9 September 2020</w:t>
      </w:r>
      <w:r w:rsidR="00A83784" w:rsidRPr="00986FBF">
        <w:rPr>
          <w:rFonts w:cs="Arial"/>
          <w:szCs w:val="20"/>
        </w:rPr>
        <w:t>,</w:t>
      </w:r>
      <w:r w:rsidRPr="00986FBF" w:rsidDel="00A83784">
        <w:rPr>
          <w:rFonts w:cs="Arial"/>
          <w:szCs w:val="20"/>
        </w:rPr>
        <w:t xml:space="preserve"> </w:t>
      </w:r>
      <w:hyperlink r:id="rId107" w:history="1">
        <w:r w:rsidRPr="00986FBF">
          <w:rPr>
            <w:rStyle w:val="Hyperlink"/>
            <w:rFonts w:cs="Arial"/>
            <w:szCs w:val="20"/>
          </w:rPr>
          <w:t>https://www.industry.gov.au/data-and-publications/full-carbon-accounting-model-fullcam</w:t>
        </w:r>
      </w:hyperlink>
      <w:r w:rsidR="00771C27">
        <w:rPr>
          <w:rFonts w:cs="Arial"/>
          <w:szCs w:val="20"/>
        </w:rPr>
        <w:t>.</w:t>
      </w:r>
    </w:p>
    <w:p w14:paraId="7AE07DE4" w14:textId="0685C1F5" w:rsidR="00FE3F8C" w:rsidRDefault="00FE3F8C" w:rsidP="00FE3F8C">
      <w:r w:rsidRPr="00090FFF">
        <w:rPr>
          <w:rFonts w:cs="Arial"/>
          <w:b/>
          <w:szCs w:val="20"/>
        </w:rPr>
        <w:t>Department of the Prime Minister and Cabinet (DPMC) n.d.</w:t>
      </w:r>
      <w:r w:rsidRPr="00090FFF">
        <w:rPr>
          <w:rFonts w:cs="Arial"/>
          <w:szCs w:val="20"/>
        </w:rPr>
        <w:t>,</w:t>
      </w:r>
      <w:r w:rsidRPr="00986FBF">
        <w:rPr>
          <w:rFonts w:cs="Arial"/>
          <w:szCs w:val="20"/>
        </w:rPr>
        <w:t xml:space="preserve"> </w:t>
      </w:r>
      <w:r w:rsidRPr="00986FBF">
        <w:rPr>
          <w:rFonts w:cs="Arial"/>
          <w:i/>
          <w:szCs w:val="20"/>
        </w:rPr>
        <w:t>National Soils Advocate</w:t>
      </w:r>
      <w:r w:rsidRPr="00986FBF">
        <w:rPr>
          <w:rFonts w:cs="Arial"/>
          <w:szCs w:val="20"/>
        </w:rPr>
        <w:t xml:space="preserve">, viewed 8 September 2020, </w:t>
      </w:r>
      <w:hyperlink r:id="rId108" w:history="1">
        <w:r w:rsidR="00CE7EF8" w:rsidRPr="00BE043C">
          <w:rPr>
            <w:rStyle w:val="Hyperlink"/>
            <w:rFonts w:cs="Arial"/>
            <w:szCs w:val="20"/>
          </w:rPr>
          <w:t>https://www.pmc.gov.au/domestic-policy/national-soils-advocate</w:t>
        </w:r>
      </w:hyperlink>
      <w:r w:rsidR="00CE7EF8">
        <w:rPr>
          <w:rFonts w:cs="Arial"/>
          <w:szCs w:val="20"/>
        </w:rPr>
        <w:t>.</w:t>
      </w:r>
    </w:p>
    <w:p w14:paraId="75DE600F" w14:textId="22EE3453" w:rsidR="00FE3F8C" w:rsidRPr="00986FBF" w:rsidRDefault="00FE3F8C" w:rsidP="00FE3F8C">
      <w:pPr>
        <w:rPr>
          <w:rFonts w:cs="Arial"/>
          <w:color w:val="000000" w:themeColor="text1"/>
          <w:szCs w:val="20"/>
        </w:rPr>
      </w:pPr>
      <w:r w:rsidRPr="0057731E">
        <w:rPr>
          <w:rFonts w:cs="Arial"/>
          <w:b/>
          <w:color w:val="000000" w:themeColor="text1"/>
          <w:szCs w:val="20"/>
        </w:rPr>
        <w:t>Energy NSW (2020)</w:t>
      </w:r>
      <w:r w:rsidRPr="0057731E">
        <w:rPr>
          <w:rFonts w:cs="Arial"/>
          <w:color w:val="000000" w:themeColor="text1"/>
          <w:szCs w:val="20"/>
        </w:rPr>
        <w:t>,</w:t>
      </w:r>
      <w:r w:rsidRPr="00986FBF">
        <w:rPr>
          <w:rFonts w:cs="Arial"/>
          <w:color w:val="000000" w:themeColor="text1"/>
          <w:szCs w:val="20"/>
        </w:rPr>
        <w:t xml:space="preserve"> </w:t>
      </w:r>
      <w:r w:rsidRPr="00986FBF">
        <w:rPr>
          <w:rFonts w:cs="Arial"/>
          <w:i/>
          <w:color w:val="000000" w:themeColor="text1"/>
          <w:szCs w:val="20"/>
        </w:rPr>
        <w:t>Memorandum of Understanding</w:t>
      </w:r>
      <w:r w:rsidRPr="00986FBF">
        <w:rPr>
          <w:rFonts w:cs="Arial"/>
          <w:color w:val="000000" w:themeColor="text1"/>
          <w:szCs w:val="20"/>
        </w:rPr>
        <w:t xml:space="preserve">, </w:t>
      </w:r>
      <w:r w:rsidR="00986FBF">
        <w:rPr>
          <w:rFonts w:eastAsia="Times New Roman" w:cs="Arial"/>
          <w:iCs/>
          <w:color w:val="000000" w:themeColor="text1"/>
          <w:szCs w:val="20"/>
          <w:lang w:eastAsia="en-AU"/>
        </w:rPr>
        <w:t>October 2020,</w:t>
      </w:r>
      <w:r w:rsidRPr="00986FBF" w:rsidDel="00986FBF">
        <w:rPr>
          <w:rFonts w:eastAsia="Times New Roman" w:cs="Arial"/>
          <w:color w:val="000000" w:themeColor="text1"/>
          <w:szCs w:val="20"/>
          <w:lang w:eastAsia="en-AU"/>
        </w:rPr>
        <w:t xml:space="preserve"> </w:t>
      </w:r>
      <w:hyperlink r:id="rId109" w:history="1">
        <w:r w:rsidRPr="00986FBF">
          <w:rPr>
            <w:rStyle w:val="Hyperlink"/>
            <w:rFonts w:cs="Arial"/>
            <w:szCs w:val="20"/>
          </w:rPr>
          <w:t>https://energy.nsw.gov.au/government-and-regulation/electricity-strategy/memorandum-understanding</w:t>
        </w:r>
      </w:hyperlink>
      <w:r w:rsidRPr="0057731E">
        <w:rPr>
          <w:rStyle w:val="Hyperlink"/>
          <w:rFonts w:cs="Arial"/>
          <w:color w:val="000000" w:themeColor="text1"/>
          <w:szCs w:val="20"/>
          <w:u w:val="none"/>
        </w:rPr>
        <w:t>.</w:t>
      </w:r>
    </w:p>
    <w:p w14:paraId="6F182591" w14:textId="1D4D1EC5" w:rsidR="00FE3F8C" w:rsidRPr="00986FBF" w:rsidRDefault="00FE3F8C" w:rsidP="00FE3F8C">
      <w:pPr>
        <w:rPr>
          <w:rFonts w:cs="Arial"/>
          <w:color w:val="000000" w:themeColor="text1"/>
          <w:szCs w:val="20"/>
        </w:rPr>
      </w:pPr>
      <w:r w:rsidRPr="00986FBF">
        <w:rPr>
          <w:rFonts w:cs="Arial"/>
          <w:b/>
          <w:szCs w:val="20"/>
        </w:rPr>
        <w:t xml:space="preserve">Emissions Reduction Assurance Committee </w:t>
      </w:r>
      <w:r w:rsidRPr="004A7D55">
        <w:rPr>
          <w:rFonts w:cs="Arial"/>
          <w:b/>
          <w:szCs w:val="20"/>
        </w:rPr>
        <w:t>(ERAC) 2019a</w:t>
      </w:r>
      <w:r w:rsidRPr="00986FBF">
        <w:rPr>
          <w:rFonts w:cs="Arial"/>
          <w:b/>
          <w:szCs w:val="20"/>
        </w:rPr>
        <w:t xml:space="preserve">, </w:t>
      </w:r>
      <w:r w:rsidRPr="00986FBF">
        <w:rPr>
          <w:rFonts w:cs="Arial"/>
          <w:i/>
          <w:szCs w:val="20"/>
        </w:rPr>
        <w:t xml:space="preserve">ERAC Information Paper: Committee considerations for interpreting the Emissions Reduction Fund’s Offsets Integrity Standards, Version 1.2, Approved November 2019, </w:t>
      </w:r>
      <w:r w:rsidRPr="00680992">
        <w:rPr>
          <w:rFonts w:cs="Arial"/>
          <w:szCs w:val="20"/>
        </w:rPr>
        <w:t>viewed 2 August 2020</w:t>
      </w:r>
      <w:r w:rsidRPr="00986FBF">
        <w:rPr>
          <w:rFonts w:cs="Arial"/>
          <w:szCs w:val="20"/>
        </w:rPr>
        <w:t>,</w:t>
      </w:r>
      <w:r w:rsidR="00CE7EF8">
        <w:rPr>
          <w:rFonts w:cs="Arial"/>
          <w:szCs w:val="20"/>
        </w:rPr>
        <w:t xml:space="preserve"> </w:t>
      </w:r>
      <w:hyperlink r:id="rId110" w:history="1">
        <w:r w:rsidRPr="00986FBF">
          <w:rPr>
            <w:rStyle w:val="Hyperlink"/>
            <w:rFonts w:cs="Arial"/>
            <w:szCs w:val="20"/>
          </w:rPr>
          <w:t>https://www.industry.gov.au/sites/default/files/2020-07/erac-offset-integrity-standards-paper.pdf</w:t>
        </w:r>
      </w:hyperlink>
      <w:r w:rsidR="00CE7EF8">
        <w:rPr>
          <w:rStyle w:val="Hyperlink"/>
          <w:rFonts w:cs="Arial"/>
          <w:szCs w:val="20"/>
          <w:u w:val="none"/>
        </w:rPr>
        <w:t>.</w:t>
      </w:r>
      <w:r w:rsidRPr="00986FBF">
        <w:rPr>
          <w:rFonts w:cs="Arial"/>
          <w:color w:val="000000" w:themeColor="text1"/>
          <w:szCs w:val="20"/>
        </w:rPr>
        <w:t xml:space="preserve"> </w:t>
      </w:r>
    </w:p>
    <w:p w14:paraId="0C663147" w14:textId="0D6241E8" w:rsidR="00FE3F8C" w:rsidRDefault="00FE3F8C" w:rsidP="00FE3F8C">
      <w:pPr>
        <w:rPr>
          <w:rFonts w:eastAsia="Times New Roman" w:cs="Arial"/>
          <w:iCs/>
          <w:color w:val="000000" w:themeColor="text1"/>
          <w:szCs w:val="20"/>
          <w:lang w:eastAsia="en-AU"/>
        </w:rPr>
      </w:pPr>
      <w:r w:rsidRPr="00380E8E">
        <w:rPr>
          <w:rFonts w:cs="Arial"/>
          <w:b/>
          <w:szCs w:val="20"/>
        </w:rPr>
        <w:t>ERAC 2019b</w:t>
      </w:r>
      <w:r w:rsidRPr="00986FBF">
        <w:rPr>
          <w:rFonts w:cs="Arial"/>
          <w:b/>
          <w:i/>
          <w:szCs w:val="20"/>
        </w:rPr>
        <w:t>,</w:t>
      </w:r>
      <w:r w:rsidRPr="00986FBF">
        <w:rPr>
          <w:rFonts w:cs="Arial"/>
          <w:i/>
          <w:szCs w:val="20"/>
        </w:rPr>
        <w:t xml:space="preserve"> Facilities Method Review Report</w:t>
      </w:r>
      <w:r w:rsidRPr="00986FBF">
        <w:rPr>
          <w:rFonts w:cs="Arial"/>
          <w:szCs w:val="20"/>
        </w:rPr>
        <w:t xml:space="preserve">, viewed </w:t>
      </w:r>
      <w:r w:rsidR="00986FBF">
        <w:rPr>
          <w:rFonts w:eastAsia="Times New Roman" w:cs="Arial"/>
          <w:iCs/>
          <w:color w:val="000000" w:themeColor="text1"/>
          <w:szCs w:val="20"/>
          <w:lang w:eastAsia="en-AU"/>
        </w:rPr>
        <w:t>1 October 2020,</w:t>
      </w:r>
      <w:r w:rsidR="00986FBF" w:rsidRPr="00986FBF">
        <w:rPr>
          <w:rFonts w:eastAsia="Times New Roman" w:cs="Arial"/>
          <w:iCs/>
          <w:color w:val="000000" w:themeColor="text1"/>
          <w:szCs w:val="20"/>
          <w:lang w:eastAsia="en-AU"/>
        </w:rPr>
        <w:t xml:space="preserve"> </w:t>
      </w:r>
      <w:hyperlink r:id="rId111" w:history="1">
        <w:r w:rsidR="00BF120B" w:rsidRPr="00BA372E">
          <w:rPr>
            <w:rStyle w:val="Hyperlink"/>
            <w:rFonts w:eastAsia="Times New Roman" w:cs="Arial"/>
            <w:iCs/>
            <w:szCs w:val="20"/>
            <w:lang w:eastAsia="en-AU"/>
          </w:rPr>
          <w:t>https://www.environment.gov.au/system/files/pages/772ff212-8532-4f08-8f60-89e24d8c6a61/files/facilities-method-review-report.pdf</w:t>
        </w:r>
      </w:hyperlink>
      <w:r w:rsidR="00BF120B" w:rsidRPr="00BF120B">
        <w:rPr>
          <w:rFonts w:eastAsia="Times New Roman" w:cs="Arial"/>
          <w:iCs/>
          <w:color w:val="000000" w:themeColor="text1"/>
          <w:szCs w:val="20"/>
          <w:lang w:eastAsia="en-AU"/>
        </w:rPr>
        <w:t>.</w:t>
      </w:r>
    </w:p>
    <w:p w14:paraId="6845F078" w14:textId="03F8754E" w:rsidR="001D464E" w:rsidRPr="00986FBF" w:rsidRDefault="00FE3F8C" w:rsidP="00FE3F8C">
      <w:pPr>
        <w:rPr>
          <w:rStyle w:val="Hyperlink"/>
          <w:rFonts w:cs="Arial"/>
          <w:color w:val="000000" w:themeColor="text1"/>
          <w:szCs w:val="20"/>
        </w:rPr>
      </w:pPr>
      <w:r w:rsidRPr="00DD3A44">
        <w:rPr>
          <w:rFonts w:cs="Arial"/>
          <w:b/>
          <w:szCs w:val="20"/>
        </w:rPr>
        <w:t>ERAC 2019c</w:t>
      </w:r>
      <w:r w:rsidRPr="0057731E">
        <w:rPr>
          <w:rFonts w:cs="Arial"/>
          <w:szCs w:val="20"/>
        </w:rPr>
        <w:t>,</w:t>
      </w:r>
      <w:r w:rsidRPr="00986FBF">
        <w:rPr>
          <w:rFonts w:cs="Arial"/>
          <w:szCs w:val="20"/>
        </w:rPr>
        <w:t xml:space="preserve"> </w:t>
      </w:r>
      <w:r w:rsidRPr="00986FBF">
        <w:rPr>
          <w:rFonts w:cs="Arial"/>
          <w:i/>
          <w:szCs w:val="20"/>
        </w:rPr>
        <w:t>Consultation paper: Combined Review of Emissions Reduction Fund Energy Efficiency Methodologies</w:t>
      </w:r>
      <w:r w:rsidR="00696A0F">
        <w:rPr>
          <w:rFonts w:cs="Arial"/>
          <w:i/>
          <w:szCs w:val="20"/>
        </w:rPr>
        <w:t>,</w:t>
      </w:r>
      <w:r w:rsidR="0026445E">
        <w:rPr>
          <w:rFonts w:cs="Arial"/>
          <w:szCs w:val="20"/>
        </w:rPr>
        <w:t xml:space="preserve"> viewed 21 September </w:t>
      </w:r>
      <w:r w:rsidRPr="00986FBF">
        <w:rPr>
          <w:rFonts w:cs="Arial"/>
          <w:szCs w:val="20"/>
        </w:rPr>
        <w:t>2020</w:t>
      </w:r>
      <w:r w:rsidR="00A83784" w:rsidRPr="00986FBF">
        <w:rPr>
          <w:rFonts w:cs="Arial"/>
          <w:szCs w:val="20"/>
        </w:rPr>
        <w:t>,</w:t>
      </w:r>
      <w:r w:rsidR="00CE7EF8">
        <w:rPr>
          <w:rFonts w:cs="Arial"/>
          <w:szCs w:val="20"/>
        </w:rPr>
        <w:t xml:space="preserve"> </w:t>
      </w:r>
      <w:hyperlink r:id="rId112" w:history="1">
        <w:r w:rsidR="001D464E" w:rsidRPr="00986FBF">
          <w:rPr>
            <w:rStyle w:val="Hyperlink"/>
            <w:rFonts w:cs="Arial"/>
            <w:szCs w:val="20"/>
          </w:rPr>
          <w:t>https://www.environment.gov.au/system/files/consultations/f55d9551-ba51-492d-9f59-4be7b60722c9/files/combined-energy-efficiency-methods-consultation-paper.pdf</w:t>
        </w:r>
      </w:hyperlink>
      <w:r w:rsidR="00CE7EF8">
        <w:rPr>
          <w:rFonts w:cs="Arial"/>
          <w:szCs w:val="20"/>
        </w:rPr>
        <w:t>.</w:t>
      </w:r>
    </w:p>
    <w:p w14:paraId="2621C589" w14:textId="77777777" w:rsidR="00FE3F8C" w:rsidRPr="00986FBF" w:rsidRDefault="00FE3F8C" w:rsidP="00FE3F8C">
      <w:pPr>
        <w:rPr>
          <w:rStyle w:val="Hyperlink"/>
          <w:rFonts w:cs="Arial"/>
          <w:color w:val="000000" w:themeColor="text1"/>
          <w:szCs w:val="20"/>
        </w:rPr>
      </w:pPr>
      <w:r w:rsidRPr="005B01BD">
        <w:rPr>
          <w:rFonts w:cs="Arial"/>
          <w:b/>
          <w:szCs w:val="20"/>
        </w:rPr>
        <w:t>ERAC 2019d</w:t>
      </w:r>
      <w:r w:rsidRPr="00986FBF">
        <w:rPr>
          <w:rFonts w:cs="Arial"/>
          <w:szCs w:val="20"/>
        </w:rPr>
        <w:t xml:space="preserve">, </w:t>
      </w:r>
      <w:r w:rsidRPr="00986FBF">
        <w:rPr>
          <w:rFonts w:cs="Arial"/>
          <w:i/>
          <w:szCs w:val="20"/>
        </w:rPr>
        <w:t>Review of the Human-Induced Regeneration and Native Forest from Managed Regrowth Methods, March 2019,</w:t>
      </w:r>
      <w:r w:rsidRPr="00986FBF">
        <w:rPr>
          <w:rFonts w:cs="Arial"/>
          <w:szCs w:val="20"/>
        </w:rPr>
        <w:t xml:space="preserve"> viewed 6 August 2020, </w:t>
      </w:r>
      <w:hyperlink r:id="rId113" w:history="1">
        <w:r w:rsidRPr="00986FBF">
          <w:rPr>
            <w:rStyle w:val="Hyperlink"/>
            <w:rFonts w:cs="Arial"/>
            <w:szCs w:val="20"/>
          </w:rPr>
          <w:t>http://www.environment.gov.au/system/files/consultations/78b935ed-7dae-4333-87b9-bcf8ffd7724a/files/erac-hir-nfmr-final-report.pdf</w:t>
        </w:r>
      </w:hyperlink>
      <w:r w:rsidRPr="00986FBF">
        <w:rPr>
          <w:rStyle w:val="Hyperlink"/>
          <w:rFonts w:cs="Arial"/>
          <w:color w:val="000000" w:themeColor="text1"/>
          <w:szCs w:val="20"/>
        </w:rPr>
        <w:t>.</w:t>
      </w:r>
    </w:p>
    <w:p w14:paraId="78A3D77B" w14:textId="45E922E9" w:rsidR="00FE3F8C" w:rsidRDefault="00FE3F8C" w:rsidP="00FE3F8C">
      <w:r w:rsidRPr="00840C24">
        <w:rPr>
          <w:rFonts w:cs="Arial"/>
          <w:b/>
          <w:color w:val="000000" w:themeColor="text1"/>
          <w:szCs w:val="20"/>
        </w:rPr>
        <w:t>ERAC 2019</w:t>
      </w:r>
      <w:r w:rsidR="00E71E24">
        <w:rPr>
          <w:rFonts w:cs="Arial"/>
          <w:b/>
          <w:color w:val="000000" w:themeColor="text1"/>
          <w:szCs w:val="20"/>
        </w:rPr>
        <w:t>e</w:t>
      </w:r>
      <w:r w:rsidRPr="0057731E">
        <w:rPr>
          <w:rFonts w:cs="Arial"/>
          <w:color w:val="000000" w:themeColor="text1"/>
          <w:szCs w:val="20"/>
        </w:rPr>
        <w:t>,</w:t>
      </w:r>
      <w:r w:rsidRPr="00986FBF">
        <w:rPr>
          <w:rFonts w:cs="Arial"/>
          <w:color w:val="000000" w:themeColor="text1"/>
          <w:szCs w:val="20"/>
        </w:rPr>
        <w:t xml:space="preserve"> </w:t>
      </w:r>
      <w:r>
        <w:rPr>
          <w:rFonts w:cs="Arial"/>
          <w:i/>
          <w:color w:val="000000"/>
          <w:lang w:val="en"/>
        </w:rPr>
        <w:t>Proposed 2019 amendments to the Carbon Credits (Carbon Farming Initiative) Rule 2015 relating to ERF native forest regeneration projects, 14 March 2019,</w:t>
      </w:r>
      <w:r>
        <w:rPr>
          <w:rFonts w:cs="Arial"/>
          <w:color w:val="000000"/>
          <w:lang w:val="en"/>
        </w:rPr>
        <w:t xml:space="preserve"> viewed 9 September 2020</w:t>
      </w:r>
      <w:r w:rsidR="00A83784">
        <w:rPr>
          <w:rFonts w:cs="Arial"/>
          <w:color w:val="000000"/>
          <w:lang w:val="en"/>
        </w:rPr>
        <w:t>,</w:t>
      </w:r>
      <w:r w:rsidDel="00A83784">
        <w:rPr>
          <w:rFonts w:cs="Arial"/>
          <w:color w:val="000000"/>
          <w:lang w:val="en"/>
        </w:rPr>
        <w:t xml:space="preserve"> </w:t>
      </w:r>
      <w:hyperlink r:id="rId114" w:history="1">
        <w:r>
          <w:rPr>
            <w:rStyle w:val="Hyperlink"/>
            <w:rFonts w:cs="Arial"/>
            <w:lang w:val="en"/>
          </w:rPr>
          <w:t>https://consult.industry.gov.au/climate-change/proposed-2019-amendments-to-the-carbon-credits-car/</w:t>
        </w:r>
      </w:hyperlink>
      <w:r w:rsidR="00441BB7">
        <w:rPr>
          <w:color w:val="000000"/>
        </w:rPr>
        <w:t>.</w:t>
      </w:r>
    </w:p>
    <w:p w14:paraId="647420B4" w14:textId="03CA791E" w:rsidR="00CE7EF8" w:rsidRPr="00693896" w:rsidRDefault="00FE3F8C" w:rsidP="00693896">
      <w:pPr>
        <w:spacing w:after="0"/>
        <w:textAlignment w:val="baseline"/>
        <w:rPr>
          <w:rFonts w:eastAsia="Times New Roman" w:cs="Arial"/>
          <w:szCs w:val="20"/>
          <w:lang w:eastAsia="en-AU"/>
        </w:rPr>
      </w:pPr>
      <w:r w:rsidRPr="0057731E">
        <w:rPr>
          <w:rFonts w:eastAsia="Times New Roman" w:cs="Arial"/>
          <w:b/>
          <w:szCs w:val="20"/>
          <w:lang w:eastAsia="en-AU"/>
        </w:rPr>
        <w:t>ERAC 2018</w:t>
      </w:r>
      <w:r w:rsidRPr="00680992">
        <w:rPr>
          <w:rFonts w:eastAsia="Times New Roman" w:cs="Arial"/>
          <w:b/>
          <w:iCs/>
          <w:szCs w:val="20"/>
          <w:lang w:eastAsia="en-AU"/>
        </w:rPr>
        <w:t xml:space="preserve">, </w:t>
      </w:r>
      <w:r>
        <w:rPr>
          <w:rFonts w:eastAsia="Times New Roman" w:cs="Arial"/>
          <w:i/>
          <w:szCs w:val="20"/>
          <w:lang w:eastAsia="en-AU"/>
        </w:rPr>
        <w:t>Landfill Gas Method Crediting Period Review Report, 28 March 2018,</w:t>
      </w:r>
      <w:r>
        <w:rPr>
          <w:rFonts w:eastAsia="Times New Roman" w:cs="Arial"/>
          <w:szCs w:val="20"/>
          <w:lang w:eastAsia="en-AU"/>
        </w:rPr>
        <w:t xml:space="preserve"> viewed 26 August 2020, </w:t>
      </w:r>
      <w:hyperlink r:id="rId115" w:history="1">
        <w:r w:rsidRPr="00986FBF">
          <w:rPr>
            <w:rStyle w:val="Hyperlink"/>
            <w:rFonts w:eastAsia="Times New Roman" w:cs="Arial"/>
            <w:iCs/>
            <w:szCs w:val="20"/>
            <w:lang w:eastAsia="en-AU"/>
          </w:rPr>
          <w:t>https://www.environment.gov.au/system/files/consultations/53d880e3-2ee1-4853-9a9d-ee48f749fc47/files/erac-landfill-gas-review-report.pdf</w:t>
        </w:r>
      </w:hyperlink>
      <w:r w:rsidRPr="00986FBF">
        <w:rPr>
          <w:rFonts w:eastAsia="Times New Roman" w:cs="Arial"/>
          <w:iCs/>
          <w:szCs w:val="20"/>
          <w:lang w:eastAsia="en-AU"/>
        </w:rPr>
        <w:t xml:space="preserve">. </w:t>
      </w:r>
    </w:p>
    <w:p w14:paraId="42FA3E1E" w14:textId="77777777" w:rsidR="00696A0F" w:rsidRDefault="00696A0F" w:rsidP="00FE3F8C">
      <w:pPr>
        <w:rPr>
          <w:rFonts w:cs="Arial"/>
          <w:b/>
          <w:szCs w:val="20"/>
        </w:rPr>
      </w:pPr>
    </w:p>
    <w:p w14:paraId="6AB905DE" w14:textId="2F28853A" w:rsidR="00FE3F8C" w:rsidRDefault="00FE3F8C" w:rsidP="00FE3F8C">
      <w:pPr>
        <w:rPr>
          <w:rStyle w:val="Hyperlink"/>
          <w:color w:val="000000" w:themeColor="text1"/>
        </w:rPr>
      </w:pPr>
      <w:r w:rsidRPr="00986FBF">
        <w:rPr>
          <w:rFonts w:cs="Arial"/>
          <w:b/>
          <w:szCs w:val="20"/>
        </w:rPr>
        <w:t xml:space="preserve">Great Barrier Reef Foundation </w:t>
      </w:r>
      <w:r w:rsidRPr="00C73146">
        <w:rPr>
          <w:rFonts w:cs="Arial"/>
          <w:b/>
          <w:szCs w:val="20"/>
        </w:rPr>
        <w:t>(GBRF) n.d</w:t>
      </w:r>
      <w:r w:rsidRPr="001F47A9">
        <w:rPr>
          <w:rFonts w:cs="Arial"/>
          <w:b/>
          <w:szCs w:val="20"/>
        </w:rPr>
        <w:t>.</w:t>
      </w:r>
      <w:r w:rsidRPr="001F47A9">
        <w:rPr>
          <w:rFonts w:cs="Arial"/>
          <w:szCs w:val="20"/>
        </w:rPr>
        <w:t>,</w:t>
      </w:r>
      <w:r w:rsidRPr="00986FBF">
        <w:rPr>
          <w:rFonts w:cs="Arial"/>
          <w:szCs w:val="20"/>
        </w:rPr>
        <w:t xml:space="preserve"> </w:t>
      </w:r>
      <w:r w:rsidRPr="00986FBF">
        <w:rPr>
          <w:rFonts w:cs="Arial"/>
          <w:i/>
          <w:szCs w:val="20"/>
        </w:rPr>
        <w:t>Water Quality Improvement</w:t>
      </w:r>
      <w:r w:rsidRPr="00986FBF">
        <w:rPr>
          <w:rFonts w:cs="Arial"/>
          <w:szCs w:val="20"/>
        </w:rPr>
        <w:t xml:space="preserve">, viewed 2 September 2020, </w:t>
      </w:r>
      <w:hyperlink r:id="rId116" w:history="1">
        <w:r w:rsidRPr="00986FBF">
          <w:rPr>
            <w:rStyle w:val="Hyperlink"/>
            <w:rFonts w:cs="Arial"/>
            <w:szCs w:val="20"/>
          </w:rPr>
          <w:t>https://www.barrierreef.org/what-we-do/reef-trust-partnership/water-quality-improvement</w:t>
        </w:r>
      </w:hyperlink>
      <w:r w:rsidRPr="0057731E">
        <w:rPr>
          <w:rStyle w:val="Hyperlink"/>
          <w:rFonts w:cs="Arial"/>
          <w:color w:val="000000" w:themeColor="text1"/>
          <w:szCs w:val="20"/>
          <w:u w:val="none"/>
        </w:rPr>
        <w:t>.</w:t>
      </w:r>
    </w:p>
    <w:p w14:paraId="116A6D09" w14:textId="3467AB20" w:rsidR="00CE7EF8" w:rsidRDefault="00FE3F8C" w:rsidP="00693896">
      <w:pPr>
        <w:spacing w:after="0"/>
        <w:textAlignment w:val="baseline"/>
        <w:rPr>
          <w:rFonts w:eastAsia="Times New Roman" w:cs="Arial"/>
          <w:szCs w:val="20"/>
          <w:lang w:eastAsia="en-AU"/>
        </w:rPr>
      </w:pPr>
      <w:r w:rsidRPr="00EE6C4B">
        <w:rPr>
          <w:rFonts w:eastAsia="Times New Roman" w:cs="Arial"/>
          <w:b/>
          <w:szCs w:val="20"/>
          <w:lang w:eastAsia="en-AU"/>
        </w:rPr>
        <w:t>Henskens, L, Battaglia,</w:t>
      </w:r>
      <w:r w:rsidRPr="00986FBF">
        <w:rPr>
          <w:rFonts w:eastAsia="Times New Roman" w:cs="Arial"/>
          <w:b/>
          <w:szCs w:val="20"/>
          <w:lang w:eastAsia="en-AU"/>
        </w:rPr>
        <w:t xml:space="preserve"> M, Cherry, L, and Beadle, L (2001), </w:t>
      </w:r>
      <w:r w:rsidRPr="00986FBF">
        <w:rPr>
          <w:rFonts w:eastAsia="Times New Roman" w:cs="Arial"/>
          <w:szCs w:val="20"/>
          <w:lang w:eastAsia="en-AU"/>
        </w:rPr>
        <w:t xml:space="preserve">Physiological basis of spacing effects on tree growth and form in Eucalyptus globulus, </w:t>
      </w:r>
      <w:r w:rsidRPr="00986FBF">
        <w:rPr>
          <w:rFonts w:eastAsia="Times New Roman" w:cs="Arial"/>
          <w:i/>
          <w:szCs w:val="20"/>
          <w:lang w:eastAsia="en-AU"/>
        </w:rPr>
        <w:t>Trees</w:t>
      </w:r>
      <w:r w:rsidRPr="00680992">
        <w:rPr>
          <w:rFonts w:eastAsia="Times New Roman" w:cs="Arial"/>
          <w:szCs w:val="20"/>
          <w:lang w:eastAsia="en-AU"/>
        </w:rPr>
        <w:t>, pp. 365 – 77</w:t>
      </w:r>
      <w:r w:rsidR="00CE7EF8">
        <w:rPr>
          <w:rFonts w:eastAsia="Times New Roman" w:cs="Arial"/>
          <w:szCs w:val="20"/>
          <w:lang w:eastAsia="en-AU"/>
        </w:rPr>
        <w:t>.</w:t>
      </w:r>
    </w:p>
    <w:p w14:paraId="3BC5D220" w14:textId="77777777" w:rsidR="00342FA0" w:rsidRPr="00693896" w:rsidRDefault="00342FA0" w:rsidP="00693896">
      <w:pPr>
        <w:spacing w:after="0"/>
        <w:textAlignment w:val="baseline"/>
        <w:rPr>
          <w:rFonts w:eastAsia="Times New Roman" w:cs="Arial"/>
          <w:szCs w:val="20"/>
          <w:lang w:eastAsia="en-AU"/>
        </w:rPr>
      </w:pPr>
    </w:p>
    <w:p w14:paraId="31067B3B" w14:textId="5A0E6C4B" w:rsidR="00FE3F8C" w:rsidRPr="00986FBF" w:rsidRDefault="00FE3F8C" w:rsidP="00FE3F8C">
      <w:pPr>
        <w:rPr>
          <w:rFonts w:cs="Arial"/>
          <w:color w:val="000000" w:themeColor="text1"/>
          <w:szCs w:val="20"/>
        </w:rPr>
      </w:pPr>
      <w:r w:rsidRPr="000F6F89">
        <w:rPr>
          <w:rFonts w:eastAsia="Times New Roman" w:cs="Arial"/>
          <w:b/>
          <w:color w:val="000000" w:themeColor="text1"/>
          <w:szCs w:val="20"/>
          <w:lang w:eastAsia="en-AU"/>
        </w:rPr>
        <w:t>ICIN 2020</w:t>
      </w:r>
      <w:r w:rsidRPr="00986FBF">
        <w:rPr>
          <w:rFonts w:eastAsia="Times New Roman" w:cs="Arial"/>
          <w:i/>
          <w:color w:val="000000" w:themeColor="text1"/>
          <w:szCs w:val="20"/>
          <w:lang w:eastAsia="en-AU"/>
        </w:rPr>
        <w:t>, Seeking free, prior and informed consent from Indigenous communities for carbon projects. A best practice guide for carbon project developers, February 2020</w:t>
      </w:r>
      <w:r w:rsidRPr="00986FBF">
        <w:rPr>
          <w:rFonts w:eastAsia="Times New Roman" w:cs="Arial"/>
          <w:color w:val="000000" w:themeColor="text1"/>
          <w:szCs w:val="20"/>
          <w:lang w:eastAsia="en-AU"/>
        </w:rPr>
        <w:t>, viewed 3 September 2020</w:t>
      </w:r>
      <w:r w:rsidR="00696A0F">
        <w:rPr>
          <w:rFonts w:eastAsia="Times New Roman" w:cs="Arial"/>
          <w:color w:val="000000" w:themeColor="text1"/>
          <w:szCs w:val="20"/>
          <w:lang w:eastAsia="en-AU"/>
        </w:rPr>
        <w:t>,</w:t>
      </w:r>
      <w:hyperlink r:id="rId117" w:history="1">
        <w:r w:rsidRPr="00986FBF">
          <w:rPr>
            <w:rStyle w:val="Hyperlink"/>
            <w:rFonts w:cs="Arial"/>
            <w:szCs w:val="20"/>
          </w:rPr>
          <w:t>https://d3n8a8pro7vhmx.cloudfront.net/icin/pages/34/attachments/original/1595809263/ICIN_Seeking_FPIC_from_Indigenous_communities_for_Carbon_Projects_Guide_FINAL_Feb_2020.pdf?1595809263</w:t>
        </w:r>
      </w:hyperlink>
      <w:r w:rsidRPr="00986FBF">
        <w:rPr>
          <w:rFonts w:cs="Arial"/>
          <w:color w:val="000000" w:themeColor="text1"/>
          <w:szCs w:val="20"/>
        </w:rPr>
        <w:t>.</w:t>
      </w:r>
    </w:p>
    <w:p w14:paraId="60B24958" w14:textId="44725AC8" w:rsidR="00FE3F8C" w:rsidRDefault="00FE3F8C" w:rsidP="00FE3F8C">
      <w:pPr>
        <w:rPr>
          <w:rStyle w:val="Hyperlink"/>
          <w:color w:val="000000" w:themeColor="text1"/>
        </w:rPr>
      </w:pPr>
      <w:r w:rsidRPr="00226145">
        <w:rPr>
          <w:rFonts w:cs="Arial"/>
          <w:b/>
          <w:szCs w:val="20"/>
        </w:rPr>
        <w:t>ICROA 2020</w:t>
      </w:r>
      <w:r w:rsidRPr="00986FBF">
        <w:rPr>
          <w:rFonts w:cs="Arial"/>
          <w:b/>
          <w:szCs w:val="20"/>
        </w:rPr>
        <w:t>,</w:t>
      </w:r>
      <w:r w:rsidRPr="00986FBF">
        <w:rPr>
          <w:rFonts w:cs="Arial"/>
          <w:szCs w:val="20"/>
        </w:rPr>
        <w:t xml:space="preserve"> ICROA </w:t>
      </w:r>
      <w:r w:rsidRPr="00986FBF">
        <w:rPr>
          <w:rFonts w:cs="Arial"/>
          <w:i/>
          <w:szCs w:val="20"/>
        </w:rPr>
        <w:t>Offset Standard Review Criteria</w:t>
      </w:r>
      <w:r w:rsidRPr="00986FBF">
        <w:rPr>
          <w:rFonts w:cs="Arial"/>
          <w:szCs w:val="20"/>
        </w:rPr>
        <w:t xml:space="preserve">, viewed 30 July </w:t>
      </w:r>
      <w:r w:rsidR="00226145">
        <w:rPr>
          <w:rFonts w:cs="Arial"/>
          <w:szCs w:val="20"/>
        </w:rPr>
        <w:t>2020</w:t>
      </w:r>
      <w:r w:rsidRPr="00986FBF">
        <w:rPr>
          <w:rFonts w:cs="Arial"/>
          <w:szCs w:val="20"/>
        </w:rPr>
        <w:t xml:space="preserve">, </w:t>
      </w:r>
      <w:hyperlink r:id="rId118" w:history="1">
        <w:r w:rsidRPr="00986FBF">
          <w:rPr>
            <w:rStyle w:val="Hyperlink"/>
            <w:rFonts w:cs="Arial"/>
            <w:szCs w:val="20"/>
          </w:rPr>
          <w:t>https://www.icroa.org/resources/Documents/ICROA%20Offset%20Standard%20Review%20Criteria%202020.pdf</w:t>
        </w:r>
      </w:hyperlink>
      <w:r w:rsidRPr="00986FBF">
        <w:rPr>
          <w:rStyle w:val="Hyperlink"/>
          <w:rFonts w:cs="Arial"/>
          <w:color w:val="000000" w:themeColor="text1"/>
          <w:szCs w:val="20"/>
        </w:rPr>
        <w:t>.</w:t>
      </w:r>
    </w:p>
    <w:p w14:paraId="32B496AD" w14:textId="77777777" w:rsidR="00FE3F8C" w:rsidRPr="00986FBF" w:rsidRDefault="00FE3F8C" w:rsidP="00FE3F8C">
      <w:pPr>
        <w:rPr>
          <w:rStyle w:val="Hyperlink"/>
          <w:rFonts w:cs="Arial"/>
          <w:color w:val="000000" w:themeColor="text1"/>
          <w:szCs w:val="20"/>
        </w:rPr>
      </w:pPr>
      <w:r w:rsidRPr="00480CD7">
        <w:rPr>
          <w:rFonts w:cs="Arial"/>
          <w:b/>
          <w:szCs w:val="20"/>
        </w:rPr>
        <w:t>ICROA 2018</w:t>
      </w:r>
      <w:r w:rsidRPr="00480CD7">
        <w:rPr>
          <w:rFonts w:cs="Arial"/>
          <w:szCs w:val="20"/>
        </w:rPr>
        <w:t>,</w:t>
      </w:r>
      <w:r w:rsidRPr="00986FBF">
        <w:rPr>
          <w:rFonts w:cs="Arial"/>
          <w:szCs w:val="20"/>
        </w:rPr>
        <w:t xml:space="preserve"> </w:t>
      </w:r>
      <w:r w:rsidRPr="00986FBF">
        <w:rPr>
          <w:rFonts w:cs="Arial"/>
          <w:i/>
          <w:szCs w:val="20"/>
        </w:rPr>
        <w:t>The ICROA code of best practice</w:t>
      </w:r>
      <w:r w:rsidRPr="00986FBF">
        <w:rPr>
          <w:rFonts w:cs="Arial"/>
          <w:szCs w:val="20"/>
        </w:rPr>
        <w:t xml:space="preserve">, viewed 30 July 2020, </w:t>
      </w:r>
      <w:hyperlink r:id="rId119" w:history="1">
        <w:r w:rsidRPr="00986FBF">
          <w:rPr>
            <w:rStyle w:val="Hyperlink"/>
            <w:rFonts w:cs="Arial"/>
            <w:szCs w:val="20"/>
          </w:rPr>
          <w:t>https://www.icroa.org/The-ICROA-Code-of-Best-Practice</w:t>
        </w:r>
      </w:hyperlink>
      <w:r w:rsidRPr="00986FBF">
        <w:rPr>
          <w:rStyle w:val="Hyperlink"/>
          <w:rFonts w:cs="Arial"/>
          <w:color w:val="000000" w:themeColor="text1"/>
          <w:szCs w:val="20"/>
        </w:rPr>
        <w:t>.</w:t>
      </w:r>
    </w:p>
    <w:p w14:paraId="55053F4A" w14:textId="77777777" w:rsidR="00FE3F8C" w:rsidRPr="00680992" w:rsidRDefault="00FE3F8C" w:rsidP="00FE3F8C">
      <w:pPr>
        <w:rPr>
          <w:rStyle w:val="Hyperlink"/>
          <w:rFonts w:cs="Arial"/>
          <w:color w:val="000000" w:themeColor="text1"/>
          <w:szCs w:val="20"/>
          <w:u w:val="none"/>
        </w:rPr>
      </w:pPr>
      <w:r w:rsidRPr="0057731E">
        <w:rPr>
          <w:rStyle w:val="Hyperlink"/>
          <w:rFonts w:cs="Arial"/>
          <w:b/>
          <w:color w:val="000000" w:themeColor="text1"/>
          <w:szCs w:val="20"/>
          <w:u w:val="none"/>
        </w:rPr>
        <w:t>Joyce, A, Kellomaki, S, Louman, B, Ogden, E, Parrotta, J, and Thompson, I, (2009)</w:t>
      </w:r>
      <w:r w:rsidRPr="00986FBF">
        <w:rPr>
          <w:rStyle w:val="Hyperlink"/>
          <w:rFonts w:cs="Arial"/>
          <w:color w:val="000000" w:themeColor="text1"/>
          <w:szCs w:val="20"/>
          <w:u w:val="none"/>
        </w:rPr>
        <w:t xml:space="preserve">, ‘Management and Adaptation. In: Adaptation of forests and people to climate change - a global assessment report’, (eds R. Seppala, A. Buck and P. Katila) IUFRO, vol. 22, pp. 135 - 86. </w:t>
      </w:r>
    </w:p>
    <w:p w14:paraId="4559EEEC" w14:textId="77777777" w:rsidR="00FE3F8C" w:rsidRDefault="00FE3F8C" w:rsidP="00FE3F8C">
      <w:r w:rsidRPr="003441B8">
        <w:rPr>
          <w:rFonts w:cs="Arial"/>
          <w:b/>
          <w:color w:val="000000" w:themeColor="text1"/>
          <w:szCs w:val="20"/>
        </w:rPr>
        <w:t>Lacy, P, (2008)</w:t>
      </w:r>
      <w:r w:rsidRPr="00EE6C4B">
        <w:rPr>
          <w:rFonts w:cs="Arial"/>
          <w:color w:val="000000" w:themeColor="text1"/>
          <w:szCs w:val="20"/>
        </w:rPr>
        <w:t>,</w:t>
      </w:r>
      <w:r w:rsidRPr="00986FBF">
        <w:rPr>
          <w:rFonts w:cs="Arial"/>
          <w:color w:val="000000" w:themeColor="text1"/>
          <w:szCs w:val="20"/>
        </w:rPr>
        <w:t xml:space="preserve"> Burning Under Young Eucalypts. PhD In: School of Physical, Environmental, and Mathematical Sciences. University of New South Wales.</w:t>
      </w:r>
    </w:p>
    <w:p w14:paraId="262FA2EF" w14:textId="234BC260" w:rsidR="00FE3F8C" w:rsidRDefault="00FE3F8C" w:rsidP="00FE3F8C">
      <w:pPr>
        <w:rPr>
          <w:rStyle w:val="Hyperlink"/>
          <w:color w:val="000000" w:themeColor="text1"/>
        </w:rPr>
      </w:pPr>
      <w:r w:rsidRPr="0057731E">
        <w:rPr>
          <w:rFonts w:cs="Arial"/>
          <w:b/>
          <w:szCs w:val="20"/>
        </w:rPr>
        <w:t>Macintosh, A, Roberts, G and Buchan, S 2019</w:t>
      </w:r>
      <w:r w:rsidRPr="008777B5">
        <w:rPr>
          <w:rFonts w:cs="Arial"/>
          <w:szCs w:val="20"/>
        </w:rPr>
        <w:t>,</w:t>
      </w:r>
      <w:r w:rsidRPr="00680992">
        <w:rPr>
          <w:rFonts w:cs="Arial"/>
          <w:szCs w:val="20"/>
        </w:rPr>
        <w:t xml:space="preserve"> Improving Carbon Markets to Increase Farmer Participation, </w:t>
      </w:r>
      <w:r>
        <w:rPr>
          <w:rFonts w:cs="Arial"/>
          <w:i/>
          <w:szCs w:val="20"/>
        </w:rPr>
        <w:t xml:space="preserve">AgriFutures </w:t>
      </w:r>
      <w:r>
        <w:rPr>
          <w:rFonts w:cs="Arial"/>
          <w:szCs w:val="20"/>
        </w:rPr>
        <w:t>viewed 28 August 2020</w:t>
      </w:r>
      <w:r w:rsidR="00EB0CE7" w:rsidDel="008777B5">
        <w:rPr>
          <w:rFonts w:cs="Arial"/>
          <w:szCs w:val="20"/>
        </w:rPr>
        <w:t>,</w:t>
      </w:r>
      <w:r w:rsidR="00EB0CE7" w:rsidRPr="00EB0CE7">
        <w:rPr>
          <w:rStyle w:val="Hyperlink"/>
          <w:rFonts w:cs="Arial"/>
          <w:color w:val="000000" w:themeColor="text1"/>
          <w:szCs w:val="20"/>
          <w:u w:val="none"/>
        </w:rPr>
        <w:t xml:space="preserve"> </w:t>
      </w:r>
      <w:hyperlink r:id="rId120" w:history="1">
        <w:r w:rsidR="00EB0CE7" w:rsidRPr="00EB0CE7">
          <w:rPr>
            <w:rStyle w:val="Hyperlink"/>
            <w:rFonts w:cs="Arial"/>
          </w:rPr>
          <w:t>https://www.agrifutures.com.au/wp-content/uploads/2019/07/19-026-Digital-1.pdf</w:t>
        </w:r>
      </w:hyperlink>
      <w:r w:rsidR="00EB0CE7">
        <w:rPr>
          <w:rStyle w:val="Hyperlink"/>
          <w:rFonts w:cs="Arial"/>
          <w:u w:val="none"/>
        </w:rPr>
        <w:t>.</w:t>
      </w:r>
    </w:p>
    <w:p w14:paraId="0C8A8471" w14:textId="658600DA" w:rsidR="00FE3F8C" w:rsidRDefault="00FE3F8C" w:rsidP="00FE3F8C">
      <w:pPr>
        <w:rPr>
          <w:rFonts w:eastAsia="Times New Roman"/>
          <w:b/>
          <w:lang w:eastAsia="en-AU"/>
        </w:rPr>
      </w:pPr>
      <w:r>
        <w:rPr>
          <w:b/>
        </w:rPr>
        <w:t xml:space="preserve">MAG pers. comm. </w:t>
      </w:r>
      <w:r w:rsidR="00275D98">
        <w:rPr>
          <w:b/>
        </w:rPr>
        <w:t>(</w:t>
      </w:r>
      <w:r w:rsidR="00275D98" w:rsidRPr="00BE6659">
        <w:rPr>
          <w:b/>
        </w:rPr>
        <w:t>MAG 2020</w:t>
      </w:r>
      <w:r w:rsidR="00275D98">
        <w:rPr>
          <w:b/>
        </w:rPr>
        <w:t>)</w:t>
      </w:r>
      <w:r>
        <w:t xml:space="preserve"> 10 September 2020.</w:t>
      </w:r>
    </w:p>
    <w:p w14:paraId="748AFAAD" w14:textId="77777777" w:rsidR="00FE3F8C" w:rsidRPr="00680992" w:rsidRDefault="00FE3F8C" w:rsidP="00FE3F8C">
      <w:pPr>
        <w:rPr>
          <w:rFonts w:eastAsia="Times New Roman" w:cs="Arial"/>
          <w:color w:val="000000" w:themeColor="text1"/>
          <w:szCs w:val="20"/>
          <w:lang w:eastAsia="en-AU"/>
        </w:rPr>
      </w:pPr>
      <w:r w:rsidRPr="00D93A55">
        <w:rPr>
          <w:rFonts w:eastAsia="Times New Roman" w:cs="Arial"/>
          <w:b/>
          <w:color w:val="000000" w:themeColor="text1"/>
          <w:szCs w:val="20"/>
          <w:lang w:eastAsia="en-AU"/>
        </w:rPr>
        <w:t>Mendham, D, White, A</w:t>
      </w:r>
      <w:r w:rsidRPr="00986FBF">
        <w:rPr>
          <w:rFonts w:eastAsia="Times New Roman" w:cs="Arial"/>
          <w:b/>
          <w:color w:val="000000" w:themeColor="text1"/>
          <w:szCs w:val="20"/>
          <w:lang w:eastAsia="en-AU"/>
        </w:rPr>
        <w:t>, Battaglia, M, Kinal, J, Walker, N, Rance, S, McGrath, F, and Abou Arra, S (2007)</w:t>
      </w:r>
      <w:r w:rsidRPr="00986FBF">
        <w:rPr>
          <w:rFonts w:eastAsia="Times New Roman" w:cs="Arial"/>
          <w:color w:val="000000" w:themeColor="text1"/>
          <w:szCs w:val="20"/>
          <w:lang w:eastAsia="en-AU"/>
        </w:rPr>
        <w:t xml:space="preserve">, ‘Managing the trade-off between productivity and risk in the bluegum plantations of south-western Australia’, CSIRO. </w:t>
      </w:r>
    </w:p>
    <w:p w14:paraId="527E4646" w14:textId="2C798DA0" w:rsidR="00FE3F8C" w:rsidRPr="00986FBF" w:rsidRDefault="00FE3F8C" w:rsidP="00FE3F8C">
      <w:pPr>
        <w:rPr>
          <w:rFonts w:eastAsia="Times New Roman" w:cs="Arial"/>
          <w:b/>
          <w:bCs/>
          <w:color w:val="000000" w:themeColor="text1"/>
          <w:szCs w:val="20"/>
          <w:lang w:eastAsia="en-AU"/>
        </w:rPr>
      </w:pPr>
      <w:r w:rsidRPr="004128C1">
        <w:rPr>
          <w:rFonts w:eastAsia="Times New Roman" w:cs="Arial"/>
          <w:b/>
          <w:color w:val="000000" w:themeColor="text1"/>
          <w:szCs w:val="20"/>
          <w:lang w:eastAsia="en-AU"/>
        </w:rPr>
        <w:t>Parliament of Australia 2011</w:t>
      </w:r>
      <w:r w:rsidRPr="0057731E">
        <w:rPr>
          <w:rFonts w:eastAsia="Times New Roman" w:cs="Arial"/>
          <w:color w:val="000000" w:themeColor="text1"/>
          <w:szCs w:val="20"/>
          <w:lang w:eastAsia="en-AU"/>
        </w:rPr>
        <w:t>,</w:t>
      </w:r>
      <w:r w:rsidRPr="00986FBF">
        <w:rPr>
          <w:rFonts w:eastAsia="Times New Roman" w:cs="Arial"/>
          <w:color w:val="000000" w:themeColor="text1"/>
          <w:szCs w:val="20"/>
          <w:lang w:eastAsia="en-AU"/>
        </w:rPr>
        <w:t xml:space="preserve"> </w:t>
      </w:r>
      <w:r w:rsidRPr="00986FBF">
        <w:rPr>
          <w:rFonts w:eastAsia="Times New Roman" w:cs="Arial"/>
          <w:i/>
          <w:color w:val="000000" w:themeColor="text1"/>
          <w:szCs w:val="20"/>
          <w:lang w:eastAsia="en-AU"/>
        </w:rPr>
        <w:t>Clean Energy Bill 2011,</w:t>
      </w:r>
      <w:r w:rsidRPr="00986FBF">
        <w:rPr>
          <w:rFonts w:eastAsia="Times New Roman" w:cs="Arial"/>
          <w:color w:val="000000" w:themeColor="text1"/>
          <w:szCs w:val="20"/>
          <w:lang w:eastAsia="en-AU"/>
        </w:rPr>
        <w:t xml:space="preserve"> viewed 7 September 2020, </w:t>
      </w:r>
      <w:hyperlink r:id="rId121" w:history="1">
        <w:r w:rsidRPr="00986FBF">
          <w:rPr>
            <w:rStyle w:val="Hyperlink"/>
            <w:rFonts w:eastAsia="Times New Roman" w:cs="Arial"/>
            <w:szCs w:val="20"/>
            <w:lang w:eastAsia="en-AU"/>
          </w:rPr>
          <w:t>https://www.aph.gov.au/Parliamentary_Business/Bills_Legislation/bd/bd1112a/12bd068</w:t>
        </w:r>
      </w:hyperlink>
      <w:r w:rsidR="00732F32" w:rsidRPr="0057731E">
        <w:rPr>
          <w:rFonts w:eastAsia="Times New Roman" w:cs="Arial"/>
          <w:color w:val="000000" w:themeColor="text1"/>
          <w:szCs w:val="20"/>
          <w:lang w:eastAsia="en-AU"/>
        </w:rPr>
        <w:t>.</w:t>
      </w:r>
    </w:p>
    <w:p w14:paraId="515ACEC9" w14:textId="47C9AFCB" w:rsidR="00FE3F8C" w:rsidRPr="00986FBF" w:rsidRDefault="00FE3F8C" w:rsidP="00FE3F8C">
      <w:pPr>
        <w:rPr>
          <w:rFonts w:eastAsia="Times New Roman" w:cs="Arial"/>
          <w:color w:val="000000" w:themeColor="text1"/>
          <w:szCs w:val="20"/>
          <w:lang w:eastAsia="en-AU"/>
        </w:rPr>
      </w:pPr>
      <w:r w:rsidRPr="0057731E">
        <w:rPr>
          <w:rFonts w:eastAsia="Times New Roman" w:cs="Arial"/>
          <w:b/>
          <w:color w:val="000000" w:themeColor="text1"/>
          <w:szCs w:val="20"/>
          <w:lang w:eastAsia="en-AU"/>
        </w:rPr>
        <w:t>Morrison</w:t>
      </w:r>
      <w:r w:rsidR="000F4ADE">
        <w:rPr>
          <w:rFonts w:eastAsia="Times New Roman" w:cs="Arial"/>
          <w:b/>
          <w:color w:val="000000" w:themeColor="text1"/>
          <w:szCs w:val="20"/>
          <w:lang w:eastAsia="en-AU"/>
        </w:rPr>
        <w:t xml:space="preserve"> S 2019</w:t>
      </w:r>
      <w:r w:rsidRPr="00986FBF">
        <w:rPr>
          <w:rFonts w:eastAsia="Times New Roman" w:cs="Arial"/>
          <w:color w:val="000000" w:themeColor="text1"/>
          <w:szCs w:val="20"/>
          <w:lang w:eastAsia="en-AU"/>
        </w:rPr>
        <w:t>,</w:t>
      </w:r>
      <w:r w:rsidR="000F4ADE">
        <w:rPr>
          <w:rFonts w:eastAsia="Times New Roman" w:cs="Arial"/>
          <w:color w:val="000000" w:themeColor="text1"/>
          <w:szCs w:val="20"/>
          <w:lang w:eastAsia="en-AU"/>
        </w:rPr>
        <w:t xml:space="preserve"> </w:t>
      </w:r>
      <w:r w:rsidRPr="0057731E">
        <w:rPr>
          <w:rFonts w:eastAsia="Times New Roman" w:cs="Arial"/>
          <w:i/>
          <w:color w:val="000000" w:themeColor="text1"/>
          <w:szCs w:val="20"/>
          <w:lang w:eastAsia="en-AU"/>
        </w:rPr>
        <w:t>Climate Solutions’</w:t>
      </w:r>
      <w:r w:rsidRPr="00986FBF">
        <w:rPr>
          <w:rFonts w:eastAsia="Times New Roman" w:cs="Arial"/>
          <w:color w:val="000000" w:themeColor="text1"/>
          <w:szCs w:val="20"/>
          <w:lang w:eastAsia="en-AU"/>
        </w:rPr>
        <w:t xml:space="preserve">, </w:t>
      </w:r>
      <w:r w:rsidR="000F4ADE">
        <w:rPr>
          <w:rFonts w:eastAsia="Times New Roman" w:cs="Arial"/>
          <w:color w:val="000000" w:themeColor="text1"/>
          <w:szCs w:val="20"/>
          <w:lang w:eastAsia="en-AU"/>
        </w:rPr>
        <w:t xml:space="preserve">Speech </w:t>
      </w:r>
      <w:r w:rsidRPr="00986FBF">
        <w:rPr>
          <w:rFonts w:eastAsia="Times New Roman" w:cs="Arial"/>
          <w:color w:val="000000" w:themeColor="text1"/>
          <w:szCs w:val="20"/>
          <w:lang w:eastAsia="en-AU"/>
        </w:rPr>
        <w:t xml:space="preserve">25 February 2019, </w:t>
      </w:r>
      <w:r w:rsidRPr="00986FBF">
        <w:rPr>
          <w:rFonts w:eastAsia="Times New Roman" w:cs="Arial"/>
          <w:bCs/>
          <w:color w:val="000000" w:themeColor="text1"/>
          <w:szCs w:val="20"/>
          <w:lang w:eastAsia="en-AU"/>
        </w:rPr>
        <w:t xml:space="preserve">viewed 9 September 2020, </w:t>
      </w:r>
      <w:hyperlink r:id="rId122" w:history="1">
        <w:r w:rsidRPr="00986FBF">
          <w:rPr>
            <w:rStyle w:val="Hyperlink"/>
            <w:rFonts w:eastAsia="Times New Roman" w:cs="Arial"/>
            <w:szCs w:val="20"/>
            <w:lang w:eastAsia="en-AU"/>
          </w:rPr>
          <w:t>https://www.pm.gov.au/media/speech-climate-solutions</w:t>
        </w:r>
      </w:hyperlink>
      <w:r w:rsidRPr="00986FBF">
        <w:rPr>
          <w:rFonts w:eastAsia="Times New Roman" w:cs="Arial"/>
          <w:color w:val="000000" w:themeColor="text1"/>
          <w:szCs w:val="20"/>
          <w:lang w:eastAsia="en-AU"/>
        </w:rPr>
        <w:t xml:space="preserve">. </w:t>
      </w:r>
    </w:p>
    <w:p w14:paraId="23BBC951" w14:textId="6FFCCB2A" w:rsidR="00FE3F8C" w:rsidRPr="00986FBF" w:rsidRDefault="000C1527" w:rsidP="00FE3F8C">
      <w:pPr>
        <w:rPr>
          <w:rFonts w:eastAsia="Times New Roman" w:cs="Arial"/>
          <w:color w:val="000000" w:themeColor="text1"/>
          <w:szCs w:val="20"/>
          <w:lang w:eastAsia="en-AU"/>
        </w:rPr>
      </w:pPr>
      <w:r w:rsidRPr="000C1527">
        <w:rPr>
          <w:b/>
          <w:lang w:val="en-US"/>
        </w:rPr>
        <w:t xml:space="preserve">Morrison S, Taylor A </w:t>
      </w:r>
      <w:r w:rsidR="002D2670" w:rsidRPr="000C1527" w:rsidDel="000C1527">
        <w:rPr>
          <w:b/>
          <w:lang w:val="en-US"/>
        </w:rPr>
        <w:t>2020</w:t>
      </w:r>
      <w:r w:rsidR="00FE3F8C" w:rsidRPr="00986FBF">
        <w:rPr>
          <w:rFonts w:eastAsia="Times New Roman" w:cs="Arial"/>
          <w:bCs/>
          <w:color w:val="000000" w:themeColor="text1"/>
          <w:szCs w:val="20"/>
          <w:lang w:eastAsia="en-AU"/>
        </w:rPr>
        <w:t>, Media Release 17 September 2020, viewed 23 September 2020</w:t>
      </w:r>
      <w:r w:rsidR="00A83784" w:rsidRPr="00986FBF">
        <w:rPr>
          <w:rFonts w:eastAsia="Times New Roman" w:cs="Arial"/>
          <w:bCs/>
          <w:color w:val="000000" w:themeColor="text1"/>
          <w:szCs w:val="20"/>
          <w:lang w:eastAsia="en-AU"/>
        </w:rPr>
        <w:t>,</w:t>
      </w:r>
      <w:r w:rsidR="00FE3F8C">
        <w:t xml:space="preserve"> </w:t>
      </w:r>
      <w:hyperlink r:id="rId123" w:history="1">
        <w:r w:rsidR="00FE3F8C">
          <w:rPr>
            <w:rStyle w:val="Hyperlink"/>
          </w:rPr>
          <w:t>https://www.pm.gov.au/media/investment-new-energy-technologies</w:t>
        </w:r>
      </w:hyperlink>
    </w:p>
    <w:p w14:paraId="7626E929" w14:textId="4E503412" w:rsidR="00FE3F8C" w:rsidRPr="00986FBF" w:rsidRDefault="00FE3F8C" w:rsidP="00FE3F8C">
      <w:pPr>
        <w:rPr>
          <w:rFonts w:cs="Arial"/>
          <w:b/>
          <w:szCs w:val="20"/>
        </w:rPr>
      </w:pPr>
      <w:r w:rsidRPr="00590039">
        <w:rPr>
          <w:rFonts w:cs="Arial"/>
          <w:b/>
          <w:szCs w:val="20"/>
        </w:rPr>
        <w:t>Queensland Government 2020a</w:t>
      </w:r>
      <w:r w:rsidRPr="00986FBF">
        <w:rPr>
          <w:rFonts w:cs="Arial"/>
          <w:b/>
          <w:szCs w:val="20"/>
        </w:rPr>
        <w:t xml:space="preserve">, </w:t>
      </w:r>
      <w:r w:rsidRPr="00986FBF">
        <w:rPr>
          <w:rFonts w:cs="Arial"/>
          <w:i/>
          <w:szCs w:val="20"/>
        </w:rPr>
        <w:t>Land Restoration Fund to create jobs and environmental benefits, Media statement, 1 September 2020,</w:t>
      </w:r>
      <w:r w:rsidRPr="00986FBF">
        <w:rPr>
          <w:rFonts w:cs="Arial"/>
          <w:szCs w:val="20"/>
        </w:rPr>
        <w:t xml:space="preserve"> viewed 18 September 2020</w:t>
      </w:r>
      <w:r w:rsidR="00A83784" w:rsidRPr="00986FBF">
        <w:rPr>
          <w:rFonts w:cs="Arial"/>
          <w:b/>
          <w:szCs w:val="20"/>
        </w:rPr>
        <w:t>,</w:t>
      </w:r>
      <w:hyperlink r:id="rId124" w:history="1">
        <w:r>
          <w:rPr>
            <w:rStyle w:val="Hyperlink"/>
          </w:rPr>
          <w:t>https://statements.qld.gov.au/statements/90611</w:t>
        </w:r>
      </w:hyperlink>
      <w:r w:rsidR="00CE7EF8">
        <w:rPr>
          <w:rStyle w:val="Hyperlink"/>
          <w:u w:val="none"/>
        </w:rPr>
        <w:t>.</w:t>
      </w:r>
    </w:p>
    <w:p w14:paraId="1DB8F6F8" w14:textId="547C12F3" w:rsidR="00FE3F8C" w:rsidRPr="00986FBF" w:rsidRDefault="00FE3F8C" w:rsidP="00FE3F8C">
      <w:pPr>
        <w:rPr>
          <w:rStyle w:val="Hyperlink"/>
          <w:rFonts w:cs="Arial"/>
          <w:color w:val="000000" w:themeColor="text1"/>
          <w:szCs w:val="20"/>
        </w:rPr>
      </w:pPr>
      <w:r w:rsidRPr="00FC386C">
        <w:rPr>
          <w:rFonts w:cs="Arial"/>
          <w:b/>
          <w:szCs w:val="20"/>
        </w:rPr>
        <w:t>Queensland Government 2020b</w:t>
      </w:r>
      <w:r w:rsidRPr="00986FBF">
        <w:rPr>
          <w:rFonts w:cs="Arial"/>
          <w:szCs w:val="20"/>
        </w:rPr>
        <w:t>,</w:t>
      </w:r>
      <w:r w:rsidRPr="00986FBF">
        <w:rPr>
          <w:rStyle w:val="Hyperlink"/>
          <w:rFonts w:cs="Arial"/>
          <w:i/>
          <w:color w:val="000000" w:themeColor="text1"/>
          <w:szCs w:val="20"/>
          <w:u w:val="none"/>
        </w:rPr>
        <w:t>Land Restoration Fund, 2020 Investment Round 1, Investment Application Guideline, Version 2.0 28 January 2020</w:t>
      </w:r>
      <w:r w:rsidRPr="00986FBF">
        <w:rPr>
          <w:rStyle w:val="Hyperlink"/>
          <w:rFonts w:cs="Arial"/>
          <w:color w:val="000000" w:themeColor="text1"/>
          <w:szCs w:val="20"/>
          <w:u w:val="none"/>
        </w:rPr>
        <w:t>, viewed 18 September 2020</w:t>
      </w:r>
      <w:r w:rsidR="00A83784">
        <w:rPr>
          <w:rStyle w:val="Hyperlink"/>
        </w:rPr>
        <w:t>,</w:t>
      </w:r>
      <w:r w:rsidDel="00A83784">
        <w:rPr>
          <w:rStyle w:val="Hyperlink"/>
        </w:rPr>
        <w:t xml:space="preserve"> </w:t>
      </w:r>
      <w:hyperlink r:id="rId125" w:history="1">
        <w:r>
          <w:rPr>
            <w:rStyle w:val="Hyperlink"/>
          </w:rPr>
          <w:t>https://www.qld.gov.au/__data/assets/pdf_file/0022/116545/lrf-investment-application-guidelines.pdf</w:t>
        </w:r>
      </w:hyperlink>
      <w:r w:rsidR="004C2F2B">
        <w:rPr>
          <w:rStyle w:val="Hyperlink"/>
          <w:u w:val="none"/>
        </w:rPr>
        <w:t>.</w:t>
      </w:r>
    </w:p>
    <w:p w14:paraId="5BE752DF" w14:textId="05D9D91F" w:rsidR="00FE3F8C" w:rsidRDefault="00FE3F8C" w:rsidP="00FE3F8C">
      <w:r w:rsidRPr="0057731E">
        <w:rPr>
          <w:rStyle w:val="Hyperlink"/>
          <w:rFonts w:cs="Arial"/>
          <w:b/>
          <w:color w:val="000000" w:themeColor="text1"/>
          <w:szCs w:val="20"/>
          <w:u w:val="none"/>
        </w:rPr>
        <w:t>Queensland Government n.d</w:t>
      </w:r>
      <w:r w:rsidRPr="001F47A9">
        <w:rPr>
          <w:rStyle w:val="Hyperlink"/>
          <w:rFonts w:cs="Arial"/>
          <w:color w:val="000000" w:themeColor="text1"/>
          <w:szCs w:val="20"/>
          <w:u w:val="none"/>
        </w:rPr>
        <w:t>.,</w:t>
      </w:r>
      <w:r w:rsidR="00C0696D" w:rsidRPr="00986FBF">
        <w:rPr>
          <w:rStyle w:val="Hyperlink"/>
          <w:rFonts w:cs="Arial"/>
          <w:color w:val="000000" w:themeColor="text1"/>
          <w:szCs w:val="20"/>
          <w:u w:val="none"/>
        </w:rPr>
        <w:t xml:space="preserve"> </w:t>
      </w:r>
      <w:r w:rsidRPr="00986FBF">
        <w:rPr>
          <w:rStyle w:val="Hyperlink"/>
          <w:rFonts w:cs="Arial"/>
          <w:i/>
          <w:color w:val="000000" w:themeColor="text1"/>
          <w:szCs w:val="20"/>
          <w:u w:val="none"/>
        </w:rPr>
        <w:t>About the Land Restoration Fund</w:t>
      </w:r>
      <w:r w:rsidRPr="00986FBF">
        <w:rPr>
          <w:rStyle w:val="Hyperlink"/>
          <w:rFonts w:cs="Arial"/>
          <w:color w:val="000000" w:themeColor="text1"/>
          <w:szCs w:val="20"/>
          <w:u w:val="none"/>
        </w:rPr>
        <w:t>, viewed</w:t>
      </w:r>
      <w:r w:rsidR="00986FBF">
        <w:rPr>
          <w:rStyle w:val="Hyperlink"/>
          <w:rFonts w:cs="Arial"/>
          <w:color w:val="000000" w:themeColor="text1"/>
          <w:szCs w:val="20"/>
          <w:u w:val="none"/>
        </w:rPr>
        <w:t xml:space="preserve"> </w:t>
      </w:r>
      <w:r w:rsidR="00986FBF">
        <w:rPr>
          <w:rFonts w:eastAsia="Times New Roman" w:cs="Arial"/>
          <w:iCs/>
          <w:color w:val="000000" w:themeColor="text1"/>
          <w:szCs w:val="20"/>
          <w:lang w:eastAsia="en-AU"/>
        </w:rPr>
        <w:t>1 October 2020,</w:t>
      </w:r>
      <w:r w:rsidR="00986FBF" w:rsidRPr="00986FBF">
        <w:rPr>
          <w:rFonts w:eastAsia="Times New Roman" w:cs="Arial"/>
          <w:iCs/>
          <w:color w:val="000000" w:themeColor="text1"/>
          <w:szCs w:val="20"/>
          <w:lang w:eastAsia="en-AU"/>
        </w:rPr>
        <w:t xml:space="preserve"> </w:t>
      </w:r>
      <w:hyperlink r:id="rId126" w:history="1">
        <w:r w:rsidRPr="00986FBF">
          <w:rPr>
            <w:rStyle w:val="Hyperlink"/>
            <w:rFonts w:cs="Arial"/>
            <w:szCs w:val="20"/>
          </w:rPr>
          <w:t>https://www.qld.gov.au/environment/climate/climate-change/land-restoration-fund/about</w:t>
        </w:r>
      </w:hyperlink>
      <w:r w:rsidRPr="00986FBF">
        <w:rPr>
          <w:rFonts w:cs="Arial"/>
          <w:szCs w:val="20"/>
        </w:rPr>
        <w:t>.</w:t>
      </w:r>
    </w:p>
    <w:p w14:paraId="5463197D" w14:textId="77777777" w:rsidR="00FE3F8C" w:rsidRPr="00986FBF" w:rsidRDefault="00FE3F8C" w:rsidP="00FE3F8C">
      <w:pPr>
        <w:rPr>
          <w:rFonts w:cs="Arial"/>
          <w:b/>
          <w:szCs w:val="20"/>
        </w:rPr>
      </w:pPr>
      <w:r w:rsidRPr="00117E17">
        <w:rPr>
          <w:rFonts w:cs="Arial"/>
          <w:b/>
          <w:szCs w:val="20"/>
        </w:rPr>
        <w:t>Rabbi S.</w:t>
      </w:r>
      <w:r w:rsidRPr="00986FBF">
        <w:rPr>
          <w:rFonts w:cs="Arial"/>
          <w:b/>
          <w:szCs w:val="20"/>
        </w:rPr>
        <w:t xml:space="preserve"> M. F., Tighe M., Delgado-Baquerizo M., Cowie A., Robertson F., Dalal R., Page K., Crawford D., Wilson B. R., Schwenke G., McLeod M., Badgery W., Dang Y. P., Bell M., O’Leary G., Liu D. L. &amp; Baldock J. 2015</w:t>
      </w:r>
      <w:r w:rsidRPr="00986FBF">
        <w:rPr>
          <w:rFonts w:cs="Arial"/>
          <w:szCs w:val="20"/>
        </w:rPr>
        <w:t xml:space="preserve">, </w:t>
      </w:r>
      <w:r w:rsidRPr="00986FBF">
        <w:rPr>
          <w:rFonts w:cs="Arial"/>
          <w:i/>
          <w:szCs w:val="20"/>
        </w:rPr>
        <w:t>Climate and soil properties limit the positive effects of land use reversion on carbon storage in Eastern Australia,</w:t>
      </w:r>
      <w:r w:rsidRPr="00986FBF">
        <w:rPr>
          <w:rFonts w:cs="Arial"/>
          <w:szCs w:val="20"/>
        </w:rPr>
        <w:t xml:space="preserve"> </w:t>
      </w:r>
      <w:r w:rsidRPr="00986FBF">
        <w:rPr>
          <w:rFonts w:cs="Arial"/>
          <w:i/>
          <w:szCs w:val="20"/>
        </w:rPr>
        <w:t>Scientific Reports</w:t>
      </w:r>
      <w:r w:rsidRPr="00986FBF">
        <w:rPr>
          <w:rFonts w:cs="Arial"/>
          <w:szCs w:val="20"/>
        </w:rPr>
        <w:t>.</w:t>
      </w:r>
    </w:p>
    <w:p w14:paraId="78D5C080" w14:textId="77777777" w:rsidR="00FE3F8C" w:rsidRPr="00986FBF" w:rsidRDefault="00FE3F8C" w:rsidP="00FE3F8C">
      <w:pPr>
        <w:rPr>
          <w:rFonts w:cs="Arial"/>
          <w:szCs w:val="20"/>
        </w:rPr>
      </w:pPr>
      <w:r w:rsidRPr="00EA257E">
        <w:rPr>
          <w:rFonts w:cs="Arial"/>
          <w:b/>
          <w:szCs w:val="20"/>
        </w:rPr>
        <w:t>Reef Credit n.d.</w:t>
      </w:r>
      <w:r w:rsidRPr="00EA257E">
        <w:rPr>
          <w:rFonts w:cs="Arial"/>
          <w:szCs w:val="20"/>
        </w:rPr>
        <w:t>,</w:t>
      </w:r>
      <w:r w:rsidRPr="00986FBF">
        <w:rPr>
          <w:rFonts w:cs="Arial"/>
          <w:szCs w:val="20"/>
        </w:rPr>
        <w:t xml:space="preserve"> </w:t>
      </w:r>
      <w:r w:rsidRPr="00986FBF">
        <w:rPr>
          <w:rFonts w:cs="Arial"/>
          <w:i/>
          <w:szCs w:val="20"/>
        </w:rPr>
        <w:t>Reef credit</w:t>
      </w:r>
      <w:r w:rsidRPr="00986FBF">
        <w:rPr>
          <w:rFonts w:cs="Arial"/>
          <w:szCs w:val="20"/>
        </w:rPr>
        <w:t xml:space="preserve">, viewed 5 November 2019. </w:t>
      </w:r>
    </w:p>
    <w:p w14:paraId="3B46E483" w14:textId="77777777" w:rsidR="00FE3F8C" w:rsidRPr="00986FBF" w:rsidRDefault="00FE3F8C" w:rsidP="00FE3F8C">
      <w:pPr>
        <w:rPr>
          <w:rFonts w:cs="Arial"/>
          <w:szCs w:val="20"/>
        </w:rPr>
      </w:pPr>
      <w:r w:rsidRPr="00224C58">
        <w:rPr>
          <w:rFonts w:cs="Arial"/>
          <w:b/>
          <w:szCs w:val="20"/>
        </w:rPr>
        <w:t>Stafford Smith, M, Horrocks,</w:t>
      </w:r>
      <w:r w:rsidRPr="00986FBF">
        <w:rPr>
          <w:rFonts w:cs="Arial"/>
          <w:b/>
          <w:szCs w:val="20"/>
        </w:rPr>
        <w:t xml:space="preserve"> L, Harvey, A, and Hamilton, C, (2011)</w:t>
      </w:r>
      <w:r w:rsidRPr="00986FBF">
        <w:rPr>
          <w:rFonts w:cs="Arial"/>
          <w:szCs w:val="20"/>
        </w:rPr>
        <w:t xml:space="preserve">, Rethinking adaptation for a 4 </w:t>
      </w:r>
      <w:r w:rsidRPr="00986FBF">
        <w:rPr>
          <w:rFonts w:cs="Arial"/>
          <w:szCs w:val="20"/>
          <w:vertAlign w:val="superscript"/>
        </w:rPr>
        <w:t>0</w:t>
      </w:r>
      <w:r w:rsidRPr="00986FBF">
        <w:rPr>
          <w:rFonts w:cs="Arial"/>
          <w:szCs w:val="20"/>
        </w:rPr>
        <w:t xml:space="preserve">C world, </w:t>
      </w:r>
      <w:r w:rsidRPr="00986FBF">
        <w:rPr>
          <w:rFonts w:cs="Arial"/>
          <w:i/>
          <w:szCs w:val="20"/>
        </w:rPr>
        <w:t xml:space="preserve">Philosophical transcripts of the Royal Society of London, </w:t>
      </w:r>
      <w:r w:rsidRPr="00986FBF">
        <w:rPr>
          <w:rFonts w:cs="Arial"/>
          <w:szCs w:val="20"/>
        </w:rPr>
        <w:t>vol. 369, pp. 196 – 216.</w:t>
      </w:r>
    </w:p>
    <w:p w14:paraId="29B952BA" w14:textId="77777777" w:rsidR="00FE3F8C" w:rsidRPr="00986FBF" w:rsidRDefault="00FE3F8C" w:rsidP="00FE3F8C">
      <w:pPr>
        <w:rPr>
          <w:rFonts w:cs="Arial"/>
          <w:color w:val="000000" w:themeColor="text1"/>
          <w:szCs w:val="20"/>
        </w:rPr>
      </w:pPr>
      <w:r w:rsidRPr="00CE5B14">
        <w:rPr>
          <w:rFonts w:cs="Arial"/>
          <w:b/>
          <w:color w:val="000000" w:themeColor="text1"/>
          <w:szCs w:val="20"/>
        </w:rPr>
        <w:t>Task Force on Climate-related Financial Disclosures (TCFD) n.d.</w:t>
      </w:r>
      <w:r w:rsidRPr="00E87BED">
        <w:rPr>
          <w:rFonts w:cs="Arial"/>
          <w:color w:val="000000" w:themeColor="text1"/>
          <w:szCs w:val="20"/>
        </w:rPr>
        <w:t>,</w:t>
      </w:r>
      <w:r w:rsidRPr="00986FBF">
        <w:rPr>
          <w:rFonts w:cs="Arial"/>
          <w:color w:val="000000" w:themeColor="text1"/>
          <w:szCs w:val="20"/>
        </w:rPr>
        <w:t xml:space="preserve"> </w:t>
      </w:r>
      <w:r w:rsidRPr="00986FBF">
        <w:rPr>
          <w:rFonts w:cs="Arial"/>
          <w:i/>
          <w:color w:val="000000" w:themeColor="text1"/>
          <w:szCs w:val="20"/>
        </w:rPr>
        <w:t>About the Task Force</w:t>
      </w:r>
      <w:r w:rsidRPr="00986FBF">
        <w:rPr>
          <w:rFonts w:cs="Arial"/>
          <w:color w:val="000000" w:themeColor="text1"/>
          <w:szCs w:val="20"/>
        </w:rPr>
        <w:t xml:space="preserve">, viewed 25 June 2019, </w:t>
      </w:r>
      <w:hyperlink r:id="rId127" w:history="1">
        <w:r w:rsidRPr="0026445E">
          <w:rPr>
            <w:rStyle w:val="Hyperlink"/>
            <w:rFonts w:eastAsia="Times New Roman" w:cs="Arial"/>
            <w:szCs w:val="20"/>
            <w:lang w:eastAsia="en-AU"/>
          </w:rPr>
          <w:t>https://www.fsb-tcfd.org/</w:t>
        </w:r>
      </w:hyperlink>
      <w:r w:rsidRPr="0026445E">
        <w:rPr>
          <w:rStyle w:val="Hyperlink"/>
          <w:rFonts w:eastAsia="Times New Roman"/>
          <w:lang w:eastAsia="en-AU"/>
        </w:rPr>
        <w:t>.</w:t>
      </w:r>
    </w:p>
    <w:p w14:paraId="45A77AF1" w14:textId="765D5FF8" w:rsidR="00FE3F8C" w:rsidRDefault="00FE3F8C" w:rsidP="00FE3F8C">
      <w:pPr>
        <w:rPr>
          <w:rFonts w:cs="Arial"/>
          <w:color w:val="000000" w:themeColor="text1"/>
          <w:szCs w:val="20"/>
        </w:rPr>
      </w:pPr>
      <w:r w:rsidRPr="0057731E">
        <w:rPr>
          <w:rFonts w:cs="Arial"/>
          <w:b/>
          <w:color w:val="000000" w:themeColor="text1"/>
          <w:szCs w:val="20"/>
        </w:rPr>
        <w:t>Taylor</w:t>
      </w:r>
      <w:r w:rsidR="008577F6" w:rsidRPr="0057731E">
        <w:rPr>
          <w:rFonts w:cs="Arial"/>
          <w:b/>
          <w:color w:val="000000" w:themeColor="text1"/>
          <w:szCs w:val="20"/>
        </w:rPr>
        <w:t xml:space="preserve"> A</w:t>
      </w:r>
      <w:r w:rsidRPr="0057731E">
        <w:rPr>
          <w:rFonts w:cs="Arial"/>
          <w:b/>
          <w:color w:val="000000" w:themeColor="text1"/>
          <w:szCs w:val="20"/>
        </w:rPr>
        <w:t xml:space="preserve"> 2020</w:t>
      </w:r>
      <w:r w:rsidRPr="0057731E">
        <w:rPr>
          <w:rFonts w:cs="Arial"/>
          <w:color w:val="000000" w:themeColor="text1"/>
          <w:szCs w:val="20"/>
        </w:rPr>
        <w:t>,</w:t>
      </w:r>
      <w:r w:rsidRPr="00986FBF">
        <w:rPr>
          <w:rFonts w:cs="Arial"/>
          <w:color w:val="000000" w:themeColor="text1"/>
          <w:szCs w:val="20"/>
        </w:rPr>
        <w:t xml:space="preserve"> </w:t>
      </w:r>
      <w:r w:rsidRPr="00986FBF">
        <w:rPr>
          <w:rFonts w:cs="Arial"/>
          <w:i/>
          <w:color w:val="000000" w:themeColor="text1"/>
          <w:szCs w:val="20"/>
        </w:rPr>
        <w:t>Investment in new energy Technologies,</w:t>
      </w:r>
      <w:r w:rsidR="00696A0F">
        <w:rPr>
          <w:rFonts w:cs="Arial"/>
          <w:i/>
          <w:color w:val="000000" w:themeColor="text1"/>
          <w:szCs w:val="20"/>
        </w:rPr>
        <w:t xml:space="preserve"> </w:t>
      </w:r>
      <w:r w:rsidRPr="00986FBF">
        <w:rPr>
          <w:rFonts w:cs="Arial"/>
          <w:i/>
          <w:color w:val="000000" w:themeColor="text1"/>
          <w:szCs w:val="20"/>
        </w:rPr>
        <w:t xml:space="preserve">Media release from the Hon Angus Taylor, Minister for Energy and Emissions Reduction, </w:t>
      </w:r>
      <w:r w:rsidRPr="00986FBF">
        <w:rPr>
          <w:rFonts w:cs="Arial"/>
          <w:color w:val="000000" w:themeColor="text1"/>
          <w:szCs w:val="20"/>
        </w:rPr>
        <w:t xml:space="preserve">viewed 17 September 2020, </w:t>
      </w:r>
      <w:hyperlink r:id="rId128" w:history="1">
        <w:r w:rsidRPr="00986FBF">
          <w:rPr>
            <w:rStyle w:val="Hyperlink"/>
            <w:rFonts w:eastAsia="Times New Roman" w:cs="Arial"/>
            <w:szCs w:val="20"/>
            <w:lang w:eastAsia="en-AU"/>
          </w:rPr>
          <w:t>https://www.minister.industry.gov.au/ministers/taylor/media-releases/investment-new-energy-technologies</w:t>
        </w:r>
      </w:hyperlink>
      <w:r>
        <w:rPr>
          <w:rStyle w:val="Hyperlink"/>
          <w:rFonts w:eastAsia="Times New Roman"/>
          <w:lang w:eastAsia="en-AU"/>
        </w:rPr>
        <w:t>.</w:t>
      </w:r>
      <w:r w:rsidRPr="00986FBF">
        <w:rPr>
          <w:rFonts w:cs="Arial"/>
          <w:color w:val="000000" w:themeColor="text1"/>
          <w:szCs w:val="20"/>
        </w:rPr>
        <w:t xml:space="preserve"> </w:t>
      </w:r>
    </w:p>
    <w:p w14:paraId="236717C0" w14:textId="6EE0FDE1" w:rsidR="00AF2154" w:rsidRPr="00986FBF" w:rsidRDefault="00AF2154" w:rsidP="00FE3F8C">
      <w:pPr>
        <w:rPr>
          <w:rFonts w:cs="Arial"/>
          <w:color w:val="000000" w:themeColor="text1"/>
          <w:szCs w:val="20"/>
        </w:rPr>
      </w:pPr>
      <w:r w:rsidRPr="00F94E82">
        <w:rPr>
          <w:rFonts w:cs="Arial"/>
          <w:b/>
          <w:color w:val="000000" w:themeColor="text1"/>
          <w:szCs w:val="20"/>
        </w:rPr>
        <w:t>Taylor A 2020a</w:t>
      </w:r>
      <w:r>
        <w:rPr>
          <w:rFonts w:cs="Arial"/>
          <w:color w:val="000000" w:themeColor="text1"/>
          <w:szCs w:val="20"/>
        </w:rPr>
        <w:t xml:space="preserve"> </w:t>
      </w:r>
      <w:r w:rsidRPr="00F94E82">
        <w:rPr>
          <w:rFonts w:cs="Arial"/>
          <w:i/>
          <w:color w:val="000000" w:themeColor="text1"/>
          <w:szCs w:val="20"/>
        </w:rPr>
        <w:t>Cutting red tape to support emissions reduction</w:t>
      </w:r>
      <w:r>
        <w:rPr>
          <w:rFonts w:cs="Arial"/>
          <w:color w:val="000000" w:themeColor="text1"/>
          <w:szCs w:val="20"/>
        </w:rPr>
        <w:t xml:space="preserve"> </w:t>
      </w:r>
      <w:r w:rsidRPr="00986FBF">
        <w:rPr>
          <w:rFonts w:cs="Arial"/>
          <w:i/>
          <w:color w:val="000000" w:themeColor="text1"/>
          <w:szCs w:val="20"/>
        </w:rPr>
        <w:t xml:space="preserve">Media release from the Hon Angus Taylor, Minister for Energy and Emissions Reduction, </w:t>
      </w:r>
      <w:r>
        <w:rPr>
          <w:rFonts w:cs="Arial"/>
          <w:color w:val="000000" w:themeColor="text1"/>
          <w:szCs w:val="20"/>
        </w:rPr>
        <w:t>viewed 7 October</w:t>
      </w:r>
      <w:r w:rsidRPr="00986FBF">
        <w:rPr>
          <w:rFonts w:cs="Arial"/>
          <w:color w:val="000000" w:themeColor="text1"/>
          <w:szCs w:val="20"/>
        </w:rPr>
        <w:t xml:space="preserve"> 2020,</w:t>
      </w:r>
      <w:r w:rsidRPr="00AF2154">
        <w:t xml:space="preserve"> </w:t>
      </w:r>
      <w:hyperlink r:id="rId129" w:history="1">
        <w:r w:rsidRPr="004B3949">
          <w:rPr>
            <w:rStyle w:val="Hyperlink"/>
            <w:rFonts w:cs="Arial"/>
            <w:szCs w:val="20"/>
          </w:rPr>
          <w:t>https://www.minister.industry.gov.au/ministers/taylor/media-releases/cutting-red-tape-support-emissions-reduction</w:t>
        </w:r>
      </w:hyperlink>
      <w:r>
        <w:rPr>
          <w:rFonts w:cs="Arial"/>
          <w:color w:val="000000" w:themeColor="text1"/>
          <w:szCs w:val="20"/>
        </w:rPr>
        <w:t xml:space="preserve">. </w:t>
      </w:r>
    </w:p>
    <w:p w14:paraId="4524536E" w14:textId="116B2E0A" w:rsidR="00FE3F8C" w:rsidRPr="00986FBF" w:rsidRDefault="00FE3F8C" w:rsidP="00FE3F8C">
      <w:pPr>
        <w:rPr>
          <w:rFonts w:cs="Arial"/>
          <w:color w:val="000000" w:themeColor="text1"/>
          <w:szCs w:val="20"/>
        </w:rPr>
      </w:pPr>
      <w:r w:rsidRPr="00A629AF">
        <w:rPr>
          <w:rFonts w:cs="Arial"/>
          <w:b/>
          <w:color w:val="000000" w:themeColor="text1"/>
          <w:szCs w:val="20"/>
        </w:rPr>
        <w:t>UNFCCC 2020</w:t>
      </w:r>
      <w:r w:rsidRPr="0057731E">
        <w:rPr>
          <w:rFonts w:cs="Arial"/>
          <w:color w:val="000000" w:themeColor="text1"/>
          <w:szCs w:val="20"/>
        </w:rPr>
        <w:t>,</w:t>
      </w:r>
      <w:r w:rsidRPr="00986FBF">
        <w:rPr>
          <w:rFonts w:cs="Arial"/>
          <w:color w:val="000000" w:themeColor="text1"/>
          <w:szCs w:val="20"/>
        </w:rPr>
        <w:t xml:space="preserve"> </w:t>
      </w:r>
      <w:r w:rsidRPr="00986FBF">
        <w:rPr>
          <w:rFonts w:cs="Arial"/>
          <w:i/>
          <w:color w:val="000000" w:themeColor="text1"/>
          <w:szCs w:val="20"/>
        </w:rPr>
        <w:t>CDM Methodologies, 8 September 2020,</w:t>
      </w:r>
      <w:r w:rsidRPr="00986FBF">
        <w:rPr>
          <w:rFonts w:cs="Arial"/>
          <w:color w:val="000000" w:themeColor="text1"/>
          <w:szCs w:val="20"/>
        </w:rPr>
        <w:t xml:space="preserve"> viewed 8 September 2020, </w:t>
      </w:r>
      <w:hyperlink r:id="rId130" w:history="1">
        <w:r w:rsidRPr="00986FBF">
          <w:rPr>
            <w:rStyle w:val="Hyperlink"/>
            <w:rFonts w:cs="Arial"/>
            <w:szCs w:val="20"/>
          </w:rPr>
          <w:t>https://cdm.unfccc.int/methodologies/index.html</w:t>
        </w:r>
      </w:hyperlink>
      <w:r w:rsidR="001163AF" w:rsidRPr="00986FBF">
        <w:rPr>
          <w:rFonts w:cs="Arial"/>
          <w:color w:val="000000" w:themeColor="text1"/>
          <w:szCs w:val="20"/>
        </w:rPr>
        <w:t>.</w:t>
      </w:r>
    </w:p>
    <w:p w14:paraId="57F86DBD" w14:textId="4917CD50" w:rsidR="00FE3F8C" w:rsidRPr="00693896" w:rsidRDefault="00FE3F8C" w:rsidP="00693896">
      <w:pPr>
        <w:rPr>
          <w:rFonts w:cs="Arial"/>
          <w:color w:val="000000" w:themeColor="text1"/>
          <w:szCs w:val="20"/>
        </w:rPr>
      </w:pPr>
      <w:r w:rsidRPr="00986FBF">
        <w:rPr>
          <w:rFonts w:cs="Arial"/>
          <w:b/>
          <w:color w:val="000000" w:themeColor="text1"/>
          <w:szCs w:val="20"/>
        </w:rPr>
        <w:t xml:space="preserve">Verified Carbon </w:t>
      </w:r>
      <w:r w:rsidRPr="001B259B">
        <w:rPr>
          <w:rFonts w:cs="Arial"/>
          <w:b/>
          <w:color w:val="000000" w:themeColor="text1"/>
          <w:szCs w:val="20"/>
        </w:rPr>
        <w:t>Standard (VCS) 2020</w:t>
      </w:r>
      <w:r w:rsidRPr="00BB524F">
        <w:rPr>
          <w:rFonts w:cs="Arial"/>
          <w:color w:val="000000" w:themeColor="text1"/>
          <w:szCs w:val="20"/>
        </w:rPr>
        <w:t>,</w:t>
      </w:r>
      <w:r w:rsidRPr="00986FBF">
        <w:rPr>
          <w:rFonts w:cs="Arial"/>
          <w:color w:val="000000" w:themeColor="text1"/>
          <w:szCs w:val="20"/>
        </w:rPr>
        <w:t xml:space="preserve"> </w:t>
      </w:r>
      <w:r w:rsidRPr="00986FBF">
        <w:rPr>
          <w:rFonts w:cs="Arial"/>
          <w:i/>
          <w:color w:val="000000" w:themeColor="text1"/>
          <w:szCs w:val="20"/>
        </w:rPr>
        <w:t>Methodologies</w:t>
      </w:r>
      <w:r w:rsidRPr="00986FBF">
        <w:rPr>
          <w:rFonts w:cs="Arial"/>
          <w:color w:val="000000" w:themeColor="text1"/>
          <w:szCs w:val="20"/>
        </w:rPr>
        <w:t xml:space="preserve">, viewed 9 September 2020, </w:t>
      </w:r>
      <w:hyperlink r:id="rId131" w:history="1">
        <w:r w:rsidRPr="00986FBF">
          <w:rPr>
            <w:rStyle w:val="Hyperlink"/>
            <w:rFonts w:cs="Arial"/>
            <w:szCs w:val="20"/>
          </w:rPr>
          <w:t>https://verra.org/methodologies/</w:t>
        </w:r>
      </w:hyperlink>
      <w:r w:rsidR="003905C8" w:rsidRPr="00986FBF">
        <w:rPr>
          <w:rStyle w:val="Hyperlink"/>
          <w:rFonts w:cs="Arial"/>
          <w:szCs w:val="20"/>
          <w:u w:val="none"/>
        </w:rPr>
        <w:t>.</w:t>
      </w:r>
      <w:r w:rsidRPr="00986FBF">
        <w:rPr>
          <w:rFonts w:cs="Arial"/>
          <w:color w:val="000000" w:themeColor="text1"/>
          <w:szCs w:val="20"/>
        </w:rPr>
        <w:t xml:space="preserve">  </w:t>
      </w:r>
    </w:p>
    <w:p w14:paraId="7096C5B9" w14:textId="77777777" w:rsidR="00FE3F8C" w:rsidRPr="00986FBF" w:rsidRDefault="00FE3F8C" w:rsidP="00FE3F8C">
      <w:pPr>
        <w:rPr>
          <w:rStyle w:val="Hyperlink"/>
          <w:rFonts w:eastAsia="Times New Roman" w:cs="Arial"/>
          <w:color w:val="000000" w:themeColor="text1"/>
          <w:szCs w:val="20"/>
          <w:lang w:eastAsia="en-AU"/>
        </w:rPr>
      </w:pPr>
      <w:r w:rsidRPr="00680992">
        <w:rPr>
          <w:rFonts w:eastAsia="Times New Roman" w:cs="Arial"/>
          <w:b/>
          <w:color w:val="000000" w:themeColor="text1"/>
          <w:szCs w:val="20"/>
          <w:lang w:eastAsia="en-AU"/>
        </w:rPr>
        <w:t xml:space="preserve">Western Australia Environment Protection Authority </w:t>
      </w:r>
      <w:r w:rsidRPr="00EB0A58">
        <w:rPr>
          <w:rFonts w:eastAsia="Times New Roman" w:cs="Arial"/>
          <w:b/>
          <w:color w:val="000000" w:themeColor="text1"/>
          <w:szCs w:val="20"/>
          <w:lang w:eastAsia="en-AU"/>
        </w:rPr>
        <w:t>(WA EPA) 2020</w:t>
      </w:r>
      <w:r w:rsidRPr="00986FBF">
        <w:rPr>
          <w:rFonts w:eastAsia="Times New Roman" w:cs="Arial"/>
          <w:color w:val="000000" w:themeColor="text1"/>
          <w:szCs w:val="20"/>
          <w:lang w:eastAsia="en-AU"/>
        </w:rPr>
        <w:t xml:space="preserve">, </w:t>
      </w:r>
      <w:r w:rsidRPr="00986FBF">
        <w:rPr>
          <w:rFonts w:eastAsia="Times New Roman" w:cs="Arial"/>
          <w:i/>
          <w:color w:val="000000" w:themeColor="text1"/>
          <w:szCs w:val="20"/>
          <w:lang w:eastAsia="en-AU"/>
        </w:rPr>
        <w:t>Environmental Factor Guideline – Greenhouse Gas Emissions</w:t>
      </w:r>
      <w:r w:rsidRPr="00986FBF">
        <w:rPr>
          <w:rFonts w:eastAsia="Times New Roman" w:cs="Arial"/>
          <w:color w:val="000000" w:themeColor="text1"/>
          <w:szCs w:val="20"/>
          <w:lang w:eastAsia="en-AU"/>
        </w:rPr>
        <w:t xml:space="preserve">, viewed 30 June 2020, </w:t>
      </w:r>
      <w:hyperlink r:id="rId132" w:history="1">
        <w:r w:rsidRPr="00986FBF">
          <w:rPr>
            <w:rStyle w:val="Hyperlink"/>
            <w:rFonts w:eastAsia="Times New Roman" w:cs="Arial"/>
            <w:szCs w:val="20"/>
            <w:lang w:eastAsia="en-AU"/>
          </w:rPr>
          <w:t>http://www.epa.wa.gov.au/policies-guidance/environmental-factor-guideline-%E2%80%93-greenhouse-gas-emissions-0</w:t>
        </w:r>
      </w:hyperlink>
      <w:r w:rsidRPr="00986FBF">
        <w:rPr>
          <w:rStyle w:val="Hyperlink"/>
          <w:rFonts w:eastAsia="Times New Roman" w:cs="Arial"/>
          <w:color w:val="000000" w:themeColor="text1"/>
          <w:szCs w:val="20"/>
          <w:lang w:eastAsia="en-AU"/>
        </w:rPr>
        <w:t>.</w:t>
      </w:r>
    </w:p>
    <w:p w14:paraId="7107B391" w14:textId="2925F764" w:rsidR="00696A0F" w:rsidRPr="00F94E82" w:rsidRDefault="002023DF" w:rsidP="00F94E82">
      <w:pPr>
        <w:rPr>
          <w:rFonts w:eastAsia="Times New Roman" w:cs="Arial"/>
          <w:color w:val="000000" w:themeColor="text1"/>
          <w:szCs w:val="20"/>
          <w:lang w:eastAsia="en-AU"/>
        </w:rPr>
      </w:pPr>
      <w:r w:rsidRPr="0057731E">
        <w:rPr>
          <w:rFonts w:cs="Arial"/>
          <w:b/>
          <w:szCs w:val="20"/>
          <w:lang w:eastAsia="en-AU"/>
        </w:rPr>
        <w:t>Whetton P</w:t>
      </w:r>
      <w:r w:rsidR="0044651A">
        <w:rPr>
          <w:rFonts w:cs="Arial"/>
          <w:b/>
          <w:szCs w:val="20"/>
          <w:lang w:eastAsia="en-AU"/>
        </w:rPr>
        <w:t>,</w:t>
      </w:r>
      <w:r w:rsidRPr="0057731E">
        <w:rPr>
          <w:rFonts w:cs="Arial"/>
          <w:b/>
          <w:szCs w:val="20"/>
          <w:lang w:eastAsia="en-AU"/>
        </w:rPr>
        <w:t xml:space="preserve"> Holper P (2015) </w:t>
      </w:r>
      <w:r w:rsidRPr="0057731E">
        <w:rPr>
          <w:rFonts w:cs="Arial"/>
          <w:szCs w:val="20"/>
          <w:lang w:eastAsia="en-AU"/>
        </w:rPr>
        <w:t xml:space="preserve">Chapter 1. Introduction. In: </w:t>
      </w:r>
      <w:r w:rsidRPr="00F94E82">
        <w:rPr>
          <w:rFonts w:eastAsia="Times New Roman" w:cs="Arial"/>
          <w:i/>
          <w:color w:val="000000" w:themeColor="text1"/>
          <w:szCs w:val="20"/>
          <w:lang w:eastAsia="en-AU"/>
        </w:rPr>
        <w:t>Climate Change in Australia Information for</w:t>
      </w:r>
      <w:r w:rsidR="00696A0F">
        <w:rPr>
          <w:rFonts w:eastAsia="Times New Roman" w:cs="Arial"/>
          <w:i/>
          <w:color w:val="000000" w:themeColor="text1"/>
          <w:szCs w:val="20"/>
          <w:lang w:eastAsia="en-AU"/>
        </w:rPr>
        <w:t xml:space="preserve"> Australia’s Natural Resources Management Regions: Technical Report, </w:t>
      </w:r>
      <w:r w:rsidR="00696A0F">
        <w:rPr>
          <w:rFonts w:eastAsia="Times New Roman" w:cs="Arial"/>
          <w:color w:val="000000" w:themeColor="text1"/>
          <w:szCs w:val="20"/>
          <w:lang w:eastAsia="en-AU"/>
        </w:rPr>
        <w:t xml:space="preserve">CSIRO and the Bureau of Meteorology, Australia </w:t>
      </w:r>
      <w:r w:rsidR="00696A0F" w:rsidRPr="00860FFC">
        <w:rPr>
          <w:rFonts w:eastAsia="Times New Roman" w:cs="Arial"/>
          <w:color w:val="000000" w:themeColor="text1"/>
          <w:szCs w:val="20"/>
          <w:lang w:eastAsia="en-AU"/>
        </w:rPr>
        <w:t>(eds P. Whetton, M. Ekström, C. Gerbing, M. Grose, J. Bhend, L. Webb and J. Risbey</w:t>
      </w:r>
      <w:r w:rsidR="00696A0F">
        <w:rPr>
          <w:rFonts w:eastAsia="Times New Roman" w:cs="Arial"/>
          <w:color w:val="000000" w:themeColor="text1"/>
          <w:szCs w:val="20"/>
          <w:lang w:eastAsia="en-AU"/>
        </w:rPr>
        <w:t xml:space="preserve">). </w:t>
      </w:r>
    </w:p>
    <w:p w14:paraId="632C30C8" w14:textId="77520CEF" w:rsidR="00FE3F8C" w:rsidRDefault="00FE3F8C" w:rsidP="00FE3F8C">
      <w:r w:rsidRPr="00D824B0">
        <w:rPr>
          <w:rFonts w:cs="Arial"/>
          <w:b/>
          <w:szCs w:val="20"/>
        </w:rPr>
        <w:t>World Bank 2020</w:t>
      </w:r>
      <w:r w:rsidRPr="00986FBF">
        <w:rPr>
          <w:rFonts w:cs="Arial"/>
          <w:szCs w:val="20"/>
        </w:rPr>
        <w:t xml:space="preserve">, </w:t>
      </w:r>
      <w:r w:rsidRPr="00986FBF">
        <w:rPr>
          <w:rFonts w:cs="Arial"/>
          <w:i/>
          <w:szCs w:val="20"/>
        </w:rPr>
        <w:t>State and Trends of Carbon Pricing 2020</w:t>
      </w:r>
      <w:r w:rsidRPr="00986FBF">
        <w:rPr>
          <w:rFonts w:cs="Arial"/>
          <w:szCs w:val="20"/>
        </w:rPr>
        <w:t xml:space="preserve">, viewed 30 July 2020, </w:t>
      </w:r>
      <w:hyperlink r:id="rId133" w:history="1">
        <w:r w:rsidRPr="00986FBF">
          <w:rPr>
            <w:rStyle w:val="Hyperlink"/>
            <w:rFonts w:cs="Arial"/>
            <w:szCs w:val="20"/>
          </w:rPr>
          <w:t>https://openknowledge.worldbank.org/bitstream/handle/10986/33809/9781464815867.pdf?sequence=4&amp;isAllowed=y</w:t>
        </w:r>
      </w:hyperlink>
    </w:p>
    <w:p w14:paraId="162167EE" w14:textId="2A979D38" w:rsidR="008D7F13" w:rsidRPr="006F2EE4" w:rsidRDefault="00FE3F8C" w:rsidP="00050BAD">
      <w:r>
        <w:rPr>
          <w:highlight w:val="yellow"/>
        </w:rPr>
        <w:t xml:space="preserve"> </w:t>
      </w:r>
    </w:p>
    <w:p w14:paraId="2009BAB4" w14:textId="77777777" w:rsidR="00EC3533" w:rsidRPr="00D955BF" w:rsidRDefault="00EC3533">
      <w:pPr>
        <w:spacing w:line="259" w:lineRule="auto"/>
        <w:rPr>
          <w:b/>
          <w:color w:val="0070AE" w:themeColor="accent2" w:themeTint="BF"/>
        </w:rPr>
      </w:pPr>
      <w:r w:rsidRPr="00D955BF">
        <w:rPr>
          <w:b/>
          <w:color w:val="0070AE" w:themeColor="accent2" w:themeTint="BF"/>
        </w:rPr>
        <w:t>Legislation referenced</w:t>
      </w:r>
    </w:p>
    <w:p w14:paraId="04005B3C" w14:textId="460568E9" w:rsidR="00582520" w:rsidRPr="00D955BF" w:rsidRDefault="007F5EB6" w:rsidP="00D955BF">
      <w:pPr>
        <w:spacing w:line="259" w:lineRule="auto"/>
      </w:pPr>
      <w:r w:rsidRPr="007F5EB6">
        <w:rPr>
          <w:rFonts w:eastAsia="Times New Roman" w:cs="Arial"/>
          <w:b/>
          <w:i/>
          <w:szCs w:val="20"/>
          <w:lang w:eastAsia="en-AU"/>
        </w:rPr>
        <w:t>Australian Securities and Investments Commission Act</w:t>
      </w:r>
      <w:r>
        <w:rPr>
          <w:rFonts w:eastAsia="Times New Roman" w:cs="Arial"/>
          <w:szCs w:val="20"/>
          <w:lang w:eastAsia="en-AU"/>
        </w:rPr>
        <w:t xml:space="preserve"> </w:t>
      </w:r>
      <w:r w:rsidRPr="00F94E82">
        <w:rPr>
          <w:rFonts w:eastAsia="Times New Roman" w:cs="Arial"/>
          <w:b/>
          <w:szCs w:val="20"/>
          <w:lang w:eastAsia="en-AU"/>
        </w:rPr>
        <w:t>(Cth)</w:t>
      </w:r>
      <w:r w:rsidR="00872FEE" w:rsidRPr="00F94E82">
        <w:rPr>
          <w:rFonts w:eastAsia="Times New Roman" w:cs="Arial"/>
          <w:b/>
          <w:szCs w:val="20"/>
          <w:lang w:eastAsia="en-AU"/>
        </w:rPr>
        <w:t xml:space="preserve"> 2001</w:t>
      </w:r>
    </w:p>
    <w:p w14:paraId="0A5DD51D" w14:textId="23B0A773" w:rsidR="00EC3533" w:rsidRPr="007F5EB6" w:rsidRDefault="00EC3533" w:rsidP="00EC3533">
      <w:pPr>
        <w:rPr>
          <w:rFonts w:cs="Arial"/>
          <w:szCs w:val="20"/>
        </w:rPr>
      </w:pPr>
      <w:r w:rsidRPr="007F5EB6">
        <w:rPr>
          <w:rFonts w:cs="Arial"/>
          <w:b/>
          <w:i/>
          <w:szCs w:val="20"/>
        </w:rPr>
        <w:t xml:space="preserve">Carbon Credits (Carbon Farming Initiative) Act </w:t>
      </w:r>
      <w:r w:rsidRPr="00F94E82">
        <w:rPr>
          <w:rFonts w:cs="Arial"/>
          <w:b/>
          <w:szCs w:val="20"/>
        </w:rPr>
        <w:t>(Cth).</w:t>
      </w:r>
      <w:r w:rsidR="00872FEE" w:rsidRPr="00F94E82">
        <w:rPr>
          <w:rFonts w:cs="Arial"/>
          <w:b/>
          <w:szCs w:val="20"/>
        </w:rPr>
        <w:t>2011</w:t>
      </w:r>
      <w:r w:rsidR="00872FEE">
        <w:rPr>
          <w:rFonts w:cs="Arial"/>
          <w:b/>
          <w:szCs w:val="20"/>
        </w:rPr>
        <w:t xml:space="preserve"> (CFI Act)</w:t>
      </w:r>
    </w:p>
    <w:p w14:paraId="78ECB6AD" w14:textId="767D8163" w:rsidR="007F5EB6" w:rsidRPr="00872FEE" w:rsidRDefault="007F5EB6" w:rsidP="00F94E82">
      <w:pPr>
        <w:pStyle w:val="ListParagraph"/>
        <w:numPr>
          <w:ilvl w:val="0"/>
          <w:numId w:val="55"/>
        </w:numPr>
        <w:rPr>
          <w:rFonts w:eastAsia="Times New Roman" w:cs="Arial"/>
          <w:color w:val="000000" w:themeColor="text1"/>
          <w:szCs w:val="20"/>
          <w:lang w:eastAsia="en-AU"/>
        </w:rPr>
      </w:pPr>
      <w:r w:rsidRPr="00F94E82">
        <w:rPr>
          <w:rFonts w:eastAsia="Times New Roman" w:cs="Arial"/>
          <w:b/>
          <w:color w:val="000000" w:themeColor="text1"/>
          <w:szCs w:val="20"/>
          <w:lang w:eastAsia="en-AU"/>
        </w:rPr>
        <w:t>C</w:t>
      </w:r>
      <w:r w:rsidR="00872FEE" w:rsidRPr="00F94E82">
        <w:rPr>
          <w:rFonts w:eastAsia="Times New Roman" w:cs="Arial"/>
          <w:b/>
          <w:color w:val="000000" w:themeColor="text1"/>
          <w:szCs w:val="20"/>
          <w:lang w:eastAsia="en-AU"/>
        </w:rPr>
        <w:t xml:space="preserve">FI </w:t>
      </w:r>
      <w:r w:rsidRPr="00872FEE">
        <w:rPr>
          <w:rFonts w:eastAsia="Times New Roman" w:cs="Arial"/>
          <w:b/>
          <w:color w:val="000000" w:themeColor="text1"/>
          <w:szCs w:val="20"/>
          <w:lang w:eastAsia="en-AU"/>
        </w:rPr>
        <w:t>Regulations</w:t>
      </w:r>
      <w:r w:rsidR="00872FEE" w:rsidRPr="00F94E82">
        <w:rPr>
          <w:rFonts w:eastAsia="Times New Roman" w:cs="Arial"/>
          <w:b/>
          <w:color w:val="000000" w:themeColor="text1"/>
          <w:szCs w:val="20"/>
          <w:lang w:eastAsia="en-AU"/>
        </w:rPr>
        <w:t xml:space="preserve"> </w:t>
      </w:r>
      <w:r w:rsidRPr="0029361B">
        <w:rPr>
          <w:rFonts w:eastAsia="Times New Roman" w:cs="Arial"/>
          <w:b/>
          <w:color w:val="000000" w:themeColor="text1"/>
          <w:szCs w:val="20"/>
          <w:lang w:eastAsia="en-AU"/>
        </w:rPr>
        <w:t>2011</w:t>
      </w:r>
      <w:r w:rsidRPr="00872FEE">
        <w:rPr>
          <w:rFonts w:eastAsia="Times New Roman" w:cs="Arial"/>
          <w:color w:val="000000" w:themeColor="text1"/>
          <w:szCs w:val="20"/>
          <w:lang w:eastAsia="en-AU"/>
        </w:rPr>
        <w:t xml:space="preserve"> </w:t>
      </w:r>
    </w:p>
    <w:p w14:paraId="4CAC00FF" w14:textId="784E3EE1" w:rsidR="00EC3533" w:rsidRPr="00872FEE" w:rsidRDefault="00EC3533" w:rsidP="00F94E82">
      <w:pPr>
        <w:pStyle w:val="ListParagraph"/>
        <w:numPr>
          <w:ilvl w:val="0"/>
          <w:numId w:val="55"/>
        </w:numPr>
        <w:rPr>
          <w:rFonts w:eastAsia="Times New Roman" w:cs="Arial"/>
          <w:color w:val="000000" w:themeColor="text1"/>
          <w:szCs w:val="20"/>
          <w:lang w:eastAsia="en-AU"/>
        </w:rPr>
      </w:pPr>
      <w:r w:rsidRPr="00F94E82">
        <w:rPr>
          <w:rFonts w:eastAsia="Times New Roman" w:cs="Arial"/>
          <w:b/>
          <w:color w:val="000000" w:themeColor="text1"/>
          <w:szCs w:val="20"/>
          <w:lang w:eastAsia="en-AU"/>
        </w:rPr>
        <w:t>C</w:t>
      </w:r>
      <w:r w:rsidR="00872FEE" w:rsidRPr="00F94E82">
        <w:rPr>
          <w:rFonts w:eastAsia="Times New Roman" w:cs="Arial"/>
          <w:b/>
          <w:color w:val="000000" w:themeColor="text1"/>
          <w:szCs w:val="20"/>
          <w:lang w:eastAsia="en-AU"/>
        </w:rPr>
        <w:t xml:space="preserve">FI </w:t>
      </w:r>
      <w:r w:rsidRPr="00F94E82">
        <w:rPr>
          <w:rFonts w:eastAsia="Times New Roman" w:cs="Arial"/>
          <w:b/>
          <w:color w:val="000000" w:themeColor="text1"/>
          <w:szCs w:val="20"/>
          <w:lang w:eastAsia="en-AU"/>
        </w:rPr>
        <w:t>Amendment Rule 2020</w:t>
      </w:r>
      <w:r w:rsidR="0057743A">
        <w:rPr>
          <w:rFonts w:eastAsia="Times New Roman" w:cs="Arial"/>
          <w:b/>
          <w:color w:val="000000" w:themeColor="text1"/>
          <w:szCs w:val="20"/>
          <w:lang w:eastAsia="en-AU"/>
        </w:rPr>
        <w:t xml:space="preserve"> </w:t>
      </w:r>
      <w:r w:rsidR="0057743A" w:rsidRPr="005449E7">
        <w:rPr>
          <w:rFonts w:eastAsia="Times New Roman" w:cs="Arial"/>
          <w:i/>
          <w:color w:val="000000" w:themeColor="text1"/>
          <w:szCs w:val="20"/>
          <w:lang w:eastAsia="en-AU"/>
        </w:rPr>
        <w:t>(Variation of Project Proponents)</w:t>
      </w:r>
      <w:r w:rsidRPr="00F94E82">
        <w:rPr>
          <w:rFonts w:eastAsia="Times New Roman" w:cs="Arial"/>
          <w:color w:val="000000" w:themeColor="text1"/>
          <w:szCs w:val="20"/>
          <w:lang w:eastAsia="en-AU"/>
        </w:rPr>
        <w:t>,</w:t>
      </w:r>
      <w:r w:rsidRPr="0029361B">
        <w:rPr>
          <w:rFonts w:eastAsia="Times New Roman" w:cs="Arial"/>
          <w:color w:val="000000" w:themeColor="text1"/>
          <w:szCs w:val="20"/>
          <w:lang w:eastAsia="en-AU"/>
        </w:rPr>
        <w:t xml:space="preserve"> viewed 26 August </w:t>
      </w:r>
      <w:r w:rsidR="00872FEE" w:rsidRPr="00F94E82">
        <w:rPr>
          <w:rFonts w:eastAsia="Times New Roman" w:cs="Arial"/>
          <w:color w:val="000000" w:themeColor="text1"/>
          <w:szCs w:val="20"/>
          <w:lang w:eastAsia="en-AU"/>
        </w:rPr>
        <w:t>2020</w:t>
      </w:r>
      <w:r w:rsidRPr="00872FEE">
        <w:rPr>
          <w:rFonts w:eastAsia="Times New Roman" w:cs="Arial"/>
          <w:color w:val="000000" w:themeColor="text1"/>
          <w:szCs w:val="20"/>
          <w:lang w:eastAsia="en-AU"/>
        </w:rPr>
        <w:t xml:space="preserve">, </w:t>
      </w:r>
      <w:hyperlink r:id="rId134" w:history="1">
        <w:r w:rsidRPr="007F5EB6">
          <w:rPr>
            <w:rStyle w:val="Hyperlink"/>
            <w:rFonts w:eastAsia="Times New Roman" w:cs="Arial"/>
            <w:szCs w:val="20"/>
            <w:lang w:eastAsia="en-AU"/>
          </w:rPr>
          <w:t>https://www.legislation.gov.au/Details/F2020L00663</w:t>
        </w:r>
      </w:hyperlink>
      <w:r w:rsidRPr="00872FEE">
        <w:rPr>
          <w:rFonts w:eastAsia="Times New Roman" w:cs="Arial"/>
          <w:color w:val="000000" w:themeColor="text1"/>
          <w:szCs w:val="20"/>
          <w:lang w:eastAsia="en-AU"/>
        </w:rPr>
        <w:t>.</w:t>
      </w:r>
    </w:p>
    <w:p w14:paraId="545DA77F" w14:textId="77777777" w:rsidR="007F5EB6" w:rsidRPr="00872FEE" w:rsidRDefault="007F5EB6" w:rsidP="00F94E82">
      <w:pPr>
        <w:pStyle w:val="ListParagraph"/>
        <w:numPr>
          <w:ilvl w:val="0"/>
          <w:numId w:val="55"/>
        </w:numPr>
        <w:rPr>
          <w:rFonts w:eastAsia="Times New Roman" w:cs="Arial"/>
          <w:color w:val="000000" w:themeColor="text1"/>
          <w:szCs w:val="20"/>
          <w:lang w:eastAsia="en-AU"/>
        </w:rPr>
      </w:pPr>
      <w:r w:rsidRPr="0066003B">
        <w:rPr>
          <w:rFonts w:eastAsia="Times New Roman" w:cs="Arial"/>
          <w:b/>
          <w:color w:val="000000" w:themeColor="text1"/>
          <w:szCs w:val="20"/>
          <w:lang w:eastAsia="en-AU"/>
        </w:rPr>
        <w:t>CFI Amendment Rule 2019,</w:t>
      </w:r>
      <w:r w:rsidRPr="00025A8D">
        <w:rPr>
          <w:rFonts w:eastAsia="Times New Roman" w:cs="Arial"/>
          <w:color w:val="000000" w:themeColor="text1"/>
          <w:szCs w:val="20"/>
          <w:lang w:eastAsia="en-AU"/>
        </w:rPr>
        <w:t xml:space="preserve"> </w:t>
      </w:r>
      <w:r w:rsidRPr="0029361B">
        <w:rPr>
          <w:rFonts w:cs="Arial"/>
          <w:i/>
          <w:szCs w:val="20"/>
        </w:rPr>
        <w:t>Carbon Credits (Carbo</w:t>
      </w:r>
      <w:r w:rsidRPr="00872FEE">
        <w:rPr>
          <w:rFonts w:cs="Arial"/>
          <w:i/>
          <w:szCs w:val="20"/>
        </w:rPr>
        <w:t>n Farming Initiative) Amendment Rule (No. 1) 2019</w:t>
      </w:r>
      <w:r w:rsidRPr="00872FEE">
        <w:rPr>
          <w:rFonts w:cs="Arial"/>
          <w:szCs w:val="20"/>
        </w:rPr>
        <w:t>, viewed 9 September 2020,</w:t>
      </w:r>
      <w:hyperlink r:id="rId135" w:history="1">
        <w:r w:rsidRPr="007F5EB6">
          <w:rPr>
            <w:rStyle w:val="Hyperlink"/>
            <w:rFonts w:cs="Arial"/>
            <w:szCs w:val="20"/>
          </w:rPr>
          <w:t>https://www.legislation.gov.au/Details/F2019L00504</w:t>
        </w:r>
      </w:hyperlink>
      <w:r w:rsidRPr="00872FEE">
        <w:rPr>
          <w:rFonts w:cs="Arial"/>
          <w:szCs w:val="20"/>
        </w:rPr>
        <w:t xml:space="preserve"> </w:t>
      </w:r>
    </w:p>
    <w:p w14:paraId="018E692B" w14:textId="14035176" w:rsidR="007F5EB6" w:rsidRPr="00872FEE" w:rsidRDefault="007F5EB6" w:rsidP="00F94E82">
      <w:pPr>
        <w:pStyle w:val="ListParagraph"/>
        <w:numPr>
          <w:ilvl w:val="0"/>
          <w:numId w:val="55"/>
        </w:numPr>
        <w:rPr>
          <w:rFonts w:eastAsia="Times New Roman" w:cs="Arial"/>
          <w:color w:val="000000" w:themeColor="text1"/>
          <w:szCs w:val="20"/>
          <w:lang w:eastAsia="en-AU"/>
        </w:rPr>
      </w:pPr>
      <w:r w:rsidRPr="00872FEE">
        <w:rPr>
          <w:rFonts w:eastAsia="Times New Roman" w:cs="Arial"/>
          <w:b/>
          <w:color w:val="000000" w:themeColor="text1"/>
          <w:szCs w:val="20"/>
          <w:lang w:eastAsia="en-AU"/>
        </w:rPr>
        <w:t>CFI Amendment Rule 2018,</w:t>
      </w:r>
      <w:r w:rsidRPr="00872FEE">
        <w:rPr>
          <w:rFonts w:eastAsia="Times New Roman" w:cs="Arial"/>
          <w:i/>
          <w:color w:val="000000" w:themeColor="text1"/>
          <w:szCs w:val="20"/>
          <w:lang w:eastAsia="en-AU"/>
        </w:rPr>
        <w:t xml:space="preserve"> Carbon Credits (Carbon Farming Initiative) Amendment Rule (No. 2) 2018,</w:t>
      </w:r>
      <w:r w:rsidRPr="00872FEE">
        <w:rPr>
          <w:rFonts w:eastAsia="Times New Roman" w:cs="Arial"/>
          <w:color w:val="000000" w:themeColor="text1"/>
          <w:szCs w:val="20"/>
          <w:lang w:eastAsia="en-AU"/>
        </w:rPr>
        <w:t xml:space="preserve"> viewed 9 September 2020, </w:t>
      </w:r>
      <w:hyperlink r:id="rId136" w:history="1">
        <w:r w:rsidRPr="007F5EB6">
          <w:rPr>
            <w:rStyle w:val="Hyperlink"/>
            <w:rFonts w:eastAsia="Times New Roman" w:cs="Arial"/>
            <w:szCs w:val="20"/>
            <w:lang w:eastAsia="en-AU"/>
          </w:rPr>
          <w:t>https://www.legislation.gov.au/Details/F2018L01642</w:t>
        </w:r>
      </w:hyperlink>
      <w:r w:rsidRPr="00872FEE">
        <w:rPr>
          <w:rFonts w:eastAsia="Times New Roman" w:cs="Arial"/>
          <w:color w:val="000000" w:themeColor="text1"/>
          <w:szCs w:val="20"/>
          <w:lang w:eastAsia="en-AU"/>
        </w:rPr>
        <w:t xml:space="preserve"> </w:t>
      </w:r>
    </w:p>
    <w:p w14:paraId="3E37DF97" w14:textId="749C50C8" w:rsidR="00EC3533" w:rsidRPr="00025A8D" w:rsidRDefault="0057743A" w:rsidP="00F94E82">
      <w:pPr>
        <w:pStyle w:val="ListParagraph"/>
        <w:numPr>
          <w:ilvl w:val="0"/>
          <w:numId w:val="55"/>
        </w:numPr>
        <w:rPr>
          <w:rFonts w:eastAsia="Times New Roman" w:cs="Arial"/>
          <w:color w:val="000000" w:themeColor="text1"/>
          <w:szCs w:val="20"/>
          <w:lang w:eastAsia="en-AU"/>
        </w:rPr>
      </w:pPr>
      <w:r>
        <w:rPr>
          <w:rFonts w:eastAsia="Times New Roman" w:cs="Arial"/>
          <w:b/>
          <w:color w:val="000000" w:themeColor="text1"/>
          <w:szCs w:val="20"/>
          <w:lang w:eastAsia="en-AU"/>
        </w:rPr>
        <w:t xml:space="preserve">CFI </w:t>
      </w:r>
      <w:r w:rsidR="00EC3533" w:rsidRPr="00F94E82">
        <w:rPr>
          <w:rFonts w:eastAsia="Times New Roman" w:cs="Arial"/>
          <w:b/>
          <w:color w:val="000000" w:themeColor="text1"/>
          <w:szCs w:val="20"/>
          <w:lang w:eastAsia="en-AU"/>
        </w:rPr>
        <w:t>Rule</w:t>
      </w:r>
      <w:r w:rsidR="00872FEE" w:rsidRPr="00F94E82">
        <w:rPr>
          <w:rFonts w:eastAsia="Times New Roman" w:cs="Arial"/>
          <w:b/>
          <w:color w:val="000000" w:themeColor="text1"/>
          <w:szCs w:val="20"/>
          <w:lang w:eastAsia="en-AU"/>
        </w:rPr>
        <w:t xml:space="preserve"> </w:t>
      </w:r>
      <w:r w:rsidR="00EC3533" w:rsidRPr="00F94E82">
        <w:rPr>
          <w:rFonts w:eastAsia="Times New Roman" w:cs="Arial"/>
          <w:b/>
          <w:color w:val="000000" w:themeColor="text1"/>
          <w:szCs w:val="20"/>
          <w:lang w:eastAsia="en-AU"/>
        </w:rPr>
        <w:t>2015</w:t>
      </w:r>
    </w:p>
    <w:p w14:paraId="037BC393" w14:textId="7C5F9FF7" w:rsidR="00EC3533" w:rsidRPr="00025A8D" w:rsidRDefault="00EC3533" w:rsidP="00F94E82">
      <w:pPr>
        <w:pStyle w:val="ListParagraph"/>
        <w:numPr>
          <w:ilvl w:val="0"/>
          <w:numId w:val="55"/>
        </w:numPr>
        <w:rPr>
          <w:rStyle w:val="Hyperlink"/>
          <w:rFonts w:cs="Arial"/>
          <w:color w:val="000000" w:themeColor="text1"/>
          <w:szCs w:val="20"/>
        </w:rPr>
      </w:pPr>
      <w:r w:rsidRPr="0029361B">
        <w:rPr>
          <w:rFonts w:cs="Arial"/>
          <w:b/>
          <w:szCs w:val="20"/>
        </w:rPr>
        <w:t>Explanatory Me</w:t>
      </w:r>
      <w:r w:rsidRPr="00872FEE">
        <w:rPr>
          <w:rFonts w:cs="Arial"/>
          <w:b/>
          <w:szCs w:val="20"/>
        </w:rPr>
        <w:t xml:space="preserve">morandum to the </w:t>
      </w:r>
      <w:r w:rsidRPr="008549F8">
        <w:rPr>
          <w:rFonts w:cs="Arial"/>
          <w:b/>
          <w:szCs w:val="20"/>
        </w:rPr>
        <w:t>C</w:t>
      </w:r>
      <w:r w:rsidR="00872FEE" w:rsidRPr="00F43A90">
        <w:rPr>
          <w:rFonts w:cs="Arial"/>
          <w:b/>
          <w:szCs w:val="20"/>
        </w:rPr>
        <w:t>FI</w:t>
      </w:r>
      <w:r w:rsidRPr="00872FEE">
        <w:rPr>
          <w:rFonts w:cs="Arial"/>
          <w:b/>
          <w:szCs w:val="20"/>
        </w:rPr>
        <w:t xml:space="preserve"> Amendment Bill 2014</w:t>
      </w:r>
      <w:r w:rsidRPr="00872FEE">
        <w:rPr>
          <w:rFonts w:cs="Arial"/>
          <w:szCs w:val="20"/>
        </w:rPr>
        <w:t>, viewed 1 October 2020,</w:t>
      </w:r>
      <w:r w:rsidR="007F5EB6" w:rsidRPr="00872FEE">
        <w:rPr>
          <w:rFonts w:cs="Arial"/>
          <w:szCs w:val="20"/>
        </w:rPr>
        <w:t xml:space="preserve"> </w:t>
      </w:r>
      <w:hyperlink r:id="rId137" w:history="1">
        <w:r w:rsidRPr="007F5EB6">
          <w:rPr>
            <w:rStyle w:val="Hyperlink"/>
            <w:rFonts w:cs="Arial"/>
            <w:szCs w:val="20"/>
          </w:rPr>
          <w:t>https://www.legislation.gov.au/Details/C2014B00129/Explanatory%20Memorandum/Text</w:t>
        </w:r>
      </w:hyperlink>
      <w:r w:rsidRPr="007F5EB6">
        <w:t>.</w:t>
      </w:r>
      <w:r w:rsidRPr="0066003B">
        <w:rPr>
          <w:rFonts w:cs="Arial"/>
          <w:szCs w:val="20"/>
        </w:rPr>
        <w:t xml:space="preserve"> </w:t>
      </w:r>
      <w:r w:rsidRPr="00025A8D">
        <w:rPr>
          <w:rStyle w:val="Hyperlink"/>
          <w:rFonts w:cs="Arial"/>
          <w:color w:val="000000" w:themeColor="text1"/>
          <w:szCs w:val="20"/>
        </w:rPr>
        <w:t>.</w:t>
      </w:r>
    </w:p>
    <w:p w14:paraId="217827C8" w14:textId="7B88B89E" w:rsidR="007F5EB6" w:rsidRPr="00D955BF" w:rsidRDefault="00EC3533" w:rsidP="00F94E82">
      <w:pPr>
        <w:pStyle w:val="ListParagraph"/>
        <w:numPr>
          <w:ilvl w:val="0"/>
          <w:numId w:val="55"/>
        </w:numPr>
      </w:pPr>
      <w:r w:rsidRPr="007F5EB6">
        <w:rPr>
          <w:b/>
        </w:rPr>
        <w:t>Explanatory Memorandum CFI Bill 2011</w:t>
      </w:r>
      <w:r w:rsidRPr="007F5EB6">
        <w:t>, viewed 1 October 2020,</w:t>
      </w:r>
      <w:r w:rsidR="007F5EB6" w:rsidRPr="007F5EB6">
        <w:t xml:space="preserve"> </w:t>
      </w:r>
      <w:hyperlink r:id="rId138" w:history="1">
        <w:r w:rsidRPr="007F5EB6">
          <w:rPr>
            <w:rStyle w:val="Hyperlink"/>
          </w:rPr>
          <w:t>https://www.legislation.gov.au/Details/C2011B00060/Explanatory%20Memorandum/Text</w:t>
        </w:r>
      </w:hyperlink>
    </w:p>
    <w:p w14:paraId="596C15A8" w14:textId="07DE92DA" w:rsidR="0057743A" w:rsidRPr="0066003B" w:rsidRDefault="0057743A" w:rsidP="00D955BF">
      <w:pPr>
        <w:rPr>
          <w:b/>
          <w:i/>
        </w:rPr>
      </w:pPr>
      <w:r w:rsidRPr="00F94E82">
        <w:rPr>
          <w:b/>
          <w:i/>
        </w:rPr>
        <w:t>Clean Energy Regulator Act (Cth) 2011</w:t>
      </w:r>
    </w:p>
    <w:p w14:paraId="69D154BD" w14:textId="11860958" w:rsidR="00582520" w:rsidRPr="00D955BF" w:rsidRDefault="007F5EB6" w:rsidP="00D955BF">
      <w:r w:rsidRPr="007F5EB6">
        <w:rPr>
          <w:b/>
          <w:i/>
        </w:rPr>
        <w:t xml:space="preserve">Climate Change Authority Act </w:t>
      </w:r>
      <w:r w:rsidR="00872FEE">
        <w:rPr>
          <w:b/>
          <w:i/>
        </w:rPr>
        <w:t xml:space="preserve">(Cth) </w:t>
      </w:r>
      <w:r w:rsidRPr="007F5EB6">
        <w:rPr>
          <w:b/>
          <w:i/>
        </w:rPr>
        <w:t>2011</w:t>
      </w:r>
      <w:r w:rsidRPr="00106C5C">
        <w:t xml:space="preserve"> </w:t>
      </w:r>
      <w:r w:rsidR="00453486">
        <w:rPr>
          <w:rFonts w:eastAsia="Times New Roman" w:cs="Arial"/>
          <w:b/>
          <w:i/>
          <w:szCs w:val="20"/>
          <w:lang w:eastAsia="en-AU"/>
        </w:rPr>
        <w:tab/>
      </w:r>
    </w:p>
    <w:p w14:paraId="597264C3" w14:textId="6EC5D580" w:rsidR="00582520" w:rsidRPr="00D955BF" w:rsidRDefault="007F5EB6" w:rsidP="00EC3533">
      <w:r w:rsidRPr="007F5EB6">
        <w:rPr>
          <w:rFonts w:eastAsia="Times New Roman" w:cs="Arial"/>
          <w:b/>
          <w:i/>
          <w:szCs w:val="20"/>
          <w:lang w:eastAsia="en-AU"/>
        </w:rPr>
        <w:t xml:space="preserve">Fisheries Management Act </w:t>
      </w:r>
      <w:r w:rsidR="00872FEE">
        <w:rPr>
          <w:rFonts w:eastAsia="Times New Roman" w:cs="Arial"/>
          <w:b/>
          <w:i/>
          <w:szCs w:val="20"/>
          <w:lang w:eastAsia="en-AU"/>
        </w:rPr>
        <w:t xml:space="preserve">(Cth) </w:t>
      </w:r>
      <w:r w:rsidRPr="007F5EB6">
        <w:rPr>
          <w:rFonts w:eastAsia="Times New Roman" w:cs="Arial"/>
          <w:b/>
          <w:i/>
          <w:szCs w:val="20"/>
          <w:lang w:eastAsia="en-AU"/>
        </w:rPr>
        <w:t>1991</w:t>
      </w:r>
      <w:r>
        <w:rPr>
          <w:rFonts w:eastAsia="Times New Roman" w:cs="Arial"/>
          <w:i/>
          <w:szCs w:val="20"/>
          <w:lang w:eastAsia="en-AU"/>
        </w:rPr>
        <w:t xml:space="preserve"> </w:t>
      </w:r>
    </w:p>
    <w:p w14:paraId="6ED3FD54" w14:textId="5B4EC1C5" w:rsidR="00582520" w:rsidRDefault="007F5EB6" w:rsidP="00EC3533">
      <w:pPr>
        <w:rPr>
          <w:b/>
          <w:i/>
        </w:rPr>
      </w:pPr>
      <w:r w:rsidRPr="007F5EB6">
        <w:rPr>
          <w:b/>
          <w:i/>
        </w:rPr>
        <w:t xml:space="preserve">Insurance Contracts Act </w:t>
      </w:r>
      <w:r w:rsidR="00872FEE">
        <w:rPr>
          <w:b/>
          <w:i/>
        </w:rPr>
        <w:t xml:space="preserve">(Cth) </w:t>
      </w:r>
      <w:r w:rsidRPr="007F5EB6">
        <w:rPr>
          <w:b/>
          <w:i/>
        </w:rPr>
        <w:t>1984</w:t>
      </w:r>
      <w:r w:rsidRPr="7943B309">
        <w:rPr>
          <w:i/>
        </w:rPr>
        <w:t xml:space="preserve"> </w:t>
      </w:r>
    </w:p>
    <w:p w14:paraId="1D8D0B83" w14:textId="0D1BAC62" w:rsidR="00EC3533" w:rsidRPr="00986FBF" w:rsidRDefault="00EC3533" w:rsidP="00EC3533">
      <w:pPr>
        <w:rPr>
          <w:rFonts w:eastAsia="Times New Roman" w:cs="Arial"/>
          <w:color w:val="000000" w:themeColor="text1"/>
          <w:szCs w:val="20"/>
          <w:lang w:eastAsia="en-AU"/>
        </w:rPr>
      </w:pPr>
      <w:r w:rsidRPr="007F5EB6">
        <w:rPr>
          <w:b/>
          <w:i/>
        </w:rPr>
        <w:t xml:space="preserve">National Greenhouse and Energy Reporting Act </w:t>
      </w:r>
      <w:r w:rsidR="00872FEE">
        <w:rPr>
          <w:b/>
          <w:i/>
        </w:rPr>
        <w:t xml:space="preserve">(Cth) </w:t>
      </w:r>
      <w:r w:rsidRPr="007F5EB6">
        <w:rPr>
          <w:b/>
          <w:i/>
        </w:rPr>
        <w:t>2007</w:t>
      </w:r>
      <w:r w:rsidRPr="007F5EB6">
        <w:rPr>
          <w:i/>
        </w:rPr>
        <w:t xml:space="preserve"> </w:t>
      </w:r>
    </w:p>
    <w:p w14:paraId="74BDC6B7" w14:textId="5F27F610" w:rsidR="00F15A70" w:rsidRDefault="00F15A70">
      <w:pPr>
        <w:spacing w:line="259" w:lineRule="auto"/>
        <w:rPr>
          <w:highlight w:val="yellow"/>
        </w:rPr>
      </w:pPr>
    </w:p>
    <w:sectPr w:rsidR="00F15A70" w:rsidSect="0070582C">
      <w:pgSz w:w="11906" w:h="16838"/>
      <w:pgMar w:top="1276" w:right="1440" w:bottom="1440" w:left="1440" w:header="85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279E59" w14:textId="77777777" w:rsidR="00B06CBD" w:rsidRDefault="00B06CBD" w:rsidP="00B251DB">
      <w:pPr>
        <w:spacing w:after="0" w:line="240" w:lineRule="auto"/>
      </w:pPr>
      <w:r>
        <w:separator/>
      </w:r>
    </w:p>
  </w:endnote>
  <w:endnote w:type="continuationSeparator" w:id="0">
    <w:p w14:paraId="6ADAA851" w14:textId="77777777" w:rsidR="00B06CBD" w:rsidRDefault="00B06CBD" w:rsidP="00B251DB">
      <w:pPr>
        <w:spacing w:after="0" w:line="240" w:lineRule="auto"/>
      </w:pPr>
      <w:r>
        <w:continuationSeparator/>
      </w:r>
    </w:p>
  </w:endnote>
  <w:endnote w:type="continuationNotice" w:id="1">
    <w:p w14:paraId="5873E526" w14:textId="77777777" w:rsidR="00B06CBD" w:rsidRDefault="00B06C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yriad Pro">
    <w:altName w:val="Cambria"/>
    <w:panose1 w:val="00000000000000000000"/>
    <w:charset w:val="00"/>
    <w:family w:val="swiss"/>
    <w:notTrueType/>
    <w:pitch w:val="variable"/>
    <w:sig w:usb0="20000287" w:usb1="00000001" w:usb2="00000000" w:usb3="00000000" w:csb0="0000019F" w:csb1="00000000"/>
  </w:font>
  <w:font w:name="Times New Roman (Headings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113786"/>
      <w:docPartObj>
        <w:docPartGallery w:val="Page Numbers (Bottom of Page)"/>
        <w:docPartUnique/>
      </w:docPartObj>
    </w:sdtPr>
    <w:sdtEndPr>
      <w:rPr>
        <w:noProof/>
      </w:rPr>
    </w:sdtEndPr>
    <w:sdtContent>
      <w:p w14:paraId="5A1139BC" w14:textId="77777777" w:rsidR="00B06CBD" w:rsidRDefault="00B06CBD">
        <w:pPr>
          <w:pStyle w:val="Footer"/>
        </w:pPr>
        <w:r>
          <w:fldChar w:fldCharType="begin"/>
        </w:r>
        <w:r>
          <w:instrText xml:space="preserve"> PAGE   \* MERGEFORMAT </w:instrText>
        </w:r>
        <w:r>
          <w:fldChar w:fldCharType="separate"/>
        </w:r>
        <w:r w:rsidR="0080045D">
          <w:rPr>
            <w:noProof/>
          </w:rPr>
          <w:t>2</w:t>
        </w:r>
        <w:r>
          <w:rPr>
            <w:noProof/>
          </w:rPr>
          <w:fldChar w:fldCharType="end"/>
        </w:r>
      </w:p>
    </w:sdtContent>
  </w:sdt>
  <w:p w14:paraId="61E0D895" w14:textId="77777777" w:rsidR="00B06CBD" w:rsidRPr="00F952B9" w:rsidRDefault="00B06CBD" w:rsidP="008F5772">
    <w:pPr>
      <w:pStyle w:val="Header"/>
      <w:jc w:val="center"/>
      <w:rPr>
        <w:b/>
        <w:color w:val="FF0000"/>
        <w:sz w:val="28"/>
        <w:szCs w:val="28"/>
      </w:rPr>
    </w:pPr>
  </w:p>
  <w:p w14:paraId="7BE8F0D3" w14:textId="3EB3672B" w:rsidR="00B06CBD" w:rsidRDefault="00B06C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076462"/>
      <w:docPartObj>
        <w:docPartGallery w:val="Page Numbers (Bottom of Page)"/>
        <w:docPartUnique/>
      </w:docPartObj>
    </w:sdtPr>
    <w:sdtEndPr>
      <w:rPr>
        <w:noProof/>
      </w:rPr>
    </w:sdtEndPr>
    <w:sdtContent>
      <w:p w14:paraId="22AFCB0F" w14:textId="77777777" w:rsidR="00B06CBD" w:rsidRDefault="00B06CBD">
        <w:pPr>
          <w:pStyle w:val="Footer"/>
        </w:pPr>
        <w:r>
          <w:fldChar w:fldCharType="begin"/>
        </w:r>
        <w:r>
          <w:instrText xml:space="preserve"> PAGE   \* MERGEFORMAT </w:instrText>
        </w:r>
        <w:r>
          <w:fldChar w:fldCharType="separate"/>
        </w:r>
        <w:r w:rsidR="0080045D">
          <w:rPr>
            <w:noProof/>
          </w:rPr>
          <w:t>1</w:t>
        </w:r>
        <w:r>
          <w:rPr>
            <w:noProof/>
          </w:rPr>
          <w:fldChar w:fldCharType="end"/>
        </w:r>
      </w:p>
    </w:sdtContent>
  </w:sdt>
  <w:p w14:paraId="4D0DC3FB" w14:textId="77777777" w:rsidR="00B06CBD" w:rsidRPr="008F5772" w:rsidRDefault="00B06CBD" w:rsidP="008F5772">
    <w:pPr>
      <w:pStyle w:val="Header"/>
      <w:jc w:val="center"/>
      <w:rPr>
        <w:b/>
        <w:color w:val="FF0000"/>
        <w:sz w:val="28"/>
        <w:szCs w:val="28"/>
      </w:rPr>
    </w:pPr>
  </w:p>
  <w:p w14:paraId="6C271804" w14:textId="52B13AFD" w:rsidR="00B06CBD" w:rsidRDefault="00B06C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811904"/>
      <w:docPartObj>
        <w:docPartGallery w:val="Page Numbers (Bottom of Page)"/>
        <w:docPartUnique/>
      </w:docPartObj>
    </w:sdtPr>
    <w:sdtEndPr>
      <w:rPr>
        <w:noProof/>
      </w:rPr>
    </w:sdtEndPr>
    <w:sdtContent>
      <w:p w14:paraId="1F6D1F4B" w14:textId="5F5B62BF" w:rsidR="00B06CBD" w:rsidRDefault="00B06CBD">
        <w:pPr>
          <w:pStyle w:val="Footer"/>
        </w:pPr>
        <w:r>
          <w:fldChar w:fldCharType="begin"/>
        </w:r>
        <w:r>
          <w:instrText xml:space="preserve"> PAGE   \* MERGEFORMAT </w:instrText>
        </w:r>
        <w:r>
          <w:fldChar w:fldCharType="separate"/>
        </w:r>
        <w:r w:rsidR="0080045D">
          <w:rPr>
            <w:noProof/>
          </w:rPr>
          <w:t>149</w:t>
        </w:r>
        <w:r>
          <w:rPr>
            <w:noProof/>
          </w:rPr>
          <w:fldChar w:fldCharType="end"/>
        </w:r>
      </w:p>
    </w:sdtContent>
  </w:sdt>
  <w:p w14:paraId="3F46AD5C" w14:textId="77777777" w:rsidR="00B06CBD" w:rsidRDefault="00B06CB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C82BA" w14:textId="77777777" w:rsidR="00B06CBD" w:rsidRDefault="00B06CBD" w:rsidP="00B251DB">
      <w:pPr>
        <w:spacing w:after="0" w:line="240" w:lineRule="auto"/>
      </w:pPr>
      <w:r>
        <w:separator/>
      </w:r>
    </w:p>
  </w:footnote>
  <w:footnote w:type="continuationSeparator" w:id="0">
    <w:p w14:paraId="07783A53" w14:textId="77777777" w:rsidR="00B06CBD" w:rsidRDefault="00B06CBD" w:rsidP="00B251DB">
      <w:pPr>
        <w:spacing w:after="0" w:line="240" w:lineRule="auto"/>
      </w:pPr>
      <w:r>
        <w:continuationSeparator/>
      </w:r>
    </w:p>
  </w:footnote>
  <w:footnote w:type="continuationNotice" w:id="1">
    <w:p w14:paraId="157F29DA" w14:textId="77777777" w:rsidR="00B06CBD" w:rsidRDefault="00B06CBD">
      <w:pPr>
        <w:spacing w:after="0" w:line="240" w:lineRule="auto"/>
      </w:pPr>
    </w:p>
  </w:footnote>
  <w:footnote w:id="2">
    <w:p w14:paraId="417949CA" w14:textId="5EF20946" w:rsidR="00B06CBD" w:rsidRPr="00F44FA6" w:rsidRDefault="00B06CBD" w:rsidP="000C4B8D">
      <w:pPr>
        <w:pStyle w:val="Footnote"/>
        <w:rPr>
          <w:rFonts w:asciiTheme="majorHAnsi" w:hAnsiTheme="majorHAnsi" w:cstheme="majorHAnsi"/>
        </w:rPr>
      </w:pPr>
      <w:r w:rsidRPr="00F44FA6">
        <w:rPr>
          <w:rStyle w:val="FootnoteReference"/>
          <w:rFonts w:asciiTheme="majorHAnsi" w:hAnsiTheme="majorHAnsi" w:cstheme="majorHAnsi"/>
        </w:rPr>
        <w:footnoteRef/>
      </w:r>
      <w:r w:rsidRPr="00F44FA6">
        <w:rPr>
          <w:rFonts w:asciiTheme="majorHAnsi" w:hAnsiTheme="majorHAnsi" w:cstheme="majorHAnsi"/>
        </w:rPr>
        <w:t xml:space="preserve"> </w:t>
      </w:r>
      <w:r w:rsidRPr="00573159">
        <w:rPr>
          <w:rFonts w:cs="Arial"/>
          <w:sz w:val="18"/>
          <w:szCs w:val="18"/>
        </w:rPr>
        <w:t>Emissions avoidance activities refer to those activities that avoid greenhouse gases being emitted. Carbon storage (or sequestration) activities are those that remove greenhouse gases from the atmosphere by storing it in living biomass, dead organic matter or soil.</w:t>
      </w:r>
      <w:r w:rsidRPr="00F44FA6">
        <w:rPr>
          <w:rFonts w:asciiTheme="majorHAnsi" w:hAnsiTheme="majorHAnsi" w:cstheme="majorHAnsi"/>
        </w:rPr>
        <w:t xml:space="preserve"> </w:t>
      </w:r>
    </w:p>
  </w:footnote>
  <w:footnote w:id="3">
    <w:p w14:paraId="77DB804D" w14:textId="2BFC00AB" w:rsidR="00B06CBD" w:rsidRDefault="00B06CBD">
      <w:pPr>
        <w:pStyle w:val="FootnoteText"/>
      </w:pPr>
      <w:r w:rsidRPr="00FB756E">
        <w:rPr>
          <w:rStyle w:val="FootnoteReference"/>
          <w:color w:val="auto"/>
        </w:rPr>
        <w:footnoteRef/>
      </w:r>
      <w:r w:rsidRPr="00FB756E">
        <w:rPr>
          <w:color w:val="auto"/>
        </w:rPr>
        <w:t xml:space="preserve"> </w:t>
      </w:r>
      <w:r w:rsidRPr="00FB756E">
        <w:rPr>
          <w:rFonts w:cs="Arial"/>
          <w:color w:val="auto"/>
          <w:sz w:val="18"/>
          <w:szCs w:val="18"/>
        </w:rPr>
        <w:t>A short-term contract refers to any contract term with multiple deliveries over a period less than the standard contract length of 7 or 10 years. An immediate delivery contract refers to an agreement in which the nominated ACCUs are available in the applicant’s Australian National Registry of Emissions Units (ANREU) account at time of auction registration and will be delivered within 30 calendar days of the auction</w:t>
      </w:r>
      <w:r w:rsidRPr="004443A6">
        <w:rPr>
          <w:rFonts w:asciiTheme="minorHAnsi" w:hAnsiTheme="minorHAnsi" w:cstheme="minorHAnsi"/>
          <w:color w:val="333333"/>
          <w:sz w:val="17"/>
          <w:szCs w:val="17"/>
        </w:rPr>
        <w:t>.</w:t>
      </w:r>
    </w:p>
  </w:footnote>
  <w:footnote w:id="4">
    <w:p w14:paraId="6E480707" w14:textId="663CAE4F" w:rsidR="00B06CBD" w:rsidRPr="00FB756E" w:rsidRDefault="00B06CBD">
      <w:pPr>
        <w:pStyle w:val="FootnoteText"/>
        <w:rPr>
          <w:sz w:val="18"/>
          <w:szCs w:val="18"/>
        </w:rPr>
      </w:pPr>
      <w:r w:rsidRPr="00FB756E">
        <w:rPr>
          <w:rStyle w:val="FootnoteReference"/>
          <w:sz w:val="18"/>
          <w:szCs w:val="18"/>
        </w:rPr>
        <w:footnoteRef/>
      </w:r>
      <w:r w:rsidRPr="00FB756E">
        <w:rPr>
          <w:sz w:val="18"/>
          <w:szCs w:val="18"/>
        </w:rPr>
        <w:t xml:space="preserve"> This figure does not included grid connected electricity generators, which are covered by a sectoral baseline.</w:t>
      </w:r>
    </w:p>
  </w:footnote>
  <w:footnote w:id="5">
    <w:p w14:paraId="247D228A" w14:textId="2F7F3E5D" w:rsidR="00B06CBD" w:rsidRPr="00573159" w:rsidRDefault="00B06CBD" w:rsidP="00E1015E">
      <w:pPr>
        <w:pStyle w:val="Footnote"/>
        <w:rPr>
          <w:rFonts w:cs="Arial"/>
          <w:sz w:val="18"/>
          <w:szCs w:val="18"/>
        </w:rPr>
      </w:pPr>
      <w:r w:rsidRPr="00F44FA6">
        <w:rPr>
          <w:rStyle w:val="FootnoteReference"/>
          <w:rFonts w:asciiTheme="majorHAnsi" w:hAnsiTheme="majorHAnsi" w:cstheme="majorHAnsi"/>
          <w:sz w:val="18"/>
          <w:szCs w:val="18"/>
        </w:rPr>
        <w:footnoteRef/>
      </w:r>
      <w:r w:rsidRPr="00F44FA6">
        <w:rPr>
          <w:rFonts w:asciiTheme="majorHAnsi" w:hAnsiTheme="majorHAnsi" w:cstheme="majorHAnsi"/>
        </w:rPr>
        <w:t xml:space="preserve"> </w:t>
      </w:r>
      <w:r w:rsidRPr="00573159">
        <w:rPr>
          <w:rFonts w:cs="Arial"/>
          <w:sz w:val="18"/>
          <w:szCs w:val="18"/>
        </w:rPr>
        <w:t>There are another thirteen methods that currently have projects registered under them but are no longer open to new project registrations.</w:t>
      </w:r>
    </w:p>
  </w:footnote>
  <w:footnote w:id="6">
    <w:p w14:paraId="33ECDD39" w14:textId="77777777" w:rsidR="00B06CBD" w:rsidRPr="00573159" w:rsidRDefault="00B06CBD" w:rsidP="00694324">
      <w:pPr>
        <w:pStyle w:val="Footnote"/>
        <w:rPr>
          <w:rFonts w:cs="Arial"/>
          <w:sz w:val="18"/>
          <w:szCs w:val="18"/>
        </w:rPr>
      </w:pPr>
      <w:r w:rsidRPr="00573159">
        <w:rPr>
          <w:rStyle w:val="FootnoteReference"/>
          <w:rFonts w:cs="Arial"/>
          <w:sz w:val="18"/>
          <w:szCs w:val="18"/>
        </w:rPr>
        <w:footnoteRef/>
      </w:r>
      <w:r w:rsidRPr="00573159">
        <w:rPr>
          <w:rFonts w:cs="Arial"/>
          <w:sz w:val="18"/>
          <w:szCs w:val="18"/>
        </w:rPr>
        <w:t xml:space="preserve"> The new methods are for measured soil carbon in agricultural systems, savanna fire management (emissions avoidance), savanna fire management (sequestration and emissions avoidance), management of animal effluent and industrial equipment. The revoked methods are for measured soil carbon in grazing systems, savanna fire management and three methods on managing emissions from animal effluent.  </w:t>
      </w:r>
    </w:p>
  </w:footnote>
  <w:footnote w:id="7">
    <w:p w14:paraId="12CCFE3A" w14:textId="0923188B" w:rsidR="00B06CBD" w:rsidRPr="00F44FA6" w:rsidRDefault="00B06CBD" w:rsidP="00E774A4">
      <w:pPr>
        <w:pStyle w:val="Footnote"/>
        <w:rPr>
          <w:rFonts w:asciiTheme="majorHAnsi" w:hAnsiTheme="majorHAnsi" w:cstheme="majorHAnsi"/>
        </w:rPr>
      </w:pPr>
      <w:r w:rsidRPr="00573159">
        <w:rPr>
          <w:rStyle w:val="FootnoteReference"/>
          <w:rFonts w:cs="Arial"/>
          <w:sz w:val="18"/>
          <w:szCs w:val="18"/>
        </w:rPr>
        <w:footnoteRef/>
      </w:r>
      <w:r w:rsidRPr="00573159">
        <w:rPr>
          <w:rFonts w:cs="Arial"/>
          <w:sz w:val="18"/>
          <w:szCs w:val="18"/>
        </w:rPr>
        <w:t xml:space="preserve"> 16 November 2017 to 13 September 2020.</w:t>
      </w:r>
      <w:r w:rsidRPr="00F44FA6">
        <w:rPr>
          <w:rFonts w:asciiTheme="majorHAnsi" w:hAnsiTheme="majorHAnsi" w:cstheme="majorHAnsi"/>
        </w:rPr>
        <w:t xml:space="preserve"> </w:t>
      </w:r>
    </w:p>
  </w:footnote>
  <w:footnote w:id="8">
    <w:p w14:paraId="06273274" w14:textId="3330D1A9" w:rsidR="00B06CBD" w:rsidRPr="00F44FA6" w:rsidRDefault="00B06CBD" w:rsidP="00E774A4">
      <w:pPr>
        <w:pStyle w:val="Footnote"/>
        <w:rPr>
          <w:rFonts w:asciiTheme="majorHAnsi" w:hAnsiTheme="majorHAnsi" w:cstheme="majorHAnsi"/>
        </w:rPr>
      </w:pPr>
      <w:r w:rsidRPr="004E739F">
        <w:rPr>
          <w:rFonts w:asciiTheme="majorHAnsi" w:hAnsiTheme="majorHAnsi" w:cstheme="majorHAnsi"/>
          <w:szCs w:val="17"/>
        </w:rPr>
        <w:footnoteRef/>
      </w:r>
      <w:r w:rsidRPr="004E739F">
        <w:rPr>
          <w:rFonts w:asciiTheme="majorHAnsi" w:hAnsiTheme="majorHAnsi" w:cstheme="majorHAnsi"/>
          <w:szCs w:val="17"/>
        </w:rPr>
        <w:t xml:space="preserve"> </w:t>
      </w:r>
      <w:r w:rsidRPr="00F44FA6">
        <w:rPr>
          <w:rFonts w:asciiTheme="majorHAnsi" w:hAnsiTheme="majorHAnsi" w:cstheme="majorHAnsi"/>
        </w:rPr>
        <w:t>This includes ACCUs generated under the original Carbon Farming Initiative from 2012</w:t>
      </w:r>
      <w:r>
        <w:rPr>
          <w:rFonts w:asciiTheme="majorHAnsi" w:hAnsiTheme="majorHAnsi" w:cstheme="majorHAnsi"/>
        </w:rPr>
        <w:t>.</w:t>
      </w:r>
      <w:r w:rsidRPr="00F44FA6">
        <w:rPr>
          <w:rFonts w:asciiTheme="majorHAnsi" w:hAnsiTheme="majorHAnsi" w:cstheme="majorHAnsi"/>
        </w:rPr>
        <w:t xml:space="preserve"> About 10 million ACCUs were issued under the CFI and many CFI projects transitioned to the ERF and continued to generate ACCUs under the ERF.</w:t>
      </w:r>
    </w:p>
  </w:footnote>
  <w:footnote w:id="9">
    <w:p w14:paraId="462A283E" w14:textId="16AB0511" w:rsidR="00B06CBD" w:rsidRPr="00F44FA6" w:rsidRDefault="00B06CBD">
      <w:pPr>
        <w:pStyle w:val="FootnoteText"/>
        <w:rPr>
          <w:rFonts w:asciiTheme="majorHAnsi" w:hAnsiTheme="majorHAnsi" w:cstheme="majorHAnsi"/>
          <w:sz w:val="17"/>
          <w:szCs w:val="17"/>
        </w:rPr>
      </w:pPr>
      <w:r w:rsidRPr="00F44FA6">
        <w:rPr>
          <w:rStyle w:val="FootnoteReference"/>
          <w:rFonts w:asciiTheme="majorHAnsi" w:hAnsiTheme="majorHAnsi" w:cstheme="majorHAnsi"/>
          <w:sz w:val="17"/>
          <w:szCs w:val="17"/>
        </w:rPr>
        <w:footnoteRef/>
      </w:r>
      <w:r w:rsidRPr="00F44FA6">
        <w:rPr>
          <w:rFonts w:asciiTheme="majorHAnsi" w:hAnsiTheme="majorHAnsi" w:cstheme="majorHAnsi"/>
          <w:sz w:val="17"/>
          <w:szCs w:val="17"/>
        </w:rPr>
        <w:t xml:space="preserve"> Around </w:t>
      </w:r>
      <w:r w:rsidRPr="00334564">
        <w:rPr>
          <w:rFonts w:asciiTheme="majorHAnsi" w:hAnsiTheme="majorHAnsi" w:cstheme="majorHAnsi"/>
          <w:sz w:val="17"/>
          <w:szCs w:val="17"/>
        </w:rPr>
        <w:t>10 million</w:t>
      </w:r>
      <w:r w:rsidRPr="00F44FA6">
        <w:rPr>
          <w:rFonts w:asciiTheme="majorHAnsi" w:hAnsiTheme="majorHAnsi" w:cstheme="majorHAnsi"/>
          <w:sz w:val="17"/>
          <w:szCs w:val="17"/>
        </w:rPr>
        <w:t xml:space="preserve"> ACCUs were issued from 2012 until mid-2014 under the Carbon Farming Initiative (predecessor of the ERF).</w:t>
      </w:r>
    </w:p>
  </w:footnote>
  <w:footnote w:id="10">
    <w:p w14:paraId="760C87BF" w14:textId="2F93F221" w:rsidR="00B06CBD" w:rsidRDefault="00B06CBD">
      <w:pPr>
        <w:pStyle w:val="FootnoteText"/>
      </w:pPr>
      <w:r>
        <w:rPr>
          <w:rStyle w:val="FootnoteReference"/>
        </w:rPr>
        <w:footnoteRef/>
      </w:r>
      <w:r>
        <w:t xml:space="preserve"> </w:t>
      </w:r>
      <w:r w:rsidRPr="0068006E">
        <w:rPr>
          <w:sz w:val="18"/>
          <w:szCs w:val="18"/>
        </w:rPr>
        <w:t>These figures for safeguard mechanism surrender do not include deemed surrender. A ‘deemed surrender’ occurs when ACCUs issued under an ERF project at a Safeguard facility, in a particular year, are delivered to the Commonwealth under an ERF contract. In 2016-17 there was 68,305 deemed surrender and 379, 792 sourced from the market. In 2018-19 there was 131,650 deemed surrender and 58,731 sourced from the market (CER 2020c).</w:t>
      </w:r>
    </w:p>
  </w:footnote>
  <w:footnote w:id="11">
    <w:p w14:paraId="20EC86B6" w14:textId="47897045" w:rsidR="00B06CBD" w:rsidRDefault="00B06CBD">
      <w:pPr>
        <w:pStyle w:val="FootnoteText"/>
      </w:pPr>
      <w:r>
        <w:rPr>
          <w:rStyle w:val="FootnoteReference"/>
        </w:rPr>
        <w:footnoteRef/>
      </w:r>
      <w:r>
        <w:t xml:space="preserve"> </w:t>
      </w:r>
      <w:r w:rsidRPr="00F94E82">
        <w:rPr>
          <w:sz w:val="16"/>
          <w:szCs w:val="16"/>
        </w:rPr>
        <w:t>Protected information is defined in the Clean Energy Regulator Act, as information that is obtained by a person in their capacity as an official of the regulator, which relates to the affairs of a person other than an official of the Regulator.</w:t>
      </w:r>
      <w:r>
        <w:t xml:space="preserve"> </w:t>
      </w:r>
    </w:p>
  </w:footnote>
  <w:footnote w:id="12">
    <w:p w14:paraId="75D3F408" w14:textId="57301058" w:rsidR="00B06CBD" w:rsidRDefault="00B06CBD" w:rsidP="00DB5ECE">
      <w:pPr>
        <w:pStyle w:val="FootnoteText"/>
      </w:pPr>
      <w:r>
        <w:rPr>
          <w:rStyle w:val="FootnoteReference"/>
        </w:rPr>
        <w:footnoteRef/>
      </w:r>
      <w:r>
        <w:t xml:space="preserve"> </w:t>
      </w:r>
      <w:r w:rsidRPr="00004361">
        <w:rPr>
          <w:sz w:val="16"/>
          <w:szCs w:val="16"/>
        </w:rPr>
        <w:t>Methods for which contracted abatement is less than 0.</w:t>
      </w:r>
      <w:r>
        <w:rPr>
          <w:sz w:val="16"/>
          <w:szCs w:val="16"/>
        </w:rPr>
        <w:t>05</w:t>
      </w:r>
      <w:r w:rsidRPr="00004361">
        <w:rPr>
          <w:sz w:val="16"/>
          <w:szCs w:val="16"/>
        </w:rPr>
        <w:t xml:space="preserve"> million ACCUs </w:t>
      </w:r>
      <w:r>
        <w:rPr>
          <w:sz w:val="16"/>
          <w:szCs w:val="16"/>
        </w:rPr>
        <w:t xml:space="preserve">at 13 September 2020 </w:t>
      </w:r>
      <w:r w:rsidRPr="00004361">
        <w:rPr>
          <w:sz w:val="16"/>
          <w:szCs w:val="16"/>
        </w:rPr>
        <w:t>are taken to be generating less than meaningful abatement.</w:t>
      </w:r>
      <w:r>
        <w:t xml:space="preserve"> </w:t>
      </w:r>
    </w:p>
  </w:footnote>
  <w:footnote w:id="13">
    <w:p w14:paraId="69896314" w14:textId="6428A006" w:rsidR="00B06CBD" w:rsidRDefault="00B06CBD" w:rsidP="004619BC">
      <w:pPr>
        <w:pStyle w:val="FootnoteText"/>
      </w:pPr>
      <w:r>
        <w:rPr>
          <w:rStyle w:val="FootnoteReference"/>
        </w:rPr>
        <w:footnoteRef/>
      </w:r>
      <w:r>
        <w:t xml:space="preserve"> </w:t>
      </w:r>
      <w:r w:rsidRPr="00234211">
        <w:rPr>
          <w:sz w:val="18"/>
          <w:szCs w:val="18"/>
        </w:rPr>
        <w:t>As of 18 September 2020, optional delivery contracts may deliver up to a further 7.7 million ACCUs to the Government. This section does not analyse delivery of optional contracts, as there is no obligation on optional contract holders to sell ACCUs to the Government</w:t>
      </w:r>
      <w:r>
        <w:t>.</w:t>
      </w:r>
    </w:p>
  </w:footnote>
  <w:footnote w:id="14">
    <w:p w14:paraId="3ECC655D" w14:textId="2B41BE6B" w:rsidR="00B06CBD" w:rsidRDefault="00B06CBD">
      <w:pPr>
        <w:pStyle w:val="FootnoteText"/>
      </w:pPr>
      <w:r>
        <w:rPr>
          <w:rStyle w:val="FootnoteReference"/>
        </w:rPr>
        <w:footnoteRef/>
      </w:r>
      <w:r w:rsidRPr="00234211">
        <w:rPr>
          <w:sz w:val="18"/>
          <w:szCs w:val="18"/>
        </w:rPr>
        <w:t xml:space="preserve">Each contract in Figures 8.2 and 8.3 </w:t>
      </w:r>
      <w:r>
        <w:rPr>
          <w:sz w:val="18"/>
          <w:szCs w:val="18"/>
        </w:rPr>
        <w:t>is</w:t>
      </w:r>
      <w:r w:rsidRPr="00234211">
        <w:rPr>
          <w:sz w:val="18"/>
          <w:szCs w:val="18"/>
        </w:rPr>
        <w:t xml:space="preserve"> assigned a letter. That letter represents the project proponent. As indicated in the figures, the 14 contracts are held by only 5 project proponents, who each hold multiple large contracts. For example project proponent B holds 8 of the 14 contracts for 24 million ACCUs.</w:t>
      </w:r>
      <w:r>
        <w:t xml:space="preserve"> </w:t>
      </w:r>
    </w:p>
  </w:footnote>
  <w:footnote w:id="15">
    <w:p w14:paraId="23B5574E" w14:textId="208A4245" w:rsidR="00B06CBD" w:rsidRPr="005146AB" w:rsidRDefault="00B06CBD" w:rsidP="007056B0">
      <w:pPr>
        <w:pStyle w:val="FootnoteText"/>
        <w:rPr>
          <w:sz w:val="18"/>
          <w:szCs w:val="18"/>
        </w:rPr>
      </w:pPr>
      <w:r w:rsidRPr="005146AB">
        <w:rPr>
          <w:rStyle w:val="FootnoteReference"/>
          <w:sz w:val="18"/>
          <w:szCs w:val="18"/>
        </w:rPr>
        <w:footnoteRef/>
      </w:r>
      <w:r w:rsidRPr="005146AB">
        <w:rPr>
          <w:sz w:val="18"/>
          <w:szCs w:val="18"/>
        </w:rPr>
        <w:t xml:space="preserve"> RCPs are prescribed pathways for greenhouse gas and aerosol concentrations, together with land use change, that are consistent with a set of broad climate outcomes used by the climate modelling community. They have been adopted by the IPCC (CSIRO and BoM 2015)</w:t>
      </w:r>
      <w:r>
        <w:rPr>
          <w:sz w:val="18"/>
          <w:szCs w:val="18"/>
        </w:rPr>
        <w:t>.</w:t>
      </w:r>
    </w:p>
  </w:footnote>
  <w:footnote w:id="16">
    <w:p w14:paraId="7EE31F2D" w14:textId="2EC9EE98" w:rsidR="00B06CBD" w:rsidRPr="005146AB" w:rsidRDefault="00B06CBD" w:rsidP="007056B0">
      <w:pPr>
        <w:pStyle w:val="FootnoteText"/>
        <w:rPr>
          <w:sz w:val="18"/>
          <w:szCs w:val="18"/>
        </w:rPr>
      </w:pPr>
      <w:r w:rsidRPr="005146AB">
        <w:rPr>
          <w:rStyle w:val="FootnoteReference"/>
          <w:sz w:val="18"/>
          <w:szCs w:val="18"/>
        </w:rPr>
        <w:footnoteRef/>
      </w:r>
      <w:r w:rsidRPr="005146AB">
        <w:rPr>
          <w:sz w:val="18"/>
          <w:szCs w:val="18"/>
        </w:rPr>
        <w:t xml:space="preserve"> RCP</w:t>
      </w:r>
      <w:r>
        <w:rPr>
          <w:sz w:val="18"/>
          <w:szCs w:val="18"/>
        </w:rPr>
        <w:t xml:space="preserve"> </w:t>
      </w:r>
      <w:r w:rsidRPr="005146AB">
        <w:rPr>
          <w:sz w:val="18"/>
          <w:szCs w:val="18"/>
        </w:rPr>
        <w:t>4.5 - CO</w:t>
      </w:r>
      <w:r w:rsidRPr="005146AB">
        <w:rPr>
          <w:sz w:val="18"/>
          <w:szCs w:val="18"/>
          <w:vertAlign w:val="subscript"/>
        </w:rPr>
        <w:t>2</w:t>
      </w:r>
      <w:r w:rsidRPr="005146AB">
        <w:rPr>
          <w:sz w:val="18"/>
          <w:szCs w:val="18"/>
        </w:rPr>
        <w:t xml:space="preserve"> concentrations are slightly above those of RCP6.0 until after mid-century, but emissions peak earlier (around 2040), and the CO</w:t>
      </w:r>
      <w:r w:rsidRPr="005146AB">
        <w:rPr>
          <w:sz w:val="18"/>
          <w:szCs w:val="18"/>
          <w:vertAlign w:val="subscript"/>
        </w:rPr>
        <w:t>2</w:t>
      </w:r>
      <w:r w:rsidRPr="005146AB">
        <w:rPr>
          <w:sz w:val="18"/>
          <w:szCs w:val="18"/>
        </w:rPr>
        <w:t xml:space="preserve"> concentration reaches 540 ppm by 2100 (CSIRO and BoM 2015).</w:t>
      </w:r>
    </w:p>
  </w:footnote>
  <w:footnote w:id="17">
    <w:p w14:paraId="6A300B5D" w14:textId="59AA8D4D" w:rsidR="00B06CBD" w:rsidRDefault="00B06CBD" w:rsidP="007056B0">
      <w:pPr>
        <w:pStyle w:val="FootnoteText"/>
      </w:pPr>
      <w:r w:rsidRPr="005146AB">
        <w:rPr>
          <w:rStyle w:val="FootnoteReference"/>
          <w:sz w:val="18"/>
          <w:szCs w:val="18"/>
        </w:rPr>
        <w:footnoteRef/>
      </w:r>
      <w:r w:rsidRPr="005146AB">
        <w:rPr>
          <w:sz w:val="18"/>
          <w:szCs w:val="18"/>
        </w:rPr>
        <w:t>RCP 8.5 - a future with little curbing of emissions, with a CO</w:t>
      </w:r>
      <w:r w:rsidRPr="005146AB">
        <w:rPr>
          <w:sz w:val="18"/>
          <w:szCs w:val="18"/>
          <w:vertAlign w:val="subscript"/>
        </w:rPr>
        <w:t>2</w:t>
      </w:r>
      <w:r w:rsidRPr="005146AB">
        <w:rPr>
          <w:sz w:val="18"/>
          <w:szCs w:val="18"/>
        </w:rPr>
        <w:t xml:space="preserve"> concentration continuing to rapidly rise, reaching 940 ppm by 2100. (CSIRO and BoM 2015)</w:t>
      </w:r>
      <w:r>
        <w:rPr>
          <w:sz w:val="18"/>
          <w:szCs w:val="18"/>
        </w:rPr>
        <w:t>.</w:t>
      </w:r>
    </w:p>
  </w:footnote>
  <w:footnote w:id="18">
    <w:p w14:paraId="2498EF5F" w14:textId="77777777" w:rsidR="00B06CBD" w:rsidRPr="00364FA3" w:rsidRDefault="00B06CBD" w:rsidP="009E11F5">
      <w:pPr>
        <w:pStyle w:val="FootnoteText"/>
        <w:rPr>
          <w:rFonts w:asciiTheme="minorHAnsi" w:hAnsiTheme="minorHAnsi"/>
          <w:sz w:val="15"/>
          <w:szCs w:val="15"/>
        </w:rPr>
      </w:pPr>
      <w:r w:rsidRPr="00F94E82">
        <w:rPr>
          <w:rStyle w:val="FootnoteReference"/>
          <w:rFonts w:asciiTheme="minorHAnsi" w:hAnsiTheme="minorHAnsi"/>
          <w:sz w:val="16"/>
          <w:szCs w:val="16"/>
        </w:rPr>
        <w:footnoteRef/>
      </w:r>
      <w:r w:rsidRPr="00F94E82">
        <w:rPr>
          <w:rFonts w:asciiTheme="minorHAnsi" w:hAnsiTheme="minorHAnsi"/>
          <w:sz w:val="16"/>
          <w:szCs w:val="16"/>
        </w:rPr>
        <w:t xml:space="preserve"> </w:t>
      </w:r>
      <w:r w:rsidRPr="00364FA3">
        <w:rPr>
          <w:rFonts w:asciiTheme="minorHAnsi" w:hAnsiTheme="minorHAnsi"/>
          <w:sz w:val="15"/>
          <w:szCs w:val="15"/>
        </w:rPr>
        <w:t>Methods marked with an asterisk (*) transitioned from the CFI to the ERF on 1 July 2015.</w:t>
      </w:r>
    </w:p>
  </w:footnote>
  <w:footnote w:id="19">
    <w:p w14:paraId="1A23D652" w14:textId="77777777" w:rsidR="00B06CBD" w:rsidRDefault="00B06CBD" w:rsidP="009E11F5">
      <w:pPr>
        <w:pStyle w:val="FootnoteText"/>
      </w:pPr>
      <w:r w:rsidRPr="00EE4342">
        <w:rPr>
          <w:rFonts w:asciiTheme="minorHAnsi" w:hAnsiTheme="minorHAnsi"/>
          <w:sz w:val="15"/>
          <w:szCs w:val="15"/>
        </w:rPr>
        <w:footnoteRef/>
      </w:r>
      <w:r w:rsidRPr="0091099F">
        <w:rPr>
          <w:rFonts w:asciiTheme="minorHAnsi" w:hAnsiTheme="minorHAnsi"/>
          <w:sz w:val="15"/>
          <w:szCs w:val="15"/>
        </w:rPr>
        <w:t xml:space="preserve"> </w:t>
      </w:r>
      <w:r w:rsidRPr="009B3DC3">
        <w:rPr>
          <w:rFonts w:asciiTheme="minorHAnsi" w:hAnsiTheme="minorHAnsi"/>
          <w:sz w:val="15"/>
          <w:szCs w:val="15"/>
        </w:rPr>
        <w:t xml:space="preserve">For vegetation and agriculture methods, </w:t>
      </w:r>
      <w:r>
        <w:rPr>
          <w:rFonts w:asciiTheme="minorHAnsi" w:hAnsiTheme="minorHAnsi"/>
          <w:sz w:val="15"/>
          <w:szCs w:val="15"/>
        </w:rPr>
        <w:t xml:space="preserve">there are broadly two approaches to measuring carbon abatement. These are either a </w:t>
      </w:r>
      <w:r w:rsidRPr="009B3DC3">
        <w:rPr>
          <w:rFonts w:asciiTheme="minorHAnsi" w:hAnsiTheme="minorHAnsi"/>
          <w:sz w:val="15"/>
          <w:szCs w:val="15"/>
        </w:rPr>
        <w:t>di</w:t>
      </w:r>
      <w:r>
        <w:rPr>
          <w:rFonts w:asciiTheme="minorHAnsi" w:hAnsiTheme="minorHAnsi"/>
          <w:sz w:val="15"/>
          <w:szCs w:val="15"/>
        </w:rPr>
        <w:t xml:space="preserve">rect-measurement approach or a modelled approach using the </w:t>
      </w:r>
      <w:r w:rsidRPr="009B3DC3">
        <w:rPr>
          <w:rFonts w:asciiTheme="minorHAnsi" w:hAnsiTheme="minorHAnsi"/>
          <w:sz w:val="15"/>
          <w:szCs w:val="15"/>
        </w:rPr>
        <w:t>Full Carbon Accounting Model (FullCAM). Th</w:t>
      </w:r>
      <w:r>
        <w:rPr>
          <w:rFonts w:asciiTheme="minorHAnsi" w:hAnsiTheme="minorHAnsi"/>
          <w:sz w:val="15"/>
          <w:szCs w:val="15"/>
        </w:rPr>
        <w:t xml:space="preserve">e method description </w:t>
      </w:r>
      <w:r w:rsidRPr="009B3DC3">
        <w:rPr>
          <w:rFonts w:asciiTheme="minorHAnsi" w:hAnsiTheme="minorHAnsi"/>
          <w:sz w:val="15"/>
          <w:szCs w:val="15"/>
        </w:rPr>
        <w:t>indicate</w:t>
      </w:r>
      <w:r>
        <w:rPr>
          <w:rFonts w:asciiTheme="minorHAnsi" w:hAnsiTheme="minorHAnsi"/>
          <w:sz w:val="15"/>
          <w:szCs w:val="15"/>
        </w:rPr>
        <w:t xml:space="preserve">s which approach is used </w:t>
      </w:r>
      <w:r w:rsidRPr="009B3DC3">
        <w:rPr>
          <w:rFonts w:asciiTheme="minorHAnsi" w:hAnsiTheme="minorHAnsi"/>
          <w:sz w:val="15"/>
          <w:szCs w:val="15"/>
        </w:rPr>
        <w:t xml:space="preserve">where </w:t>
      </w:r>
      <w:r>
        <w:rPr>
          <w:rFonts w:asciiTheme="minorHAnsi" w:hAnsiTheme="minorHAnsi"/>
          <w:sz w:val="15"/>
          <w:szCs w:val="15"/>
        </w:rPr>
        <w:t xml:space="preserve">it is </w:t>
      </w:r>
      <w:r w:rsidRPr="009B3DC3">
        <w:rPr>
          <w:rFonts w:asciiTheme="minorHAnsi" w:hAnsiTheme="minorHAnsi"/>
          <w:sz w:val="15"/>
          <w:szCs w:val="15"/>
        </w:rPr>
        <w:t>appropriate</w:t>
      </w:r>
      <w:r>
        <w:rPr>
          <w:rFonts w:asciiTheme="minorHAnsi" w:hAnsiTheme="minorHAnsi"/>
          <w:sz w:val="15"/>
          <w:szCs w:val="15"/>
        </w:rPr>
        <w:t xml:space="preserve"> to distinguish one method from another with similar activities</w:t>
      </w:r>
      <w:r w:rsidRPr="009B3DC3">
        <w:rPr>
          <w:rFonts w:asciiTheme="minorHAnsi" w:hAnsiTheme="minorHAnsi"/>
          <w:sz w:val="15"/>
          <w:szCs w:val="15"/>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2CB49" w14:textId="77777777" w:rsidR="00B06CBD" w:rsidRPr="004B2776" w:rsidRDefault="00B06CBD" w:rsidP="008F5772">
    <w:pPr>
      <w:pStyle w:val="Header"/>
      <w:jc w:val="center"/>
      <w:rPr>
        <w:b/>
        <w:color w:val="FF0000"/>
        <w:sz w:val="28"/>
        <w:szCs w:val="28"/>
      </w:rPr>
    </w:pPr>
  </w:p>
  <w:p w14:paraId="3D9D9EA3" w14:textId="77777777" w:rsidR="00B06CBD" w:rsidRDefault="00B06CBD">
    <w:pPr>
      <w:pStyle w:val="Header"/>
    </w:pPr>
  </w:p>
  <w:p w14:paraId="079E4287" w14:textId="0389A5FB" w:rsidR="00B06CBD" w:rsidRDefault="00B06C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9344A" w14:textId="77777777" w:rsidR="00B06CBD" w:rsidRPr="002D3E7B" w:rsidRDefault="00B06CBD" w:rsidP="00120E1B">
    <w:pPr>
      <w:jc w:val="right"/>
      <w:rPr>
        <w:color w:val="07425E"/>
        <w:sz w:val="12"/>
        <w:szCs w:val="12"/>
      </w:rPr>
    </w:pPr>
    <w:r>
      <w:rPr>
        <w:color w:val="07425E"/>
        <w:sz w:val="12"/>
        <w:szCs w:val="12"/>
      </w:rPr>
      <w:t xml:space="preserve"> </w:t>
    </w:r>
    <w:r>
      <w:rPr>
        <w:color w:val="07425E"/>
        <w:sz w:val="12"/>
        <w:szCs w:val="12"/>
      </w:rPr>
      <w:tab/>
    </w:r>
    <w:r w:rsidRPr="00FE0039">
      <w:rPr>
        <w:color w:val="07425E"/>
        <w:sz w:val="12"/>
        <w:szCs w:val="12"/>
      </w:rPr>
      <w:fldChar w:fldCharType="begin"/>
    </w:r>
    <w:r w:rsidRPr="00FE0039">
      <w:rPr>
        <w:color w:val="07425E"/>
        <w:sz w:val="12"/>
        <w:szCs w:val="12"/>
      </w:rPr>
      <w:instrText xml:space="preserve"> TITLE  \* Upper  \* MERGEFORMAT </w:instrText>
    </w:r>
    <w:r w:rsidRPr="00FE0039">
      <w:rPr>
        <w:color w:val="07425E"/>
        <w:sz w:val="12"/>
        <w:szCs w:val="12"/>
      </w:rPr>
      <w:fldChar w:fldCharType="separate"/>
    </w:r>
    <w:r>
      <w:rPr>
        <w:color w:val="07425E"/>
        <w:sz w:val="12"/>
        <w:szCs w:val="12"/>
      </w:rPr>
      <w:t>REVIEW OF THE EMISSIONS REDUCTION FUND</w:t>
    </w:r>
    <w:r w:rsidRPr="00FE0039">
      <w:rPr>
        <w:color w:val="07425E"/>
        <w:sz w:val="12"/>
        <w:szCs w:val="12"/>
      </w:rPr>
      <w:fldChar w:fldCharType="end"/>
    </w:r>
    <w:r w:rsidRPr="00FE0039">
      <w:rPr>
        <w:color w:val="07425E"/>
        <w:sz w:val="12"/>
        <w:szCs w:val="12"/>
      </w:rPr>
      <w:t xml:space="preserve"> </w:t>
    </w:r>
    <w:r w:rsidRPr="00FE0039">
      <w:rPr>
        <w:color w:val="07425E"/>
        <w:sz w:val="12"/>
        <w:szCs w:val="12"/>
      </w:rPr>
      <w:fldChar w:fldCharType="begin"/>
    </w:r>
    <w:r w:rsidRPr="00FE0039">
      <w:rPr>
        <w:color w:val="07425E"/>
        <w:sz w:val="12"/>
        <w:szCs w:val="12"/>
      </w:rPr>
      <w:instrText xml:space="preserve"> PAGE   \* MERGEFORMAT </w:instrText>
    </w:r>
    <w:r w:rsidRPr="00FE0039">
      <w:rPr>
        <w:color w:val="07425E"/>
        <w:sz w:val="12"/>
        <w:szCs w:val="12"/>
      </w:rPr>
      <w:fldChar w:fldCharType="separate"/>
    </w:r>
    <w:r w:rsidR="0080045D">
      <w:rPr>
        <w:noProof/>
        <w:color w:val="07425E"/>
        <w:sz w:val="12"/>
        <w:szCs w:val="12"/>
      </w:rPr>
      <w:t>135</w:t>
    </w:r>
    <w:r w:rsidRPr="00FE0039">
      <w:rPr>
        <w:noProof/>
        <w:color w:val="07425E"/>
        <w:sz w:val="12"/>
        <w:szCs w:val="1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96C152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F6106BA0"/>
    <w:styleLink w:val="BulletList"/>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36600E9"/>
    <w:multiLevelType w:val="hybridMultilevel"/>
    <w:tmpl w:val="4AC6D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086478"/>
    <w:multiLevelType w:val="hybridMultilevel"/>
    <w:tmpl w:val="3DB6E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905122"/>
    <w:multiLevelType w:val="hybridMultilevel"/>
    <w:tmpl w:val="32B6E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E51FC1"/>
    <w:multiLevelType w:val="hybridMultilevel"/>
    <w:tmpl w:val="CAD626A2"/>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7CF1613"/>
    <w:multiLevelType w:val="hybridMultilevel"/>
    <w:tmpl w:val="F9C0C71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D132B8"/>
    <w:multiLevelType w:val="hybridMultilevel"/>
    <w:tmpl w:val="0166F0AC"/>
    <w:lvl w:ilvl="0" w:tplc="8D2658AC">
      <w:start w:val="1"/>
      <w:numFmt w:val="bullet"/>
      <w:lvlText w:val=""/>
      <w:lvlJc w:val="left"/>
      <w:pPr>
        <w:ind w:left="360" w:hanging="360"/>
      </w:pPr>
      <w:rPr>
        <w:rFonts w:ascii="Symbol" w:hAnsi="Symbol" w:hint="default"/>
        <w:color w:val="159DC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D3D6014"/>
    <w:multiLevelType w:val="hybridMultilevel"/>
    <w:tmpl w:val="043CB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984C75"/>
    <w:multiLevelType w:val="hybridMultilevel"/>
    <w:tmpl w:val="DD2C7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B55390"/>
    <w:multiLevelType w:val="multilevel"/>
    <w:tmpl w:val="7BACE420"/>
    <w:lvl w:ilvl="0">
      <w:start w:val="10"/>
      <w:numFmt w:val="decimal"/>
      <w:lvlText w:val="%1"/>
      <w:lvlJc w:val="left"/>
      <w:pPr>
        <w:ind w:left="560" w:hanging="560"/>
      </w:pPr>
      <w:rPr>
        <w:rFonts w:hint="default"/>
        <w:i/>
      </w:rPr>
    </w:lvl>
    <w:lvl w:ilvl="1">
      <w:start w:val="1"/>
      <w:numFmt w:val="decimal"/>
      <w:lvlText w:val="%1.%2"/>
      <w:lvlJc w:val="left"/>
      <w:pPr>
        <w:ind w:left="1145" w:hanging="720"/>
      </w:pPr>
      <w:rPr>
        <w:rFonts w:hint="default"/>
        <w:i w:val="0"/>
        <w:color w:val="0070AE" w:themeColor="accent2" w:themeTint="BF"/>
      </w:rPr>
    </w:lvl>
    <w:lvl w:ilvl="2">
      <w:start w:val="1"/>
      <w:numFmt w:val="decimal"/>
      <w:lvlText w:val="%1.%2.%3"/>
      <w:lvlJc w:val="left"/>
      <w:pPr>
        <w:ind w:left="1570" w:hanging="720"/>
      </w:pPr>
      <w:rPr>
        <w:rFonts w:hint="default"/>
        <w:i/>
      </w:rPr>
    </w:lvl>
    <w:lvl w:ilvl="3">
      <w:start w:val="1"/>
      <w:numFmt w:val="decimal"/>
      <w:lvlText w:val="%1.%2.%3.%4"/>
      <w:lvlJc w:val="left"/>
      <w:pPr>
        <w:ind w:left="2355" w:hanging="1080"/>
      </w:pPr>
      <w:rPr>
        <w:rFonts w:hint="default"/>
        <w:i/>
      </w:rPr>
    </w:lvl>
    <w:lvl w:ilvl="4">
      <w:start w:val="1"/>
      <w:numFmt w:val="decimal"/>
      <w:lvlText w:val="%1.%2.%3.%4.%5"/>
      <w:lvlJc w:val="left"/>
      <w:pPr>
        <w:ind w:left="3140" w:hanging="1440"/>
      </w:pPr>
      <w:rPr>
        <w:rFonts w:hint="default"/>
        <w:i/>
      </w:rPr>
    </w:lvl>
    <w:lvl w:ilvl="5">
      <w:start w:val="1"/>
      <w:numFmt w:val="decimal"/>
      <w:lvlText w:val="%1.%2.%3.%4.%5.%6"/>
      <w:lvlJc w:val="left"/>
      <w:pPr>
        <w:ind w:left="3565" w:hanging="1440"/>
      </w:pPr>
      <w:rPr>
        <w:rFonts w:hint="default"/>
        <w:i/>
      </w:rPr>
    </w:lvl>
    <w:lvl w:ilvl="6">
      <w:start w:val="1"/>
      <w:numFmt w:val="decimal"/>
      <w:lvlText w:val="%1.%2.%3.%4.%5.%6.%7"/>
      <w:lvlJc w:val="left"/>
      <w:pPr>
        <w:ind w:left="4350" w:hanging="1800"/>
      </w:pPr>
      <w:rPr>
        <w:rFonts w:hint="default"/>
        <w:i/>
      </w:rPr>
    </w:lvl>
    <w:lvl w:ilvl="7">
      <w:start w:val="1"/>
      <w:numFmt w:val="decimal"/>
      <w:lvlText w:val="%1.%2.%3.%4.%5.%6.%7.%8"/>
      <w:lvlJc w:val="left"/>
      <w:pPr>
        <w:ind w:left="4775" w:hanging="1800"/>
      </w:pPr>
      <w:rPr>
        <w:rFonts w:hint="default"/>
        <w:i/>
      </w:rPr>
    </w:lvl>
    <w:lvl w:ilvl="8">
      <w:start w:val="1"/>
      <w:numFmt w:val="decimal"/>
      <w:lvlText w:val="%1.%2.%3.%4.%5.%6.%7.%8.%9"/>
      <w:lvlJc w:val="left"/>
      <w:pPr>
        <w:ind w:left="5560" w:hanging="2160"/>
      </w:pPr>
      <w:rPr>
        <w:rFonts w:hint="default"/>
        <w:i/>
      </w:rPr>
    </w:lvl>
  </w:abstractNum>
  <w:abstractNum w:abstractNumId="11" w15:restartNumberingAfterBreak="0">
    <w:nsid w:val="22CC142C"/>
    <w:multiLevelType w:val="hybridMultilevel"/>
    <w:tmpl w:val="3B685DFE"/>
    <w:lvl w:ilvl="0" w:tplc="0C090001">
      <w:start w:val="1"/>
      <w:numFmt w:val="bullet"/>
      <w:lvlText w:val=""/>
      <w:lvlJc w:val="left"/>
      <w:pPr>
        <w:ind w:left="886" w:hanging="360"/>
      </w:pPr>
      <w:rPr>
        <w:rFonts w:ascii="Symbol" w:hAnsi="Symbol" w:hint="default"/>
      </w:rPr>
    </w:lvl>
    <w:lvl w:ilvl="1" w:tplc="0C090003" w:tentative="1">
      <w:start w:val="1"/>
      <w:numFmt w:val="bullet"/>
      <w:lvlText w:val="o"/>
      <w:lvlJc w:val="left"/>
      <w:pPr>
        <w:ind w:left="1606" w:hanging="360"/>
      </w:pPr>
      <w:rPr>
        <w:rFonts w:ascii="Courier New" w:hAnsi="Courier New" w:cs="Courier New" w:hint="default"/>
      </w:rPr>
    </w:lvl>
    <w:lvl w:ilvl="2" w:tplc="0C090005" w:tentative="1">
      <w:start w:val="1"/>
      <w:numFmt w:val="bullet"/>
      <w:lvlText w:val=""/>
      <w:lvlJc w:val="left"/>
      <w:pPr>
        <w:ind w:left="2326" w:hanging="360"/>
      </w:pPr>
      <w:rPr>
        <w:rFonts w:ascii="Wingdings" w:hAnsi="Wingdings" w:hint="default"/>
      </w:rPr>
    </w:lvl>
    <w:lvl w:ilvl="3" w:tplc="0C090001" w:tentative="1">
      <w:start w:val="1"/>
      <w:numFmt w:val="bullet"/>
      <w:lvlText w:val=""/>
      <w:lvlJc w:val="left"/>
      <w:pPr>
        <w:ind w:left="3046" w:hanging="360"/>
      </w:pPr>
      <w:rPr>
        <w:rFonts w:ascii="Symbol" w:hAnsi="Symbol" w:hint="default"/>
      </w:rPr>
    </w:lvl>
    <w:lvl w:ilvl="4" w:tplc="0C090003" w:tentative="1">
      <w:start w:val="1"/>
      <w:numFmt w:val="bullet"/>
      <w:lvlText w:val="o"/>
      <w:lvlJc w:val="left"/>
      <w:pPr>
        <w:ind w:left="3766" w:hanging="360"/>
      </w:pPr>
      <w:rPr>
        <w:rFonts w:ascii="Courier New" w:hAnsi="Courier New" w:cs="Courier New" w:hint="default"/>
      </w:rPr>
    </w:lvl>
    <w:lvl w:ilvl="5" w:tplc="0C090005" w:tentative="1">
      <w:start w:val="1"/>
      <w:numFmt w:val="bullet"/>
      <w:lvlText w:val=""/>
      <w:lvlJc w:val="left"/>
      <w:pPr>
        <w:ind w:left="4486" w:hanging="360"/>
      </w:pPr>
      <w:rPr>
        <w:rFonts w:ascii="Wingdings" w:hAnsi="Wingdings" w:hint="default"/>
      </w:rPr>
    </w:lvl>
    <w:lvl w:ilvl="6" w:tplc="0C090001" w:tentative="1">
      <w:start w:val="1"/>
      <w:numFmt w:val="bullet"/>
      <w:lvlText w:val=""/>
      <w:lvlJc w:val="left"/>
      <w:pPr>
        <w:ind w:left="5206" w:hanging="360"/>
      </w:pPr>
      <w:rPr>
        <w:rFonts w:ascii="Symbol" w:hAnsi="Symbol" w:hint="default"/>
      </w:rPr>
    </w:lvl>
    <w:lvl w:ilvl="7" w:tplc="0C090003" w:tentative="1">
      <w:start w:val="1"/>
      <w:numFmt w:val="bullet"/>
      <w:lvlText w:val="o"/>
      <w:lvlJc w:val="left"/>
      <w:pPr>
        <w:ind w:left="5926" w:hanging="360"/>
      </w:pPr>
      <w:rPr>
        <w:rFonts w:ascii="Courier New" w:hAnsi="Courier New" w:cs="Courier New" w:hint="default"/>
      </w:rPr>
    </w:lvl>
    <w:lvl w:ilvl="8" w:tplc="0C090005" w:tentative="1">
      <w:start w:val="1"/>
      <w:numFmt w:val="bullet"/>
      <w:lvlText w:val=""/>
      <w:lvlJc w:val="left"/>
      <w:pPr>
        <w:ind w:left="6646" w:hanging="360"/>
      </w:pPr>
      <w:rPr>
        <w:rFonts w:ascii="Wingdings" w:hAnsi="Wingdings" w:hint="default"/>
      </w:rPr>
    </w:lvl>
  </w:abstractNum>
  <w:abstractNum w:abstractNumId="12" w15:restartNumberingAfterBreak="0">
    <w:nsid w:val="25654D25"/>
    <w:multiLevelType w:val="hybridMultilevel"/>
    <w:tmpl w:val="A7F00DF6"/>
    <w:lvl w:ilvl="0" w:tplc="0C090001">
      <w:start w:val="1"/>
      <w:numFmt w:val="bullet"/>
      <w:lvlText w:val=""/>
      <w:lvlJc w:val="left"/>
      <w:pPr>
        <w:ind w:left="927" w:hanging="360"/>
      </w:pPr>
      <w:rPr>
        <w:rFonts w:ascii="Symbol" w:hAnsi="Symbol" w:hint="default"/>
      </w:rPr>
    </w:lvl>
    <w:lvl w:ilvl="1" w:tplc="0C090003">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3" w15:restartNumberingAfterBreak="0">
    <w:nsid w:val="27AB7B92"/>
    <w:multiLevelType w:val="hybridMultilevel"/>
    <w:tmpl w:val="E12E2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80F0AF8"/>
    <w:multiLevelType w:val="multilevel"/>
    <w:tmpl w:val="1BA6FD4C"/>
    <w:lvl w:ilvl="0">
      <w:start w:val="1"/>
      <w:numFmt w:val="decimal"/>
      <w:lvlText w:val="%1"/>
      <w:lvlJc w:val="left"/>
      <w:pPr>
        <w:ind w:left="400" w:hanging="400"/>
      </w:pPr>
      <w:rPr>
        <w:rFonts w:hint="default"/>
      </w:rPr>
    </w:lvl>
    <w:lvl w:ilvl="1">
      <w:start w:val="1"/>
      <w:numFmt w:val="decimal"/>
      <w:lvlText w:val="%1.%2"/>
      <w:lvlJc w:val="left"/>
      <w:pPr>
        <w:ind w:left="1080" w:hanging="720"/>
      </w:pPr>
      <w:rPr>
        <w:rFonts w:hint="default"/>
        <w:color w:val="0070AE" w:themeColor="accent2" w:themeTint="BF"/>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8D64E3D"/>
    <w:multiLevelType w:val="hybridMultilevel"/>
    <w:tmpl w:val="9B546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4B6EB7"/>
    <w:multiLevelType w:val="multilevel"/>
    <w:tmpl w:val="0F2AFF16"/>
    <w:lvl w:ilvl="0">
      <w:start w:val="8"/>
      <w:numFmt w:val="decimal"/>
      <w:lvlText w:val="%1"/>
      <w:lvlJc w:val="left"/>
      <w:pPr>
        <w:ind w:left="400" w:hanging="400"/>
      </w:pPr>
      <w:rPr>
        <w:rFonts w:hint="default"/>
      </w:rPr>
    </w:lvl>
    <w:lvl w:ilvl="1">
      <w:start w:val="1"/>
      <w:numFmt w:val="decimal"/>
      <w:lvlText w:val="%1.%2"/>
      <w:lvlJc w:val="left"/>
      <w:pPr>
        <w:ind w:left="1145" w:hanging="720"/>
      </w:pPr>
      <w:rPr>
        <w:rFonts w:hint="default"/>
        <w:color w:val="0070AE" w:themeColor="accent2" w:themeTint="BF"/>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7" w15:restartNumberingAfterBreak="0">
    <w:nsid w:val="2A5C4B89"/>
    <w:multiLevelType w:val="hybridMultilevel"/>
    <w:tmpl w:val="411E734E"/>
    <w:lvl w:ilvl="0" w:tplc="0C090001">
      <w:start w:val="1"/>
      <w:numFmt w:val="bullet"/>
      <w:lvlText w:val=""/>
      <w:lvlJc w:val="left"/>
      <w:pPr>
        <w:ind w:left="405" w:hanging="360"/>
      </w:pPr>
      <w:rPr>
        <w:rFonts w:ascii="Symbol" w:hAnsi="Symbol" w:hint="default"/>
      </w:rPr>
    </w:lvl>
    <w:lvl w:ilvl="1" w:tplc="0C090001">
      <w:start w:val="1"/>
      <w:numFmt w:val="bullet"/>
      <w:lvlText w:val=""/>
      <w:lvlJc w:val="left"/>
      <w:pPr>
        <w:ind w:left="1125" w:hanging="360"/>
      </w:pPr>
      <w:rPr>
        <w:rFonts w:ascii="Symbol" w:hAnsi="Symbol" w:hint="default"/>
      </w:rPr>
    </w:lvl>
    <w:lvl w:ilvl="2" w:tplc="0C090005">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8" w15:restartNumberingAfterBreak="0">
    <w:nsid w:val="2AB10C6C"/>
    <w:multiLevelType w:val="hybridMultilevel"/>
    <w:tmpl w:val="A0D23D88"/>
    <w:lvl w:ilvl="0" w:tplc="78EC71F6">
      <w:start w:val="1"/>
      <w:numFmt w:val="decimal"/>
      <w:pStyle w:val="FigureHeader"/>
      <w:lvlText w:val="Figure %1"/>
      <w:lvlJc w:val="left"/>
      <w:pPr>
        <w:ind w:left="360" w:hanging="360"/>
      </w:pPr>
      <w:rPr>
        <w:rFonts w:ascii="Arial Bold" w:hAnsi="Arial Bold" w:hint="default"/>
        <w:b/>
        <w:i w:val="0"/>
        <w:caps/>
        <w:strike w:val="0"/>
        <w:dstrike w:val="0"/>
        <w:vanish w:val="0"/>
        <w:webHidden w:val="0"/>
        <w:color w:val="939598" w:themeColor="accent1"/>
        <w:sz w:val="22"/>
        <w:u w:val="none"/>
        <w:effect w:val="none"/>
        <w:vertAlign w:val="baseline"/>
        <w:specVanish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2BAA6172"/>
    <w:multiLevelType w:val="hybridMultilevel"/>
    <w:tmpl w:val="3A1EE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4E2A11"/>
    <w:multiLevelType w:val="hybridMultilevel"/>
    <w:tmpl w:val="F3AE06E0"/>
    <w:lvl w:ilvl="0" w:tplc="22CAE022">
      <w:start w:val="1"/>
      <w:numFmt w:val="bullet"/>
      <w:lvlText w:val=""/>
      <w:lvlJc w:val="left"/>
      <w:pPr>
        <w:ind w:left="720" w:hanging="360"/>
      </w:pPr>
      <w:rPr>
        <w:rFonts w:ascii="Symbol" w:hAnsi="Symbol" w:hint="default"/>
        <w:color w:val="0070AE" w:themeColor="accent2"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D70415"/>
    <w:multiLevelType w:val="multilevel"/>
    <w:tmpl w:val="AB927994"/>
    <w:lvl w:ilvl="0">
      <w:start w:val="6"/>
      <w:numFmt w:val="decimal"/>
      <w:lvlText w:val="%1"/>
      <w:lvlJc w:val="left"/>
      <w:pPr>
        <w:ind w:left="400" w:hanging="400"/>
      </w:pPr>
      <w:rPr>
        <w:rFonts w:eastAsiaTheme="majorEastAsia" w:cstheme="majorBidi" w:hint="default"/>
      </w:rPr>
    </w:lvl>
    <w:lvl w:ilvl="1">
      <w:start w:val="1"/>
      <w:numFmt w:val="decimal"/>
      <w:lvlText w:val="%1.%2"/>
      <w:lvlJc w:val="left"/>
      <w:pPr>
        <w:ind w:left="1145" w:hanging="720"/>
      </w:pPr>
      <w:rPr>
        <w:rFonts w:eastAsiaTheme="majorEastAsia" w:cstheme="majorBidi" w:hint="default"/>
        <w:color w:val="0070AE" w:themeColor="accent2" w:themeTint="BF"/>
      </w:rPr>
    </w:lvl>
    <w:lvl w:ilvl="2">
      <w:start w:val="1"/>
      <w:numFmt w:val="decimal"/>
      <w:lvlText w:val="%1.%2.%3"/>
      <w:lvlJc w:val="left"/>
      <w:pPr>
        <w:ind w:left="1570" w:hanging="720"/>
      </w:pPr>
      <w:rPr>
        <w:rFonts w:eastAsiaTheme="majorEastAsia" w:cstheme="majorBidi" w:hint="default"/>
      </w:rPr>
    </w:lvl>
    <w:lvl w:ilvl="3">
      <w:start w:val="1"/>
      <w:numFmt w:val="decimal"/>
      <w:lvlText w:val="%1.%2.%3.%4"/>
      <w:lvlJc w:val="left"/>
      <w:pPr>
        <w:ind w:left="2355" w:hanging="1080"/>
      </w:pPr>
      <w:rPr>
        <w:rFonts w:eastAsiaTheme="majorEastAsia" w:cstheme="majorBidi" w:hint="default"/>
      </w:rPr>
    </w:lvl>
    <w:lvl w:ilvl="4">
      <w:start w:val="1"/>
      <w:numFmt w:val="decimal"/>
      <w:lvlText w:val="%1.%2.%3.%4.%5"/>
      <w:lvlJc w:val="left"/>
      <w:pPr>
        <w:ind w:left="3140" w:hanging="1440"/>
      </w:pPr>
      <w:rPr>
        <w:rFonts w:eastAsiaTheme="majorEastAsia" w:cstheme="majorBidi" w:hint="default"/>
      </w:rPr>
    </w:lvl>
    <w:lvl w:ilvl="5">
      <w:start w:val="1"/>
      <w:numFmt w:val="decimal"/>
      <w:lvlText w:val="%1.%2.%3.%4.%5.%6"/>
      <w:lvlJc w:val="left"/>
      <w:pPr>
        <w:ind w:left="3565" w:hanging="1440"/>
      </w:pPr>
      <w:rPr>
        <w:rFonts w:eastAsiaTheme="majorEastAsia" w:cstheme="majorBidi" w:hint="default"/>
      </w:rPr>
    </w:lvl>
    <w:lvl w:ilvl="6">
      <w:start w:val="1"/>
      <w:numFmt w:val="decimal"/>
      <w:lvlText w:val="%1.%2.%3.%4.%5.%6.%7"/>
      <w:lvlJc w:val="left"/>
      <w:pPr>
        <w:ind w:left="4350" w:hanging="1800"/>
      </w:pPr>
      <w:rPr>
        <w:rFonts w:eastAsiaTheme="majorEastAsia" w:cstheme="majorBidi" w:hint="default"/>
      </w:rPr>
    </w:lvl>
    <w:lvl w:ilvl="7">
      <w:start w:val="1"/>
      <w:numFmt w:val="decimal"/>
      <w:lvlText w:val="%1.%2.%3.%4.%5.%6.%7.%8"/>
      <w:lvlJc w:val="left"/>
      <w:pPr>
        <w:ind w:left="4775" w:hanging="1800"/>
      </w:pPr>
      <w:rPr>
        <w:rFonts w:eastAsiaTheme="majorEastAsia" w:cstheme="majorBidi" w:hint="default"/>
      </w:rPr>
    </w:lvl>
    <w:lvl w:ilvl="8">
      <w:start w:val="1"/>
      <w:numFmt w:val="decimal"/>
      <w:lvlText w:val="%1.%2.%3.%4.%5.%6.%7.%8.%9"/>
      <w:lvlJc w:val="left"/>
      <w:pPr>
        <w:ind w:left="5560" w:hanging="2160"/>
      </w:pPr>
      <w:rPr>
        <w:rFonts w:eastAsiaTheme="majorEastAsia" w:cstheme="majorBidi" w:hint="default"/>
      </w:rPr>
    </w:lvl>
  </w:abstractNum>
  <w:abstractNum w:abstractNumId="22" w15:restartNumberingAfterBreak="0">
    <w:nsid w:val="3BEE4A34"/>
    <w:multiLevelType w:val="hybridMultilevel"/>
    <w:tmpl w:val="ED8A6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CE1494B"/>
    <w:multiLevelType w:val="hybridMultilevel"/>
    <w:tmpl w:val="EDCAF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4B359B"/>
    <w:multiLevelType w:val="hybridMultilevel"/>
    <w:tmpl w:val="84425822"/>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5" w15:restartNumberingAfterBreak="0">
    <w:nsid w:val="3F3C2BD9"/>
    <w:multiLevelType w:val="multilevel"/>
    <w:tmpl w:val="60B4581E"/>
    <w:lvl w:ilvl="0">
      <w:start w:val="2"/>
      <w:numFmt w:val="decimal"/>
      <w:lvlText w:val="%1"/>
      <w:lvlJc w:val="left"/>
      <w:pPr>
        <w:ind w:left="400" w:hanging="400"/>
      </w:pPr>
      <w:rPr>
        <w:rFonts w:hint="default"/>
      </w:rPr>
    </w:lvl>
    <w:lvl w:ilvl="1">
      <w:start w:val="1"/>
      <w:numFmt w:val="decimal"/>
      <w:lvlText w:val="%1.%2"/>
      <w:lvlJc w:val="left"/>
      <w:pPr>
        <w:ind w:left="1080" w:hanging="720"/>
      </w:pPr>
      <w:rPr>
        <w:rFonts w:hint="default"/>
        <w:color w:val="0070AE" w:themeColor="accent2" w:themeTint="BF"/>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43FE2DDA"/>
    <w:multiLevelType w:val="hybridMultilevel"/>
    <w:tmpl w:val="69B60AB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56C02DA"/>
    <w:multiLevelType w:val="hybridMultilevel"/>
    <w:tmpl w:val="03842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65F65EC"/>
    <w:multiLevelType w:val="hybridMultilevel"/>
    <w:tmpl w:val="5BFC54B2"/>
    <w:lvl w:ilvl="0" w:tplc="C71E54EA">
      <w:start w:val="1"/>
      <w:numFmt w:val="bullet"/>
      <w:lvlText w:val=""/>
      <w:lvlJc w:val="left"/>
      <w:pPr>
        <w:ind w:left="720" w:hanging="360"/>
      </w:pPr>
      <w:rPr>
        <w:rFonts w:ascii="Symbol" w:hAnsi="Symbol" w:hint="default"/>
        <w:color w:val="0070AE" w:themeColor="accent2"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DB48D2"/>
    <w:multiLevelType w:val="hybridMultilevel"/>
    <w:tmpl w:val="6C72F0AA"/>
    <w:lvl w:ilvl="0" w:tplc="435A3FC8">
      <w:start w:val="1"/>
      <w:numFmt w:val="bullet"/>
      <w:lvlText w:val=""/>
      <w:lvlJc w:val="left"/>
      <w:pPr>
        <w:ind w:left="720" w:hanging="360"/>
      </w:pPr>
      <w:rPr>
        <w:rFonts w:ascii="Symbol" w:hAnsi="Symbol" w:hint="default"/>
        <w:color w:val="0070AE" w:themeColor="accent2"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3C7FBC"/>
    <w:multiLevelType w:val="hybridMultilevel"/>
    <w:tmpl w:val="2D101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A42BB0"/>
    <w:multiLevelType w:val="multilevel"/>
    <w:tmpl w:val="54D2666C"/>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color w:val="0070AE" w:themeColor="accent2" w:themeTint="BF"/>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5315069E"/>
    <w:multiLevelType w:val="multilevel"/>
    <w:tmpl w:val="704EE578"/>
    <w:lvl w:ilvl="0">
      <w:start w:val="9"/>
      <w:numFmt w:val="decimal"/>
      <w:lvlText w:val="%1"/>
      <w:lvlJc w:val="left"/>
      <w:pPr>
        <w:ind w:left="400" w:hanging="400"/>
      </w:pPr>
      <w:rPr>
        <w:rFonts w:hint="default"/>
      </w:rPr>
    </w:lvl>
    <w:lvl w:ilvl="1">
      <w:start w:val="1"/>
      <w:numFmt w:val="decimal"/>
      <w:lvlText w:val="%1.%2"/>
      <w:lvlJc w:val="left"/>
      <w:pPr>
        <w:ind w:left="1145" w:hanging="720"/>
      </w:pPr>
      <w:rPr>
        <w:rFonts w:hint="default"/>
        <w:color w:val="0070AE" w:themeColor="accent2" w:themeTint="BF"/>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3" w15:restartNumberingAfterBreak="0">
    <w:nsid w:val="57A51FC2"/>
    <w:multiLevelType w:val="hybridMultilevel"/>
    <w:tmpl w:val="2350FC4E"/>
    <w:styleLink w:val="TableListBulletmaster"/>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0B4D7C"/>
    <w:multiLevelType w:val="hybridMultilevel"/>
    <w:tmpl w:val="9A66C0C8"/>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5" w15:restartNumberingAfterBreak="0">
    <w:nsid w:val="5E06576F"/>
    <w:multiLevelType w:val="hybridMultilevel"/>
    <w:tmpl w:val="1EEEE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703486"/>
    <w:multiLevelType w:val="hybridMultilevel"/>
    <w:tmpl w:val="B88696FA"/>
    <w:lvl w:ilvl="0" w:tplc="936C1BA2">
      <w:start w:val="1"/>
      <w:numFmt w:val="bullet"/>
      <w:lvlText w:val=""/>
      <w:lvlJc w:val="left"/>
      <w:pPr>
        <w:ind w:left="720" w:hanging="360"/>
      </w:pPr>
      <w:rPr>
        <w:rFonts w:ascii="Symbol" w:hAnsi="Symbol" w:hint="default"/>
        <w:color w:val="0070AE" w:themeColor="accent2"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5028DB"/>
    <w:multiLevelType w:val="hybridMultilevel"/>
    <w:tmpl w:val="13AAC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8E6CBA"/>
    <w:multiLevelType w:val="singleLevel"/>
    <w:tmpl w:val="B6D21A20"/>
    <w:styleLink w:val="ListBulletmaster"/>
    <w:lvl w:ilvl="0">
      <w:start w:val="1"/>
      <w:numFmt w:val="bullet"/>
      <w:pStyle w:val="ListBullet5"/>
      <w:lvlText w:val=""/>
      <w:lvlJc w:val="left"/>
      <w:pPr>
        <w:ind w:left="369" w:hanging="369"/>
      </w:pPr>
      <w:rPr>
        <w:rFonts w:ascii="Symbol" w:hAnsi="Symbol" w:hint="default"/>
        <w:color w:val="159DCE"/>
      </w:rPr>
    </w:lvl>
  </w:abstractNum>
  <w:abstractNum w:abstractNumId="39" w15:restartNumberingAfterBreak="0">
    <w:nsid w:val="673C3EF5"/>
    <w:multiLevelType w:val="hybridMultilevel"/>
    <w:tmpl w:val="FF782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6B47AB"/>
    <w:multiLevelType w:val="hybridMultilevel"/>
    <w:tmpl w:val="5F42DD6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1" w15:restartNumberingAfterBreak="0">
    <w:nsid w:val="68014BCD"/>
    <w:multiLevelType w:val="multilevel"/>
    <w:tmpl w:val="C6AA029E"/>
    <w:lvl w:ilvl="0">
      <w:start w:val="3"/>
      <w:numFmt w:val="decimal"/>
      <w:lvlText w:val="%1"/>
      <w:lvlJc w:val="left"/>
      <w:pPr>
        <w:ind w:left="400" w:hanging="400"/>
      </w:pPr>
      <w:rPr>
        <w:rFonts w:hint="default"/>
      </w:rPr>
    </w:lvl>
    <w:lvl w:ilvl="1">
      <w:start w:val="1"/>
      <w:numFmt w:val="decimal"/>
      <w:lvlText w:val="%1.%2"/>
      <w:lvlJc w:val="left"/>
      <w:pPr>
        <w:ind w:left="1080" w:hanging="720"/>
      </w:pPr>
      <w:rPr>
        <w:rFonts w:hint="default"/>
        <w:color w:val="0070AE" w:themeColor="accent2" w:themeTint="BF"/>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6AED50BC"/>
    <w:multiLevelType w:val="hybridMultilevel"/>
    <w:tmpl w:val="26DC4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FB3B6D"/>
    <w:multiLevelType w:val="hybridMultilevel"/>
    <w:tmpl w:val="62A865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DFD5E2D"/>
    <w:multiLevelType w:val="hybridMultilevel"/>
    <w:tmpl w:val="69847F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F89193C"/>
    <w:multiLevelType w:val="hybridMultilevel"/>
    <w:tmpl w:val="C6F8D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4D061B"/>
    <w:multiLevelType w:val="hybridMultilevel"/>
    <w:tmpl w:val="C8B07A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3B24D50"/>
    <w:multiLevelType w:val="hybridMultilevel"/>
    <w:tmpl w:val="98FA1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58B27B3"/>
    <w:multiLevelType w:val="hybridMultilevel"/>
    <w:tmpl w:val="63844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50" w15:restartNumberingAfterBreak="0">
    <w:nsid w:val="7832561F"/>
    <w:multiLevelType w:val="hybridMultilevel"/>
    <w:tmpl w:val="44002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90B61FC"/>
    <w:multiLevelType w:val="multilevel"/>
    <w:tmpl w:val="A2622056"/>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color w:val="0070AE" w:themeColor="accent2" w:themeTint="BF"/>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79DB23C0"/>
    <w:multiLevelType w:val="multilevel"/>
    <w:tmpl w:val="C0642F46"/>
    <w:lvl w:ilvl="0">
      <w:start w:val="1"/>
      <w:numFmt w:val="bullet"/>
      <w:pStyle w:val="CERbullets"/>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bullet"/>
      <w:lvlText w:val="›"/>
      <w:lvlJc w:val="left"/>
      <w:pPr>
        <w:ind w:left="1440" w:hanging="360"/>
      </w:pPr>
      <w:rPr>
        <w:rFonts w:ascii="Arial" w:hAnsi="Arial" w:hint="default"/>
        <w:color w:val="006EA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7BDA3DA0"/>
    <w:multiLevelType w:val="hybridMultilevel"/>
    <w:tmpl w:val="A912C1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BED12B5"/>
    <w:multiLevelType w:val="multilevel"/>
    <w:tmpl w:val="10D29FB8"/>
    <w:lvl w:ilvl="0">
      <w:start w:val="5"/>
      <w:numFmt w:val="decimal"/>
      <w:lvlText w:val="%1"/>
      <w:lvlJc w:val="left"/>
      <w:pPr>
        <w:ind w:left="405" w:hanging="405"/>
      </w:pPr>
      <w:rPr>
        <w:rFonts w:hint="default"/>
      </w:rPr>
    </w:lvl>
    <w:lvl w:ilvl="1">
      <w:start w:val="1"/>
      <w:numFmt w:val="decimal"/>
      <w:lvlText w:val="%1.%2"/>
      <w:lvlJc w:val="left"/>
      <w:pPr>
        <w:ind w:left="1145" w:hanging="720"/>
      </w:pPr>
      <w:rPr>
        <w:rFonts w:hint="default"/>
        <w:color w:val="0070AE" w:themeColor="accent2" w:themeTint="BF"/>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5" w15:restartNumberingAfterBreak="0">
    <w:nsid w:val="7F830ABD"/>
    <w:multiLevelType w:val="multilevel"/>
    <w:tmpl w:val="6DACF15A"/>
    <w:lvl w:ilvl="0">
      <w:start w:val="7"/>
      <w:numFmt w:val="decimal"/>
      <w:lvlText w:val="%1"/>
      <w:lvlJc w:val="left"/>
      <w:pPr>
        <w:ind w:left="400" w:hanging="400"/>
      </w:pPr>
      <w:rPr>
        <w:rFonts w:hint="default"/>
      </w:rPr>
    </w:lvl>
    <w:lvl w:ilvl="1">
      <w:start w:val="1"/>
      <w:numFmt w:val="decimal"/>
      <w:lvlText w:val="%1.%2"/>
      <w:lvlJc w:val="left"/>
      <w:pPr>
        <w:ind w:left="1145" w:hanging="720"/>
      </w:pPr>
      <w:rPr>
        <w:rFonts w:hint="default"/>
        <w:color w:val="0070AE" w:themeColor="accent2" w:themeTint="BF"/>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num w:numId="1">
    <w:abstractNumId w:val="38"/>
  </w:num>
  <w:num w:numId="2">
    <w:abstractNumId w:val="0"/>
  </w:num>
  <w:num w:numId="3">
    <w:abstractNumId w:val="18"/>
  </w:num>
  <w:num w:numId="4">
    <w:abstractNumId w:val="1"/>
  </w:num>
  <w:num w:numId="5">
    <w:abstractNumId w:val="33"/>
  </w:num>
  <w:num w:numId="6">
    <w:abstractNumId w:val="7"/>
  </w:num>
  <w:num w:numId="7">
    <w:abstractNumId w:val="12"/>
  </w:num>
  <w:num w:numId="8">
    <w:abstractNumId w:val="15"/>
  </w:num>
  <w:num w:numId="9">
    <w:abstractNumId w:val="27"/>
  </w:num>
  <w:num w:numId="10">
    <w:abstractNumId w:val="2"/>
  </w:num>
  <w:num w:numId="11">
    <w:abstractNumId w:val="24"/>
  </w:num>
  <w:num w:numId="12">
    <w:abstractNumId w:val="39"/>
  </w:num>
  <w:num w:numId="13">
    <w:abstractNumId w:val="54"/>
  </w:num>
  <w:num w:numId="14">
    <w:abstractNumId w:val="35"/>
  </w:num>
  <w:num w:numId="15">
    <w:abstractNumId w:val="51"/>
  </w:num>
  <w:num w:numId="16">
    <w:abstractNumId w:val="31"/>
  </w:num>
  <w:num w:numId="17">
    <w:abstractNumId w:val="17"/>
  </w:num>
  <w:num w:numId="18">
    <w:abstractNumId w:val="49"/>
  </w:num>
  <w:num w:numId="19">
    <w:abstractNumId w:val="47"/>
  </w:num>
  <w:num w:numId="20">
    <w:abstractNumId w:val="52"/>
  </w:num>
  <w:num w:numId="21">
    <w:abstractNumId w:val="19"/>
  </w:num>
  <w:num w:numId="22">
    <w:abstractNumId w:val="46"/>
  </w:num>
  <w:num w:numId="23">
    <w:abstractNumId w:val="40"/>
  </w:num>
  <w:num w:numId="24">
    <w:abstractNumId w:val="3"/>
  </w:num>
  <w:num w:numId="25">
    <w:abstractNumId w:val="30"/>
  </w:num>
  <w:num w:numId="26">
    <w:abstractNumId w:val="42"/>
  </w:num>
  <w:num w:numId="27">
    <w:abstractNumId w:val="13"/>
  </w:num>
  <w:num w:numId="28">
    <w:abstractNumId w:val="22"/>
  </w:num>
  <w:num w:numId="29">
    <w:abstractNumId w:val="23"/>
  </w:num>
  <w:num w:numId="30">
    <w:abstractNumId w:val="9"/>
  </w:num>
  <w:num w:numId="31">
    <w:abstractNumId w:val="53"/>
  </w:num>
  <w:num w:numId="32">
    <w:abstractNumId w:val="20"/>
  </w:num>
  <w:num w:numId="33">
    <w:abstractNumId w:val="36"/>
  </w:num>
  <w:num w:numId="34">
    <w:abstractNumId w:val="28"/>
  </w:num>
  <w:num w:numId="35">
    <w:abstractNumId w:val="29"/>
  </w:num>
  <w:num w:numId="36">
    <w:abstractNumId w:val="11"/>
  </w:num>
  <w:num w:numId="37">
    <w:abstractNumId w:val="48"/>
  </w:num>
  <w:num w:numId="38">
    <w:abstractNumId w:val="4"/>
  </w:num>
  <w:num w:numId="39">
    <w:abstractNumId w:val="45"/>
  </w:num>
  <w:num w:numId="40">
    <w:abstractNumId w:val="37"/>
  </w:num>
  <w:num w:numId="41">
    <w:abstractNumId w:val="6"/>
  </w:num>
  <w:num w:numId="42">
    <w:abstractNumId w:val="43"/>
  </w:num>
  <w:num w:numId="43">
    <w:abstractNumId w:val="8"/>
  </w:num>
  <w:num w:numId="44">
    <w:abstractNumId w:val="44"/>
  </w:num>
  <w:num w:numId="45">
    <w:abstractNumId w:val="34"/>
  </w:num>
  <w:num w:numId="46">
    <w:abstractNumId w:val="5"/>
  </w:num>
  <w:num w:numId="47">
    <w:abstractNumId w:val="21"/>
  </w:num>
  <w:num w:numId="48">
    <w:abstractNumId w:val="14"/>
  </w:num>
  <w:num w:numId="49">
    <w:abstractNumId w:val="25"/>
  </w:num>
  <w:num w:numId="50">
    <w:abstractNumId w:val="55"/>
  </w:num>
  <w:num w:numId="51">
    <w:abstractNumId w:val="16"/>
  </w:num>
  <w:num w:numId="52">
    <w:abstractNumId w:val="32"/>
  </w:num>
  <w:num w:numId="53">
    <w:abstractNumId w:val="10"/>
  </w:num>
  <w:num w:numId="54">
    <w:abstractNumId w:val="41"/>
  </w:num>
  <w:num w:numId="55">
    <w:abstractNumId w:val="50"/>
  </w:num>
  <w:num w:numId="56">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hideSpellingErrors/>
  <w:hideGrammaticalErrors/>
  <w:attachedTemplate r:id="rId1"/>
  <w:documentProtection w:edit="readOnly" w:enforcement="1" w:cryptProviderType="rsaAES" w:cryptAlgorithmClass="hash" w:cryptAlgorithmType="typeAny" w:cryptAlgorithmSid="14" w:cryptSpinCount="100000" w:hash="28aiOJaPR81uYaoaKZEWVOZ58qmq8aW5dxPZ08V2CpBA0/Mz4o1nUeSWf54HwZMLjNbtJgg4Sv164RRUNTHwNg==" w:salt="dTnQvKSRw1EZkCBzdJXg3g=="/>
  <w:defaultTabStop w:val="720"/>
  <w:characterSpacingControl w:val="doNotCompress"/>
  <w:hdrShapeDefaults>
    <o:shapedefaults v:ext="edit" spidmax="402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609"/>
    <w:rsid w:val="00000091"/>
    <w:rsid w:val="0000073C"/>
    <w:rsid w:val="00000812"/>
    <w:rsid w:val="000009B7"/>
    <w:rsid w:val="000009F3"/>
    <w:rsid w:val="00000AC3"/>
    <w:rsid w:val="00000FA5"/>
    <w:rsid w:val="0000178F"/>
    <w:rsid w:val="00001CB1"/>
    <w:rsid w:val="00001E83"/>
    <w:rsid w:val="00002296"/>
    <w:rsid w:val="00002DC4"/>
    <w:rsid w:val="00002E01"/>
    <w:rsid w:val="000030C2"/>
    <w:rsid w:val="0000358A"/>
    <w:rsid w:val="0000389E"/>
    <w:rsid w:val="000038F3"/>
    <w:rsid w:val="00003E9C"/>
    <w:rsid w:val="00004000"/>
    <w:rsid w:val="00004274"/>
    <w:rsid w:val="000046CD"/>
    <w:rsid w:val="00004958"/>
    <w:rsid w:val="000049E6"/>
    <w:rsid w:val="00004D0B"/>
    <w:rsid w:val="00004E17"/>
    <w:rsid w:val="00005123"/>
    <w:rsid w:val="0000581A"/>
    <w:rsid w:val="000059D7"/>
    <w:rsid w:val="00005AA2"/>
    <w:rsid w:val="00005C1C"/>
    <w:rsid w:val="00005FBB"/>
    <w:rsid w:val="00005FEB"/>
    <w:rsid w:val="00006070"/>
    <w:rsid w:val="0000610E"/>
    <w:rsid w:val="0000693D"/>
    <w:rsid w:val="00006A33"/>
    <w:rsid w:val="00006BCE"/>
    <w:rsid w:val="000073C3"/>
    <w:rsid w:val="000077A2"/>
    <w:rsid w:val="00007854"/>
    <w:rsid w:val="000079D7"/>
    <w:rsid w:val="00007B1F"/>
    <w:rsid w:val="00007BE1"/>
    <w:rsid w:val="00007C74"/>
    <w:rsid w:val="00007F55"/>
    <w:rsid w:val="000104AB"/>
    <w:rsid w:val="00010C3B"/>
    <w:rsid w:val="00010C99"/>
    <w:rsid w:val="00010CC6"/>
    <w:rsid w:val="00010ECE"/>
    <w:rsid w:val="00011192"/>
    <w:rsid w:val="000118E1"/>
    <w:rsid w:val="00011950"/>
    <w:rsid w:val="00011B6E"/>
    <w:rsid w:val="00011D93"/>
    <w:rsid w:val="00012067"/>
    <w:rsid w:val="00012B41"/>
    <w:rsid w:val="00012BFC"/>
    <w:rsid w:val="00012F17"/>
    <w:rsid w:val="00012F2D"/>
    <w:rsid w:val="00013068"/>
    <w:rsid w:val="000131ED"/>
    <w:rsid w:val="00013478"/>
    <w:rsid w:val="000135E5"/>
    <w:rsid w:val="00013695"/>
    <w:rsid w:val="000137B9"/>
    <w:rsid w:val="00013833"/>
    <w:rsid w:val="00013A35"/>
    <w:rsid w:val="00013CA3"/>
    <w:rsid w:val="00013D39"/>
    <w:rsid w:val="000141B3"/>
    <w:rsid w:val="00014253"/>
    <w:rsid w:val="00014412"/>
    <w:rsid w:val="000148A5"/>
    <w:rsid w:val="00014FDF"/>
    <w:rsid w:val="00015647"/>
    <w:rsid w:val="0001570F"/>
    <w:rsid w:val="00015A67"/>
    <w:rsid w:val="00015E27"/>
    <w:rsid w:val="000161F1"/>
    <w:rsid w:val="00016494"/>
    <w:rsid w:val="00016504"/>
    <w:rsid w:val="0001656D"/>
    <w:rsid w:val="0001703B"/>
    <w:rsid w:val="00017304"/>
    <w:rsid w:val="000178D8"/>
    <w:rsid w:val="00020564"/>
    <w:rsid w:val="00020B26"/>
    <w:rsid w:val="00020E16"/>
    <w:rsid w:val="00021592"/>
    <w:rsid w:val="000218D9"/>
    <w:rsid w:val="000218F9"/>
    <w:rsid w:val="00021A8B"/>
    <w:rsid w:val="00021C1E"/>
    <w:rsid w:val="00021D05"/>
    <w:rsid w:val="00021E39"/>
    <w:rsid w:val="00021FB4"/>
    <w:rsid w:val="000227AB"/>
    <w:rsid w:val="00022AA4"/>
    <w:rsid w:val="00022F21"/>
    <w:rsid w:val="00023130"/>
    <w:rsid w:val="00023170"/>
    <w:rsid w:val="0002325F"/>
    <w:rsid w:val="000235BC"/>
    <w:rsid w:val="00023941"/>
    <w:rsid w:val="00023DF4"/>
    <w:rsid w:val="00023FD4"/>
    <w:rsid w:val="00024001"/>
    <w:rsid w:val="0002422E"/>
    <w:rsid w:val="00024376"/>
    <w:rsid w:val="000244F6"/>
    <w:rsid w:val="00024D6F"/>
    <w:rsid w:val="0002555B"/>
    <w:rsid w:val="000256E6"/>
    <w:rsid w:val="00025A8D"/>
    <w:rsid w:val="000261C1"/>
    <w:rsid w:val="00026260"/>
    <w:rsid w:val="000263A4"/>
    <w:rsid w:val="000265EA"/>
    <w:rsid w:val="0002669A"/>
    <w:rsid w:val="00026938"/>
    <w:rsid w:val="00026A0A"/>
    <w:rsid w:val="00026A77"/>
    <w:rsid w:val="00026A81"/>
    <w:rsid w:val="00026D58"/>
    <w:rsid w:val="0002702E"/>
    <w:rsid w:val="0002745B"/>
    <w:rsid w:val="000277D8"/>
    <w:rsid w:val="00027806"/>
    <w:rsid w:val="00027955"/>
    <w:rsid w:val="00027A4E"/>
    <w:rsid w:val="000301B5"/>
    <w:rsid w:val="000310AF"/>
    <w:rsid w:val="000315FB"/>
    <w:rsid w:val="000321BF"/>
    <w:rsid w:val="00032667"/>
    <w:rsid w:val="00032995"/>
    <w:rsid w:val="00032E43"/>
    <w:rsid w:val="0003342B"/>
    <w:rsid w:val="00033612"/>
    <w:rsid w:val="0003384E"/>
    <w:rsid w:val="00033963"/>
    <w:rsid w:val="000339F1"/>
    <w:rsid w:val="00033B5C"/>
    <w:rsid w:val="000341A1"/>
    <w:rsid w:val="000341CB"/>
    <w:rsid w:val="00034516"/>
    <w:rsid w:val="00034675"/>
    <w:rsid w:val="00035297"/>
    <w:rsid w:val="00035535"/>
    <w:rsid w:val="0003591A"/>
    <w:rsid w:val="000359E0"/>
    <w:rsid w:val="00035A03"/>
    <w:rsid w:val="00035B77"/>
    <w:rsid w:val="0003620B"/>
    <w:rsid w:val="000366FF"/>
    <w:rsid w:val="00036879"/>
    <w:rsid w:val="000368B9"/>
    <w:rsid w:val="0003694F"/>
    <w:rsid w:val="00036FBB"/>
    <w:rsid w:val="00037308"/>
    <w:rsid w:val="00037610"/>
    <w:rsid w:val="00037D61"/>
    <w:rsid w:val="00037DB7"/>
    <w:rsid w:val="00037E84"/>
    <w:rsid w:val="00040418"/>
    <w:rsid w:val="00040BC4"/>
    <w:rsid w:val="00040E48"/>
    <w:rsid w:val="000410E3"/>
    <w:rsid w:val="000417F8"/>
    <w:rsid w:val="00041E36"/>
    <w:rsid w:val="00041F52"/>
    <w:rsid w:val="000423C0"/>
    <w:rsid w:val="00042520"/>
    <w:rsid w:val="0004270A"/>
    <w:rsid w:val="00042AFB"/>
    <w:rsid w:val="00042F4A"/>
    <w:rsid w:val="00042FA9"/>
    <w:rsid w:val="00043039"/>
    <w:rsid w:val="00043214"/>
    <w:rsid w:val="000433C4"/>
    <w:rsid w:val="000438A4"/>
    <w:rsid w:val="00043B0B"/>
    <w:rsid w:val="00043F74"/>
    <w:rsid w:val="00044042"/>
    <w:rsid w:val="000442AB"/>
    <w:rsid w:val="000443D1"/>
    <w:rsid w:val="00044711"/>
    <w:rsid w:val="00044A47"/>
    <w:rsid w:val="00044D63"/>
    <w:rsid w:val="0004505C"/>
    <w:rsid w:val="00045404"/>
    <w:rsid w:val="00045591"/>
    <w:rsid w:val="00045642"/>
    <w:rsid w:val="00045947"/>
    <w:rsid w:val="00045BE2"/>
    <w:rsid w:val="000461E8"/>
    <w:rsid w:val="00046C75"/>
    <w:rsid w:val="00046D4E"/>
    <w:rsid w:val="000470C3"/>
    <w:rsid w:val="000476EE"/>
    <w:rsid w:val="00047735"/>
    <w:rsid w:val="00047BD2"/>
    <w:rsid w:val="000500D6"/>
    <w:rsid w:val="000501D8"/>
    <w:rsid w:val="0005094A"/>
    <w:rsid w:val="00050BAD"/>
    <w:rsid w:val="00050FDA"/>
    <w:rsid w:val="00051412"/>
    <w:rsid w:val="00051444"/>
    <w:rsid w:val="0005154F"/>
    <w:rsid w:val="00051691"/>
    <w:rsid w:val="00051716"/>
    <w:rsid w:val="00051D18"/>
    <w:rsid w:val="00051F8D"/>
    <w:rsid w:val="0005226B"/>
    <w:rsid w:val="000522A1"/>
    <w:rsid w:val="0005234C"/>
    <w:rsid w:val="00052429"/>
    <w:rsid w:val="00052759"/>
    <w:rsid w:val="0005289F"/>
    <w:rsid w:val="00053106"/>
    <w:rsid w:val="000532B9"/>
    <w:rsid w:val="0005332C"/>
    <w:rsid w:val="00053781"/>
    <w:rsid w:val="00053C9E"/>
    <w:rsid w:val="00053DAB"/>
    <w:rsid w:val="0005416F"/>
    <w:rsid w:val="000541D8"/>
    <w:rsid w:val="0005446C"/>
    <w:rsid w:val="000544D1"/>
    <w:rsid w:val="000546E7"/>
    <w:rsid w:val="00054B72"/>
    <w:rsid w:val="000551B3"/>
    <w:rsid w:val="000552B3"/>
    <w:rsid w:val="0005537A"/>
    <w:rsid w:val="00055528"/>
    <w:rsid w:val="0005577C"/>
    <w:rsid w:val="00055AB7"/>
    <w:rsid w:val="0005690B"/>
    <w:rsid w:val="00057218"/>
    <w:rsid w:val="0005750F"/>
    <w:rsid w:val="000577D4"/>
    <w:rsid w:val="00057F12"/>
    <w:rsid w:val="00057F7D"/>
    <w:rsid w:val="00060228"/>
    <w:rsid w:val="00060357"/>
    <w:rsid w:val="000604E1"/>
    <w:rsid w:val="000604F6"/>
    <w:rsid w:val="00060677"/>
    <w:rsid w:val="00060CA0"/>
    <w:rsid w:val="0006166F"/>
    <w:rsid w:val="00061C16"/>
    <w:rsid w:val="00061F7C"/>
    <w:rsid w:val="000621E3"/>
    <w:rsid w:val="0006242D"/>
    <w:rsid w:val="00062D31"/>
    <w:rsid w:val="00062ECB"/>
    <w:rsid w:val="000630C0"/>
    <w:rsid w:val="00063298"/>
    <w:rsid w:val="000635A2"/>
    <w:rsid w:val="000635C7"/>
    <w:rsid w:val="000636BA"/>
    <w:rsid w:val="00063B9A"/>
    <w:rsid w:val="000647B3"/>
    <w:rsid w:val="00064897"/>
    <w:rsid w:val="000650F3"/>
    <w:rsid w:val="00065339"/>
    <w:rsid w:val="0006596A"/>
    <w:rsid w:val="00065E2D"/>
    <w:rsid w:val="00066048"/>
    <w:rsid w:val="0006682D"/>
    <w:rsid w:val="000676B2"/>
    <w:rsid w:val="00067AC1"/>
    <w:rsid w:val="00067B72"/>
    <w:rsid w:val="00067B7D"/>
    <w:rsid w:val="00067CD5"/>
    <w:rsid w:val="00067FFE"/>
    <w:rsid w:val="0007067B"/>
    <w:rsid w:val="0007090D"/>
    <w:rsid w:val="0007100F"/>
    <w:rsid w:val="00071120"/>
    <w:rsid w:val="000711F1"/>
    <w:rsid w:val="000712BE"/>
    <w:rsid w:val="00071346"/>
    <w:rsid w:val="000715F1"/>
    <w:rsid w:val="00071901"/>
    <w:rsid w:val="00071A18"/>
    <w:rsid w:val="00071E02"/>
    <w:rsid w:val="0007204C"/>
    <w:rsid w:val="00072595"/>
    <w:rsid w:val="00072725"/>
    <w:rsid w:val="00072E3B"/>
    <w:rsid w:val="00073260"/>
    <w:rsid w:val="0007436F"/>
    <w:rsid w:val="000746B9"/>
    <w:rsid w:val="0007475C"/>
    <w:rsid w:val="00074B1E"/>
    <w:rsid w:val="00074CBE"/>
    <w:rsid w:val="00075077"/>
    <w:rsid w:val="00075248"/>
    <w:rsid w:val="000757C5"/>
    <w:rsid w:val="00075BA0"/>
    <w:rsid w:val="00075F68"/>
    <w:rsid w:val="00076012"/>
    <w:rsid w:val="0007669F"/>
    <w:rsid w:val="000770F9"/>
    <w:rsid w:val="00077CC7"/>
    <w:rsid w:val="00077D25"/>
    <w:rsid w:val="00077FC7"/>
    <w:rsid w:val="00080047"/>
    <w:rsid w:val="000803E1"/>
    <w:rsid w:val="00080C06"/>
    <w:rsid w:val="00080CD7"/>
    <w:rsid w:val="00080FE1"/>
    <w:rsid w:val="0008107F"/>
    <w:rsid w:val="000817F8"/>
    <w:rsid w:val="000819A9"/>
    <w:rsid w:val="00081A0F"/>
    <w:rsid w:val="00081CD9"/>
    <w:rsid w:val="00081D07"/>
    <w:rsid w:val="000821CE"/>
    <w:rsid w:val="00082225"/>
    <w:rsid w:val="0008232C"/>
    <w:rsid w:val="00082541"/>
    <w:rsid w:val="00083285"/>
    <w:rsid w:val="00083481"/>
    <w:rsid w:val="00083962"/>
    <w:rsid w:val="00084282"/>
    <w:rsid w:val="00084988"/>
    <w:rsid w:val="00084CA6"/>
    <w:rsid w:val="00084D6C"/>
    <w:rsid w:val="00084DCF"/>
    <w:rsid w:val="00084F6E"/>
    <w:rsid w:val="00084FC2"/>
    <w:rsid w:val="0008572F"/>
    <w:rsid w:val="000858A4"/>
    <w:rsid w:val="00085B03"/>
    <w:rsid w:val="0008619C"/>
    <w:rsid w:val="0008635E"/>
    <w:rsid w:val="00086A42"/>
    <w:rsid w:val="000873C2"/>
    <w:rsid w:val="00087652"/>
    <w:rsid w:val="00087F91"/>
    <w:rsid w:val="00090155"/>
    <w:rsid w:val="00090418"/>
    <w:rsid w:val="000906EE"/>
    <w:rsid w:val="00090798"/>
    <w:rsid w:val="000907C1"/>
    <w:rsid w:val="000907E1"/>
    <w:rsid w:val="00090AA0"/>
    <w:rsid w:val="00090E03"/>
    <w:rsid w:val="00090FFF"/>
    <w:rsid w:val="00091D3E"/>
    <w:rsid w:val="00091EBB"/>
    <w:rsid w:val="0009292D"/>
    <w:rsid w:val="00092937"/>
    <w:rsid w:val="00092E82"/>
    <w:rsid w:val="0009386C"/>
    <w:rsid w:val="00093BBD"/>
    <w:rsid w:val="00093D5B"/>
    <w:rsid w:val="00094477"/>
    <w:rsid w:val="0009450B"/>
    <w:rsid w:val="00094510"/>
    <w:rsid w:val="000948EB"/>
    <w:rsid w:val="00094D2A"/>
    <w:rsid w:val="00094E56"/>
    <w:rsid w:val="0009530B"/>
    <w:rsid w:val="000954D4"/>
    <w:rsid w:val="00096109"/>
    <w:rsid w:val="00096242"/>
    <w:rsid w:val="000969FE"/>
    <w:rsid w:val="00096ED5"/>
    <w:rsid w:val="00096FD4"/>
    <w:rsid w:val="00097431"/>
    <w:rsid w:val="000978E5"/>
    <w:rsid w:val="00097C37"/>
    <w:rsid w:val="00097D1D"/>
    <w:rsid w:val="00097FF3"/>
    <w:rsid w:val="000A0385"/>
    <w:rsid w:val="000A05BC"/>
    <w:rsid w:val="000A06DD"/>
    <w:rsid w:val="000A0779"/>
    <w:rsid w:val="000A07C9"/>
    <w:rsid w:val="000A0DB0"/>
    <w:rsid w:val="000A0DB5"/>
    <w:rsid w:val="000A0F98"/>
    <w:rsid w:val="000A10B2"/>
    <w:rsid w:val="000A13D9"/>
    <w:rsid w:val="000A1AB0"/>
    <w:rsid w:val="000A1BEB"/>
    <w:rsid w:val="000A291C"/>
    <w:rsid w:val="000A2AE7"/>
    <w:rsid w:val="000A2C46"/>
    <w:rsid w:val="000A2D57"/>
    <w:rsid w:val="000A2E2F"/>
    <w:rsid w:val="000A334C"/>
    <w:rsid w:val="000A48C8"/>
    <w:rsid w:val="000A48F4"/>
    <w:rsid w:val="000A4B88"/>
    <w:rsid w:val="000A511A"/>
    <w:rsid w:val="000A5328"/>
    <w:rsid w:val="000A56CB"/>
    <w:rsid w:val="000A5E72"/>
    <w:rsid w:val="000A64DF"/>
    <w:rsid w:val="000A6521"/>
    <w:rsid w:val="000A6600"/>
    <w:rsid w:val="000A697D"/>
    <w:rsid w:val="000A6B56"/>
    <w:rsid w:val="000A6E47"/>
    <w:rsid w:val="000A6FAE"/>
    <w:rsid w:val="000A7426"/>
    <w:rsid w:val="000A7583"/>
    <w:rsid w:val="000A7602"/>
    <w:rsid w:val="000A76ED"/>
    <w:rsid w:val="000A7751"/>
    <w:rsid w:val="000A7C80"/>
    <w:rsid w:val="000A7CA6"/>
    <w:rsid w:val="000B00B5"/>
    <w:rsid w:val="000B028F"/>
    <w:rsid w:val="000B0545"/>
    <w:rsid w:val="000B0853"/>
    <w:rsid w:val="000B0908"/>
    <w:rsid w:val="000B0935"/>
    <w:rsid w:val="000B0DD0"/>
    <w:rsid w:val="000B132B"/>
    <w:rsid w:val="000B1568"/>
    <w:rsid w:val="000B15F8"/>
    <w:rsid w:val="000B1626"/>
    <w:rsid w:val="000B17ED"/>
    <w:rsid w:val="000B18E1"/>
    <w:rsid w:val="000B19B4"/>
    <w:rsid w:val="000B1B74"/>
    <w:rsid w:val="000B1DF8"/>
    <w:rsid w:val="000B1F14"/>
    <w:rsid w:val="000B3788"/>
    <w:rsid w:val="000B39CF"/>
    <w:rsid w:val="000B3B9F"/>
    <w:rsid w:val="000B3C6D"/>
    <w:rsid w:val="000B3D22"/>
    <w:rsid w:val="000B40E2"/>
    <w:rsid w:val="000B40FC"/>
    <w:rsid w:val="000B4DD0"/>
    <w:rsid w:val="000B57B3"/>
    <w:rsid w:val="000B5AAB"/>
    <w:rsid w:val="000B5CD7"/>
    <w:rsid w:val="000B5FE6"/>
    <w:rsid w:val="000B6607"/>
    <w:rsid w:val="000B68ED"/>
    <w:rsid w:val="000B68F0"/>
    <w:rsid w:val="000B6C3E"/>
    <w:rsid w:val="000B6D04"/>
    <w:rsid w:val="000B6D76"/>
    <w:rsid w:val="000B731E"/>
    <w:rsid w:val="000B7594"/>
    <w:rsid w:val="000B7D2D"/>
    <w:rsid w:val="000B7E55"/>
    <w:rsid w:val="000B7F3E"/>
    <w:rsid w:val="000C0081"/>
    <w:rsid w:val="000C01E8"/>
    <w:rsid w:val="000C052C"/>
    <w:rsid w:val="000C0B1D"/>
    <w:rsid w:val="000C0D86"/>
    <w:rsid w:val="000C14E0"/>
    <w:rsid w:val="000C1507"/>
    <w:rsid w:val="000C1527"/>
    <w:rsid w:val="000C1DFD"/>
    <w:rsid w:val="000C235B"/>
    <w:rsid w:val="000C2471"/>
    <w:rsid w:val="000C27BE"/>
    <w:rsid w:val="000C2841"/>
    <w:rsid w:val="000C2877"/>
    <w:rsid w:val="000C2A85"/>
    <w:rsid w:val="000C2A9F"/>
    <w:rsid w:val="000C2B64"/>
    <w:rsid w:val="000C3009"/>
    <w:rsid w:val="000C3307"/>
    <w:rsid w:val="000C3494"/>
    <w:rsid w:val="000C387B"/>
    <w:rsid w:val="000C3CEB"/>
    <w:rsid w:val="000C3E88"/>
    <w:rsid w:val="000C3F46"/>
    <w:rsid w:val="000C41BE"/>
    <w:rsid w:val="000C4375"/>
    <w:rsid w:val="000C4617"/>
    <w:rsid w:val="000C49BF"/>
    <w:rsid w:val="000C4AB9"/>
    <w:rsid w:val="000C4B8D"/>
    <w:rsid w:val="000C507A"/>
    <w:rsid w:val="000C597A"/>
    <w:rsid w:val="000C5B35"/>
    <w:rsid w:val="000C5B45"/>
    <w:rsid w:val="000C5D00"/>
    <w:rsid w:val="000C6338"/>
    <w:rsid w:val="000C6505"/>
    <w:rsid w:val="000C674B"/>
    <w:rsid w:val="000C689C"/>
    <w:rsid w:val="000C6E74"/>
    <w:rsid w:val="000C716D"/>
    <w:rsid w:val="000C7618"/>
    <w:rsid w:val="000C7869"/>
    <w:rsid w:val="000C7CD7"/>
    <w:rsid w:val="000D023C"/>
    <w:rsid w:val="000D06C3"/>
    <w:rsid w:val="000D079B"/>
    <w:rsid w:val="000D1287"/>
    <w:rsid w:val="000D1505"/>
    <w:rsid w:val="000D162F"/>
    <w:rsid w:val="000D1E6C"/>
    <w:rsid w:val="000D2184"/>
    <w:rsid w:val="000D2203"/>
    <w:rsid w:val="000D254D"/>
    <w:rsid w:val="000D25EA"/>
    <w:rsid w:val="000D2B75"/>
    <w:rsid w:val="000D2DB8"/>
    <w:rsid w:val="000D3182"/>
    <w:rsid w:val="000D35E5"/>
    <w:rsid w:val="000D36E1"/>
    <w:rsid w:val="000D3A95"/>
    <w:rsid w:val="000D3BF8"/>
    <w:rsid w:val="000D3C55"/>
    <w:rsid w:val="000D3F8D"/>
    <w:rsid w:val="000D48A7"/>
    <w:rsid w:val="000D50AF"/>
    <w:rsid w:val="000D56ED"/>
    <w:rsid w:val="000D64CF"/>
    <w:rsid w:val="000D682C"/>
    <w:rsid w:val="000D68FE"/>
    <w:rsid w:val="000D69EB"/>
    <w:rsid w:val="000D6C8B"/>
    <w:rsid w:val="000D6CD9"/>
    <w:rsid w:val="000D7040"/>
    <w:rsid w:val="000D7222"/>
    <w:rsid w:val="000D77BF"/>
    <w:rsid w:val="000D77E2"/>
    <w:rsid w:val="000D7B5B"/>
    <w:rsid w:val="000E06C9"/>
    <w:rsid w:val="000E08D1"/>
    <w:rsid w:val="000E0E85"/>
    <w:rsid w:val="000E1227"/>
    <w:rsid w:val="000E12E8"/>
    <w:rsid w:val="000E1933"/>
    <w:rsid w:val="000E1A65"/>
    <w:rsid w:val="000E1A6E"/>
    <w:rsid w:val="000E1B2E"/>
    <w:rsid w:val="000E1D51"/>
    <w:rsid w:val="000E211D"/>
    <w:rsid w:val="000E2402"/>
    <w:rsid w:val="000E29DD"/>
    <w:rsid w:val="000E2C45"/>
    <w:rsid w:val="000E2E48"/>
    <w:rsid w:val="000E3278"/>
    <w:rsid w:val="000E3838"/>
    <w:rsid w:val="000E3C8D"/>
    <w:rsid w:val="000E3FC3"/>
    <w:rsid w:val="000E4325"/>
    <w:rsid w:val="000E435F"/>
    <w:rsid w:val="000E48B5"/>
    <w:rsid w:val="000E49C6"/>
    <w:rsid w:val="000E4D3C"/>
    <w:rsid w:val="000E4DBE"/>
    <w:rsid w:val="000E51ED"/>
    <w:rsid w:val="000E5349"/>
    <w:rsid w:val="000E5790"/>
    <w:rsid w:val="000E599A"/>
    <w:rsid w:val="000E5E2A"/>
    <w:rsid w:val="000E63A9"/>
    <w:rsid w:val="000E6735"/>
    <w:rsid w:val="000E684D"/>
    <w:rsid w:val="000E70A5"/>
    <w:rsid w:val="000E70DB"/>
    <w:rsid w:val="000E7686"/>
    <w:rsid w:val="000E76E6"/>
    <w:rsid w:val="000E7C30"/>
    <w:rsid w:val="000E7D75"/>
    <w:rsid w:val="000F0121"/>
    <w:rsid w:val="000F01E2"/>
    <w:rsid w:val="000F0C38"/>
    <w:rsid w:val="000F1028"/>
    <w:rsid w:val="000F2417"/>
    <w:rsid w:val="000F2564"/>
    <w:rsid w:val="000F2645"/>
    <w:rsid w:val="000F2CA8"/>
    <w:rsid w:val="000F32CD"/>
    <w:rsid w:val="000F34CD"/>
    <w:rsid w:val="000F38AE"/>
    <w:rsid w:val="000F3CDB"/>
    <w:rsid w:val="000F3FCE"/>
    <w:rsid w:val="000F41B8"/>
    <w:rsid w:val="000F4ADA"/>
    <w:rsid w:val="000F4ADE"/>
    <w:rsid w:val="000F4C1C"/>
    <w:rsid w:val="000F509E"/>
    <w:rsid w:val="000F5CAF"/>
    <w:rsid w:val="000F5DC9"/>
    <w:rsid w:val="000F5E6C"/>
    <w:rsid w:val="000F5F1C"/>
    <w:rsid w:val="000F62F3"/>
    <w:rsid w:val="000F6D38"/>
    <w:rsid w:val="000F6F89"/>
    <w:rsid w:val="000F72D3"/>
    <w:rsid w:val="000F738F"/>
    <w:rsid w:val="000F77D6"/>
    <w:rsid w:val="000F783A"/>
    <w:rsid w:val="0010070D"/>
    <w:rsid w:val="00100AA9"/>
    <w:rsid w:val="00100AB2"/>
    <w:rsid w:val="00100B0B"/>
    <w:rsid w:val="00100E90"/>
    <w:rsid w:val="00100FB0"/>
    <w:rsid w:val="00101036"/>
    <w:rsid w:val="001011F8"/>
    <w:rsid w:val="00101209"/>
    <w:rsid w:val="00101281"/>
    <w:rsid w:val="0010129D"/>
    <w:rsid w:val="00101328"/>
    <w:rsid w:val="001018FB"/>
    <w:rsid w:val="00101ADE"/>
    <w:rsid w:val="00101C2F"/>
    <w:rsid w:val="00101C83"/>
    <w:rsid w:val="00101CED"/>
    <w:rsid w:val="0010207A"/>
    <w:rsid w:val="0010238B"/>
    <w:rsid w:val="001026B2"/>
    <w:rsid w:val="001029AD"/>
    <w:rsid w:val="00102BD4"/>
    <w:rsid w:val="00103469"/>
    <w:rsid w:val="00103809"/>
    <w:rsid w:val="0010386C"/>
    <w:rsid w:val="00103988"/>
    <w:rsid w:val="00103E88"/>
    <w:rsid w:val="00104A06"/>
    <w:rsid w:val="00104AF9"/>
    <w:rsid w:val="00104E3B"/>
    <w:rsid w:val="00105259"/>
    <w:rsid w:val="00105384"/>
    <w:rsid w:val="0010551F"/>
    <w:rsid w:val="00105ECC"/>
    <w:rsid w:val="00105F96"/>
    <w:rsid w:val="00106244"/>
    <w:rsid w:val="001066EC"/>
    <w:rsid w:val="001067F5"/>
    <w:rsid w:val="00106A85"/>
    <w:rsid w:val="00106BB5"/>
    <w:rsid w:val="00106C5C"/>
    <w:rsid w:val="00106DCB"/>
    <w:rsid w:val="00106ED0"/>
    <w:rsid w:val="00107048"/>
    <w:rsid w:val="00107104"/>
    <w:rsid w:val="0010745B"/>
    <w:rsid w:val="00107B51"/>
    <w:rsid w:val="00107F72"/>
    <w:rsid w:val="0011033D"/>
    <w:rsid w:val="0011040A"/>
    <w:rsid w:val="0011065C"/>
    <w:rsid w:val="001108FA"/>
    <w:rsid w:val="0011092D"/>
    <w:rsid w:val="0011131C"/>
    <w:rsid w:val="001115FA"/>
    <w:rsid w:val="001117A1"/>
    <w:rsid w:val="001119E3"/>
    <w:rsid w:val="001119F1"/>
    <w:rsid w:val="00111AAF"/>
    <w:rsid w:val="00111F67"/>
    <w:rsid w:val="00112355"/>
    <w:rsid w:val="00112554"/>
    <w:rsid w:val="00112AA8"/>
    <w:rsid w:val="00112D09"/>
    <w:rsid w:val="00112DC5"/>
    <w:rsid w:val="00112F6D"/>
    <w:rsid w:val="001130C1"/>
    <w:rsid w:val="00113364"/>
    <w:rsid w:val="00113AA3"/>
    <w:rsid w:val="00113CDF"/>
    <w:rsid w:val="00113F2D"/>
    <w:rsid w:val="00114374"/>
    <w:rsid w:val="0011472F"/>
    <w:rsid w:val="00114A16"/>
    <w:rsid w:val="00114B0F"/>
    <w:rsid w:val="001155AC"/>
    <w:rsid w:val="00115625"/>
    <w:rsid w:val="001156AD"/>
    <w:rsid w:val="00115856"/>
    <w:rsid w:val="0011591C"/>
    <w:rsid w:val="00115C8E"/>
    <w:rsid w:val="00115FA2"/>
    <w:rsid w:val="00116046"/>
    <w:rsid w:val="001163AF"/>
    <w:rsid w:val="00116A2B"/>
    <w:rsid w:val="00117987"/>
    <w:rsid w:val="00117B04"/>
    <w:rsid w:val="00117B86"/>
    <w:rsid w:val="00117E17"/>
    <w:rsid w:val="00117F2A"/>
    <w:rsid w:val="00117F2B"/>
    <w:rsid w:val="001200D6"/>
    <w:rsid w:val="001207E1"/>
    <w:rsid w:val="001207EC"/>
    <w:rsid w:val="00120835"/>
    <w:rsid w:val="00120908"/>
    <w:rsid w:val="00120E1B"/>
    <w:rsid w:val="001210C3"/>
    <w:rsid w:val="001213A1"/>
    <w:rsid w:val="001216A0"/>
    <w:rsid w:val="00121C96"/>
    <w:rsid w:val="00121CCC"/>
    <w:rsid w:val="00121D6A"/>
    <w:rsid w:val="0012216E"/>
    <w:rsid w:val="00122210"/>
    <w:rsid w:val="0012229E"/>
    <w:rsid w:val="00122828"/>
    <w:rsid w:val="00122858"/>
    <w:rsid w:val="00122B93"/>
    <w:rsid w:val="00123135"/>
    <w:rsid w:val="0012354E"/>
    <w:rsid w:val="001236E6"/>
    <w:rsid w:val="0012389B"/>
    <w:rsid w:val="00123AD8"/>
    <w:rsid w:val="00123DF2"/>
    <w:rsid w:val="0012470F"/>
    <w:rsid w:val="00124C72"/>
    <w:rsid w:val="00124DB5"/>
    <w:rsid w:val="001253CE"/>
    <w:rsid w:val="00125741"/>
    <w:rsid w:val="0012579E"/>
    <w:rsid w:val="00125839"/>
    <w:rsid w:val="00125A52"/>
    <w:rsid w:val="00125A6B"/>
    <w:rsid w:val="00125B9E"/>
    <w:rsid w:val="001261F3"/>
    <w:rsid w:val="00126353"/>
    <w:rsid w:val="00126444"/>
    <w:rsid w:val="001264C4"/>
    <w:rsid w:val="00126E3F"/>
    <w:rsid w:val="00127144"/>
    <w:rsid w:val="00127363"/>
    <w:rsid w:val="001274CF"/>
    <w:rsid w:val="00127732"/>
    <w:rsid w:val="001278E5"/>
    <w:rsid w:val="00127C45"/>
    <w:rsid w:val="00127FE3"/>
    <w:rsid w:val="0013072B"/>
    <w:rsid w:val="00130D12"/>
    <w:rsid w:val="00130D30"/>
    <w:rsid w:val="00130E13"/>
    <w:rsid w:val="00130F93"/>
    <w:rsid w:val="001314A1"/>
    <w:rsid w:val="00131872"/>
    <w:rsid w:val="00131B29"/>
    <w:rsid w:val="001323F9"/>
    <w:rsid w:val="0013285B"/>
    <w:rsid w:val="001328C7"/>
    <w:rsid w:val="00132C9C"/>
    <w:rsid w:val="00132CFF"/>
    <w:rsid w:val="00133029"/>
    <w:rsid w:val="00133193"/>
    <w:rsid w:val="00133216"/>
    <w:rsid w:val="00133BB5"/>
    <w:rsid w:val="00133F3D"/>
    <w:rsid w:val="00134354"/>
    <w:rsid w:val="001344DD"/>
    <w:rsid w:val="00134847"/>
    <w:rsid w:val="00134A47"/>
    <w:rsid w:val="00135503"/>
    <w:rsid w:val="001355F6"/>
    <w:rsid w:val="00135710"/>
    <w:rsid w:val="0013575F"/>
    <w:rsid w:val="001357A4"/>
    <w:rsid w:val="001359A2"/>
    <w:rsid w:val="00135F1F"/>
    <w:rsid w:val="00136565"/>
    <w:rsid w:val="0013699F"/>
    <w:rsid w:val="00136AAA"/>
    <w:rsid w:val="001371C5"/>
    <w:rsid w:val="0013792A"/>
    <w:rsid w:val="00137AE2"/>
    <w:rsid w:val="00137FB0"/>
    <w:rsid w:val="0014012A"/>
    <w:rsid w:val="0014014A"/>
    <w:rsid w:val="001401C3"/>
    <w:rsid w:val="0014085D"/>
    <w:rsid w:val="001412F9"/>
    <w:rsid w:val="001414EE"/>
    <w:rsid w:val="001416FE"/>
    <w:rsid w:val="001418E3"/>
    <w:rsid w:val="00141940"/>
    <w:rsid w:val="00141A33"/>
    <w:rsid w:val="0014206B"/>
    <w:rsid w:val="00142421"/>
    <w:rsid w:val="001424DC"/>
    <w:rsid w:val="001428A6"/>
    <w:rsid w:val="00142A7A"/>
    <w:rsid w:val="00142E61"/>
    <w:rsid w:val="00142F0B"/>
    <w:rsid w:val="001434F0"/>
    <w:rsid w:val="001435C5"/>
    <w:rsid w:val="00143B9C"/>
    <w:rsid w:val="00143DE4"/>
    <w:rsid w:val="00143EAE"/>
    <w:rsid w:val="0014403A"/>
    <w:rsid w:val="001441C7"/>
    <w:rsid w:val="0014429B"/>
    <w:rsid w:val="00144830"/>
    <w:rsid w:val="001449AE"/>
    <w:rsid w:val="00144F2B"/>
    <w:rsid w:val="001456D9"/>
    <w:rsid w:val="001456ED"/>
    <w:rsid w:val="00145ACB"/>
    <w:rsid w:val="00145BD0"/>
    <w:rsid w:val="00145C5B"/>
    <w:rsid w:val="00146639"/>
    <w:rsid w:val="001467EF"/>
    <w:rsid w:val="0014681A"/>
    <w:rsid w:val="001468EB"/>
    <w:rsid w:val="00146CF2"/>
    <w:rsid w:val="00146E0C"/>
    <w:rsid w:val="00146E9F"/>
    <w:rsid w:val="00147005"/>
    <w:rsid w:val="0014757C"/>
    <w:rsid w:val="001477CB"/>
    <w:rsid w:val="001477FB"/>
    <w:rsid w:val="00147DD4"/>
    <w:rsid w:val="001500AA"/>
    <w:rsid w:val="00150212"/>
    <w:rsid w:val="00150658"/>
    <w:rsid w:val="00151271"/>
    <w:rsid w:val="001515AC"/>
    <w:rsid w:val="00151ADF"/>
    <w:rsid w:val="00152031"/>
    <w:rsid w:val="001520B3"/>
    <w:rsid w:val="00152B77"/>
    <w:rsid w:val="00152EA8"/>
    <w:rsid w:val="00153809"/>
    <w:rsid w:val="00153C15"/>
    <w:rsid w:val="0015410A"/>
    <w:rsid w:val="001542F9"/>
    <w:rsid w:val="00154926"/>
    <w:rsid w:val="00154A33"/>
    <w:rsid w:val="00154FF9"/>
    <w:rsid w:val="00155A4B"/>
    <w:rsid w:val="00155BE6"/>
    <w:rsid w:val="00155D77"/>
    <w:rsid w:val="00156564"/>
    <w:rsid w:val="001565CC"/>
    <w:rsid w:val="00156638"/>
    <w:rsid w:val="0015665B"/>
    <w:rsid w:val="00156750"/>
    <w:rsid w:val="00157200"/>
    <w:rsid w:val="0015743A"/>
    <w:rsid w:val="0015746F"/>
    <w:rsid w:val="001578E2"/>
    <w:rsid w:val="00157A12"/>
    <w:rsid w:val="00157D32"/>
    <w:rsid w:val="001601E7"/>
    <w:rsid w:val="001604F5"/>
    <w:rsid w:val="00160513"/>
    <w:rsid w:val="001607B6"/>
    <w:rsid w:val="001608C3"/>
    <w:rsid w:val="00160BCA"/>
    <w:rsid w:val="00160C6A"/>
    <w:rsid w:val="0016162E"/>
    <w:rsid w:val="00161792"/>
    <w:rsid w:val="001617B8"/>
    <w:rsid w:val="001618DC"/>
    <w:rsid w:val="00161AE7"/>
    <w:rsid w:val="00161CFC"/>
    <w:rsid w:val="00162167"/>
    <w:rsid w:val="00162361"/>
    <w:rsid w:val="001627C8"/>
    <w:rsid w:val="00162C2B"/>
    <w:rsid w:val="00162CB9"/>
    <w:rsid w:val="00163046"/>
    <w:rsid w:val="00163353"/>
    <w:rsid w:val="0016338A"/>
    <w:rsid w:val="0016355C"/>
    <w:rsid w:val="001635BD"/>
    <w:rsid w:val="00163DDE"/>
    <w:rsid w:val="00164462"/>
    <w:rsid w:val="00164836"/>
    <w:rsid w:val="00164C36"/>
    <w:rsid w:val="00164ECB"/>
    <w:rsid w:val="00165024"/>
    <w:rsid w:val="001653A5"/>
    <w:rsid w:val="00165782"/>
    <w:rsid w:val="0016598A"/>
    <w:rsid w:val="00165996"/>
    <w:rsid w:val="00165A76"/>
    <w:rsid w:val="00165BA2"/>
    <w:rsid w:val="00165BE8"/>
    <w:rsid w:val="0016627A"/>
    <w:rsid w:val="0016674C"/>
    <w:rsid w:val="00166938"/>
    <w:rsid w:val="00166A32"/>
    <w:rsid w:val="00166F8B"/>
    <w:rsid w:val="00167737"/>
    <w:rsid w:val="0016775E"/>
    <w:rsid w:val="00170648"/>
    <w:rsid w:val="0017069A"/>
    <w:rsid w:val="001708D4"/>
    <w:rsid w:val="001708EA"/>
    <w:rsid w:val="001709E3"/>
    <w:rsid w:val="00170D7A"/>
    <w:rsid w:val="00170E52"/>
    <w:rsid w:val="00170FBB"/>
    <w:rsid w:val="001717C3"/>
    <w:rsid w:val="00171868"/>
    <w:rsid w:val="0017189D"/>
    <w:rsid w:val="0017190E"/>
    <w:rsid w:val="00171C67"/>
    <w:rsid w:val="0017264D"/>
    <w:rsid w:val="001731AA"/>
    <w:rsid w:val="001737B2"/>
    <w:rsid w:val="0017425D"/>
    <w:rsid w:val="00174367"/>
    <w:rsid w:val="001743EF"/>
    <w:rsid w:val="00174645"/>
    <w:rsid w:val="0017491C"/>
    <w:rsid w:val="00174964"/>
    <w:rsid w:val="00174A3B"/>
    <w:rsid w:val="0017524D"/>
    <w:rsid w:val="001754B1"/>
    <w:rsid w:val="00175799"/>
    <w:rsid w:val="001758D5"/>
    <w:rsid w:val="00175CFE"/>
    <w:rsid w:val="001766DB"/>
    <w:rsid w:val="00176770"/>
    <w:rsid w:val="00176AD2"/>
    <w:rsid w:val="00176AF2"/>
    <w:rsid w:val="0017708A"/>
    <w:rsid w:val="00177363"/>
    <w:rsid w:val="001774CF"/>
    <w:rsid w:val="00177516"/>
    <w:rsid w:val="00177700"/>
    <w:rsid w:val="0018005F"/>
    <w:rsid w:val="0018016C"/>
    <w:rsid w:val="001803CE"/>
    <w:rsid w:val="00180660"/>
    <w:rsid w:val="00180AF1"/>
    <w:rsid w:val="00180FCA"/>
    <w:rsid w:val="001810B2"/>
    <w:rsid w:val="001811A5"/>
    <w:rsid w:val="001812CE"/>
    <w:rsid w:val="001817E1"/>
    <w:rsid w:val="00181E8E"/>
    <w:rsid w:val="00181E9F"/>
    <w:rsid w:val="00181FE4"/>
    <w:rsid w:val="001822B4"/>
    <w:rsid w:val="0018277B"/>
    <w:rsid w:val="001827A6"/>
    <w:rsid w:val="00182A7D"/>
    <w:rsid w:val="001833BB"/>
    <w:rsid w:val="0018356B"/>
    <w:rsid w:val="00183AFE"/>
    <w:rsid w:val="00183D1F"/>
    <w:rsid w:val="00183EEE"/>
    <w:rsid w:val="00184609"/>
    <w:rsid w:val="0018495E"/>
    <w:rsid w:val="00184A8D"/>
    <w:rsid w:val="001850AA"/>
    <w:rsid w:val="00185200"/>
    <w:rsid w:val="00185225"/>
    <w:rsid w:val="0018532C"/>
    <w:rsid w:val="00185338"/>
    <w:rsid w:val="001856CA"/>
    <w:rsid w:val="00185E59"/>
    <w:rsid w:val="00185F1C"/>
    <w:rsid w:val="00186DC3"/>
    <w:rsid w:val="00186FDF"/>
    <w:rsid w:val="001870E2"/>
    <w:rsid w:val="00187126"/>
    <w:rsid w:val="00187304"/>
    <w:rsid w:val="001874E4"/>
    <w:rsid w:val="001876FB"/>
    <w:rsid w:val="001878A0"/>
    <w:rsid w:val="00187CD7"/>
    <w:rsid w:val="00187E4A"/>
    <w:rsid w:val="001903F9"/>
    <w:rsid w:val="00190822"/>
    <w:rsid w:val="0019085C"/>
    <w:rsid w:val="0019099C"/>
    <w:rsid w:val="00190E2B"/>
    <w:rsid w:val="00191527"/>
    <w:rsid w:val="001915F1"/>
    <w:rsid w:val="00191D88"/>
    <w:rsid w:val="00191EB2"/>
    <w:rsid w:val="00191F3A"/>
    <w:rsid w:val="00192499"/>
    <w:rsid w:val="00192509"/>
    <w:rsid w:val="001925FC"/>
    <w:rsid w:val="00193A00"/>
    <w:rsid w:val="00194129"/>
    <w:rsid w:val="00194539"/>
    <w:rsid w:val="001947C0"/>
    <w:rsid w:val="00194BFC"/>
    <w:rsid w:val="001954E3"/>
    <w:rsid w:val="0019553D"/>
    <w:rsid w:val="00195F8D"/>
    <w:rsid w:val="00196260"/>
    <w:rsid w:val="00196C0C"/>
    <w:rsid w:val="00196E26"/>
    <w:rsid w:val="00197405"/>
    <w:rsid w:val="00197652"/>
    <w:rsid w:val="00197B86"/>
    <w:rsid w:val="00197B93"/>
    <w:rsid w:val="001A0629"/>
    <w:rsid w:val="001A0899"/>
    <w:rsid w:val="001A09D0"/>
    <w:rsid w:val="001A0AB9"/>
    <w:rsid w:val="001A16F7"/>
    <w:rsid w:val="001A181C"/>
    <w:rsid w:val="001A1838"/>
    <w:rsid w:val="001A1CE6"/>
    <w:rsid w:val="001A1DBB"/>
    <w:rsid w:val="001A1E9C"/>
    <w:rsid w:val="001A1F51"/>
    <w:rsid w:val="001A2275"/>
    <w:rsid w:val="001A2455"/>
    <w:rsid w:val="001A27FF"/>
    <w:rsid w:val="001A2A43"/>
    <w:rsid w:val="001A2BCB"/>
    <w:rsid w:val="001A2D93"/>
    <w:rsid w:val="001A322E"/>
    <w:rsid w:val="001A37BC"/>
    <w:rsid w:val="001A3AA3"/>
    <w:rsid w:val="001A3B16"/>
    <w:rsid w:val="001A407E"/>
    <w:rsid w:val="001A40EB"/>
    <w:rsid w:val="001A4201"/>
    <w:rsid w:val="001A48A7"/>
    <w:rsid w:val="001A4B88"/>
    <w:rsid w:val="001A4FE8"/>
    <w:rsid w:val="001A52E4"/>
    <w:rsid w:val="001A5378"/>
    <w:rsid w:val="001A5660"/>
    <w:rsid w:val="001A5A54"/>
    <w:rsid w:val="001A5C3F"/>
    <w:rsid w:val="001A5C84"/>
    <w:rsid w:val="001A5C90"/>
    <w:rsid w:val="001A6095"/>
    <w:rsid w:val="001A7404"/>
    <w:rsid w:val="001A758A"/>
    <w:rsid w:val="001A763D"/>
    <w:rsid w:val="001A782B"/>
    <w:rsid w:val="001A78F4"/>
    <w:rsid w:val="001A7C2E"/>
    <w:rsid w:val="001A7E7E"/>
    <w:rsid w:val="001B000B"/>
    <w:rsid w:val="001B0593"/>
    <w:rsid w:val="001B0641"/>
    <w:rsid w:val="001B06B6"/>
    <w:rsid w:val="001B0960"/>
    <w:rsid w:val="001B1198"/>
    <w:rsid w:val="001B1218"/>
    <w:rsid w:val="001B1842"/>
    <w:rsid w:val="001B1984"/>
    <w:rsid w:val="001B1CF2"/>
    <w:rsid w:val="001B1D21"/>
    <w:rsid w:val="001B2024"/>
    <w:rsid w:val="001B259B"/>
    <w:rsid w:val="001B29BB"/>
    <w:rsid w:val="001B2E93"/>
    <w:rsid w:val="001B3FBB"/>
    <w:rsid w:val="001B4621"/>
    <w:rsid w:val="001B4BC7"/>
    <w:rsid w:val="001B4DC6"/>
    <w:rsid w:val="001B5487"/>
    <w:rsid w:val="001B5776"/>
    <w:rsid w:val="001B6045"/>
    <w:rsid w:val="001B6138"/>
    <w:rsid w:val="001B621E"/>
    <w:rsid w:val="001B6738"/>
    <w:rsid w:val="001B68BF"/>
    <w:rsid w:val="001B6B15"/>
    <w:rsid w:val="001B6B4F"/>
    <w:rsid w:val="001B765C"/>
    <w:rsid w:val="001B78E2"/>
    <w:rsid w:val="001B7A57"/>
    <w:rsid w:val="001C00EA"/>
    <w:rsid w:val="001C0338"/>
    <w:rsid w:val="001C05A8"/>
    <w:rsid w:val="001C08E9"/>
    <w:rsid w:val="001C0BF0"/>
    <w:rsid w:val="001C0D4D"/>
    <w:rsid w:val="001C11B1"/>
    <w:rsid w:val="001C1229"/>
    <w:rsid w:val="001C1554"/>
    <w:rsid w:val="001C184F"/>
    <w:rsid w:val="001C19F1"/>
    <w:rsid w:val="001C1A0B"/>
    <w:rsid w:val="001C1FBA"/>
    <w:rsid w:val="001C21D0"/>
    <w:rsid w:val="001C26B2"/>
    <w:rsid w:val="001C2771"/>
    <w:rsid w:val="001C2A4E"/>
    <w:rsid w:val="001C2BDF"/>
    <w:rsid w:val="001C2F6E"/>
    <w:rsid w:val="001C3076"/>
    <w:rsid w:val="001C3840"/>
    <w:rsid w:val="001C38A4"/>
    <w:rsid w:val="001C3902"/>
    <w:rsid w:val="001C3B78"/>
    <w:rsid w:val="001C454E"/>
    <w:rsid w:val="001C465F"/>
    <w:rsid w:val="001C48E7"/>
    <w:rsid w:val="001C4913"/>
    <w:rsid w:val="001C514A"/>
    <w:rsid w:val="001C5184"/>
    <w:rsid w:val="001C5264"/>
    <w:rsid w:val="001C5903"/>
    <w:rsid w:val="001C5D02"/>
    <w:rsid w:val="001C64E3"/>
    <w:rsid w:val="001C6991"/>
    <w:rsid w:val="001C6A99"/>
    <w:rsid w:val="001C72F0"/>
    <w:rsid w:val="001C7572"/>
    <w:rsid w:val="001C757D"/>
    <w:rsid w:val="001C769A"/>
    <w:rsid w:val="001C790C"/>
    <w:rsid w:val="001C7D22"/>
    <w:rsid w:val="001C7EEB"/>
    <w:rsid w:val="001D032F"/>
    <w:rsid w:val="001D0849"/>
    <w:rsid w:val="001D0D7B"/>
    <w:rsid w:val="001D10CD"/>
    <w:rsid w:val="001D13D0"/>
    <w:rsid w:val="001D1543"/>
    <w:rsid w:val="001D19FA"/>
    <w:rsid w:val="001D1C42"/>
    <w:rsid w:val="001D1D41"/>
    <w:rsid w:val="001D1D53"/>
    <w:rsid w:val="001D216A"/>
    <w:rsid w:val="001D22B3"/>
    <w:rsid w:val="001D233B"/>
    <w:rsid w:val="001D2431"/>
    <w:rsid w:val="001D252B"/>
    <w:rsid w:val="001D2E82"/>
    <w:rsid w:val="001D317F"/>
    <w:rsid w:val="001D38BE"/>
    <w:rsid w:val="001D3A87"/>
    <w:rsid w:val="001D3C36"/>
    <w:rsid w:val="001D4111"/>
    <w:rsid w:val="001D464E"/>
    <w:rsid w:val="001D4A18"/>
    <w:rsid w:val="001D4E1B"/>
    <w:rsid w:val="001D4E91"/>
    <w:rsid w:val="001D50DB"/>
    <w:rsid w:val="001D515F"/>
    <w:rsid w:val="001D5837"/>
    <w:rsid w:val="001D58E0"/>
    <w:rsid w:val="001D59A1"/>
    <w:rsid w:val="001D5C9E"/>
    <w:rsid w:val="001D5CFB"/>
    <w:rsid w:val="001D5F87"/>
    <w:rsid w:val="001D6107"/>
    <w:rsid w:val="001D6626"/>
    <w:rsid w:val="001D6D48"/>
    <w:rsid w:val="001D6DA4"/>
    <w:rsid w:val="001D72DA"/>
    <w:rsid w:val="001D78E0"/>
    <w:rsid w:val="001D7A9C"/>
    <w:rsid w:val="001E017C"/>
    <w:rsid w:val="001E062C"/>
    <w:rsid w:val="001E0D16"/>
    <w:rsid w:val="001E0F84"/>
    <w:rsid w:val="001E1284"/>
    <w:rsid w:val="001E18DB"/>
    <w:rsid w:val="001E1A53"/>
    <w:rsid w:val="001E1E2B"/>
    <w:rsid w:val="001E21F6"/>
    <w:rsid w:val="001E222A"/>
    <w:rsid w:val="001E2652"/>
    <w:rsid w:val="001E2B31"/>
    <w:rsid w:val="001E2E8B"/>
    <w:rsid w:val="001E36AC"/>
    <w:rsid w:val="001E39C4"/>
    <w:rsid w:val="001E3C5B"/>
    <w:rsid w:val="001E3D9B"/>
    <w:rsid w:val="001E44F6"/>
    <w:rsid w:val="001E47AB"/>
    <w:rsid w:val="001E4A04"/>
    <w:rsid w:val="001E4FE0"/>
    <w:rsid w:val="001E54F3"/>
    <w:rsid w:val="001E5554"/>
    <w:rsid w:val="001E57B3"/>
    <w:rsid w:val="001E5860"/>
    <w:rsid w:val="001E588D"/>
    <w:rsid w:val="001E594E"/>
    <w:rsid w:val="001E5A7D"/>
    <w:rsid w:val="001E5A9D"/>
    <w:rsid w:val="001E690D"/>
    <w:rsid w:val="001E6A6F"/>
    <w:rsid w:val="001E714C"/>
    <w:rsid w:val="001E7836"/>
    <w:rsid w:val="001E7E0B"/>
    <w:rsid w:val="001E7E8F"/>
    <w:rsid w:val="001F00D8"/>
    <w:rsid w:val="001F0890"/>
    <w:rsid w:val="001F0F1C"/>
    <w:rsid w:val="001F1139"/>
    <w:rsid w:val="001F12A0"/>
    <w:rsid w:val="001F16DD"/>
    <w:rsid w:val="001F170B"/>
    <w:rsid w:val="001F1733"/>
    <w:rsid w:val="001F1770"/>
    <w:rsid w:val="001F1A4F"/>
    <w:rsid w:val="001F2051"/>
    <w:rsid w:val="001F237A"/>
    <w:rsid w:val="001F27DD"/>
    <w:rsid w:val="001F2804"/>
    <w:rsid w:val="001F2DF9"/>
    <w:rsid w:val="001F333F"/>
    <w:rsid w:val="001F34F1"/>
    <w:rsid w:val="001F3528"/>
    <w:rsid w:val="001F391F"/>
    <w:rsid w:val="001F47A9"/>
    <w:rsid w:val="001F487B"/>
    <w:rsid w:val="001F495D"/>
    <w:rsid w:val="001F4A64"/>
    <w:rsid w:val="001F4E83"/>
    <w:rsid w:val="001F53FA"/>
    <w:rsid w:val="001F5AB1"/>
    <w:rsid w:val="001F5E00"/>
    <w:rsid w:val="001F5E88"/>
    <w:rsid w:val="001F6528"/>
    <w:rsid w:val="001F713C"/>
    <w:rsid w:val="001F7315"/>
    <w:rsid w:val="001F74DB"/>
    <w:rsid w:val="001F78DF"/>
    <w:rsid w:val="001F7BAD"/>
    <w:rsid w:val="001F7DBB"/>
    <w:rsid w:val="002001B7"/>
    <w:rsid w:val="002002C5"/>
    <w:rsid w:val="00200C00"/>
    <w:rsid w:val="002010DC"/>
    <w:rsid w:val="0020112A"/>
    <w:rsid w:val="0020159E"/>
    <w:rsid w:val="002015FB"/>
    <w:rsid w:val="0020162A"/>
    <w:rsid w:val="002019E4"/>
    <w:rsid w:val="00201A5C"/>
    <w:rsid w:val="00201C8A"/>
    <w:rsid w:val="00201D71"/>
    <w:rsid w:val="00201E63"/>
    <w:rsid w:val="002020E2"/>
    <w:rsid w:val="002023DF"/>
    <w:rsid w:val="00202F08"/>
    <w:rsid w:val="00202FF1"/>
    <w:rsid w:val="002031A7"/>
    <w:rsid w:val="002031E3"/>
    <w:rsid w:val="00203213"/>
    <w:rsid w:val="0020329A"/>
    <w:rsid w:val="00203BB6"/>
    <w:rsid w:val="0020465F"/>
    <w:rsid w:val="00204D37"/>
    <w:rsid w:val="00205260"/>
    <w:rsid w:val="0020526C"/>
    <w:rsid w:val="002054D6"/>
    <w:rsid w:val="002055F2"/>
    <w:rsid w:val="0020578B"/>
    <w:rsid w:val="00205AD3"/>
    <w:rsid w:val="00205BD5"/>
    <w:rsid w:val="00205C25"/>
    <w:rsid w:val="00205DF3"/>
    <w:rsid w:val="00205F8F"/>
    <w:rsid w:val="00206027"/>
    <w:rsid w:val="00206E83"/>
    <w:rsid w:val="00207305"/>
    <w:rsid w:val="00207560"/>
    <w:rsid w:val="00207567"/>
    <w:rsid w:val="002075EC"/>
    <w:rsid w:val="002076C5"/>
    <w:rsid w:val="00207927"/>
    <w:rsid w:val="002079DC"/>
    <w:rsid w:val="00207AE1"/>
    <w:rsid w:val="00210413"/>
    <w:rsid w:val="00210886"/>
    <w:rsid w:val="002112FC"/>
    <w:rsid w:val="00211357"/>
    <w:rsid w:val="002117CC"/>
    <w:rsid w:val="00211FFF"/>
    <w:rsid w:val="002128E4"/>
    <w:rsid w:val="00212A4B"/>
    <w:rsid w:val="00212A77"/>
    <w:rsid w:val="002132C5"/>
    <w:rsid w:val="00213333"/>
    <w:rsid w:val="00213B44"/>
    <w:rsid w:val="00213F74"/>
    <w:rsid w:val="00214316"/>
    <w:rsid w:val="002144E1"/>
    <w:rsid w:val="002147A8"/>
    <w:rsid w:val="002148BE"/>
    <w:rsid w:val="00214DE4"/>
    <w:rsid w:val="00215964"/>
    <w:rsid w:val="00215ABF"/>
    <w:rsid w:val="0021618E"/>
    <w:rsid w:val="002164FE"/>
    <w:rsid w:val="00216648"/>
    <w:rsid w:val="00216695"/>
    <w:rsid w:val="0021689F"/>
    <w:rsid w:val="002168E8"/>
    <w:rsid w:val="002169EA"/>
    <w:rsid w:val="002169F1"/>
    <w:rsid w:val="00216DB0"/>
    <w:rsid w:val="00217184"/>
    <w:rsid w:val="002173E7"/>
    <w:rsid w:val="00217531"/>
    <w:rsid w:val="00217D35"/>
    <w:rsid w:val="0022083E"/>
    <w:rsid w:val="002208C4"/>
    <w:rsid w:val="0022226E"/>
    <w:rsid w:val="00222677"/>
    <w:rsid w:val="0022289F"/>
    <w:rsid w:val="00222918"/>
    <w:rsid w:val="00222D0B"/>
    <w:rsid w:val="00222E2C"/>
    <w:rsid w:val="00222FAA"/>
    <w:rsid w:val="002238BE"/>
    <w:rsid w:val="00223CF2"/>
    <w:rsid w:val="00223FE5"/>
    <w:rsid w:val="0022419A"/>
    <w:rsid w:val="002248E1"/>
    <w:rsid w:val="00224B23"/>
    <w:rsid w:val="00224B83"/>
    <w:rsid w:val="00224C58"/>
    <w:rsid w:val="00224CF4"/>
    <w:rsid w:val="00224E22"/>
    <w:rsid w:val="0022526F"/>
    <w:rsid w:val="00225B6F"/>
    <w:rsid w:val="00226145"/>
    <w:rsid w:val="002263B8"/>
    <w:rsid w:val="00226AA1"/>
    <w:rsid w:val="00226F72"/>
    <w:rsid w:val="002276B9"/>
    <w:rsid w:val="00227807"/>
    <w:rsid w:val="0022784B"/>
    <w:rsid w:val="00227E52"/>
    <w:rsid w:val="00227F64"/>
    <w:rsid w:val="00230C69"/>
    <w:rsid w:val="00230D3F"/>
    <w:rsid w:val="00231119"/>
    <w:rsid w:val="0023207E"/>
    <w:rsid w:val="002321B9"/>
    <w:rsid w:val="002321FD"/>
    <w:rsid w:val="00232967"/>
    <w:rsid w:val="00232CE2"/>
    <w:rsid w:val="00232D03"/>
    <w:rsid w:val="00232D96"/>
    <w:rsid w:val="00233194"/>
    <w:rsid w:val="002332D7"/>
    <w:rsid w:val="00233483"/>
    <w:rsid w:val="00233717"/>
    <w:rsid w:val="00233C6B"/>
    <w:rsid w:val="00233D00"/>
    <w:rsid w:val="00233D21"/>
    <w:rsid w:val="00234211"/>
    <w:rsid w:val="002345D6"/>
    <w:rsid w:val="002346C1"/>
    <w:rsid w:val="00234B07"/>
    <w:rsid w:val="00234D89"/>
    <w:rsid w:val="00234F74"/>
    <w:rsid w:val="0023571F"/>
    <w:rsid w:val="00235D74"/>
    <w:rsid w:val="00235D83"/>
    <w:rsid w:val="00236028"/>
    <w:rsid w:val="002362EC"/>
    <w:rsid w:val="002363B1"/>
    <w:rsid w:val="002365A4"/>
    <w:rsid w:val="002366DB"/>
    <w:rsid w:val="00236B07"/>
    <w:rsid w:val="00236B4A"/>
    <w:rsid w:val="00236BE0"/>
    <w:rsid w:val="00236D4A"/>
    <w:rsid w:val="00236EC1"/>
    <w:rsid w:val="0023708E"/>
    <w:rsid w:val="00237210"/>
    <w:rsid w:val="002372AC"/>
    <w:rsid w:val="00237438"/>
    <w:rsid w:val="00237B1B"/>
    <w:rsid w:val="00237DE9"/>
    <w:rsid w:val="00237EB1"/>
    <w:rsid w:val="00237FA2"/>
    <w:rsid w:val="00240627"/>
    <w:rsid w:val="002407B8"/>
    <w:rsid w:val="002409D9"/>
    <w:rsid w:val="00240A9B"/>
    <w:rsid w:val="00240F36"/>
    <w:rsid w:val="00240FE1"/>
    <w:rsid w:val="0024115B"/>
    <w:rsid w:val="00241539"/>
    <w:rsid w:val="002419AB"/>
    <w:rsid w:val="002419DA"/>
    <w:rsid w:val="00241A20"/>
    <w:rsid w:val="00241C15"/>
    <w:rsid w:val="00241D3D"/>
    <w:rsid w:val="00241F2E"/>
    <w:rsid w:val="0024280E"/>
    <w:rsid w:val="00242C57"/>
    <w:rsid w:val="00242CE1"/>
    <w:rsid w:val="00242FF7"/>
    <w:rsid w:val="00243236"/>
    <w:rsid w:val="00244158"/>
    <w:rsid w:val="0024440F"/>
    <w:rsid w:val="00244548"/>
    <w:rsid w:val="00244672"/>
    <w:rsid w:val="00244ABC"/>
    <w:rsid w:val="00244AD2"/>
    <w:rsid w:val="00244E17"/>
    <w:rsid w:val="00244FC0"/>
    <w:rsid w:val="002452EA"/>
    <w:rsid w:val="002455B1"/>
    <w:rsid w:val="002456B4"/>
    <w:rsid w:val="00245DEA"/>
    <w:rsid w:val="00245E7C"/>
    <w:rsid w:val="00245F25"/>
    <w:rsid w:val="00246287"/>
    <w:rsid w:val="00246327"/>
    <w:rsid w:val="00246EBD"/>
    <w:rsid w:val="00247230"/>
    <w:rsid w:val="00247454"/>
    <w:rsid w:val="00247BFA"/>
    <w:rsid w:val="002503A2"/>
    <w:rsid w:val="002505DA"/>
    <w:rsid w:val="00250792"/>
    <w:rsid w:val="00250B50"/>
    <w:rsid w:val="00250BDA"/>
    <w:rsid w:val="002515E1"/>
    <w:rsid w:val="0025199C"/>
    <w:rsid w:val="00252132"/>
    <w:rsid w:val="002525F4"/>
    <w:rsid w:val="00252625"/>
    <w:rsid w:val="00252EFC"/>
    <w:rsid w:val="00253323"/>
    <w:rsid w:val="002535E0"/>
    <w:rsid w:val="002538BD"/>
    <w:rsid w:val="00253FF2"/>
    <w:rsid w:val="0025440A"/>
    <w:rsid w:val="0025443D"/>
    <w:rsid w:val="00254C07"/>
    <w:rsid w:val="00254DA8"/>
    <w:rsid w:val="00255B21"/>
    <w:rsid w:val="00255B34"/>
    <w:rsid w:val="00255BDC"/>
    <w:rsid w:val="00255E7F"/>
    <w:rsid w:val="002571E1"/>
    <w:rsid w:val="002573C6"/>
    <w:rsid w:val="00257A9A"/>
    <w:rsid w:val="0026012A"/>
    <w:rsid w:val="00260256"/>
    <w:rsid w:val="00260615"/>
    <w:rsid w:val="00260AC7"/>
    <w:rsid w:val="00260AF8"/>
    <w:rsid w:val="00260B60"/>
    <w:rsid w:val="00260F7E"/>
    <w:rsid w:val="00261509"/>
    <w:rsid w:val="00261B70"/>
    <w:rsid w:val="00261BDD"/>
    <w:rsid w:val="00262037"/>
    <w:rsid w:val="0026246F"/>
    <w:rsid w:val="00262935"/>
    <w:rsid w:val="00262B27"/>
    <w:rsid w:val="002630EC"/>
    <w:rsid w:val="0026384F"/>
    <w:rsid w:val="00263C04"/>
    <w:rsid w:val="0026445E"/>
    <w:rsid w:val="002645D3"/>
    <w:rsid w:val="00265079"/>
    <w:rsid w:val="0026547F"/>
    <w:rsid w:val="002657C4"/>
    <w:rsid w:val="00265BE7"/>
    <w:rsid w:val="00265D97"/>
    <w:rsid w:val="00266087"/>
    <w:rsid w:val="002660B9"/>
    <w:rsid w:val="00266159"/>
    <w:rsid w:val="002661FD"/>
    <w:rsid w:val="002662E8"/>
    <w:rsid w:val="0026668A"/>
    <w:rsid w:val="002666F5"/>
    <w:rsid w:val="002669A0"/>
    <w:rsid w:val="00266C5B"/>
    <w:rsid w:val="00266D31"/>
    <w:rsid w:val="00267156"/>
    <w:rsid w:val="00267211"/>
    <w:rsid w:val="00267222"/>
    <w:rsid w:val="00267331"/>
    <w:rsid w:val="002673FC"/>
    <w:rsid w:val="00267432"/>
    <w:rsid w:val="002675B1"/>
    <w:rsid w:val="00267B82"/>
    <w:rsid w:val="00267CB1"/>
    <w:rsid w:val="00270077"/>
    <w:rsid w:val="0027027C"/>
    <w:rsid w:val="002702C3"/>
    <w:rsid w:val="002702D6"/>
    <w:rsid w:val="00270C1D"/>
    <w:rsid w:val="002710DA"/>
    <w:rsid w:val="002712CF"/>
    <w:rsid w:val="0027141A"/>
    <w:rsid w:val="0027157B"/>
    <w:rsid w:val="002717D5"/>
    <w:rsid w:val="0027186C"/>
    <w:rsid w:val="00271A93"/>
    <w:rsid w:val="00272665"/>
    <w:rsid w:val="00272B04"/>
    <w:rsid w:val="00272D8C"/>
    <w:rsid w:val="00273653"/>
    <w:rsid w:val="002738B7"/>
    <w:rsid w:val="00274874"/>
    <w:rsid w:val="00274B27"/>
    <w:rsid w:val="00274B45"/>
    <w:rsid w:val="002756AA"/>
    <w:rsid w:val="00275C90"/>
    <w:rsid w:val="00275D98"/>
    <w:rsid w:val="00275DA2"/>
    <w:rsid w:val="00275FC9"/>
    <w:rsid w:val="00276212"/>
    <w:rsid w:val="00276249"/>
    <w:rsid w:val="0027628F"/>
    <w:rsid w:val="002767EE"/>
    <w:rsid w:val="00276961"/>
    <w:rsid w:val="002770F9"/>
    <w:rsid w:val="00277214"/>
    <w:rsid w:val="0027758F"/>
    <w:rsid w:val="00277CD9"/>
    <w:rsid w:val="002804EA"/>
    <w:rsid w:val="00280506"/>
    <w:rsid w:val="00280A25"/>
    <w:rsid w:val="00280DA4"/>
    <w:rsid w:val="0028127F"/>
    <w:rsid w:val="0028157E"/>
    <w:rsid w:val="0028182D"/>
    <w:rsid w:val="002829E7"/>
    <w:rsid w:val="00282C4F"/>
    <w:rsid w:val="0028353A"/>
    <w:rsid w:val="0028374A"/>
    <w:rsid w:val="00283954"/>
    <w:rsid w:val="00283F62"/>
    <w:rsid w:val="002845A2"/>
    <w:rsid w:val="002847BE"/>
    <w:rsid w:val="0028496A"/>
    <w:rsid w:val="00284B50"/>
    <w:rsid w:val="00284CAC"/>
    <w:rsid w:val="0028553F"/>
    <w:rsid w:val="00285BDB"/>
    <w:rsid w:val="002861C2"/>
    <w:rsid w:val="00287761"/>
    <w:rsid w:val="00287CC7"/>
    <w:rsid w:val="00287FF0"/>
    <w:rsid w:val="0029049E"/>
    <w:rsid w:val="002906CE"/>
    <w:rsid w:val="0029073B"/>
    <w:rsid w:val="002907BD"/>
    <w:rsid w:val="00290C47"/>
    <w:rsid w:val="00290D43"/>
    <w:rsid w:val="00290E6E"/>
    <w:rsid w:val="0029132F"/>
    <w:rsid w:val="0029180A"/>
    <w:rsid w:val="00291DF1"/>
    <w:rsid w:val="00291F81"/>
    <w:rsid w:val="002920DF"/>
    <w:rsid w:val="00292109"/>
    <w:rsid w:val="00292279"/>
    <w:rsid w:val="0029266C"/>
    <w:rsid w:val="002926DE"/>
    <w:rsid w:val="002927A0"/>
    <w:rsid w:val="00292AE5"/>
    <w:rsid w:val="00292B14"/>
    <w:rsid w:val="00292DF9"/>
    <w:rsid w:val="00293150"/>
    <w:rsid w:val="0029361B"/>
    <w:rsid w:val="0029363A"/>
    <w:rsid w:val="002937A8"/>
    <w:rsid w:val="00293971"/>
    <w:rsid w:val="00293B20"/>
    <w:rsid w:val="00293B63"/>
    <w:rsid w:val="00293C1E"/>
    <w:rsid w:val="00294113"/>
    <w:rsid w:val="00294627"/>
    <w:rsid w:val="0029466F"/>
    <w:rsid w:val="00294825"/>
    <w:rsid w:val="00294E4C"/>
    <w:rsid w:val="00294F32"/>
    <w:rsid w:val="00295930"/>
    <w:rsid w:val="00295940"/>
    <w:rsid w:val="00295B5C"/>
    <w:rsid w:val="00295CB9"/>
    <w:rsid w:val="00295EB1"/>
    <w:rsid w:val="00296114"/>
    <w:rsid w:val="0029628C"/>
    <w:rsid w:val="002963B1"/>
    <w:rsid w:val="002970BC"/>
    <w:rsid w:val="0029746F"/>
    <w:rsid w:val="00297F2D"/>
    <w:rsid w:val="00297F97"/>
    <w:rsid w:val="002A00A8"/>
    <w:rsid w:val="002A0146"/>
    <w:rsid w:val="002A01A8"/>
    <w:rsid w:val="002A0870"/>
    <w:rsid w:val="002A0D0D"/>
    <w:rsid w:val="002A1134"/>
    <w:rsid w:val="002A19C3"/>
    <w:rsid w:val="002A1A94"/>
    <w:rsid w:val="002A1D7A"/>
    <w:rsid w:val="002A2108"/>
    <w:rsid w:val="002A227A"/>
    <w:rsid w:val="002A29BF"/>
    <w:rsid w:val="002A2E38"/>
    <w:rsid w:val="002A3094"/>
    <w:rsid w:val="002A322E"/>
    <w:rsid w:val="002A3373"/>
    <w:rsid w:val="002A352F"/>
    <w:rsid w:val="002A35FC"/>
    <w:rsid w:val="002A36F0"/>
    <w:rsid w:val="002A3758"/>
    <w:rsid w:val="002A3954"/>
    <w:rsid w:val="002A3F72"/>
    <w:rsid w:val="002A406E"/>
    <w:rsid w:val="002A40B9"/>
    <w:rsid w:val="002A431C"/>
    <w:rsid w:val="002A4429"/>
    <w:rsid w:val="002A4AA9"/>
    <w:rsid w:val="002A4D36"/>
    <w:rsid w:val="002A4EC1"/>
    <w:rsid w:val="002A549C"/>
    <w:rsid w:val="002A57D7"/>
    <w:rsid w:val="002A57F7"/>
    <w:rsid w:val="002A5E95"/>
    <w:rsid w:val="002A5F46"/>
    <w:rsid w:val="002A6472"/>
    <w:rsid w:val="002A66CC"/>
    <w:rsid w:val="002A68A7"/>
    <w:rsid w:val="002A6C5D"/>
    <w:rsid w:val="002A6F52"/>
    <w:rsid w:val="002A72BB"/>
    <w:rsid w:val="002A748F"/>
    <w:rsid w:val="002A78BD"/>
    <w:rsid w:val="002A78DE"/>
    <w:rsid w:val="002A7969"/>
    <w:rsid w:val="002A7C99"/>
    <w:rsid w:val="002B0119"/>
    <w:rsid w:val="002B013F"/>
    <w:rsid w:val="002B08E0"/>
    <w:rsid w:val="002B0965"/>
    <w:rsid w:val="002B0F05"/>
    <w:rsid w:val="002B10F0"/>
    <w:rsid w:val="002B11A3"/>
    <w:rsid w:val="002B1993"/>
    <w:rsid w:val="002B1B9D"/>
    <w:rsid w:val="002B21D6"/>
    <w:rsid w:val="002B2351"/>
    <w:rsid w:val="002B2404"/>
    <w:rsid w:val="002B2DA0"/>
    <w:rsid w:val="002B3442"/>
    <w:rsid w:val="002B3B26"/>
    <w:rsid w:val="002B3BF9"/>
    <w:rsid w:val="002B3D09"/>
    <w:rsid w:val="002B417A"/>
    <w:rsid w:val="002B4700"/>
    <w:rsid w:val="002B50A0"/>
    <w:rsid w:val="002B5148"/>
    <w:rsid w:val="002B5C69"/>
    <w:rsid w:val="002B6724"/>
    <w:rsid w:val="002B6B00"/>
    <w:rsid w:val="002B6B66"/>
    <w:rsid w:val="002B6C69"/>
    <w:rsid w:val="002B6D1D"/>
    <w:rsid w:val="002B6DDB"/>
    <w:rsid w:val="002B7157"/>
    <w:rsid w:val="002B7193"/>
    <w:rsid w:val="002B73B1"/>
    <w:rsid w:val="002B748B"/>
    <w:rsid w:val="002B78FF"/>
    <w:rsid w:val="002B7E2E"/>
    <w:rsid w:val="002B7EA7"/>
    <w:rsid w:val="002B7FC9"/>
    <w:rsid w:val="002C0140"/>
    <w:rsid w:val="002C03A6"/>
    <w:rsid w:val="002C062E"/>
    <w:rsid w:val="002C0A4F"/>
    <w:rsid w:val="002C17C6"/>
    <w:rsid w:val="002C1A37"/>
    <w:rsid w:val="002C2B03"/>
    <w:rsid w:val="002C2D66"/>
    <w:rsid w:val="002C2D6D"/>
    <w:rsid w:val="002C2F7B"/>
    <w:rsid w:val="002C307C"/>
    <w:rsid w:val="002C3390"/>
    <w:rsid w:val="002C34EE"/>
    <w:rsid w:val="002C42B8"/>
    <w:rsid w:val="002C4370"/>
    <w:rsid w:val="002C44F5"/>
    <w:rsid w:val="002C4707"/>
    <w:rsid w:val="002C4A55"/>
    <w:rsid w:val="002C544E"/>
    <w:rsid w:val="002C5703"/>
    <w:rsid w:val="002C572A"/>
    <w:rsid w:val="002C5FD8"/>
    <w:rsid w:val="002C646F"/>
    <w:rsid w:val="002C69AA"/>
    <w:rsid w:val="002C6A81"/>
    <w:rsid w:val="002C6C7C"/>
    <w:rsid w:val="002C733D"/>
    <w:rsid w:val="002C7627"/>
    <w:rsid w:val="002C7924"/>
    <w:rsid w:val="002C7AC7"/>
    <w:rsid w:val="002C7FE2"/>
    <w:rsid w:val="002D09C6"/>
    <w:rsid w:val="002D0A6D"/>
    <w:rsid w:val="002D116A"/>
    <w:rsid w:val="002D1D75"/>
    <w:rsid w:val="002D230B"/>
    <w:rsid w:val="002D2670"/>
    <w:rsid w:val="002D26FC"/>
    <w:rsid w:val="002D288D"/>
    <w:rsid w:val="002D2BAA"/>
    <w:rsid w:val="002D32C7"/>
    <w:rsid w:val="002D3821"/>
    <w:rsid w:val="002D3A85"/>
    <w:rsid w:val="002D3BC1"/>
    <w:rsid w:val="002D3E65"/>
    <w:rsid w:val="002D40DC"/>
    <w:rsid w:val="002D42D7"/>
    <w:rsid w:val="002D4513"/>
    <w:rsid w:val="002D4837"/>
    <w:rsid w:val="002D4868"/>
    <w:rsid w:val="002D4B9F"/>
    <w:rsid w:val="002D4C7F"/>
    <w:rsid w:val="002D4E1E"/>
    <w:rsid w:val="002D4E3B"/>
    <w:rsid w:val="002D4ECA"/>
    <w:rsid w:val="002D50E2"/>
    <w:rsid w:val="002D56D9"/>
    <w:rsid w:val="002D5744"/>
    <w:rsid w:val="002D60A1"/>
    <w:rsid w:val="002D62E6"/>
    <w:rsid w:val="002D66CA"/>
    <w:rsid w:val="002D6A16"/>
    <w:rsid w:val="002D6A31"/>
    <w:rsid w:val="002D6CC8"/>
    <w:rsid w:val="002D6CD7"/>
    <w:rsid w:val="002D6D04"/>
    <w:rsid w:val="002D6FC7"/>
    <w:rsid w:val="002D73CC"/>
    <w:rsid w:val="002D740D"/>
    <w:rsid w:val="002D7500"/>
    <w:rsid w:val="002D79AF"/>
    <w:rsid w:val="002D7C0B"/>
    <w:rsid w:val="002D7C85"/>
    <w:rsid w:val="002D7DB1"/>
    <w:rsid w:val="002E099C"/>
    <w:rsid w:val="002E0B76"/>
    <w:rsid w:val="002E1424"/>
    <w:rsid w:val="002E1CDE"/>
    <w:rsid w:val="002E1D3E"/>
    <w:rsid w:val="002E1E61"/>
    <w:rsid w:val="002E210B"/>
    <w:rsid w:val="002E2390"/>
    <w:rsid w:val="002E2774"/>
    <w:rsid w:val="002E29B0"/>
    <w:rsid w:val="002E2B05"/>
    <w:rsid w:val="002E2C51"/>
    <w:rsid w:val="002E2D62"/>
    <w:rsid w:val="002E2EE6"/>
    <w:rsid w:val="002E332C"/>
    <w:rsid w:val="002E3680"/>
    <w:rsid w:val="002E39A6"/>
    <w:rsid w:val="002E3C94"/>
    <w:rsid w:val="002E4BFC"/>
    <w:rsid w:val="002E4D1B"/>
    <w:rsid w:val="002E55EF"/>
    <w:rsid w:val="002E58EE"/>
    <w:rsid w:val="002E5FBE"/>
    <w:rsid w:val="002E646C"/>
    <w:rsid w:val="002E6587"/>
    <w:rsid w:val="002E6702"/>
    <w:rsid w:val="002E6CCE"/>
    <w:rsid w:val="002E6D5D"/>
    <w:rsid w:val="002E719B"/>
    <w:rsid w:val="002F001D"/>
    <w:rsid w:val="002F0400"/>
    <w:rsid w:val="002F04AC"/>
    <w:rsid w:val="002F04E5"/>
    <w:rsid w:val="002F09C1"/>
    <w:rsid w:val="002F1035"/>
    <w:rsid w:val="002F12B8"/>
    <w:rsid w:val="002F1DD0"/>
    <w:rsid w:val="002F1FA7"/>
    <w:rsid w:val="002F238E"/>
    <w:rsid w:val="002F2477"/>
    <w:rsid w:val="002F25B9"/>
    <w:rsid w:val="002F26F2"/>
    <w:rsid w:val="002F2EE4"/>
    <w:rsid w:val="002F2F07"/>
    <w:rsid w:val="002F2F6D"/>
    <w:rsid w:val="002F325C"/>
    <w:rsid w:val="002F35C5"/>
    <w:rsid w:val="002F3882"/>
    <w:rsid w:val="002F38FC"/>
    <w:rsid w:val="002F39FA"/>
    <w:rsid w:val="002F3F19"/>
    <w:rsid w:val="002F40DE"/>
    <w:rsid w:val="002F41B4"/>
    <w:rsid w:val="002F5241"/>
    <w:rsid w:val="002F5738"/>
    <w:rsid w:val="002F5EE7"/>
    <w:rsid w:val="002F64EA"/>
    <w:rsid w:val="002F6849"/>
    <w:rsid w:val="002F6862"/>
    <w:rsid w:val="002F72C0"/>
    <w:rsid w:val="002F7765"/>
    <w:rsid w:val="002F781C"/>
    <w:rsid w:val="002F7C59"/>
    <w:rsid w:val="002F7D41"/>
    <w:rsid w:val="0030082E"/>
    <w:rsid w:val="00300890"/>
    <w:rsid w:val="003009E5"/>
    <w:rsid w:val="00300C02"/>
    <w:rsid w:val="00300E1D"/>
    <w:rsid w:val="00300F3D"/>
    <w:rsid w:val="003010E6"/>
    <w:rsid w:val="0030117A"/>
    <w:rsid w:val="00301184"/>
    <w:rsid w:val="00301390"/>
    <w:rsid w:val="0030139B"/>
    <w:rsid w:val="00301611"/>
    <w:rsid w:val="00301C48"/>
    <w:rsid w:val="0030211C"/>
    <w:rsid w:val="00302133"/>
    <w:rsid w:val="003023A5"/>
    <w:rsid w:val="003023C9"/>
    <w:rsid w:val="00302539"/>
    <w:rsid w:val="003027BA"/>
    <w:rsid w:val="00302A89"/>
    <w:rsid w:val="0030371E"/>
    <w:rsid w:val="0030374B"/>
    <w:rsid w:val="0030380D"/>
    <w:rsid w:val="0030387A"/>
    <w:rsid w:val="00303B8A"/>
    <w:rsid w:val="00303BAC"/>
    <w:rsid w:val="00303E93"/>
    <w:rsid w:val="0030434D"/>
    <w:rsid w:val="00304709"/>
    <w:rsid w:val="00304735"/>
    <w:rsid w:val="00304A18"/>
    <w:rsid w:val="00304EFA"/>
    <w:rsid w:val="003054C9"/>
    <w:rsid w:val="00305510"/>
    <w:rsid w:val="00305563"/>
    <w:rsid w:val="00305676"/>
    <w:rsid w:val="00305747"/>
    <w:rsid w:val="00305808"/>
    <w:rsid w:val="00306B71"/>
    <w:rsid w:val="00306E81"/>
    <w:rsid w:val="0030716C"/>
    <w:rsid w:val="00307227"/>
    <w:rsid w:val="00307272"/>
    <w:rsid w:val="00307A52"/>
    <w:rsid w:val="00307D60"/>
    <w:rsid w:val="00307FC4"/>
    <w:rsid w:val="0031020A"/>
    <w:rsid w:val="00310503"/>
    <w:rsid w:val="00310675"/>
    <w:rsid w:val="00310A76"/>
    <w:rsid w:val="00310F09"/>
    <w:rsid w:val="003113CE"/>
    <w:rsid w:val="00311583"/>
    <w:rsid w:val="0031199C"/>
    <w:rsid w:val="003119C0"/>
    <w:rsid w:val="003119FD"/>
    <w:rsid w:val="00311AE9"/>
    <w:rsid w:val="00311B25"/>
    <w:rsid w:val="0031207F"/>
    <w:rsid w:val="003121FB"/>
    <w:rsid w:val="00312380"/>
    <w:rsid w:val="00312870"/>
    <w:rsid w:val="00312987"/>
    <w:rsid w:val="00312C4D"/>
    <w:rsid w:val="00312DED"/>
    <w:rsid w:val="003132C3"/>
    <w:rsid w:val="003134DB"/>
    <w:rsid w:val="00313515"/>
    <w:rsid w:val="00313517"/>
    <w:rsid w:val="003137C9"/>
    <w:rsid w:val="00313C5C"/>
    <w:rsid w:val="00313DBD"/>
    <w:rsid w:val="00314170"/>
    <w:rsid w:val="003141A5"/>
    <w:rsid w:val="00314398"/>
    <w:rsid w:val="003147F3"/>
    <w:rsid w:val="00314AD8"/>
    <w:rsid w:val="0031529B"/>
    <w:rsid w:val="003152BF"/>
    <w:rsid w:val="003155A5"/>
    <w:rsid w:val="00315755"/>
    <w:rsid w:val="003158F7"/>
    <w:rsid w:val="00315BB8"/>
    <w:rsid w:val="00315EA4"/>
    <w:rsid w:val="00315FAF"/>
    <w:rsid w:val="003160B1"/>
    <w:rsid w:val="00316143"/>
    <w:rsid w:val="00316195"/>
    <w:rsid w:val="003162F3"/>
    <w:rsid w:val="0031637E"/>
    <w:rsid w:val="0031646F"/>
    <w:rsid w:val="0031681A"/>
    <w:rsid w:val="00316C93"/>
    <w:rsid w:val="003173E4"/>
    <w:rsid w:val="0031750C"/>
    <w:rsid w:val="003177DB"/>
    <w:rsid w:val="003179BB"/>
    <w:rsid w:val="00320143"/>
    <w:rsid w:val="0032035D"/>
    <w:rsid w:val="003203F4"/>
    <w:rsid w:val="0032066C"/>
    <w:rsid w:val="003206E6"/>
    <w:rsid w:val="003206EA"/>
    <w:rsid w:val="0032092A"/>
    <w:rsid w:val="00320969"/>
    <w:rsid w:val="0032106E"/>
    <w:rsid w:val="00321312"/>
    <w:rsid w:val="003213DC"/>
    <w:rsid w:val="0032150B"/>
    <w:rsid w:val="00321AD2"/>
    <w:rsid w:val="00321DAC"/>
    <w:rsid w:val="0032203A"/>
    <w:rsid w:val="0032246E"/>
    <w:rsid w:val="0032258F"/>
    <w:rsid w:val="003225E7"/>
    <w:rsid w:val="00322782"/>
    <w:rsid w:val="0032287B"/>
    <w:rsid w:val="00322D7B"/>
    <w:rsid w:val="00322DE1"/>
    <w:rsid w:val="00323421"/>
    <w:rsid w:val="00323B1F"/>
    <w:rsid w:val="00323ED3"/>
    <w:rsid w:val="0032446A"/>
    <w:rsid w:val="00324587"/>
    <w:rsid w:val="003249E8"/>
    <w:rsid w:val="00324B43"/>
    <w:rsid w:val="00324F07"/>
    <w:rsid w:val="003250CF"/>
    <w:rsid w:val="00325104"/>
    <w:rsid w:val="0032598A"/>
    <w:rsid w:val="00326317"/>
    <w:rsid w:val="003268EB"/>
    <w:rsid w:val="00327228"/>
    <w:rsid w:val="0032741A"/>
    <w:rsid w:val="003275CD"/>
    <w:rsid w:val="00327E9D"/>
    <w:rsid w:val="00327F4C"/>
    <w:rsid w:val="0033020B"/>
    <w:rsid w:val="0033021E"/>
    <w:rsid w:val="003304FC"/>
    <w:rsid w:val="00330836"/>
    <w:rsid w:val="00330874"/>
    <w:rsid w:val="00330D66"/>
    <w:rsid w:val="00331274"/>
    <w:rsid w:val="003312A8"/>
    <w:rsid w:val="00331350"/>
    <w:rsid w:val="003315F7"/>
    <w:rsid w:val="0033167E"/>
    <w:rsid w:val="00331826"/>
    <w:rsid w:val="00331887"/>
    <w:rsid w:val="00331920"/>
    <w:rsid w:val="00331B77"/>
    <w:rsid w:val="00331D59"/>
    <w:rsid w:val="00331DAE"/>
    <w:rsid w:val="0033207B"/>
    <w:rsid w:val="0033217F"/>
    <w:rsid w:val="0033258E"/>
    <w:rsid w:val="003326CD"/>
    <w:rsid w:val="003328E2"/>
    <w:rsid w:val="00332BCC"/>
    <w:rsid w:val="0033370C"/>
    <w:rsid w:val="00333851"/>
    <w:rsid w:val="00333E46"/>
    <w:rsid w:val="00334367"/>
    <w:rsid w:val="00334564"/>
    <w:rsid w:val="00335068"/>
    <w:rsid w:val="00335142"/>
    <w:rsid w:val="003352A6"/>
    <w:rsid w:val="003356D4"/>
    <w:rsid w:val="003364BC"/>
    <w:rsid w:val="0033690F"/>
    <w:rsid w:val="00336C24"/>
    <w:rsid w:val="00337113"/>
    <w:rsid w:val="00337393"/>
    <w:rsid w:val="003374FC"/>
    <w:rsid w:val="0033754A"/>
    <w:rsid w:val="0033763B"/>
    <w:rsid w:val="00337727"/>
    <w:rsid w:val="00337782"/>
    <w:rsid w:val="00337852"/>
    <w:rsid w:val="003378DC"/>
    <w:rsid w:val="003379B4"/>
    <w:rsid w:val="00337D73"/>
    <w:rsid w:val="00337FFB"/>
    <w:rsid w:val="0034012D"/>
    <w:rsid w:val="003408C3"/>
    <w:rsid w:val="00340ADF"/>
    <w:rsid w:val="00340C59"/>
    <w:rsid w:val="00340EE4"/>
    <w:rsid w:val="00340F27"/>
    <w:rsid w:val="00340FED"/>
    <w:rsid w:val="003410F8"/>
    <w:rsid w:val="0034111C"/>
    <w:rsid w:val="00341362"/>
    <w:rsid w:val="00341651"/>
    <w:rsid w:val="00341970"/>
    <w:rsid w:val="00341A16"/>
    <w:rsid w:val="00342340"/>
    <w:rsid w:val="003426F6"/>
    <w:rsid w:val="00342A6A"/>
    <w:rsid w:val="00342D00"/>
    <w:rsid w:val="00342FA0"/>
    <w:rsid w:val="003439A8"/>
    <w:rsid w:val="00343DF6"/>
    <w:rsid w:val="003441B8"/>
    <w:rsid w:val="003441D5"/>
    <w:rsid w:val="00344611"/>
    <w:rsid w:val="003447DA"/>
    <w:rsid w:val="0034484D"/>
    <w:rsid w:val="00344AEC"/>
    <w:rsid w:val="00345096"/>
    <w:rsid w:val="0034533F"/>
    <w:rsid w:val="003454D6"/>
    <w:rsid w:val="00345762"/>
    <w:rsid w:val="003459DF"/>
    <w:rsid w:val="00345AE4"/>
    <w:rsid w:val="00345B90"/>
    <w:rsid w:val="00346072"/>
    <w:rsid w:val="0034623A"/>
    <w:rsid w:val="00346C88"/>
    <w:rsid w:val="00346DB4"/>
    <w:rsid w:val="003474BF"/>
    <w:rsid w:val="003474E0"/>
    <w:rsid w:val="003476BD"/>
    <w:rsid w:val="003478B7"/>
    <w:rsid w:val="00347B13"/>
    <w:rsid w:val="00347B38"/>
    <w:rsid w:val="00347DD1"/>
    <w:rsid w:val="00347EEE"/>
    <w:rsid w:val="00350C25"/>
    <w:rsid w:val="003513EB"/>
    <w:rsid w:val="003517C5"/>
    <w:rsid w:val="00352721"/>
    <w:rsid w:val="00352984"/>
    <w:rsid w:val="00352F15"/>
    <w:rsid w:val="00352F1A"/>
    <w:rsid w:val="00353304"/>
    <w:rsid w:val="00353443"/>
    <w:rsid w:val="00353886"/>
    <w:rsid w:val="00353C09"/>
    <w:rsid w:val="00354073"/>
    <w:rsid w:val="003543BE"/>
    <w:rsid w:val="0035490E"/>
    <w:rsid w:val="00354CAD"/>
    <w:rsid w:val="00354FB4"/>
    <w:rsid w:val="00355042"/>
    <w:rsid w:val="00355DAA"/>
    <w:rsid w:val="00355E83"/>
    <w:rsid w:val="00355EBE"/>
    <w:rsid w:val="00356060"/>
    <w:rsid w:val="0035614F"/>
    <w:rsid w:val="0035632E"/>
    <w:rsid w:val="0035693F"/>
    <w:rsid w:val="0035695F"/>
    <w:rsid w:val="00356A39"/>
    <w:rsid w:val="00356A7F"/>
    <w:rsid w:val="00356AFF"/>
    <w:rsid w:val="00357636"/>
    <w:rsid w:val="00357749"/>
    <w:rsid w:val="0035785D"/>
    <w:rsid w:val="003578EE"/>
    <w:rsid w:val="0035791C"/>
    <w:rsid w:val="00357C9E"/>
    <w:rsid w:val="00360348"/>
    <w:rsid w:val="00360646"/>
    <w:rsid w:val="003608CB"/>
    <w:rsid w:val="00360BAD"/>
    <w:rsid w:val="00360BE8"/>
    <w:rsid w:val="00360DB1"/>
    <w:rsid w:val="00360E3F"/>
    <w:rsid w:val="00360F54"/>
    <w:rsid w:val="003618C3"/>
    <w:rsid w:val="00361C8F"/>
    <w:rsid w:val="00362112"/>
    <w:rsid w:val="0036265B"/>
    <w:rsid w:val="00362709"/>
    <w:rsid w:val="003627AF"/>
    <w:rsid w:val="0036304D"/>
    <w:rsid w:val="0036314F"/>
    <w:rsid w:val="0036326C"/>
    <w:rsid w:val="0036410B"/>
    <w:rsid w:val="003644B2"/>
    <w:rsid w:val="003644E8"/>
    <w:rsid w:val="003645E0"/>
    <w:rsid w:val="00364602"/>
    <w:rsid w:val="00364A96"/>
    <w:rsid w:val="00364B26"/>
    <w:rsid w:val="00364BE5"/>
    <w:rsid w:val="00364CA0"/>
    <w:rsid w:val="00364EE3"/>
    <w:rsid w:val="00365189"/>
    <w:rsid w:val="003656C9"/>
    <w:rsid w:val="0036582F"/>
    <w:rsid w:val="003658B0"/>
    <w:rsid w:val="00365AD9"/>
    <w:rsid w:val="00365C15"/>
    <w:rsid w:val="00365F60"/>
    <w:rsid w:val="00365FC5"/>
    <w:rsid w:val="00366913"/>
    <w:rsid w:val="00366C23"/>
    <w:rsid w:val="00366C44"/>
    <w:rsid w:val="00366F5A"/>
    <w:rsid w:val="003671F6"/>
    <w:rsid w:val="003678E4"/>
    <w:rsid w:val="00367A13"/>
    <w:rsid w:val="00367AA2"/>
    <w:rsid w:val="00367D9B"/>
    <w:rsid w:val="003700D1"/>
    <w:rsid w:val="003702EC"/>
    <w:rsid w:val="00370433"/>
    <w:rsid w:val="00370D5A"/>
    <w:rsid w:val="00370DB5"/>
    <w:rsid w:val="00370F64"/>
    <w:rsid w:val="00371211"/>
    <w:rsid w:val="003719BA"/>
    <w:rsid w:val="00371A52"/>
    <w:rsid w:val="00371F7E"/>
    <w:rsid w:val="00372216"/>
    <w:rsid w:val="0037228C"/>
    <w:rsid w:val="0037245C"/>
    <w:rsid w:val="0037295C"/>
    <w:rsid w:val="003730E5"/>
    <w:rsid w:val="00373450"/>
    <w:rsid w:val="003735F6"/>
    <w:rsid w:val="00373F2A"/>
    <w:rsid w:val="00373F2C"/>
    <w:rsid w:val="0037405E"/>
    <w:rsid w:val="00374341"/>
    <w:rsid w:val="0037466F"/>
    <w:rsid w:val="00374754"/>
    <w:rsid w:val="00374F31"/>
    <w:rsid w:val="00374FFA"/>
    <w:rsid w:val="00375300"/>
    <w:rsid w:val="0037562A"/>
    <w:rsid w:val="003757D3"/>
    <w:rsid w:val="00375C01"/>
    <w:rsid w:val="00375CAE"/>
    <w:rsid w:val="0037688C"/>
    <w:rsid w:val="003768E1"/>
    <w:rsid w:val="00377025"/>
    <w:rsid w:val="0037709D"/>
    <w:rsid w:val="003771EC"/>
    <w:rsid w:val="00377746"/>
    <w:rsid w:val="00377B7E"/>
    <w:rsid w:val="00377BDD"/>
    <w:rsid w:val="00377EE8"/>
    <w:rsid w:val="00380316"/>
    <w:rsid w:val="00380318"/>
    <w:rsid w:val="00380606"/>
    <w:rsid w:val="00380815"/>
    <w:rsid w:val="0038087B"/>
    <w:rsid w:val="00380972"/>
    <w:rsid w:val="00380988"/>
    <w:rsid w:val="00380E8E"/>
    <w:rsid w:val="00380F79"/>
    <w:rsid w:val="00381443"/>
    <w:rsid w:val="0038187A"/>
    <w:rsid w:val="00381F3A"/>
    <w:rsid w:val="0038209E"/>
    <w:rsid w:val="00382216"/>
    <w:rsid w:val="00382515"/>
    <w:rsid w:val="00382529"/>
    <w:rsid w:val="003825C2"/>
    <w:rsid w:val="00382A43"/>
    <w:rsid w:val="00382D60"/>
    <w:rsid w:val="003838FB"/>
    <w:rsid w:val="00383F5E"/>
    <w:rsid w:val="003846C1"/>
    <w:rsid w:val="003849F8"/>
    <w:rsid w:val="00384FAD"/>
    <w:rsid w:val="0038598F"/>
    <w:rsid w:val="00385F51"/>
    <w:rsid w:val="00386092"/>
    <w:rsid w:val="00386162"/>
    <w:rsid w:val="003868E3"/>
    <w:rsid w:val="00386B7D"/>
    <w:rsid w:val="00386FEB"/>
    <w:rsid w:val="003872DC"/>
    <w:rsid w:val="003874D9"/>
    <w:rsid w:val="003875E3"/>
    <w:rsid w:val="00387AD8"/>
    <w:rsid w:val="00387B25"/>
    <w:rsid w:val="00387BCA"/>
    <w:rsid w:val="00387D41"/>
    <w:rsid w:val="00387E5B"/>
    <w:rsid w:val="00387F46"/>
    <w:rsid w:val="00390364"/>
    <w:rsid w:val="003905C8"/>
    <w:rsid w:val="003907BA"/>
    <w:rsid w:val="0039113C"/>
    <w:rsid w:val="0039123C"/>
    <w:rsid w:val="00391558"/>
    <w:rsid w:val="00391567"/>
    <w:rsid w:val="00391782"/>
    <w:rsid w:val="00391EA0"/>
    <w:rsid w:val="0039215E"/>
    <w:rsid w:val="00392343"/>
    <w:rsid w:val="0039268F"/>
    <w:rsid w:val="00392880"/>
    <w:rsid w:val="003928D5"/>
    <w:rsid w:val="003929F5"/>
    <w:rsid w:val="00392D79"/>
    <w:rsid w:val="00392F51"/>
    <w:rsid w:val="003930DC"/>
    <w:rsid w:val="0039350C"/>
    <w:rsid w:val="003935C1"/>
    <w:rsid w:val="00393CD6"/>
    <w:rsid w:val="00393F79"/>
    <w:rsid w:val="0039412F"/>
    <w:rsid w:val="0039442D"/>
    <w:rsid w:val="00394856"/>
    <w:rsid w:val="00395CE7"/>
    <w:rsid w:val="00395DE7"/>
    <w:rsid w:val="0039623B"/>
    <w:rsid w:val="003964B5"/>
    <w:rsid w:val="00396517"/>
    <w:rsid w:val="00397026"/>
    <w:rsid w:val="00397081"/>
    <w:rsid w:val="003971A3"/>
    <w:rsid w:val="003976CA"/>
    <w:rsid w:val="0039793D"/>
    <w:rsid w:val="00397A78"/>
    <w:rsid w:val="00397D50"/>
    <w:rsid w:val="00397E58"/>
    <w:rsid w:val="00397EAA"/>
    <w:rsid w:val="00397F77"/>
    <w:rsid w:val="003A0076"/>
    <w:rsid w:val="003A0961"/>
    <w:rsid w:val="003A0A2A"/>
    <w:rsid w:val="003A0A58"/>
    <w:rsid w:val="003A1019"/>
    <w:rsid w:val="003A1042"/>
    <w:rsid w:val="003A10D6"/>
    <w:rsid w:val="003A1D4E"/>
    <w:rsid w:val="003A1E1A"/>
    <w:rsid w:val="003A1EF6"/>
    <w:rsid w:val="003A224B"/>
    <w:rsid w:val="003A2A02"/>
    <w:rsid w:val="003A3199"/>
    <w:rsid w:val="003A3227"/>
    <w:rsid w:val="003A3302"/>
    <w:rsid w:val="003A34C4"/>
    <w:rsid w:val="003A3630"/>
    <w:rsid w:val="003A36F1"/>
    <w:rsid w:val="003A3886"/>
    <w:rsid w:val="003A3934"/>
    <w:rsid w:val="003A3936"/>
    <w:rsid w:val="003A3950"/>
    <w:rsid w:val="003A3A3B"/>
    <w:rsid w:val="003A3C1F"/>
    <w:rsid w:val="003A3DA4"/>
    <w:rsid w:val="003A3E6C"/>
    <w:rsid w:val="003A3E90"/>
    <w:rsid w:val="003A41F6"/>
    <w:rsid w:val="003A4A00"/>
    <w:rsid w:val="003A4E0F"/>
    <w:rsid w:val="003A4EBF"/>
    <w:rsid w:val="003A523F"/>
    <w:rsid w:val="003A56A5"/>
    <w:rsid w:val="003A5C3D"/>
    <w:rsid w:val="003A5E3D"/>
    <w:rsid w:val="003A5FF0"/>
    <w:rsid w:val="003A640F"/>
    <w:rsid w:val="003A643A"/>
    <w:rsid w:val="003A6C45"/>
    <w:rsid w:val="003A7776"/>
    <w:rsid w:val="003A78CB"/>
    <w:rsid w:val="003A78D3"/>
    <w:rsid w:val="003A7EB1"/>
    <w:rsid w:val="003A7F23"/>
    <w:rsid w:val="003A7FB4"/>
    <w:rsid w:val="003B008A"/>
    <w:rsid w:val="003B0176"/>
    <w:rsid w:val="003B028E"/>
    <w:rsid w:val="003B0598"/>
    <w:rsid w:val="003B071B"/>
    <w:rsid w:val="003B0C9D"/>
    <w:rsid w:val="003B1169"/>
    <w:rsid w:val="003B143E"/>
    <w:rsid w:val="003B18CE"/>
    <w:rsid w:val="003B1D56"/>
    <w:rsid w:val="003B246E"/>
    <w:rsid w:val="003B2AFC"/>
    <w:rsid w:val="003B2B4C"/>
    <w:rsid w:val="003B2DC9"/>
    <w:rsid w:val="003B2F1C"/>
    <w:rsid w:val="003B33CA"/>
    <w:rsid w:val="003B355D"/>
    <w:rsid w:val="003B3809"/>
    <w:rsid w:val="003B38D6"/>
    <w:rsid w:val="003B39B0"/>
    <w:rsid w:val="003B3A01"/>
    <w:rsid w:val="003B3AF8"/>
    <w:rsid w:val="003B3FF9"/>
    <w:rsid w:val="003B4072"/>
    <w:rsid w:val="003B442F"/>
    <w:rsid w:val="003B450C"/>
    <w:rsid w:val="003B48F1"/>
    <w:rsid w:val="003B496C"/>
    <w:rsid w:val="003B5062"/>
    <w:rsid w:val="003B50B8"/>
    <w:rsid w:val="003B50D2"/>
    <w:rsid w:val="003B50D5"/>
    <w:rsid w:val="003B5A82"/>
    <w:rsid w:val="003B5BE3"/>
    <w:rsid w:val="003B5D17"/>
    <w:rsid w:val="003B5D70"/>
    <w:rsid w:val="003B63A9"/>
    <w:rsid w:val="003B66DE"/>
    <w:rsid w:val="003B6CBF"/>
    <w:rsid w:val="003B6E79"/>
    <w:rsid w:val="003B6FB9"/>
    <w:rsid w:val="003B70B4"/>
    <w:rsid w:val="003B7362"/>
    <w:rsid w:val="003B73C6"/>
    <w:rsid w:val="003B73E7"/>
    <w:rsid w:val="003B774C"/>
    <w:rsid w:val="003B7767"/>
    <w:rsid w:val="003B77FA"/>
    <w:rsid w:val="003B79DE"/>
    <w:rsid w:val="003B7BF3"/>
    <w:rsid w:val="003C01B6"/>
    <w:rsid w:val="003C0484"/>
    <w:rsid w:val="003C05C6"/>
    <w:rsid w:val="003C05EC"/>
    <w:rsid w:val="003C1750"/>
    <w:rsid w:val="003C1774"/>
    <w:rsid w:val="003C1827"/>
    <w:rsid w:val="003C1900"/>
    <w:rsid w:val="003C1F6E"/>
    <w:rsid w:val="003C2151"/>
    <w:rsid w:val="003C2446"/>
    <w:rsid w:val="003C2C8F"/>
    <w:rsid w:val="003C2D4B"/>
    <w:rsid w:val="003C2D4F"/>
    <w:rsid w:val="003C2EDE"/>
    <w:rsid w:val="003C3061"/>
    <w:rsid w:val="003C3289"/>
    <w:rsid w:val="003C38DF"/>
    <w:rsid w:val="003C3CFB"/>
    <w:rsid w:val="003C3E4B"/>
    <w:rsid w:val="003C403B"/>
    <w:rsid w:val="003C40D8"/>
    <w:rsid w:val="003C4590"/>
    <w:rsid w:val="003C4689"/>
    <w:rsid w:val="003C47C1"/>
    <w:rsid w:val="003C4966"/>
    <w:rsid w:val="003C49F2"/>
    <w:rsid w:val="003C4A51"/>
    <w:rsid w:val="003C4BA1"/>
    <w:rsid w:val="003C4FF9"/>
    <w:rsid w:val="003C53F8"/>
    <w:rsid w:val="003C55EE"/>
    <w:rsid w:val="003C59C1"/>
    <w:rsid w:val="003C5DF9"/>
    <w:rsid w:val="003C6321"/>
    <w:rsid w:val="003C63B1"/>
    <w:rsid w:val="003C658C"/>
    <w:rsid w:val="003C6A44"/>
    <w:rsid w:val="003C6BCE"/>
    <w:rsid w:val="003C6CBB"/>
    <w:rsid w:val="003C6D77"/>
    <w:rsid w:val="003C6EBB"/>
    <w:rsid w:val="003C75DE"/>
    <w:rsid w:val="003C7978"/>
    <w:rsid w:val="003C7BBB"/>
    <w:rsid w:val="003C7C1A"/>
    <w:rsid w:val="003C7D91"/>
    <w:rsid w:val="003C7E2B"/>
    <w:rsid w:val="003D07C5"/>
    <w:rsid w:val="003D0854"/>
    <w:rsid w:val="003D0921"/>
    <w:rsid w:val="003D0A39"/>
    <w:rsid w:val="003D0AB1"/>
    <w:rsid w:val="003D0F94"/>
    <w:rsid w:val="003D1499"/>
    <w:rsid w:val="003D1514"/>
    <w:rsid w:val="003D1E5C"/>
    <w:rsid w:val="003D1EB3"/>
    <w:rsid w:val="003D2B71"/>
    <w:rsid w:val="003D2BBD"/>
    <w:rsid w:val="003D3343"/>
    <w:rsid w:val="003D3631"/>
    <w:rsid w:val="003D38ED"/>
    <w:rsid w:val="003D3BD0"/>
    <w:rsid w:val="003D3D7D"/>
    <w:rsid w:val="003D3F21"/>
    <w:rsid w:val="003D4056"/>
    <w:rsid w:val="003D4598"/>
    <w:rsid w:val="003D4A58"/>
    <w:rsid w:val="003D50CA"/>
    <w:rsid w:val="003D5543"/>
    <w:rsid w:val="003D58B7"/>
    <w:rsid w:val="003D58E8"/>
    <w:rsid w:val="003D5E3C"/>
    <w:rsid w:val="003D64A0"/>
    <w:rsid w:val="003D65B4"/>
    <w:rsid w:val="003D6728"/>
    <w:rsid w:val="003D7122"/>
    <w:rsid w:val="003D715E"/>
    <w:rsid w:val="003D75D0"/>
    <w:rsid w:val="003E00CA"/>
    <w:rsid w:val="003E01D0"/>
    <w:rsid w:val="003E022D"/>
    <w:rsid w:val="003E0A0C"/>
    <w:rsid w:val="003E0CAF"/>
    <w:rsid w:val="003E1785"/>
    <w:rsid w:val="003E1A81"/>
    <w:rsid w:val="003E1D7C"/>
    <w:rsid w:val="003E1F83"/>
    <w:rsid w:val="003E222B"/>
    <w:rsid w:val="003E2250"/>
    <w:rsid w:val="003E23C1"/>
    <w:rsid w:val="003E2E77"/>
    <w:rsid w:val="003E2F51"/>
    <w:rsid w:val="003E3844"/>
    <w:rsid w:val="003E3A13"/>
    <w:rsid w:val="003E3AC7"/>
    <w:rsid w:val="003E3ACD"/>
    <w:rsid w:val="003E3D2A"/>
    <w:rsid w:val="003E3EC7"/>
    <w:rsid w:val="003E3F33"/>
    <w:rsid w:val="003E431A"/>
    <w:rsid w:val="003E444F"/>
    <w:rsid w:val="003E4663"/>
    <w:rsid w:val="003E4A58"/>
    <w:rsid w:val="003E4C7A"/>
    <w:rsid w:val="003E4EC0"/>
    <w:rsid w:val="003E5861"/>
    <w:rsid w:val="003E5C15"/>
    <w:rsid w:val="003E5F1E"/>
    <w:rsid w:val="003E62C9"/>
    <w:rsid w:val="003E63C2"/>
    <w:rsid w:val="003E6757"/>
    <w:rsid w:val="003E7095"/>
    <w:rsid w:val="003E782E"/>
    <w:rsid w:val="003E7981"/>
    <w:rsid w:val="003E7ECD"/>
    <w:rsid w:val="003F00AD"/>
    <w:rsid w:val="003F0151"/>
    <w:rsid w:val="003F07B8"/>
    <w:rsid w:val="003F081F"/>
    <w:rsid w:val="003F094C"/>
    <w:rsid w:val="003F0A11"/>
    <w:rsid w:val="003F0D28"/>
    <w:rsid w:val="003F0DAF"/>
    <w:rsid w:val="003F0EB3"/>
    <w:rsid w:val="003F108C"/>
    <w:rsid w:val="003F12A8"/>
    <w:rsid w:val="003F1431"/>
    <w:rsid w:val="003F14E9"/>
    <w:rsid w:val="003F17E1"/>
    <w:rsid w:val="003F184D"/>
    <w:rsid w:val="003F1937"/>
    <w:rsid w:val="003F1A2F"/>
    <w:rsid w:val="003F1ADF"/>
    <w:rsid w:val="003F1F03"/>
    <w:rsid w:val="003F1F0C"/>
    <w:rsid w:val="003F2876"/>
    <w:rsid w:val="003F3381"/>
    <w:rsid w:val="003F358C"/>
    <w:rsid w:val="003F3C41"/>
    <w:rsid w:val="003F3D2F"/>
    <w:rsid w:val="003F3ED3"/>
    <w:rsid w:val="003F4005"/>
    <w:rsid w:val="003F4312"/>
    <w:rsid w:val="003F45E2"/>
    <w:rsid w:val="003F4872"/>
    <w:rsid w:val="003F4BB9"/>
    <w:rsid w:val="003F4E04"/>
    <w:rsid w:val="003F50C7"/>
    <w:rsid w:val="003F5A4C"/>
    <w:rsid w:val="003F5BA2"/>
    <w:rsid w:val="003F6AB5"/>
    <w:rsid w:val="003F6ABB"/>
    <w:rsid w:val="003F6C4B"/>
    <w:rsid w:val="003F6C9C"/>
    <w:rsid w:val="003F70CB"/>
    <w:rsid w:val="003F794F"/>
    <w:rsid w:val="003F7F95"/>
    <w:rsid w:val="00400185"/>
    <w:rsid w:val="00400264"/>
    <w:rsid w:val="004005C3"/>
    <w:rsid w:val="0040176F"/>
    <w:rsid w:val="00401FA6"/>
    <w:rsid w:val="0040215B"/>
    <w:rsid w:val="0040215C"/>
    <w:rsid w:val="0040235E"/>
    <w:rsid w:val="004023BC"/>
    <w:rsid w:val="00402626"/>
    <w:rsid w:val="004028B7"/>
    <w:rsid w:val="004028D8"/>
    <w:rsid w:val="00402A0B"/>
    <w:rsid w:val="00402CED"/>
    <w:rsid w:val="00402EB5"/>
    <w:rsid w:val="00403273"/>
    <w:rsid w:val="004035EB"/>
    <w:rsid w:val="00403630"/>
    <w:rsid w:val="00403725"/>
    <w:rsid w:val="004039FF"/>
    <w:rsid w:val="00403A33"/>
    <w:rsid w:val="00403A95"/>
    <w:rsid w:val="00403EAC"/>
    <w:rsid w:val="0040411B"/>
    <w:rsid w:val="004045E2"/>
    <w:rsid w:val="0040460B"/>
    <w:rsid w:val="00404D61"/>
    <w:rsid w:val="00405E2F"/>
    <w:rsid w:val="0040602B"/>
    <w:rsid w:val="00406101"/>
    <w:rsid w:val="004061E8"/>
    <w:rsid w:val="0040627C"/>
    <w:rsid w:val="004064B3"/>
    <w:rsid w:val="00406AA1"/>
    <w:rsid w:val="00406E23"/>
    <w:rsid w:val="00406E30"/>
    <w:rsid w:val="0040795E"/>
    <w:rsid w:val="00407AD0"/>
    <w:rsid w:val="00407C54"/>
    <w:rsid w:val="00407E9A"/>
    <w:rsid w:val="004101E4"/>
    <w:rsid w:val="00410250"/>
    <w:rsid w:val="0041056B"/>
    <w:rsid w:val="0041077B"/>
    <w:rsid w:val="00410797"/>
    <w:rsid w:val="0041090A"/>
    <w:rsid w:val="00410A32"/>
    <w:rsid w:val="00411379"/>
    <w:rsid w:val="00411445"/>
    <w:rsid w:val="004115E7"/>
    <w:rsid w:val="0041167D"/>
    <w:rsid w:val="004119A8"/>
    <w:rsid w:val="0041238F"/>
    <w:rsid w:val="004123C3"/>
    <w:rsid w:val="004123CF"/>
    <w:rsid w:val="004128C1"/>
    <w:rsid w:val="00412D48"/>
    <w:rsid w:val="00412DD5"/>
    <w:rsid w:val="00412ED7"/>
    <w:rsid w:val="00413072"/>
    <w:rsid w:val="004135CA"/>
    <w:rsid w:val="00413998"/>
    <w:rsid w:val="00413B99"/>
    <w:rsid w:val="004145D9"/>
    <w:rsid w:val="00414AFD"/>
    <w:rsid w:val="004154EA"/>
    <w:rsid w:val="00415717"/>
    <w:rsid w:val="004157CF"/>
    <w:rsid w:val="00415C21"/>
    <w:rsid w:val="00416462"/>
    <w:rsid w:val="00416618"/>
    <w:rsid w:val="0041679B"/>
    <w:rsid w:val="00416E97"/>
    <w:rsid w:val="00417393"/>
    <w:rsid w:val="004173A5"/>
    <w:rsid w:val="004174C6"/>
    <w:rsid w:val="004177C9"/>
    <w:rsid w:val="004177FF"/>
    <w:rsid w:val="0041782F"/>
    <w:rsid w:val="00417D02"/>
    <w:rsid w:val="004207D2"/>
    <w:rsid w:val="0042199B"/>
    <w:rsid w:val="00422055"/>
    <w:rsid w:val="0042207B"/>
    <w:rsid w:val="004221BD"/>
    <w:rsid w:val="004221FE"/>
    <w:rsid w:val="00422452"/>
    <w:rsid w:val="0042266D"/>
    <w:rsid w:val="004227FB"/>
    <w:rsid w:val="00423508"/>
    <w:rsid w:val="00423626"/>
    <w:rsid w:val="00423B85"/>
    <w:rsid w:val="00423FCF"/>
    <w:rsid w:val="0042433E"/>
    <w:rsid w:val="00424B2C"/>
    <w:rsid w:val="00424EDC"/>
    <w:rsid w:val="004252E0"/>
    <w:rsid w:val="00425715"/>
    <w:rsid w:val="00425CCF"/>
    <w:rsid w:val="00425CE8"/>
    <w:rsid w:val="00426599"/>
    <w:rsid w:val="00426C7C"/>
    <w:rsid w:val="004271A5"/>
    <w:rsid w:val="00427279"/>
    <w:rsid w:val="004274E2"/>
    <w:rsid w:val="00427B88"/>
    <w:rsid w:val="00430383"/>
    <w:rsid w:val="00430FE0"/>
    <w:rsid w:val="0043124C"/>
    <w:rsid w:val="004315B1"/>
    <w:rsid w:val="00431D10"/>
    <w:rsid w:val="004323BD"/>
    <w:rsid w:val="00432740"/>
    <w:rsid w:val="00432910"/>
    <w:rsid w:val="00432BF1"/>
    <w:rsid w:val="00432C0A"/>
    <w:rsid w:val="0043313F"/>
    <w:rsid w:val="004331AD"/>
    <w:rsid w:val="004332D7"/>
    <w:rsid w:val="00433B29"/>
    <w:rsid w:val="004341D8"/>
    <w:rsid w:val="004341ED"/>
    <w:rsid w:val="004345D0"/>
    <w:rsid w:val="00434702"/>
    <w:rsid w:val="00434833"/>
    <w:rsid w:val="00434B7A"/>
    <w:rsid w:val="00435900"/>
    <w:rsid w:val="00435957"/>
    <w:rsid w:val="00435F3A"/>
    <w:rsid w:val="00437141"/>
    <w:rsid w:val="00437234"/>
    <w:rsid w:val="00437826"/>
    <w:rsid w:val="00437E49"/>
    <w:rsid w:val="0044018D"/>
    <w:rsid w:val="004401AD"/>
    <w:rsid w:val="00440299"/>
    <w:rsid w:val="0044067D"/>
    <w:rsid w:val="00440CAF"/>
    <w:rsid w:val="00440F6E"/>
    <w:rsid w:val="00441647"/>
    <w:rsid w:val="00441755"/>
    <w:rsid w:val="00441934"/>
    <w:rsid w:val="004419A5"/>
    <w:rsid w:val="00441BB7"/>
    <w:rsid w:val="00441C16"/>
    <w:rsid w:val="00441C7E"/>
    <w:rsid w:val="00442057"/>
    <w:rsid w:val="004421D2"/>
    <w:rsid w:val="00442406"/>
    <w:rsid w:val="0044247B"/>
    <w:rsid w:val="00442542"/>
    <w:rsid w:val="00442586"/>
    <w:rsid w:val="00442729"/>
    <w:rsid w:val="00442743"/>
    <w:rsid w:val="00442B0A"/>
    <w:rsid w:val="00442B1D"/>
    <w:rsid w:val="00442CF9"/>
    <w:rsid w:val="004430A9"/>
    <w:rsid w:val="00443235"/>
    <w:rsid w:val="00444272"/>
    <w:rsid w:val="004443A6"/>
    <w:rsid w:val="0044463A"/>
    <w:rsid w:val="0044463C"/>
    <w:rsid w:val="00444A1E"/>
    <w:rsid w:val="00444B45"/>
    <w:rsid w:val="00444D65"/>
    <w:rsid w:val="00444FBB"/>
    <w:rsid w:val="004450E0"/>
    <w:rsid w:val="004451B0"/>
    <w:rsid w:val="00445296"/>
    <w:rsid w:val="004453BA"/>
    <w:rsid w:val="00445691"/>
    <w:rsid w:val="00445713"/>
    <w:rsid w:val="00445976"/>
    <w:rsid w:val="00446133"/>
    <w:rsid w:val="00446166"/>
    <w:rsid w:val="0044651A"/>
    <w:rsid w:val="00446B7B"/>
    <w:rsid w:val="00446C3C"/>
    <w:rsid w:val="00446E33"/>
    <w:rsid w:val="00446FD6"/>
    <w:rsid w:val="004473F9"/>
    <w:rsid w:val="00447612"/>
    <w:rsid w:val="004479E4"/>
    <w:rsid w:val="00447AF5"/>
    <w:rsid w:val="00447B70"/>
    <w:rsid w:val="00447E24"/>
    <w:rsid w:val="00450369"/>
    <w:rsid w:val="0045063B"/>
    <w:rsid w:val="00450823"/>
    <w:rsid w:val="004508B7"/>
    <w:rsid w:val="00450B5B"/>
    <w:rsid w:val="004512DA"/>
    <w:rsid w:val="00451FF8"/>
    <w:rsid w:val="004520B9"/>
    <w:rsid w:val="00452740"/>
    <w:rsid w:val="00452B1B"/>
    <w:rsid w:val="00452E07"/>
    <w:rsid w:val="00453486"/>
    <w:rsid w:val="0045385D"/>
    <w:rsid w:val="00453971"/>
    <w:rsid w:val="004539E3"/>
    <w:rsid w:val="00453A8C"/>
    <w:rsid w:val="00453DF9"/>
    <w:rsid w:val="00454537"/>
    <w:rsid w:val="0045490C"/>
    <w:rsid w:val="00454A18"/>
    <w:rsid w:val="004551A4"/>
    <w:rsid w:val="00455487"/>
    <w:rsid w:val="004557D7"/>
    <w:rsid w:val="004558D9"/>
    <w:rsid w:val="004559E2"/>
    <w:rsid w:val="00455B94"/>
    <w:rsid w:val="00455E0A"/>
    <w:rsid w:val="00455F9E"/>
    <w:rsid w:val="00456A8D"/>
    <w:rsid w:val="00456ED7"/>
    <w:rsid w:val="00457151"/>
    <w:rsid w:val="0045715D"/>
    <w:rsid w:val="00457396"/>
    <w:rsid w:val="004576B6"/>
    <w:rsid w:val="004576BF"/>
    <w:rsid w:val="00457BF7"/>
    <w:rsid w:val="00457E3C"/>
    <w:rsid w:val="0046022D"/>
    <w:rsid w:val="004602B0"/>
    <w:rsid w:val="004602BC"/>
    <w:rsid w:val="00460313"/>
    <w:rsid w:val="00460411"/>
    <w:rsid w:val="00460957"/>
    <w:rsid w:val="004609AD"/>
    <w:rsid w:val="00460A2C"/>
    <w:rsid w:val="00460B96"/>
    <w:rsid w:val="00460BA6"/>
    <w:rsid w:val="00460BE8"/>
    <w:rsid w:val="00460E12"/>
    <w:rsid w:val="00461184"/>
    <w:rsid w:val="00461521"/>
    <w:rsid w:val="00461554"/>
    <w:rsid w:val="00461570"/>
    <w:rsid w:val="0046160C"/>
    <w:rsid w:val="00461693"/>
    <w:rsid w:val="004619BC"/>
    <w:rsid w:val="0046230E"/>
    <w:rsid w:val="004623B9"/>
    <w:rsid w:val="004625F9"/>
    <w:rsid w:val="00462690"/>
    <w:rsid w:val="00462980"/>
    <w:rsid w:val="00462FB0"/>
    <w:rsid w:val="004632BE"/>
    <w:rsid w:val="004632E9"/>
    <w:rsid w:val="00463565"/>
    <w:rsid w:val="004637FE"/>
    <w:rsid w:val="00463B31"/>
    <w:rsid w:val="00463BB2"/>
    <w:rsid w:val="00463F22"/>
    <w:rsid w:val="00464265"/>
    <w:rsid w:val="00464451"/>
    <w:rsid w:val="0046492B"/>
    <w:rsid w:val="00464A79"/>
    <w:rsid w:val="00465220"/>
    <w:rsid w:val="0046526D"/>
    <w:rsid w:val="00465526"/>
    <w:rsid w:val="00465653"/>
    <w:rsid w:val="004656CE"/>
    <w:rsid w:val="00465CE5"/>
    <w:rsid w:val="0046621C"/>
    <w:rsid w:val="0046678C"/>
    <w:rsid w:val="004667C2"/>
    <w:rsid w:val="004667C3"/>
    <w:rsid w:val="004672B9"/>
    <w:rsid w:val="004672FB"/>
    <w:rsid w:val="004674E7"/>
    <w:rsid w:val="00467C56"/>
    <w:rsid w:val="00470274"/>
    <w:rsid w:val="00470941"/>
    <w:rsid w:val="0047112F"/>
    <w:rsid w:val="00471242"/>
    <w:rsid w:val="004712C1"/>
    <w:rsid w:val="00471591"/>
    <w:rsid w:val="004716CC"/>
    <w:rsid w:val="00471D97"/>
    <w:rsid w:val="00472032"/>
    <w:rsid w:val="004720BE"/>
    <w:rsid w:val="00472AB2"/>
    <w:rsid w:val="00472AFA"/>
    <w:rsid w:val="00472B84"/>
    <w:rsid w:val="00473760"/>
    <w:rsid w:val="004738C5"/>
    <w:rsid w:val="004739ED"/>
    <w:rsid w:val="004740EC"/>
    <w:rsid w:val="0047444C"/>
    <w:rsid w:val="004745EF"/>
    <w:rsid w:val="004747D1"/>
    <w:rsid w:val="00474D4B"/>
    <w:rsid w:val="0047530F"/>
    <w:rsid w:val="00475330"/>
    <w:rsid w:val="0047540B"/>
    <w:rsid w:val="004757C9"/>
    <w:rsid w:val="00476474"/>
    <w:rsid w:val="00477A53"/>
    <w:rsid w:val="00477B38"/>
    <w:rsid w:val="00477F6B"/>
    <w:rsid w:val="00480374"/>
    <w:rsid w:val="004803F7"/>
    <w:rsid w:val="004808A9"/>
    <w:rsid w:val="00480CD7"/>
    <w:rsid w:val="004811B3"/>
    <w:rsid w:val="00481673"/>
    <w:rsid w:val="0048182F"/>
    <w:rsid w:val="00481857"/>
    <w:rsid w:val="0048192C"/>
    <w:rsid w:val="00481CF7"/>
    <w:rsid w:val="00482291"/>
    <w:rsid w:val="004826CD"/>
    <w:rsid w:val="004827A6"/>
    <w:rsid w:val="00482A0F"/>
    <w:rsid w:val="004833D7"/>
    <w:rsid w:val="00483D15"/>
    <w:rsid w:val="00484593"/>
    <w:rsid w:val="00484722"/>
    <w:rsid w:val="00484DDD"/>
    <w:rsid w:val="00484E46"/>
    <w:rsid w:val="00485214"/>
    <w:rsid w:val="00485391"/>
    <w:rsid w:val="004853DB"/>
    <w:rsid w:val="0048582C"/>
    <w:rsid w:val="00485969"/>
    <w:rsid w:val="00485A4A"/>
    <w:rsid w:val="00485AB4"/>
    <w:rsid w:val="00485E35"/>
    <w:rsid w:val="0048603C"/>
    <w:rsid w:val="00486112"/>
    <w:rsid w:val="004861D5"/>
    <w:rsid w:val="004862EF"/>
    <w:rsid w:val="00486843"/>
    <w:rsid w:val="00486911"/>
    <w:rsid w:val="004871B1"/>
    <w:rsid w:val="00487933"/>
    <w:rsid w:val="0048797A"/>
    <w:rsid w:val="00487F05"/>
    <w:rsid w:val="00490562"/>
    <w:rsid w:val="00490592"/>
    <w:rsid w:val="004908F6"/>
    <w:rsid w:val="00490C8A"/>
    <w:rsid w:val="00491145"/>
    <w:rsid w:val="004913C9"/>
    <w:rsid w:val="004915AC"/>
    <w:rsid w:val="004919F6"/>
    <w:rsid w:val="00491C1A"/>
    <w:rsid w:val="00491DC8"/>
    <w:rsid w:val="00492644"/>
    <w:rsid w:val="004926B5"/>
    <w:rsid w:val="00492D3A"/>
    <w:rsid w:val="00492F00"/>
    <w:rsid w:val="004934B4"/>
    <w:rsid w:val="004937A6"/>
    <w:rsid w:val="00493CD0"/>
    <w:rsid w:val="004946E0"/>
    <w:rsid w:val="00494E15"/>
    <w:rsid w:val="0049519B"/>
    <w:rsid w:val="004953CF"/>
    <w:rsid w:val="00495722"/>
    <w:rsid w:val="00495794"/>
    <w:rsid w:val="00495B0A"/>
    <w:rsid w:val="004964DF"/>
    <w:rsid w:val="00496620"/>
    <w:rsid w:val="00496971"/>
    <w:rsid w:val="00496E08"/>
    <w:rsid w:val="00497D3D"/>
    <w:rsid w:val="004A0314"/>
    <w:rsid w:val="004A04B0"/>
    <w:rsid w:val="004A0CB1"/>
    <w:rsid w:val="004A0D96"/>
    <w:rsid w:val="004A1029"/>
    <w:rsid w:val="004A1789"/>
    <w:rsid w:val="004A1949"/>
    <w:rsid w:val="004A1DA2"/>
    <w:rsid w:val="004A23CD"/>
    <w:rsid w:val="004A23D5"/>
    <w:rsid w:val="004A2536"/>
    <w:rsid w:val="004A274B"/>
    <w:rsid w:val="004A369F"/>
    <w:rsid w:val="004A3994"/>
    <w:rsid w:val="004A3FE9"/>
    <w:rsid w:val="004A4551"/>
    <w:rsid w:val="004A45AD"/>
    <w:rsid w:val="004A45E7"/>
    <w:rsid w:val="004A46B7"/>
    <w:rsid w:val="004A47C0"/>
    <w:rsid w:val="004A4AA0"/>
    <w:rsid w:val="004A4ACC"/>
    <w:rsid w:val="004A4ED6"/>
    <w:rsid w:val="004A5278"/>
    <w:rsid w:val="004A532B"/>
    <w:rsid w:val="004A546D"/>
    <w:rsid w:val="004A5588"/>
    <w:rsid w:val="004A5D3C"/>
    <w:rsid w:val="004A5E71"/>
    <w:rsid w:val="004A5FDB"/>
    <w:rsid w:val="004A6A04"/>
    <w:rsid w:val="004A6D18"/>
    <w:rsid w:val="004A6D9D"/>
    <w:rsid w:val="004A6FB2"/>
    <w:rsid w:val="004A74C2"/>
    <w:rsid w:val="004A7598"/>
    <w:rsid w:val="004A75A3"/>
    <w:rsid w:val="004A7910"/>
    <w:rsid w:val="004A7920"/>
    <w:rsid w:val="004A7B5D"/>
    <w:rsid w:val="004A7D55"/>
    <w:rsid w:val="004B004E"/>
    <w:rsid w:val="004B04A4"/>
    <w:rsid w:val="004B0735"/>
    <w:rsid w:val="004B080D"/>
    <w:rsid w:val="004B087A"/>
    <w:rsid w:val="004B09D5"/>
    <w:rsid w:val="004B14C3"/>
    <w:rsid w:val="004B14E0"/>
    <w:rsid w:val="004B17F8"/>
    <w:rsid w:val="004B20D0"/>
    <w:rsid w:val="004B2611"/>
    <w:rsid w:val="004B274D"/>
    <w:rsid w:val="004B2D35"/>
    <w:rsid w:val="004B32ED"/>
    <w:rsid w:val="004B3401"/>
    <w:rsid w:val="004B345B"/>
    <w:rsid w:val="004B39CC"/>
    <w:rsid w:val="004B3B71"/>
    <w:rsid w:val="004B3C1C"/>
    <w:rsid w:val="004B3D1B"/>
    <w:rsid w:val="004B3E7E"/>
    <w:rsid w:val="004B4036"/>
    <w:rsid w:val="004B4254"/>
    <w:rsid w:val="004B4575"/>
    <w:rsid w:val="004B464A"/>
    <w:rsid w:val="004B4B19"/>
    <w:rsid w:val="004B4DB7"/>
    <w:rsid w:val="004B4F32"/>
    <w:rsid w:val="004B514B"/>
    <w:rsid w:val="004B52D2"/>
    <w:rsid w:val="004B5465"/>
    <w:rsid w:val="004B54CA"/>
    <w:rsid w:val="004B5D0A"/>
    <w:rsid w:val="004B63AF"/>
    <w:rsid w:val="004B6AE3"/>
    <w:rsid w:val="004B79FD"/>
    <w:rsid w:val="004B7A9F"/>
    <w:rsid w:val="004C00B5"/>
    <w:rsid w:val="004C06B8"/>
    <w:rsid w:val="004C0A40"/>
    <w:rsid w:val="004C0B77"/>
    <w:rsid w:val="004C126E"/>
    <w:rsid w:val="004C1387"/>
    <w:rsid w:val="004C13CA"/>
    <w:rsid w:val="004C1C11"/>
    <w:rsid w:val="004C1E35"/>
    <w:rsid w:val="004C1F2E"/>
    <w:rsid w:val="004C1F55"/>
    <w:rsid w:val="004C2201"/>
    <w:rsid w:val="004C2782"/>
    <w:rsid w:val="004C2F2B"/>
    <w:rsid w:val="004C326D"/>
    <w:rsid w:val="004C35BE"/>
    <w:rsid w:val="004C3BC0"/>
    <w:rsid w:val="004C40B5"/>
    <w:rsid w:val="004C4231"/>
    <w:rsid w:val="004C48A4"/>
    <w:rsid w:val="004C4B40"/>
    <w:rsid w:val="004C4E12"/>
    <w:rsid w:val="004C4FAD"/>
    <w:rsid w:val="004C553E"/>
    <w:rsid w:val="004C5A63"/>
    <w:rsid w:val="004C5C5C"/>
    <w:rsid w:val="004C609D"/>
    <w:rsid w:val="004C6D9C"/>
    <w:rsid w:val="004C7308"/>
    <w:rsid w:val="004C7420"/>
    <w:rsid w:val="004C752D"/>
    <w:rsid w:val="004C76AE"/>
    <w:rsid w:val="004C7908"/>
    <w:rsid w:val="004C7949"/>
    <w:rsid w:val="004C7A97"/>
    <w:rsid w:val="004C7CAF"/>
    <w:rsid w:val="004D07E8"/>
    <w:rsid w:val="004D0AED"/>
    <w:rsid w:val="004D0BEE"/>
    <w:rsid w:val="004D0CE2"/>
    <w:rsid w:val="004D1267"/>
    <w:rsid w:val="004D17FA"/>
    <w:rsid w:val="004D1B2E"/>
    <w:rsid w:val="004D1EEB"/>
    <w:rsid w:val="004D1F7A"/>
    <w:rsid w:val="004D252E"/>
    <w:rsid w:val="004D27D9"/>
    <w:rsid w:val="004D2801"/>
    <w:rsid w:val="004D2969"/>
    <w:rsid w:val="004D2F34"/>
    <w:rsid w:val="004D3B0F"/>
    <w:rsid w:val="004D3BBA"/>
    <w:rsid w:val="004D4129"/>
    <w:rsid w:val="004D4CBC"/>
    <w:rsid w:val="004D4DD1"/>
    <w:rsid w:val="004D4F22"/>
    <w:rsid w:val="004D5023"/>
    <w:rsid w:val="004D50C8"/>
    <w:rsid w:val="004D5319"/>
    <w:rsid w:val="004D5416"/>
    <w:rsid w:val="004D5C2C"/>
    <w:rsid w:val="004D5C83"/>
    <w:rsid w:val="004D5DFC"/>
    <w:rsid w:val="004D67C7"/>
    <w:rsid w:val="004D6990"/>
    <w:rsid w:val="004D6A01"/>
    <w:rsid w:val="004D7206"/>
    <w:rsid w:val="004D7303"/>
    <w:rsid w:val="004D74B0"/>
    <w:rsid w:val="004D78C8"/>
    <w:rsid w:val="004D7906"/>
    <w:rsid w:val="004D7FB0"/>
    <w:rsid w:val="004E070D"/>
    <w:rsid w:val="004E071B"/>
    <w:rsid w:val="004E0822"/>
    <w:rsid w:val="004E0879"/>
    <w:rsid w:val="004E1091"/>
    <w:rsid w:val="004E11C5"/>
    <w:rsid w:val="004E1425"/>
    <w:rsid w:val="004E152B"/>
    <w:rsid w:val="004E1749"/>
    <w:rsid w:val="004E18C2"/>
    <w:rsid w:val="004E1D21"/>
    <w:rsid w:val="004E1FEA"/>
    <w:rsid w:val="004E2B72"/>
    <w:rsid w:val="004E2E9A"/>
    <w:rsid w:val="004E2EFE"/>
    <w:rsid w:val="004E2F1C"/>
    <w:rsid w:val="004E350A"/>
    <w:rsid w:val="004E3580"/>
    <w:rsid w:val="004E365A"/>
    <w:rsid w:val="004E3F73"/>
    <w:rsid w:val="004E4353"/>
    <w:rsid w:val="004E44CE"/>
    <w:rsid w:val="004E450A"/>
    <w:rsid w:val="004E5493"/>
    <w:rsid w:val="004E593C"/>
    <w:rsid w:val="004E5942"/>
    <w:rsid w:val="004E59C6"/>
    <w:rsid w:val="004E5AAB"/>
    <w:rsid w:val="004E5C7D"/>
    <w:rsid w:val="004E5E38"/>
    <w:rsid w:val="004E5F00"/>
    <w:rsid w:val="004E6015"/>
    <w:rsid w:val="004E647C"/>
    <w:rsid w:val="004E649E"/>
    <w:rsid w:val="004E677F"/>
    <w:rsid w:val="004E6890"/>
    <w:rsid w:val="004E6893"/>
    <w:rsid w:val="004E68E7"/>
    <w:rsid w:val="004E6A10"/>
    <w:rsid w:val="004E6F83"/>
    <w:rsid w:val="004E70A0"/>
    <w:rsid w:val="004E719A"/>
    <w:rsid w:val="004E739F"/>
    <w:rsid w:val="004E74A0"/>
    <w:rsid w:val="004E74C5"/>
    <w:rsid w:val="004E75D2"/>
    <w:rsid w:val="004E772F"/>
    <w:rsid w:val="004E7B54"/>
    <w:rsid w:val="004F0163"/>
    <w:rsid w:val="004F01A0"/>
    <w:rsid w:val="004F057C"/>
    <w:rsid w:val="004F0936"/>
    <w:rsid w:val="004F0EF9"/>
    <w:rsid w:val="004F0F93"/>
    <w:rsid w:val="004F1253"/>
    <w:rsid w:val="004F12E7"/>
    <w:rsid w:val="004F16DB"/>
    <w:rsid w:val="004F1918"/>
    <w:rsid w:val="004F1A6A"/>
    <w:rsid w:val="004F2049"/>
    <w:rsid w:val="004F226B"/>
    <w:rsid w:val="004F245B"/>
    <w:rsid w:val="004F2484"/>
    <w:rsid w:val="004F267E"/>
    <w:rsid w:val="004F2716"/>
    <w:rsid w:val="004F2907"/>
    <w:rsid w:val="004F2A94"/>
    <w:rsid w:val="004F2D12"/>
    <w:rsid w:val="004F31BA"/>
    <w:rsid w:val="004F3431"/>
    <w:rsid w:val="004F343A"/>
    <w:rsid w:val="004F3836"/>
    <w:rsid w:val="004F39DB"/>
    <w:rsid w:val="004F3A7B"/>
    <w:rsid w:val="004F3E94"/>
    <w:rsid w:val="004F3F4B"/>
    <w:rsid w:val="004F4021"/>
    <w:rsid w:val="004F4706"/>
    <w:rsid w:val="004F4848"/>
    <w:rsid w:val="004F491F"/>
    <w:rsid w:val="004F4A2D"/>
    <w:rsid w:val="004F4BBC"/>
    <w:rsid w:val="004F51FF"/>
    <w:rsid w:val="004F53CE"/>
    <w:rsid w:val="004F5DE7"/>
    <w:rsid w:val="004F5EE3"/>
    <w:rsid w:val="004F5F52"/>
    <w:rsid w:val="004F635F"/>
    <w:rsid w:val="004F6929"/>
    <w:rsid w:val="004F6A72"/>
    <w:rsid w:val="004F6CDB"/>
    <w:rsid w:val="004F733E"/>
    <w:rsid w:val="004F73C7"/>
    <w:rsid w:val="004F73DF"/>
    <w:rsid w:val="004F7558"/>
    <w:rsid w:val="004F77BF"/>
    <w:rsid w:val="004F79DD"/>
    <w:rsid w:val="004F7D7A"/>
    <w:rsid w:val="005002AE"/>
    <w:rsid w:val="0050035A"/>
    <w:rsid w:val="005003E1"/>
    <w:rsid w:val="00500A3F"/>
    <w:rsid w:val="00500D9D"/>
    <w:rsid w:val="00500E42"/>
    <w:rsid w:val="00500F9B"/>
    <w:rsid w:val="0050143D"/>
    <w:rsid w:val="00501A84"/>
    <w:rsid w:val="00501B6D"/>
    <w:rsid w:val="00501E21"/>
    <w:rsid w:val="00502126"/>
    <w:rsid w:val="00502187"/>
    <w:rsid w:val="00502397"/>
    <w:rsid w:val="005024FD"/>
    <w:rsid w:val="00502774"/>
    <w:rsid w:val="0050314A"/>
    <w:rsid w:val="005035B4"/>
    <w:rsid w:val="005038D0"/>
    <w:rsid w:val="00503A7B"/>
    <w:rsid w:val="00503B15"/>
    <w:rsid w:val="00503E12"/>
    <w:rsid w:val="00503EA2"/>
    <w:rsid w:val="00504042"/>
    <w:rsid w:val="00504311"/>
    <w:rsid w:val="00504331"/>
    <w:rsid w:val="00504347"/>
    <w:rsid w:val="00505099"/>
    <w:rsid w:val="0050522E"/>
    <w:rsid w:val="00505CED"/>
    <w:rsid w:val="00505EFF"/>
    <w:rsid w:val="00505F33"/>
    <w:rsid w:val="0050654D"/>
    <w:rsid w:val="005067A5"/>
    <w:rsid w:val="0050687C"/>
    <w:rsid w:val="005068FC"/>
    <w:rsid w:val="005069DD"/>
    <w:rsid w:val="005079D9"/>
    <w:rsid w:val="00507B1B"/>
    <w:rsid w:val="00507C08"/>
    <w:rsid w:val="00507CEE"/>
    <w:rsid w:val="00507E9A"/>
    <w:rsid w:val="005101FB"/>
    <w:rsid w:val="005104D4"/>
    <w:rsid w:val="005109F8"/>
    <w:rsid w:val="00510B84"/>
    <w:rsid w:val="00511088"/>
    <w:rsid w:val="005112C2"/>
    <w:rsid w:val="00511352"/>
    <w:rsid w:val="00511D09"/>
    <w:rsid w:val="00511DDD"/>
    <w:rsid w:val="00512117"/>
    <w:rsid w:val="005125A1"/>
    <w:rsid w:val="0051267F"/>
    <w:rsid w:val="00512978"/>
    <w:rsid w:val="00512BF7"/>
    <w:rsid w:val="00512C15"/>
    <w:rsid w:val="00513192"/>
    <w:rsid w:val="0051346D"/>
    <w:rsid w:val="005139FA"/>
    <w:rsid w:val="00513AE6"/>
    <w:rsid w:val="005146AB"/>
    <w:rsid w:val="00514A1F"/>
    <w:rsid w:val="00514F7D"/>
    <w:rsid w:val="0051555E"/>
    <w:rsid w:val="005155BE"/>
    <w:rsid w:val="00515C66"/>
    <w:rsid w:val="00515C8C"/>
    <w:rsid w:val="00515DF3"/>
    <w:rsid w:val="005160ED"/>
    <w:rsid w:val="0051628F"/>
    <w:rsid w:val="00516420"/>
    <w:rsid w:val="005168A3"/>
    <w:rsid w:val="00516B0E"/>
    <w:rsid w:val="00516EB3"/>
    <w:rsid w:val="0051709A"/>
    <w:rsid w:val="00517B21"/>
    <w:rsid w:val="00517F84"/>
    <w:rsid w:val="0052011B"/>
    <w:rsid w:val="005207B0"/>
    <w:rsid w:val="005207E1"/>
    <w:rsid w:val="00520926"/>
    <w:rsid w:val="00520C56"/>
    <w:rsid w:val="00520D0C"/>
    <w:rsid w:val="0052121C"/>
    <w:rsid w:val="00521434"/>
    <w:rsid w:val="0052176D"/>
    <w:rsid w:val="00521AC9"/>
    <w:rsid w:val="005223DB"/>
    <w:rsid w:val="0052260B"/>
    <w:rsid w:val="005228A2"/>
    <w:rsid w:val="00523097"/>
    <w:rsid w:val="005232C1"/>
    <w:rsid w:val="00523374"/>
    <w:rsid w:val="005235DD"/>
    <w:rsid w:val="00523C04"/>
    <w:rsid w:val="00523E01"/>
    <w:rsid w:val="00523E5E"/>
    <w:rsid w:val="00523EE3"/>
    <w:rsid w:val="00524214"/>
    <w:rsid w:val="00524A42"/>
    <w:rsid w:val="00525097"/>
    <w:rsid w:val="005254F9"/>
    <w:rsid w:val="005256AC"/>
    <w:rsid w:val="0052575A"/>
    <w:rsid w:val="00525B92"/>
    <w:rsid w:val="00525E38"/>
    <w:rsid w:val="00526790"/>
    <w:rsid w:val="00526AC1"/>
    <w:rsid w:val="00526AF0"/>
    <w:rsid w:val="00526C2D"/>
    <w:rsid w:val="00526E51"/>
    <w:rsid w:val="00526F13"/>
    <w:rsid w:val="00527F6E"/>
    <w:rsid w:val="005304B2"/>
    <w:rsid w:val="00530582"/>
    <w:rsid w:val="005305C8"/>
    <w:rsid w:val="0053082C"/>
    <w:rsid w:val="00530A37"/>
    <w:rsid w:val="00530CA6"/>
    <w:rsid w:val="00530DB6"/>
    <w:rsid w:val="0053127E"/>
    <w:rsid w:val="0053174B"/>
    <w:rsid w:val="00531752"/>
    <w:rsid w:val="00531AF9"/>
    <w:rsid w:val="00531C07"/>
    <w:rsid w:val="00531DFC"/>
    <w:rsid w:val="00532023"/>
    <w:rsid w:val="00532527"/>
    <w:rsid w:val="00532539"/>
    <w:rsid w:val="0053263B"/>
    <w:rsid w:val="0053282A"/>
    <w:rsid w:val="005329B1"/>
    <w:rsid w:val="00532F2E"/>
    <w:rsid w:val="00532FF8"/>
    <w:rsid w:val="00533AA0"/>
    <w:rsid w:val="005345B6"/>
    <w:rsid w:val="005345BF"/>
    <w:rsid w:val="0053460B"/>
    <w:rsid w:val="00534716"/>
    <w:rsid w:val="00534765"/>
    <w:rsid w:val="00534E8F"/>
    <w:rsid w:val="005359BE"/>
    <w:rsid w:val="00536088"/>
    <w:rsid w:val="00536851"/>
    <w:rsid w:val="00536E35"/>
    <w:rsid w:val="00536FB8"/>
    <w:rsid w:val="005375EF"/>
    <w:rsid w:val="00537609"/>
    <w:rsid w:val="005400C4"/>
    <w:rsid w:val="0054048B"/>
    <w:rsid w:val="00540541"/>
    <w:rsid w:val="00540710"/>
    <w:rsid w:val="00540872"/>
    <w:rsid w:val="005408AE"/>
    <w:rsid w:val="00540B49"/>
    <w:rsid w:val="00540C2D"/>
    <w:rsid w:val="0054113C"/>
    <w:rsid w:val="00541509"/>
    <w:rsid w:val="005416B1"/>
    <w:rsid w:val="005417F9"/>
    <w:rsid w:val="005418F7"/>
    <w:rsid w:val="00542704"/>
    <w:rsid w:val="005429E4"/>
    <w:rsid w:val="00542D98"/>
    <w:rsid w:val="00542F46"/>
    <w:rsid w:val="00543140"/>
    <w:rsid w:val="005435E4"/>
    <w:rsid w:val="005438B0"/>
    <w:rsid w:val="005439AC"/>
    <w:rsid w:val="00543C2D"/>
    <w:rsid w:val="0054470F"/>
    <w:rsid w:val="00544910"/>
    <w:rsid w:val="00544C35"/>
    <w:rsid w:val="0054575E"/>
    <w:rsid w:val="00545768"/>
    <w:rsid w:val="00545849"/>
    <w:rsid w:val="00545ADA"/>
    <w:rsid w:val="00545E0D"/>
    <w:rsid w:val="00545E7B"/>
    <w:rsid w:val="00546193"/>
    <w:rsid w:val="005469C0"/>
    <w:rsid w:val="00546B9C"/>
    <w:rsid w:val="00546C75"/>
    <w:rsid w:val="00546D5D"/>
    <w:rsid w:val="00547016"/>
    <w:rsid w:val="005473BD"/>
    <w:rsid w:val="005474BA"/>
    <w:rsid w:val="005474F5"/>
    <w:rsid w:val="005476E2"/>
    <w:rsid w:val="005478FB"/>
    <w:rsid w:val="005502C5"/>
    <w:rsid w:val="005505B5"/>
    <w:rsid w:val="005505FF"/>
    <w:rsid w:val="005509C9"/>
    <w:rsid w:val="00550AC1"/>
    <w:rsid w:val="00550EDF"/>
    <w:rsid w:val="005510C5"/>
    <w:rsid w:val="005511C2"/>
    <w:rsid w:val="00551246"/>
    <w:rsid w:val="005512D9"/>
    <w:rsid w:val="00551879"/>
    <w:rsid w:val="00551BFF"/>
    <w:rsid w:val="00551E1B"/>
    <w:rsid w:val="00551FD2"/>
    <w:rsid w:val="005529A0"/>
    <w:rsid w:val="00552D6F"/>
    <w:rsid w:val="00552D7C"/>
    <w:rsid w:val="00552E25"/>
    <w:rsid w:val="00552FD1"/>
    <w:rsid w:val="0055302D"/>
    <w:rsid w:val="00553099"/>
    <w:rsid w:val="00553158"/>
    <w:rsid w:val="00553243"/>
    <w:rsid w:val="00553302"/>
    <w:rsid w:val="00553841"/>
    <w:rsid w:val="00553970"/>
    <w:rsid w:val="00554204"/>
    <w:rsid w:val="00554516"/>
    <w:rsid w:val="005548F5"/>
    <w:rsid w:val="0055499B"/>
    <w:rsid w:val="005549F5"/>
    <w:rsid w:val="00554D05"/>
    <w:rsid w:val="00554DC7"/>
    <w:rsid w:val="0055527D"/>
    <w:rsid w:val="00555425"/>
    <w:rsid w:val="005558E3"/>
    <w:rsid w:val="00555C0F"/>
    <w:rsid w:val="00555D81"/>
    <w:rsid w:val="00556C79"/>
    <w:rsid w:val="00556C91"/>
    <w:rsid w:val="00556DBE"/>
    <w:rsid w:val="0055734B"/>
    <w:rsid w:val="00557401"/>
    <w:rsid w:val="00557444"/>
    <w:rsid w:val="005575AF"/>
    <w:rsid w:val="00557800"/>
    <w:rsid w:val="00557A4E"/>
    <w:rsid w:val="00557FF8"/>
    <w:rsid w:val="0056027B"/>
    <w:rsid w:val="00560822"/>
    <w:rsid w:val="005608DB"/>
    <w:rsid w:val="00560C67"/>
    <w:rsid w:val="00560E79"/>
    <w:rsid w:val="005610CD"/>
    <w:rsid w:val="0056114A"/>
    <w:rsid w:val="00561312"/>
    <w:rsid w:val="00561656"/>
    <w:rsid w:val="00561B01"/>
    <w:rsid w:val="00561B69"/>
    <w:rsid w:val="00561C01"/>
    <w:rsid w:val="00561DC9"/>
    <w:rsid w:val="00562236"/>
    <w:rsid w:val="005628AF"/>
    <w:rsid w:val="00562D36"/>
    <w:rsid w:val="00562F84"/>
    <w:rsid w:val="00562FAE"/>
    <w:rsid w:val="005632F8"/>
    <w:rsid w:val="00563318"/>
    <w:rsid w:val="005637FF"/>
    <w:rsid w:val="005644F5"/>
    <w:rsid w:val="00564D5B"/>
    <w:rsid w:val="0056510B"/>
    <w:rsid w:val="00565247"/>
    <w:rsid w:val="0056531B"/>
    <w:rsid w:val="00565648"/>
    <w:rsid w:val="00565BB3"/>
    <w:rsid w:val="00565EED"/>
    <w:rsid w:val="00565F9F"/>
    <w:rsid w:val="0056602A"/>
    <w:rsid w:val="005661CF"/>
    <w:rsid w:val="00566290"/>
    <w:rsid w:val="005663EB"/>
    <w:rsid w:val="00566809"/>
    <w:rsid w:val="00566B67"/>
    <w:rsid w:val="00566CC4"/>
    <w:rsid w:val="00566EDC"/>
    <w:rsid w:val="00567566"/>
    <w:rsid w:val="00567979"/>
    <w:rsid w:val="005679C0"/>
    <w:rsid w:val="00567FF5"/>
    <w:rsid w:val="005700D1"/>
    <w:rsid w:val="00570347"/>
    <w:rsid w:val="0057083D"/>
    <w:rsid w:val="00570B73"/>
    <w:rsid w:val="00570B86"/>
    <w:rsid w:val="00570EBF"/>
    <w:rsid w:val="005713CA"/>
    <w:rsid w:val="0057155C"/>
    <w:rsid w:val="0057163C"/>
    <w:rsid w:val="005716FA"/>
    <w:rsid w:val="00571813"/>
    <w:rsid w:val="00571934"/>
    <w:rsid w:val="00572646"/>
    <w:rsid w:val="00572CA6"/>
    <w:rsid w:val="00573159"/>
    <w:rsid w:val="005731D8"/>
    <w:rsid w:val="005731E4"/>
    <w:rsid w:val="005731EC"/>
    <w:rsid w:val="00573423"/>
    <w:rsid w:val="005737A9"/>
    <w:rsid w:val="00573AE8"/>
    <w:rsid w:val="005741C4"/>
    <w:rsid w:val="00574E3E"/>
    <w:rsid w:val="0057539D"/>
    <w:rsid w:val="00576FC9"/>
    <w:rsid w:val="0057731E"/>
    <w:rsid w:val="0057743A"/>
    <w:rsid w:val="005776AE"/>
    <w:rsid w:val="00580353"/>
    <w:rsid w:val="00580CC1"/>
    <w:rsid w:val="00580D0F"/>
    <w:rsid w:val="00580DCC"/>
    <w:rsid w:val="00580DE3"/>
    <w:rsid w:val="00580F24"/>
    <w:rsid w:val="005810AB"/>
    <w:rsid w:val="0058142A"/>
    <w:rsid w:val="005819B1"/>
    <w:rsid w:val="00581A6E"/>
    <w:rsid w:val="00581B98"/>
    <w:rsid w:val="00582080"/>
    <w:rsid w:val="005820F4"/>
    <w:rsid w:val="00582520"/>
    <w:rsid w:val="00582901"/>
    <w:rsid w:val="00582CB1"/>
    <w:rsid w:val="0058338C"/>
    <w:rsid w:val="005833B3"/>
    <w:rsid w:val="005834C4"/>
    <w:rsid w:val="005836B1"/>
    <w:rsid w:val="005838FC"/>
    <w:rsid w:val="00583A38"/>
    <w:rsid w:val="00583A90"/>
    <w:rsid w:val="00584349"/>
    <w:rsid w:val="0058486D"/>
    <w:rsid w:val="00584B74"/>
    <w:rsid w:val="00584CD6"/>
    <w:rsid w:val="00584DEC"/>
    <w:rsid w:val="00584E7A"/>
    <w:rsid w:val="00585343"/>
    <w:rsid w:val="00585367"/>
    <w:rsid w:val="00585727"/>
    <w:rsid w:val="00585DD9"/>
    <w:rsid w:val="00585E7A"/>
    <w:rsid w:val="005864C0"/>
    <w:rsid w:val="00586582"/>
    <w:rsid w:val="005872C0"/>
    <w:rsid w:val="00587323"/>
    <w:rsid w:val="0058749A"/>
    <w:rsid w:val="0058767D"/>
    <w:rsid w:val="0058776A"/>
    <w:rsid w:val="00587915"/>
    <w:rsid w:val="00587ADC"/>
    <w:rsid w:val="00587D54"/>
    <w:rsid w:val="00587EEA"/>
    <w:rsid w:val="00590011"/>
    <w:rsid w:val="00590039"/>
    <w:rsid w:val="005900BA"/>
    <w:rsid w:val="00590D00"/>
    <w:rsid w:val="0059105F"/>
    <w:rsid w:val="0059166B"/>
    <w:rsid w:val="0059166D"/>
    <w:rsid w:val="00591A25"/>
    <w:rsid w:val="00591BC2"/>
    <w:rsid w:val="00591E9F"/>
    <w:rsid w:val="0059230B"/>
    <w:rsid w:val="005923B5"/>
    <w:rsid w:val="00592420"/>
    <w:rsid w:val="0059273C"/>
    <w:rsid w:val="0059299F"/>
    <w:rsid w:val="005929D0"/>
    <w:rsid w:val="005929D5"/>
    <w:rsid w:val="00593092"/>
    <w:rsid w:val="00593221"/>
    <w:rsid w:val="00593752"/>
    <w:rsid w:val="00593787"/>
    <w:rsid w:val="005939C1"/>
    <w:rsid w:val="00593B3A"/>
    <w:rsid w:val="00594E23"/>
    <w:rsid w:val="00595398"/>
    <w:rsid w:val="00595B58"/>
    <w:rsid w:val="00595E6D"/>
    <w:rsid w:val="005960E0"/>
    <w:rsid w:val="00596103"/>
    <w:rsid w:val="005962A4"/>
    <w:rsid w:val="00596659"/>
    <w:rsid w:val="00596A9F"/>
    <w:rsid w:val="00596ACF"/>
    <w:rsid w:val="00596CA2"/>
    <w:rsid w:val="00596CD1"/>
    <w:rsid w:val="00596D55"/>
    <w:rsid w:val="005972BA"/>
    <w:rsid w:val="0059753C"/>
    <w:rsid w:val="0059767F"/>
    <w:rsid w:val="00597715"/>
    <w:rsid w:val="00597B93"/>
    <w:rsid w:val="00597D2D"/>
    <w:rsid w:val="005A0329"/>
    <w:rsid w:val="005A057A"/>
    <w:rsid w:val="005A0673"/>
    <w:rsid w:val="005A0A23"/>
    <w:rsid w:val="005A0B9B"/>
    <w:rsid w:val="005A16DB"/>
    <w:rsid w:val="005A17A4"/>
    <w:rsid w:val="005A210E"/>
    <w:rsid w:val="005A2167"/>
    <w:rsid w:val="005A234D"/>
    <w:rsid w:val="005A288E"/>
    <w:rsid w:val="005A2BD2"/>
    <w:rsid w:val="005A30BC"/>
    <w:rsid w:val="005A32E2"/>
    <w:rsid w:val="005A33EE"/>
    <w:rsid w:val="005A3749"/>
    <w:rsid w:val="005A376D"/>
    <w:rsid w:val="005A4079"/>
    <w:rsid w:val="005A4097"/>
    <w:rsid w:val="005A42C2"/>
    <w:rsid w:val="005A4F45"/>
    <w:rsid w:val="005A5096"/>
    <w:rsid w:val="005A5214"/>
    <w:rsid w:val="005A537C"/>
    <w:rsid w:val="005A53E0"/>
    <w:rsid w:val="005A5B3E"/>
    <w:rsid w:val="005A5E12"/>
    <w:rsid w:val="005A5EF3"/>
    <w:rsid w:val="005A604E"/>
    <w:rsid w:val="005A608E"/>
    <w:rsid w:val="005A6180"/>
    <w:rsid w:val="005A61DD"/>
    <w:rsid w:val="005A6265"/>
    <w:rsid w:val="005A62F8"/>
    <w:rsid w:val="005A63A5"/>
    <w:rsid w:val="005A65F7"/>
    <w:rsid w:val="005A68A1"/>
    <w:rsid w:val="005A7A64"/>
    <w:rsid w:val="005A7D0D"/>
    <w:rsid w:val="005A7F19"/>
    <w:rsid w:val="005B01BD"/>
    <w:rsid w:val="005B022C"/>
    <w:rsid w:val="005B08DC"/>
    <w:rsid w:val="005B091F"/>
    <w:rsid w:val="005B0A38"/>
    <w:rsid w:val="005B0CE1"/>
    <w:rsid w:val="005B1571"/>
    <w:rsid w:val="005B17FD"/>
    <w:rsid w:val="005B1880"/>
    <w:rsid w:val="005B1890"/>
    <w:rsid w:val="005B1AC5"/>
    <w:rsid w:val="005B1BBE"/>
    <w:rsid w:val="005B1EA2"/>
    <w:rsid w:val="005B1EE4"/>
    <w:rsid w:val="005B2149"/>
    <w:rsid w:val="005B21AF"/>
    <w:rsid w:val="005B2A35"/>
    <w:rsid w:val="005B2EAA"/>
    <w:rsid w:val="005B2F15"/>
    <w:rsid w:val="005B30AF"/>
    <w:rsid w:val="005B3219"/>
    <w:rsid w:val="005B3425"/>
    <w:rsid w:val="005B3B4C"/>
    <w:rsid w:val="005B3CCC"/>
    <w:rsid w:val="005B3D82"/>
    <w:rsid w:val="005B3DA9"/>
    <w:rsid w:val="005B4438"/>
    <w:rsid w:val="005B466D"/>
    <w:rsid w:val="005B486F"/>
    <w:rsid w:val="005B49CA"/>
    <w:rsid w:val="005B4B4C"/>
    <w:rsid w:val="005B4DA7"/>
    <w:rsid w:val="005B5027"/>
    <w:rsid w:val="005B5123"/>
    <w:rsid w:val="005B5287"/>
    <w:rsid w:val="005B56D2"/>
    <w:rsid w:val="005B61D8"/>
    <w:rsid w:val="005B6853"/>
    <w:rsid w:val="005B6AE0"/>
    <w:rsid w:val="005B6BA0"/>
    <w:rsid w:val="005B6C22"/>
    <w:rsid w:val="005B6ED4"/>
    <w:rsid w:val="005B72F6"/>
    <w:rsid w:val="005B7882"/>
    <w:rsid w:val="005B7A88"/>
    <w:rsid w:val="005C068C"/>
    <w:rsid w:val="005C0DAA"/>
    <w:rsid w:val="005C10EF"/>
    <w:rsid w:val="005C190F"/>
    <w:rsid w:val="005C2089"/>
    <w:rsid w:val="005C2908"/>
    <w:rsid w:val="005C2AA4"/>
    <w:rsid w:val="005C2ADF"/>
    <w:rsid w:val="005C2BFE"/>
    <w:rsid w:val="005C2D09"/>
    <w:rsid w:val="005C3250"/>
    <w:rsid w:val="005C3BB2"/>
    <w:rsid w:val="005C3BEE"/>
    <w:rsid w:val="005C3D4F"/>
    <w:rsid w:val="005C44DE"/>
    <w:rsid w:val="005C4D2B"/>
    <w:rsid w:val="005C4FC6"/>
    <w:rsid w:val="005C51F6"/>
    <w:rsid w:val="005C5362"/>
    <w:rsid w:val="005C5644"/>
    <w:rsid w:val="005C5989"/>
    <w:rsid w:val="005C5E12"/>
    <w:rsid w:val="005C5E9B"/>
    <w:rsid w:val="005C6025"/>
    <w:rsid w:val="005C68FF"/>
    <w:rsid w:val="005C70EE"/>
    <w:rsid w:val="005C72AD"/>
    <w:rsid w:val="005C75B8"/>
    <w:rsid w:val="005C7654"/>
    <w:rsid w:val="005C77DF"/>
    <w:rsid w:val="005C7A02"/>
    <w:rsid w:val="005C7A82"/>
    <w:rsid w:val="005C7A86"/>
    <w:rsid w:val="005D00C8"/>
    <w:rsid w:val="005D050B"/>
    <w:rsid w:val="005D07BB"/>
    <w:rsid w:val="005D0A23"/>
    <w:rsid w:val="005D0A75"/>
    <w:rsid w:val="005D0D12"/>
    <w:rsid w:val="005D0F35"/>
    <w:rsid w:val="005D1083"/>
    <w:rsid w:val="005D139D"/>
    <w:rsid w:val="005D1686"/>
    <w:rsid w:val="005D1D3B"/>
    <w:rsid w:val="005D2049"/>
    <w:rsid w:val="005D2198"/>
    <w:rsid w:val="005D270F"/>
    <w:rsid w:val="005D2A27"/>
    <w:rsid w:val="005D2AC8"/>
    <w:rsid w:val="005D3552"/>
    <w:rsid w:val="005D395B"/>
    <w:rsid w:val="005D3D05"/>
    <w:rsid w:val="005D3F29"/>
    <w:rsid w:val="005D3F3B"/>
    <w:rsid w:val="005D428F"/>
    <w:rsid w:val="005D4445"/>
    <w:rsid w:val="005D4961"/>
    <w:rsid w:val="005D4EB8"/>
    <w:rsid w:val="005D5290"/>
    <w:rsid w:val="005D5C8F"/>
    <w:rsid w:val="005D612B"/>
    <w:rsid w:val="005D630C"/>
    <w:rsid w:val="005D633B"/>
    <w:rsid w:val="005D6700"/>
    <w:rsid w:val="005D6CC8"/>
    <w:rsid w:val="005D6CFE"/>
    <w:rsid w:val="005D7368"/>
    <w:rsid w:val="005D77E9"/>
    <w:rsid w:val="005D7955"/>
    <w:rsid w:val="005D7E35"/>
    <w:rsid w:val="005D7FEA"/>
    <w:rsid w:val="005E00CB"/>
    <w:rsid w:val="005E02E2"/>
    <w:rsid w:val="005E033D"/>
    <w:rsid w:val="005E055B"/>
    <w:rsid w:val="005E0727"/>
    <w:rsid w:val="005E09A0"/>
    <w:rsid w:val="005E0C37"/>
    <w:rsid w:val="005E0EF0"/>
    <w:rsid w:val="005E1241"/>
    <w:rsid w:val="005E146F"/>
    <w:rsid w:val="005E19C4"/>
    <w:rsid w:val="005E1A3C"/>
    <w:rsid w:val="005E1A92"/>
    <w:rsid w:val="005E1D19"/>
    <w:rsid w:val="005E2230"/>
    <w:rsid w:val="005E2909"/>
    <w:rsid w:val="005E2AA3"/>
    <w:rsid w:val="005E2C46"/>
    <w:rsid w:val="005E2D2A"/>
    <w:rsid w:val="005E2E83"/>
    <w:rsid w:val="005E2F85"/>
    <w:rsid w:val="005E3861"/>
    <w:rsid w:val="005E3B97"/>
    <w:rsid w:val="005E3F4E"/>
    <w:rsid w:val="005E41B9"/>
    <w:rsid w:val="005E41EC"/>
    <w:rsid w:val="005E4876"/>
    <w:rsid w:val="005E4957"/>
    <w:rsid w:val="005E4A88"/>
    <w:rsid w:val="005E4EFC"/>
    <w:rsid w:val="005E5048"/>
    <w:rsid w:val="005E5169"/>
    <w:rsid w:val="005E53E2"/>
    <w:rsid w:val="005E53E4"/>
    <w:rsid w:val="005E5459"/>
    <w:rsid w:val="005E5525"/>
    <w:rsid w:val="005E5B7D"/>
    <w:rsid w:val="005E5D93"/>
    <w:rsid w:val="005E60BE"/>
    <w:rsid w:val="005E6455"/>
    <w:rsid w:val="005E654B"/>
    <w:rsid w:val="005E68DC"/>
    <w:rsid w:val="005E6964"/>
    <w:rsid w:val="005E6A7A"/>
    <w:rsid w:val="005E6BAE"/>
    <w:rsid w:val="005E70CB"/>
    <w:rsid w:val="005E72E1"/>
    <w:rsid w:val="005E7594"/>
    <w:rsid w:val="005E76D2"/>
    <w:rsid w:val="005E7CCA"/>
    <w:rsid w:val="005F13B2"/>
    <w:rsid w:val="005F16D5"/>
    <w:rsid w:val="005F17E4"/>
    <w:rsid w:val="005F18FA"/>
    <w:rsid w:val="005F198F"/>
    <w:rsid w:val="005F1CF7"/>
    <w:rsid w:val="005F21C6"/>
    <w:rsid w:val="005F2732"/>
    <w:rsid w:val="005F28E1"/>
    <w:rsid w:val="005F2967"/>
    <w:rsid w:val="005F2EF4"/>
    <w:rsid w:val="005F2FFD"/>
    <w:rsid w:val="005F308E"/>
    <w:rsid w:val="005F30BF"/>
    <w:rsid w:val="005F39F4"/>
    <w:rsid w:val="005F40BC"/>
    <w:rsid w:val="005F43DE"/>
    <w:rsid w:val="005F442A"/>
    <w:rsid w:val="005F4531"/>
    <w:rsid w:val="005F4787"/>
    <w:rsid w:val="005F4A2D"/>
    <w:rsid w:val="005F5687"/>
    <w:rsid w:val="005F5831"/>
    <w:rsid w:val="005F5BE4"/>
    <w:rsid w:val="005F5DDA"/>
    <w:rsid w:val="005F5E79"/>
    <w:rsid w:val="005F64E4"/>
    <w:rsid w:val="005F6768"/>
    <w:rsid w:val="005F681B"/>
    <w:rsid w:val="005F69C4"/>
    <w:rsid w:val="005F6B5E"/>
    <w:rsid w:val="005F6F4C"/>
    <w:rsid w:val="005F71B6"/>
    <w:rsid w:val="005F785B"/>
    <w:rsid w:val="006007DC"/>
    <w:rsid w:val="00600AED"/>
    <w:rsid w:val="00600B21"/>
    <w:rsid w:val="00600BFD"/>
    <w:rsid w:val="00600C1C"/>
    <w:rsid w:val="00600E8A"/>
    <w:rsid w:val="006011BC"/>
    <w:rsid w:val="006016A0"/>
    <w:rsid w:val="006016CE"/>
    <w:rsid w:val="0060180B"/>
    <w:rsid w:val="006019D1"/>
    <w:rsid w:val="00601B57"/>
    <w:rsid w:val="00601BA6"/>
    <w:rsid w:val="00601C20"/>
    <w:rsid w:val="00601CE7"/>
    <w:rsid w:val="0060212A"/>
    <w:rsid w:val="00602297"/>
    <w:rsid w:val="00602966"/>
    <w:rsid w:val="00603279"/>
    <w:rsid w:val="00603594"/>
    <w:rsid w:val="006036FD"/>
    <w:rsid w:val="00603795"/>
    <w:rsid w:val="00603842"/>
    <w:rsid w:val="006038BF"/>
    <w:rsid w:val="006038DB"/>
    <w:rsid w:val="00603A01"/>
    <w:rsid w:val="00603A76"/>
    <w:rsid w:val="00603C52"/>
    <w:rsid w:val="00603C97"/>
    <w:rsid w:val="00603DD6"/>
    <w:rsid w:val="00603DDF"/>
    <w:rsid w:val="00603F05"/>
    <w:rsid w:val="00603F88"/>
    <w:rsid w:val="00604040"/>
    <w:rsid w:val="006040B8"/>
    <w:rsid w:val="0060430E"/>
    <w:rsid w:val="006044C9"/>
    <w:rsid w:val="0060456C"/>
    <w:rsid w:val="00604A7D"/>
    <w:rsid w:val="00604C21"/>
    <w:rsid w:val="00604EDD"/>
    <w:rsid w:val="00605118"/>
    <w:rsid w:val="00605A81"/>
    <w:rsid w:val="00605D35"/>
    <w:rsid w:val="00606292"/>
    <w:rsid w:val="006063B9"/>
    <w:rsid w:val="006063DB"/>
    <w:rsid w:val="0060673F"/>
    <w:rsid w:val="006070F8"/>
    <w:rsid w:val="00607114"/>
    <w:rsid w:val="00607188"/>
    <w:rsid w:val="00607202"/>
    <w:rsid w:val="0060727C"/>
    <w:rsid w:val="006074F8"/>
    <w:rsid w:val="00607B65"/>
    <w:rsid w:val="00607C0C"/>
    <w:rsid w:val="00607C4D"/>
    <w:rsid w:val="00610069"/>
    <w:rsid w:val="006101E2"/>
    <w:rsid w:val="006104F3"/>
    <w:rsid w:val="00610535"/>
    <w:rsid w:val="0061090A"/>
    <w:rsid w:val="00610FED"/>
    <w:rsid w:val="00610FF2"/>
    <w:rsid w:val="006110F3"/>
    <w:rsid w:val="006113FA"/>
    <w:rsid w:val="00611B88"/>
    <w:rsid w:val="00611BBE"/>
    <w:rsid w:val="00612115"/>
    <w:rsid w:val="00612257"/>
    <w:rsid w:val="0061231F"/>
    <w:rsid w:val="0061244D"/>
    <w:rsid w:val="0061290F"/>
    <w:rsid w:val="00612FC6"/>
    <w:rsid w:val="006143B3"/>
    <w:rsid w:val="006145EC"/>
    <w:rsid w:val="0061478C"/>
    <w:rsid w:val="00614822"/>
    <w:rsid w:val="00614A20"/>
    <w:rsid w:val="00614D9B"/>
    <w:rsid w:val="00614ED9"/>
    <w:rsid w:val="00615428"/>
    <w:rsid w:val="00615896"/>
    <w:rsid w:val="00615AB0"/>
    <w:rsid w:val="00615AC4"/>
    <w:rsid w:val="00615BC5"/>
    <w:rsid w:val="00615CE0"/>
    <w:rsid w:val="00615F54"/>
    <w:rsid w:val="00616F21"/>
    <w:rsid w:val="006170FE"/>
    <w:rsid w:val="006173E1"/>
    <w:rsid w:val="00620670"/>
    <w:rsid w:val="006207E3"/>
    <w:rsid w:val="00620A1B"/>
    <w:rsid w:val="00620C77"/>
    <w:rsid w:val="00620EE0"/>
    <w:rsid w:val="006214C4"/>
    <w:rsid w:val="00621560"/>
    <w:rsid w:val="006216CC"/>
    <w:rsid w:val="00621BB5"/>
    <w:rsid w:val="00621E90"/>
    <w:rsid w:val="00621EF5"/>
    <w:rsid w:val="00621FF7"/>
    <w:rsid w:val="006223FB"/>
    <w:rsid w:val="006224A3"/>
    <w:rsid w:val="006227A6"/>
    <w:rsid w:val="00622A73"/>
    <w:rsid w:val="006234C7"/>
    <w:rsid w:val="00623711"/>
    <w:rsid w:val="00623847"/>
    <w:rsid w:val="00623C30"/>
    <w:rsid w:val="0062475E"/>
    <w:rsid w:val="006248A9"/>
    <w:rsid w:val="00624931"/>
    <w:rsid w:val="00625A86"/>
    <w:rsid w:val="0062610C"/>
    <w:rsid w:val="006262F4"/>
    <w:rsid w:val="00626671"/>
    <w:rsid w:val="00626DA2"/>
    <w:rsid w:val="00626E26"/>
    <w:rsid w:val="00627450"/>
    <w:rsid w:val="00627474"/>
    <w:rsid w:val="006275F9"/>
    <w:rsid w:val="006277EB"/>
    <w:rsid w:val="006304E1"/>
    <w:rsid w:val="0063054B"/>
    <w:rsid w:val="00630825"/>
    <w:rsid w:val="006309E5"/>
    <w:rsid w:val="006309E8"/>
    <w:rsid w:val="00630E00"/>
    <w:rsid w:val="00630F0A"/>
    <w:rsid w:val="006313F4"/>
    <w:rsid w:val="00632028"/>
    <w:rsid w:val="0063249E"/>
    <w:rsid w:val="00632504"/>
    <w:rsid w:val="00632877"/>
    <w:rsid w:val="00632941"/>
    <w:rsid w:val="006329A8"/>
    <w:rsid w:val="00632A1D"/>
    <w:rsid w:val="006330AB"/>
    <w:rsid w:val="006330C7"/>
    <w:rsid w:val="0063317F"/>
    <w:rsid w:val="0063318F"/>
    <w:rsid w:val="00633577"/>
    <w:rsid w:val="006339F7"/>
    <w:rsid w:val="00633C14"/>
    <w:rsid w:val="00633DC1"/>
    <w:rsid w:val="00634391"/>
    <w:rsid w:val="006355E3"/>
    <w:rsid w:val="00635712"/>
    <w:rsid w:val="0063588B"/>
    <w:rsid w:val="00635A26"/>
    <w:rsid w:val="00635AE8"/>
    <w:rsid w:val="00636568"/>
    <w:rsid w:val="00637302"/>
    <w:rsid w:val="006374E9"/>
    <w:rsid w:val="0063777B"/>
    <w:rsid w:val="00637A6D"/>
    <w:rsid w:val="00637C2C"/>
    <w:rsid w:val="0064045B"/>
    <w:rsid w:val="006405E3"/>
    <w:rsid w:val="0064115A"/>
    <w:rsid w:val="006412E3"/>
    <w:rsid w:val="00641498"/>
    <w:rsid w:val="006414F6"/>
    <w:rsid w:val="006415F1"/>
    <w:rsid w:val="00641C3D"/>
    <w:rsid w:val="006420E5"/>
    <w:rsid w:val="006424E6"/>
    <w:rsid w:val="00642BCF"/>
    <w:rsid w:val="006434CF"/>
    <w:rsid w:val="00643FEB"/>
    <w:rsid w:val="00644050"/>
    <w:rsid w:val="006440BC"/>
    <w:rsid w:val="00644579"/>
    <w:rsid w:val="006446AE"/>
    <w:rsid w:val="00644714"/>
    <w:rsid w:val="00644B01"/>
    <w:rsid w:val="00644BC9"/>
    <w:rsid w:val="00644E4A"/>
    <w:rsid w:val="00644FD1"/>
    <w:rsid w:val="006451CE"/>
    <w:rsid w:val="00645766"/>
    <w:rsid w:val="00645BE2"/>
    <w:rsid w:val="00645CDE"/>
    <w:rsid w:val="00645D4D"/>
    <w:rsid w:val="00646A60"/>
    <w:rsid w:val="00646AF5"/>
    <w:rsid w:val="00646C07"/>
    <w:rsid w:val="0064741D"/>
    <w:rsid w:val="00647474"/>
    <w:rsid w:val="006475D9"/>
    <w:rsid w:val="00647AD1"/>
    <w:rsid w:val="00647F47"/>
    <w:rsid w:val="006500C3"/>
    <w:rsid w:val="0065021A"/>
    <w:rsid w:val="00650F5B"/>
    <w:rsid w:val="00650FB0"/>
    <w:rsid w:val="00651289"/>
    <w:rsid w:val="0065148B"/>
    <w:rsid w:val="006517FB"/>
    <w:rsid w:val="00651DA3"/>
    <w:rsid w:val="00651E9F"/>
    <w:rsid w:val="00652033"/>
    <w:rsid w:val="006520AD"/>
    <w:rsid w:val="0065225A"/>
    <w:rsid w:val="00652439"/>
    <w:rsid w:val="0065244B"/>
    <w:rsid w:val="006525EB"/>
    <w:rsid w:val="0065264F"/>
    <w:rsid w:val="006526D6"/>
    <w:rsid w:val="00652A02"/>
    <w:rsid w:val="00652A97"/>
    <w:rsid w:val="00652C2F"/>
    <w:rsid w:val="00652D3A"/>
    <w:rsid w:val="00652F4E"/>
    <w:rsid w:val="0065314C"/>
    <w:rsid w:val="006532B3"/>
    <w:rsid w:val="00653500"/>
    <w:rsid w:val="00653F11"/>
    <w:rsid w:val="00654298"/>
    <w:rsid w:val="0065452C"/>
    <w:rsid w:val="00654B90"/>
    <w:rsid w:val="00654C28"/>
    <w:rsid w:val="00654D5C"/>
    <w:rsid w:val="00654DC3"/>
    <w:rsid w:val="00654F9E"/>
    <w:rsid w:val="00655044"/>
    <w:rsid w:val="00655162"/>
    <w:rsid w:val="0065530A"/>
    <w:rsid w:val="006555E2"/>
    <w:rsid w:val="00655938"/>
    <w:rsid w:val="00655BA1"/>
    <w:rsid w:val="00655CE2"/>
    <w:rsid w:val="00655D96"/>
    <w:rsid w:val="00655E8A"/>
    <w:rsid w:val="00656083"/>
    <w:rsid w:val="0065618A"/>
    <w:rsid w:val="006561D7"/>
    <w:rsid w:val="00656395"/>
    <w:rsid w:val="006564A7"/>
    <w:rsid w:val="006565B4"/>
    <w:rsid w:val="006566AA"/>
    <w:rsid w:val="006569E8"/>
    <w:rsid w:val="00656C7C"/>
    <w:rsid w:val="00656F6A"/>
    <w:rsid w:val="006576A5"/>
    <w:rsid w:val="006576E9"/>
    <w:rsid w:val="00657929"/>
    <w:rsid w:val="00657AAB"/>
    <w:rsid w:val="00657D37"/>
    <w:rsid w:val="00657FF8"/>
    <w:rsid w:val="0066003B"/>
    <w:rsid w:val="0066019E"/>
    <w:rsid w:val="00660599"/>
    <w:rsid w:val="00660882"/>
    <w:rsid w:val="0066095E"/>
    <w:rsid w:val="00661042"/>
    <w:rsid w:val="006614A5"/>
    <w:rsid w:val="006616B4"/>
    <w:rsid w:val="00661A5C"/>
    <w:rsid w:val="00661AF3"/>
    <w:rsid w:val="00662581"/>
    <w:rsid w:val="006626E7"/>
    <w:rsid w:val="0066272B"/>
    <w:rsid w:val="0066297E"/>
    <w:rsid w:val="00662A08"/>
    <w:rsid w:val="00663691"/>
    <w:rsid w:val="00663FAE"/>
    <w:rsid w:val="00664430"/>
    <w:rsid w:val="00664478"/>
    <w:rsid w:val="0066457F"/>
    <w:rsid w:val="00664765"/>
    <w:rsid w:val="006647CB"/>
    <w:rsid w:val="00664E7E"/>
    <w:rsid w:val="00664F28"/>
    <w:rsid w:val="0066544C"/>
    <w:rsid w:val="006658EF"/>
    <w:rsid w:val="00665A3D"/>
    <w:rsid w:val="00665A52"/>
    <w:rsid w:val="00665E32"/>
    <w:rsid w:val="00666621"/>
    <w:rsid w:val="00666FA8"/>
    <w:rsid w:val="00667379"/>
    <w:rsid w:val="00667469"/>
    <w:rsid w:val="006676B6"/>
    <w:rsid w:val="00667BDE"/>
    <w:rsid w:val="00667E7E"/>
    <w:rsid w:val="00667F45"/>
    <w:rsid w:val="006704B2"/>
    <w:rsid w:val="00670803"/>
    <w:rsid w:val="00670980"/>
    <w:rsid w:val="00670B1A"/>
    <w:rsid w:val="00670CB8"/>
    <w:rsid w:val="00671112"/>
    <w:rsid w:val="006716F8"/>
    <w:rsid w:val="006718A9"/>
    <w:rsid w:val="00671D1D"/>
    <w:rsid w:val="00671F9E"/>
    <w:rsid w:val="0067232F"/>
    <w:rsid w:val="0067259C"/>
    <w:rsid w:val="006725C6"/>
    <w:rsid w:val="006726E5"/>
    <w:rsid w:val="00672946"/>
    <w:rsid w:val="00672967"/>
    <w:rsid w:val="00672AAF"/>
    <w:rsid w:val="00672C2E"/>
    <w:rsid w:val="00673190"/>
    <w:rsid w:val="006731D1"/>
    <w:rsid w:val="0067351D"/>
    <w:rsid w:val="00673959"/>
    <w:rsid w:val="006739FE"/>
    <w:rsid w:val="00673B5A"/>
    <w:rsid w:val="00673CFC"/>
    <w:rsid w:val="00673F34"/>
    <w:rsid w:val="00673F54"/>
    <w:rsid w:val="00673FE1"/>
    <w:rsid w:val="0067424F"/>
    <w:rsid w:val="00674A82"/>
    <w:rsid w:val="00674D1A"/>
    <w:rsid w:val="00674ED8"/>
    <w:rsid w:val="00674F55"/>
    <w:rsid w:val="006754C7"/>
    <w:rsid w:val="006761DB"/>
    <w:rsid w:val="006765A4"/>
    <w:rsid w:val="00676D0D"/>
    <w:rsid w:val="00677562"/>
    <w:rsid w:val="0067760B"/>
    <w:rsid w:val="0067787E"/>
    <w:rsid w:val="00677ABD"/>
    <w:rsid w:val="00677E66"/>
    <w:rsid w:val="0068006E"/>
    <w:rsid w:val="0068007C"/>
    <w:rsid w:val="006802A6"/>
    <w:rsid w:val="006802AD"/>
    <w:rsid w:val="006803BE"/>
    <w:rsid w:val="006806C0"/>
    <w:rsid w:val="00680992"/>
    <w:rsid w:val="00680B06"/>
    <w:rsid w:val="00680B58"/>
    <w:rsid w:val="00680E55"/>
    <w:rsid w:val="00681062"/>
    <w:rsid w:val="006814D1"/>
    <w:rsid w:val="00681934"/>
    <w:rsid w:val="00682413"/>
    <w:rsid w:val="006824CE"/>
    <w:rsid w:val="0068286F"/>
    <w:rsid w:val="006828E3"/>
    <w:rsid w:val="00682C3F"/>
    <w:rsid w:val="00682DE6"/>
    <w:rsid w:val="00682DED"/>
    <w:rsid w:val="006830AD"/>
    <w:rsid w:val="006832AB"/>
    <w:rsid w:val="00683398"/>
    <w:rsid w:val="0068384A"/>
    <w:rsid w:val="00683894"/>
    <w:rsid w:val="00683D61"/>
    <w:rsid w:val="00683E38"/>
    <w:rsid w:val="0068401E"/>
    <w:rsid w:val="006842AE"/>
    <w:rsid w:val="0068439F"/>
    <w:rsid w:val="00684804"/>
    <w:rsid w:val="00684C20"/>
    <w:rsid w:val="00684C5C"/>
    <w:rsid w:val="00684C62"/>
    <w:rsid w:val="006854FB"/>
    <w:rsid w:val="006858BD"/>
    <w:rsid w:val="00685943"/>
    <w:rsid w:val="00685DFC"/>
    <w:rsid w:val="00685F9B"/>
    <w:rsid w:val="006860DF"/>
    <w:rsid w:val="00686611"/>
    <w:rsid w:val="006866C6"/>
    <w:rsid w:val="00686C26"/>
    <w:rsid w:val="00686F83"/>
    <w:rsid w:val="00687453"/>
    <w:rsid w:val="006875CE"/>
    <w:rsid w:val="00687906"/>
    <w:rsid w:val="00687C80"/>
    <w:rsid w:val="00687D80"/>
    <w:rsid w:val="00687E03"/>
    <w:rsid w:val="006900CD"/>
    <w:rsid w:val="00690659"/>
    <w:rsid w:val="00690C86"/>
    <w:rsid w:val="00690C88"/>
    <w:rsid w:val="00691CDA"/>
    <w:rsid w:val="00691ED0"/>
    <w:rsid w:val="006920D6"/>
    <w:rsid w:val="0069282C"/>
    <w:rsid w:val="00692994"/>
    <w:rsid w:val="00692E22"/>
    <w:rsid w:val="00693383"/>
    <w:rsid w:val="006935AF"/>
    <w:rsid w:val="006935F7"/>
    <w:rsid w:val="00693698"/>
    <w:rsid w:val="00693896"/>
    <w:rsid w:val="00693AB4"/>
    <w:rsid w:val="00693B01"/>
    <w:rsid w:val="0069405B"/>
    <w:rsid w:val="00694324"/>
    <w:rsid w:val="006944FE"/>
    <w:rsid w:val="0069451C"/>
    <w:rsid w:val="00694856"/>
    <w:rsid w:val="00694ABF"/>
    <w:rsid w:val="006951AA"/>
    <w:rsid w:val="00695A90"/>
    <w:rsid w:val="00695D6B"/>
    <w:rsid w:val="00696701"/>
    <w:rsid w:val="00696A0F"/>
    <w:rsid w:val="00696DA3"/>
    <w:rsid w:val="006973F5"/>
    <w:rsid w:val="00697567"/>
    <w:rsid w:val="006975C1"/>
    <w:rsid w:val="006978FF"/>
    <w:rsid w:val="00697BEF"/>
    <w:rsid w:val="00697D71"/>
    <w:rsid w:val="00697E3D"/>
    <w:rsid w:val="00697EDD"/>
    <w:rsid w:val="00697F84"/>
    <w:rsid w:val="00697FB2"/>
    <w:rsid w:val="006A07D7"/>
    <w:rsid w:val="006A07FB"/>
    <w:rsid w:val="006A08E8"/>
    <w:rsid w:val="006A09E2"/>
    <w:rsid w:val="006A0A5E"/>
    <w:rsid w:val="006A0E3C"/>
    <w:rsid w:val="006A117B"/>
    <w:rsid w:val="006A15D5"/>
    <w:rsid w:val="006A179E"/>
    <w:rsid w:val="006A1C81"/>
    <w:rsid w:val="006A1F5C"/>
    <w:rsid w:val="006A20DD"/>
    <w:rsid w:val="006A2720"/>
    <w:rsid w:val="006A2CE4"/>
    <w:rsid w:val="006A2D80"/>
    <w:rsid w:val="006A3181"/>
    <w:rsid w:val="006A32CB"/>
    <w:rsid w:val="006A3599"/>
    <w:rsid w:val="006A3796"/>
    <w:rsid w:val="006A46AE"/>
    <w:rsid w:val="006A4B04"/>
    <w:rsid w:val="006A4B2B"/>
    <w:rsid w:val="006A4CB0"/>
    <w:rsid w:val="006A4D8A"/>
    <w:rsid w:val="006A4F4E"/>
    <w:rsid w:val="006A57EF"/>
    <w:rsid w:val="006A5A1A"/>
    <w:rsid w:val="006A5B1E"/>
    <w:rsid w:val="006A60AD"/>
    <w:rsid w:val="006A60D5"/>
    <w:rsid w:val="006A62FA"/>
    <w:rsid w:val="006A6C83"/>
    <w:rsid w:val="006A723C"/>
    <w:rsid w:val="006A744E"/>
    <w:rsid w:val="006A7745"/>
    <w:rsid w:val="006A7E59"/>
    <w:rsid w:val="006A7F17"/>
    <w:rsid w:val="006B0010"/>
    <w:rsid w:val="006B00D5"/>
    <w:rsid w:val="006B0133"/>
    <w:rsid w:val="006B0148"/>
    <w:rsid w:val="006B087A"/>
    <w:rsid w:val="006B09ED"/>
    <w:rsid w:val="006B0F93"/>
    <w:rsid w:val="006B1732"/>
    <w:rsid w:val="006B1866"/>
    <w:rsid w:val="006B1956"/>
    <w:rsid w:val="006B2CD8"/>
    <w:rsid w:val="006B33BC"/>
    <w:rsid w:val="006B35F1"/>
    <w:rsid w:val="006B36A6"/>
    <w:rsid w:val="006B3884"/>
    <w:rsid w:val="006B39D0"/>
    <w:rsid w:val="006B39D9"/>
    <w:rsid w:val="006B3A3A"/>
    <w:rsid w:val="006B3DE2"/>
    <w:rsid w:val="006B406D"/>
    <w:rsid w:val="006B41D0"/>
    <w:rsid w:val="006B49D1"/>
    <w:rsid w:val="006B4B9C"/>
    <w:rsid w:val="006B4C7F"/>
    <w:rsid w:val="006B4D86"/>
    <w:rsid w:val="006B4DBA"/>
    <w:rsid w:val="006B511C"/>
    <w:rsid w:val="006B5267"/>
    <w:rsid w:val="006B5329"/>
    <w:rsid w:val="006B55B5"/>
    <w:rsid w:val="006B566B"/>
    <w:rsid w:val="006B58F7"/>
    <w:rsid w:val="006B5EDC"/>
    <w:rsid w:val="006B5FD4"/>
    <w:rsid w:val="006B6925"/>
    <w:rsid w:val="006B6935"/>
    <w:rsid w:val="006B69F8"/>
    <w:rsid w:val="006B6C73"/>
    <w:rsid w:val="006B6D11"/>
    <w:rsid w:val="006B703E"/>
    <w:rsid w:val="006B7452"/>
    <w:rsid w:val="006B75FE"/>
    <w:rsid w:val="006B7621"/>
    <w:rsid w:val="006B7994"/>
    <w:rsid w:val="006C0031"/>
    <w:rsid w:val="006C026A"/>
    <w:rsid w:val="006C02F2"/>
    <w:rsid w:val="006C03A7"/>
    <w:rsid w:val="006C0CE0"/>
    <w:rsid w:val="006C0E7B"/>
    <w:rsid w:val="006C1246"/>
    <w:rsid w:val="006C18E3"/>
    <w:rsid w:val="006C1A49"/>
    <w:rsid w:val="006C1C59"/>
    <w:rsid w:val="006C1E4F"/>
    <w:rsid w:val="006C2065"/>
    <w:rsid w:val="006C22A6"/>
    <w:rsid w:val="006C2429"/>
    <w:rsid w:val="006C25B1"/>
    <w:rsid w:val="006C2885"/>
    <w:rsid w:val="006C2E6B"/>
    <w:rsid w:val="006C3669"/>
    <w:rsid w:val="006C369C"/>
    <w:rsid w:val="006C3821"/>
    <w:rsid w:val="006C3824"/>
    <w:rsid w:val="006C3876"/>
    <w:rsid w:val="006C3A85"/>
    <w:rsid w:val="006C3FBF"/>
    <w:rsid w:val="006C425C"/>
    <w:rsid w:val="006C450D"/>
    <w:rsid w:val="006C47F1"/>
    <w:rsid w:val="006C486E"/>
    <w:rsid w:val="006C4C9C"/>
    <w:rsid w:val="006C527F"/>
    <w:rsid w:val="006C5DD3"/>
    <w:rsid w:val="006C6044"/>
    <w:rsid w:val="006C6087"/>
    <w:rsid w:val="006C6E75"/>
    <w:rsid w:val="006C6EE8"/>
    <w:rsid w:val="006C76D6"/>
    <w:rsid w:val="006C7970"/>
    <w:rsid w:val="006C7A1A"/>
    <w:rsid w:val="006C7C95"/>
    <w:rsid w:val="006C7F18"/>
    <w:rsid w:val="006D008B"/>
    <w:rsid w:val="006D0174"/>
    <w:rsid w:val="006D0175"/>
    <w:rsid w:val="006D0917"/>
    <w:rsid w:val="006D102C"/>
    <w:rsid w:val="006D1271"/>
    <w:rsid w:val="006D15BF"/>
    <w:rsid w:val="006D178A"/>
    <w:rsid w:val="006D1A10"/>
    <w:rsid w:val="006D1C40"/>
    <w:rsid w:val="006D1E3B"/>
    <w:rsid w:val="006D2221"/>
    <w:rsid w:val="006D226C"/>
    <w:rsid w:val="006D2659"/>
    <w:rsid w:val="006D29C5"/>
    <w:rsid w:val="006D2D3F"/>
    <w:rsid w:val="006D33B4"/>
    <w:rsid w:val="006D355E"/>
    <w:rsid w:val="006D366A"/>
    <w:rsid w:val="006D39B6"/>
    <w:rsid w:val="006D3FFA"/>
    <w:rsid w:val="006D4045"/>
    <w:rsid w:val="006D44E2"/>
    <w:rsid w:val="006D46A0"/>
    <w:rsid w:val="006D479E"/>
    <w:rsid w:val="006D5056"/>
    <w:rsid w:val="006D537B"/>
    <w:rsid w:val="006D54BE"/>
    <w:rsid w:val="006D567F"/>
    <w:rsid w:val="006D5795"/>
    <w:rsid w:val="006D582B"/>
    <w:rsid w:val="006D5DFB"/>
    <w:rsid w:val="006D5E30"/>
    <w:rsid w:val="006D5F10"/>
    <w:rsid w:val="006D6489"/>
    <w:rsid w:val="006D6812"/>
    <w:rsid w:val="006D69E4"/>
    <w:rsid w:val="006D7024"/>
    <w:rsid w:val="006D70E3"/>
    <w:rsid w:val="006D7116"/>
    <w:rsid w:val="006E017B"/>
    <w:rsid w:val="006E029C"/>
    <w:rsid w:val="006E0424"/>
    <w:rsid w:val="006E051E"/>
    <w:rsid w:val="006E0759"/>
    <w:rsid w:val="006E0888"/>
    <w:rsid w:val="006E0ADB"/>
    <w:rsid w:val="006E12B9"/>
    <w:rsid w:val="006E168E"/>
    <w:rsid w:val="006E16C7"/>
    <w:rsid w:val="006E1E6A"/>
    <w:rsid w:val="006E1EEA"/>
    <w:rsid w:val="006E21A4"/>
    <w:rsid w:val="006E250C"/>
    <w:rsid w:val="006E2643"/>
    <w:rsid w:val="006E28C9"/>
    <w:rsid w:val="006E2E61"/>
    <w:rsid w:val="006E310B"/>
    <w:rsid w:val="006E33A8"/>
    <w:rsid w:val="006E3E0F"/>
    <w:rsid w:val="006E4001"/>
    <w:rsid w:val="006E402E"/>
    <w:rsid w:val="006E418A"/>
    <w:rsid w:val="006E44DC"/>
    <w:rsid w:val="006E46E1"/>
    <w:rsid w:val="006E4F9A"/>
    <w:rsid w:val="006E50DD"/>
    <w:rsid w:val="006E536C"/>
    <w:rsid w:val="006E5380"/>
    <w:rsid w:val="006E5465"/>
    <w:rsid w:val="006E5833"/>
    <w:rsid w:val="006E6147"/>
    <w:rsid w:val="006E694E"/>
    <w:rsid w:val="006E6D85"/>
    <w:rsid w:val="006E726E"/>
    <w:rsid w:val="006E7346"/>
    <w:rsid w:val="006E7359"/>
    <w:rsid w:val="006E73DB"/>
    <w:rsid w:val="006E7CC6"/>
    <w:rsid w:val="006E7FAC"/>
    <w:rsid w:val="006F003A"/>
    <w:rsid w:val="006F0161"/>
    <w:rsid w:val="006F05EE"/>
    <w:rsid w:val="006F061D"/>
    <w:rsid w:val="006F07AD"/>
    <w:rsid w:val="006F0A78"/>
    <w:rsid w:val="006F0A7D"/>
    <w:rsid w:val="006F0B09"/>
    <w:rsid w:val="006F0B10"/>
    <w:rsid w:val="006F12B4"/>
    <w:rsid w:val="006F1361"/>
    <w:rsid w:val="006F14D0"/>
    <w:rsid w:val="006F1631"/>
    <w:rsid w:val="006F1A25"/>
    <w:rsid w:val="006F1DBF"/>
    <w:rsid w:val="006F2132"/>
    <w:rsid w:val="006F23FE"/>
    <w:rsid w:val="006F280E"/>
    <w:rsid w:val="006F2911"/>
    <w:rsid w:val="006F2A60"/>
    <w:rsid w:val="006F2AB7"/>
    <w:rsid w:val="006F2EE4"/>
    <w:rsid w:val="006F3542"/>
    <w:rsid w:val="006F393F"/>
    <w:rsid w:val="006F3BFE"/>
    <w:rsid w:val="006F3C0D"/>
    <w:rsid w:val="006F3C88"/>
    <w:rsid w:val="006F45AB"/>
    <w:rsid w:val="006F4778"/>
    <w:rsid w:val="006F4BC4"/>
    <w:rsid w:val="006F4BC6"/>
    <w:rsid w:val="006F4D6F"/>
    <w:rsid w:val="006F4F70"/>
    <w:rsid w:val="006F4FAF"/>
    <w:rsid w:val="006F5400"/>
    <w:rsid w:val="006F54C0"/>
    <w:rsid w:val="006F56A0"/>
    <w:rsid w:val="006F58A5"/>
    <w:rsid w:val="006F5D6B"/>
    <w:rsid w:val="006F5F25"/>
    <w:rsid w:val="006F5FCE"/>
    <w:rsid w:val="006F60AE"/>
    <w:rsid w:val="006F61D6"/>
    <w:rsid w:val="006F65E1"/>
    <w:rsid w:val="006F6EAA"/>
    <w:rsid w:val="006F7076"/>
    <w:rsid w:val="006F7133"/>
    <w:rsid w:val="006F73E1"/>
    <w:rsid w:val="006F79E5"/>
    <w:rsid w:val="006F7B57"/>
    <w:rsid w:val="006F7CC8"/>
    <w:rsid w:val="006F7DED"/>
    <w:rsid w:val="007007EE"/>
    <w:rsid w:val="00700820"/>
    <w:rsid w:val="00700D8D"/>
    <w:rsid w:val="00700E6F"/>
    <w:rsid w:val="0070125D"/>
    <w:rsid w:val="007015CC"/>
    <w:rsid w:val="00701615"/>
    <w:rsid w:val="00701708"/>
    <w:rsid w:val="007017EC"/>
    <w:rsid w:val="00701847"/>
    <w:rsid w:val="00701D9B"/>
    <w:rsid w:val="00702481"/>
    <w:rsid w:val="00702F86"/>
    <w:rsid w:val="0070331E"/>
    <w:rsid w:val="007037B8"/>
    <w:rsid w:val="007039AD"/>
    <w:rsid w:val="007039BE"/>
    <w:rsid w:val="00703AF5"/>
    <w:rsid w:val="00704603"/>
    <w:rsid w:val="0070469D"/>
    <w:rsid w:val="00704701"/>
    <w:rsid w:val="007048A8"/>
    <w:rsid w:val="00704A3D"/>
    <w:rsid w:val="00704C9B"/>
    <w:rsid w:val="00704CBC"/>
    <w:rsid w:val="00704E0B"/>
    <w:rsid w:val="00705370"/>
    <w:rsid w:val="007056B0"/>
    <w:rsid w:val="0070582C"/>
    <w:rsid w:val="007059A5"/>
    <w:rsid w:val="007059EA"/>
    <w:rsid w:val="00706687"/>
    <w:rsid w:val="00706A23"/>
    <w:rsid w:val="00706CA5"/>
    <w:rsid w:val="00706FC2"/>
    <w:rsid w:val="007073CD"/>
    <w:rsid w:val="00707436"/>
    <w:rsid w:val="00707500"/>
    <w:rsid w:val="00707A7D"/>
    <w:rsid w:val="00707E43"/>
    <w:rsid w:val="00707F41"/>
    <w:rsid w:val="00707F9C"/>
    <w:rsid w:val="00710377"/>
    <w:rsid w:val="007103A8"/>
    <w:rsid w:val="007105B5"/>
    <w:rsid w:val="00710867"/>
    <w:rsid w:val="007108DC"/>
    <w:rsid w:val="00710CE4"/>
    <w:rsid w:val="0071131C"/>
    <w:rsid w:val="00711349"/>
    <w:rsid w:val="007115C5"/>
    <w:rsid w:val="00711656"/>
    <w:rsid w:val="007125CC"/>
    <w:rsid w:val="00712CE0"/>
    <w:rsid w:val="0071304F"/>
    <w:rsid w:val="00713086"/>
    <w:rsid w:val="007134B2"/>
    <w:rsid w:val="00713ABF"/>
    <w:rsid w:val="00713CEA"/>
    <w:rsid w:val="00713DDE"/>
    <w:rsid w:val="00713F72"/>
    <w:rsid w:val="007143D5"/>
    <w:rsid w:val="00714900"/>
    <w:rsid w:val="00715052"/>
    <w:rsid w:val="007153FF"/>
    <w:rsid w:val="00715856"/>
    <w:rsid w:val="00715C26"/>
    <w:rsid w:val="007160F7"/>
    <w:rsid w:val="00716A3E"/>
    <w:rsid w:val="00716A4D"/>
    <w:rsid w:val="00716C6B"/>
    <w:rsid w:val="00716CEC"/>
    <w:rsid w:val="00716D3E"/>
    <w:rsid w:val="00716D63"/>
    <w:rsid w:val="0071724F"/>
    <w:rsid w:val="00717352"/>
    <w:rsid w:val="00717713"/>
    <w:rsid w:val="00717844"/>
    <w:rsid w:val="007179D6"/>
    <w:rsid w:val="00720048"/>
    <w:rsid w:val="00720566"/>
    <w:rsid w:val="007205FF"/>
    <w:rsid w:val="0072065C"/>
    <w:rsid w:val="00720673"/>
    <w:rsid w:val="007207D3"/>
    <w:rsid w:val="00720BE5"/>
    <w:rsid w:val="00720D3E"/>
    <w:rsid w:val="00721248"/>
    <w:rsid w:val="00721A41"/>
    <w:rsid w:val="00721C8E"/>
    <w:rsid w:val="00722385"/>
    <w:rsid w:val="0072249A"/>
    <w:rsid w:val="00722DA1"/>
    <w:rsid w:val="00722DED"/>
    <w:rsid w:val="0072343D"/>
    <w:rsid w:val="007235B6"/>
    <w:rsid w:val="0072375F"/>
    <w:rsid w:val="0072390B"/>
    <w:rsid w:val="00723C5D"/>
    <w:rsid w:val="00723E46"/>
    <w:rsid w:val="00724086"/>
    <w:rsid w:val="007240AF"/>
    <w:rsid w:val="00724B1D"/>
    <w:rsid w:val="00724BD1"/>
    <w:rsid w:val="00724C8A"/>
    <w:rsid w:val="00724DCB"/>
    <w:rsid w:val="007250B0"/>
    <w:rsid w:val="007251F7"/>
    <w:rsid w:val="00725267"/>
    <w:rsid w:val="00725303"/>
    <w:rsid w:val="007259D7"/>
    <w:rsid w:val="00725B51"/>
    <w:rsid w:val="00725C63"/>
    <w:rsid w:val="00726039"/>
    <w:rsid w:val="007261C5"/>
    <w:rsid w:val="007276ED"/>
    <w:rsid w:val="0072781F"/>
    <w:rsid w:val="00727ADA"/>
    <w:rsid w:val="00727B35"/>
    <w:rsid w:val="00727CA4"/>
    <w:rsid w:val="00727E73"/>
    <w:rsid w:val="00727FFB"/>
    <w:rsid w:val="007305AA"/>
    <w:rsid w:val="007307B5"/>
    <w:rsid w:val="00730D8A"/>
    <w:rsid w:val="00731121"/>
    <w:rsid w:val="0073115B"/>
    <w:rsid w:val="007312F3"/>
    <w:rsid w:val="0073145D"/>
    <w:rsid w:val="00731531"/>
    <w:rsid w:val="00731827"/>
    <w:rsid w:val="00731847"/>
    <w:rsid w:val="00731D1B"/>
    <w:rsid w:val="00732F32"/>
    <w:rsid w:val="007334B5"/>
    <w:rsid w:val="007337ED"/>
    <w:rsid w:val="00733CA9"/>
    <w:rsid w:val="00734120"/>
    <w:rsid w:val="0073438A"/>
    <w:rsid w:val="007345C0"/>
    <w:rsid w:val="00735599"/>
    <w:rsid w:val="007358AF"/>
    <w:rsid w:val="0073637F"/>
    <w:rsid w:val="007366C7"/>
    <w:rsid w:val="00736DDE"/>
    <w:rsid w:val="00737153"/>
    <w:rsid w:val="007371A1"/>
    <w:rsid w:val="0073730E"/>
    <w:rsid w:val="0073737F"/>
    <w:rsid w:val="00737800"/>
    <w:rsid w:val="00740773"/>
    <w:rsid w:val="00740DA5"/>
    <w:rsid w:val="00741051"/>
    <w:rsid w:val="0074107C"/>
    <w:rsid w:val="007410DC"/>
    <w:rsid w:val="00741143"/>
    <w:rsid w:val="007411F3"/>
    <w:rsid w:val="00741696"/>
    <w:rsid w:val="00741DA0"/>
    <w:rsid w:val="00742117"/>
    <w:rsid w:val="00742272"/>
    <w:rsid w:val="00742315"/>
    <w:rsid w:val="00742EEC"/>
    <w:rsid w:val="007430F0"/>
    <w:rsid w:val="0074350D"/>
    <w:rsid w:val="00743595"/>
    <w:rsid w:val="00743698"/>
    <w:rsid w:val="007438DA"/>
    <w:rsid w:val="007438EB"/>
    <w:rsid w:val="00743CE3"/>
    <w:rsid w:val="00744076"/>
    <w:rsid w:val="007441FE"/>
    <w:rsid w:val="0074420D"/>
    <w:rsid w:val="007442AB"/>
    <w:rsid w:val="00744414"/>
    <w:rsid w:val="007444D5"/>
    <w:rsid w:val="00744636"/>
    <w:rsid w:val="00744721"/>
    <w:rsid w:val="00745018"/>
    <w:rsid w:val="0074536D"/>
    <w:rsid w:val="0074598B"/>
    <w:rsid w:val="00745ED1"/>
    <w:rsid w:val="00746A9E"/>
    <w:rsid w:val="00746BD2"/>
    <w:rsid w:val="00747220"/>
    <w:rsid w:val="00747870"/>
    <w:rsid w:val="007478FF"/>
    <w:rsid w:val="00747CAE"/>
    <w:rsid w:val="00750194"/>
    <w:rsid w:val="00750298"/>
    <w:rsid w:val="007506EA"/>
    <w:rsid w:val="007507A3"/>
    <w:rsid w:val="0075087B"/>
    <w:rsid w:val="007508DF"/>
    <w:rsid w:val="007508E5"/>
    <w:rsid w:val="00750D45"/>
    <w:rsid w:val="007511D3"/>
    <w:rsid w:val="007517DC"/>
    <w:rsid w:val="007518F8"/>
    <w:rsid w:val="00751EF2"/>
    <w:rsid w:val="00751FDC"/>
    <w:rsid w:val="00752256"/>
    <w:rsid w:val="00752AD8"/>
    <w:rsid w:val="00752B57"/>
    <w:rsid w:val="00753112"/>
    <w:rsid w:val="0075315F"/>
    <w:rsid w:val="00753415"/>
    <w:rsid w:val="00753604"/>
    <w:rsid w:val="00753934"/>
    <w:rsid w:val="0075394D"/>
    <w:rsid w:val="00753B70"/>
    <w:rsid w:val="00753C63"/>
    <w:rsid w:val="00753E56"/>
    <w:rsid w:val="00753E5D"/>
    <w:rsid w:val="0075428D"/>
    <w:rsid w:val="0075434B"/>
    <w:rsid w:val="007543F8"/>
    <w:rsid w:val="0075469B"/>
    <w:rsid w:val="00754707"/>
    <w:rsid w:val="007549FE"/>
    <w:rsid w:val="00754AFC"/>
    <w:rsid w:val="0075501B"/>
    <w:rsid w:val="00755076"/>
    <w:rsid w:val="00755201"/>
    <w:rsid w:val="007555C2"/>
    <w:rsid w:val="00755638"/>
    <w:rsid w:val="00755931"/>
    <w:rsid w:val="00756032"/>
    <w:rsid w:val="007562F8"/>
    <w:rsid w:val="00756304"/>
    <w:rsid w:val="00756445"/>
    <w:rsid w:val="0075670E"/>
    <w:rsid w:val="00756783"/>
    <w:rsid w:val="00756A26"/>
    <w:rsid w:val="00756AAE"/>
    <w:rsid w:val="00756E29"/>
    <w:rsid w:val="007570C5"/>
    <w:rsid w:val="007570CB"/>
    <w:rsid w:val="0075731D"/>
    <w:rsid w:val="00757321"/>
    <w:rsid w:val="00757645"/>
    <w:rsid w:val="00757A2D"/>
    <w:rsid w:val="00757A79"/>
    <w:rsid w:val="00757A9C"/>
    <w:rsid w:val="00757BD5"/>
    <w:rsid w:val="00757F2F"/>
    <w:rsid w:val="00760065"/>
    <w:rsid w:val="00760657"/>
    <w:rsid w:val="00760765"/>
    <w:rsid w:val="007608A1"/>
    <w:rsid w:val="00760D71"/>
    <w:rsid w:val="00760F26"/>
    <w:rsid w:val="007616FC"/>
    <w:rsid w:val="007618C5"/>
    <w:rsid w:val="007619D4"/>
    <w:rsid w:val="00761A85"/>
    <w:rsid w:val="00761DEA"/>
    <w:rsid w:val="00761E23"/>
    <w:rsid w:val="0076231C"/>
    <w:rsid w:val="00762390"/>
    <w:rsid w:val="0076259A"/>
    <w:rsid w:val="007625D7"/>
    <w:rsid w:val="007625E2"/>
    <w:rsid w:val="007626E9"/>
    <w:rsid w:val="00762EF0"/>
    <w:rsid w:val="00763124"/>
    <w:rsid w:val="00763378"/>
    <w:rsid w:val="00763522"/>
    <w:rsid w:val="00763DF9"/>
    <w:rsid w:val="00764422"/>
    <w:rsid w:val="0076447D"/>
    <w:rsid w:val="007647A7"/>
    <w:rsid w:val="007649A0"/>
    <w:rsid w:val="007649C7"/>
    <w:rsid w:val="00764A9B"/>
    <w:rsid w:val="00764CB9"/>
    <w:rsid w:val="0076515D"/>
    <w:rsid w:val="0076532D"/>
    <w:rsid w:val="0076550B"/>
    <w:rsid w:val="00765D2C"/>
    <w:rsid w:val="00765EF7"/>
    <w:rsid w:val="007663B7"/>
    <w:rsid w:val="00766853"/>
    <w:rsid w:val="00766DB7"/>
    <w:rsid w:val="00767045"/>
    <w:rsid w:val="007674B2"/>
    <w:rsid w:val="0076757A"/>
    <w:rsid w:val="00767B6C"/>
    <w:rsid w:val="00767B98"/>
    <w:rsid w:val="00767CCD"/>
    <w:rsid w:val="00770044"/>
    <w:rsid w:val="0077011E"/>
    <w:rsid w:val="007701DD"/>
    <w:rsid w:val="00770323"/>
    <w:rsid w:val="0077076C"/>
    <w:rsid w:val="00770A6C"/>
    <w:rsid w:val="00770B37"/>
    <w:rsid w:val="00770DF0"/>
    <w:rsid w:val="00770E12"/>
    <w:rsid w:val="00770F07"/>
    <w:rsid w:val="00770F2F"/>
    <w:rsid w:val="00771335"/>
    <w:rsid w:val="007713C2"/>
    <w:rsid w:val="007718F5"/>
    <w:rsid w:val="00771C27"/>
    <w:rsid w:val="00772116"/>
    <w:rsid w:val="00772551"/>
    <w:rsid w:val="00772843"/>
    <w:rsid w:val="0077294D"/>
    <w:rsid w:val="00772B9B"/>
    <w:rsid w:val="00772E0F"/>
    <w:rsid w:val="00773AF5"/>
    <w:rsid w:val="00773D0B"/>
    <w:rsid w:val="00773DEA"/>
    <w:rsid w:val="00773ECE"/>
    <w:rsid w:val="00774172"/>
    <w:rsid w:val="007743EC"/>
    <w:rsid w:val="00774693"/>
    <w:rsid w:val="007747C1"/>
    <w:rsid w:val="00774875"/>
    <w:rsid w:val="007749B9"/>
    <w:rsid w:val="00774CCB"/>
    <w:rsid w:val="00774EC8"/>
    <w:rsid w:val="00775990"/>
    <w:rsid w:val="00775CB7"/>
    <w:rsid w:val="0077614F"/>
    <w:rsid w:val="007766A5"/>
    <w:rsid w:val="00776C33"/>
    <w:rsid w:val="00776D09"/>
    <w:rsid w:val="00776E2E"/>
    <w:rsid w:val="0077708A"/>
    <w:rsid w:val="007776EF"/>
    <w:rsid w:val="0077776D"/>
    <w:rsid w:val="00780427"/>
    <w:rsid w:val="007806D4"/>
    <w:rsid w:val="007809AA"/>
    <w:rsid w:val="00780FDA"/>
    <w:rsid w:val="00781134"/>
    <w:rsid w:val="007816A3"/>
    <w:rsid w:val="007816A9"/>
    <w:rsid w:val="0078187C"/>
    <w:rsid w:val="00781943"/>
    <w:rsid w:val="00781F74"/>
    <w:rsid w:val="0078295A"/>
    <w:rsid w:val="00782C6B"/>
    <w:rsid w:val="00782E33"/>
    <w:rsid w:val="00782EDE"/>
    <w:rsid w:val="007833EE"/>
    <w:rsid w:val="0078340A"/>
    <w:rsid w:val="007837C7"/>
    <w:rsid w:val="00783CE7"/>
    <w:rsid w:val="007847F7"/>
    <w:rsid w:val="00784B76"/>
    <w:rsid w:val="00784C5A"/>
    <w:rsid w:val="00784E6C"/>
    <w:rsid w:val="00784F82"/>
    <w:rsid w:val="00785074"/>
    <w:rsid w:val="00785305"/>
    <w:rsid w:val="007854D0"/>
    <w:rsid w:val="00785DEB"/>
    <w:rsid w:val="00785E80"/>
    <w:rsid w:val="00785F3E"/>
    <w:rsid w:val="0078628E"/>
    <w:rsid w:val="007866F1"/>
    <w:rsid w:val="00786706"/>
    <w:rsid w:val="007867A9"/>
    <w:rsid w:val="00786965"/>
    <w:rsid w:val="00786E6D"/>
    <w:rsid w:val="00787223"/>
    <w:rsid w:val="007872D8"/>
    <w:rsid w:val="00787335"/>
    <w:rsid w:val="007873AA"/>
    <w:rsid w:val="00787481"/>
    <w:rsid w:val="00787D07"/>
    <w:rsid w:val="00790031"/>
    <w:rsid w:val="0079007C"/>
    <w:rsid w:val="0079083A"/>
    <w:rsid w:val="00790A21"/>
    <w:rsid w:val="00790B41"/>
    <w:rsid w:val="00790D0F"/>
    <w:rsid w:val="00790EFB"/>
    <w:rsid w:val="007913D1"/>
    <w:rsid w:val="00791936"/>
    <w:rsid w:val="00791E26"/>
    <w:rsid w:val="007924A0"/>
    <w:rsid w:val="0079257F"/>
    <w:rsid w:val="007928F0"/>
    <w:rsid w:val="00792B2B"/>
    <w:rsid w:val="00792D82"/>
    <w:rsid w:val="00792F46"/>
    <w:rsid w:val="00793729"/>
    <w:rsid w:val="0079503D"/>
    <w:rsid w:val="00795334"/>
    <w:rsid w:val="007957A2"/>
    <w:rsid w:val="007958EE"/>
    <w:rsid w:val="0079591A"/>
    <w:rsid w:val="00796186"/>
    <w:rsid w:val="007961D9"/>
    <w:rsid w:val="0079661C"/>
    <w:rsid w:val="00796DE2"/>
    <w:rsid w:val="00796E9E"/>
    <w:rsid w:val="0079744F"/>
    <w:rsid w:val="007977EF"/>
    <w:rsid w:val="00797C70"/>
    <w:rsid w:val="00797CCA"/>
    <w:rsid w:val="00797E41"/>
    <w:rsid w:val="007A0528"/>
    <w:rsid w:val="007A0671"/>
    <w:rsid w:val="007A0895"/>
    <w:rsid w:val="007A0905"/>
    <w:rsid w:val="007A0BE4"/>
    <w:rsid w:val="007A0D93"/>
    <w:rsid w:val="007A1402"/>
    <w:rsid w:val="007A147F"/>
    <w:rsid w:val="007A190F"/>
    <w:rsid w:val="007A1B50"/>
    <w:rsid w:val="007A1C72"/>
    <w:rsid w:val="007A1D03"/>
    <w:rsid w:val="007A2C06"/>
    <w:rsid w:val="007A2CCE"/>
    <w:rsid w:val="007A2FD9"/>
    <w:rsid w:val="007A330B"/>
    <w:rsid w:val="007A3584"/>
    <w:rsid w:val="007A4813"/>
    <w:rsid w:val="007A4A4B"/>
    <w:rsid w:val="007A507C"/>
    <w:rsid w:val="007A5290"/>
    <w:rsid w:val="007A538F"/>
    <w:rsid w:val="007A5610"/>
    <w:rsid w:val="007A5EB1"/>
    <w:rsid w:val="007A6578"/>
    <w:rsid w:val="007A688F"/>
    <w:rsid w:val="007A6B88"/>
    <w:rsid w:val="007A6CFB"/>
    <w:rsid w:val="007A7166"/>
    <w:rsid w:val="007A73DA"/>
    <w:rsid w:val="007A7973"/>
    <w:rsid w:val="007A7BB4"/>
    <w:rsid w:val="007B0847"/>
    <w:rsid w:val="007B09DD"/>
    <w:rsid w:val="007B0A9E"/>
    <w:rsid w:val="007B0DDC"/>
    <w:rsid w:val="007B11A6"/>
    <w:rsid w:val="007B1342"/>
    <w:rsid w:val="007B1647"/>
    <w:rsid w:val="007B2012"/>
    <w:rsid w:val="007B22AD"/>
    <w:rsid w:val="007B27A8"/>
    <w:rsid w:val="007B2E93"/>
    <w:rsid w:val="007B359A"/>
    <w:rsid w:val="007B3A24"/>
    <w:rsid w:val="007B3B2A"/>
    <w:rsid w:val="007B3C0D"/>
    <w:rsid w:val="007B3F7D"/>
    <w:rsid w:val="007B4436"/>
    <w:rsid w:val="007B4519"/>
    <w:rsid w:val="007B4690"/>
    <w:rsid w:val="007B5045"/>
    <w:rsid w:val="007B5111"/>
    <w:rsid w:val="007B5293"/>
    <w:rsid w:val="007B5322"/>
    <w:rsid w:val="007B553F"/>
    <w:rsid w:val="007B564C"/>
    <w:rsid w:val="007B59F9"/>
    <w:rsid w:val="007B5B36"/>
    <w:rsid w:val="007B5B91"/>
    <w:rsid w:val="007B610D"/>
    <w:rsid w:val="007B62CD"/>
    <w:rsid w:val="007B6996"/>
    <w:rsid w:val="007B6DEB"/>
    <w:rsid w:val="007B6E37"/>
    <w:rsid w:val="007B70AA"/>
    <w:rsid w:val="007C02C8"/>
    <w:rsid w:val="007C030A"/>
    <w:rsid w:val="007C03E7"/>
    <w:rsid w:val="007C0B7B"/>
    <w:rsid w:val="007C11EC"/>
    <w:rsid w:val="007C1D57"/>
    <w:rsid w:val="007C1FD3"/>
    <w:rsid w:val="007C220A"/>
    <w:rsid w:val="007C2341"/>
    <w:rsid w:val="007C25B8"/>
    <w:rsid w:val="007C2607"/>
    <w:rsid w:val="007C294E"/>
    <w:rsid w:val="007C2AEF"/>
    <w:rsid w:val="007C30EB"/>
    <w:rsid w:val="007C338D"/>
    <w:rsid w:val="007C3404"/>
    <w:rsid w:val="007C3A86"/>
    <w:rsid w:val="007C3BC1"/>
    <w:rsid w:val="007C3EDB"/>
    <w:rsid w:val="007C458C"/>
    <w:rsid w:val="007C4A8B"/>
    <w:rsid w:val="007C4C61"/>
    <w:rsid w:val="007C57EB"/>
    <w:rsid w:val="007C5C95"/>
    <w:rsid w:val="007C5F80"/>
    <w:rsid w:val="007C61B8"/>
    <w:rsid w:val="007C6236"/>
    <w:rsid w:val="007C67D2"/>
    <w:rsid w:val="007C6964"/>
    <w:rsid w:val="007C6D05"/>
    <w:rsid w:val="007C6D5E"/>
    <w:rsid w:val="007C7A3D"/>
    <w:rsid w:val="007C7AD1"/>
    <w:rsid w:val="007C7B01"/>
    <w:rsid w:val="007C7C49"/>
    <w:rsid w:val="007C7CAA"/>
    <w:rsid w:val="007D022B"/>
    <w:rsid w:val="007D07D5"/>
    <w:rsid w:val="007D099E"/>
    <w:rsid w:val="007D0A9D"/>
    <w:rsid w:val="007D0C0A"/>
    <w:rsid w:val="007D0CC4"/>
    <w:rsid w:val="007D13B6"/>
    <w:rsid w:val="007D16CA"/>
    <w:rsid w:val="007D1C62"/>
    <w:rsid w:val="007D1F4E"/>
    <w:rsid w:val="007D1FBC"/>
    <w:rsid w:val="007D286E"/>
    <w:rsid w:val="007D2C52"/>
    <w:rsid w:val="007D3036"/>
    <w:rsid w:val="007D3540"/>
    <w:rsid w:val="007D357E"/>
    <w:rsid w:val="007D3641"/>
    <w:rsid w:val="007D371E"/>
    <w:rsid w:val="007D3DBB"/>
    <w:rsid w:val="007D41A1"/>
    <w:rsid w:val="007D4223"/>
    <w:rsid w:val="007D443B"/>
    <w:rsid w:val="007D4469"/>
    <w:rsid w:val="007D466D"/>
    <w:rsid w:val="007D4A15"/>
    <w:rsid w:val="007D4B74"/>
    <w:rsid w:val="007D4E13"/>
    <w:rsid w:val="007D4EB4"/>
    <w:rsid w:val="007D53F9"/>
    <w:rsid w:val="007D5809"/>
    <w:rsid w:val="007D5E20"/>
    <w:rsid w:val="007D6317"/>
    <w:rsid w:val="007D6883"/>
    <w:rsid w:val="007D697F"/>
    <w:rsid w:val="007D6C39"/>
    <w:rsid w:val="007D6CF9"/>
    <w:rsid w:val="007D6FE7"/>
    <w:rsid w:val="007D74D0"/>
    <w:rsid w:val="007D7778"/>
    <w:rsid w:val="007D789A"/>
    <w:rsid w:val="007D7BF3"/>
    <w:rsid w:val="007E0173"/>
    <w:rsid w:val="007E034D"/>
    <w:rsid w:val="007E06B5"/>
    <w:rsid w:val="007E0B8F"/>
    <w:rsid w:val="007E1029"/>
    <w:rsid w:val="007E11FA"/>
    <w:rsid w:val="007E124A"/>
    <w:rsid w:val="007E1469"/>
    <w:rsid w:val="007E14CA"/>
    <w:rsid w:val="007E15FD"/>
    <w:rsid w:val="007E177F"/>
    <w:rsid w:val="007E1955"/>
    <w:rsid w:val="007E2455"/>
    <w:rsid w:val="007E2614"/>
    <w:rsid w:val="007E2730"/>
    <w:rsid w:val="007E2971"/>
    <w:rsid w:val="007E297E"/>
    <w:rsid w:val="007E2C0B"/>
    <w:rsid w:val="007E2EAB"/>
    <w:rsid w:val="007E2EC3"/>
    <w:rsid w:val="007E2F2F"/>
    <w:rsid w:val="007E3127"/>
    <w:rsid w:val="007E3929"/>
    <w:rsid w:val="007E3A68"/>
    <w:rsid w:val="007E3BBF"/>
    <w:rsid w:val="007E433F"/>
    <w:rsid w:val="007E4680"/>
    <w:rsid w:val="007E483B"/>
    <w:rsid w:val="007E4A3D"/>
    <w:rsid w:val="007E4A71"/>
    <w:rsid w:val="007E4F49"/>
    <w:rsid w:val="007E4FC0"/>
    <w:rsid w:val="007E55B5"/>
    <w:rsid w:val="007E56BC"/>
    <w:rsid w:val="007E59F8"/>
    <w:rsid w:val="007E5B2C"/>
    <w:rsid w:val="007E5B3A"/>
    <w:rsid w:val="007E6055"/>
    <w:rsid w:val="007E61CB"/>
    <w:rsid w:val="007E642B"/>
    <w:rsid w:val="007E64DB"/>
    <w:rsid w:val="007E658B"/>
    <w:rsid w:val="007E6723"/>
    <w:rsid w:val="007E6CC4"/>
    <w:rsid w:val="007E7158"/>
    <w:rsid w:val="007E721D"/>
    <w:rsid w:val="007E7A32"/>
    <w:rsid w:val="007F022D"/>
    <w:rsid w:val="007F0721"/>
    <w:rsid w:val="007F07F8"/>
    <w:rsid w:val="007F0D3F"/>
    <w:rsid w:val="007F139F"/>
    <w:rsid w:val="007F14A5"/>
    <w:rsid w:val="007F15EB"/>
    <w:rsid w:val="007F19CA"/>
    <w:rsid w:val="007F1B72"/>
    <w:rsid w:val="007F1FE4"/>
    <w:rsid w:val="007F2218"/>
    <w:rsid w:val="007F224C"/>
    <w:rsid w:val="007F2335"/>
    <w:rsid w:val="007F2467"/>
    <w:rsid w:val="007F2B40"/>
    <w:rsid w:val="007F2EE4"/>
    <w:rsid w:val="007F3155"/>
    <w:rsid w:val="007F31E0"/>
    <w:rsid w:val="007F3393"/>
    <w:rsid w:val="007F345A"/>
    <w:rsid w:val="007F352A"/>
    <w:rsid w:val="007F41A6"/>
    <w:rsid w:val="007F4890"/>
    <w:rsid w:val="007F49EA"/>
    <w:rsid w:val="007F4C79"/>
    <w:rsid w:val="007F4DE7"/>
    <w:rsid w:val="007F55DF"/>
    <w:rsid w:val="007F5621"/>
    <w:rsid w:val="007F58AC"/>
    <w:rsid w:val="007F5ADF"/>
    <w:rsid w:val="007F5EB6"/>
    <w:rsid w:val="007F620F"/>
    <w:rsid w:val="007F63EB"/>
    <w:rsid w:val="007F6503"/>
    <w:rsid w:val="007F6597"/>
    <w:rsid w:val="007F68F7"/>
    <w:rsid w:val="007F69F4"/>
    <w:rsid w:val="007F719F"/>
    <w:rsid w:val="007F7A10"/>
    <w:rsid w:val="007F7AAD"/>
    <w:rsid w:val="00800185"/>
    <w:rsid w:val="0080045D"/>
    <w:rsid w:val="008005BC"/>
    <w:rsid w:val="00801288"/>
    <w:rsid w:val="00801637"/>
    <w:rsid w:val="008017DE"/>
    <w:rsid w:val="00801828"/>
    <w:rsid w:val="008018DE"/>
    <w:rsid w:val="00801A11"/>
    <w:rsid w:val="00801BA2"/>
    <w:rsid w:val="00801CAA"/>
    <w:rsid w:val="00802D06"/>
    <w:rsid w:val="00802E9F"/>
    <w:rsid w:val="00802ECC"/>
    <w:rsid w:val="00803712"/>
    <w:rsid w:val="00803ABC"/>
    <w:rsid w:val="00803C6A"/>
    <w:rsid w:val="00804822"/>
    <w:rsid w:val="00804A1C"/>
    <w:rsid w:val="00804A56"/>
    <w:rsid w:val="00804FA1"/>
    <w:rsid w:val="008053C3"/>
    <w:rsid w:val="00805918"/>
    <w:rsid w:val="00805A67"/>
    <w:rsid w:val="00805B99"/>
    <w:rsid w:val="00806473"/>
    <w:rsid w:val="008069D9"/>
    <w:rsid w:val="00806A5B"/>
    <w:rsid w:val="00806C31"/>
    <w:rsid w:val="00806FFF"/>
    <w:rsid w:val="008070E4"/>
    <w:rsid w:val="008071D6"/>
    <w:rsid w:val="00807208"/>
    <w:rsid w:val="00807DFF"/>
    <w:rsid w:val="00810361"/>
    <w:rsid w:val="008103D1"/>
    <w:rsid w:val="00810A7B"/>
    <w:rsid w:val="00810AD4"/>
    <w:rsid w:val="00810E60"/>
    <w:rsid w:val="00810EBB"/>
    <w:rsid w:val="00811244"/>
    <w:rsid w:val="0081139D"/>
    <w:rsid w:val="00811603"/>
    <w:rsid w:val="00811793"/>
    <w:rsid w:val="00811AD1"/>
    <w:rsid w:val="00811E03"/>
    <w:rsid w:val="00811F6D"/>
    <w:rsid w:val="00812AB8"/>
    <w:rsid w:val="00812B5F"/>
    <w:rsid w:val="00812BEE"/>
    <w:rsid w:val="00812E4D"/>
    <w:rsid w:val="00812FC9"/>
    <w:rsid w:val="0081367D"/>
    <w:rsid w:val="008137A8"/>
    <w:rsid w:val="00813856"/>
    <w:rsid w:val="00813B50"/>
    <w:rsid w:val="00813BED"/>
    <w:rsid w:val="00813CC3"/>
    <w:rsid w:val="00814368"/>
    <w:rsid w:val="008144EC"/>
    <w:rsid w:val="008147A0"/>
    <w:rsid w:val="00814C5A"/>
    <w:rsid w:val="00814E72"/>
    <w:rsid w:val="00814F78"/>
    <w:rsid w:val="00815121"/>
    <w:rsid w:val="0081519E"/>
    <w:rsid w:val="008151A5"/>
    <w:rsid w:val="00815651"/>
    <w:rsid w:val="00815F5A"/>
    <w:rsid w:val="008160BF"/>
    <w:rsid w:val="008163B9"/>
    <w:rsid w:val="008163CE"/>
    <w:rsid w:val="00816BA6"/>
    <w:rsid w:val="00816BDA"/>
    <w:rsid w:val="00816C2B"/>
    <w:rsid w:val="00816C41"/>
    <w:rsid w:val="00816D2B"/>
    <w:rsid w:val="008171C6"/>
    <w:rsid w:val="008171F1"/>
    <w:rsid w:val="0081749B"/>
    <w:rsid w:val="00817693"/>
    <w:rsid w:val="008178EA"/>
    <w:rsid w:val="00817A21"/>
    <w:rsid w:val="00817CD3"/>
    <w:rsid w:val="0082031C"/>
    <w:rsid w:val="008208B4"/>
    <w:rsid w:val="00820DB1"/>
    <w:rsid w:val="00820FAF"/>
    <w:rsid w:val="00820FC6"/>
    <w:rsid w:val="00821034"/>
    <w:rsid w:val="0082151A"/>
    <w:rsid w:val="00821A20"/>
    <w:rsid w:val="00821A26"/>
    <w:rsid w:val="00821DDE"/>
    <w:rsid w:val="0082230D"/>
    <w:rsid w:val="008226B9"/>
    <w:rsid w:val="00822AB8"/>
    <w:rsid w:val="0082304A"/>
    <w:rsid w:val="00823321"/>
    <w:rsid w:val="00823365"/>
    <w:rsid w:val="00823537"/>
    <w:rsid w:val="00823748"/>
    <w:rsid w:val="00823A89"/>
    <w:rsid w:val="00823C9A"/>
    <w:rsid w:val="008252F0"/>
    <w:rsid w:val="008253EC"/>
    <w:rsid w:val="008258AF"/>
    <w:rsid w:val="00825931"/>
    <w:rsid w:val="00825DD8"/>
    <w:rsid w:val="00825F44"/>
    <w:rsid w:val="008266E8"/>
    <w:rsid w:val="00826A30"/>
    <w:rsid w:val="00826ABB"/>
    <w:rsid w:val="0082734E"/>
    <w:rsid w:val="008276C6"/>
    <w:rsid w:val="00827ECB"/>
    <w:rsid w:val="00827ED7"/>
    <w:rsid w:val="008301EA"/>
    <w:rsid w:val="00830DCD"/>
    <w:rsid w:val="00831220"/>
    <w:rsid w:val="00831254"/>
    <w:rsid w:val="00831FC3"/>
    <w:rsid w:val="0083293C"/>
    <w:rsid w:val="00832AEF"/>
    <w:rsid w:val="00832DA5"/>
    <w:rsid w:val="0083341D"/>
    <w:rsid w:val="00833512"/>
    <w:rsid w:val="0083356B"/>
    <w:rsid w:val="008336E4"/>
    <w:rsid w:val="0083389A"/>
    <w:rsid w:val="0083389C"/>
    <w:rsid w:val="00833998"/>
    <w:rsid w:val="00833C4E"/>
    <w:rsid w:val="00833C7F"/>
    <w:rsid w:val="0083404B"/>
    <w:rsid w:val="00834361"/>
    <w:rsid w:val="0083450D"/>
    <w:rsid w:val="008349A1"/>
    <w:rsid w:val="0083540A"/>
    <w:rsid w:val="0083575F"/>
    <w:rsid w:val="0083583A"/>
    <w:rsid w:val="00835A09"/>
    <w:rsid w:val="00835A1F"/>
    <w:rsid w:val="0083623D"/>
    <w:rsid w:val="00836308"/>
    <w:rsid w:val="00836536"/>
    <w:rsid w:val="00836DAF"/>
    <w:rsid w:val="00837126"/>
    <w:rsid w:val="008371D1"/>
    <w:rsid w:val="0083756A"/>
    <w:rsid w:val="008378D4"/>
    <w:rsid w:val="008378FA"/>
    <w:rsid w:val="00837C1B"/>
    <w:rsid w:val="008401DA"/>
    <w:rsid w:val="008406E2"/>
    <w:rsid w:val="008407AB"/>
    <w:rsid w:val="00840895"/>
    <w:rsid w:val="00840BC0"/>
    <w:rsid w:val="00840C24"/>
    <w:rsid w:val="00840D6A"/>
    <w:rsid w:val="00840DB3"/>
    <w:rsid w:val="00840F5D"/>
    <w:rsid w:val="00840F80"/>
    <w:rsid w:val="00842B0A"/>
    <w:rsid w:val="00842C06"/>
    <w:rsid w:val="00843261"/>
    <w:rsid w:val="008432DA"/>
    <w:rsid w:val="0084374D"/>
    <w:rsid w:val="00843935"/>
    <w:rsid w:val="00843D1C"/>
    <w:rsid w:val="00843D8F"/>
    <w:rsid w:val="00843DEE"/>
    <w:rsid w:val="008441B8"/>
    <w:rsid w:val="0084469B"/>
    <w:rsid w:val="00844913"/>
    <w:rsid w:val="008449B5"/>
    <w:rsid w:val="00844C54"/>
    <w:rsid w:val="00844EEE"/>
    <w:rsid w:val="00844FCD"/>
    <w:rsid w:val="00845B73"/>
    <w:rsid w:val="00845CB7"/>
    <w:rsid w:val="00845F18"/>
    <w:rsid w:val="00846228"/>
    <w:rsid w:val="008462E5"/>
    <w:rsid w:val="008463C2"/>
    <w:rsid w:val="008465AB"/>
    <w:rsid w:val="00846A22"/>
    <w:rsid w:val="00847144"/>
    <w:rsid w:val="00847897"/>
    <w:rsid w:val="00847C14"/>
    <w:rsid w:val="00850020"/>
    <w:rsid w:val="0085019C"/>
    <w:rsid w:val="00850793"/>
    <w:rsid w:val="00850983"/>
    <w:rsid w:val="00850CF9"/>
    <w:rsid w:val="00850E5F"/>
    <w:rsid w:val="0085112B"/>
    <w:rsid w:val="0085140E"/>
    <w:rsid w:val="00851611"/>
    <w:rsid w:val="008516F6"/>
    <w:rsid w:val="00851B83"/>
    <w:rsid w:val="00851C1F"/>
    <w:rsid w:val="00851DC5"/>
    <w:rsid w:val="00853741"/>
    <w:rsid w:val="00853A7A"/>
    <w:rsid w:val="00853BA6"/>
    <w:rsid w:val="00853F2F"/>
    <w:rsid w:val="008541FD"/>
    <w:rsid w:val="0085438F"/>
    <w:rsid w:val="008549F8"/>
    <w:rsid w:val="008553F3"/>
    <w:rsid w:val="008557A4"/>
    <w:rsid w:val="008558C8"/>
    <w:rsid w:val="00855B87"/>
    <w:rsid w:val="00855BD7"/>
    <w:rsid w:val="00855E36"/>
    <w:rsid w:val="008567BC"/>
    <w:rsid w:val="008577F6"/>
    <w:rsid w:val="0085784E"/>
    <w:rsid w:val="00857CA2"/>
    <w:rsid w:val="0086027A"/>
    <w:rsid w:val="00860587"/>
    <w:rsid w:val="0086083B"/>
    <w:rsid w:val="00860E42"/>
    <w:rsid w:val="00861095"/>
    <w:rsid w:val="0086116F"/>
    <w:rsid w:val="00861502"/>
    <w:rsid w:val="008615EE"/>
    <w:rsid w:val="008619EF"/>
    <w:rsid w:val="00861EAD"/>
    <w:rsid w:val="00862191"/>
    <w:rsid w:val="0086332C"/>
    <w:rsid w:val="008633D5"/>
    <w:rsid w:val="00863A61"/>
    <w:rsid w:val="00863E0D"/>
    <w:rsid w:val="0086443C"/>
    <w:rsid w:val="00864F39"/>
    <w:rsid w:val="0086561E"/>
    <w:rsid w:val="00865B15"/>
    <w:rsid w:val="00866544"/>
    <w:rsid w:val="008665F0"/>
    <w:rsid w:val="00866AA7"/>
    <w:rsid w:val="00866B4D"/>
    <w:rsid w:val="00866B9F"/>
    <w:rsid w:val="00866EBF"/>
    <w:rsid w:val="00867177"/>
    <w:rsid w:val="00867618"/>
    <w:rsid w:val="008677C5"/>
    <w:rsid w:val="00867C98"/>
    <w:rsid w:val="00867E43"/>
    <w:rsid w:val="00870074"/>
    <w:rsid w:val="00870921"/>
    <w:rsid w:val="00870C87"/>
    <w:rsid w:val="00870DA2"/>
    <w:rsid w:val="00870F95"/>
    <w:rsid w:val="00870FB9"/>
    <w:rsid w:val="00870FC1"/>
    <w:rsid w:val="00871306"/>
    <w:rsid w:val="00871976"/>
    <w:rsid w:val="00871985"/>
    <w:rsid w:val="008719D6"/>
    <w:rsid w:val="00871B4F"/>
    <w:rsid w:val="00871D57"/>
    <w:rsid w:val="00871DBE"/>
    <w:rsid w:val="00872416"/>
    <w:rsid w:val="008726B5"/>
    <w:rsid w:val="0087270E"/>
    <w:rsid w:val="00872D3A"/>
    <w:rsid w:val="00872EE6"/>
    <w:rsid w:val="00872FEE"/>
    <w:rsid w:val="0087339C"/>
    <w:rsid w:val="008735AE"/>
    <w:rsid w:val="00873EDB"/>
    <w:rsid w:val="00873F13"/>
    <w:rsid w:val="00874781"/>
    <w:rsid w:val="00874C22"/>
    <w:rsid w:val="00875298"/>
    <w:rsid w:val="00875470"/>
    <w:rsid w:val="008755A8"/>
    <w:rsid w:val="00875790"/>
    <w:rsid w:val="00875CDC"/>
    <w:rsid w:val="00876004"/>
    <w:rsid w:val="0087619F"/>
    <w:rsid w:val="008764CB"/>
    <w:rsid w:val="00876566"/>
    <w:rsid w:val="00876760"/>
    <w:rsid w:val="00876D52"/>
    <w:rsid w:val="00876E38"/>
    <w:rsid w:val="00876F5C"/>
    <w:rsid w:val="0087728C"/>
    <w:rsid w:val="0087773A"/>
    <w:rsid w:val="008777B5"/>
    <w:rsid w:val="00877A6E"/>
    <w:rsid w:val="00877D36"/>
    <w:rsid w:val="0088026B"/>
    <w:rsid w:val="00880431"/>
    <w:rsid w:val="00880676"/>
    <w:rsid w:val="008807F6"/>
    <w:rsid w:val="00880A67"/>
    <w:rsid w:val="00880AD6"/>
    <w:rsid w:val="00881103"/>
    <w:rsid w:val="00881178"/>
    <w:rsid w:val="0088122C"/>
    <w:rsid w:val="00881360"/>
    <w:rsid w:val="00881527"/>
    <w:rsid w:val="008822ED"/>
    <w:rsid w:val="008823B8"/>
    <w:rsid w:val="00882568"/>
    <w:rsid w:val="00882B2C"/>
    <w:rsid w:val="00882CD1"/>
    <w:rsid w:val="0088378F"/>
    <w:rsid w:val="00883972"/>
    <w:rsid w:val="00883EC8"/>
    <w:rsid w:val="008840D7"/>
    <w:rsid w:val="008846FE"/>
    <w:rsid w:val="008847AC"/>
    <w:rsid w:val="00884E45"/>
    <w:rsid w:val="0088538F"/>
    <w:rsid w:val="0088585C"/>
    <w:rsid w:val="00886430"/>
    <w:rsid w:val="00886AF9"/>
    <w:rsid w:val="00886D5C"/>
    <w:rsid w:val="00886E9C"/>
    <w:rsid w:val="0088752B"/>
    <w:rsid w:val="00887922"/>
    <w:rsid w:val="00887AA1"/>
    <w:rsid w:val="00887C08"/>
    <w:rsid w:val="00887DAD"/>
    <w:rsid w:val="00887DE9"/>
    <w:rsid w:val="0089039B"/>
    <w:rsid w:val="00890701"/>
    <w:rsid w:val="00890B4E"/>
    <w:rsid w:val="00890E01"/>
    <w:rsid w:val="008910D2"/>
    <w:rsid w:val="0089124D"/>
    <w:rsid w:val="008915AF"/>
    <w:rsid w:val="008915FE"/>
    <w:rsid w:val="00891C63"/>
    <w:rsid w:val="00891CE9"/>
    <w:rsid w:val="00891EB5"/>
    <w:rsid w:val="00892289"/>
    <w:rsid w:val="008923DC"/>
    <w:rsid w:val="008925B1"/>
    <w:rsid w:val="008928AE"/>
    <w:rsid w:val="00892B6E"/>
    <w:rsid w:val="00892D0E"/>
    <w:rsid w:val="00892D3C"/>
    <w:rsid w:val="00892EF5"/>
    <w:rsid w:val="00893099"/>
    <w:rsid w:val="00893541"/>
    <w:rsid w:val="00893674"/>
    <w:rsid w:val="008938FD"/>
    <w:rsid w:val="00893CF2"/>
    <w:rsid w:val="00893F65"/>
    <w:rsid w:val="0089409D"/>
    <w:rsid w:val="008948C4"/>
    <w:rsid w:val="00894B96"/>
    <w:rsid w:val="00894BB0"/>
    <w:rsid w:val="00894E86"/>
    <w:rsid w:val="00894EAD"/>
    <w:rsid w:val="00895057"/>
    <w:rsid w:val="00895243"/>
    <w:rsid w:val="00895C51"/>
    <w:rsid w:val="00895CDB"/>
    <w:rsid w:val="00895E36"/>
    <w:rsid w:val="00896A00"/>
    <w:rsid w:val="00896B0B"/>
    <w:rsid w:val="00896CD7"/>
    <w:rsid w:val="00896CF2"/>
    <w:rsid w:val="00896E90"/>
    <w:rsid w:val="00896F0D"/>
    <w:rsid w:val="008971B4"/>
    <w:rsid w:val="008972BD"/>
    <w:rsid w:val="00897799"/>
    <w:rsid w:val="00897873"/>
    <w:rsid w:val="0089793D"/>
    <w:rsid w:val="00897ED5"/>
    <w:rsid w:val="008A049A"/>
    <w:rsid w:val="008A0556"/>
    <w:rsid w:val="008A05E3"/>
    <w:rsid w:val="008A0C35"/>
    <w:rsid w:val="008A13D7"/>
    <w:rsid w:val="008A1D66"/>
    <w:rsid w:val="008A23BF"/>
    <w:rsid w:val="008A2B0D"/>
    <w:rsid w:val="008A2B0F"/>
    <w:rsid w:val="008A2C1C"/>
    <w:rsid w:val="008A2D47"/>
    <w:rsid w:val="008A2F12"/>
    <w:rsid w:val="008A2F85"/>
    <w:rsid w:val="008A3040"/>
    <w:rsid w:val="008A3069"/>
    <w:rsid w:val="008A3565"/>
    <w:rsid w:val="008A3825"/>
    <w:rsid w:val="008A3D30"/>
    <w:rsid w:val="008A3E88"/>
    <w:rsid w:val="008A4576"/>
    <w:rsid w:val="008A467A"/>
    <w:rsid w:val="008A4808"/>
    <w:rsid w:val="008A48C3"/>
    <w:rsid w:val="008A4B23"/>
    <w:rsid w:val="008A5213"/>
    <w:rsid w:val="008A5265"/>
    <w:rsid w:val="008A54C2"/>
    <w:rsid w:val="008A5625"/>
    <w:rsid w:val="008A57C8"/>
    <w:rsid w:val="008A5B6B"/>
    <w:rsid w:val="008A5BB4"/>
    <w:rsid w:val="008A5FFE"/>
    <w:rsid w:val="008A61FE"/>
    <w:rsid w:val="008A6431"/>
    <w:rsid w:val="008A6542"/>
    <w:rsid w:val="008A6562"/>
    <w:rsid w:val="008A697E"/>
    <w:rsid w:val="008A6F96"/>
    <w:rsid w:val="008A703E"/>
    <w:rsid w:val="008A731B"/>
    <w:rsid w:val="008A741C"/>
    <w:rsid w:val="008A748A"/>
    <w:rsid w:val="008A748F"/>
    <w:rsid w:val="008A784D"/>
    <w:rsid w:val="008A7B3A"/>
    <w:rsid w:val="008A7C61"/>
    <w:rsid w:val="008A7E1D"/>
    <w:rsid w:val="008A7E31"/>
    <w:rsid w:val="008B0184"/>
    <w:rsid w:val="008B0494"/>
    <w:rsid w:val="008B0A4A"/>
    <w:rsid w:val="008B111C"/>
    <w:rsid w:val="008B11C0"/>
    <w:rsid w:val="008B18E7"/>
    <w:rsid w:val="008B1C7C"/>
    <w:rsid w:val="008B2234"/>
    <w:rsid w:val="008B226E"/>
    <w:rsid w:val="008B24DB"/>
    <w:rsid w:val="008B2A58"/>
    <w:rsid w:val="008B2CAE"/>
    <w:rsid w:val="008B37C8"/>
    <w:rsid w:val="008B3F79"/>
    <w:rsid w:val="008B4555"/>
    <w:rsid w:val="008B4B84"/>
    <w:rsid w:val="008B537E"/>
    <w:rsid w:val="008B5464"/>
    <w:rsid w:val="008B5B22"/>
    <w:rsid w:val="008B5BCF"/>
    <w:rsid w:val="008B61BD"/>
    <w:rsid w:val="008B622F"/>
    <w:rsid w:val="008B6813"/>
    <w:rsid w:val="008B6E31"/>
    <w:rsid w:val="008B6EEE"/>
    <w:rsid w:val="008B73FB"/>
    <w:rsid w:val="008B79A9"/>
    <w:rsid w:val="008B7D25"/>
    <w:rsid w:val="008C0062"/>
    <w:rsid w:val="008C01E6"/>
    <w:rsid w:val="008C02AA"/>
    <w:rsid w:val="008C06B1"/>
    <w:rsid w:val="008C0BD9"/>
    <w:rsid w:val="008C137B"/>
    <w:rsid w:val="008C1897"/>
    <w:rsid w:val="008C1911"/>
    <w:rsid w:val="008C2025"/>
    <w:rsid w:val="008C2512"/>
    <w:rsid w:val="008C2713"/>
    <w:rsid w:val="008C2786"/>
    <w:rsid w:val="008C2A8E"/>
    <w:rsid w:val="008C3748"/>
    <w:rsid w:val="008C37CE"/>
    <w:rsid w:val="008C3C39"/>
    <w:rsid w:val="008C3DD8"/>
    <w:rsid w:val="008C3E74"/>
    <w:rsid w:val="008C3EB1"/>
    <w:rsid w:val="008C401D"/>
    <w:rsid w:val="008C4148"/>
    <w:rsid w:val="008C4241"/>
    <w:rsid w:val="008C46CE"/>
    <w:rsid w:val="008C49B2"/>
    <w:rsid w:val="008C4E14"/>
    <w:rsid w:val="008C4FEB"/>
    <w:rsid w:val="008C50C1"/>
    <w:rsid w:val="008C51FF"/>
    <w:rsid w:val="008C542E"/>
    <w:rsid w:val="008C60A2"/>
    <w:rsid w:val="008C60E5"/>
    <w:rsid w:val="008C65B6"/>
    <w:rsid w:val="008C65E2"/>
    <w:rsid w:val="008C68B2"/>
    <w:rsid w:val="008C6923"/>
    <w:rsid w:val="008C7676"/>
    <w:rsid w:val="008C7AAF"/>
    <w:rsid w:val="008C7C49"/>
    <w:rsid w:val="008C7DDA"/>
    <w:rsid w:val="008C7FD9"/>
    <w:rsid w:val="008D02CF"/>
    <w:rsid w:val="008D05D2"/>
    <w:rsid w:val="008D15A8"/>
    <w:rsid w:val="008D186A"/>
    <w:rsid w:val="008D190B"/>
    <w:rsid w:val="008D1B01"/>
    <w:rsid w:val="008D1BDA"/>
    <w:rsid w:val="008D1CC4"/>
    <w:rsid w:val="008D1D83"/>
    <w:rsid w:val="008D1DF4"/>
    <w:rsid w:val="008D1E7C"/>
    <w:rsid w:val="008D20FE"/>
    <w:rsid w:val="008D229B"/>
    <w:rsid w:val="008D2386"/>
    <w:rsid w:val="008D2916"/>
    <w:rsid w:val="008D2987"/>
    <w:rsid w:val="008D2A6C"/>
    <w:rsid w:val="008D2C57"/>
    <w:rsid w:val="008D2D0F"/>
    <w:rsid w:val="008D2D2E"/>
    <w:rsid w:val="008D33CB"/>
    <w:rsid w:val="008D340F"/>
    <w:rsid w:val="008D3432"/>
    <w:rsid w:val="008D38EB"/>
    <w:rsid w:val="008D3A1A"/>
    <w:rsid w:val="008D3B72"/>
    <w:rsid w:val="008D3BBD"/>
    <w:rsid w:val="008D3C78"/>
    <w:rsid w:val="008D426F"/>
    <w:rsid w:val="008D4BA7"/>
    <w:rsid w:val="008D4F8C"/>
    <w:rsid w:val="008D505A"/>
    <w:rsid w:val="008D53A6"/>
    <w:rsid w:val="008D57DD"/>
    <w:rsid w:val="008D5AC1"/>
    <w:rsid w:val="008D5AD4"/>
    <w:rsid w:val="008D637B"/>
    <w:rsid w:val="008D6386"/>
    <w:rsid w:val="008D6662"/>
    <w:rsid w:val="008D671B"/>
    <w:rsid w:val="008D69AA"/>
    <w:rsid w:val="008D6D19"/>
    <w:rsid w:val="008D6D66"/>
    <w:rsid w:val="008D6DDD"/>
    <w:rsid w:val="008D717C"/>
    <w:rsid w:val="008D7319"/>
    <w:rsid w:val="008D7B12"/>
    <w:rsid w:val="008D7B36"/>
    <w:rsid w:val="008D7F13"/>
    <w:rsid w:val="008E0BD3"/>
    <w:rsid w:val="008E0E0B"/>
    <w:rsid w:val="008E13E1"/>
    <w:rsid w:val="008E154E"/>
    <w:rsid w:val="008E1B12"/>
    <w:rsid w:val="008E1E85"/>
    <w:rsid w:val="008E20E3"/>
    <w:rsid w:val="008E227F"/>
    <w:rsid w:val="008E23B7"/>
    <w:rsid w:val="008E245E"/>
    <w:rsid w:val="008E2506"/>
    <w:rsid w:val="008E28A6"/>
    <w:rsid w:val="008E3A78"/>
    <w:rsid w:val="008E3AEC"/>
    <w:rsid w:val="008E3FA4"/>
    <w:rsid w:val="008E40AF"/>
    <w:rsid w:val="008E4255"/>
    <w:rsid w:val="008E4476"/>
    <w:rsid w:val="008E44A9"/>
    <w:rsid w:val="008E4612"/>
    <w:rsid w:val="008E485E"/>
    <w:rsid w:val="008E4FA3"/>
    <w:rsid w:val="008E5433"/>
    <w:rsid w:val="008E54B2"/>
    <w:rsid w:val="008E5B6F"/>
    <w:rsid w:val="008E5BFF"/>
    <w:rsid w:val="008E5C5D"/>
    <w:rsid w:val="008E5D90"/>
    <w:rsid w:val="008E616A"/>
    <w:rsid w:val="008E61F0"/>
    <w:rsid w:val="008E6362"/>
    <w:rsid w:val="008E6472"/>
    <w:rsid w:val="008E65F1"/>
    <w:rsid w:val="008E6886"/>
    <w:rsid w:val="008E6A2C"/>
    <w:rsid w:val="008E6BC8"/>
    <w:rsid w:val="008E6CDE"/>
    <w:rsid w:val="008E6DA6"/>
    <w:rsid w:val="008E6ECF"/>
    <w:rsid w:val="008E7018"/>
    <w:rsid w:val="008E70ED"/>
    <w:rsid w:val="008E7119"/>
    <w:rsid w:val="008E73B2"/>
    <w:rsid w:val="008E7526"/>
    <w:rsid w:val="008E7C09"/>
    <w:rsid w:val="008E7D3C"/>
    <w:rsid w:val="008E7D44"/>
    <w:rsid w:val="008E7E8F"/>
    <w:rsid w:val="008F0050"/>
    <w:rsid w:val="008F02C8"/>
    <w:rsid w:val="008F0AB6"/>
    <w:rsid w:val="008F0ACB"/>
    <w:rsid w:val="008F0BDD"/>
    <w:rsid w:val="008F1472"/>
    <w:rsid w:val="008F16F7"/>
    <w:rsid w:val="008F19A2"/>
    <w:rsid w:val="008F1A4A"/>
    <w:rsid w:val="008F1D78"/>
    <w:rsid w:val="008F2746"/>
    <w:rsid w:val="008F28D1"/>
    <w:rsid w:val="008F2CED"/>
    <w:rsid w:val="008F2E6B"/>
    <w:rsid w:val="008F31D6"/>
    <w:rsid w:val="008F3B43"/>
    <w:rsid w:val="008F422D"/>
    <w:rsid w:val="008F51C4"/>
    <w:rsid w:val="008F51C9"/>
    <w:rsid w:val="008F5204"/>
    <w:rsid w:val="008F54D3"/>
    <w:rsid w:val="008F5757"/>
    <w:rsid w:val="008F5772"/>
    <w:rsid w:val="008F59AF"/>
    <w:rsid w:val="008F5C86"/>
    <w:rsid w:val="008F5CBC"/>
    <w:rsid w:val="008F5D67"/>
    <w:rsid w:val="008F5EC4"/>
    <w:rsid w:val="008F6114"/>
    <w:rsid w:val="008F63EB"/>
    <w:rsid w:val="008F67D8"/>
    <w:rsid w:val="008F6BCF"/>
    <w:rsid w:val="008F7192"/>
    <w:rsid w:val="008F7EBF"/>
    <w:rsid w:val="00900130"/>
    <w:rsid w:val="0090067E"/>
    <w:rsid w:val="00900684"/>
    <w:rsid w:val="0090077A"/>
    <w:rsid w:val="0090081F"/>
    <w:rsid w:val="00900B53"/>
    <w:rsid w:val="00900F31"/>
    <w:rsid w:val="0090111F"/>
    <w:rsid w:val="00901637"/>
    <w:rsid w:val="00901835"/>
    <w:rsid w:val="009018C9"/>
    <w:rsid w:val="00902045"/>
    <w:rsid w:val="00902224"/>
    <w:rsid w:val="009022D1"/>
    <w:rsid w:val="009023B4"/>
    <w:rsid w:val="009024A8"/>
    <w:rsid w:val="00902665"/>
    <w:rsid w:val="00902A2C"/>
    <w:rsid w:val="00902AE1"/>
    <w:rsid w:val="00902D61"/>
    <w:rsid w:val="00902E8D"/>
    <w:rsid w:val="00903320"/>
    <w:rsid w:val="00903445"/>
    <w:rsid w:val="0090344F"/>
    <w:rsid w:val="009039BF"/>
    <w:rsid w:val="00903AF6"/>
    <w:rsid w:val="00903F04"/>
    <w:rsid w:val="00903F20"/>
    <w:rsid w:val="00904129"/>
    <w:rsid w:val="009045AF"/>
    <w:rsid w:val="009047ED"/>
    <w:rsid w:val="00904848"/>
    <w:rsid w:val="009048B8"/>
    <w:rsid w:val="00904913"/>
    <w:rsid w:val="00904DC9"/>
    <w:rsid w:val="00905006"/>
    <w:rsid w:val="0090538B"/>
    <w:rsid w:val="00905F7C"/>
    <w:rsid w:val="009067B0"/>
    <w:rsid w:val="0090683E"/>
    <w:rsid w:val="00906F07"/>
    <w:rsid w:val="00906F59"/>
    <w:rsid w:val="00907573"/>
    <w:rsid w:val="00907A06"/>
    <w:rsid w:val="00907B80"/>
    <w:rsid w:val="00907EEA"/>
    <w:rsid w:val="0091026A"/>
    <w:rsid w:val="009102C6"/>
    <w:rsid w:val="00910637"/>
    <w:rsid w:val="009107ED"/>
    <w:rsid w:val="009108E9"/>
    <w:rsid w:val="0091099F"/>
    <w:rsid w:val="00910F46"/>
    <w:rsid w:val="0091122E"/>
    <w:rsid w:val="009113DB"/>
    <w:rsid w:val="0091146B"/>
    <w:rsid w:val="00911569"/>
    <w:rsid w:val="00911707"/>
    <w:rsid w:val="00911A38"/>
    <w:rsid w:val="00911AC1"/>
    <w:rsid w:val="00911ACE"/>
    <w:rsid w:val="00911F7C"/>
    <w:rsid w:val="00912097"/>
    <w:rsid w:val="00912373"/>
    <w:rsid w:val="00912B9B"/>
    <w:rsid w:val="009130E2"/>
    <w:rsid w:val="00913260"/>
    <w:rsid w:val="009138F5"/>
    <w:rsid w:val="00913A3E"/>
    <w:rsid w:val="00913C90"/>
    <w:rsid w:val="00913CEA"/>
    <w:rsid w:val="00913F14"/>
    <w:rsid w:val="009140F6"/>
    <w:rsid w:val="00914259"/>
    <w:rsid w:val="00914715"/>
    <w:rsid w:val="00914843"/>
    <w:rsid w:val="00914E11"/>
    <w:rsid w:val="00915325"/>
    <w:rsid w:val="00915B86"/>
    <w:rsid w:val="00915DCC"/>
    <w:rsid w:val="00915FBE"/>
    <w:rsid w:val="00916258"/>
    <w:rsid w:val="0091654F"/>
    <w:rsid w:val="009169E6"/>
    <w:rsid w:val="00916FB0"/>
    <w:rsid w:val="00917AD5"/>
    <w:rsid w:val="00917ED2"/>
    <w:rsid w:val="00920324"/>
    <w:rsid w:val="00920ACB"/>
    <w:rsid w:val="00920F4E"/>
    <w:rsid w:val="009213ED"/>
    <w:rsid w:val="00921CC5"/>
    <w:rsid w:val="00921DD7"/>
    <w:rsid w:val="009223DE"/>
    <w:rsid w:val="00922ECF"/>
    <w:rsid w:val="00922FD8"/>
    <w:rsid w:val="00923190"/>
    <w:rsid w:val="0092365D"/>
    <w:rsid w:val="00923669"/>
    <w:rsid w:val="00923702"/>
    <w:rsid w:val="00923792"/>
    <w:rsid w:val="00923971"/>
    <w:rsid w:val="00923C38"/>
    <w:rsid w:val="00923CDA"/>
    <w:rsid w:val="00923DDE"/>
    <w:rsid w:val="00924611"/>
    <w:rsid w:val="00924B38"/>
    <w:rsid w:val="00924FA9"/>
    <w:rsid w:val="00925990"/>
    <w:rsid w:val="00925ACA"/>
    <w:rsid w:val="00925B50"/>
    <w:rsid w:val="00925BF6"/>
    <w:rsid w:val="00925C4E"/>
    <w:rsid w:val="00925CC8"/>
    <w:rsid w:val="00926034"/>
    <w:rsid w:val="0092677A"/>
    <w:rsid w:val="00926EAF"/>
    <w:rsid w:val="00926F35"/>
    <w:rsid w:val="0092734C"/>
    <w:rsid w:val="009273DD"/>
    <w:rsid w:val="00927624"/>
    <w:rsid w:val="0092783C"/>
    <w:rsid w:val="00927A7C"/>
    <w:rsid w:val="00927D72"/>
    <w:rsid w:val="0093011A"/>
    <w:rsid w:val="0093038B"/>
    <w:rsid w:val="00930664"/>
    <w:rsid w:val="0093071D"/>
    <w:rsid w:val="00930B99"/>
    <w:rsid w:val="00930FFA"/>
    <w:rsid w:val="0093125F"/>
    <w:rsid w:val="00931728"/>
    <w:rsid w:val="00931BC6"/>
    <w:rsid w:val="00931DCF"/>
    <w:rsid w:val="00931EB6"/>
    <w:rsid w:val="00932231"/>
    <w:rsid w:val="00932668"/>
    <w:rsid w:val="00932934"/>
    <w:rsid w:val="00932E5B"/>
    <w:rsid w:val="00932E8C"/>
    <w:rsid w:val="00933540"/>
    <w:rsid w:val="00933787"/>
    <w:rsid w:val="00933C8A"/>
    <w:rsid w:val="00933CBC"/>
    <w:rsid w:val="00934201"/>
    <w:rsid w:val="0093497A"/>
    <w:rsid w:val="009351DD"/>
    <w:rsid w:val="0093527D"/>
    <w:rsid w:val="00935EAF"/>
    <w:rsid w:val="00936161"/>
    <w:rsid w:val="00936AFB"/>
    <w:rsid w:val="00936B3F"/>
    <w:rsid w:val="00936E63"/>
    <w:rsid w:val="009371D7"/>
    <w:rsid w:val="009374AC"/>
    <w:rsid w:val="00937660"/>
    <w:rsid w:val="00937E84"/>
    <w:rsid w:val="009402F0"/>
    <w:rsid w:val="0094063F"/>
    <w:rsid w:val="00940ACA"/>
    <w:rsid w:val="00940B18"/>
    <w:rsid w:val="00940B49"/>
    <w:rsid w:val="00940C93"/>
    <w:rsid w:val="00941588"/>
    <w:rsid w:val="00941AE8"/>
    <w:rsid w:val="00941BB5"/>
    <w:rsid w:val="00941D7E"/>
    <w:rsid w:val="00942574"/>
    <w:rsid w:val="009425E9"/>
    <w:rsid w:val="009426A3"/>
    <w:rsid w:val="00942741"/>
    <w:rsid w:val="00942C1D"/>
    <w:rsid w:val="00943249"/>
    <w:rsid w:val="009432D8"/>
    <w:rsid w:val="0094359E"/>
    <w:rsid w:val="00943E96"/>
    <w:rsid w:val="00944168"/>
    <w:rsid w:val="00944212"/>
    <w:rsid w:val="0094428B"/>
    <w:rsid w:val="00944310"/>
    <w:rsid w:val="00944C3C"/>
    <w:rsid w:val="00944F90"/>
    <w:rsid w:val="0094555E"/>
    <w:rsid w:val="00945700"/>
    <w:rsid w:val="00945890"/>
    <w:rsid w:val="00945B45"/>
    <w:rsid w:val="009466A9"/>
    <w:rsid w:val="009469FB"/>
    <w:rsid w:val="00946ACE"/>
    <w:rsid w:val="00946F2D"/>
    <w:rsid w:val="00946F6C"/>
    <w:rsid w:val="009471C2"/>
    <w:rsid w:val="009476FB"/>
    <w:rsid w:val="00947701"/>
    <w:rsid w:val="00947727"/>
    <w:rsid w:val="009477B2"/>
    <w:rsid w:val="0094788A"/>
    <w:rsid w:val="00947926"/>
    <w:rsid w:val="00947D32"/>
    <w:rsid w:val="00947EE6"/>
    <w:rsid w:val="00950886"/>
    <w:rsid w:val="00950974"/>
    <w:rsid w:val="00950AD9"/>
    <w:rsid w:val="00950F27"/>
    <w:rsid w:val="0095166C"/>
    <w:rsid w:val="009516AF"/>
    <w:rsid w:val="00951AE5"/>
    <w:rsid w:val="00951BC1"/>
    <w:rsid w:val="009525AC"/>
    <w:rsid w:val="009528C7"/>
    <w:rsid w:val="00952B23"/>
    <w:rsid w:val="00952BC3"/>
    <w:rsid w:val="009531D7"/>
    <w:rsid w:val="0095381D"/>
    <w:rsid w:val="0095384C"/>
    <w:rsid w:val="00953889"/>
    <w:rsid w:val="00953C75"/>
    <w:rsid w:val="00953D2B"/>
    <w:rsid w:val="00953F05"/>
    <w:rsid w:val="009542D7"/>
    <w:rsid w:val="009542EE"/>
    <w:rsid w:val="00954A1C"/>
    <w:rsid w:val="00954A83"/>
    <w:rsid w:val="00954AF1"/>
    <w:rsid w:val="009551A1"/>
    <w:rsid w:val="009553AC"/>
    <w:rsid w:val="009553C8"/>
    <w:rsid w:val="009556F7"/>
    <w:rsid w:val="00955973"/>
    <w:rsid w:val="00955E3A"/>
    <w:rsid w:val="00955E9D"/>
    <w:rsid w:val="00956032"/>
    <w:rsid w:val="009561EC"/>
    <w:rsid w:val="009562BF"/>
    <w:rsid w:val="00956E3E"/>
    <w:rsid w:val="00957038"/>
    <w:rsid w:val="0095746D"/>
    <w:rsid w:val="009576F8"/>
    <w:rsid w:val="009577BB"/>
    <w:rsid w:val="00957F88"/>
    <w:rsid w:val="00957FF8"/>
    <w:rsid w:val="00960442"/>
    <w:rsid w:val="00960C28"/>
    <w:rsid w:val="00960C9F"/>
    <w:rsid w:val="009612BB"/>
    <w:rsid w:val="0096150C"/>
    <w:rsid w:val="00961B0B"/>
    <w:rsid w:val="00962194"/>
    <w:rsid w:val="00962256"/>
    <w:rsid w:val="00962763"/>
    <w:rsid w:val="00962A48"/>
    <w:rsid w:val="00962B16"/>
    <w:rsid w:val="00962F20"/>
    <w:rsid w:val="00963317"/>
    <w:rsid w:val="0096399A"/>
    <w:rsid w:val="009642EB"/>
    <w:rsid w:val="009648E9"/>
    <w:rsid w:val="00964970"/>
    <w:rsid w:val="00964F0F"/>
    <w:rsid w:val="009652CB"/>
    <w:rsid w:val="0096539E"/>
    <w:rsid w:val="00965582"/>
    <w:rsid w:val="00965B85"/>
    <w:rsid w:val="00966CBD"/>
    <w:rsid w:val="00966D7E"/>
    <w:rsid w:val="0096793A"/>
    <w:rsid w:val="0096799D"/>
    <w:rsid w:val="00967E45"/>
    <w:rsid w:val="00967EBD"/>
    <w:rsid w:val="00970001"/>
    <w:rsid w:val="009702C4"/>
    <w:rsid w:val="00970383"/>
    <w:rsid w:val="00970596"/>
    <w:rsid w:val="009706A4"/>
    <w:rsid w:val="009709ED"/>
    <w:rsid w:val="009710C6"/>
    <w:rsid w:val="00971B45"/>
    <w:rsid w:val="00971C18"/>
    <w:rsid w:val="00971F9F"/>
    <w:rsid w:val="00971FD7"/>
    <w:rsid w:val="00972209"/>
    <w:rsid w:val="0097240A"/>
    <w:rsid w:val="009735DD"/>
    <w:rsid w:val="0097375D"/>
    <w:rsid w:val="00973ACB"/>
    <w:rsid w:val="00973CA5"/>
    <w:rsid w:val="009743AE"/>
    <w:rsid w:val="00974511"/>
    <w:rsid w:val="00974ED7"/>
    <w:rsid w:val="00975391"/>
    <w:rsid w:val="00975B3F"/>
    <w:rsid w:val="0097620F"/>
    <w:rsid w:val="009769A7"/>
    <w:rsid w:val="009769B4"/>
    <w:rsid w:val="00976CE5"/>
    <w:rsid w:val="00976CFC"/>
    <w:rsid w:val="00976D13"/>
    <w:rsid w:val="00976FB5"/>
    <w:rsid w:val="00977403"/>
    <w:rsid w:val="00977B39"/>
    <w:rsid w:val="00980371"/>
    <w:rsid w:val="0098038D"/>
    <w:rsid w:val="00980AC9"/>
    <w:rsid w:val="00980C29"/>
    <w:rsid w:val="00980C8C"/>
    <w:rsid w:val="009811FA"/>
    <w:rsid w:val="0098134D"/>
    <w:rsid w:val="0098146C"/>
    <w:rsid w:val="009814F9"/>
    <w:rsid w:val="0098198A"/>
    <w:rsid w:val="009819D7"/>
    <w:rsid w:val="00981B69"/>
    <w:rsid w:val="009825F1"/>
    <w:rsid w:val="00982606"/>
    <w:rsid w:val="0098297D"/>
    <w:rsid w:val="00982CA3"/>
    <w:rsid w:val="00982F76"/>
    <w:rsid w:val="00982FFA"/>
    <w:rsid w:val="009833BB"/>
    <w:rsid w:val="009835CE"/>
    <w:rsid w:val="0098362D"/>
    <w:rsid w:val="009836C2"/>
    <w:rsid w:val="009838DC"/>
    <w:rsid w:val="00983B4B"/>
    <w:rsid w:val="00983EE4"/>
    <w:rsid w:val="009841F1"/>
    <w:rsid w:val="00984899"/>
    <w:rsid w:val="0098496F"/>
    <w:rsid w:val="00984EF7"/>
    <w:rsid w:val="00985561"/>
    <w:rsid w:val="0098579E"/>
    <w:rsid w:val="00985810"/>
    <w:rsid w:val="0098583C"/>
    <w:rsid w:val="00985EE3"/>
    <w:rsid w:val="0098644A"/>
    <w:rsid w:val="00986FBF"/>
    <w:rsid w:val="0098787C"/>
    <w:rsid w:val="00987C35"/>
    <w:rsid w:val="00987FDE"/>
    <w:rsid w:val="0099031F"/>
    <w:rsid w:val="0099047B"/>
    <w:rsid w:val="00990587"/>
    <w:rsid w:val="00990AF2"/>
    <w:rsid w:val="00990BD4"/>
    <w:rsid w:val="009910BD"/>
    <w:rsid w:val="009914D0"/>
    <w:rsid w:val="0099150B"/>
    <w:rsid w:val="00991AB0"/>
    <w:rsid w:val="00991F98"/>
    <w:rsid w:val="0099251D"/>
    <w:rsid w:val="00992741"/>
    <w:rsid w:val="00992CAD"/>
    <w:rsid w:val="00992E85"/>
    <w:rsid w:val="00992FD7"/>
    <w:rsid w:val="0099305D"/>
    <w:rsid w:val="009935CD"/>
    <w:rsid w:val="0099390B"/>
    <w:rsid w:val="00993A64"/>
    <w:rsid w:val="00993EC2"/>
    <w:rsid w:val="009940A8"/>
    <w:rsid w:val="0099413A"/>
    <w:rsid w:val="009942BB"/>
    <w:rsid w:val="00994558"/>
    <w:rsid w:val="00994A05"/>
    <w:rsid w:val="00994BCE"/>
    <w:rsid w:val="009950A0"/>
    <w:rsid w:val="0099523E"/>
    <w:rsid w:val="00995299"/>
    <w:rsid w:val="009954DD"/>
    <w:rsid w:val="00995876"/>
    <w:rsid w:val="009958DB"/>
    <w:rsid w:val="00995A1F"/>
    <w:rsid w:val="00995B1E"/>
    <w:rsid w:val="00995B79"/>
    <w:rsid w:val="00995E3C"/>
    <w:rsid w:val="0099604F"/>
    <w:rsid w:val="009960CD"/>
    <w:rsid w:val="009964AC"/>
    <w:rsid w:val="0099650D"/>
    <w:rsid w:val="009965FC"/>
    <w:rsid w:val="00996B9D"/>
    <w:rsid w:val="00996C7B"/>
    <w:rsid w:val="00997299"/>
    <w:rsid w:val="00997505"/>
    <w:rsid w:val="00997877"/>
    <w:rsid w:val="00997AD3"/>
    <w:rsid w:val="00997B03"/>
    <w:rsid w:val="00997FDF"/>
    <w:rsid w:val="009A02B4"/>
    <w:rsid w:val="009A03CD"/>
    <w:rsid w:val="009A081D"/>
    <w:rsid w:val="009A0904"/>
    <w:rsid w:val="009A0E0F"/>
    <w:rsid w:val="009A0FD4"/>
    <w:rsid w:val="009A1050"/>
    <w:rsid w:val="009A10C6"/>
    <w:rsid w:val="009A12B3"/>
    <w:rsid w:val="009A15BA"/>
    <w:rsid w:val="009A1832"/>
    <w:rsid w:val="009A188E"/>
    <w:rsid w:val="009A18FC"/>
    <w:rsid w:val="009A1A51"/>
    <w:rsid w:val="009A1B8B"/>
    <w:rsid w:val="009A1EA1"/>
    <w:rsid w:val="009A20D5"/>
    <w:rsid w:val="009A2196"/>
    <w:rsid w:val="009A24CB"/>
    <w:rsid w:val="009A24E7"/>
    <w:rsid w:val="009A26D7"/>
    <w:rsid w:val="009A29A4"/>
    <w:rsid w:val="009A29B0"/>
    <w:rsid w:val="009A2A87"/>
    <w:rsid w:val="009A2B68"/>
    <w:rsid w:val="009A2C1C"/>
    <w:rsid w:val="009A2D83"/>
    <w:rsid w:val="009A34A1"/>
    <w:rsid w:val="009A3610"/>
    <w:rsid w:val="009A3F10"/>
    <w:rsid w:val="009A4356"/>
    <w:rsid w:val="009A439D"/>
    <w:rsid w:val="009A44CD"/>
    <w:rsid w:val="009A4864"/>
    <w:rsid w:val="009A4E4D"/>
    <w:rsid w:val="009A51D4"/>
    <w:rsid w:val="009A549D"/>
    <w:rsid w:val="009A56B4"/>
    <w:rsid w:val="009A6BE1"/>
    <w:rsid w:val="009A7155"/>
    <w:rsid w:val="009A73A9"/>
    <w:rsid w:val="009A7477"/>
    <w:rsid w:val="009A7D91"/>
    <w:rsid w:val="009B009D"/>
    <w:rsid w:val="009B0122"/>
    <w:rsid w:val="009B0560"/>
    <w:rsid w:val="009B07C9"/>
    <w:rsid w:val="009B1020"/>
    <w:rsid w:val="009B1364"/>
    <w:rsid w:val="009B1B00"/>
    <w:rsid w:val="009B1FB3"/>
    <w:rsid w:val="009B22FF"/>
    <w:rsid w:val="009B2602"/>
    <w:rsid w:val="009B2704"/>
    <w:rsid w:val="009B28A4"/>
    <w:rsid w:val="009B2FC5"/>
    <w:rsid w:val="009B316A"/>
    <w:rsid w:val="009B3305"/>
    <w:rsid w:val="009B374E"/>
    <w:rsid w:val="009B3820"/>
    <w:rsid w:val="009B3988"/>
    <w:rsid w:val="009B3ED3"/>
    <w:rsid w:val="009B3F71"/>
    <w:rsid w:val="009B40BC"/>
    <w:rsid w:val="009B45F9"/>
    <w:rsid w:val="009B4657"/>
    <w:rsid w:val="009B4A21"/>
    <w:rsid w:val="009B506A"/>
    <w:rsid w:val="009B54CB"/>
    <w:rsid w:val="009B5680"/>
    <w:rsid w:val="009B596A"/>
    <w:rsid w:val="009B5A36"/>
    <w:rsid w:val="009B5D84"/>
    <w:rsid w:val="009B630E"/>
    <w:rsid w:val="009B6920"/>
    <w:rsid w:val="009B7E8C"/>
    <w:rsid w:val="009B7F65"/>
    <w:rsid w:val="009C0626"/>
    <w:rsid w:val="009C0883"/>
    <w:rsid w:val="009C0E75"/>
    <w:rsid w:val="009C0EDB"/>
    <w:rsid w:val="009C0EE2"/>
    <w:rsid w:val="009C0FFE"/>
    <w:rsid w:val="009C1013"/>
    <w:rsid w:val="009C126B"/>
    <w:rsid w:val="009C157F"/>
    <w:rsid w:val="009C1C80"/>
    <w:rsid w:val="009C1E28"/>
    <w:rsid w:val="009C211E"/>
    <w:rsid w:val="009C2330"/>
    <w:rsid w:val="009C23F0"/>
    <w:rsid w:val="009C2987"/>
    <w:rsid w:val="009C2997"/>
    <w:rsid w:val="009C346E"/>
    <w:rsid w:val="009C35F8"/>
    <w:rsid w:val="009C363D"/>
    <w:rsid w:val="009C3682"/>
    <w:rsid w:val="009C394A"/>
    <w:rsid w:val="009C3C8B"/>
    <w:rsid w:val="009C405E"/>
    <w:rsid w:val="009C4197"/>
    <w:rsid w:val="009C433E"/>
    <w:rsid w:val="009C4708"/>
    <w:rsid w:val="009C4F2A"/>
    <w:rsid w:val="009C5780"/>
    <w:rsid w:val="009C5AB0"/>
    <w:rsid w:val="009C5CCF"/>
    <w:rsid w:val="009C5E06"/>
    <w:rsid w:val="009C5FEE"/>
    <w:rsid w:val="009C61A1"/>
    <w:rsid w:val="009C689A"/>
    <w:rsid w:val="009C6A46"/>
    <w:rsid w:val="009C6A65"/>
    <w:rsid w:val="009C6CF5"/>
    <w:rsid w:val="009C6FB4"/>
    <w:rsid w:val="009C73B4"/>
    <w:rsid w:val="009C742B"/>
    <w:rsid w:val="009C74BF"/>
    <w:rsid w:val="009C7986"/>
    <w:rsid w:val="009C7BD2"/>
    <w:rsid w:val="009C7FB9"/>
    <w:rsid w:val="009D0234"/>
    <w:rsid w:val="009D05C4"/>
    <w:rsid w:val="009D1043"/>
    <w:rsid w:val="009D15E7"/>
    <w:rsid w:val="009D1A3D"/>
    <w:rsid w:val="009D1F37"/>
    <w:rsid w:val="009D217C"/>
    <w:rsid w:val="009D2739"/>
    <w:rsid w:val="009D281C"/>
    <w:rsid w:val="009D335D"/>
    <w:rsid w:val="009D3452"/>
    <w:rsid w:val="009D36CF"/>
    <w:rsid w:val="009D3B86"/>
    <w:rsid w:val="009D3FEE"/>
    <w:rsid w:val="009D40D2"/>
    <w:rsid w:val="009D4526"/>
    <w:rsid w:val="009D5167"/>
    <w:rsid w:val="009D55E1"/>
    <w:rsid w:val="009D5777"/>
    <w:rsid w:val="009D5AAA"/>
    <w:rsid w:val="009D60C6"/>
    <w:rsid w:val="009D6162"/>
    <w:rsid w:val="009D61BA"/>
    <w:rsid w:val="009D61F8"/>
    <w:rsid w:val="009D63C7"/>
    <w:rsid w:val="009D643E"/>
    <w:rsid w:val="009D6854"/>
    <w:rsid w:val="009D7C83"/>
    <w:rsid w:val="009D7E24"/>
    <w:rsid w:val="009E006E"/>
    <w:rsid w:val="009E0692"/>
    <w:rsid w:val="009E0FF6"/>
    <w:rsid w:val="009E104B"/>
    <w:rsid w:val="009E11F5"/>
    <w:rsid w:val="009E12D7"/>
    <w:rsid w:val="009E1330"/>
    <w:rsid w:val="009E1462"/>
    <w:rsid w:val="009E1A1E"/>
    <w:rsid w:val="009E1C31"/>
    <w:rsid w:val="009E2069"/>
    <w:rsid w:val="009E2356"/>
    <w:rsid w:val="009E27E2"/>
    <w:rsid w:val="009E34C0"/>
    <w:rsid w:val="009E35CA"/>
    <w:rsid w:val="009E37CC"/>
    <w:rsid w:val="009E39BA"/>
    <w:rsid w:val="009E3BAF"/>
    <w:rsid w:val="009E3ED3"/>
    <w:rsid w:val="009E405D"/>
    <w:rsid w:val="009E4A0C"/>
    <w:rsid w:val="009E5149"/>
    <w:rsid w:val="009E53E9"/>
    <w:rsid w:val="009E574B"/>
    <w:rsid w:val="009E5AE7"/>
    <w:rsid w:val="009E5BFE"/>
    <w:rsid w:val="009E5DD7"/>
    <w:rsid w:val="009E613E"/>
    <w:rsid w:val="009E6C42"/>
    <w:rsid w:val="009E6E2D"/>
    <w:rsid w:val="009E6EFC"/>
    <w:rsid w:val="009E7399"/>
    <w:rsid w:val="009E7619"/>
    <w:rsid w:val="009E76A9"/>
    <w:rsid w:val="009E7C00"/>
    <w:rsid w:val="009E7D9C"/>
    <w:rsid w:val="009E7E38"/>
    <w:rsid w:val="009F0725"/>
    <w:rsid w:val="009F092A"/>
    <w:rsid w:val="009F0BEE"/>
    <w:rsid w:val="009F0D84"/>
    <w:rsid w:val="009F1743"/>
    <w:rsid w:val="009F25F1"/>
    <w:rsid w:val="009F27DC"/>
    <w:rsid w:val="009F29CC"/>
    <w:rsid w:val="009F3055"/>
    <w:rsid w:val="009F30FB"/>
    <w:rsid w:val="009F35B2"/>
    <w:rsid w:val="009F36CF"/>
    <w:rsid w:val="009F386B"/>
    <w:rsid w:val="009F3A08"/>
    <w:rsid w:val="009F3AC7"/>
    <w:rsid w:val="009F3BA8"/>
    <w:rsid w:val="009F40BF"/>
    <w:rsid w:val="009F4343"/>
    <w:rsid w:val="009F4408"/>
    <w:rsid w:val="009F477F"/>
    <w:rsid w:val="009F48AD"/>
    <w:rsid w:val="009F4F9A"/>
    <w:rsid w:val="009F569D"/>
    <w:rsid w:val="009F5B40"/>
    <w:rsid w:val="009F61A2"/>
    <w:rsid w:val="009F6495"/>
    <w:rsid w:val="009F698B"/>
    <w:rsid w:val="009F6AF1"/>
    <w:rsid w:val="009F6C79"/>
    <w:rsid w:val="009F6E52"/>
    <w:rsid w:val="009F71AA"/>
    <w:rsid w:val="009F732F"/>
    <w:rsid w:val="009F7590"/>
    <w:rsid w:val="009F7DAE"/>
    <w:rsid w:val="00A00188"/>
    <w:rsid w:val="00A0019E"/>
    <w:rsid w:val="00A0087B"/>
    <w:rsid w:val="00A00FF9"/>
    <w:rsid w:val="00A012EB"/>
    <w:rsid w:val="00A01390"/>
    <w:rsid w:val="00A01745"/>
    <w:rsid w:val="00A01902"/>
    <w:rsid w:val="00A01960"/>
    <w:rsid w:val="00A023C1"/>
    <w:rsid w:val="00A024A3"/>
    <w:rsid w:val="00A02770"/>
    <w:rsid w:val="00A0295B"/>
    <w:rsid w:val="00A02E72"/>
    <w:rsid w:val="00A02F65"/>
    <w:rsid w:val="00A03039"/>
    <w:rsid w:val="00A031DA"/>
    <w:rsid w:val="00A032E7"/>
    <w:rsid w:val="00A03400"/>
    <w:rsid w:val="00A035E6"/>
    <w:rsid w:val="00A037FC"/>
    <w:rsid w:val="00A04142"/>
    <w:rsid w:val="00A0415C"/>
    <w:rsid w:val="00A04586"/>
    <w:rsid w:val="00A0484D"/>
    <w:rsid w:val="00A04896"/>
    <w:rsid w:val="00A04AC1"/>
    <w:rsid w:val="00A05071"/>
    <w:rsid w:val="00A050C6"/>
    <w:rsid w:val="00A059B6"/>
    <w:rsid w:val="00A05F08"/>
    <w:rsid w:val="00A06184"/>
    <w:rsid w:val="00A061B0"/>
    <w:rsid w:val="00A06393"/>
    <w:rsid w:val="00A06527"/>
    <w:rsid w:val="00A06734"/>
    <w:rsid w:val="00A06D90"/>
    <w:rsid w:val="00A077DD"/>
    <w:rsid w:val="00A07B4E"/>
    <w:rsid w:val="00A07BA3"/>
    <w:rsid w:val="00A07C54"/>
    <w:rsid w:val="00A07C94"/>
    <w:rsid w:val="00A07DA7"/>
    <w:rsid w:val="00A1065D"/>
    <w:rsid w:val="00A10A2A"/>
    <w:rsid w:val="00A10C44"/>
    <w:rsid w:val="00A10D2E"/>
    <w:rsid w:val="00A10D68"/>
    <w:rsid w:val="00A11306"/>
    <w:rsid w:val="00A11C5C"/>
    <w:rsid w:val="00A11E22"/>
    <w:rsid w:val="00A1214E"/>
    <w:rsid w:val="00A12282"/>
    <w:rsid w:val="00A1269A"/>
    <w:rsid w:val="00A12825"/>
    <w:rsid w:val="00A1293E"/>
    <w:rsid w:val="00A129D0"/>
    <w:rsid w:val="00A12F46"/>
    <w:rsid w:val="00A130AC"/>
    <w:rsid w:val="00A1366A"/>
    <w:rsid w:val="00A13853"/>
    <w:rsid w:val="00A139D6"/>
    <w:rsid w:val="00A145B0"/>
    <w:rsid w:val="00A1487E"/>
    <w:rsid w:val="00A14E95"/>
    <w:rsid w:val="00A150EB"/>
    <w:rsid w:val="00A151B8"/>
    <w:rsid w:val="00A152FD"/>
    <w:rsid w:val="00A15391"/>
    <w:rsid w:val="00A15413"/>
    <w:rsid w:val="00A1576E"/>
    <w:rsid w:val="00A157D5"/>
    <w:rsid w:val="00A16486"/>
    <w:rsid w:val="00A16775"/>
    <w:rsid w:val="00A178D3"/>
    <w:rsid w:val="00A17ABE"/>
    <w:rsid w:val="00A17B99"/>
    <w:rsid w:val="00A17B9F"/>
    <w:rsid w:val="00A17BE7"/>
    <w:rsid w:val="00A17CC2"/>
    <w:rsid w:val="00A17E53"/>
    <w:rsid w:val="00A17FD5"/>
    <w:rsid w:val="00A2005E"/>
    <w:rsid w:val="00A20103"/>
    <w:rsid w:val="00A208E0"/>
    <w:rsid w:val="00A20920"/>
    <w:rsid w:val="00A20A6B"/>
    <w:rsid w:val="00A20C16"/>
    <w:rsid w:val="00A2110D"/>
    <w:rsid w:val="00A2127B"/>
    <w:rsid w:val="00A21FAC"/>
    <w:rsid w:val="00A2326F"/>
    <w:rsid w:val="00A23372"/>
    <w:rsid w:val="00A2356D"/>
    <w:rsid w:val="00A237D6"/>
    <w:rsid w:val="00A23DEF"/>
    <w:rsid w:val="00A2414C"/>
    <w:rsid w:val="00A24917"/>
    <w:rsid w:val="00A24BE9"/>
    <w:rsid w:val="00A24DCE"/>
    <w:rsid w:val="00A2538A"/>
    <w:rsid w:val="00A25798"/>
    <w:rsid w:val="00A259C4"/>
    <w:rsid w:val="00A25DDD"/>
    <w:rsid w:val="00A25E6D"/>
    <w:rsid w:val="00A25F6A"/>
    <w:rsid w:val="00A2646D"/>
    <w:rsid w:val="00A264EE"/>
    <w:rsid w:val="00A26918"/>
    <w:rsid w:val="00A26A49"/>
    <w:rsid w:val="00A26A58"/>
    <w:rsid w:val="00A27114"/>
    <w:rsid w:val="00A2768B"/>
    <w:rsid w:val="00A27AE4"/>
    <w:rsid w:val="00A27FA0"/>
    <w:rsid w:val="00A3013B"/>
    <w:rsid w:val="00A3041A"/>
    <w:rsid w:val="00A3071D"/>
    <w:rsid w:val="00A30D4A"/>
    <w:rsid w:val="00A30F77"/>
    <w:rsid w:val="00A31449"/>
    <w:rsid w:val="00A3156D"/>
    <w:rsid w:val="00A316DA"/>
    <w:rsid w:val="00A31DCA"/>
    <w:rsid w:val="00A3216A"/>
    <w:rsid w:val="00A327A6"/>
    <w:rsid w:val="00A3299F"/>
    <w:rsid w:val="00A32AD5"/>
    <w:rsid w:val="00A331CC"/>
    <w:rsid w:val="00A334B1"/>
    <w:rsid w:val="00A33C51"/>
    <w:rsid w:val="00A33F57"/>
    <w:rsid w:val="00A34216"/>
    <w:rsid w:val="00A34917"/>
    <w:rsid w:val="00A34A42"/>
    <w:rsid w:val="00A34D44"/>
    <w:rsid w:val="00A34E6B"/>
    <w:rsid w:val="00A35300"/>
    <w:rsid w:val="00A35387"/>
    <w:rsid w:val="00A3579F"/>
    <w:rsid w:val="00A35B8A"/>
    <w:rsid w:val="00A35BAE"/>
    <w:rsid w:val="00A35D09"/>
    <w:rsid w:val="00A36623"/>
    <w:rsid w:val="00A36967"/>
    <w:rsid w:val="00A37231"/>
    <w:rsid w:val="00A37284"/>
    <w:rsid w:val="00A3742E"/>
    <w:rsid w:val="00A37442"/>
    <w:rsid w:val="00A37500"/>
    <w:rsid w:val="00A37A6E"/>
    <w:rsid w:val="00A37AA6"/>
    <w:rsid w:val="00A37CA6"/>
    <w:rsid w:val="00A405C4"/>
    <w:rsid w:val="00A407B2"/>
    <w:rsid w:val="00A4126B"/>
    <w:rsid w:val="00A41323"/>
    <w:rsid w:val="00A41A3C"/>
    <w:rsid w:val="00A41A8C"/>
    <w:rsid w:val="00A41B74"/>
    <w:rsid w:val="00A428A7"/>
    <w:rsid w:val="00A429A0"/>
    <w:rsid w:val="00A42BC7"/>
    <w:rsid w:val="00A443C0"/>
    <w:rsid w:val="00A444EF"/>
    <w:rsid w:val="00A4455D"/>
    <w:rsid w:val="00A4458D"/>
    <w:rsid w:val="00A44593"/>
    <w:rsid w:val="00A44C6D"/>
    <w:rsid w:val="00A44C84"/>
    <w:rsid w:val="00A44DAB"/>
    <w:rsid w:val="00A45019"/>
    <w:rsid w:val="00A4513F"/>
    <w:rsid w:val="00A45577"/>
    <w:rsid w:val="00A458D4"/>
    <w:rsid w:val="00A45A3F"/>
    <w:rsid w:val="00A4659B"/>
    <w:rsid w:val="00A46883"/>
    <w:rsid w:val="00A46B5D"/>
    <w:rsid w:val="00A46E32"/>
    <w:rsid w:val="00A4712F"/>
    <w:rsid w:val="00A472D4"/>
    <w:rsid w:val="00A4755F"/>
    <w:rsid w:val="00A47581"/>
    <w:rsid w:val="00A47957"/>
    <w:rsid w:val="00A47A78"/>
    <w:rsid w:val="00A47CBD"/>
    <w:rsid w:val="00A47FFC"/>
    <w:rsid w:val="00A5007B"/>
    <w:rsid w:val="00A510EE"/>
    <w:rsid w:val="00A51394"/>
    <w:rsid w:val="00A5141C"/>
    <w:rsid w:val="00A51705"/>
    <w:rsid w:val="00A51875"/>
    <w:rsid w:val="00A518DD"/>
    <w:rsid w:val="00A51A4A"/>
    <w:rsid w:val="00A51AAB"/>
    <w:rsid w:val="00A5210F"/>
    <w:rsid w:val="00A5211A"/>
    <w:rsid w:val="00A52259"/>
    <w:rsid w:val="00A52682"/>
    <w:rsid w:val="00A527B3"/>
    <w:rsid w:val="00A529E1"/>
    <w:rsid w:val="00A52A17"/>
    <w:rsid w:val="00A52B9E"/>
    <w:rsid w:val="00A52EEC"/>
    <w:rsid w:val="00A52F3D"/>
    <w:rsid w:val="00A5331D"/>
    <w:rsid w:val="00A5344D"/>
    <w:rsid w:val="00A5348B"/>
    <w:rsid w:val="00A53588"/>
    <w:rsid w:val="00A535E1"/>
    <w:rsid w:val="00A53B6D"/>
    <w:rsid w:val="00A53DAD"/>
    <w:rsid w:val="00A540AE"/>
    <w:rsid w:val="00A5425B"/>
    <w:rsid w:val="00A54454"/>
    <w:rsid w:val="00A54532"/>
    <w:rsid w:val="00A5458D"/>
    <w:rsid w:val="00A54CA1"/>
    <w:rsid w:val="00A54CAC"/>
    <w:rsid w:val="00A55273"/>
    <w:rsid w:val="00A555C0"/>
    <w:rsid w:val="00A55B18"/>
    <w:rsid w:val="00A55C6C"/>
    <w:rsid w:val="00A55F61"/>
    <w:rsid w:val="00A56110"/>
    <w:rsid w:val="00A5637F"/>
    <w:rsid w:val="00A566AF"/>
    <w:rsid w:val="00A56C46"/>
    <w:rsid w:val="00A57084"/>
    <w:rsid w:val="00A57251"/>
    <w:rsid w:val="00A57287"/>
    <w:rsid w:val="00A577FD"/>
    <w:rsid w:val="00A601BE"/>
    <w:rsid w:val="00A602E7"/>
    <w:rsid w:val="00A60521"/>
    <w:rsid w:val="00A60852"/>
    <w:rsid w:val="00A61118"/>
    <w:rsid w:val="00A6166D"/>
    <w:rsid w:val="00A618E5"/>
    <w:rsid w:val="00A61C43"/>
    <w:rsid w:val="00A61DAC"/>
    <w:rsid w:val="00A61E62"/>
    <w:rsid w:val="00A621D5"/>
    <w:rsid w:val="00A62336"/>
    <w:rsid w:val="00A62400"/>
    <w:rsid w:val="00A62788"/>
    <w:rsid w:val="00A629AF"/>
    <w:rsid w:val="00A62B21"/>
    <w:rsid w:val="00A62C83"/>
    <w:rsid w:val="00A62DF9"/>
    <w:rsid w:val="00A62E4C"/>
    <w:rsid w:val="00A62E97"/>
    <w:rsid w:val="00A62F1C"/>
    <w:rsid w:val="00A63258"/>
    <w:rsid w:val="00A636EB"/>
    <w:rsid w:val="00A6395A"/>
    <w:rsid w:val="00A63B36"/>
    <w:rsid w:val="00A63BE7"/>
    <w:rsid w:val="00A63FCF"/>
    <w:rsid w:val="00A64018"/>
    <w:rsid w:val="00A64795"/>
    <w:rsid w:val="00A648D8"/>
    <w:rsid w:val="00A64E41"/>
    <w:rsid w:val="00A652D2"/>
    <w:rsid w:val="00A652F0"/>
    <w:rsid w:val="00A65313"/>
    <w:rsid w:val="00A6554F"/>
    <w:rsid w:val="00A6558F"/>
    <w:rsid w:val="00A656C7"/>
    <w:rsid w:val="00A65843"/>
    <w:rsid w:val="00A65DCD"/>
    <w:rsid w:val="00A66192"/>
    <w:rsid w:val="00A6620B"/>
    <w:rsid w:val="00A663B5"/>
    <w:rsid w:val="00A6640B"/>
    <w:rsid w:val="00A6655F"/>
    <w:rsid w:val="00A66B3C"/>
    <w:rsid w:val="00A66D93"/>
    <w:rsid w:val="00A67124"/>
    <w:rsid w:val="00A67468"/>
    <w:rsid w:val="00A675C5"/>
    <w:rsid w:val="00A677AB"/>
    <w:rsid w:val="00A67B08"/>
    <w:rsid w:val="00A67B9C"/>
    <w:rsid w:val="00A67D8D"/>
    <w:rsid w:val="00A70271"/>
    <w:rsid w:val="00A706D6"/>
    <w:rsid w:val="00A70CE9"/>
    <w:rsid w:val="00A70ECD"/>
    <w:rsid w:val="00A71F49"/>
    <w:rsid w:val="00A72531"/>
    <w:rsid w:val="00A72D18"/>
    <w:rsid w:val="00A72EEC"/>
    <w:rsid w:val="00A72FC6"/>
    <w:rsid w:val="00A731BB"/>
    <w:rsid w:val="00A73224"/>
    <w:rsid w:val="00A73266"/>
    <w:rsid w:val="00A73989"/>
    <w:rsid w:val="00A73ED6"/>
    <w:rsid w:val="00A7417C"/>
    <w:rsid w:val="00A745E2"/>
    <w:rsid w:val="00A74A9F"/>
    <w:rsid w:val="00A74D2E"/>
    <w:rsid w:val="00A754EE"/>
    <w:rsid w:val="00A75C76"/>
    <w:rsid w:val="00A75F52"/>
    <w:rsid w:val="00A7649A"/>
    <w:rsid w:val="00A773B1"/>
    <w:rsid w:val="00A773D5"/>
    <w:rsid w:val="00A7742E"/>
    <w:rsid w:val="00A776C1"/>
    <w:rsid w:val="00A7799A"/>
    <w:rsid w:val="00A80081"/>
    <w:rsid w:val="00A8028C"/>
    <w:rsid w:val="00A8078B"/>
    <w:rsid w:val="00A80B8F"/>
    <w:rsid w:val="00A80DE8"/>
    <w:rsid w:val="00A81326"/>
    <w:rsid w:val="00A82356"/>
    <w:rsid w:val="00A826E8"/>
    <w:rsid w:val="00A8296F"/>
    <w:rsid w:val="00A82B23"/>
    <w:rsid w:val="00A832EF"/>
    <w:rsid w:val="00A83784"/>
    <w:rsid w:val="00A83D5A"/>
    <w:rsid w:val="00A83E04"/>
    <w:rsid w:val="00A841F9"/>
    <w:rsid w:val="00A8425B"/>
    <w:rsid w:val="00A842D3"/>
    <w:rsid w:val="00A843FC"/>
    <w:rsid w:val="00A845D6"/>
    <w:rsid w:val="00A84942"/>
    <w:rsid w:val="00A849B1"/>
    <w:rsid w:val="00A84B09"/>
    <w:rsid w:val="00A84DC0"/>
    <w:rsid w:val="00A84FC2"/>
    <w:rsid w:val="00A8526A"/>
    <w:rsid w:val="00A852A9"/>
    <w:rsid w:val="00A854EE"/>
    <w:rsid w:val="00A85528"/>
    <w:rsid w:val="00A8561E"/>
    <w:rsid w:val="00A856A2"/>
    <w:rsid w:val="00A8576F"/>
    <w:rsid w:val="00A859BA"/>
    <w:rsid w:val="00A85B3A"/>
    <w:rsid w:val="00A85D1C"/>
    <w:rsid w:val="00A85E99"/>
    <w:rsid w:val="00A85F6E"/>
    <w:rsid w:val="00A85FF5"/>
    <w:rsid w:val="00A86363"/>
    <w:rsid w:val="00A86845"/>
    <w:rsid w:val="00A871F3"/>
    <w:rsid w:val="00A87416"/>
    <w:rsid w:val="00A8756A"/>
    <w:rsid w:val="00A876A9"/>
    <w:rsid w:val="00A87DFF"/>
    <w:rsid w:val="00A905E8"/>
    <w:rsid w:val="00A9136C"/>
    <w:rsid w:val="00A913C6"/>
    <w:rsid w:val="00A91519"/>
    <w:rsid w:val="00A91B99"/>
    <w:rsid w:val="00A91FCB"/>
    <w:rsid w:val="00A926FF"/>
    <w:rsid w:val="00A92EB2"/>
    <w:rsid w:val="00A92FA1"/>
    <w:rsid w:val="00A930C3"/>
    <w:rsid w:val="00A93520"/>
    <w:rsid w:val="00A93731"/>
    <w:rsid w:val="00A93773"/>
    <w:rsid w:val="00A93894"/>
    <w:rsid w:val="00A938C7"/>
    <w:rsid w:val="00A93B87"/>
    <w:rsid w:val="00A93FFC"/>
    <w:rsid w:val="00A94106"/>
    <w:rsid w:val="00A945F1"/>
    <w:rsid w:val="00A9468D"/>
    <w:rsid w:val="00A9490F"/>
    <w:rsid w:val="00A95051"/>
    <w:rsid w:val="00A955E9"/>
    <w:rsid w:val="00A95724"/>
    <w:rsid w:val="00A957F6"/>
    <w:rsid w:val="00A95BCE"/>
    <w:rsid w:val="00A96310"/>
    <w:rsid w:val="00A968F0"/>
    <w:rsid w:val="00A969A6"/>
    <w:rsid w:val="00A96E2B"/>
    <w:rsid w:val="00A979E7"/>
    <w:rsid w:val="00A97C29"/>
    <w:rsid w:val="00A97CF1"/>
    <w:rsid w:val="00AA04D9"/>
    <w:rsid w:val="00AA1B15"/>
    <w:rsid w:val="00AA1D0E"/>
    <w:rsid w:val="00AA2498"/>
    <w:rsid w:val="00AA2CF0"/>
    <w:rsid w:val="00AA34F8"/>
    <w:rsid w:val="00AA35A5"/>
    <w:rsid w:val="00AA37FB"/>
    <w:rsid w:val="00AA3867"/>
    <w:rsid w:val="00AA3881"/>
    <w:rsid w:val="00AA3ECE"/>
    <w:rsid w:val="00AA421F"/>
    <w:rsid w:val="00AA4527"/>
    <w:rsid w:val="00AA4558"/>
    <w:rsid w:val="00AA47D4"/>
    <w:rsid w:val="00AA4AD8"/>
    <w:rsid w:val="00AA4D1C"/>
    <w:rsid w:val="00AA53AA"/>
    <w:rsid w:val="00AA5629"/>
    <w:rsid w:val="00AA562F"/>
    <w:rsid w:val="00AA588B"/>
    <w:rsid w:val="00AA5A04"/>
    <w:rsid w:val="00AA5A52"/>
    <w:rsid w:val="00AA6030"/>
    <w:rsid w:val="00AA64BA"/>
    <w:rsid w:val="00AA69CA"/>
    <w:rsid w:val="00AA6A85"/>
    <w:rsid w:val="00AA6C89"/>
    <w:rsid w:val="00AA6FC8"/>
    <w:rsid w:val="00AA71FB"/>
    <w:rsid w:val="00AA740C"/>
    <w:rsid w:val="00AA7561"/>
    <w:rsid w:val="00AA7723"/>
    <w:rsid w:val="00AA778E"/>
    <w:rsid w:val="00AB02E0"/>
    <w:rsid w:val="00AB02FB"/>
    <w:rsid w:val="00AB0680"/>
    <w:rsid w:val="00AB0915"/>
    <w:rsid w:val="00AB0A11"/>
    <w:rsid w:val="00AB0B5B"/>
    <w:rsid w:val="00AB0DF1"/>
    <w:rsid w:val="00AB0E91"/>
    <w:rsid w:val="00AB10C2"/>
    <w:rsid w:val="00AB156D"/>
    <w:rsid w:val="00AB1686"/>
    <w:rsid w:val="00AB17A8"/>
    <w:rsid w:val="00AB1C93"/>
    <w:rsid w:val="00AB2759"/>
    <w:rsid w:val="00AB302B"/>
    <w:rsid w:val="00AB31F5"/>
    <w:rsid w:val="00AB323F"/>
    <w:rsid w:val="00AB3722"/>
    <w:rsid w:val="00AB43B5"/>
    <w:rsid w:val="00AB487A"/>
    <w:rsid w:val="00AB4A70"/>
    <w:rsid w:val="00AB4E2D"/>
    <w:rsid w:val="00AB4EAB"/>
    <w:rsid w:val="00AB50C8"/>
    <w:rsid w:val="00AB50E1"/>
    <w:rsid w:val="00AB55C6"/>
    <w:rsid w:val="00AB55E0"/>
    <w:rsid w:val="00AB5713"/>
    <w:rsid w:val="00AB633B"/>
    <w:rsid w:val="00AB6526"/>
    <w:rsid w:val="00AB6747"/>
    <w:rsid w:val="00AB6F1A"/>
    <w:rsid w:val="00AB6FD9"/>
    <w:rsid w:val="00AB70A4"/>
    <w:rsid w:val="00AB7314"/>
    <w:rsid w:val="00AB7576"/>
    <w:rsid w:val="00AB75E8"/>
    <w:rsid w:val="00AC04B7"/>
    <w:rsid w:val="00AC0586"/>
    <w:rsid w:val="00AC065D"/>
    <w:rsid w:val="00AC06EE"/>
    <w:rsid w:val="00AC0957"/>
    <w:rsid w:val="00AC0FCC"/>
    <w:rsid w:val="00AC12A3"/>
    <w:rsid w:val="00AC187E"/>
    <w:rsid w:val="00AC1A56"/>
    <w:rsid w:val="00AC1E1E"/>
    <w:rsid w:val="00AC1F01"/>
    <w:rsid w:val="00AC20DD"/>
    <w:rsid w:val="00AC2DFF"/>
    <w:rsid w:val="00AC2E08"/>
    <w:rsid w:val="00AC3264"/>
    <w:rsid w:val="00AC3340"/>
    <w:rsid w:val="00AC3AB3"/>
    <w:rsid w:val="00AC3AEE"/>
    <w:rsid w:val="00AC3B47"/>
    <w:rsid w:val="00AC3DCB"/>
    <w:rsid w:val="00AC3F18"/>
    <w:rsid w:val="00AC409B"/>
    <w:rsid w:val="00AC48AF"/>
    <w:rsid w:val="00AC4AC4"/>
    <w:rsid w:val="00AC4BD9"/>
    <w:rsid w:val="00AC4F07"/>
    <w:rsid w:val="00AC4F22"/>
    <w:rsid w:val="00AC51A1"/>
    <w:rsid w:val="00AC5340"/>
    <w:rsid w:val="00AC5660"/>
    <w:rsid w:val="00AC597B"/>
    <w:rsid w:val="00AC6109"/>
    <w:rsid w:val="00AC61A5"/>
    <w:rsid w:val="00AC6336"/>
    <w:rsid w:val="00AC6556"/>
    <w:rsid w:val="00AC659C"/>
    <w:rsid w:val="00AC6815"/>
    <w:rsid w:val="00AC68F2"/>
    <w:rsid w:val="00AC6C0D"/>
    <w:rsid w:val="00AC7390"/>
    <w:rsid w:val="00AC772A"/>
    <w:rsid w:val="00AC7864"/>
    <w:rsid w:val="00AC7DEB"/>
    <w:rsid w:val="00AD05A1"/>
    <w:rsid w:val="00AD07B1"/>
    <w:rsid w:val="00AD0BA9"/>
    <w:rsid w:val="00AD1846"/>
    <w:rsid w:val="00AD1952"/>
    <w:rsid w:val="00AD1DE7"/>
    <w:rsid w:val="00AD26FB"/>
    <w:rsid w:val="00AD299B"/>
    <w:rsid w:val="00AD2A4F"/>
    <w:rsid w:val="00AD2AC9"/>
    <w:rsid w:val="00AD2EBE"/>
    <w:rsid w:val="00AD3453"/>
    <w:rsid w:val="00AD34D9"/>
    <w:rsid w:val="00AD3F5C"/>
    <w:rsid w:val="00AD4437"/>
    <w:rsid w:val="00AD4C91"/>
    <w:rsid w:val="00AD5492"/>
    <w:rsid w:val="00AD5B39"/>
    <w:rsid w:val="00AD62B2"/>
    <w:rsid w:val="00AD650C"/>
    <w:rsid w:val="00AD65CD"/>
    <w:rsid w:val="00AD661E"/>
    <w:rsid w:val="00AD684A"/>
    <w:rsid w:val="00AD6E0A"/>
    <w:rsid w:val="00AD7E38"/>
    <w:rsid w:val="00AE00BF"/>
    <w:rsid w:val="00AE0A0F"/>
    <w:rsid w:val="00AE0B91"/>
    <w:rsid w:val="00AE0F4E"/>
    <w:rsid w:val="00AE1DAC"/>
    <w:rsid w:val="00AE2005"/>
    <w:rsid w:val="00AE21EC"/>
    <w:rsid w:val="00AE2446"/>
    <w:rsid w:val="00AE28DB"/>
    <w:rsid w:val="00AE355C"/>
    <w:rsid w:val="00AE35E4"/>
    <w:rsid w:val="00AE3995"/>
    <w:rsid w:val="00AE3B71"/>
    <w:rsid w:val="00AE3EDA"/>
    <w:rsid w:val="00AE3FFE"/>
    <w:rsid w:val="00AE4127"/>
    <w:rsid w:val="00AE41F4"/>
    <w:rsid w:val="00AE443B"/>
    <w:rsid w:val="00AE4443"/>
    <w:rsid w:val="00AE457F"/>
    <w:rsid w:val="00AE47E7"/>
    <w:rsid w:val="00AE5427"/>
    <w:rsid w:val="00AE5742"/>
    <w:rsid w:val="00AE58CD"/>
    <w:rsid w:val="00AE5971"/>
    <w:rsid w:val="00AE5A51"/>
    <w:rsid w:val="00AE5BE8"/>
    <w:rsid w:val="00AE63B6"/>
    <w:rsid w:val="00AE6412"/>
    <w:rsid w:val="00AE6611"/>
    <w:rsid w:val="00AE6767"/>
    <w:rsid w:val="00AE6E1D"/>
    <w:rsid w:val="00AE7302"/>
    <w:rsid w:val="00AE7642"/>
    <w:rsid w:val="00AE77AC"/>
    <w:rsid w:val="00AE7B0B"/>
    <w:rsid w:val="00AF0135"/>
    <w:rsid w:val="00AF0289"/>
    <w:rsid w:val="00AF0593"/>
    <w:rsid w:val="00AF10C2"/>
    <w:rsid w:val="00AF1208"/>
    <w:rsid w:val="00AF16E8"/>
    <w:rsid w:val="00AF196D"/>
    <w:rsid w:val="00AF198B"/>
    <w:rsid w:val="00AF2154"/>
    <w:rsid w:val="00AF24C9"/>
    <w:rsid w:val="00AF24D4"/>
    <w:rsid w:val="00AF2572"/>
    <w:rsid w:val="00AF2B32"/>
    <w:rsid w:val="00AF4131"/>
    <w:rsid w:val="00AF4401"/>
    <w:rsid w:val="00AF445E"/>
    <w:rsid w:val="00AF4872"/>
    <w:rsid w:val="00AF4AC0"/>
    <w:rsid w:val="00AF4C63"/>
    <w:rsid w:val="00AF4C78"/>
    <w:rsid w:val="00AF524A"/>
    <w:rsid w:val="00AF55CD"/>
    <w:rsid w:val="00AF565D"/>
    <w:rsid w:val="00AF5BE8"/>
    <w:rsid w:val="00AF6ACC"/>
    <w:rsid w:val="00AF6C5E"/>
    <w:rsid w:val="00AF6D07"/>
    <w:rsid w:val="00AF6D3E"/>
    <w:rsid w:val="00AF7273"/>
    <w:rsid w:val="00AF795C"/>
    <w:rsid w:val="00AF7D6A"/>
    <w:rsid w:val="00AF7E10"/>
    <w:rsid w:val="00B00164"/>
    <w:rsid w:val="00B00432"/>
    <w:rsid w:val="00B0054F"/>
    <w:rsid w:val="00B00849"/>
    <w:rsid w:val="00B00C6C"/>
    <w:rsid w:val="00B00CC2"/>
    <w:rsid w:val="00B011F7"/>
    <w:rsid w:val="00B01279"/>
    <w:rsid w:val="00B014E1"/>
    <w:rsid w:val="00B019D7"/>
    <w:rsid w:val="00B01BD0"/>
    <w:rsid w:val="00B01F4D"/>
    <w:rsid w:val="00B01FC0"/>
    <w:rsid w:val="00B025B7"/>
    <w:rsid w:val="00B03004"/>
    <w:rsid w:val="00B0379A"/>
    <w:rsid w:val="00B037D3"/>
    <w:rsid w:val="00B03E8C"/>
    <w:rsid w:val="00B04670"/>
    <w:rsid w:val="00B049C0"/>
    <w:rsid w:val="00B04A8D"/>
    <w:rsid w:val="00B04AC7"/>
    <w:rsid w:val="00B04B40"/>
    <w:rsid w:val="00B04CC7"/>
    <w:rsid w:val="00B04F39"/>
    <w:rsid w:val="00B05664"/>
    <w:rsid w:val="00B05B29"/>
    <w:rsid w:val="00B061C1"/>
    <w:rsid w:val="00B06A38"/>
    <w:rsid w:val="00B06CBD"/>
    <w:rsid w:val="00B070B9"/>
    <w:rsid w:val="00B074D4"/>
    <w:rsid w:val="00B078B2"/>
    <w:rsid w:val="00B07A46"/>
    <w:rsid w:val="00B07EC4"/>
    <w:rsid w:val="00B10206"/>
    <w:rsid w:val="00B10918"/>
    <w:rsid w:val="00B10C7D"/>
    <w:rsid w:val="00B11196"/>
    <w:rsid w:val="00B112AB"/>
    <w:rsid w:val="00B1142E"/>
    <w:rsid w:val="00B114F0"/>
    <w:rsid w:val="00B1154D"/>
    <w:rsid w:val="00B11647"/>
    <w:rsid w:val="00B11D6A"/>
    <w:rsid w:val="00B12584"/>
    <w:rsid w:val="00B128FA"/>
    <w:rsid w:val="00B12A3A"/>
    <w:rsid w:val="00B12A9D"/>
    <w:rsid w:val="00B12C98"/>
    <w:rsid w:val="00B12DB4"/>
    <w:rsid w:val="00B12E8D"/>
    <w:rsid w:val="00B133B7"/>
    <w:rsid w:val="00B136DA"/>
    <w:rsid w:val="00B1378B"/>
    <w:rsid w:val="00B138DC"/>
    <w:rsid w:val="00B147BD"/>
    <w:rsid w:val="00B1482C"/>
    <w:rsid w:val="00B14FB1"/>
    <w:rsid w:val="00B15267"/>
    <w:rsid w:val="00B155D7"/>
    <w:rsid w:val="00B15776"/>
    <w:rsid w:val="00B159A4"/>
    <w:rsid w:val="00B166C9"/>
    <w:rsid w:val="00B16946"/>
    <w:rsid w:val="00B16A16"/>
    <w:rsid w:val="00B16C5A"/>
    <w:rsid w:val="00B16E87"/>
    <w:rsid w:val="00B16EC2"/>
    <w:rsid w:val="00B170C5"/>
    <w:rsid w:val="00B177FE"/>
    <w:rsid w:val="00B17C05"/>
    <w:rsid w:val="00B17CA5"/>
    <w:rsid w:val="00B202E4"/>
    <w:rsid w:val="00B20686"/>
    <w:rsid w:val="00B206D8"/>
    <w:rsid w:val="00B206DE"/>
    <w:rsid w:val="00B20878"/>
    <w:rsid w:val="00B208C8"/>
    <w:rsid w:val="00B2095B"/>
    <w:rsid w:val="00B20D3E"/>
    <w:rsid w:val="00B20DD6"/>
    <w:rsid w:val="00B20E80"/>
    <w:rsid w:val="00B20F1B"/>
    <w:rsid w:val="00B20F30"/>
    <w:rsid w:val="00B2102F"/>
    <w:rsid w:val="00B2108C"/>
    <w:rsid w:val="00B217B8"/>
    <w:rsid w:val="00B21F64"/>
    <w:rsid w:val="00B21FBF"/>
    <w:rsid w:val="00B22583"/>
    <w:rsid w:val="00B22857"/>
    <w:rsid w:val="00B22FE3"/>
    <w:rsid w:val="00B23413"/>
    <w:rsid w:val="00B23A2B"/>
    <w:rsid w:val="00B23E83"/>
    <w:rsid w:val="00B240BB"/>
    <w:rsid w:val="00B2438F"/>
    <w:rsid w:val="00B24719"/>
    <w:rsid w:val="00B24723"/>
    <w:rsid w:val="00B2475D"/>
    <w:rsid w:val="00B24AF9"/>
    <w:rsid w:val="00B24F1A"/>
    <w:rsid w:val="00B25079"/>
    <w:rsid w:val="00B251DB"/>
    <w:rsid w:val="00B254A6"/>
    <w:rsid w:val="00B254DA"/>
    <w:rsid w:val="00B256CE"/>
    <w:rsid w:val="00B257B7"/>
    <w:rsid w:val="00B2591D"/>
    <w:rsid w:val="00B25933"/>
    <w:rsid w:val="00B25A01"/>
    <w:rsid w:val="00B267CB"/>
    <w:rsid w:val="00B26BEC"/>
    <w:rsid w:val="00B26C25"/>
    <w:rsid w:val="00B26E39"/>
    <w:rsid w:val="00B26F31"/>
    <w:rsid w:val="00B27872"/>
    <w:rsid w:val="00B278DE"/>
    <w:rsid w:val="00B27A13"/>
    <w:rsid w:val="00B27F17"/>
    <w:rsid w:val="00B30291"/>
    <w:rsid w:val="00B3030B"/>
    <w:rsid w:val="00B304A4"/>
    <w:rsid w:val="00B3054E"/>
    <w:rsid w:val="00B30749"/>
    <w:rsid w:val="00B307E5"/>
    <w:rsid w:val="00B30814"/>
    <w:rsid w:val="00B3088C"/>
    <w:rsid w:val="00B310EE"/>
    <w:rsid w:val="00B31BFC"/>
    <w:rsid w:val="00B31DA1"/>
    <w:rsid w:val="00B32705"/>
    <w:rsid w:val="00B32B2B"/>
    <w:rsid w:val="00B32CA5"/>
    <w:rsid w:val="00B333A8"/>
    <w:rsid w:val="00B336D9"/>
    <w:rsid w:val="00B33786"/>
    <w:rsid w:val="00B33D32"/>
    <w:rsid w:val="00B3429E"/>
    <w:rsid w:val="00B3464D"/>
    <w:rsid w:val="00B348DD"/>
    <w:rsid w:val="00B349B4"/>
    <w:rsid w:val="00B34B62"/>
    <w:rsid w:val="00B34C6A"/>
    <w:rsid w:val="00B356CF"/>
    <w:rsid w:val="00B35722"/>
    <w:rsid w:val="00B35AF7"/>
    <w:rsid w:val="00B35C0C"/>
    <w:rsid w:val="00B3694A"/>
    <w:rsid w:val="00B36ACA"/>
    <w:rsid w:val="00B37009"/>
    <w:rsid w:val="00B3703B"/>
    <w:rsid w:val="00B370A6"/>
    <w:rsid w:val="00B3745C"/>
    <w:rsid w:val="00B374A1"/>
    <w:rsid w:val="00B37A0E"/>
    <w:rsid w:val="00B37C5E"/>
    <w:rsid w:val="00B40058"/>
    <w:rsid w:val="00B40391"/>
    <w:rsid w:val="00B40411"/>
    <w:rsid w:val="00B404F8"/>
    <w:rsid w:val="00B40705"/>
    <w:rsid w:val="00B40F95"/>
    <w:rsid w:val="00B40F9A"/>
    <w:rsid w:val="00B4116C"/>
    <w:rsid w:val="00B413A1"/>
    <w:rsid w:val="00B41751"/>
    <w:rsid w:val="00B418C6"/>
    <w:rsid w:val="00B41F9F"/>
    <w:rsid w:val="00B424E0"/>
    <w:rsid w:val="00B42CEC"/>
    <w:rsid w:val="00B42FFB"/>
    <w:rsid w:val="00B430CE"/>
    <w:rsid w:val="00B438AE"/>
    <w:rsid w:val="00B43944"/>
    <w:rsid w:val="00B43B5C"/>
    <w:rsid w:val="00B43BFC"/>
    <w:rsid w:val="00B43C07"/>
    <w:rsid w:val="00B44781"/>
    <w:rsid w:val="00B44E0C"/>
    <w:rsid w:val="00B44EA0"/>
    <w:rsid w:val="00B45019"/>
    <w:rsid w:val="00B45381"/>
    <w:rsid w:val="00B4557A"/>
    <w:rsid w:val="00B455C7"/>
    <w:rsid w:val="00B45759"/>
    <w:rsid w:val="00B45924"/>
    <w:rsid w:val="00B45A31"/>
    <w:rsid w:val="00B4639F"/>
    <w:rsid w:val="00B4640A"/>
    <w:rsid w:val="00B46595"/>
    <w:rsid w:val="00B46CB9"/>
    <w:rsid w:val="00B47733"/>
    <w:rsid w:val="00B47A5E"/>
    <w:rsid w:val="00B500BF"/>
    <w:rsid w:val="00B500DF"/>
    <w:rsid w:val="00B50106"/>
    <w:rsid w:val="00B50280"/>
    <w:rsid w:val="00B503A9"/>
    <w:rsid w:val="00B50DA4"/>
    <w:rsid w:val="00B5197D"/>
    <w:rsid w:val="00B51ECE"/>
    <w:rsid w:val="00B51F96"/>
    <w:rsid w:val="00B526C9"/>
    <w:rsid w:val="00B527B6"/>
    <w:rsid w:val="00B5283F"/>
    <w:rsid w:val="00B5290C"/>
    <w:rsid w:val="00B52BBA"/>
    <w:rsid w:val="00B52F29"/>
    <w:rsid w:val="00B5306B"/>
    <w:rsid w:val="00B5312E"/>
    <w:rsid w:val="00B53330"/>
    <w:rsid w:val="00B534A1"/>
    <w:rsid w:val="00B537B2"/>
    <w:rsid w:val="00B53925"/>
    <w:rsid w:val="00B5393C"/>
    <w:rsid w:val="00B53DFA"/>
    <w:rsid w:val="00B53E4E"/>
    <w:rsid w:val="00B54422"/>
    <w:rsid w:val="00B54449"/>
    <w:rsid w:val="00B544A1"/>
    <w:rsid w:val="00B54772"/>
    <w:rsid w:val="00B54849"/>
    <w:rsid w:val="00B54869"/>
    <w:rsid w:val="00B54B6B"/>
    <w:rsid w:val="00B54CEE"/>
    <w:rsid w:val="00B5540A"/>
    <w:rsid w:val="00B557DD"/>
    <w:rsid w:val="00B55A11"/>
    <w:rsid w:val="00B55B8B"/>
    <w:rsid w:val="00B5602E"/>
    <w:rsid w:val="00B57432"/>
    <w:rsid w:val="00B57608"/>
    <w:rsid w:val="00B57E3E"/>
    <w:rsid w:val="00B60302"/>
    <w:rsid w:val="00B6053E"/>
    <w:rsid w:val="00B60699"/>
    <w:rsid w:val="00B60BCF"/>
    <w:rsid w:val="00B60E36"/>
    <w:rsid w:val="00B61176"/>
    <w:rsid w:val="00B611CA"/>
    <w:rsid w:val="00B61758"/>
    <w:rsid w:val="00B61C74"/>
    <w:rsid w:val="00B61CEE"/>
    <w:rsid w:val="00B61FD5"/>
    <w:rsid w:val="00B6249E"/>
    <w:rsid w:val="00B62871"/>
    <w:rsid w:val="00B63056"/>
    <w:rsid w:val="00B63BA1"/>
    <w:rsid w:val="00B63F5F"/>
    <w:rsid w:val="00B64967"/>
    <w:rsid w:val="00B64BAA"/>
    <w:rsid w:val="00B64CA8"/>
    <w:rsid w:val="00B64D81"/>
    <w:rsid w:val="00B64FB3"/>
    <w:rsid w:val="00B650DE"/>
    <w:rsid w:val="00B65214"/>
    <w:rsid w:val="00B6527B"/>
    <w:rsid w:val="00B66247"/>
    <w:rsid w:val="00B6657A"/>
    <w:rsid w:val="00B6690D"/>
    <w:rsid w:val="00B669BC"/>
    <w:rsid w:val="00B66A92"/>
    <w:rsid w:val="00B66B91"/>
    <w:rsid w:val="00B66FB3"/>
    <w:rsid w:val="00B6767E"/>
    <w:rsid w:val="00B67695"/>
    <w:rsid w:val="00B67C64"/>
    <w:rsid w:val="00B67F65"/>
    <w:rsid w:val="00B7015A"/>
    <w:rsid w:val="00B70814"/>
    <w:rsid w:val="00B70940"/>
    <w:rsid w:val="00B70A56"/>
    <w:rsid w:val="00B70D28"/>
    <w:rsid w:val="00B70D98"/>
    <w:rsid w:val="00B71059"/>
    <w:rsid w:val="00B711CE"/>
    <w:rsid w:val="00B71260"/>
    <w:rsid w:val="00B713EE"/>
    <w:rsid w:val="00B7166D"/>
    <w:rsid w:val="00B717E6"/>
    <w:rsid w:val="00B718E1"/>
    <w:rsid w:val="00B718E4"/>
    <w:rsid w:val="00B7215C"/>
    <w:rsid w:val="00B72397"/>
    <w:rsid w:val="00B72A29"/>
    <w:rsid w:val="00B72A45"/>
    <w:rsid w:val="00B72A63"/>
    <w:rsid w:val="00B72B07"/>
    <w:rsid w:val="00B72B92"/>
    <w:rsid w:val="00B73595"/>
    <w:rsid w:val="00B73DF9"/>
    <w:rsid w:val="00B74530"/>
    <w:rsid w:val="00B74715"/>
    <w:rsid w:val="00B74B25"/>
    <w:rsid w:val="00B74DE7"/>
    <w:rsid w:val="00B74E5F"/>
    <w:rsid w:val="00B751CF"/>
    <w:rsid w:val="00B759D3"/>
    <w:rsid w:val="00B75B51"/>
    <w:rsid w:val="00B76219"/>
    <w:rsid w:val="00B76589"/>
    <w:rsid w:val="00B76798"/>
    <w:rsid w:val="00B76B25"/>
    <w:rsid w:val="00B76DFC"/>
    <w:rsid w:val="00B76E3E"/>
    <w:rsid w:val="00B76F7E"/>
    <w:rsid w:val="00B773BB"/>
    <w:rsid w:val="00B777C1"/>
    <w:rsid w:val="00B778E5"/>
    <w:rsid w:val="00B77C0C"/>
    <w:rsid w:val="00B77C7E"/>
    <w:rsid w:val="00B77E06"/>
    <w:rsid w:val="00B77F43"/>
    <w:rsid w:val="00B77F56"/>
    <w:rsid w:val="00B77FB2"/>
    <w:rsid w:val="00B802E2"/>
    <w:rsid w:val="00B804AF"/>
    <w:rsid w:val="00B809B9"/>
    <w:rsid w:val="00B81436"/>
    <w:rsid w:val="00B81ABB"/>
    <w:rsid w:val="00B81B18"/>
    <w:rsid w:val="00B81E9D"/>
    <w:rsid w:val="00B823B5"/>
    <w:rsid w:val="00B826CB"/>
    <w:rsid w:val="00B8287C"/>
    <w:rsid w:val="00B82F90"/>
    <w:rsid w:val="00B83250"/>
    <w:rsid w:val="00B83870"/>
    <w:rsid w:val="00B84537"/>
    <w:rsid w:val="00B84F0D"/>
    <w:rsid w:val="00B85020"/>
    <w:rsid w:val="00B85A34"/>
    <w:rsid w:val="00B85E2B"/>
    <w:rsid w:val="00B86805"/>
    <w:rsid w:val="00B8691A"/>
    <w:rsid w:val="00B8697F"/>
    <w:rsid w:val="00B86F57"/>
    <w:rsid w:val="00B875DB"/>
    <w:rsid w:val="00B876E7"/>
    <w:rsid w:val="00B87DED"/>
    <w:rsid w:val="00B90139"/>
    <w:rsid w:val="00B901A5"/>
    <w:rsid w:val="00B903D2"/>
    <w:rsid w:val="00B90473"/>
    <w:rsid w:val="00B906EA"/>
    <w:rsid w:val="00B9072F"/>
    <w:rsid w:val="00B907F6"/>
    <w:rsid w:val="00B90B95"/>
    <w:rsid w:val="00B90E3D"/>
    <w:rsid w:val="00B912C9"/>
    <w:rsid w:val="00B91CE5"/>
    <w:rsid w:val="00B91EDB"/>
    <w:rsid w:val="00B923CE"/>
    <w:rsid w:val="00B92A5A"/>
    <w:rsid w:val="00B92BA5"/>
    <w:rsid w:val="00B92C08"/>
    <w:rsid w:val="00B92C2B"/>
    <w:rsid w:val="00B92E73"/>
    <w:rsid w:val="00B93498"/>
    <w:rsid w:val="00B93921"/>
    <w:rsid w:val="00B939DD"/>
    <w:rsid w:val="00B93A23"/>
    <w:rsid w:val="00B93BE7"/>
    <w:rsid w:val="00B94590"/>
    <w:rsid w:val="00B945C9"/>
    <w:rsid w:val="00B94E51"/>
    <w:rsid w:val="00B95206"/>
    <w:rsid w:val="00B95276"/>
    <w:rsid w:val="00B95B3F"/>
    <w:rsid w:val="00B960A0"/>
    <w:rsid w:val="00B961B0"/>
    <w:rsid w:val="00B964D0"/>
    <w:rsid w:val="00B96627"/>
    <w:rsid w:val="00B9678A"/>
    <w:rsid w:val="00B9687C"/>
    <w:rsid w:val="00B96BE1"/>
    <w:rsid w:val="00B96C29"/>
    <w:rsid w:val="00B96F89"/>
    <w:rsid w:val="00B97135"/>
    <w:rsid w:val="00B9730B"/>
    <w:rsid w:val="00B9733D"/>
    <w:rsid w:val="00B97474"/>
    <w:rsid w:val="00B9767B"/>
    <w:rsid w:val="00B977F7"/>
    <w:rsid w:val="00B97972"/>
    <w:rsid w:val="00B979E2"/>
    <w:rsid w:val="00B97ECE"/>
    <w:rsid w:val="00BA0057"/>
    <w:rsid w:val="00BA0672"/>
    <w:rsid w:val="00BA0A4E"/>
    <w:rsid w:val="00BA0F2C"/>
    <w:rsid w:val="00BA125B"/>
    <w:rsid w:val="00BA12AB"/>
    <w:rsid w:val="00BA1591"/>
    <w:rsid w:val="00BA1A1F"/>
    <w:rsid w:val="00BA1A87"/>
    <w:rsid w:val="00BA21AD"/>
    <w:rsid w:val="00BA2778"/>
    <w:rsid w:val="00BA2FDD"/>
    <w:rsid w:val="00BA2FE2"/>
    <w:rsid w:val="00BA351E"/>
    <w:rsid w:val="00BA35A1"/>
    <w:rsid w:val="00BA3716"/>
    <w:rsid w:val="00BA384A"/>
    <w:rsid w:val="00BA3A5D"/>
    <w:rsid w:val="00BA3A83"/>
    <w:rsid w:val="00BA3EBE"/>
    <w:rsid w:val="00BA4172"/>
    <w:rsid w:val="00BA4383"/>
    <w:rsid w:val="00BA462B"/>
    <w:rsid w:val="00BA4876"/>
    <w:rsid w:val="00BA4BDE"/>
    <w:rsid w:val="00BA4E32"/>
    <w:rsid w:val="00BA52FE"/>
    <w:rsid w:val="00BA546D"/>
    <w:rsid w:val="00BA5917"/>
    <w:rsid w:val="00BA5947"/>
    <w:rsid w:val="00BA59B4"/>
    <w:rsid w:val="00BA59BF"/>
    <w:rsid w:val="00BA5BE8"/>
    <w:rsid w:val="00BA636D"/>
    <w:rsid w:val="00BA6429"/>
    <w:rsid w:val="00BA658E"/>
    <w:rsid w:val="00BA6729"/>
    <w:rsid w:val="00BA6791"/>
    <w:rsid w:val="00BA6C24"/>
    <w:rsid w:val="00BA7042"/>
    <w:rsid w:val="00BA70C7"/>
    <w:rsid w:val="00BA7337"/>
    <w:rsid w:val="00BA76BF"/>
    <w:rsid w:val="00BA7953"/>
    <w:rsid w:val="00BA7BBF"/>
    <w:rsid w:val="00BA7E6E"/>
    <w:rsid w:val="00BB0936"/>
    <w:rsid w:val="00BB0D6C"/>
    <w:rsid w:val="00BB0D85"/>
    <w:rsid w:val="00BB0DE1"/>
    <w:rsid w:val="00BB125A"/>
    <w:rsid w:val="00BB163E"/>
    <w:rsid w:val="00BB1699"/>
    <w:rsid w:val="00BB189D"/>
    <w:rsid w:val="00BB18C8"/>
    <w:rsid w:val="00BB1B60"/>
    <w:rsid w:val="00BB1ED0"/>
    <w:rsid w:val="00BB215A"/>
    <w:rsid w:val="00BB22A7"/>
    <w:rsid w:val="00BB251C"/>
    <w:rsid w:val="00BB32DD"/>
    <w:rsid w:val="00BB3567"/>
    <w:rsid w:val="00BB4B40"/>
    <w:rsid w:val="00BB4C1D"/>
    <w:rsid w:val="00BB4D03"/>
    <w:rsid w:val="00BB4D99"/>
    <w:rsid w:val="00BB51AD"/>
    <w:rsid w:val="00BB524F"/>
    <w:rsid w:val="00BB52FF"/>
    <w:rsid w:val="00BB56FB"/>
    <w:rsid w:val="00BB58EA"/>
    <w:rsid w:val="00BB59B5"/>
    <w:rsid w:val="00BB5C6D"/>
    <w:rsid w:val="00BB5DD8"/>
    <w:rsid w:val="00BB6874"/>
    <w:rsid w:val="00BB6B4A"/>
    <w:rsid w:val="00BB6C22"/>
    <w:rsid w:val="00BB6C80"/>
    <w:rsid w:val="00BB72F7"/>
    <w:rsid w:val="00BB744F"/>
    <w:rsid w:val="00BB748B"/>
    <w:rsid w:val="00BB7801"/>
    <w:rsid w:val="00BB7A97"/>
    <w:rsid w:val="00BB7D6A"/>
    <w:rsid w:val="00BC00B0"/>
    <w:rsid w:val="00BC01BA"/>
    <w:rsid w:val="00BC0502"/>
    <w:rsid w:val="00BC0709"/>
    <w:rsid w:val="00BC0A79"/>
    <w:rsid w:val="00BC0BDF"/>
    <w:rsid w:val="00BC0C04"/>
    <w:rsid w:val="00BC126F"/>
    <w:rsid w:val="00BC19B0"/>
    <w:rsid w:val="00BC1A90"/>
    <w:rsid w:val="00BC1F04"/>
    <w:rsid w:val="00BC20D1"/>
    <w:rsid w:val="00BC2BC2"/>
    <w:rsid w:val="00BC3E70"/>
    <w:rsid w:val="00BC41FE"/>
    <w:rsid w:val="00BC45F0"/>
    <w:rsid w:val="00BC4EA3"/>
    <w:rsid w:val="00BC4F45"/>
    <w:rsid w:val="00BC59AA"/>
    <w:rsid w:val="00BC5ADD"/>
    <w:rsid w:val="00BC5B5A"/>
    <w:rsid w:val="00BC5B81"/>
    <w:rsid w:val="00BC60DA"/>
    <w:rsid w:val="00BC636D"/>
    <w:rsid w:val="00BC6591"/>
    <w:rsid w:val="00BC725D"/>
    <w:rsid w:val="00BC74AE"/>
    <w:rsid w:val="00BD01E6"/>
    <w:rsid w:val="00BD02F4"/>
    <w:rsid w:val="00BD0716"/>
    <w:rsid w:val="00BD0868"/>
    <w:rsid w:val="00BD0EAE"/>
    <w:rsid w:val="00BD0EE1"/>
    <w:rsid w:val="00BD0F8A"/>
    <w:rsid w:val="00BD0FD0"/>
    <w:rsid w:val="00BD122E"/>
    <w:rsid w:val="00BD14E8"/>
    <w:rsid w:val="00BD1800"/>
    <w:rsid w:val="00BD1A39"/>
    <w:rsid w:val="00BD20C2"/>
    <w:rsid w:val="00BD2179"/>
    <w:rsid w:val="00BD2648"/>
    <w:rsid w:val="00BD2FE6"/>
    <w:rsid w:val="00BD3070"/>
    <w:rsid w:val="00BD3116"/>
    <w:rsid w:val="00BD3F9F"/>
    <w:rsid w:val="00BD4091"/>
    <w:rsid w:val="00BD558D"/>
    <w:rsid w:val="00BD56DA"/>
    <w:rsid w:val="00BD5A05"/>
    <w:rsid w:val="00BD619B"/>
    <w:rsid w:val="00BD6557"/>
    <w:rsid w:val="00BD66C6"/>
    <w:rsid w:val="00BD6C3A"/>
    <w:rsid w:val="00BD6D37"/>
    <w:rsid w:val="00BD6DB1"/>
    <w:rsid w:val="00BD6F09"/>
    <w:rsid w:val="00BD6F71"/>
    <w:rsid w:val="00BD71CA"/>
    <w:rsid w:val="00BD7672"/>
    <w:rsid w:val="00BD776D"/>
    <w:rsid w:val="00BD7A53"/>
    <w:rsid w:val="00BD7F61"/>
    <w:rsid w:val="00BD7F8D"/>
    <w:rsid w:val="00BE0CFC"/>
    <w:rsid w:val="00BE0D03"/>
    <w:rsid w:val="00BE150F"/>
    <w:rsid w:val="00BE1B9F"/>
    <w:rsid w:val="00BE1BC5"/>
    <w:rsid w:val="00BE1C04"/>
    <w:rsid w:val="00BE1C87"/>
    <w:rsid w:val="00BE1FCD"/>
    <w:rsid w:val="00BE23C5"/>
    <w:rsid w:val="00BE254E"/>
    <w:rsid w:val="00BE2670"/>
    <w:rsid w:val="00BE2928"/>
    <w:rsid w:val="00BE29CA"/>
    <w:rsid w:val="00BE2B0D"/>
    <w:rsid w:val="00BE2F7E"/>
    <w:rsid w:val="00BE3086"/>
    <w:rsid w:val="00BE3496"/>
    <w:rsid w:val="00BE34FA"/>
    <w:rsid w:val="00BE350B"/>
    <w:rsid w:val="00BE3A01"/>
    <w:rsid w:val="00BE3D0C"/>
    <w:rsid w:val="00BE4159"/>
    <w:rsid w:val="00BE4198"/>
    <w:rsid w:val="00BE4539"/>
    <w:rsid w:val="00BE4C0D"/>
    <w:rsid w:val="00BE4DDC"/>
    <w:rsid w:val="00BE547B"/>
    <w:rsid w:val="00BE5A12"/>
    <w:rsid w:val="00BE5A1B"/>
    <w:rsid w:val="00BE5C80"/>
    <w:rsid w:val="00BE6280"/>
    <w:rsid w:val="00BE6659"/>
    <w:rsid w:val="00BE665C"/>
    <w:rsid w:val="00BE66D9"/>
    <w:rsid w:val="00BE69C4"/>
    <w:rsid w:val="00BE6A0C"/>
    <w:rsid w:val="00BE6EEA"/>
    <w:rsid w:val="00BE6F26"/>
    <w:rsid w:val="00BE7253"/>
    <w:rsid w:val="00BE7272"/>
    <w:rsid w:val="00BE7327"/>
    <w:rsid w:val="00BE780D"/>
    <w:rsid w:val="00BE7BAF"/>
    <w:rsid w:val="00BE7C67"/>
    <w:rsid w:val="00BF0533"/>
    <w:rsid w:val="00BF066B"/>
    <w:rsid w:val="00BF074E"/>
    <w:rsid w:val="00BF09C9"/>
    <w:rsid w:val="00BF0F86"/>
    <w:rsid w:val="00BF10E7"/>
    <w:rsid w:val="00BF120B"/>
    <w:rsid w:val="00BF15E5"/>
    <w:rsid w:val="00BF1C76"/>
    <w:rsid w:val="00BF202D"/>
    <w:rsid w:val="00BF2033"/>
    <w:rsid w:val="00BF2094"/>
    <w:rsid w:val="00BF23F1"/>
    <w:rsid w:val="00BF247E"/>
    <w:rsid w:val="00BF26E5"/>
    <w:rsid w:val="00BF2F12"/>
    <w:rsid w:val="00BF2F4E"/>
    <w:rsid w:val="00BF3404"/>
    <w:rsid w:val="00BF353F"/>
    <w:rsid w:val="00BF3759"/>
    <w:rsid w:val="00BF3FE4"/>
    <w:rsid w:val="00BF41EF"/>
    <w:rsid w:val="00BF44CF"/>
    <w:rsid w:val="00BF4AA4"/>
    <w:rsid w:val="00BF50DF"/>
    <w:rsid w:val="00BF56D2"/>
    <w:rsid w:val="00BF57E3"/>
    <w:rsid w:val="00BF5884"/>
    <w:rsid w:val="00BF59AB"/>
    <w:rsid w:val="00BF65F7"/>
    <w:rsid w:val="00BF6A34"/>
    <w:rsid w:val="00BF6BB7"/>
    <w:rsid w:val="00BF6E11"/>
    <w:rsid w:val="00BF7107"/>
    <w:rsid w:val="00BF7325"/>
    <w:rsid w:val="00C000EC"/>
    <w:rsid w:val="00C007D2"/>
    <w:rsid w:val="00C00BCD"/>
    <w:rsid w:val="00C00DD3"/>
    <w:rsid w:val="00C015AD"/>
    <w:rsid w:val="00C0185B"/>
    <w:rsid w:val="00C01BB8"/>
    <w:rsid w:val="00C02512"/>
    <w:rsid w:val="00C0256F"/>
    <w:rsid w:val="00C02A03"/>
    <w:rsid w:val="00C03015"/>
    <w:rsid w:val="00C0301A"/>
    <w:rsid w:val="00C035B5"/>
    <w:rsid w:val="00C036D4"/>
    <w:rsid w:val="00C03D07"/>
    <w:rsid w:val="00C04105"/>
    <w:rsid w:val="00C04561"/>
    <w:rsid w:val="00C04589"/>
    <w:rsid w:val="00C04CDE"/>
    <w:rsid w:val="00C04CEB"/>
    <w:rsid w:val="00C04CFB"/>
    <w:rsid w:val="00C04F43"/>
    <w:rsid w:val="00C04F6D"/>
    <w:rsid w:val="00C05158"/>
    <w:rsid w:val="00C058CB"/>
    <w:rsid w:val="00C062CE"/>
    <w:rsid w:val="00C0656F"/>
    <w:rsid w:val="00C068AD"/>
    <w:rsid w:val="00C0696D"/>
    <w:rsid w:val="00C06B90"/>
    <w:rsid w:val="00C06D1C"/>
    <w:rsid w:val="00C06E75"/>
    <w:rsid w:val="00C07051"/>
    <w:rsid w:val="00C07530"/>
    <w:rsid w:val="00C076A2"/>
    <w:rsid w:val="00C078B7"/>
    <w:rsid w:val="00C10475"/>
    <w:rsid w:val="00C105EF"/>
    <w:rsid w:val="00C10845"/>
    <w:rsid w:val="00C10C03"/>
    <w:rsid w:val="00C11029"/>
    <w:rsid w:val="00C11065"/>
    <w:rsid w:val="00C11AAB"/>
    <w:rsid w:val="00C11B93"/>
    <w:rsid w:val="00C11BC2"/>
    <w:rsid w:val="00C12097"/>
    <w:rsid w:val="00C12152"/>
    <w:rsid w:val="00C12478"/>
    <w:rsid w:val="00C126FA"/>
    <w:rsid w:val="00C12752"/>
    <w:rsid w:val="00C128E5"/>
    <w:rsid w:val="00C128FD"/>
    <w:rsid w:val="00C12B08"/>
    <w:rsid w:val="00C12BA0"/>
    <w:rsid w:val="00C133F7"/>
    <w:rsid w:val="00C134DC"/>
    <w:rsid w:val="00C135AC"/>
    <w:rsid w:val="00C1389A"/>
    <w:rsid w:val="00C14268"/>
    <w:rsid w:val="00C1473F"/>
    <w:rsid w:val="00C148C2"/>
    <w:rsid w:val="00C148D4"/>
    <w:rsid w:val="00C158C0"/>
    <w:rsid w:val="00C15C27"/>
    <w:rsid w:val="00C15D1F"/>
    <w:rsid w:val="00C16177"/>
    <w:rsid w:val="00C1630B"/>
    <w:rsid w:val="00C166CC"/>
    <w:rsid w:val="00C16781"/>
    <w:rsid w:val="00C168AE"/>
    <w:rsid w:val="00C16C17"/>
    <w:rsid w:val="00C16C85"/>
    <w:rsid w:val="00C16CAB"/>
    <w:rsid w:val="00C17571"/>
    <w:rsid w:val="00C179B1"/>
    <w:rsid w:val="00C17BCC"/>
    <w:rsid w:val="00C17E29"/>
    <w:rsid w:val="00C2000E"/>
    <w:rsid w:val="00C206C2"/>
    <w:rsid w:val="00C207C4"/>
    <w:rsid w:val="00C21139"/>
    <w:rsid w:val="00C213C9"/>
    <w:rsid w:val="00C21811"/>
    <w:rsid w:val="00C21991"/>
    <w:rsid w:val="00C21C90"/>
    <w:rsid w:val="00C222EA"/>
    <w:rsid w:val="00C22D22"/>
    <w:rsid w:val="00C22F2E"/>
    <w:rsid w:val="00C22F8B"/>
    <w:rsid w:val="00C23252"/>
    <w:rsid w:val="00C233D5"/>
    <w:rsid w:val="00C23D36"/>
    <w:rsid w:val="00C24500"/>
    <w:rsid w:val="00C24B27"/>
    <w:rsid w:val="00C24C4A"/>
    <w:rsid w:val="00C24EB1"/>
    <w:rsid w:val="00C25280"/>
    <w:rsid w:val="00C2578E"/>
    <w:rsid w:val="00C25A22"/>
    <w:rsid w:val="00C25CCE"/>
    <w:rsid w:val="00C25D7B"/>
    <w:rsid w:val="00C25F1C"/>
    <w:rsid w:val="00C264D6"/>
    <w:rsid w:val="00C267E4"/>
    <w:rsid w:val="00C26958"/>
    <w:rsid w:val="00C26BEF"/>
    <w:rsid w:val="00C276D0"/>
    <w:rsid w:val="00C2793E"/>
    <w:rsid w:val="00C279BB"/>
    <w:rsid w:val="00C301BE"/>
    <w:rsid w:val="00C30351"/>
    <w:rsid w:val="00C30505"/>
    <w:rsid w:val="00C305CA"/>
    <w:rsid w:val="00C30D32"/>
    <w:rsid w:val="00C30F6F"/>
    <w:rsid w:val="00C316C0"/>
    <w:rsid w:val="00C316E2"/>
    <w:rsid w:val="00C32248"/>
    <w:rsid w:val="00C322C4"/>
    <w:rsid w:val="00C324B0"/>
    <w:rsid w:val="00C32629"/>
    <w:rsid w:val="00C327FB"/>
    <w:rsid w:val="00C32845"/>
    <w:rsid w:val="00C328DF"/>
    <w:rsid w:val="00C32A0C"/>
    <w:rsid w:val="00C32D0B"/>
    <w:rsid w:val="00C32DEA"/>
    <w:rsid w:val="00C33132"/>
    <w:rsid w:val="00C3318D"/>
    <w:rsid w:val="00C332FD"/>
    <w:rsid w:val="00C33331"/>
    <w:rsid w:val="00C33343"/>
    <w:rsid w:val="00C33435"/>
    <w:rsid w:val="00C335FE"/>
    <w:rsid w:val="00C33730"/>
    <w:rsid w:val="00C33790"/>
    <w:rsid w:val="00C33B49"/>
    <w:rsid w:val="00C34108"/>
    <w:rsid w:val="00C345BC"/>
    <w:rsid w:val="00C347ED"/>
    <w:rsid w:val="00C34B4D"/>
    <w:rsid w:val="00C35718"/>
    <w:rsid w:val="00C35B4E"/>
    <w:rsid w:val="00C35D54"/>
    <w:rsid w:val="00C35E49"/>
    <w:rsid w:val="00C35E64"/>
    <w:rsid w:val="00C36014"/>
    <w:rsid w:val="00C36216"/>
    <w:rsid w:val="00C36249"/>
    <w:rsid w:val="00C36986"/>
    <w:rsid w:val="00C36993"/>
    <w:rsid w:val="00C36CAD"/>
    <w:rsid w:val="00C36F39"/>
    <w:rsid w:val="00C36FDD"/>
    <w:rsid w:val="00C3727D"/>
    <w:rsid w:val="00C373B1"/>
    <w:rsid w:val="00C37595"/>
    <w:rsid w:val="00C3769B"/>
    <w:rsid w:val="00C37F4E"/>
    <w:rsid w:val="00C40299"/>
    <w:rsid w:val="00C40537"/>
    <w:rsid w:val="00C40827"/>
    <w:rsid w:val="00C40E3C"/>
    <w:rsid w:val="00C40F6C"/>
    <w:rsid w:val="00C4105D"/>
    <w:rsid w:val="00C41493"/>
    <w:rsid w:val="00C41784"/>
    <w:rsid w:val="00C41BE2"/>
    <w:rsid w:val="00C420A2"/>
    <w:rsid w:val="00C42509"/>
    <w:rsid w:val="00C425F4"/>
    <w:rsid w:val="00C4271C"/>
    <w:rsid w:val="00C42D30"/>
    <w:rsid w:val="00C42DF4"/>
    <w:rsid w:val="00C43117"/>
    <w:rsid w:val="00C43383"/>
    <w:rsid w:val="00C43583"/>
    <w:rsid w:val="00C43B66"/>
    <w:rsid w:val="00C4422B"/>
    <w:rsid w:val="00C4469B"/>
    <w:rsid w:val="00C44842"/>
    <w:rsid w:val="00C44A09"/>
    <w:rsid w:val="00C44D6B"/>
    <w:rsid w:val="00C44DE4"/>
    <w:rsid w:val="00C4522D"/>
    <w:rsid w:val="00C4534E"/>
    <w:rsid w:val="00C45BE7"/>
    <w:rsid w:val="00C45C51"/>
    <w:rsid w:val="00C45FB6"/>
    <w:rsid w:val="00C461E3"/>
    <w:rsid w:val="00C46211"/>
    <w:rsid w:val="00C463EC"/>
    <w:rsid w:val="00C4659F"/>
    <w:rsid w:val="00C46CBE"/>
    <w:rsid w:val="00C477DA"/>
    <w:rsid w:val="00C47877"/>
    <w:rsid w:val="00C47AC0"/>
    <w:rsid w:val="00C50094"/>
    <w:rsid w:val="00C5026F"/>
    <w:rsid w:val="00C5077D"/>
    <w:rsid w:val="00C50B85"/>
    <w:rsid w:val="00C50C0E"/>
    <w:rsid w:val="00C514F8"/>
    <w:rsid w:val="00C51A9E"/>
    <w:rsid w:val="00C51CC8"/>
    <w:rsid w:val="00C5217B"/>
    <w:rsid w:val="00C531C8"/>
    <w:rsid w:val="00C53290"/>
    <w:rsid w:val="00C533E0"/>
    <w:rsid w:val="00C53692"/>
    <w:rsid w:val="00C5371A"/>
    <w:rsid w:val="00C5429E"/>
    <w:rsid w:val="00C546D4"/>
    <w:rsid w:val="00C54980"/>
    <w:rsid w:val="00C54C00"/>
    <w:rsid w:val="00C5547C"/>
    <w:rsid w:val="00C55940"/>
    <w:rsid w:val="00C55C84"/>
    <w:rsid w:val="00C55DA0"/>
    <w:rsid w:val="00C55DDB"/>
    <w:rsid w:val="00C56468"/>
    <w:rsid w:val="00C566A0"/>
    <w:rsid w:val="00C5726C"/>
    <w:rsid w:val="00C573F4"/>
    <w:rsid w:val="00C57772"/>
    <w:rsid w:val="00C57E75"/>
    <w:rsid w:val="00C60890"/>
    <w:rsid w:val="00C60D23"/>
    <w:rsid w:val="00C61156"/>
    <w:rsid w:val="00C61725"/>
    <w:rsid w:val="00C6189B"/>
    <w:rsid w:val="00C6194B"/>
    <w:rsid w:val="00C61C11"/>
    <w:rsid w:val="00C62221"/>
    <w:rsid w:val="00C622B0"/>
    <w:rsid w:val="00C627FC"/>
    <w:rsid w:val="00C62873"/>
    <w:rsid w:val="00C628D5"/>
    <w:rsid w:val="00C62911"/>
    <w:rsid w:val="00C629D8"/>
    <w:rsid w:val="00C62ABB"/>
    <w:rsid w:val="00C62E5D"/>
    <w:rsid w:val="00C632D3"/>
    <w:rsid w:val="00C63310"/>
    <w:rsid w:val="00C63323"/>
    <w:rsid w:val="00C63779"/>
    <w:rsid w:val="00C63D2C"/>
    <w:rsid w:val="00C6484C"/>
    <w:rsid w:val="00C649BA"/>
    <w:rsid w:val="00C65DF3"/>
    <w:rsid w:val="00C66883"/>
    <w:rsid w:val="00C6689E"/>
    <w:rsid w:val="00C66D03"/>
    <w:rsid w:val="00C66DBE"/>
    <w:rsid w:val="00C6763E"/>
    <w:rsid w:val="00C67834"/>
    <w:rsid w:val="00C679D9"/>
    <w:rsid w:val="00C67C60"/>
    <w:rsid w:val="00C67F4D"/>
    <w:rsid w:val="00C700CE"/>
    <w:rsid w:val="00C702A2"/>
    <w:rsid w:val="00C70476"/>
    <w:rsid w:val="00C70635"/>
    <w:rsid w:val="00C70C61"/>
    <w:rsid w:val="00C70E2E"/>
    <w:rsid w:val="00C70F3F"/>
    <w:rsid w:val="00C7125D"/>
    <w:rsid w:val="00C71565"/>
    <w:rsid w:val="00C71622"/>
    <w:rsid w:val="00C719C0"/>
    <w:rsid w:val="00C71C27"/>
    <w:rsid w:val="00C71FB8"/>
    <w:rsid w:val="00C72BB0"/>
    <w:rsid w:val="00C72C06"/>
    <w:rsid w:val="00C73146"/>
    <w:rsid w:val="00C732A8"/>
    <w:rsid w:val="00C73519"/>
    <w:rsid w:val="00C736D6"/>
    <w:rsid w:val="00C73909"/>
    <w:rsid w:val="00C73D4D"/>
    <w:rsid w:val="00C73FCF"/>
    <w:rsid w:val="00C74088"/>
    <w:rsid w:val="00C7412C"/>
    <w:rsid w:val="00C74154"/>
    <w:rsid w:val="00C742A2"/>
    <w:rsid w:val="00C747F9"/>
    <w:rsid w:val="00C7489A"/>
    <w:rsid w:val="00C74A81"/>
    <w:rsid w:val="00C74B66"/>
    <w:rsid w:val="00C7515B"/>
    <w:rsid w:val="00C75753"/>
    <w:rsid w:val="00C761EB"/>
    <w:rsid w:val="00C76272"/>
    <w:rsid w:val="00C76E56"/>
    <w:rsid w:val="00C7704C"/>
    <w:rsid w:val="00C77698"/>
    <w:rsid w:val="00C777C1"/>
    <w:rsid w:val="00C77B74"/>
    <w:rsid w:val="00C77B80"/>
    <w:rsid w:val="00C77E9C"/>
    <w:rsid w:val="00C77F00"/>
    <w:rsid w:val="00C809E0"/>
    <w:rsid w:val="00C80C61"/>
    <w:rsid w:val="00C80D12"/>
    <w:rsid w:val="00C80D37"/>
    <w:rsid w:val="00C81510"/>
    <w:rsid w:val="00C81656"/>
    <w:rsid w:val="00C81704"/>
    <w:rsid w:val="00C82212"/>
    <w:rsid w:val="00C82A1E"/>
    <w:rsid w:val="00C82C7C"/>
    <w:rsid w:val="00C833DF"/>
    <w:rsid w:val="00C83532"/>
    <w:rsid w:val="00C8360F"/>
    <w:rsid w:val="00C836BA"/>
    <w:rsid w:val="00C83D0A"/>
    <w:rsid w:val="00C84B3A"/>
    <w:rsid w:val="00C8528B"/>
    <w:rsid w:val="00C85396"/>
    <w:rsid w:val="00C855B6"/>
    <w:rsid w:val="00C857EC"/>
    <w:rsid w:val="00C85CAB"/>
    <w:rsid w:val="00C85FA8"/>
    <w:rsid w:val="00C86498"/>
    <w:rsid w:val="00C865D8"/>
    <w:rsid w:val="00C86D8E"/>
    <w:rsid w:val="00C86F16"/>
    <w:rsid w:val="00C87182"/>
    <w:rsid w:val="00C871D1"/>
    <w:rsid w:val="00C87C21"/>
    <w:rsid w:val="00C90009"/>
    <w:rsid w:val="00C90182"/>
    <w:rsid w:val="00C90445"/>
    <w:rsid w:val="00C9053D"/>
    <w:rsid w:val="00C9067D"/>
    <w:rsid w:val="00C907CF"/>
    <w:rsid w:val="00C90C0B"/>
    <w:rsid w:val="00C90FB1"/>
    <w:rsid w:val="00C9117F"/>
    <w:rsid w:val="00C9126E"/>
    <w:rsid w:val="00C91399"/>
    <w:rsid w:val="00C9140D"/>
    <w:rsid w:val="00C9143A"/>
    <w:rsid w:val="00C915C4"/>
    <w:rsid w:val="00C91C09"/>
    <w:rsid w:val="00C91DA0"/>
    <w:rsid w:val="00C91FC3"/>
    <w:rsid w:val="00C923DC"/>
    <w:rsid w:val="00C9256F"/>
    <w:rsid w:val="00C927C8"/>
    <w:rsid w:val="00C92EC7"/>
    <w:rsid w:val="00C9325F"/>
    <w:rsid w:val="00C934B2"/>
    <w:rsid w:val="00C935A2"/>
    <w:rsid w:val="00C93CE4"/>
    <w:rsid w:val="00C93CF2"/>
    <w:rsid w:val="00C93D15"/>
    <w:rsid w:val="00C94490"/>
    <w:rsid w:val="00C9450E"/>
    <w:rsid w:val="00C9452D"/>
    <w:rsid w:val="00C94589"/>
    <w:rsid w:val="00C94615"/>
    <w:rsid w:val="00C94A5B"/>
    <w:rsid w:val="00C9515E"/>
    <w:rsid w:val="00C9522D"/>
    <w:rsid w:val="00C96203"/>
    <w:rsid w:val="00C9630A"/>
    <w:rsid w:val="00C963F4"/>
    <w:rsid w:val="00C96CD8"/>
    <w:rsid w:val="00C9712B"/>
    <w:rsid w:val="00C971C2"/>
    <w:rsid w:val="00C9757A"/>
    <w:rsid w:val="00C976CD"/>
    <w:rsid w:val="00C979B7"/>
    <w:rsid w:val="00CA006F"/>
    <w:rsid w:val="00CA02BC"/>
    <w:rsid w:val="00CA0350"/>
    <w:rsid w:val="00CA0478"/>
    <w:rsid w:val="00CA04C4"/>
    <w:rsid w:val="00CA05A5"/>
    <w:rsid w:val="00CA06B6"/>
    <w:rsid w:val="00CA0B1B"/>
    <w:rsid w:val="00CA12D8"/>
    <w:rsid w:val="00CA141F"/>
    <w:rsid w:val="00CA18A7"/>
    <w:rsid w:val="00CA1CAA"/>
    <w:rsid w:val="00CA1F6D"/>
    <w:rsid w:val="00CA2245"/>
    <w:rsid w:val="00CA227F"/>
    <w:rsid w:val="00CA238A"/>
    <w:rsid w:val="00CA29C8"/>
    <w:rsid w:val="00CA2ECF"/>
    <w:rsid w:val="00CA2F00"/>
    <w:rsid w:val="00CA3812"/>
    <w:rsid w:val="00CA39D3"/>
    <w:rsid w:val="00CA3B6D"/>
    <w:rsid w:val="00CA3B9C"/>
    <w:rsid w:val="00CA4457"/>
    <w:rsid w:val="00CA452A"/>
    <w:rsid w:val="00CA4B88"/>
    <w:rsid w:val="00CA4BB8"/>
    <w:rsid w:val="00CA548F"/>
    <w:rsid w:val="00CA5520"/>
    <w:rsid w:val="00CA5B0E"/>
    <w:rsid w:val="00CA607E"/>
    <w:rsid w:val="00CA6359"/>
    <w:rsid w:val="00CA6428"/>
    <w:rsid w:val="00CA678D"/>
    <w:rsid w:val="00CA67F7"/>
    <w:rsid w:val="00CA75F0"/>
    <w:rsid w:val="00CA7868"/>
    <w:rsid w:val="00CA7880"/>
    <w:rsid w:val="00CA798C"/>
    <w:rsid w:val="00CA7ACC"/>
    <w:rsid w:val="00CA7D9A"/>
    <w:rsid w:val="00CA7F4A"/>
    <w:rsid w:val="00CA7F87"/>
    <w:rsid w:val="00CB019A"/>
    <w:rsid w:val="00CB0588"/>
    <w:rsid w:val="00CB05EB"/>
    <w:rsid w:val="00CB05ED"/>
    <w:rsid w:val="00CB0750"/>
    <w:rsid w:val="00CB099B"/>
    <w:rsid w:val="00CB1557"/>
    <w:rsid w:val="00CB179D"/>
    <w:rsid w:val="00CB17C2"/>
    <w:rsid w:val="00CB1810"/>
    <w:rsid w:val="00CB1A43"/>
    <w:rsid w:val="00CB1C98"/>
    <w:rsid w:val="00CB1D10"/>
    <w:rsid w:val="00CB1F5A"/>
    <w:rsid w:val="00CB2441"/>
    <w:rsid w:val="00CB25C0"/>
    <w:rsid w:val="00CB2A7E"/>
    <w:rsid w:val="00CB2BDA"/>
    <w:rsid w:val="00CB2EB8"/>
    <w:rsid w:val="00CB2F25"/>
    <w:rsid w:val="00CB32E3"/>
    <w:rsid w:val="00CB3397"/>
    <w:rsid w:val="00CB3519"/>
    <w:rsid w:val="00CB3C5A"/>
    <w:rsid w:val="00CB3CC6"/>
    <w:rsid w:val="00CB3E54"/>
    <w:rsid w:val="00CB411C"/>
    <w:rsid w:val="00CB47F8"/>
    <w:rsid w:val="00CB4955"/>
    <w:rsid w:val="00CB4C2D"/>
    <w:rsid w:val="00CB4DE2"/>
    <w:rsid w:val="00CB4EA5"/>
    <w:rsid w:val="00CB5018"/>
    <w:rsid w:val="00CB5145"/>
    <w:rsid w:val="00CB5505"/>
    <w:rsid w:val="00CB62FF"/>
    <w:rsid w:val="00CB6429"/>
    <w:rsid w:val="00CB685E"/>
    <w:rsid w:val="00CB6ACE"/>
    <w:rsid w:val="00CB6F70"/>
    <w:rsid w:val="00CB7380"/>
    <w:rsid w:val="00CB7C58"/>
    <w:rsid w:val="00CB7F89"/>
    <w:rsid w:val="00CC000D"/>
    <w:rsid w:val="00CC0037"/>
    <w:rsid w:val="00CC014F"/>
    <w:rsid w:val="00CC0344"/>
    <w:rsid w:val="00CC03DD"/>
    <w:rsid w:val="00CC0B03"/>
    <w:rsid w:val="00CC1180"/>
    <w:rsid w:val="00CC14D6"/>
    <w:rsid w:val="00CC2312"/>
    <w:rsid w:val="00CC2660"/>
    <w:rsid w:val="00CC2E4F"/>
    <w:rsid w:val="00CC338E"/>
    <w:rsid w:val="00CC348A"/>
    <w:rsid w:val="00CC3CE1"/>
    <w:rsid w:val="00CC4312"/>
    <w:rsid w:val="00CC4416"/>
    <w:rsid w:val="00CC471B"/>
    <w:rsid w:val="00CC4752"/>
    <w:rsid w:val="00CC4ABB"/>
    <w:rsid w:val="00CC4BEC"/>
    <w:rsid w:val="00CC4CCA"/>
    <w:rsid w:val="00CC5149"/>
    <w:rsid w:val="00CC5488"/>
    <w:rsid w:val="00CC561D"/>
    <w:rsid w:val="00CC563D"/>
    <w:rsid w:val="00CC5768"/>
    <w:rsid w:val="00CC5B2E"/>
    <w:rsid w:val="00CC5ECA"/>
    <w:rsid w:val="00CC6161"/>
    <w:rsid w:val="00CC6215"/>
    <w:rsid w:val="00CC6513"/>
    <w:rsid w:val="00CC6701"/>
    <w:rsid w:val="00CC6EA9"/>
    <w:rsid w:val="00CC71A3"/>
    <w:rsid w:val="00CC74EB"/>
    <w:rsid w:val="00CC7A72"/>
    <w:rsid w:val="00CC7A8D"/>
    <w:rsid w:val="00CC7AD4"/>
    <w:rsid w:val="00CC7B7A"/>
    <w:rsid w:val="00CC7EB2"/>
    <w:rsid w:val="00CD010F"/>
    <w:rsid w:val="00CD0181"/>
    <w:rsid w:val="00CD075B"/>
    <w:rsid w:val="00CD0866"/>
    <w:rsid w:val="00CD096B"/>
    <w:rsid w:val="00CD0A00"/>
    <w:rsid w:val="00CD0AA3"/>
    <w:rsid w:val="00CD0AC7"/>
    <w:rsid w:val="00CD0E05"/>
    <w:rsid w:val="00CD0E90"/>
    <w:rsid w:val="00CD0F2F"/>
    <w:rsid w:val="00CD16BE"/>
    <w:rsid w:val="00CD1C03"/>
    <w:rsid w:val="00CD28E7"/>
    <w:rsid w:val="00CD2D5F"/>
    <w:rsid w:val="00CD307F"/>
    <w:rsid w:val="00CD34F0"/>
    <w:rsid w:val="00CD3A93"/>
    <w:rsid w:val="00CD4192"/>
    <w:rsid w:val="00CD467C"/>
    <w:rsid w:val="00CD47FC"/>
    <w:rsid w:val="00CD4A6A"/>
    <w:rsid w:val="00CD4B5C"/>
    <w:rsid w:val="00CD4E09"/>
    <w:rsid w:val="00CD50EE"/>
    <w:rsid w:val="00CD600B"/>
    <w:rsid w:val="00CD7802"/>
    <w:rsid w:val="00CD7B08"/>
    <w:rsid w:val="00CD7B16"/>
    <w:rsid w:val="00CD7CEA"/>
    <w:rsid w:val="00CE0059"/>
    <w:rsid w:val="00CE0C16"/>
    <w:rsid w:val="00CE0F31"/>
    <w:rsid w:val="00CE15BA"/>
    <w:rsid w:val="00CE17B6"/>
    <w:rsid w:val="00CE188C"/>
    <w:rsid w:val="00CE1950"/>
    <w:rsid w:val="00CE2DA7"/>
    <w:rsid w:val="00CE2F81"/>
    <w:rsid w:val="00CE3A3B"/>
    <w:rsid w:val="00CE3D0C"/>
    <w:rsid w:val="00CE3F77"/>
    <w:rsid w:val="00CE41D0"/>
    <w:rsid w:val="00CE4559"/>
    <w:rsid w:val="00CE460A"/>
    <w:rsid w:val="00CE4783"/>
    <w:rsid w:val="00CE4CF6"/>
    <w:rsid w:val="00CE5612"/>
    <w:rsid w:val="00CE5746"/>
    <w:rsid w:val="00CE582B"/>
    <w:rsid w:val="00CE5A1D"/>
    <w:rsid w:val="00CE5B14"/>
    <w:rsid w:val="00CE5D7C"/>
    <w:rsid w:val="00CE621F"/>
    <w:rsid w:val="00CE6B5E"/>
    <w:rsid w:val="00CE6BE8"/>
    <w:rsid w:val="00CE6D09"/>
    <w:rsid w:val="00CE6D7A"/>
    <w:rsid w:val="00CE6DF6"/>
    <w:rsid w:val="00CE7B74"/>
    <w:rsid w:val="00CE7DB7"/>
    <w:rsid w:val="00CE7EF8"/>
    <w:rsid w:val="00CF0059"/>
    <w:rsid w:val="00CF00F5"/>
    <w:rsid w:val="00CF07D6"/>
    <w:rsid w:val="00CF0842"/>
    <w:rsid w:val="00CF0A5B"/>
    <w:rsid w:val="00CF0EE8"/>
    <w:rsid w:val="00CF139F"/>
    <w:rsid w:val="00CF1641"/>
    <w:rsid w:val="00CF1909"/>
    <w:rsid w:val="00CF1917"/>
    <w:rsid w:val="00CF21B9"/>
    <w:rsid w:val="00CF2D26"/>
    <w:rsid w:val="00CF35BD"/>
    <w:rsid w:val="00CF3651"/>
    <w:rsid w:val="00CF3855"/>
    <w:rsid w:val="00CF3C0D"/>
    <w:rsid w:val="00CF4078"/>
    <w:rsid w:val="00CF4242"/>
    <w:rsid w:val="00CF45F9"/>
    <w:rsid w:val="00CF4D52"/>
    <w:rsid w:val="00CF500D"/>
    <w:rsid w:val="00CF51D3"/>
    <w:rsid w:val="00CF52A4"/>
    <w:rsid w:val="00CF5458"/>
    <w:rsid w:val="00CF5731"/>
    <w:rsid w:val="00CF5823"/>
    <w:rsid w:val="00CF5BB1"/>
    <w:rsid w:val="00CF5C68"/>
    <w:rsid w:val="00CF5FA5"/>
    <w:rsid w:val="00CF6074"/>
    <w:rsid w:val="00CF6262"/>
    <w:rsid w:val="00CF64AD"/>
    <w:rsid w:val="00CF6592"/>
    <w:rsid w:val="00CF6878"/>
    <w:rsid w:val="00CF6BA8"/>
    <w:rsid w:val="00CF6C0C"/>
    <w:rsid w:val="00CF7149"/>
    <w:rsid w:val="00CF7892"/>
    <w:rsid w:val="00CF7AF2"/>
    <w:rsid w:val="00CF7B11"/>
    <w:rsid w:val="00CF7D2F"/>
    <w:rsid w:val="00D00674"/>
    <w:rsid w:val="00D00933"/>
    <w:rsid w:val="00D00ACC"/>
    <w:rsid w:val="00D00CF1"/>
    <w:rsid w:val="00D00D46"/>
    <w:rsid w:val="00D00E2C"/>
    <w:rsid w:val="00D00F05"/>
    <w:rsid w:val="00D01131"/>
    <w:rsid w:val="00D014AE"/>
    <w:rsid w:val="00D021F9"/>
    <w:rsid w:val="00D02282"/>
    <w:rsid w:val="00D02572"/>
    <w:rsid w:val="00D027C2"/>
    <w:rsid w:val="00D027E0"/>
    <w:rsid w:val="00D02A93"/>
    <w:rsid w:val="00D031A1"/>
    <w:rsid w:val="00D03C95"/>
    <w:rsid w:val="00D04271"/>
    <w:rsid w:val="00D04289"/>
    <w:rsid w:val="00D04372"/>
    <w:rsid w:val="00D044A1"/>
    <w:rsid w:val="00D047B2"/>
    <w:rsid w:val="00D04915"/>
    <w:rsid w:val="00D04983"/>
    <w:rsid w:val="00D04A2C"/>
    <w:rsid w:val="00D050C5"/>
    <w:rsid w:val="00D055B8"/>
    <w:rsid w:val="00D05631"/>
    <w:rsid w:val="00D05D5A"/>
    <w:rsid w:val="00D05D95"/>
    <w:rsid w:val="00D05E97"/>
    <w:rsid w:val="00D0623B"/>
    <w:rsid w:val="00D06280"/>
    <w:rsid w:val="00D066E3"/>
    <w:rsid w:val="00D067E7"/>
    <w:rsid w:val="00D06A4C"/>
    <w:rsid w:val="00D06ABA"/>
    <w:rsid w:val="00D06ACE"/>
    <w:rsid w:val="00D06C05"/>
    <w:rsid w:val="00D06DED"/>
    <w:rsid w:val="00D06E0C"/>
    <w:rsid w:val="00D07038"/>
    <w:rsid w:val="00D07354"/>
    <w:rsid w:val="00D07661"/>
    <w:rsid w:val="00D076B1"/>
    <w:rsid w:val="00D07815"/>
    <w:rsid w:val="00D07CC8"/>
    <w:rsid w:val="00D10072"/>
    <w:rsid w:val="00D1029B"/>
    <w:rsid w:val="00D10736"/>
    <w:rsid w:val="00D10BD1"/>
    <w:rsid w:val="00D10C46"/>
    <w:rsid w:val="00D11738"/>
    <w:rsid w:val="00D11853"/>
    <w:rsid w:val="00D119C1"/>
    <w:rsid w:val="00D11CDF"/>
    <w:rsid w:val="00D11F28"/>
    <w:rsid w:val="00D124D0"/>
    <w:rsid w:val="00D1255F"/>
    <w:rsid w:val="00D1278A"/>
    <w:rsid w:val="00D12963"/>
    <w:rsid w:val="00D12A66"/>
    <w:rsid w:val="00D12E5B"/>
    <w:rsid w:val="00D13056"/>
    <w:rsid w:val="00D13474"/>
    <w:rsid w:val="00D136E6"/>
    <w:rsid w:val="00D13D6C"/>
    <w:rsid w:val="00D14BC4"/>
    <w:rsid w:val="00D14CA4"/>
    <w:rsid w:val="00D14E95"/>
    <w:rsid w:val="00D15418"/>
    <w:rsid w:val="00D154E9"/>
    <w:rsid w:val="00D15C85"/>
    <w:rsid w:val="00D15D64"/>
    <w:rsid w:val="00D16021"/>
    <w:rsid w:val="00D163B2"/>
    <w:rsid w:val="00D16410"/>
    <w:rsid w:val="00D166B0"/>
    <w:rsid w:val="00D166F3"/>
    <w:rsid w:val="00D16A0A"/>
    <w:rsid w:val="00D16DD2"/>
    <w:rsid w:val="00D1727D"/>
    <w:rsid w:val="00D172C2"/>
    <w:rsid w:val="00D1765C"/>
    <w:rsid w:val="00D1796A"/>
    <w:rsid w:val="00D17979"/>
    <w:rsid w:val="00D17D12"/>
    <w:rsid w:val="00D205B5"/>
    <w:rsid w:val="00D21738"/>
    <w:rsid w:val="00D21A62"/>
    <w:rsid w:val="00D21C9A"/>
    <w:rsid w:val="00D21FB2"/>
    <w:rsid w:val="00D220CF"/>
    <w:rsid w:val="00D22226"/>
    <w:rsid w:val="00D22638"/>
    <w:rsid w:val="00D228D0"/>
    <w:rsid w:val="00D22B8D"/>
    <w:rsid w:val="00D2363B"/>
    <w:rsid w:val="00D239ED"/>
    <w:rsid w:val="00D23E9D"/>
    <w:rsid w:val="00D24171"/>
    <w:rsid w:val="00D247C5"/>
    <w:rsid w:val="00D24A74"/>
    <w:rsid w:val="00D24AD1"/>
    <w:rsid w:val="00D24BBE"/>
    <w:rsid w:val="00D24D5E"/>
    <w:rsid w:val="00D253EB"/>
    <w:rsid w:val="00D25534"/>
    <w:rsid w:val="00D25B5B"/>
    <w:rsid w:val="00D25B68"/>
    <w:rsid w:val="00D25E82"/>
    <w:rsid w:val="00D25F71"/>
    <w:rsid w:val="00D26004"/>
    <w:rsid w:val="00D260AB"/>
    <w:rsid w:val="00D26129"/>
    <w:rsid w:val="00D26277"/>
    <w:rsid w:val="00D26397"/>
    <w:rsid w:val="00D268D6"/>
    <w:rsid w:val="00D268DD"/>
    <w:rsid w:val="00D26CBF"/>
    <w:rsid w:val="00D2703F"/>
    <w:rsid w:val="00D2752C"/>
    <w:rsid w:val="00D278AD"/>
    <w:rsid w:val="00D27CAE"/>
    <w:rsid w:val="00D27DF3"/>
    <w:rsid w:val="00D3000D"/>
    <w:rsid w:val="00D30122"/>
    <w:rsid w:val="00D30588"/>
    <w:rsid w:val="00D305A4"/>
    <w:rsid w:val="00D307EB"/>
    <w:rsid w:val="00D30DE1"/>
    <w:rsid w:val="00D31372"/>
    <w:rsid w:val="00D313B4"/>
    <w:rsid w:val="00D319F4"/>
    <w:rsid w:val="00D31FC6"/>
    <w:rsid w:val="00D320A0"/>
    <w:rsid w:val="00D32292"/>
    <w:rsid w:val="00D32E48"/>
    <w:rsid w:val="00D32E79"/>
    <w:rsid w:val="00D32F22"/>
    <w:rsid w:val="00D3340D"/>
    <w:rsid w:val="00D334E8"/>
    <w:rsid w:val="00D335CB"/>
    <w:rsid w:val="00D33EB7"/>
    <w:rsid w:val="00D33ED1"/>
    <w:rsid w:val="00D33F2A"/>
    <w:rsid w:val="00D34038"/>
    <w:rsid w:val="00D344BB"/>
    <w:rsid w:val="00D3472E"/>
    <w:rsid w:val="00D34AE1"/>
    <w:rsid w:val="00D34DDA"/>
    <w:rsid w:val="00D34F40"/>
    <w:rsid w:val="00D34FB5"/>
    <w:rsid w:val="00D3534B"/>
    <w:rsid w:val="00D354E0"/>
    <w:rsid w:val="00D35F74"/>
    <w:rsid w:val="00D36A5E"/>
    <w:rsid w:val="00D36AFA"/>
    <w:rsid w:val="00D37400"/>
    <w:rsid w:val="00D37D7D"/>
    <w:rsid w:val="00D40114"/>
    <w:rsid w:val="00D4013F"/>
    <w:rsid w:val="00D40691"/>
    <w:rsid w:val="00D40A47"/>
    <w:rsid w:val="00D40B0C"/>
    <w:rsid w:val="00D40B90"/>
    <w:rsid w:val="00D40DFD"/>
    <w:rsid w:val="00D4109A"/>
    <w:rsid w:val="00D41505"/>
    <w:rsid w:val="00D417FA"/>
    <w:rsid w:val="00D41968"/>
    <w:rsid w:val="00D41CB7"/>
    <w:rsid w:val="00D41E1A"/>
    <w:rsid w:val="00D42557"/>
    <w:rsid w:val="00D425F8"/>
    <w:rsid w:val="00D42E4D"/>
    <w:rsid w:val="00D42FA9"/>
    <w:rsid w:val="00D42FDC"/>
    <w:rsid w:val="00D43041"/>
    <w:rsid w:val="00D43359"/>
    <w:rsid w:val="00D437CF"/>
    <w:rsid w:val="00D43C42"/>
    <w:rsid w:val="00D440FC"/>
    <w:rsid w:val="00D4477B"/>
    <w:rsid w:val="00D4491C"/>
    <w:rsid w:val="00D44D1C"/>
    <w:rsid w:val="00D44EB5"/>
    <w:rsid w:val="00D45043"/>
    <w:rsid w:val="00D455CC"/>
    <w:rsid w:val="00D45B43"/>
    <w:rsid w:val="00D45B5C"/>
    <w:rsid w:val="00D45FA8"/>
    <w:rsid w:val="00D4611A"/>
    <w:rsid w:val="00D46759"/>
    <w:rsid w:val="00D46790"/>
    <w:rsid w:val="00D468D3"/>
    <w:rsid w:val="00D46908"/>
    <w:rsid w:val="00D46CB6"/>
    <w:rsid w:val="00D47382"/>
    <w:rsid w:val="00D47B84"/>
    <w:rsid w:val="00D47D2B"/>
    <w:rsid w:val="00D47F7C"/>
    <w:rsid w:val="00D5029C"/>
    <w:rsid w:val="00D505B4"/>
    <w:rsid w:val="00D508F0"/>
    <w:rsid w:val="00D50D60"/>
    <w:rsid w:val="00D510C9"/>
    <w:rsid w:val="00D511B4"/>
    <w:rsid w:val="00D5121C"/>
    <w:rsid w:val="00D51223"/>
    <w:rsid w:val="00D51444"/>
    <w:rsid w:val="00D51A83"/>
    <w:rsid w:val="00D5267E"/>
    <w:rsid w:val="00D52843"/>
    <w:rsid w:val="00D52D9F"/>
    <w:rsid w:val="00D52F76"/>
    <w:rsid w:val="00D535A5"/>
    <w:rsid w:val="00D53823"/>
    <w:rsid w:val="00D53C63"/>
    <w:rsid w:val="00D53CBD"/>
    <w:rsid w:val="00D540AD"/>
    <w:rsid w:val="00D54605"/>
    <w:rsid w:val="00D546D7"/>
    <w:rsid w:val="00D54C2C"/>
    <w:rsid w:val="00D554E6"/>
    <w:rsid w:val="00D5560A"/>
    <w:rsid w:val="00D55E8E"/>
    <w:rsid w:val="00D560A7"/>
    <w:rsid w:val="00D56386"/>
    <w:rsid w:val="00D5646A"/>
    <w:rsid w:val="00D5648C"/>
    <w:rsid w:val="00D568F5"/>
    <w:rsid w:val="00D56A60"/>
    <w:rsid w:val="00D56AFB"/>
    <w:rsid w:val="00D57870"/>
    <w:rsid w:val="00D61199"/>
    <w:rsid w:val="00D62D8B"/>
    <w:rsid w:val="00D633B4"/>
    <w:rsid w:val="00D6346F"/>
    <w:rsid w:val="00D63DD9"/>
    <w:rsid w:val="00D63E9A"/>
    <w:rsid w:val="00D63FA7"/>
    <w:rsid w:val="00D6421A"/>
    <w:rsid w:val="00D64376"/>
    <w:rsid w:val="00D647CE"/>
    <w:rsid w:val="00D6486C"/>
    <w:rsid w:val="00D6502C"/>
    <w:rsid w:val="00D6502E"/>
    <w:rsid w:val="00D65771"/>
    <w:rsid w:val="00D66142"/>
    <w:rsid w:val="00D6644B"/>
    <w:rsid w:val="00D669F4"/>
    <w:rsid w:val="00D66DCB"/>
    <w:rsid w:val="00D66EFA"/>
    <w:rsid w:val="00D6754C"/>
    <w:rsid w:val="00D676BA"/>
    <w:rsid w:val="00D67975"/>
    <w:rsid w:val="00D679C9"/>
    <w:rsid w:val="00D67CBE"/>
    <w:rsid w:val="00D7078A"/>
    <w:rsid w:val="00D70909"/>
    <w:rsid w:val="00D7095E"/>
    <w:rsid w:val="00D70CA2"/>
    <w:rsid w:val="00D714E4"/>
    <w:rsid w:val="00D718EF"/>
    <w:rsid w:val="00D719CC"/>
    <w:rsid w:val="00D71E36"/>
    <w:rsid w:val="00D71FF9"/>
    <w:rsid w:val="00D720AC"/>
    <w:rsid w:val="00D7254C"/>
    <w:rsid w:val="00D725AE"/>
    <w:rsid w:val="00D72930"/>
    <w:rsid w:val="00D72A1E"/>
    <w:rsid w:val="00D72C27"/>
    <w:rsid w:val="00D72C55"/>
    <w:rsid w:val="00D72CB5"/>
    <w:rsid w:val="00D72F5E"/>
    <w:rsid w:val="00D72FE9"/>
    <w:rsid w:val="00D73285"/>
    <w:rsid w:val="00D73919"/>
    <w:rsid w:val="00D739E2"/>
    <w:rsid w:val="00D73A37"/>
    <w:rsid w:val="00D73A5D"/>
    <w:rsid w:val="00D73CCA"/>
    <w:rsid w:val="00D74238"/>
    <w:rsid w:val="00D7470C"/>
    <w:rsid w:val="00D747E5"/>
    <w:rsid w:val="00D7489F"/>
    <w:rsid w:val="00D74B5E"/>
    <w:rsid w:val="00D74BA2"/>
    <w:rsid w:val="00D74C20"/>
    <w:rsid w:val="00D74D19"/>
    <w:rsid w:val="00D75057"/>
    <w:rsid w:val="00D75402"/>
    <w:rsid w:val="00D7557E"/>
    <w:rsid w:val="00D75855"/>
    <w:rsid w:val="00D759E9"/>
    <w:rsid w:val="00D75D63"/>
    <w:rsid w:val="00D75E52"/>
    <w:rsid w:val="00D75F8E"/>
    <w:rsid w:val="00D760ED"/>
    <w:rsid w:val="00D761B8"/>
    <w:rsid w:val="00D76519"/>
    <w:rsid w:val="00D76777"/>
    <w:rsid w:val="00D76801"/>
    <w:rsid w:val="00D76A3B"/>
    <w:rsid w:val="00D76CC3"/>
    <w:rsid w:val="00D773D1"/>
    <w:rsid w:val="00D77410"/>
    <w:rsid w:val="00D775B4"/>
    <w:rsid w:val="00D77934"/>
    <w:rsid w:val="00D77EFF"/>
    <w:rsid w:val="00D80079"/>
    <w:rsid w:val="00D80261"/>
    <w:rsid w:val="00D802EC"/>
    <w:rsid w:val="00D80361"/>
    <w:rsid w:val="00D8085F"/>
    <w:rsid w:val="00D80B25"/>
    <w:rsid w:val="00D814E0"/>
    <w:rsid w:val="00D81943"/>
    <w:rsid w:val="00D81DE4"/>
    <w:rsid w:val="00D82154"/>
    <w:rsid w:val="00D824B0"/>
    <w:rsid w:val="00D82E96"/>
    <w:rsid w:val="00D83049"/>
    <w:rsid w:val="00D832B3"/>
    <w:rsid w:val="00D8330B"/>
    <w:rsid w:val="00D833ED"/>
    <w:rsid w:val="00D8362C"/>
    <w:rsid w:val="00D83675"/>
    <w:rsid w:val="00D83E19"/>
    <w:rsid w:val="00D84117"/>
    <w:rsid w:val="00D841E9"/>
    <w:rsid w:val="00D849FF"/>
    <w:rsid w:val="00D84A2B"/>
    <w:rsid w:val="00D84A7B"/>
    <w:rsid w:val="00D84C17"/>
    <w:rsid w:val="00D85528"/>
    <w:rsid w:val="00D8636A"/>
    <w:rsid w:val="00D86421"/>
    <w:rsid w:val="00D8687C"/>
    <w:rsid w:val="00D8687F"/>
    <w:rsid w:val="00D871AF"/>
    <w:rsid w:val="00D874A9"/>
    <w:rsid w:val="00D874B3"/>
    <w:rsid w:val="00D87710"/>
    <w:rsid w:val="00D87C2B"/>
    <w:rsid w:val="00D87CF3"/>
    <w:rsid w:val="00D87E61"/>
    <w:rsid w:val="00D9076D"/>
    <w:rsid w:val="00D90B74"/>
    <w:rsid w:val="00D90ED5"/>
    <w:rsid w:val="00D90F1F"/>
    <w:rsid w:val="00D90F23"/>
    <w:rsid w:val="00D912DB"/>
    <w:rsid w:val="00D91347"/>
    <w:rsid w:val="00D919D4"/>
    <w:rsid w:val="00D925FC"/>
    <w:rsid w:val="00D92A4B"/>
    <w:rsid w:val="00D92A66"/>
    <w:rsid w:val="00D92B31"/>
    <w:rsid w:val="00D92CDB"/>
    <w:rsid w:val="00D92F47"/>
    <w:rsid w:val="00D93A55"/>
    <w:rsid w:val="00D93C04"/>
    <w:rsid w:val="00D944E5"/>
    <w:rsid w:val="00D94737"/>
    <w:rsid w:val="00D948F3"/>
    <w:rsid w:val="00D94CD2"/>
    <w:rsid w:val="00D94D51"/>
    <w:rsid w:val="00D95348"/>
    <w:rsid w:val="00D954C1"/>
    <w:rsid w:val="00D955BF"/>
    <w:rsid w:val="00D955F7"/>
    <w:rsid w:val="00D95900"/>
    <w:rsid w:val="00D96026"/>
    <w:rsid w:val="00D965B4"/>
    <w:rsid w:val="00D96C6B"/>
    <w:rsid w:val="00D96C80"/>
    <w:rsid w:val="00D96D8F"/>
    <w:rsid w:val="00D96DA2"/>
    <w:rsid w:val="00D96FEE"/>
    <w:rsid w:val="00D97103"/>
    <w:rsid w:val="00D97D41"/>
    <w:rsid w:val="00D97D9A"/>
    <w:rsid w:val="00D97F29"/>
    <w:rsid w:val="00DA0286"/>
    <w:rsid w:val="00DA0300"/>
    <w:rsid w:val="00DA0DFD"/>
    <w:rsid w:val="00DA1090"/>
    <w:rsid w:val="00DA1314"/>
    <w:rsid w:val="00DA1338"/>
    <w:rsid w:val="00DA16E3"/>
    <w:rsid w:val="00DA1A45"/>
    <w:rsid w:val="00DA1B9A"/>
    <w:rsid w:val="00DA1BFB"/>
    <w:rsid w:val="00DA1C64"/>
    <w:rsid w:val="00DA1ED6"/>
    <w:rsid w:val="00DA222C"/>
    <w:rsid w:val="00DA24E2"/>
    <w:rsid w:val="00DA2FDD"/>
    <w:rsid w:val="00DA3240"/>
    <w:rsid w:val="00DA351D"/>
    <w:rsid w:val="00DA383C"/>
    <w:rsid w:val="00DA3872"/>
    <w:rsid w:val="00DA3E63"/>
    <w:rsid w:val="00DA3FF6"/>
    <w:rsid w:val="00DA43BD"/>
    <w:rsid w:val="00DA45C9"/>
    <w:rsid w:val="00DA4B58"/>
    <w:rsid w:val="00DA4C33"/>
    <w:rsid w:val="00DA57E6"/>
    <w:rsid w:val="00DA587C"/>
    <w:rsid w:val="00DA5A8E"/>
    <w:rsid w:val="00DA5CC4"/>
    <w:rsid w:val="00DA5D13"/>
    <w:rsid w:val="00DA5F6E"/>
    <w:rsid w:val="00DA6671"/>
    <w:rsid w:val="00DA66CD"/>
    <w:rsid w:val="00DA67C6"/>
    <w:rsid w:val="00DA701A"/>
    <w:rsid w:val="00DA733B"/>
    <w:rsid w:val="00DA7452"/>
    <w:rsid w:val="00DA77E8"/>
    <w:rsid w:val="00DA78C9"/>
    <w:rsid w:val="00DA7A6E"/>
    <w:rsid w:val="00DB0035"/>
    <w:rsid w:val="00DB0648"/>
    <w:rsid w:val="00DB065C"/>
    <w:rsid w:val="00DB0E45"/>
    <w:rsid w:val="00DB0E9F"/>
    <w:rsid w:val="00DB1C85"/>
    <w:rsid w:val="00DB1D06"/>
    <w:rsid w:val="00DB1D79"/>
    <w:rsid w:val="00DB1E5C"/>
    <w:rsid w:val="00DB1E98"/>
    <w:rsid w:val="00DB20A8"/>
    <w:rsid w:val="00DB2A30"/>
    <w:rsid w:val="00DB2AA7"/>
    <w:rsid w:val="00DB2AF0"/>
    <w:rsid w:val="00DB336E"/>
    <w:rsid w:val="00DB3426"/>
    <w:rsid w:val="00DB3DDB"/>
    <w:rsid w:val="00DB3F1C"/>
    <w:rsid w:val="00DB40EE"/>
    <w:rsid w:val="00DB44A8"/>
    <w:rsid w:val="00DB4BDF"/>
    <w:rsid w:val="00DB4F52"/>
    <w:rsid w:val="00DB5077"/>
    <w:rsid w:val="00DB511D"/>
    <w:rsid w:val="00DB52A7"/>
    <w:rsid w:val="00DB55D8"/>
    <w:rsid w:val="00DB5CE8"/>
    <w:rsid w:val="00DB5DA8"/>
    <w:rsid w:val="00DB5ECE"/>
    <w:rsid w:val="00DB5FA3"/>
    <w:rsid w:val="00DB6087"/>
    <w:rsid w:val="00DB6303"/>
    <w:rsid w:val="00DB6593"/>
    <w:rsid w:val="00DB6893"/>
    <w:rsid w:val="00DB691A"/>
    <w:rsid w:val="00DB6F9A"/>
    <w:rsid w:val="00DB79E8"/>
    <w:rsid w:val="00DB7ADE"/>
    <w:rsid w:val="00DB7DE9"/>
    <w:rsid w:val="00DC01AA"/>
    <w:rsid w:val="00DC0570"/>
    <w:rsid w:val="00DC14B0"/>
    <w:rsid w:val="00DC15E5"/>
    <w:rsid w:val="00DC1C0A"/>
    <w:rsid w:val="00DC1F7B"/>
    <w:rsid w:val="00DC2464"/>
    <w:rsid w:val="00DC28B9"/>
    <w:rsid w:val="00DC2CCA"/>
    <w:rsid w:val="00DC2F69"/>
    <w:rsid w:val="00DC2FCF"/>
    <w:rsid w:val="00DC310B"/>
    <w:rsid w:val="00DC3935"/>
    <w:rsid w:val="00DC3A77"/>
    <w:rsid w:val="00DC3A8D"/>
    <w:rsid w:val="00DC3B91"/>
    <w:rsid w:val="00DC3D07"/>
    <w:rsid w:val="00DC40B3"/>
    <w:rsid w:val="00DC42E7"/>
    <w:rsid w:val="00DC4752"/>
    <w:rsid w:val="00DC48B1"/>
    <w:rsid w:val="00DC4AD4"/>
    <w:rsid w:val="00DC4BBA"/>
    <w:rsid w:val="00DC5482"/>
    <w:rsid w:val="00DC54D2"/>
    <w:rsid w:val="00DC594A"/>
    <w:rsid w:val="00DC59DD"/>
    <w:rsid w:val="00DC5C4D"/>
    <w:rsid w:val="00DC5CE5"/>
    <w:rsid w:val="00DC5F86"/>
    <w:rsid w:val="00DC646A"/>
    <w:rsid w:val="00DC6490"/>
    <w:rsid w:val="00DC677A"/>
    <w:rsid w:val="00DC6B03"/>
    <w:rsid w:val="00DC6EC5"/>
    <w:rsid w:val="00DC7173"/>
    <w:rsid w:val="00DC734D"/>
    <w:rsid w:val="00DC7661"/>
    <w:rsid w:val="00DC7BF8"/>
    <w:rsid w:val="00DC7F00"/>
    <w:rsid w:val="00DD0149"/>
    <w:rsid w:val="00DD0368"/>
    <w:rsid w:val="00DD07D7"/>
    <w:rsid w:val="00DD089B"/>
    <w:rsid w:val="00DD0AB8"/>
    <w:rsid w:val="00DD0B4B"/>
    <w:rsid w:val="00DD0FF0"/>
    <w:rsid w:val="00DD1112"/>
    <w:rsid w:val="00DD17EC"/>
    <w:rsid w:val="00DD1B18"/>
    <w:rsid w:val="00DD2198"/>
    <w:rsid w:val="00DD261F"/>
    <w:rsid w:val="00DD26C6"/>
    <w:rsid w:val="00DD2782"/>
    <w:rsid w:val="00DD28F4"/>
    <w:rsid w:val="00DD2AEB"/>
    <w:rsid w:val="00DD3454"/>
    <w:rsid w:val="00DD36B8"/>
    <w:rsid w:val="00DD3A44"/>
    <w:rsid w:val="00DD3A8F"/>
    <w:rsid w:val="00DD3AB0"/>
    <w:rsid w:val="00DD3AD1"/>
    <w:rsid w:val="00DD40CE"/>
    <w:rsid w:val="00DD4722"/>
    <w:rsid w:val="00DD4733"/>
    <w:rsid w:val="00DD4758"/>
    <w:rsid w:val="00DD47B9"/>
    <w:rsid w:val="00DD4B00"/>
    <w:rsid w:val="00DD4CF5"/>
    <w:rsid w:val="00DD4F77"/>
    <w:rsid w:val="00DD573D"/>
    <w:rsid w:val="00DD59ED"/>
    <w:rsid w:val="00DD5B3E"/>
    <w:rsid w:val="00DD602E"/>
    <w:rsid w:val="00DD6893"/>
    <w:rsid w:val="00DD6D8C"/>
    <w:rsid w:val="00DD7052"/>
    <w:rsid w:val="00DD73AD"/>
    <w:rsid w:val="00DD7C69"/>
    <w:rsid w:val="00DD7C81"/>
    <w:rsid w:val="00DD7E4C"/>
    <w:rsid w:val="00DE00F9"/>
    <w:rsid w:val="00DE010F"/>
    <w:rsid w:val="00DE029C"/>
    <w:rsid w:val="00DE065E"/>
    <w:rsid w:val="00DE0852"/>
    <w:rsid w:val="00DE0A2A"/>
    <w:rsid w:val="00DE1181"/>
    <w:rsid w:val="00DE12CF"/>
    <w:rsid w:val="00DE16C3"/>
    <w:rsid w:val="00DE1998"/>
    <w:rsid w:val="00DE1BE3"/>
    <w:rsid w:val="00DE2851"/>
    <w:rsid w:val="00DE2B29"/>
    <w:rsid w:val="00DE2DFB"/>
    <w:rsid w:val="00DE2F2F"/>
    <w:rsid w:val="00DE2FD3"/>
    <w:rsid w:val="00DE302A"/>
    <w:rsid w:val="00DE30FD"/>
    <w:rsid w:val="00DE31EE"/>
    <w:rsid w:val="00DE3223"/>
    <w:rsid w:val="00DE3765"/>
    <w:rsid w:val="00DE38F1"/>
    <w:rsid w:val="00DE3B41"/>
    <w:rsid w:val="00DE4431"/>
    <w:rsid w:val="00DE49AC"/>
    <w:rsid w:val="00DE5AA1"/>
    <w:rsid w:val="00DE5EF9"/>
    <w:rsid w:val="00DE63AF"/>
    <w:rsid w:val="00DE64D4"/>
    <w:rsid w:val="00DE66CB"/>
    <w:rsid w:val="00DE7141"/>
    <w:rsid w:val="00DE79A9"/>
    <w:rsid w:val="00DE7B7F"/>
    <w:rsid w:val="00DE7F4C"/>
    <w:rsid w:val="00DE7F94"/>
    <w:rsid w:val="00DF004A"/>
    <w:rsid w:val="00DF0433"/>
    <w:rsid w:val="00DF079A"/>
    <w:rsid w:val="00DF09A7"/>
    <w:rsid w:val="00DF0C1B"/>
    <w:rsid w:val="00DF1052"/>
    <w:rsid w:val="00DF127F"/>
    <w:rsid w:val="00DF12D4"/>
    <w:rsid w:val="00DF1333"/>
    <w:rsid w:val="00DF142C"/>
    <w:rsid w:val="00DF15C4"/>
    <w:rsid w:val="00DF18FC"/>
    <w:rsid w:val="00DF1E4D"/>
    <w:rsid w:val="00DF2582"/>
    <w:rsid w:val="00DF27FC"/>
    <w:rsid w:val="00DF2DD6"/>
    <w:rsid w:val="00DF2EBF"/>
    <w:rsid w:val="00DF306D"/>
    <w:rsid w:val="00DF30F8"/>
    <w:rsid w:val="00DF33B2"/>
    <w:rsid w:val="00DF363C"/>
    <w:rsid w:val="00DF37E0"/>
    <w:rsid w:val="00DF3895"/>
    <w:rsid w:val="00DF3F8B"/>
    <w:rsid w:val="00DF3FBE"/>
    <w:rsid w:val="00DF4433"/>
    <w:rsid w:val="00DF447F"/>
    <w:rsid w:val="00DF4958"/>
    <w:rsid w:val="00DF4C2D"/>
    <w:rsid w:val="00DF5369"/>
    <w:rsid w:val="00DF56EC"/>
    <w:rsid w:val="00DF5E03"/>
    <w:rsid w:val="00DF607A"/>
    <w:rsid w:val="00DF6960"/>
    <w:rsid w:val="00DF6DF8"/>
    <w:rsid w:val="00DF7047"/>
    <w:rsid w:val="00DF7085"/>
    <w:rsid w:val="00DF75D3"/>
    <w:rsid w:val="00DF75DC"/>
    <w:rsid w:val="00DF7870"/>
    <w:rsid w:val="00DF7B16"/>
    <w:rsid w:val="00DF7E46"/>
    <w:rsid w:val="00DF7FFD"/>
    <w:rsid w:val="00E0027C"/>
    <w:rsid w:val="00E00752"/>
    <w:rsid w:val="00E00A0F"/>
    <w:rsid w:val="00E00B8C"/>
    <w:rsid w:val="00E00C66"/>
    <w:rsid w:val="00E0162C"/>
    <w:rsid w:val="00E01BEA"/>
    <w:rsid w:val="00E01C98"/>
    <w:rsid w:val="00E01D7D"/>
    <w:rsid w:val="00E025E6"/>
    <w:rsid w:val="00E0263F"/>
    <w:rsid w:val="00E029E3"/>
    <w:rsid w:val="00E02DF1"/>
    <w:rsid w:val="00E02E9A"/>
    <w:rsid w:val="00E03269"/>
    <w:rsid w:val="00E03536"/>
    <w:rsid w:val="00E03791"/>
    <w:rsid w:val="00E037DC"/>
    <w:rsid w:val="00E03A04"/>
    <w:rsid w:val="00E03E0D"/>
    <w:rsid w:val="00E04679"/>
    <w:rsid w:val="00E04930"/>
    <w:rsid w:val="00E049D2"/>
    <w:rsid w:val="00E04B8C"/>
    <w:rsid w:val="00E04DAC"/>
    <w:rsid w:val="00E05085"/>
    <w:rsid w:val="00E0529B"/>
    <w:rsid w:val="00E05DE9"/>
    <w:rsid w:val="00E0616C"/>
    <w:rsid w:val="00E064A9"/>
    <w:rsid w:val="00E06996"/>
    <w:rsid w:val="00E069BD"/>
    <w:rsid w:val="00E069BE"/>
    <w:rsid w:val="00E06A54"/>
    <w:rsid w:val="00E07F5B"/>
    <w:rsid w:val="00E10059"/>
    <w:rsid w:val="00E1015E"/>
    <w:rsid w:val="00E10266"/>
    <w:rsid w:val="00E103DA"/>
    <w:rsid w:val="00E1065A"/>
    <w:rsid w:val="00E108E3"/>
    <w:rsid w:val="00E1094D"/>
    <w:rsid w:val="00E10CDA"/>
    <w:rsid w:val="00E113C2"/>
    <w:rsid w:val="00E11455"/>
    <w:rsid w:val="00E115B5"/>
    <w:rsid w:val="00E118EE"/>
    <w:rsid w:val="00E11CE5"/>
    <w:rsid w:val="00E11D17"/>
    <w:rsid w:val="00E11D45"/>
    <w:rsid w:val="00E120F4"/>
    <w:rsid w:val="00E122E9"/>
    <w:rsid w:val="00E12593"/>
    <w:rsid w:val="00E1264E"/>
    <w:rsid w:val="00E12DA1"/>
    <w:rsid w:val="00E12DC8"/>
    <w:rsid w:val="00E130FD"/>
    <w:rsid w:val="00E13199"/>
    <w:rsid w:val="00E13605"/>
    <w:rsid w:val="00E13915"/>
    <w:rsid w:val="00E13CEE"/>
    <w:rsid w:val="00E13CF3"/>
    <w:rsid w:val="00E14007"/>
    <w:rsid w:val="00E1415C"/>
    <w:rsid w:val="00E14661"/>
    <w:rsid w:val="00E14664"/>
    <w:rsid w:val="00E1478F"/>
    <w:rsid w:val="00E14A99"/>
    <w:rsid w:val="00E14C6D"/>
    <w:rsid w:val="00E159A6"/>
    <w:rsid w:val="00E15FFB"/>
    <w:rsid w:val="00E1614F"/>
    <w:rsid w:val="00E1626D"/>
    <w:rsid w:val="00E162A0"/>
    <w:rsid w:val="00E162C0"/>
    <w:rsid w:val="00E164D4"/>
    <w:rsid w:val="00E16915"/>
    <w:rsid w:val="00E16C67"/>
    <w:rsid w:val="00E16FA1"/>
    <w:rsid w:val="00E1796A"/>
    <w:rsid w:val="00E17CBB"/>
    <w:rsid w:val="00E200D6"/>
    <w:rsid w:val="00E20241"/>
    <w:rsid w:val="00E20524"/>
    <w:rsid w:val="00E2095D"/>
    <w:rsid w:val="00E20D19"/>
    <w:rsid w:val="00E21023"/>
    <w:rsid w:val="00E21075"/>
    <w:rsid w:val="00E215BD"/>
    <w:rsid w:val="00E218FC"/>
    <w:rsid w:val="00E21AD2"/>
    <w:rsid w:val="00E21B84"/>
    <w:rsid w:val="00E220C1"/>
    <w:rsid w:val="00E22891"/>
    <w:rsid w:val="00E22A6F"/>
    <w:rsid w:val="00E22CD5"/>
    <w:rsid w:val="00E22F17"/>
    <w:rsid w:val="00E23745"/>
    <w:rsid w:val="00E23F72"/>
    <w:rsid w:val="00E240AB"/>
    <w:rsid w:val="00E24493"/>
    <w:rsid w:val="00E24A4C"/>
    <w:rsid w:val="00E24EE7"/>
    <w:rsid w:val="00E254CB"/>
    <w:rsid w:val="00E25529"/>
    <w:rsid w:val="00E259C5"/>
    <w:rsid w:val="00E25AF0"/>
    <w:rsid w:val="00E25EBC"/>
    <w:rsid w:val="00E26042"/>
    <w:rsid w:val="00E264CA"/>
    <w:rsid w:val="00E26815"/>
    <w:rsid w:val="00E26A75"/>
    <w:rsid w:val="00E26B41"/>
    <w:rsid w:val="00E26C44"/>
    <w:rsid w:val="00E26E3E"/>
    <w:rsid w:val="00E271FE"/>
    <w:rsid w:val="00E272CF"/>
    <w:rsid w:val="00E27D92"/>
    <w:rsid w:val="00E30227"/>
    <w:rsid w:val="00E3027E"/>
    <w:rsid w:val="00E30547"/>
    <w:rsid w:val="00E30647"/>
    <w:rsid w:val="00E309FC"/>
    <w:rsid w:val="00E30BCD"/>
    <w:rsid w:val="00E30C43"/>
    <w:rsid w:val="00E30DC5"/>
    <w:rsid w:val="00E31025"/>
    <w:rsid w:val="00E3158F"/>
    <w:rsid w:val="00E31B9C"/>
    <w:rsid w:val="00E31D7D"/>
    <w:rsid w:val="00E31E05"/>
    <w:rsid w:val="00E32532"/>
    <w:rsid w:val="00E32733"/>
    <w:rsid w:val="00E32AA6"/>
    <w:rsid w:val="00E32E4A"/>
    <w:rsid w:val="00E330EF"/>
    <w:rsid w:val="00E33244"/>
    <w:rsid w:val="00E3337F"/>
    <w:rsid w:val="00E33577"/>
    <w:rsid w:val="00E336C5"/>
    <w:rsid w:val="00E339B2"/>
    <w:rsid w:val="00E33E9C"/>
    <w:rsid w:val="00E33EA1"/>
    <w:rsid w:val="00E34615"/>
    <w:rsid w:val="00E34776"/>
    <w:rsid w:val="00E34852"/>
    <w:rsid w:val="00E348E3"/>
    <w:rsid w:val="00E3496B"/>
    <w:rsid w:val="00E34F58"/>
    <w:rsid w:val="00E358A9"/>
    <w:rsid w:val="00E35C6A"/>
    <w:rsid w:val="00E35CEF"/>
    <w:rsid w:val="00E366AF"/>
    <w:rsid w:val="00E368D1"/>
    <w:rsid w:val="00E36B4E"/>
    <w:rsid w:val="00E36CA1"/>
    <w:rsid w:val="00E370D9"/>
    <w:rsid w:val="00E37290"/>
    <w:rsid w:val="00E37301"/>
    <w:rsid w:val="00E37757"/>
    <w:rsid w:val="00E3792D"/>
    <w:rsid w:val="00E37A51"/>
    <w:rsid w:val="00E37E30"/>
    <w:rsid w:val="00E37EA1"/>
    <w:rsid w:val="00E37FA5"/>
    <w:rsid w:val="00E4008F"/>
    <w:rsid w:val="00E405EB"/>
    <w:rsid w:val="00E4081E"/>
    <w:rsid w:val="00E4086A"/>
    <w:rsid w:val="00E40B5F"/>
    <w:rsid w:val="00E414E8"/>
    <w:rsid w:val="00E414F6"/>
    <w:rsid w:val="00E4183D"/>
    <w:rsid w:val="00E4193F"/>
    <w:rsid w:val="00E41C81"/>
    <w:rsid w:val="00E41CBA"/>
    <w:rsid w:val="00E420B1"/>
    <w:rsid w:val="00E424BE"/>
    <w:rsid w:val="00E4259F"/>
    <w:rsid w:val="00E426D1"/>
    <w:rsid w:val="00E42740"/>
    <w:rsid w:val="00E427F7"/>
    <w:rsid w:val="00E42D77"/>
    <w:rsid w:val="00E432E8"/>
    <w:rsid w:val="00E434EC"/>
    <w:rsid w:val="00E436AD"/>
    <w:rsid w:val="00E4385A"/>
    <w:rsid w:val="00E43D54"/>
    <w:rsid w:val="00E43E10"/>
    <w:rsid w:val="00E43F64"/>
    <w:rsid w:val="00E44099"/>
    <w:rsid w:val="00E4429D"/>
    <w:rsid w:val="00E44563"/>
    <w:rsid w:val="00E4481F"/>
    <w:rsid w:val="00E4493C"/>
    <w:rsid w:val="00E44B88"/>
    <w:rsid w:val="00E44D50"/>
    <w:rsid w:val="00E45073"/>
    <w:rsid w:val="00E45154"/>
    <w:rsid w:val="00E45305"/>
    <w:rsid w:val="00E453F6"/>
    <w:rsid w:val="00E4547B"/>
    <w:rsid w:val="00E45AA3"/>
    <w:rsid w:val="00E4613E"/>
    <w:rsid w:val="00E46232"/>
    <w:rsid w:val="00E463E4"/>
    <w:rsid w:val="00E46529"/>
    <w:rsid w:val="00E46CA2"/>
    <w:rsid w:val="00E46DB1"/>
    <w:rsid w:val="00E46F29"/>
    <w:rsid w:val="00E47D8D"/>
    <w:rsid w:val="00E47E7A"/>
    <w:rsid w:val="00E50456"/>
    <w:rsid w:val="00E50A04"/>
    <w:rsid w:val="00E51494"/>
    <w:rsid w:val="00E51772"/>
    <w:rsid w:val="00E519DF"/>
    <w:rsid w:val="00E51ABF"/>
    <w:rsid w:val="00E51BC2"/>
    <w:rsid w:val="00E51BFE"/>
    <w:rsid w:val="00E51C03"/>
    <w:rsid w:val="00E51D00"/>
    <w:rsid w:val="00E51DDF"/>
    <w:rsid w:val="00E522FB"/>
    <w:rsid w:val="00E52C10"/>
    <w:rsid w:val="00E52E06"/>
    <w:rsid w:val="00E52E41"/>
    <w:rsid w:val="00E53236"/>
    <w:rsid w:val="00E5328D"/>
    <w:rsid w:val="00E5350D"/>
    <w:rsid w:val="00E53A24"/>
    <w:rsid w:val="00E53A66"/>
    <w:rsid w:val="00E53ABD"/>
    <w:rsid w:val="00E53D06"/>
    <w:rsid w:val="00E54055"/>
    <w:rsid w:val="00E543EC"/>
    <w:rsid w:val="00E54497"/>
    <w:rsid w:val="00E5486A"/>
    <w:rsid w:val="00E548AB"/>
    <w:rsid w:val="00E54EEC"/>
    <w:rsid w:val="00E55104"/>
    <w:rsid w:val="00E553B1"/>
    <w:rsid w:val="00E557A9"/>
    <w:rsid w:val="00E55A98"/>
    <w:rsid w:val="00E55F7B"/>
    <w:rsid w:val="00E562C6"/>
    <w:rsid w:val="00E56317"/>
    <w:rsid w:val="00E5648B"/>
    <w:rsid w:val="00E56508"/>
    <w:rsid w:val="00E567C9"/>
    <w:rsid w:val="00E5692E"/>
    <w:rsid w:val="00E569F3"/>
    <w:rsid w:val="00E56B65"/>
    <w:rsid w:val="00E56EC8"/>
    <w:rsid w:val="00E56EC9"/>
    <w:rsid w:val="00E56F28"/>
    <w:rsid w:val="00E5702E"/>
    <w:rsid w:val="00E57779"/>
    <w:rsid w:val="00E6001E"/>
    <w:rsid w:val="00E6027C"/>
    <w:rsid w:val="00E605D8"/>
    <w:rsid w:val="00E60A69"/>
    <w:rsid w:val="00E60AC0"/>
    <w:rsid w:val="00E60B11"/>
    <w:rsid w:val="00E60B75"/>
    <w:rsid w:val="00E60DA2"/>
    <w:rsid w:val="00E60EC9"/>
    <w:rsid w:val="00E60FF5"/>
    <w:rsid w:val="00E614BF"/>
    <w:rsid w:val="00E6186F"/>
    <w:rsid w:val="00E6238A"/>
    <w:rsid w:val="00E623EB"/>
    <w:rsid w:val="00E6248A"/>
    <w:rsid w:val="00E62605"/>
    <w:rsid w:val="00E62A26"/>
    <w:rsid w:val="00E62A7D"/>
    <w:rsid w:val="00E62BFD"/>
    <w:rsid w:val="00E62F76"/>
    <w:rsid w:val="00E632B1"/>
    <w:rsid w:val="00E639BF"/>
    <w:rsid w:val="00E63A72"/>
    <w:rsid w:val="00E649B2"/>
    <w:rsid w:val="00E64A56"/>
    <w:rsid w:val="00E64C18"/>
    <w:rsid w:val="00E652B2"/>
    <w:rsid w:val="00E653DE"/>
    <w:rsid w:val="00E659BF"/>
    <w:rsid w:val="00E65B2B"/>
    <w:rsid w:val="00E66DD8"/>
    <w:rsid w:val="00E66EE6"/>
    <w:rsid w:val="00E66FF4"/>
    <w:rsid w:val="00E67348"/>
    <w:rsid w:val="00E67365"/>
    <w:rsid w:val="00E67648"/>
    <w:rsid w:val="00E7039A"/>
    <w:rsid w:val="00E705FE"/>
    <w:rsid w:val="00E7073E"/>
    <w:rsid w:val="00E7081C"/>
    <w:rsid w:val="00E70BC9"/>
    <w:rsid w:val="00E70BD5"/>
    <w:rsid w:val="00E712BC"/>
    <w:rsid w:val="00E713FE"/>
    <w:rsid w:val="00E717BA"/>
    <w:rsid w:val="00E718F2"/>
    <w:rsid w:val="00E71ADD"/>
    <w:rsid w:val="00E71D15"/>
    <w:rsid w:val="00E71E24"/>
    <w:rsid w:val="00E71EF7"/>
    <w:rsid w:val="00E721F6"/>
    <w:rsid w:val="00E72819"/>
    <w:rsid w:val="00E72829"/>
    <w:rsid w:val="00E72884"/>
    <w:rsid w:val="00E728E4"/>
    <w:rsid w:val="00E72B37"/>
    <w:rsid w:val="00E72B3F"/>
    <w:rsid w:val="00E72C55"/>
    <w:rsid w:val="00E72E14"/>
    <w:rsid w:val="00E73496"/>
    <w:rsid w:val="00E736CA"/>
    <w:rsid w:val="00E736E6"/>
    <w:rsid w:val="00E736EB"/>
    <w:rsid w:val="00E73829"/>
    <w:rsid w:val="00E7399B"/>
    <w:rsid w:val="00E744B2"/>
    <w:rsid w:val="00E74A60"/>
    <w:rsid w:val="00E7514C"/>
    <w:rsid w:val="00E75417"/>
    <w:rsid w:val="00E75A01"/>
    <w:rsid w:val="00E75B3A"/>
    <w:rsid w:val="00E75C2B"/>
    <w:rsid w:val="00E75F6E"/>
    <w:rsid w:val="00E76059"/>
    <w:rsid w:val="00E766B4"/>
    <w:rsid w:val="00E76BA2"/>
    <w:rsid w:val="00E774A4"/>
    <w:rsid w:val="00E775D0"/>
    <w:rsid w:val="00E77702"/>
    <w:rsid w:val="00E77EC8"/>
    <w:rsid w:val="00E77FCC"/>
    <w:rsid w:val="00E8060C"/>
    <w:rsid w:val="00E807A2"/>
    <w:rsid w:val="00E807A5"/>
    <w:rsid w:val="00E80AA8"/>
    <w:rsid w:val="00E80CFE"/>
    <w:rsid w:val="00E80D53"/>
    <w:rsid w:val="00E8143B"/>
    <w:rsid w:val="00E81598"/>
    <w:rsid w:val="00E81CA4"/>
    <w:rsid w:val="00E824E0"/>
    <w:rsid w:val="00E82677"/>
    <w:rsid w:val="00E82695"/>
    <w:rsid w:val="00E8297A"/>
    <w:rsid w:val="00E82D1A"/>
    <w:rsid w:val="00E82D5C"/>
    <w:rsid w:val="00E8343B"/>
    <w:rsid w:val="00E83543"/>
    <w:rsid w:val="00E836D0"/>
    <w:rsid w:val="00E83A14"/>
    <w:rsid w:val="00E83BA4"/>
    <w:rsid w:val="00E83BD0"/>
    <w:rsid w:val="00E83ED5"/>
    <w:rsid w:val="00E842F8"/>
    <w:rsid w:val="00E84480"/>
    <w:rsid w:val="00E845BC"/>
    <w:rsid w:val="00E847C0"/>
    <w:rsid w:val="00E84919"/>
    <w:rsid w:val="00E84CE2"/>
    <w:rsid w:val="00E84CE7"/>
    <w:rsid w:val="00E84D17"/>
    <w:rsid w:val="00E84DC0"/>
    <w:rsid w:val="00E85068"/>
    <w:rsid w:val="00E85376"/>
    <w:rsid w:val="00E8539C"/>
    <w:rsid w:val="00E856B7"/>
    <w:rsid w:val="00E85F14"/>
    <w:rsid w:val="00E8607D"/>
    <w:rsid w:val="00E861D5"/>
    <w:rsid w:val="00E8650C"/>
    <w:rsid w:val="00E866FD"/>
    <w:rsid w:val="00E87379"/>
    <w:rsid w:val="00E8795E"/>
    <w:rsid w:val="00E879C6"/>
    <w:rsid w:val="00E87BED"/>
    <w:rsid w:val="00E87D7F"/>
    <w:rsid w:val="00E87FD1"/>
    <w:rsid w:val="00E9033C"/>
    <w:rsid w:val="00E9034F"/>
    <w:rsid w:val="00E90356"/>
    <w:rsid w:val="00E9035A"/>
    <w:rsid w:val="00E90375"/>
    <w:rsid w:val="00E904F4"/>
    <w:rsid w:val="00E907BA"/>
    <w:rsid w:val="00E908B0"/>
    <w:rsid w:val="00E90D29"/>
    <w:rsid w:val="00E90E57"/>
    <w:rsid w:val="00E90EFC"/>
    <w:rsid w:val="00E9104A"/>
    <w:rsid w:val="00E91832"/>
    <w:rsid w:val="00E91AD0"/>
    <w:rsid w:val="00E91B42"/>
    <w:rsid w:val="00E91C8A"/>
    <w:rsid w:val="00E9225B"/>
    <w:rsid w:val="00E92B5C"/>
    <w:rsid w:val="00E92D5D"/>
    <w:rsid w:val="00E93197"/>
    <w:rsid w:val="00E931D7"/>
    <w:rsid w:val="00E9378A"/>
    <w:rsid w:val="00E938DC"/>
    <w:rsid w:val="00E93952"/>
    <w:rsid w:val="00E93AE2"/>
    <w:rsid w:val="00E93CBF"/>
    <w:rsid w:val="00E9407C"/>
    <w:rsid w:val="00E94542"/>
    <w:rsid w:val="00E9478F"/>
    <w:rsid w:val="00E947F1"/>
    <w:rsid w:val="00E94C3E"/>
    <w:rsid w:val="00E94F71"/>
    <w:rsid w:val="00E95557"/>
    <w:rsid w:val="00E955F6"/>
    <w:rsid w:val="00E956EB"/>
    <w:rsid w:val="00E959FC"/>
    <w:rsid w:val="00E95A38"/>
    <w:rsid w:val="00E95B75"/>
    <w:rsid w:val="00E95C69"/>
    <w:rsid w:val="00E95ED5"/>
    <w:rsid w:val="00E96060"/>
    <w:rsid w:val="00E963DC"/>
    <w:rsid w:val="00E965A2"/>
    <w:rsid w:val="00E96CA4"/>
    <w:rsid w:val="00E97307"/>
    <w:rsid w:val="00E9737E"/>
    <w:rsid w:val="00E9757A"/>
    <w:rsid w:val="00E97832"/>
    <w:rsid w:val="00E97F4A"/>
    <w:rsid w:val="00EA0157"/>
    <w:rsid w:val="00EA0372"/>
    <w:rsid w:val="00EA0412"/>
    <w:rsid w:val="00EA052D"/>
    <w:rsid w:val="00EA05F6"/>
    <w:rsid w:val="00EA0752"/>
    <w:rsid w:val="00EA07B2"/>
    <w:rsid w:val="00EA0C43"/>
    <w:rsid w:val="00EA0F49"/>
    <w:rsid w:val="00EA0F5E"/>
    <w:rsid w:val="00EA158D"/>
    <w:rsid w:val="00EA18AC"/>
    <w:rsid w:val="00EA1B1C"/>
    <w:rsid w:val="00EA1D62"/>
    <w:rsid w:val="00EA20E5"/>
    <w:rsid w:val="00EA227F"/>
    <w:rsid w:val="00EA2409"/>
    <w:rsid w:val="00EA257E"/>
    <w:rsid w:val="00EA25EF"/>
    <w:rsid w:val="00EA2A8E"/>
    <w:rsid w:val="00EA2D77"/>
    <w:rsid w:val="00EA2E41"/>
    <w:rsid w:val="00EA2E57"/>
    <w:rsid w:val="00EA2F84"/>
    <w:rsid w:val="00EA357D"/>
    <w:rsid w:val="00EA3597"/>
    <w:rsid w:val="00EA3679"/>
    <w:rsid w:val="00EA3AB6"/>
    <w:rsid w:val="00EA3CF0"/>
    <w:rsid w:val="00EA44C2"/>
    <w:rsid w:val="00EA478C"/>
    <w:rsid w:val="00EA4B2E"/>
    <w:rsid w:val="00EA4C3D"/>
    <w:rsid w:val="00EA4FFD"/>
    <w:rsid w:val="00EA5068"/>
    <w:rsid w:val="00EA50BF"/>
    <w:rsid w:val="00EA5448"/>
    <w:rsid w:val="00EA5487"/>
    <w:rsid w:val="00EA55F1"/>
    <w:rsid w:val="00EA56D7"/>
    <w:rsid w:val="00EA597C"/>
    <w:rsid w:val="00EA5E40"/>
    <w:rsid w:val="00EA5E5D"/>
    <w:rsid w:val="00EA5FC1"/>
    <w:rsid w:val="00EA5FE2"/>
    <w:rsid w:val="00EA67BA"/>
    <w:rsid w:val="00EA6BE8"/>
    <w:rsid w:val="00EA7500"/>
    <w:rsid w:val="00EA7A0E"/>
    <w:rsid w:val="00EA7A19"/>
    <w:rsid w:val="00EA7C2A"/>
    <w:rsid w:val="00EA7D05"/>
    <w:rsid w:val="00EA7E09"/>
    <w:rsid w:val="00EA7F45"/>
    <w:rsid w:val="00EB05F4"/>
    <w:rsid w:val="00EB0A58"/>
    <w:rsid w:val="00EB0BB4"/>
    <w:rsid w:val="00EB0CE7"/>
    <w:rsid w:val="00EB1398"/>
    <w:rsid w:val="00EB1448"/>
    <w:rsid w:val="00EB1636"/>
    <w:rsid w:val="00EB1A04"/>
    <w:rsid w:val="00EB1AF8"/>
    <w:rsid w:val="00EB1BE4"/>
    <w:rsid w:val="00EB1F61"/>
    <w:rsid w:val="00EB2046"/>
    <w:rsid w:val="00EB29C5"/>
    <w:rsid w:val="00EB30E4"/>
    <w:rsid w:val="00EB3202"/>
    <w:rsid w:val="00EB3806"/>
    <w:rsid w:val="00EB3AC1"/>
    <w:rsid w:val="00EB3B6D"/>
    <w:rsid w:val="00EB405B"/>
    <w:rsid w:val="00EB48FC"/>
    <w:rsid w:val="00EB4C0E"/>
    <w:rsid w:val="00EB4D25"/>
    <w:rsid w:val="00EB5749"/>
    <w:rsid w:val="00EB68C0"/>
    <w:rsid w:val="00EB6D3D"/>
    <w:rsid w:val="00EB6EC4"/>
    <w:rsid w:val="00EB732A"/>
    <w:rsid w:val="00EB7FF0"/>
    <w:rsid w:val="00EC0005"/>
    <w:rsid w:val="00EC0421"/>
    <w:rsid w:val="00EC055B"/>
    <w:rsid w:val="00EC0987"/>
    <w:rsid w:val="00EC09F3"/>
    <w:rsid w:val="00EC0B7A"/>
    <w:rsid w:val="00EC0BF8"/>
    <w:rsid w:val="00EC1607"/>
    <w:rsid w:val="00EC1C4B"/>
    <w:rsid w:val="00EC1E3D"/>
    <w:rsid w:val="00EC1EEE"/>
    <w:rsid w:val="00EC2386"/>
    <w:rsid w:val="00EC2936"/>
    <w:rsid w:val="00EC2D7F"/>
    <w:rsid w:val="00EC316E"/>
    <w:rsid w:val="00EC33BD"/>
    <w:rsid w:val="00EC34C4"/>
    <w:rsid w:val="00EC3533"/>
    <w:rsid w:val="00EC354A"/>
    <w:rsid w:val="00EC3964"/>
    <w:rsid w:val="00EC3D1B"/>
    <w:rsid w:val="00EC3DCB"/>
    <w:rsid w:val="00EC3FE9"/>
    <w:rsid w:val="00EC41CC"/>
    <w:rsid w:val="00EC41F2"/>
    <w:rsid w:val="00EC422A"/>
    <w:rsid w:val="00EC47F8"/>
    <w:rsid w:val="00EC48C4"/>
    <w:rsid w:val="00EC497C"/>
    <w:rsid w:val="00EC4CD1"/>
    <w:rsid w:val="00EC513A"/>
    <w:rsid w:val="00EC516D"/>
    <w:rsid w:val="00EC5232"/>
    <w:rsid w:val="00EC58D2"/>
    <w:rsid w:val="00EC59D0"/>
    <w:rsid w:val="00EC6952"/>
    <w:rsid w:val="00EC6A02"/>
    <w:rsid w:val="00EC6AB1"/>
    <w:rsid w:val="00EC6B62"/>
    <w:rsid w:val="00EC6D15"/>
    <w:rsid w:val="00EC6E38"/>
    <w:rsid w:val="00EC72A0"/>
    <w:rsid w:val="00EC7660"/>
    <w:rsid w:val="00EC7AB4"/>
    <w:rsid w:val="00EC7E12"/>
    <w:rsid w:val="00ED0038"/>
    <w:rsid w:val="00ED0CC3"/>
    <w:rsid w:val="00ED1330"/>
    <w:rsid w:val="00ED1445"/>
    <w:rsid w:val="00ED14E2"/>
    <w:rsid w:val="00ED18DD"/>
    <w:rsid w:val="00ED1DBF"/>
    <w:rsid w:val="00ED2017"/>
    <w:rsid w:val="00ED28D9"/>
    <w:rsid w:val="00ED3131"/>
    <w:rsid w:val="00ED33DD"/>
    <w:rsid w:val="00ED34D6"/>
    <w:rsid w:val="00ED36E7"/>
    <w:rsid w:val="00ED3A3F"/>
    <w:rsid w:val="00ED3FA7"/>
    <w:rsid w:val="00ED4170"/>
    <w:rsid w:val="00ED4610"/>
    <w:rsid w:val="00ED483C"/>
    <w:rsid w:val="00ED4D4D"/>
    <w:rsid w:val="00ED50E1"/>
    <w:rsid w:val="00ED53D6"/>
    <w:rsid w:val="00ED55C9"/>
    <w:rsid w:val="00ED5C74"/>
    <w:rsid w:val="00ED5EEE"/>
    <w:rsid w:val="00ED6088"/>
    <w:rsid w:val="00ED665D"/>
    <w:rsid w:val="00ED6C3D"/>
    <w:rsid w:val="00ED6C56"/>
    <w:rsid w:val="00ED7070"/>
    <w:rsid w:val="00ED725E"/>
    <w:rsid w:val="00ED7381"/>
    <w:rsid w:val="00ED73CA"/>
    <w:rsid w:val="00ED76B0"/>
    <w:rsid w:val="00ED7C75"/>
    <w:rsid w:val="00ED7F47"/>
    <w:rsid w:val="00EE01DD"/>
    <w:rsid w:val="00EE08C2"/>
    <w:rsid w:val="00EE08F2"/>
    <w:rsid w:val="00EE0A38"/>
    <w:rsid w:val="00EE0FC5"/>
    <w:rsid w:val="00EE13C0"/>
    <w:rsid w:val="00EE171B"/>
    <w:rsid w:val="00EE1A02"/>
    <w:rsid w:val="00EE1A2A"/>
    <w:rsid w:val="00EE1AE9"/>
    <w:rsid w:val="00EE1C7C"/>
    <w:rsid w:val="00EE1DA1"/>
    <w:rsid w:val="00EE1F52"/>
    <w:rsid w:val="00EE21FC"/>
    <w:rsid w:val="00EE22A4"/>
    <w:rsid w:val="00EE22EC"/>
    <w:rsid w:val="00EE2354"/>
    <w:rsid w:val="00EE2437"/>
    <w:rsid w:val="00EE2924"/>
    <w:rsid w:val="00EE351A"/>
    <w:rsid w:val="00EE35A4"/>
    <w:rsid w:val="00EE38CE"/>
    <w:rsid w:val="00EE393E"/>
    <w:rsid w:val="00EE3D3E"/>
    <w:rsid w:val="00EE3FCD"/>
    <w:rsid w:val="00EE4342"/>
    <w:rsid w:val="00EE4474"/>
    <w:rsid w:val="00EE4511"/>
    <w:rsid w:val="00EE45D6"/>
    <w:rsid w:val="00EE4A66"/>
    <w:rsid w:val="00EE528B"/>
    <w:rsid w:val="00EE52CB"/>
    <w:rsid w:val="00EE52F1"/>
    <w:rsid w:val="00EE5759"/>
    <w:rsid w:val="00EE5980"/>
    <w:rsid w:val="00EE63B1"/>
    <w:rsid w:val="00EE6617"/>
    <w:rsid w:val="00EE6C4B"/>
    <w:rsid w:val="00EE6DFE"/>
    <w:rsid w:val="00EE6F8D"/>
    <w:rsid w:val="00EE7094"/>
    <w:rsid w:val="00EE7F93"/>
    <w:rsid w:val="00EF0228"/>
    <w:rsid w:val="00EF02F2"/>
    <w:rsid w:val="00EF033C"/>
    <w:rsid w:val="00EF04A5"/>
    <w:rsid w:val="00EF0614"/>
    <w:rsid w:val="00EF0ABF"/>
    <w:rsid w:val="00EF0B54"/>
    <w:rsid w:val="00EF0C3B"/>
    <w:rsid w:val="00EF0E2D"/>
    <w:rsid w:val="00EF0FF0"/>
    <w:rsid w:val="00EF1488"/>
    <w:rsid w:val="00EF14D3"/>
    <w:rsid w:val="00EF15D0"/>
    <w:rsid w:val="00EF1AD5"/>
    <w:rsid w:val="00EF2C6B"/>
    <w:rsid w:val="00EF308D"/>
    <w:rsid w:val="00EF3364"/>
    <w:rsid w:val="00EF34B5"/>
    <w:rsid w:val="00EF3792"/>
    <w:rsid w:val="00EF3E27"/>
    <w:rsid w:val="00EF3E82"/>
    <w:rsid w:val="00EF3EAA"/>
    <w:rsid w:val="00EF46CF"/>
    <w:rsid w:val="00EF4DC6"/>
    <w:rsid w:val="00EF51D9"/>
    <w:rsid w:val="00EF603F"/>
    <w:rsid w:val="00EF61A5"/>
    <w:rsid w:val="00EF6723"/>
    <w:rsid w:val="00EF6BD6"/>
    <w:rsid w:val="00EF6D59"/>
    <w:rsid w:val="00EF7016"/>
    <w:rsid w:val="00EF7A5F"/>
    <w:rsid w:val="00EF7F34"/>
    <w:rsid w:val="00EF7F3C"/>
    <w:rsid w:val="00F0052A"/>
    <w:rsid w:val="00F00611"/>
    <w:rsid w:val="00F00B9D"/>
    <w:rsid w:val="00F00C54"/>
    <w:rsid w:val="00F00C77"/>
    <w:rsid w:val="00F00F3D"/>
    <w:rsid w:val="00F010A0"/>
    <w:rsid w:val="00F012F8"/>
    <w:rsid w:val="00F014AF"/>
    <w:rsid w:val="00F014FC"/>
    <w:rsid w:val="00F016C9"/>
    <w:rsid w:val="00F01ABF"/>
    <w:rsid w:val="00F01F7B"/>
    <w:rsid w:val="00F02125"/>
    <w:rsid w:val="00F0281C"/>
    <w:rsid w:val="00F033A6"/>
    <w:rsid w:val="00F033FB"/>
    <w:rsid w:val="00F03A83"/>
    <w:rsid w:val="00F03BD5"/>
    <w:rsid w:val="00F040C8"/>
    <w:rsid w:val="00F0438C"/>
    <w:rsid w:val="00F043EE"/>
    <w:rsid w:val="00F045EC"/>
    <w:rsid w:val="00F04A1D"/>
    <w:rsid w:val="00F04AF2"/>
    <w:rsid w:val="00F0502E"/>
    <w:rsid w:val="00F05327"/>
    <w:rsid w:val="00F05A26"/>
    <w:rsid w:val="00F05A35"/>
    <w:rsid w:val="00F05D4D"/>
    <w:rsid w:val="00F05E66"/>
    <w:rsid w:val="00F0695A"/>
    <w:rsid w:val="00F06AB8"/>
    <w:rsid w:val="00F06DB9"/>
    <w:rsid w:val="00F06E01"/>
    <w:rsid w:val="00F071DE"/>
    <w:rsid w:val="00F0757C"/>
    <w:rsid w:val="00F076CD"/>
    <w:rsid w:val="00F0784C"/>
    <w:rsid w:val="00F07C69"/>
    <w:rsid w:val="00F07EC3"/>
    <w:rsid w:val="00F1019B"/>
    <w:rsid w:val="00F101C3"/>
    <w:rsid w:val="00F10466"/>
    <w:rsid w:val="00F109B8"/>
    <w:rsid w:val="00F10B7C"/>
    <w:rsid w:val="00F10DA2"/>
    <w:rsid w:val="00F115F3"/>
    <w:rsid w:val="00F11936"/>
    <w:rsid w:val="00F11A63"/>
    <w:rsid w:val="00F128F1"/>
    <w:rsid w:val="00F12A55"/>
    <w:rsid w:val="00F12E72"/>
    <w:rsid w:val="00F13544"/>
    <w:rsid w:val="00F138D0"/>
    <w:rsid w:val="00F13E7F"/>
    <w:rsid w:val="00F1405A"/>
    <w:rsid w:val="00F14191"/>
    <w:rsid w:val="00F147F2"/>
    <w:rsid w:val="00F14A42"/>
    <w:rsid w:val="00F14A6D"/>
    <w:rsid w:val="00F14B41"/>
    <w:rsid w:val="00F14BBA"/>
    <w:rsid w:val="00F14DF1"/>
    <w:rsid w:val="00F14FFE"/>
    <w:rsid w:val="00F151CF"/>
    <w:rsid w:val="00F15776"/>
    <w:rsid w:val="00F159A5"/>
    <w:rsid w:val="00F15A70"/>
    <w:rsid w:val="00F16051"/>
    <w:rsid w:val="00F1635F"/>
    <w:rsid w:val="00F16739"/>
    <w:rsid w:val="00F1692B"/>
    <w:rsid w:val="00F16A48"/>
    <w:rsid w:val="00F16BBD"/>
    <w:rsid w:val="00F16CB0"/>
    <w:rsid w:val="00F16D2E"/>
    <w:rsid w:val="00F16E48"/>
    <w:rsid w:val="00F17589"/>
    <w:rsid w:val="00F176D7"/>
    <w:rsid w:val="00F179F7"/>
    <w:rsid w:val="00F17BE9"/>
    <w:rsid w:val="00F20E46"/>
    <w:rsid w:val="00F21075"/>
    <w:rsid w:val="00F212B6"/>
    <w:rsid w:val="00F220F9"/>
    <w:rsid w:val="00F2225D"/>
    <w:rsid w:val="00F22BB9"/>
    <w:rsid w:val="00F22DE2"/>
    <w:rsid w:val="00F23135"/>
    <w:rsid w:val="00F23195"/>
    <w:rsid w:val="00F23596"/>
    <w:rsid w:val="00F23658"/>
    <w:rsid w:val="00F2373B"/>
    <w:rsid w:val="00F23FDF"/>
    <w:rsid w:val="00F2405C"/>
    <w:rsid w:val="00F241C7"/>
    <w:rsid w:val="00F248DB"/>
    <w:rsid w:val="00F24E6D"/>
    <w:rsid w:val="00F255F2"/>
    <w:rsid w:val="00F256CE"/>
    <w:rsid w:val="00F25712"/>
    <w:rsid w:val="00F25736"/>
    <w:rsid w:val="00F26247"/>
    <w:rsid w:val="00F275B9"/>
    <w:rsid w:val="00F303D5"/>
    <w:rsid w:val="00F30BD0"/>
    <w:rsid w:val="00F31370"/>
    <w:rsid w:val="00F313B0"/>
    <w:rsid w:val="00F31625"/>
    <w:rsid w:val="00F31848"/>
    <w:rsid w:val="00F31C05"/>
    <w:rsid w:val="00F31D2B"/>
    <w:rsid w:val="00F31FD1"/>
    <w:rsid w:val="00F325A5"/>
    <w:rsid w:val="00F32742"/>
    <w:rsid w:val="00F32972"/>
    <w:rsid w:val="00F32B1E"/>
    <w:rsid w:val="00F32D73"/>
    <w:rsid w:val="00F32FC2"/>
    <w:rsid w:val="00F33631"/>
    <w:rsid w:val="00F338C0"/>
    <w:rsid w:val="00F3391D"/>
    <w:rsid w:val="00F33E0F"/>
    <w:rsid w:val="00F345FF"/>
    <w:rsid w:val="00F353C0"/>
    <w:rsid w:val="00F354CA"/>
    <w:rsid w:val="00F35821"/>
    <w:rsid w:val="00F35B6B"/>
    <w:rsid w:val="00F360F6"/>
    <w:rsid w:val="00F36163"/>
    <w:rsid w:val="00F36599"/>
    <w:rsid w:val="00F366F5"/>
    <w:rsid w:val="00F367D4"/>
    <w:rsid w:val="00F3681A"/>
    <w:rsid w:val="00F36A7B"/>
    <w:rsid w:val="00F37160"/>
    <w:rsid w:val="00F371FA"/>
    <w:rsid w:val="00F37EB5"/>
    <w:rsid w:val="00F401F2"/>
    <w:rsid w:val="00F4057F"/>
    <w:rsid w:val="00F40B49"/>
    <w:rsid w:val="00F416B2"/>
    <w:rsid w:val="00F41899"/>
    <w:rsid w:val="00F41A6A"/>
    <w:rsid w:val="00F41A6C"/>
    <w:rsid w:val="00F42335"/>
    <w:rsid w:val="00F425FB"/>
    <w:rsid w:val="00F42C31"/>
    <w:rsid w:val="00F42CB6"/>
    <w:rsid w:val="00F430FD"/>
    <w:rsid w:val="00F43130"/>
    <w:rsid w:val="00F4364C"/>
    <w:rsid w:val="00F436C5"/>
    <w:rsid w:val="00F43810"/>
    <w:rsid w:val="00F4392E"/>
    <w:rsid w:val="00F43A90"/>
    <w:rsid w:val="00F4415E"/>
    <w:rsid w:val="00F44172"/>
    <w:rsid w:val="00F4473E"/>
    <w:rsid w:val="00F44B25"/>
    <w:rsid w:val="00F44D5F"/>
    <w:rsid w:val="00F44D9F"/>
    <w:rsid w:val="00F44DDD"/>
    <w:rsid w:val="00F44F6A"/>
    <w:rsid w:val="00F44FA6"/>
    <w:rsid w:val="00F45129"/>
    <w:rsid w:val="00F453D5"/>
    <w:rsid w:val="00F45947"/>
    <w:rsid w:val="00F45CE0"/>
    <w:rsid w:val="00F45CEF"/>
    <w:rsid w:val="00F45F4D"/>
    <w:rsid w:val="00F4641B"/>
    <w:rsid w:val="00F46DE7"/>
    <w:rsid w:val="00F46F4D"/>
    <w:rsid w:val="00F47051"/>
    <w:rsid w:val="00F47369"/>
    <w:rsid w:val="00F474C4"/>
    <w:rsid w:val="00F47964"/>
    <w:rsid w:val="00F47ECD"/>
    <w:rsid w:val="00F50022"/>
    <w:rsid w:val="00F508ED"/>
    <w:rsid w:val="00F50BDC"/>
    <w:rsid w:val="00F51621"/>
    <w:rsid w:val="00F51AB8"/>
    <w:rsid w:val="00F52201"/>
    <w:rsid w:val="00F5264D"/>
    <w:rsid w:val="00F526E6"/>
    <w:rsid w:val="00F527CA"/>
    <w:rsid w:val="00F52B56"/>
    <w:rsid w:val="00F52C29"/>
    <w:rsid w:val="00F53045"/>
    <w:rsid w:val="00F5308D"/>
    <w:rsid w:val="00F531C7"/>
    <w:rsid w:val="00F53359"/>
    <w:rsid w:val="00F534B2"/>
    <w:rsid w:val="00F536A0"/>
    <w:rsid w:val="00F53854"/>
    <w:rsid w:val="00F53B45"/>
    <w:rsid w:val="00F53C21"/>
    <w:rsid w:val="00F53D07"/>
    <w:rsid w:val="00F53D71"/>
    <w:rsid w:val="00F5473F"/>
    <w:rsid w:val="00F549E8"/>
    <w:rsid w:val="00F54B3A"/>
    <w:rsid w:val="00F54BB5"/>
    <w:rsid w:val="00F54E70"/>
    <w:rsid w:val="00F55037"/>
    <w:rsid w:val="00F55CBD"/>
    <w:rsid w:val="00F561DA"/>
    <w:rsid w:val="00F5636F"/>
    <w:rsid w:val="00F5664D"/>
    <w:rsid w:val="00F56936"/>
    <w:rsid w:val="00F56C64"/>
    <w:rsid w:val="00F56FC5"/>
    <w:rsid w:val="00F570CC"/>
    <w:rsid w:val="00F57B8C"/>
    <w:rsid w:val="00F57D67"/>
    <w:rsid w:val="00F57F50"/>
    <w:rsid w:val="00F604E6"/>
    <w:rsid w:val="00F60747"/>
    <w:rsid w:val="00F611BD"/>
    <w:rsid w:val="00F61371"/>
    <w:rsid w:val="00F617D3"/>
    <w:rsid w:val="00F61BD3"/>
    <w:rsid w:val="00F61C2A"/>
    <w:rsid w:val="00F625B4"/>
    <w:rsid w:val="00F6262C"/>
    <w:rsid w:val="00F62C28"/>
    <w:rsid w:val="00F62E2C"/>
    <w:rsid w:val="00F63185"/>
    <w:rsid w:val="00F639AC"/>
    <w:rsid w:val="00F63A6E"/>
    <w:rsid w:val="00F63D8A"/>
    <w:rsid w:val="00F63F2F"/>
    <w:rsid w:val="00F640E2"/>
    <w:rsid w:val="00F64212"/>
    <w:rsid w:val="00F64705"/>
    <w:rsid w:val="00F649AE"/>
    <w:rsid w:val="00F64AF8"/>
    <w:rsid w:val="00F64BB9"/>
    <w:rsid w:val="00F64C8F"/>
    <w:rsid w:val="00F64EA8"/>
    <w:rsid w:val="00F6524B"/>
    <w:rsid w:val="00F65775"/>
    <w:rsid w:val="00F6582B"/>
    <w:rsid w:val="00F659EB"/>
    <w:rsid w:val="00F65A43"/>
    <w:rsid w:val="00F65FC5"/>
    <w:rsid w:val="00F66188"/>
    <w:rsid w:val="00F661E0"/>
    <w:rsid w:val="00F665D6"/>
    <w:rsid w:val="00F66678"/>
    <w:rsid w:val="00F666D0"/>
    <w:rsid w:val="00F66800"/>
    <w:rsid w:val="00F668CB"/>
    <w:rsid w:val="00F67173"/>
    <w:rsid w:val="00F672EB"/>
    <w:rsid w:val="00F674DA"/>
    <w:rsid w:val="00F675FC"/>
    <w:rsid w:val="00F67C5F"/>
    <w:rsid w:val="00F67EA5"/>
    <w:rsid w:val="00F67FB8"/>
    <w:rsid w:val="00F701AA"/>
    <w:rsid w:val="00F704E4"/>
    <w:rsid w:val="00F70AB7"/>
    <w:rsid w:val="00F70B65"/>
    <w:rsid w:val="00F70BC1"/>
    <w:rsid w:val="00F70BFD"/>
    <w:rsid w:val="00F70CA4"/>
    <w:rsid w:val="00F70FEF"/>
    <w:rsid w:val="00F71409"/>
    <w:rsid w:val="00F71629"/>
    <w:rsid w:val="00F71ADD"/>
    <w:rsid w:val="00F71CA3"/>
    <w:rsid w:val="00F71DBD"/>
    <w:rsid w:val="00F71DC9"/>
    <w:rsid w:val="00F71E1F"/>
    <w:rsid w:val="00F723F5"/>
    <w:rsid w:val="00F72DFA"/>
    <w:rsid w:val="00F72F6B"/>
    <w:rsid w:val="00F7320A"/>
    <w:rsid w:val="00F73FBB"/>
    <w:rsid w:val="00F743DA"/>
    <w:rsid w:val="00F74847"/>
    <w:rsid w:val="00F74C53"/>
    <w:rsid w:val="00F74F15"/>
    <w:rsid w:val="00F7517D"/>
    <w:rsid w:val="00F759F4"/>
    <w:rsid w:val="00F75B81"/>
    <w:rsid w:val="00F76162"/>
    <w:rsid w:val="00F76628"/>
    <w:rsid w:val="00F766F9"/>
    <w:rsid w:val="00F76BF4"/>
    <w:rsid w:val="00F76E84"/>
    <w:rsid w:val="00F77461"/>
    <w:rsid w:val="00F77622"/>
    <w:rsid w:val="00F77771"/>
    <w:rsid w:val="00F77808"/>
    <w:rsid w:val="00F7798A"/>
    <w:rsid w:val="00F77E47"/>
    <w:rsid w:val="00F80012"/>
    <w:rsid w:val="00F8032E"/>
    <w:rsid w:val="00F80403"/>
    <w:rsid w:val="00F812BD"/>
    <w:rsid w:val="00F8160F"/>
    <w:rsid w:val="00F81739"/>
    <w:rsid w:val="00F8253E"/>
    <w:rsid w:val="00F82CDF"/>
    <w:rsid w:val="00F83067"/>
    <w:rsid w:val="00F833BC"/>
    <w:rsid w:val="00F837AF"/>
    <w:rsid w:val="00F83B36"/>
    <w:rsid w:val="00F83C1D"/>
    <w:rsid w:val="00F83FD3"/>
    <w:rsid w:val="00F841D4"/>
    <w:rsid w:val="00F843E9"/>
    <w:rsid w:val="00F84434"/>
    <w:rsid w:val="00F84444"/>
    <w:rsid w:val="00F84612"/>
    <w:rsid w:val="00F85252"/>
    <w:rsid w:val="00F8562C"/>
    <w:rsid w:val="00F85730"/>
    <w:rsid w:val="00F85AF0"/>
    <w:rsid w:val="00F866FA"/>
    <w:rsid w:val="00F86812"/>
    <w:rsid w:val="00F86968"/>
    <w:rsid w:val="00F87020"/>
    <w:rsid w:val="00F8743C"/>
    <w:rsid w:val="00F8761F"/>
    <w:rsid w:val="00F87772"/>
    <w:rsid w:val="00F87B5B"/>
    <w:rsid w:val="00F87BAB"/>
    <w:rsid w:val="00F900BF"/>
    <w:rsid w:val="00F901A2"/>
    <w:rsid w:val="00F907A4"/>
    <w:rsid w:val="00F91499"/>
    <w:rsid w:val="00F917F0"/>
    <w:rsid w:val="00F92012"/>
    <w:rsid w:val="00F92072"/>
    <w:rsid w:val="00F920D5"/>
    <w:rsid w:val="00F92120"/>
    <w:rsid w:val="00F9237C"/>
    <w:rsid w:val="00F9256E"/>
    <w:rsid w:val="00F92616"/>
    <w:rsid w:val="00F92A52"/>
    <w:rsid w:val="00F93039"/>
    <w:rsid w:val="00F93460"/>
    <w:rsid w:val="00F93792"/>
    <w:rsid w:val="00F93A41"/>
    <w:rsid w:val="00F93C37"/>
    <w:rsid w:val="00F94A3A"/>
    <w:rsid w:val="00F94AF5"/>
    <w:rsid w:val="00F94BF3"/>
    <w:rsid w:val="00F94E82"/>
    <w:rsid w:val="00F9527F"/>
    <w:rsid w:val="00F95287"/>
    <w:rsid w:val="00F952B9"/>
    <w:rsid w:val="00F95388"/>
    <w:rsid w:val="00F954A9"/>
    <w:rsid w:val="00F9578B"/>
    <w:rsid w:val="00F958BC"/>
    <w:rsid w:val="00F9599A"/>
    <w:rsid w:val="00F95A02"/>
    <w:rsid w:val="00F95AAB"/>
    <w:rsid w:val="00F95C6D"/>
    <w:rsid w:val="00F960F0"/>
    <w:rsid w:val="00F9610C"/>
    <w:rsid w:val="00F9624A"/>
    <w:rsid w:val="00F96499"/>
    <w:rsid w:val="00F96A39"/>
    <w:rsid w:val="00F96E0C"/>
    <w:rsid w:val="00F97087"/>
    <w:rsid w:val="00F970E2"/>
    <w:rsid w:val="00F975A3"/>
    <w:rsid w:val="00F9762B"/>
    <w:rsid w:val="00F97757"/>
    <w:rsid w:val="00F9792C"/>
    <w:rsid w:val="00FA0076"/>
    <w:rsid w:val="00FA0138"/>
    <w:rsid w:val="00FA0178"/>
    <w:rsid w:val="00FA1324"/>
    <w:rsid w:val="00FA1569"/>
    <w:rsid w:val="00FA1B2D"/>
    <w:rsid w:val="00FA1D10"/>
    <w:rsid w:val="00FA205D"/>
    <w:rsid w:val="00FA2091"/>
    <w:rsid w:val="00FA2229"/>
    <w:rsid w:val="00FA2A23"/>
    <w:rsid w:val="00FA31A9"/>
    <w:rsid w:val="00FA36E8"/>
    <w:rsid w:val="00FA40BE"/>
    <w:rsid w:val="00FA4322"/>
    <w:rsid w:val="00FA4437"/>
    <w:rsid w:val="00FA45EC"/>
    <w:rsid w:val="00FA478A"/>
    <w:rsid w:val="00FA4A63"/>
    <w:rsid w:val="00FA4AB8"/>
    <w:rsid w:val="00FA4B8A"/>
    <w:rsid w:val="00FA4ECE"/>
    <w:rsid w:val="00FA4FD9"/>
    <w:rsid w:val="00FA51A7"/>
    <w:rsid w:val="00FA677E"/>
    <w:rsid w:val="00FA6953"/>
    <w:rsid w:val="00FA6A44"/>
    <w:rsid w:val="00FA78BB"/>
    <w:rsid w:val="00FA7DD5"/>
    <w:rsid w:val="00FB0309"/>
    <w:rsid w:val="00FB0900"/>
    <w:rsid w:val="00FB0945"/>
    <w:rsid w:val="00FB0999"/>
    <w:rsid w:val="00FB0B55"/>
    <w:rsid w:val="00FB0C7A"/>
    <w:rsid w:val="00FB14B3"/>
    <w:rsid w:val="00FB2151"/>
    <w:rsid w:val="00FB2ABB"/>
    <w:rsid w:val="00FB323F"/>
    <w:rsid w:val="00FB32B1"/>
    <w:rsid w:val="00FB37EF"/>
    <w:rsid w:val="00FB388D"/>
    <w:rsid w:val="00FB418F"/>
    <w:rsid w:val="00FB45D8"/>
    <w:rsid w:val="00FB47EA"/>
    <w:rsid w:val="00FB48F9"/>
    <w:rsid w:val="00FB4E80"/>
    <w:rsid w:val="00FB4E96"/>
    <w:rsid w:val="00FB510F"/>
    <w:rsid w:val="00FB5963"/>
    <w:rsid w:val="00FB5985"/>
    <w:rsid w:val="00FB5E31"/>
    <w:rsid w:val="00FB665F"/>
    <w:rsid w:val="00FB6B43"/>
    <w:rsid w:val="00FB6E52"/>
    <w:rsid w:val="00FB7219"/>
    <w:rsid w:val="00FB73B0"/>
    <w:rsid w:val="00FB751E"/>
    <w:rsid w:val="00FB756E"/>
    <w:rsid w:val="00FB77F3"/>
    <w:rsid w:val="00FB7B19"/>
    <w:rsid w:val="00FB7DD1"/>
    <w:rsid w:val="00FB7F83"/>
    <w:rsid w:val="00FC032E"/>
    <w:rsid w:val="00FC0AB6"/>
    <w:rsid w:val="00FC0E1D"/>
    <w:rsid w:val="00FC121E"/>
    <w:rsid w:val="00FC1690"/>
    <w:rsid w:val="00FC1CD3"/>
    <w:rsid w:val="00FC208A"/>
    <w:rsid w:val="00FC3050"/>
    <w:rsid w:val="00FC3154"/>
    <w:rsid w:val="00FC346B"/>
    <w:rsid w:val="00FC3644"/>
    <w:rsid w:val="00FC386C"/>
    <w:rsid w:val="00FC3AEF"/>
    <w:rsid w:val="00FC3BFB"/>
    <w:rsid w:val="00FC414A"/>
    <w:rsid w:val="00FC42CA"/>
    <w:rsid w:val="00FC46EF"/>
    <w:rsid w:val="00FC49B0"/>
    <w:rsid w:val="00FC4E54"/>
    <w:rsid w:val="00FC5120"/>
    <w:rsid w:val="00FC5392"/>
    <w:rsid w:val="00FC5561"/>
    <w:rsid w:val="00FC588A"/>
    <w:rsid w:val="00FC597A"/>
    <w:rsid w:val="00FC5DFB"/>
    <w:rsid w:val="00FC6699"/>
    <w:rsid w:val="00FC67D1"/>
    <w:rsid w:val="00FC684E"/>
    <w:rsid w:val="00FC6D8B"/>
    <w:rsid w:val="00FC6FE2"/>
    <w:rsid w:val="00FC75C5"/>
    <w:rsid w:val="00FC7641"/>
    <w:rsid w:val="00FC76EA"/>
    <w:rsid w:val="00FC7DB0"/>
    <w:rsid w:val="00FD080F"/>
    <w:rsid w:val="00FD092B"/>
    <w:rsid w:val="00FD0D77"/>
    <w:rsid w:val="00FD0E5A"/>
    <w:rsid w:val="00FD0FBC"/>
    <w:rsid w:val="00FD13DA"/>
    <w:rsid w:val="00FD19E3"/>
    <w:rsid w:val="00FD1A91"/>
    <w:rsid w:val="00FD1ED7"/>
    <w:rsid w:val="00FD201D"/>
    <w:rsid w:val="00FD2029"/>
    <w:rsid w:val="00FD2953"/>
    <w:rsid w:val="00FD2D50"/>
    <w:rsid w:val="00FD34F0"/>
    <w:rsid w:val="00FD3590"/>
    <w:rsid w:val="00FD35B3"/>
    <w:rsid w:val="00FD3F81"/>
    <w:rsid w:val="00FD3FED"/>
    <w:rsid w:val="00FD4306"/>
    <w:rsid w:val="00FD4689"/>
    <w:rsid w:val="00FD4773"/>
    <w:rsid w:val="00FD484A"/>
    <w:rsid w:val="00FD4AAF"/>
    <w:rsid w:val="00FD505A"/>
    <w:rsid w:val="00FD5405"/>
    <w:rsid w:val="00FD5B6B"/>
    <w:rsid w:val="00FD5B87"/>
    <w:rsid w:val="00FD644F"/>
    <w:rsid w:val="00FD6455"/>
    <w:rsid w:val="00FD651A"/>
    <w:rsid w:val="00FD6555"/>
    <w:rsid w:val="00FD6572"/>
    <w:rsid w:val="00FD65D5"/>
    <w:rsid w:val="00FD69F6"/>
    <w:rsid w:val="00FD6AFB"/>
    <w:rsid w:val="00FD6B44"/>
    <w:rsid w:val="00FD6E37"/>
    <w:rsid w:val="00FD7405"/>
    <w:rsid w:val="00FD7D24"/>
    <w:rsid w:val="00FD7EDD"/>
    <w:rsid w:val="00FE07F0"/>
    <w:rsid w:val="00FE0C85"/>
    <w:rsid w:val="00FE12E5"/>
    <w:rsid w:val="00FE1839"/>
    <w:rsid w:val="00FE20DB"/>
    <w:rsid w:val="00FE2191"/>
    <w:rsid w:val="00FE22C4"/>
    <w:rsid w:val="00FE2715"/>
    <w:rsid w:val="00FE2B9D"/>
    <w:rsid w:val="00FE2BF7"/>
    <w:rsid w:val="00FE3650"/>
    <w:rsid w:val="00FE37FE"/>
    <w:rsid w:val="00FE3B97"/>
    <w:rsid w:val="00FE3D1D"/>
    <w:rsid w:val="00FE3F8C"/>
    <w:rsid w:val="00FE421D"/>
    <w:rsid w:val="00FE4427"/>
    <w:rsid w:val="00FE478F"/>
    <w:rsid w:val="00FE488B"/>
    <w:rsid w:val="00FE48AA"/>
    <w:rsid w:val="00FE48EF"/>
    <w:rsid w:val="00FE491F"/>
    <w:rsid w:val="00FE4D40"/>
    <w:rsid w:val="00FE5249"/>
    <w:rsid w:val="00FE5A48"/>
    <w:rsid w:val="00FE5A6C"/>
    <w:rsid w:val="00FE5A72"/>
    <w:rsid w:val="00FE5F52"/>
    <w:rsid w:val="00FE609A"/>
    <w:rsid w:val="00FE64AE"/>
    <w:rsid w:val="00FE65A3"/>
    <w:rsid w:val="00FE65C8"/>
    <w:rsid w:val="00FE695A"/>
    <w:rsid w:val="00FE6B22"/>
    <w:rsid w:val="00FE6F7E"/>
    <w:rsid w:val="00FE7036"/>
    <w:rsid w:val="00FE7069"/>
    <w:rsid w:val="00FE70F8"/>
    <w:rsid w:val="00FE7701"/>
    <w:rsid w:val="00FE7747"/>
    <w:rsid w:val="00FE79D8"/>
    <w:rsid w:val="00FE7A4E"/>
    <w:rsid w:val="00FE7D19"/>
    <w:rsid w:val="00FE7DB2"/>
    <w:rsid w:val="00FE7F44"/>
    <w:rsid w:val="00FF04D7"/>
    <w:rsid w:val="00FF0550"/>
    <w:rsid w:val="00FF088F"/>
    <w:rsid w:val="00FF0A38"/>
    <w:rsid w:val="00FF1099"/>
    <w:rsid w:val="00FF1657"/>
    <w:rsid w:val="00FF18B1"/>
    <w:rsid w:val="00FF1BE0"/>
    <w:rsid w:val="00FF20A5"/>
    <w:rsid w:val="00FF223A"/>
    <w:rsid w:val="00FF22E4"/>
    <w:rsid w:val="00FF2764"/>
    <w:rsid w:val="00FF2915"/>
    <w:rsid w:val="00FF2A6C"/>
    <w:rsid w:val="00FF2B38"/>
    <w:rsid w:val="00FF30B6"/>
    <w:rsid w:val="00FF315D"/>
    <w:rsid w:val="00FF364F"/>
    <w:rsid w:val="00FF3824"/>
    <w:rsid w:val="00FF3A9B"/>
    <w:rsid w:val="00FF3CAB"/>
    <w:rsid w:val="00FF416F"/>
    <w:rsid w:val="00FF43B7"/>
    <w:rsid w:val="00FF4B54"/>
    <w:rsid w:val="00FF522B"/>
    <w:rsid w:val="00FF5363"/>
    <w:rsid w:val="00FF62C2"/>
    <w:rsid w:val="00FF6379"/>
    <w:rsid w:val="00FF66BF"/>
    <w:rsid w:val="00FF6719"/>
    <w:rsid w:val="00FF680D"/>
    <w:rsid w:val="00FF69F0"/>
    <w:rsid w:val="00FF6AD1"/>
    <w:rsid w:val="00FF6C7D"/>
    <w:rsid w:val="00FF7131"/>
    <w:rsid w:val="00FF74E6"/>
    <w:rsid w:val="00FF78D2"/>
    <w:rsid w:val="04127C13"/>
    <w:rsid w:val="6717AE22"/>
    <w:rsid w:val="72DB9D6E"/>
    <w:rsid w:val="7943B3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2433"/>
    <o:shapelayout v:ext="edit">
      <o:idmap v:ext="edit" data="1"/>
    </o:shapelayout>
  </w:shapeDefaults>
  <w:decimalSymbol w:val="."/>
  <w:listSeparator w:val=","/>
  <w14:docId w14:val="227D58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2"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4EE"/>
    <w:pPr>
      <w:spacing w:line="276" w:lineRule="auto"/>
    </w:pPr>
    <w:rPr>
      <w:rFonts w:ascii="Arial" w:hAnsi="Arial"/>
      <w:sz w:val="20"/>
    </w:rPr>
  </w:style>
  <w:style w:type="paragraph" w:styleId="Heading1">
    <w:name w:val="heading 1"/>
    <w:basedOn w:val="Normal"/>
    <w:next w:val="Normal"/>
    <w:link w:val="Heading1Char"/>
    <w:uiPriority w:val="9"/>
    <w:qFormat/>
    <w:rsid w:val="00667F45"/>
    <w:pPr>
      <w:keepNext/>
      <w:keepLines/>
      <w:spacing w:before="240" w:after="80"/>
      <w:ind w:left="720" w:hanging="720"/>
      <w:outlineLvl w:val="0"/>
    </w:pPr>
    <w:rPr>
      <w:rFonts w:eastAsiaTheme="majorEastAsia" w:cstheme="majorBidi"/>
      <w:caps/>
      <w:color w:val="0C9FCD"/>
      <w:sz w:val="40"/>
      <w:szCs w:val="32"/>
    </w:rPr>
  </w:style>
  <w:style w:type="paragraph" w:styleId="Heading2">
    <w:name w:val="heading 2"/>
    <w:basedOn w:val="Heading1"/>
    <w:next w:val="Normal"/>
    <w:link w:val="Heading2Char"/>
    <w:uiPriority w:val="9"/>
    <w:unhideWhenUsed/>
    <w:qFormat/>
    <w:rsid w:val="005E2F85"/>
    <w:pPr>
      <w:keepNext w:val="0"/>
      <w:keepLines w:val="0"/>
      <w:spacing w:before="120" w:after="200"/>
      <w:ind w:left="792" w:hanging="432"/>
      <w:outlineLvl w:val="1"/>
    </w:pPr>
    <w:rPr>
      <w:caps w:val="0"/>
      <w:sz w:val="28"/>
      <w:szCs w:val="48"/>
    </w:rPr>
  </w:style>
  <w:style w:type="paragraph" w:styleId="Heading3">
    <w:name w:val="heading 3"/>
    <w:basedOn w:val="Normal"/>
    <w:next w:val="Normal"/>
    <w:link w:val="Heading3Char"/>
    <w:uiPriority w:val="9"/>
    <w:unhideWhenUsed/>
    <w:qFormat/>
    <w:rsid w:val="00170D7A"/>
    <w:pPr>
      <w:keepNext/>
      <w:keepLines/>
      <w:spacing w:before="40" w:after="0"/>
      <w:outlineLvl w:val="2"/>
    </w:pPr>
    <w:rPr>
      <w:rFonts w:eastAsiaTheme="majorEastAsia" w:cstheme="majorBidi"/>
      <w:color w:val="0C9FCD"/>
      <w:spacing w:val="-10"/>
      <w:sz w:val="26"/>
      <w:szCs w:val="40"/>
    </w:rPr>
  </w:style>
  <w:style w:type="paragraph" w:styleId="Heading4">
    <w:name w:val="heading 4"/>
    <w:basedOn w:val="Normal"/>
    <w:next w:val="Normal"/>
    <w:link w:val="Heading4Char"/>
    <w:uiPriority w:val="4"/>
    <w:unhideWhenUsed/>
    <w:qFormat/>
    <w:rsid w:val="008017DE"/>
    <w:pPr>
      <w:keepNext/>
      <w:spacing w:before="200" w:after="120" w:line="312" w:lineRule="auto"/>
      <w:contextualSpacing/>
      <w:outlineLvl w:val="3"/>
    </w:pPr>
    <w:rPr>
      <w:rFonts w:eastAsia="Times New Roman"/>
      <w:i/>
      <w:color w:val="0C9FCD"/>
      <w:spacing w:val="-10"/>
      <w:sz w:val="24"/>
      <w:szCs w:val="26"/>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spacing w:before="40" w:after="0"/>
      <w:outlineLvl w:val="5"/>
    </w:pPr>
    <w:rPr>
      <w:rFonts w:asciiTheme="majorHAnsi" w:eastAsiaTheme="majorEastAsia" w:hAnsiTheme="majorHAnsi" w:cstheme="majorBidi"/>
      <w:color w:val="005677" w:themeColor="text2"/>
    </w:rPr>
  </w:style>
  <w:style w:type="paragraph" w:styleId="Heading7">
    <w:name w:val="heading 7"/>
    <w:basedOn w:val="Normal"/>
    <w:next w:val="Normal"/>
    <w:link w:val="Heading7Char"/>
    <w:uiPriority w:val="9"/>
    <w:semiHidden/>
    <w:unhideWhenUsed/>
    <w:qFormat/>
    <w:rsid w:val="003F14E9"/>
    <w:pPr>
      <w:keepNext/>
      <w:keepLines/>
      <w:spacing w:before="40" w:after="0"/>
      <w:ind w:left="1296" w:hanging="1296"/>
      <w:outlineLvl w:val="6"/>
    </w:pPr>
    <w:rPr>
      <w:rFonts w:asciiTheme="majorHAnsi" w:eastAsiaTheme="majorEastAsia" w:hAnsiTheme="majorHAnsi" w:cstheme="majorBidi"/>
      <w:i/>
      <w:iCs/>
      <w:color w:val="484A4C" w:themeColor="accent1" w:themeShade="7F"/>
      <w:sz w:val="22"/>
    </w:rPr>
  </w:style>
  <w:style w:type="paragraph" w:styleId="Heading8">
    <w:name w:val="heading 8"/>
    <w:basedOn w:val="Normal"/>
    <w:next w:val="Normal"/>
    <w:link w:val="Heading8Char"/>
    <w:uiPriority w:val="9"/>
    <w:semiHidden/>
    <w:unhideWhenUsed/>
    <w:qFormat/>
    <w:rsid w:val="003F14E9"/>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667F45"/>
    <w:rPr>
      <w:rFonts w:ascii="Arial" w:eastAsiaTheme="majorEastAsia" w:hAnsi="Arial" w:cstheme="majorBidi"/>
      <w:caps/>
      <w:color w:val="0C9FCD"/>
      <w:sz w:val="40"/>
      <w:szCs w:val="32"/>
    </w:rPr>
  </w:style>
  <w:style w:type="paragraph" w:styleId="Title">
    <w:name w:val="Title"/>
    <w:basedOn w:val="Normal"/>
    <w:next w:val="Normal"/>
    <w:link w:val="TitleChar"/>
    <w:uiPriority w:val="10"/>
    <w:qFormat/>
    <w:rsid w:val="00A540AE"/>
    <w:pPr>
      <w:pBdr>
        <w:bottom w:val="single" w:sz="8" w:space="1" w:color="FFFFFF" w:themeColor="background1"/>
      </w:pBdr>
      <w:spacing w:before="3600" w:after="120" w:line="240" w:lineRule="auto"/>
      <w:contextualSpacing/>
      <w:outlineLvl w:val="0"/>
    </w:pPr>
    <w:rPr>
      <w:rFonts w:asciiTheme="majorHAnsi" w:eastAsiaTheme="majorEastAsia" w:hAnsiTheme="majorHAnsi" w:cstheme="majorBidi"/>
      <w:color w:val="FFFFFF" w:themeColor="background1"/>
      <w:spacing w:val="-10"/>
      <w:kern w:val="28"/>
      <w:sz w:val="72"/>
      <w:szCs w:val="72"/>
    </w:rPr>
  </w:style>
  <w:style w:type="character" w:customStyle="1" w:styleId="TitleChar">
    <w:name w:val="Title Char"/>
    <w:basedOn w:val="DefaultParagraphFont"/>
    <w:link w:val="Title"/>
    <w:uiPriority w:val="10"/>
    <w:rsid w:val="00A540AE"/>
    <w:rPr>
      <w:rFonts w:asciiTheme="majorHAnsi" w:eastAsiaTheme="majorEastAsia" w:hAnsiTheme="majorHAnsi" w:cstheme="majorBidi"/>
      <w:color w:val="FFFFFF" w:themeColor="background1"/>
      <w:spacing w:val="-10"/>
      <w:kern w:val="28"/>
      <w:sz w:val="72"/>
      <w:szCs w:val="72"/>
    </w:rPr>
  </w:style>
  <w:style w:type="paragraph" w:styleId="Subtitle">
    <w:name w:val="Subtitle"/>
    <w:basedOn w:val="Normal"/>
    <w:next w:val="Normal"/>
    <w:link w:val="SubtitleChar"/>
    <w:uiPriority w:val="11"/>
    <w:qFormat/>
    <w:rsid w:val="00A540AE"/>
    <w:pPr>
      <w:numPr>
        <w:ilvl w:val="1"/>
      </w:numPr>
    </w:pPr>
    <w:rPr>
      <w:rFonts w:eastAsiaTheme="minorEastAsia"/>
      <w:color w:val="FFFFFF" w:themeColor="background1"/>
      <w:sz w:val="40"/>
    </w:rPr>
  </w:style>
  <w:style w:type="character" w:customStyle="1" w:styleId="SubtitleChar">
    <w:name w:val="Subtitle Char"/>
    <w:basedOn w:val="DefaultParagraphFont"/>
    <w:link w:val="Subtitle"/>
    <w:uiPriority w:val="11"/>
    <w:rsid w:val="00A540AE"/>
    <w:rPr>
      <w:rFonts w:eastAsiaTheme="minorEastAsia"/>
      <w:color w:val="FFFFFF" w:themeColor="background1"/>
      <w:sz w:val="40"/>
    </w:rPr>
  </w:style>
  <w:style w:type="character" w:customStyle="1" w:styleId="Heading2Char">
    <w:name w:val="Heading 2 Char"/>
    <w:basedOn w:val="DefaultParagraphFont"/>
    <w:link w:val="Heading2"/>
    <w:uiPriority w:val="9"/>
    <w:rsid w:val="005E2F85"/>
    <w:rPr>
      <w:rFonts w:ascii="Arial" w:eastAsiaTheme="majorEastAsia" w:hAnsi="Arial" w:cstheme="majorBidi"/>
      <w:color w:val="0C9FCD"/>
      <w:sz w:val="28"/>
      <w:szCs w:val="48"/>
    </w:rPr>
  </w:style>
  <w:style w:type="character" w:customStyle="1" w:styleId="Heading3Char">
    <w:name w:val="Heading 3 Char"/>
    <w:basedOn w:val="DefaultParagraphFont"/>
    <w:link w:val="Heading3"/>
    <w:uiPriority w:val="9"/>
    <w:rsid w:val="00664F28"/>
    <w:rPr>
      <w:rFonts w:ascii="Arial" w:eastAsiaTheme="majorEastAsia" w:hAnsi="Arial" w:cstheme="majorBidi"/>
      <w:color w:val="0C9FCD"/>
      <w:spacing w:val="-10"/>
      <w:sz w:val="26"/>
      <w:szCs w:val="40"/>
    </w:rPr>
  </w:style>
  <w:style w:type="character" w:customStyle="1" w:styleId="Heading4Char">
    <w:name w:val="Heading 4 Char"/>
    <w:basedOn w:val="DefaultParagraphFont"/>
    <w:link w:val="Heading4"/>
    <w:uiPriority w:val="4"/>
    <w:rsid w:val="008017DE"/>
    <w:rPr>
      <w:rFonts w:ascii="Arial" w:eastAsia="Times New Roman" w:hAnsi="Arial"/>
      <w:i/>
      <w:color w:val="0C9FCD"/>
      <w:spacing w:val="-10"/>
      <w:sz w:val="24"/>
      <w:szCs w:val="26"/>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Normal"/>
    <w:uiPriority w:val="34"/>
    <w:qFormat/>
    <w:rsid w:val="004632E9"/>
    <w:pPr>
      <w:ind w:left="720" w:hanging="360"/>
      <w:contextualSpacing/>
    </w:p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aliases w:val="Table 1,Table Layout"/>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link w:val="CaptionChar"/>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C71565"/>
    <w:pPr>
      <w:tabs>
        <w:tab w:val="right" w:leader="dot" w:pos="9016"/>
      </w:tabs>
      <w:spacing w:after="100"/>
    </w:pPr>
  </w:style>
  <w:style w:type="paragraph" w:styleId="TOC2">
    <w:name w:val="toc 2"/>
    <w:basedOn w:val="Normal"/>
    <w:next w:val="Normal"/>
    <w:autoRedefine/>
    <w:uiPriority w:val="39"/>
    <w:unhideWhenUsed/>
    <w:rsid w:val="001E21F6"/>
    <w:pPr>
      <w:tabs>
        <w:tab w:val="right" w:leader="dot" w:pos="9016"/>
      </w:tabs>
      <w:spacing w:after="100"/>
      <w:ind w:left="220"/>
    </w:pPr>
  </w:style>
  <w:style w:type="paragraph" w:styleId="TOC3">
    <w:name w:val="toc 3"/>
    <w:basedOn w:val="Normal"/>
    <w:next w:val="Normal"/>
    <w:autoRedefine/>
    <w:uiPriority w:val="39"/>
    <w:unhideWhenUsed/>
    <w:rsid w:val="000F2564"/>
    <w:pPr>
      <w:spacing w:after="100"/>
      <w:ind w:left="440"/>
    </w:pPr>
  </w:style>
  <w:style w:type="paragraph" w:customStyle="1" w:styleId="Address">
    <w:name w:val="Address"/>
    <w:basedOn w:val="Subtitle"/>
    <w:uiPriority w:val="99"/>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uiPriority w:val="99"/>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Authoranddate">
    <w:name w:val="Author and date"/>
    <w:basedOn w:val="Subtitle"/>
    <w:link w:val="AuthoranddateChar"/>
    <w:qFormat/>
    <w:rsid w:val="00FE7F44"/>
    <w:rPr>
      <w:szCs w:val="40"/>
    </w:rPr>
  </w:style>
  <w:style w:type="character" w:customStyle="1" w:styleId="AuthoranddateChar">
    <w:name w:val="Author and date Char"/>
    <w:basedOn w:val="SubtitleChar"/>
    <w:link w:val="Authoranddate"/>
    <w:rsid w:val="00FE7F44"/>
    <w:rPr>
      <w:rFonts w:eastAsiaTheme="minorEastAsia"/>
      <w:color w:val="FFFFFF" w:themeColor="background1"/>
      <w:sz w:val="40"/>
      <w:szCs w:val="40"/>
    </w:rPr>
  </w:style>
  <w:style w:type="paragraph" w:customStyle="1" w:styleId="Reporttitle">
    <w:name w:val="Report title"/>
    <w:basedOn w:val="Normal"/>
    <w:next w:val="Normal"/>
    <w:uiPriority w:val="99"/>
    <w:qFormat/>
    <w:rsid w:val="00184609"/>
    <w:pPr>
      <w:widowControl w:val="0"/>
      <w:spacing w:after="200" w:line="240" w:lineRule="auto"/>
      <w:contextualSpacing/>
      <w:outlineLvl w:val="0"/>
    </w:pPr>
    <w:rPr>
      <w:rFonts w:ascii="Arial Bold" w:eastAsia="Times New Roman" w:hAnsi="Arial Bold"/>
      <w:b/>
      <w:bCs/>
      <w:caps/>
      <w:color w:val="0C9FCD"/>
      <w:sz w:val="34"/>
      <w:szCs w:val="32"/>
    </w:rPr>
  </w:style>
  <w:style w:type="paragraph" w:styleId="BodyText">
    <w:name w:val="Body Text"/>
    <w:basedOn w:val="Normal"/>
    <w:link w:val="BodyTextChar"/>
    <w:autoRedefine/>
    <w:uiPriority w:val="1"/>
    <w:rsid w:val="00996B9D"/>
    <w:pPr>
      <w:spacing w:after="0"/>
    </w:pPr>
    <w:rPr>
      <w:rFonts w:cs="Times New Roman"/>
      <w:color w:val="000000" w:themeColor="text1"/>
      <w:szCs w:val="20"/>
      <w:lang w:eastAsia="en-AU"/>
    </w:rPr>
  </w:style>
  <w:style w:type="character" w:customStyle="1" w:styleId="BodyTextChar">
    <w:name w:val="Body Text Char"/>
    <w:basedOn w:val="DefaultParagraphFont"/>
    <w:link w:val="BodyText"/>
    <w:uiPriority w:val="1"/>
    <w:rsid w:val="00996B9D"/>
    <w:rPr>
      <w:rFonts w:ascii="Arial" w:hAnsi="Arial" w:cs="Times New Roman"/>
      <w:color w:val="000000" w:themeColor="text1"/>
      <w:sz w:val="20"/>
      <w:szCs w:val="20"/>
      <w:lang w:eastAsia="en-AU"/>
    </w:rPr>
  </w:style>
  <w:style w:type="paragraph" w:customStyle="1" w:styleId="Headingnon-numbered">
    <w:name w:val="Heading (non-numbered)"/>
    <w:basedOn w:val="Heading1"/>
    <w:next w:val="BodyText"/>
    <w:uiPriority w:val="5"/>
    <w:qFormat/>
    <w:rsid w:val="00C207C4"/>
    <w:pPr>
      <w:keepLines w:val="0"/>
      <w:pageBreakBefore/>
      <w:spacing w:before="800" w:after="480" w:line="240" w:lineRule="auto"/>
      <w:contextualSpacing/>
    </w:pPr>
    <w:rPr>
      <w:rFonts w:eastAsia="Times New Roman" w:cstheme="minorBidi"/>
      <w:bCs/>
      <w:caps w:val="0"/>
    </w:rPr>
  </w:style>
  <w:style w:type="paragraph" w:customStyle="1" w:styleId="ESheading2">
    <w:name w:val="ES heading 2"/>
    <w:basedOn w:val="Normal"/>
    <w:uiPriority w:val="99"/>
    <w:qFormat/>
    <w:rsid w:val="00CD7802"/>
    <w:pPr>
      <w:keepNext/>
      <w:spacing w:before="200" w:after="120" w:line="240" w:lineRule="auto"/>
      <w:contextualSpacing/>
      <w:outlineLvl w:val="1"/>
    </w:pPr>
    <w:rPr>
      <w:rFonts w:eastAsia="Times New Roman"/>
      <w:iCs/>
      <w:color w:val="939598" w:themeColor="accent1"/>
      <w:sz w:val="28"/>
      <w:szCs w:val="28"/>
    </w:rPr>
  </w:style>
  <w:style w:type="paragraph" w:customStyle="1" w:styleId="ChapterHeading2">
    <w:name w:val="Chapter Heading 2"/>
    <w:basedOn w:val="Heading2"/>
    <w:next w:val="BodyText"/>
    <w:uiPriority w:val="5"/>
    <w:qFormat/>
    <w:rsid w:val="00CD7802"/>
    <w:pPr>
      <w:spacing w:before="200" w:after="120" w:line="240" w:lineRule="auto"/>
      <w:contextualSpacing/>
    </w:pPr>
    <w:rPr>
      <w:rFonts w:eastAsia="Times New Roman" w:cstheme="minorBidi"/>
      <w:iCs/>
      <w:color w:val="939598" w:themeColor="accent1"/>
      <w:szCs w:val="28"/>
    </w:rPr>
  </w:style>
  <w:style w:type="paragraph" w:styleId="TableofFigures">
    <w:name w:val="table of figures"/>
    <w:basedOn w:val="Normal"/>
    <w:next w:val="Normal"/>
    <w:uiPriority w:val="99"/>
    <w:unhideWhenUsed/>
    <w:rsid w:val="00B47733"/>
    <w:pPr>
      <w:spacing w:after="0"/>
    </w:pPr>
  </w:style>
  <w:style w:type="paragraph" w:styleId="ListBullet">
    <w:name w:val="List Bullet"/>
    <w:basedOn w:val="Normal"/>
    <w:uiPriority w:val="99"/>
    <w:unhideWhenUsed/>
    <w:qFormat/>
    <w:rsid w:val="007E2EC3"/>
    <w:pPr>
      <w:spacing w:after="200"/>
      <w:ind w:left="360" w:hanging="360"/>
    </w:pPr>
    <w:rPr>
      <w:rFonts w:eastAsia="Calibri" w:cs="Times New Roman"/>
    </w:rPr>
  </w:style>
  <w:style w:type="paragraph" w:customStyle="1" w:styleId="Tabletext">
    <w:name w:val="Table text"/>
    <w:basedOn w:val="Normal"/>
    <w:link w:val="TabletextChar"/>
    <w:uiPriority w:val="9"/>
    <w:qFormat/>
    <w:rsid w:val="00005123"/>
    <w:pPr>
      <w:spacing w:after="0"/>
    </w:pPr>
    <w:rPr>
      <w:rFonts w:eastAsia="Calibri" w:cs="Times New Roman"/>
    </w:rPr>
  </w:style>
  <w:style w:type="paragraph" w:customStyle="1" w:styleId="FigureTableHeader">
    <w:name w:val="Figure/Table Header"/>
    <w:basedOn w:val="Normal"/>
    <w:link w:val="FigureTableHeaderChar"/>
    <w:uiPriority w:val="99"/>
    <w:qFormat/>
    <w:rsid w:val="00005123"/>
    <w:pPr>
      <w:keepNext/>
      <w:pBdr>
        <w:top w:val="dotted" w:sz="18" w:space="1" w:color="6E8DB0"/>
      </w:pBdr>
      <w:spacing w:after="140" w:line="220" w:lineRule="exact"/>
      <w:ind w:left="1134" w:hanging="1134"/>
    </w:pPr>
    <w:rPr>
      <w:caps/>
      <w:color w:val="159DCE"/>
    </w:rPr>
  </w:style>
  <w:style w:type="paragraph" w:customStyle="1" w:styleId="TableHeadingRightAligned">
    <w:name w:val="Table Heading (Right Aligned)"/>
    <w:basedOn w:val="Normal"/>
    <w:uiPriority w:val="99"/>
    <w:qFormat/>
    <w:rsid w:val="00005123"/>
    <w:pPr>
      <w:keepNext/>
      <w:spacing w:after="40" w:line="160" w:lineRule="exact"/>
      <w:jc w:val="right"/>
    </w:pPr>
    <w:rPr>
      <w:rFonts w:ascii="Arial Bold" w:eastAsia="Times New Roman" w:hAnsi="Arial Bold" w:cs="Times New Roman"/>
      <w:caps/>
      <w:color w:val="FFFFFF" w:themeColor="background1"/>
      <w:spacing w:val="6"/>
      <w:sz w:val="16"/>
      <w:szCs w:val="24"/>
      <w:lang w:eastAsia="en-GB"/>
    </w:rPr>
  </w:style>
  <w:style w:type="table" w:styleId="PlainTable3">
    <w:name w:val="Plain Table 3"/>
    <w:basedOn w:val="TableNormal"/>
    <w:uiPriority w:val="43"/>
    <w:rsid w:val="00005123"/>
    <w:pPr>
      <w:spacing w:after="0" w:line="240" w:lineRule="auto"/>
    </w:pPr>
    <w:rPr>
      <w:rFonts w:ascii="Arial" w:eastAsia="Calibri" w:hAnsi="Arial" w:cs="Times New Roman"/>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ootnote">
    <w:name w:val="Footnote"/>
    <w:basedOn w:val="Normal"/>
    <w:uiPriority w:val="99"/>
    <w:qFormat/>
    <w:rsid w:val="00005123"/>
    <w:pPr>
      <w:spacing w:after="140" w:line="240" w:lineRule="auto"/>
    </w:pPr>
    <w:rPr>
      <w:rFonts w:eastAsia="Calibri" w:cs="Times New Roman"/>
      <w:sz w:val="17"/>
      <w:szCs w:val="16"/>
    </w:rPr>
  </w:style>
  <w:style w:type="paragraph" w:customStyle="1" w:styleId="CCAFigure">
    <w:name w:val="CCA Figure"/>
    <w:basedOn w:val="Normal"/>
    <w:uiPriority w:val="99"/>
    <w:qFormat/>
    <w:rsid w:val="00005123"/>
    <w:pPr>
      <w:spacing w:after="140" w:line="220" w:lineRule="exact"/>
    </w:pPr>
    <w:rPr>
      <w:caps/>
      <w:color w:val="159DCE"/>
    </w:rPr>
  </w:style>
  <w:style w:type="paragraph" w:customStyle="1" w:styleId="CCATabletext">
    <w:name w:val="CCA Table text"/>
    <w:link w:val="CCATabletextChar"/>
    <w:qFormat/>
    <w:rsid w:val="00005123"/>
    <w:pPr>
      <w:spacing w:before="40" w:after="40" w:line="200" w:lineRule="exact"/>
    </w:pPr>
    <w:rPr>
      <w:rFonts w:ascii="Arial" w:eastAsia="Calibri" w:hAnsi="Arial" w:cs="Times New Roman"/>
      <w:color w:val="000000" w:themeColor="text1"/>
      <w:sz w:val="18"/>
      <w:szCs w:val="18"/>
    </w:rPr>
  </w:style>
  <w:style w:type="character" w:customStyle="1" w:styleId="TabletextChar">
    <w:name w:val="Table text Char"/>
    <w:basedOn w:val="DefaultParagraphFont"/>
    <w:link w:val="Tabletext"/>
    <w:uiPriority w:val="9"/>
    <w:rsid w:val="00005123"/>
    <w:rPr>
      <w:rFonts w:ascii="Arial" w:eastAsia="Calibri" w:hAnsi="Arial" w:cs="Times New Roman"/>
    </w:rPr>
  </w:style>
  <w:style w:type="character" w:customStyle="1" w:styleId="CCATabletextChar">
    <w:name w:val="CCA Table text Char"/>
    <w:basedOn w:val="TabletextChar"/>
    <w:link w:val="CCATabletext"/>
    <w:rsid w:val="00005123"/>
    <w:rPr>
      <w:rFonts w:ascii="Arial" w:eastAsia="Calibri" w:hAnsi="Arial" w:cs="Times New Roman"/>
      <w:color w:val="000000" w:themeColor="text1"/>
      <w:sz w:val="18"/>
      <w:szCs w:val="18"/>
    </w:rPr>
  </w:style>
  <w:style w:type="character" w:styleId="FootnoteReference">
    <w:name w:val="footnote reference"/>
    <w:aliases w:val="(NECG) Footnote Reference"/>
    <w:basedOn w:val="DefaultParagraphFont"/>
    <w:uiPriority w:val="9"/>
    <w:unhideWhenUsed/>
    <w:rsid w:val="00005123"/>
    <w:rPr>
      <w:vertAlign w:val="superscript"/>
    </w:rPr>
  </w:style>
  <w:style w:type="paragraph" w:customStyle="1" w:styleId="In-text">
    <w:name w:val="In-text"/>
    <w:basedOn w:val="Normal"/>
    <w:link w:val="In-textChar"/>
    <w:qFormat/>
    <w:rsid w:val="00005123"/>
    <w:pPr>
      <w:spacing w:after="200"/>
    </w:pPr>
    <w:rPr>
      <w:rFonts w:eastAsia="Calibri" w:cs="Times New Roman"/>
      <w:color w:val="000000" w:themeColor="text1"/>
    </w:rPr>
  </w:style>
  <w:style w:type="character" w:customStyle="1" w:styleId="In-textChar">
    <w:name w:val="In-text Char"/>
    <w:basedOn w:val="DefaultParagraphFont"/>
    <w:link w:val="In-text"/>
    <w:rsid w:val="00005123"/>
    <w:rPr>
      <w:rFonts w:ascii="Arial" w:eastAsia="Calibri" w:hAnsi="Arial" w:cs="Times New Roman"/>
      <w:color w:val="000000" w:themeColor="text1"/>
    </w:rPr>
  </w:style>
  <w:style w:type="paragraph" w:customStyle="1" w:styleId="SectionChapter">
    <w:name w:val="Section Chapter"/>
    <w:basedOn w:val="Normal"/>
    <w:link w:val="SectionChapterChar"/>
    <w:qFormat/>
    <w:rsid w:val="00005123"/>
    <w:pPr>
      <w:spacing w:after="200"/>
    </w:pPr>
    <w:rPr>
      <w:rFonts w:eastAsia="Calibri" w:cs="Times New Roman"/>
      <w:color w:val="000000" w:themeColor="text1"/>
    </w:rPr>
  </w:style>
  <w:style w:type="character" w:customStyle="1" w:styleId="SectionChapterChar">
    <w:name w:val="Section Chapter Char"/>
    <w:basedOn w:val="DefaultParagraphFont"/>
    <w:link w:val="SectionChapter"/>
    <w:rsid w:val="00005123"/>
    <w:rPr>
      <w:rFonts w:ascii="Arial" w:eastAsia="Calibri" w:hAnsi="Arial" w:cs="Times New Roman"/>
      <w:color w:val="000000" w:themeColor="text1"/>
    </w:rPr>
  </w:style>
  <w:style w:type="character" w:styleId="CommentReference">
    <w:name w:val="annotation reference"/>
    <w:basedOn w:val="DefaultParagraphFont"/>
    <w:uiPriority w:val="99"/>
    <w:semiHidden/>
    <w:unhideWhenUsed/>
    <w:rsid w:val="00130D30"/>
    <w:rPr>
      <w:sz w:val="16"/>
      <w:szCs w:val="16"/>
    </w:rPr>
  </w:style>
  <w:style w:type="paragraph" w:styleId="CommentText">
    <w:name w:val="annotation text"/>
    <w:basedOn w:val="Normal"/>
    <w:link w:val="CommentTextChar"/>
    <w:uiPriority w:val="99"/>
    <w:unhideWhenUsed/>
    <w:rsid w:val="00130D30"/>
    <w:pPr>
      <w:spacing w:line="240" w:lineRule="auto"/>
    </w:pPr>
    <w:rPr>
      <w:szCs w:val="20"/>
    </w:rPr>
  </w:style>
  <w:style w:type="character" w:customStyle="1" w:styleId="CommentTextChar">
    <w:name w:val="Comment Text Char"/>
    <w:basedOn w:val="DefaultParagraphFont"/>
    <w:link w:val="CommentText"/>
    <w:uiPriority w:val="99"/>
    <w:rsid w:val="00130D3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30D30"/>
    <w:rPr>
      <w:b/>
      <w:bCs/>
    </w:rPr>
  </w:style>
  <w:style w:type="character" w:customStyle="1" w:styleId="CommentSubjectChar">
    <w:name w:val="Comment Subject Char"/>
    <w:basedOn w:val="CommentTextChar"/>
    <w:link w:val="CommentSubject"/>
    <w:uiPriority w:val="99"/>
    <w:semiHidden/>
    <w:rsid w:val="00130D30"/>
    <w:rPr>
      <w:rFonts w:ascii="Arial" w:hAnsi="Arial"/>
      <w:b/>
      <w:bCs/>
      <w:sz w:val="20"/>
      <w:szCs w:val="20"/>
    </w:rPr>
  </w:style>
  <w:style w:type="paragraph" w:styleId="ListBullet5">
    <w:name w:val="List Bullet 5"/>
    <w:basedOn w:val="Normal"/>
    <w:uiPriority w:val="99"/>
    <w:unhideWhenUsed/>
    <w:rsid w:val="00DC7F00"/>
    <w:pPr>
      <w:numPr>
        <w:numId w:val="1"/>
      </w:numPr>
      <w:spacing w:after="200"/>
    </w:pPr>
    <w:rPr>
      <w:rFonts w:eastAsia="Calibri" w:cs="Times New Roman"/>
      <w:sz w:val="22"/>
    </w:rPr>
  </w:style>
  <w:style w:type="numbering" w:customStyle="1" w:styleId="ListBulletmaster">
    <w:name w:val="List Bullet (master)"/>
    <w:rsid w:val="00DC7F00"/>
    <w:pPr>
      <w:numPr>
        <w:numId w:val="1"/>
      </w:numPr>
    </w:pPr>
  </w:style>
  <w:style w:type="paragraph" w:customStyle="1" w:styleId="TableHeader">
    <w:name w:val="Table Header"/>
    <w:basedOn w:val="Normal"/>
    <w:uiPriority w:val="99"/>
    <w:qFormat/>
    <w:rsid w:val="00DC7F00"/>
    <w:pPr>
      <w:spacing w:after="140" w:line="220" w:lineRule="exact"/>
    </w:pPr>
    <w:rPr>
      <w:rFonts w:cs="Arial"/>
      <w:b/>
      <w:caps/>
      <w:color w:val="FFFFFF" w:themeColor="background1"/>
      <w:sz w:val="16"/>
      <w:szCs w:val="16"/>
      <w:lang w:val="en-US" w:eastAsia="en-GB"/>
    </w:rPr>
  </w:style>
  <w:style w:type="paragraph" w:customStyle="1" w:styleId="Heading1nonumber">
    <w:name w:val="Heading 1 (no number)"/>
    <w:basedOn w:val="Normal"/>
    <w:link w:val="Heading1nonumberChar"/>
    <w:qFormat/>
    <w:rsid w:val="00DC7F00"/>
    <w:pPr>
      <w:pageBreakBefore/>
      <w:spacing w:after="200"/>
      <w:outlineLvl w:val="0"/>
    </w:pPr>
    <w:rPr>
      <w:rFonts w:ascii="Arial Bold" w:eastAsia="Calibri" w:hAnsi="Arial Bold" w:cs="Times New Roman"/>
      <w:b/>
      <w:caps/>
      <w:color w:val="159DCE"/>
      <w:sz w:val="34"/>
      <w:szCs w:val="34"/>
    </w:rPr>
  </w:style>
  <w:style w:type="character" w:customStyle="1" w:styleId="Heading1nonumberChar">
    <w:name w:val="Heading 1 (no number) Char"/>
    <w:basedOn w:val="DefaultParagraphFont"/>
    <w:link w:val="Heading1nonumber"/>
    <w:rsid w:val="00DC7F00"/>
    <w:rPr>
      <w:rFonts w:ascii="Arial Bold" w:eastAsia="Calibri" w:hAnsi="Arial Bold" w:cs="Times New Roman"/>
      <w:b/>
      <w:caps/>
      <w:color w:val="159DCE"/>
      <w:sz w:val="34"/>
      <w:szCs w:val="34"/>
    </w:rPr>
  </w:style>
  <w:style w:type="paragraph" w:customStyle="1" w:styleId="ccabodycopy">
    <w:name w:val="cca_bodycopy"/>
    <w:basedOn w:val="Normal"/>
    <w:uiPriority w:val="99"/>
    <w:rsid w:val="00DC7F00"/>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ccatabletext0">
    <w:name w:val="cca_tabletext"/>
    <w:basedOn w:val="Normal"/>
    <w:uiPriority w:val="99"/>
    <w:rsid w:val="00DC7F00"/>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FollowedHyperlink">
    <w:name w:val="FollowedHyperlink"/>
    <w:basedOn w:val="DefaultParagraphFont"/>
    <w:uiPriority w:val="99"/>
    <w:semiHidden/>
    <w:unhideWhenUsed/>
    <w:rsid w:val="004F16DB"/>
    <w:rPr>
      <w:color w:val="551A8B" w:themeColor="followedHyperlink"/>
      <w:u w:val="single"/>
    </w:rPr>
  </w:style>
  <w:style w:type="paragraph" w:styleId="ListBullet2">
    <w:name w:val="List Bullet 2"/>
    <w:basedOn w:val="Normal"/>
    <w:uiPriority w:val="99"/>
    <w:semiHidden/>
    <w:unhideWhenUsed/>
    <w:rsid w:val="009C7BD2"/>
    <w:pPr>
      <w:numPr>
        <w:numId w:val="2"/>
      </w:numPr>
      <w:contextualSpacing/>
    </w:pPr>
  </w:style>
  <w:style w:type="paragraph" w:customStyle="1" w:styleId="FigureHeader">
    <w:name w:val="Figure Header"/>
    <w:basedOn w:val="Normal"/>
    <w:uiPriority w:val="99"/>
    <w:qFormat/>
    <w:rsid w:val="00D154E9"/>
    <w:pPr>
      <w:keepNext/>
      <w:numPr>
        <w:numId w:val="3"/>
      </w:numPr>
      <w:pBdr>
        <w:top w:val="dotted" w:sz="18" w:space="5" w:color="939598" w:themeColor="accent1"/>
      </w:pBdr>
      <w:spacing w:before="60" w:after="240" w:line="240" w:lineRule="auto"/>
    </w:pPr>
    <w:rPr>
      <w:rFonts w:eastAsia="Calibri" w:cs="Arial"/>
      <w:color w:val="159DCE"/>
      <w:szCs w:val="20"/>
      <w:lang w:eastAsia="en-AU"/>
    </w:rPr>
  </w:style>
  <w:style w:type="character" w:customStyle="1" w:styleId="Heading7Char">
    <w:name w:val="Heading 7 Char"/>
    <w:basedOn w:val="DefaultParagraphFont"/>
    <w:link w:val="Heading7"/>
    <w:uiPriority w:val="9"/>
    <w:semiHidden/>
    <w:rsid w:val="003F14E9"/>
    <w:rPr>
      <w:rFonts w:asciiTheme="majorHAnsi" w:eastAsiaTheme="majorEastAsia" w:hAnsiTheme="majorHAnsi" w:cstheme="majorBidi"/>
      <w:i/>
      <w:iCs/>
      <w:color w:val="484A4C" w:themeColor="accent1" w:themeShade="7F"/>
    </w:rPr>
  </w:style>
  <w:style w:type="character" w:customStyle="1" w:styleId="Heading8Char">
    <w:name w:val="Heading 8 Char"/>
    <w:basedOn w:val="DefaultParagraphFont"/>
    <w:link w:val="Heading8"/>
    <w:uiPriority w:val="9"/>
    <w:semiHidden/>
    <w:rsid w:val="003F14E9"/>
    <w:rPr>
      <w:rFonts w:asciiTheme="majorHAnsi" w:eastAsiaTheme="majorEastAsia" w:hAnsiTheme="majorHAnsi" w:cstheme="majorBidi"/>
      <w:color w:val="272727" w:themeColor="text1" w:themeTint="D8"/>
      <w:sz w:val="21"/>
      <w:szCs w:val="21"/>
    </w:rPr>
  </w:style>
  <w:style w:type="paragraph" w:customStyle="1" w:styleId="Classificationsensitivity">
    <w:name w:val="Classification sensitivity"/>
    <w:basedOn w:val="Normal"/>
    <w:uiPriority w:val="99"/>
    <w:rsid w:val="003F14E9"/>
    <w:pPr>
      <w:tabs>
        <w:tab w:val="center" w:pos="4536"/>
        <w:tab w:val="center" w:pos="4819"/>
        <w:tab w:val="right" w:pos="9356"/>
      </w:tabs>
      <w:spacing w:after="240"/>
      <w:ind w:left="720" w:hanging="720"/>
      <w:jc w:val="center"/>
    </w:pPr>
    <w:rPr>
      <w:rFonts w:eastAsia="Times New Roman" w:cs="Arial"/>
      <w:color w:val="FF0000"/>
      <w:sz w:val="22"/>
      <w:szCs w:val="28"/>
      <w:lang w:eastAsia="en-AU"/>
    </w:rPr>
  </w:style>
  <w:style w:type="paragraph" w:customStyle="1" w:styleId="Appendixheading">
    <w:name w:val="Appendix heading"/>
    <w:basedOn w:val="Heading2"/>
    <w:uiPriority w:val="99"/>
    <w:qFormat/>
    <w:rsid w:val="003F14E9"/>
    <w:pPr>
      <w:keepNext/>
      <w:spacing w:before="0"/>
      <w:ind w:left="576" w:hanging="576"/>
    </w:pPr>
    <w:rPr>
      <w:rFonts w:eastAsia="Calibri" w:cs="Arial"/>
      <w:b/>
      <w:color w:val="auto"/>
      <w:sz w:val="22"/>
      <w:szCs w:val="22"/>
    </w:rPr>
  </w:style>
  <w:style w:type="paragraph" w:customStyle="1" w:styleId="Appsubheading">
    <w:name w:val="App subheading"/>
    <w:basedOn w:val="Appendixheading"/>
    <w:uiPriority w:val="99"/>
    <w:qFormat/>
    <w:rsid w:val="003F14E9"/>
    <w:pPr>
      <w:ind w:left="432" w:hanging="432"/>
    </w:pPr>
  </w:style>
  <w:style w:type="paragraph" w:styleId="FootnoteText">
    <w:name w:val="footnote text"/>
    <w:basedOn w:val="Normal"/>
    <w:link w:val="FootnoteTextChar"/>
    <w:uiPriority w:val="9"/>
    <w:unhideWhenUsed/>
    <w:qFormat/>
    <w:rsid w:val="009A4864"/>
    <w:pPr>
      <w:spacing w:after="0" w:line="240" w:lineRule="auto"/>
    </w:pPr>
    <w:rPr>
      <w:color w:val="000000"/>
      <w:szCs w:val="20"/>
    </w:rPr>
  </w:style>
  <w:style w:type="character" w:customStyle="1" w:styleId="FootnoteTextChar">
    <w:name w:val="Footnote Text Char"/>
    <w:basedOn w:val="DefaultParagraphFont"/>
    <w:link w:val="FootnoteText"/>
    <w:uiPriority w:val="9"/>
    <w:rsid w:val="009A4864"/>
    <w:rPr>
      <w:rFonts w:ascii="Arial" w:hAnsi="Arial"/>
      <w:color w:val="000000"/>
      <w:sz w:val="20"/>
      <w:szCs w:val="20"/>
    </w:rPr>
  </w:style>
  <w:style w:type="paragraph" w:customStyle="1" w:styleId="CCAListBullet1">
    <w:name w:val="CCA List Bullet 1"/>
    <w:basedOn w:val="Normal"/>
    <w:autoRedefine/>
    <w:uiPriority w:val="12"/>
    <w:qFormat/>
    <w:rsid w:val="0029466F"/>
    <w:pPr>
      <w:spacing w:after="120"/>
    </w:pPr>
    <w:rPr>
      <w:rFonts w:eastAsia="Times New Roman" w:cs="Arial"/>
      <w:bCs/>
      <w:color w:val="000000"/>
      <w:szCs w:val="20"/>
      <w:lang w:eastAsia="en-GB"/>
    </w:rPr>
  </w:style>
  <w:style w:type="paragraph" w:customStyle="1" w:styleId="CCAListBullet2">
    <w:name w:val="CCA List Bullet 2"/>
    <w:basedOn w:val="CCAListBullet1"/>
    <w:uiPriority w:val="12"/>
    <w:qFormat/>
    <w:rsid w:val="00706A23"/>
  </w:style>
  <w:style w:type="table" w:styleId="PlainTable1">
    <w:name w:val="Plain Table 1"/>
    <w:basedOn w:val="TableNormal"/>
    <w:uiPriority w:val="41"/>
    <w:rsid w:val="000059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BulletList">
    <w:name w:val="Bullet List"/>
    <w:uiPriority w:val="99"/>
    <w:rsid w:val="000059D7"/>
    <w:pPr>
      <w:numPr>
        <w:numId w:val="4"/>
      </w:numPr>
    </w:pPr>
  </w:style>
  <w:style w:type="paragraph" w:customStyle="1" w:styleId="Tablebody">
    <w:name w:val="Table body"/>
    <w:basedOn w:val="Normal"/>
    <w:link w:val="TablebodyChar"/>
    <w:qFormat/>
    <w:rsid w:val="00523EE3"/>
    <w:pPr>
      <w:spacing w:before="40" w:after="40" w:line="240" w:lineRule="auto"/>
    </w:pPr>
    <w:rPr>
      <w:rFonts w:asciiTheme="minorHAnsi" w:hAnsiTheme="minorHAnsi"/>
      <w:sz w:val="18"/>
      <w:szCs w:val="18"/>
    </w:rPr>
  </w:style>
  <w:style w:type="paragraph" w:customStyle="1" w:styleId="Tableheading">
    <w:name w:val="Table heading"/>
    <w:basedOn w:val="Normal"/>
    <w:link w:val="TableheadingChar"/>
    <w:qFormat/>
    <w:rsid w:val="00523EE3"/>
    <w:pPr>
      <w:autoSpaceDE w:val="0"/>
      <w:autoSpaceDN w:val="0"/>
      <w:adjustRightInd w:val="0"/>
      <w:spacing w:before="40" w:after="40"/>
    </w:pPr>
    <w:rPr>
      <w:rFonts w:asciiTheme="minorHAnsi" w:eastAsiaTheme="minorEastAsia" w:hAnsiTheme="minorHAnsi" w:cstheme="minorHAnsi"/>
      <w:b/>
      <w:color w:val="FFFFFF" w:themeColor="background1"/>
      <w:sz w:val="18"/>
      <w:szCs w:val="18"/>
    </w:rPr>
  </w:style>
  <w:style w:type="character" w:customStyle="1" w:styleId="TablebodyChar">
    <w:name w:val="Table body Char"/>
    <w:basedOn w:val="DefaultParagraphFont"/>
    <w:link w:val="Tablebody"/>
    <w:rsid w:val="00523EE3"/>
    <w:rPr>
      <w:sz w:val="18"/>
      <w:szCs w:val="18"/>
    </w:rPr>
  </w:style>
  <w:style w:type="character" w:customStyle="1" w:styleId="TableheadingChar">
    <w:name w:val="Table heading Char"/>
    <w:basedOn w:val="DefaultParagraphFont"/>
    <w:link w:val="Tableheading"/>
    <w:rsid w:val="00523EE3"/>
    <w:rPr>
      <w:rFonts w:eastAsiaTheme="minorEastAsia" w:cstheme="minorHAnsi"/>
      <w:b/>
      <w:color w:val="FFFFFF" w:themeColor="background1"/>
      <w:sz w:val="18"/>
      <w:szCs w:val="18"/>
    </w:rPr>
  </w:style>
  <w:style w:type="paragraph" w:styleId="NormalWeb">
    <w:name w:val="Normal (Web)"/>
    <w:basedOn w:val="Normal"/>
    <w:uiPriority w:val="99"/>
    <w:semiHidden/>
    <w:rsid w:val="003010E6"/>
    <w:pPr>
      <w:spacing w:after="170" w:line="240" w:lineRule="atLeast"/>
    </w:pPr>
    <w:rPr>
      <w:rFonts w:ascii="Times New Roman" w:eastAsia="SimSun" w:hAnsi="Times New Roman" w:cs="Times New Roman"/>
      <w:sz w:val="24"/>
      <w:szCs w:val="24"/>
    </w:rPr>
  </w:style>
  <w:style w:type="character" w:styleId="IntenseEmphasis">
    <w:name w:val="Intense Emphasis"/>
    <w:basedOn w:val="DefaultParagraphFont"/>
    <w:uiPriority w:val="21"/>
    <w:qFormat/>
    <w:rsid w:val="004135CA"/>
    <w:rPr>
      <w:i/>
      <w:iCs/>
      <w:color w:val="939598" w:themeColor="accent1"/>
    </w:rPr>
  </w:style>
  <w:style w:type="numbering" w:customStyle="1" w:styleId="TableListBulletmaster">
    <w:name w:val="Table List Bullet (master)"/>
    <w:rsid w:val="004135CA"/>
    <w:pPr>
      <w:numPr>
        <w:numId w:val="5"/>
      </w:numPr>
    </w:pPr>
  </w:style>
  <w:style w:type="paragraph" w:styleId="Revision">
    <w:name w:val="Revision"/>
    <w:hidden/>
    <w:uiPriority w:val="99"/>
    <w:semiHidden/>
    <w:rsid w:val="004F4BBC"/>
    <w:pPr>
      <w:spacing w:after="0" w:line="240" w:lineRule="auto"/>
    </w:pPr>
    <w:rPr>
      <w:rFonts w:ascii="Arial" w:hAnsi="Arial"/>
      <w:sz w:val="20"/>
    </w:rPr>
  </w:style>
  <w:style w:type="paragraph" w:customStyle="1" w:styleId="Default">
    <w:name w:val="Default"/>
    <w:uiPriority w:val="99"/>
    <w:rsid w:val="00391567"/>
    <w:pPr>
      <w:autoSpaceDE w:val="0"/>
      <w:autoSpaceDN w:val="0"/>
      <w:adjustRightInd w:val="0"/>
      <w:spacing w:after="0" w:line="240" w:lineRule="auto"/>
    </w:pPr>
    <w:rPr>
      <w:rFonts w:ascii="Adobe Garamond Pro" w:hAnsi="Adobe Garamond Pro" w:cs="Adobe Garamond Pro"/>
      <w:color w:val="000000"/>
      <w:sz w:val="24"/>
      <w:szCs w:val="24"/>
    </w:rPr>
  </w:style>
  <w:style w:type="character" w:styleId="SubtleEmphasis">
    <w:name w:val="Subtle Emphasis"/>
    <w:basedOn w:val="DefaultParagraphFont"/>
    <w:uiPriority w:val="19"/>
    <w:qFormat/>
    <w:rsid w:val="00C61C11"/>
    <w:rPr>
      <w:i/>
      <w:iCs/>
      <w:color w:val="404040" w:themeColor="text1" w:themeTint="BF"/>
    </w:rPr>
  </w:style>
  <w:style w:type="paragraph" w:styleId="ListBullet3">
    <w:name w:val="List Bullet 3"/>
    <w:basedOn w:val="ListBullet2"/>
    <w:uiPriority w:val="2"/>
    <w:rsid w:val="008E65F1"/>
    <w:pPr>
      <w:numPr>
        <w:numId w:val="18"/>
      </w:numPr>
      <w:tabs>
        <w:tab w:val="left" w:pos="851"/>
      </w:tabs>
      <w:spacing w:before="60" w:after="60" w:line="264" w:lineRule="auto"/>
      <w:contextualSpacing w:val="0"/>
    </w:pPr>
    <w:rPr>
      <w:rFonts w:ascii="Calibri" w:eastAsia="Calibri" w:hAnsi="Calibri" w:cs="Times New Roman"/>
      <w:color w:val="000000"/>
      <w:sz w:val="24"/>
      <w:lang w:eastAsia="en-AU"/>
    </w:rPr>
  </w:style>
  <w:style w:type="table" w:customStyle="1" w:styleId="CERTable">
    <w:name w:val="CER Table"/>
    <w:basedOn w:val="TableNormal"/>
    <w:uiPriority w:val="99"/>
    <w:rsid w:val="00526E51"/>
    <w:pPr>
      <w:spacing w:before="120" w:after="0" w:line="240" w:lineRule="auto"/>
    </w:pPr>
    <w:rPr>
      <w:rFonts w:ascii="Arial" w:eastAsia="Cambria" w:hAnsi="Arial" w:cs="Times New Roman"/>
      <w:color w:val="000000" w:themeColor="text1"/>
      <w:kern w:val="2"/>
      <w:sz w:val="20"/>
      <w:szCs w:val="20"/>
      <w:lang w:eastAsia="en-AU"/>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Arial Bold" w:hAnsi="Arial Bold"/>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Arial Bold" w:hAnsi="Arial Bold"/>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paragraph" w:customStyle="1" w:styleId="CERbullets">
    <w:name w:val="CER bullets"/>
    <w:basedOn w:val="Normal"/>
    <w:link w:val="CERbulletsChar"/>
    <w:uiPriority w:val="7"/>
    <w:qFormat/>
    <w:rsid w:val="00412DD5"/>
    <w:pPr>
      <w:numPr>
        <w:numId w:val="20"/>
      </w:numPr>
      <w:spacing w:before="120" w:after="120" w:line="240" w:lineRule="auto"/>
    </w:pPr>
    <w:rPr>
      <w:rFonts w:asciiTheme="minorHAnsi" w:eastAsia="Cambria" w:hAnsiTheme="minorHAnsi" w:cstheme="minorHAnsi"/>
      <w:sz w:val="22"/>
      <w:szCs w:val="24"/>
    </w:rPr>
  </w:style>
  <w:style w:type="character" w:customStyle="1" w:styleId="CERbulletsChar">
    <w:name w:val="CER bullets Char"/>
    <w:basedOn w:val="DefaultParagraphFont"/>
    <w:link w:val="CERbullets"/>
    <w:uiPriority w:val="7"/>
    <w:rsid w:val="00412DD5"/>
    <w:rPr>
      <w:rFonts w:eastAsia="Cambria" w:cstheme="minorHAnsi"/>
      <w:szCs w:val="24"/>
    </w:rPr>
  </w:style>
  <w:style w:type="character" w:customStyle="1" w:styleId="normaltextrun1">
    <w:name w:val="normaltextrun1"/>
    <w:basedOn w:val="DefaultParagraphFont"/>
    <w:rsid w:val="005F5687"/>
  </w:style>
  <w:style w:type="table" w:customStyle="1" w:styleId="TableGrid1">
    <w:name w:val="Table Grid1"/>
    <w:basedOn w:val="TableNormal"/>
    <w:next w:val="TableGrid"/>
    <w:uiPriority w:val="39"/>
    <w:rsid w:val="00CA238A"/>
    <w:pPr>
      <w:widowControl w:val="0"/>
      <w:autoSpaceDE w:val="0"/>
      <w:autoSpaceDN w:val="0"/>
      <w:spacing w:after="0" w:line="240" w:lineRule="auto"/>
    </w:pPr>
    <w:rPr>
      <w:rFonts w:eastAsia="Myriad Pr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SIRO">
    <w:name w:val="Table_CSIRO"/>
    <w:basedOn w:val="TableNormal"/>
    <w:uiPriority w:val="99"/>
    <w:qFormat/>
    <w:rsid w:val="00CA238A"/>
    <w:pPr>
      <w:spacing w:after="0" w:line="240" w:lineRule="auto"/>
    </w:pPr>
    <w:rPr>
      <w:rFonts w:ascii="Calibri" w:hAnsi="Calibri" w:cs="Times New Roman"/>
      <w:lang w:eastAsia="en-AU"/>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character" w:customStyle="1" w:styleId="CaptionChar">
    <w:name w:val="Caption Char"/>
    <w:basedOn w:val="BodyTextChar"/>
    <w:link w:val="Caption"/>
    <w:uiPriority w:val="35"/>
    <w:rsid w:val="00CA238A"/>
    <w:rPr>
      <w:rFonts w:ascii="Arial" w:hAnsi="Arial" w:cs="Times New Roman"/>
      <w:i/>
      <w:iCs/>
      <w:color w:val="005677" w:themeColor="text2"/>
      <w:sz w:val="20"/>
      <w:szCs w:val="18"/>
      <w:lang w:eastAsia="en-AU"/>
    </w:rPr>
  </w:style>
  <w:style w:type="table" w:customStyle="1" w:styleId="TableGrid2">
    <w:name w:val="Table Grid2"/>
    <w:basedOn w:val="TableNormal"/>
    <w:next w:val="TableGrid"/>
    <w:uiPriority w:val="39"/>
    <w:rsid w:val="00534716"/>
    <w:pPr>
      <w:widowControl w:val="0"/>
      <w:autoSpaceDE w:val="0"/>
      <w:autoSpaceDN w:val="0"/>
      <w:spacing w:after="0" w:line="240" w:lineRule="auto"/>
    </w:pPr>
    <w:rPr>
      <w:rFonts w:eastAsia="Myriad Pr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SIRO1">
    <w:name w:val="Table_CSIRO1"/>
    <w:basedOn w:val="TableNormal"/>
    <w:uiPriority w:val="99"/>
    <w:qFormat/>
    <w:rsid w:val="00907B80"/>
    <w:pPr>
      <w:spacing w:after="0" w:line="240" w:lineRule="auto"/>
    </w:pPr>
    <w:rPr>
      <w:rFonts w:ascii="Calibri" w:hAnsi="Calibri" w:cs="Times New Roman"/>
      <w:lang w:eastAsia="en-AU"/>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rPr>
      <w:tblPr/>
      <w:tcPr>
        <w:tcBorders>
          <w:top w:val="nil"/>
          <w:left w:val="nil"/>
          <w:bottom w:val="nil"/>
          <w:right w:val="nil"/>
          <w:insideH w:val="nil"/>
          <w:insideV w:val="nil"/>
          <w:tl2br w:val="nil"/>
          <w:tr2bl w:val="nil"/>
        </w:tcBorders>
        <w:shd w:val="clear" w:color="auto" w:fill="000000"/>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StandardBoxHwading">
    <w:name w:val="Standard Box Hwading"/>
    <w:basedOn w:val="Normal"/>
    <w:autoRedefine/>
    <w:uiPriority w:val="1"/>
    <w:qFormat/>
    <w:rsid w:val="00DC7661"/>
    <w:pPr>
      <w:keepNext/>
      <w:keepLines/>
      <w:widowControl w:val="0"/>
      <w:autoSpaceDE w:val="0"/>
      <w:autoSpaceDN w:val="0"/>
      <w:spacing w:after="0" w:line="240" w:lineRule="exact"/>
      <w:outlineLvl w:val="1"/>
    </w:pPr>
    <w:rPr>
      <w:rFonts w:eastAsiaTheme="majorEastAsia" w:cs="Times New Roman (Headings CS)"/>
      <w:color w:val="FFFFFF" w:themeColor="background1" w:themeTint="F2"/>
      <w:sz w:val="24"/>
      <w:szCs w:val="24"/>
      <w:lang w:val="en-GB"/>
    </w:rPr>
  </w:style>
  <w:style w:type="table" w:customStyle="1" w:styleId="ListTable4-Accent21">
    <w:name w:val="List Table 4 - Accent 21"/>
    <w:basedOn w:val="TableNormal"/>
    <w:next w:val="ListTable4-Accent2"/>
    <w:uiPriority w:val="49"/>
    <w:rsid w:val="00D6754C"/>
    <w:pPr>
      <w:spacing w:after="0" w:line="240" w:lineRule="auto"/>
    </w:pPr>
    <w:rPr>
      <w:lang w:val="en-US"/>
    </w:r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tcBorders>
        <w:shd w:val="clear" w:color="auto" w:fill="00283E" w:themeFill="accent2"/>
      </w:tcPr>
    </w:tblStylePr>
    <w:tblStylePr w:type="lastRow">
      <w:rPr>
        <w:b/>
        <w:bCs/>
      </w:rPr>
      <w:tblPr/>
      <w:tcPr>
        <w:tcBorders>
          <w:top w:val="double" w:sz="4" w:space="0" w:color="009AF1" w:themeColor="accent2" w:themeTint="99"/>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ListTable4-Accent2">
    <w:name w:val="List Table 4 Accent 2"/>
    <w:basedOn w:val="TableNormal"/>
    <w:uiPriority w:val="49"/>
    <w:rsid w:val="00D6754C"/>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tcBorders>
        <w:shd w:val="clear" w:color="auto" w:fill="00283E" w:themeFill="accent2"/>
      </w:tcPr>
    </w:tblStylePr>
    <w:tblStylePr w:type="lastRow">
      <w:rPr>
        <w:b/>
        <w:bCs/>
      </w:rPr>
      <w:tblPr/>
      <w:tcPr>
        <w:tcBorders>
          <w:top w:val="double" w:sz="4" w:space="0" w:color="009AF1" w:themeColor="accent2" w:themeTint="99"/>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paragraph" w:styleId="TOC4">
    <w:name w:val="toc 4"/>
    <w:basedOn w:val="Normal"/>
    <w:next w:val="Normal"/>
    <w:autoRedefine/>
    <w:uiPriority w:val="39"/>
    <w:unhideWhenUsed/>
    <w:rsid w:val="00D6754C"/>
    <w:pPr>
      <w:spacing w:after="100" w:line="259" w:lineRule="auto"/>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D6754C"/>
    <w:pPr>
      <w:spacing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6754C"/>
    <w:pPr>
      <w:spacing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D6754C"/>
    <w:pPr>
      <w:spacing w:after="100" w:line="259"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D6754C"/>
    <w:pPr>
      <w:spacing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D6754C"/>
    <w:pPr>
      <w:spacing w:after="100" w:line="259" w:lineRule="auto"/>
      <w:ind w:left="1760"/>
    </w:pPr>
    <w:rPr>
      <w:rFonts w:asciiTheme="minorHAnsi" w:eastAsiaTheme="minorEastAsia" w:hAnsiTheme="minorHAnsi"/>
      <w:sz w:val="22"/>
      <w:lang w:eastAsia="en-AU"/>
    </w:rPr>
  </w:style>
  <w:style w:type="table" w:customStyle="1" w:styleId="TableGrid3">
    <w:name w:val="Table Grid3"/>
    <w:basedOn w:val="TableNormal"/>
    <w:next w:val="TableGrid"/>
    <w:uiPriority w:val="59"/>
    <w:rsid w:val="00120E1B"/>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PlainTable11">
    <w:name w:val="Plain Table 11"/>
    <w:basedOn w:val="TableNormal"/>
    <w:next w:val="PlainTable1"/>
    <w:uiPriority w:val="41"/>
    <w:rsid w:val="0059230B"/>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next w:val="PlainTable1"/>
    <w:uiPriority w:val="41"/>
    <w:rsid w:val="0059230B"/>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59230B"/>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inition">
    <w:name w:val="definition"/>
    <w:basedOn w:val="Normal"/>
    <w:uiPriority w:val="99"/>
    <w:rsid w:val="00E4008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uiPriority w:val="99"/>
    <w:rsid w:val="00E4008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Layout1">
    <w:name w:val="Table Layout1"/>
    <w:basedOn w:val="TableNormal"/>
    <w:next w:val="TableGrid"/>
    <w:uiPriority w:val="39"/>
    <w:rsid w:val="00A33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FigureTableHeader"/>
    <w:link w:val="TableChar"/>
    <w:qFormat/>
    <w:rsid w:val="004A369F"/>
    <w:rPr>
      <w:color w:val="0070AE" w:themeColor="accent2" w:themeTint="BF"/>
    </w:rPr>
  </w:style>
  <w:style w:type="paragraph" w:customStyle="1" w:styleId="Figure">
    <w:name w:val="Figure"/>
    <w:basedOn w:val="FigureTableHeader"/>
    <w:link w:val="FigureChar"/>
    <w:qFormat/>
    <w:rsid w:val="004A369F"/>
    <w:rPr>
      <w:color w:val="0070AE" w:themeColor="accent2" w:themeTint="BF"/>
    </w:rPr>
  </w:style>
  <w:style w:type="character" w:customStyle="1" w:styleId="FigureTableHeaderChar">
    <w:name w:val="Figure/Table Header Char"/>
    <w:basedOn w:val="DefaultParagraphFont"/>
    <w:link w:val="FigureTableHeader"/>
    <w:uiPriority w:val="99"/>
    <w:rsid w:val="004A369F"/>
    <w:rPr>
      <w:rFonts w:ascii="Arial" w:hAnsi="Arial"/>
      <w:caps/>
      <w:color w:val="159DCE"/>
      <w:sz w:val="20"/>
    </w:rPr>
  </w:style>
  <w:style w:type="character" w:customStyle="1" w:styleId="TableChar">
    <w:name w:val="Table Char"/>
    <w:basedOn w:val="FigureTableHeaderChar"/>
    <w:link w:val="Table"/>
    <w:rsid w:val="004A369F"/>
    <w:rPr>
      <w:rFonts w:ascii="Arial" w:hAnsi="Arial"/>
      <w:caps/>
      <w:color w:val="0070AE" w:themeColor="accent2" w:themeTint="BF"/>
      <w:sz w:val="20"/>
    </w:rPr>
  </w:style>
  <w:style w:type="paragraph" w:customStyle="1" w:styleId="Box">
    <w:name w:val="Box"/>
    <w:basedOn w:val="Normal"/>
    <w:link w:val="BoxChar"/>
    <w:qFormat/>
    <w:rsid w:val="004A369F"/>
    <w:pPr>
      <w:pBdr>
        <w:top w:val="single" w:sz="4" w:space="1" w:color="auto"/>
        <w:left w:val="single" w:sz="4" w:space="4" w:color="auto"/>
        <w:bottom w:val="single" w:sz="4" w:space="1" w:color="auto"/>
        <w:right w:val="single" w:sz="4" w:space="4" w:color="auto"/>
      </w:pBdr>
    </w:pPr>
    <w:rPr>
      <w:b/>
      <w:color w:val="0070AE" w:themeColor="accent2" w:themeTint="BF"/>
    </w:rPr>
  </w:style>
  <w:style w:type="character" w:customStyle="1" w:styleId="FigureChar">
    <w:name w:val="Figure Char"/>
    <w:basedOn w:val="FigureTableHeaderChar"/>
    <w:link w:val="Figure"/>
    <w:rsid w:val="004A369F"/>
    <w:rPr>
      <w:rFonts w:ascii="Arial" w:hAnsi="Arial"/>
      <w:caps/>
      <w:color w:val="0070AE" w:themeColor="accent2" w:themeTint="BF"/>
      <w:sz w:val="20"/>
    </w:rPr>
  </w:style>
  <w:style w:type="character" w:customStyle="1" w:styleId="BoxChar">
    <w:name w:val="Box Char"/>
    <w:basedOn w:val="DefaultParagraphFont"/>
    <w:link w:val="Box"/>
    <w:rsid w:val="004A369F"/>
    <w:rPr>
      <w:rFonts w:ascii="Arial" w:hAnsi="Arial"/>
      <w:b/>
      <w:color w:val="0070AE" w:themeColor="accent2"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3012">
      <w:bodyDiv w:val="1"/>
      <w:marLeft w:val="0"/>
      <w:marRight w:val="0"/>
      <w:marTop w:val="0"/>
      <w:marBottom w:val="0"/>
      <w:divBdr>
        <w:top w:val="none" w:sz="0" w:space="0" w:color="auto"/>
        <w:left w:val="none" w:sz="0" w:space="0" w:color="auto"/>
        <w:bottom w:val="none" w:sz="0" w:space="0" w:color="auto"/>
        <w:right w:val="none" w:sz="0" w:space="0" w:color="auto"/>
      </w:divBdr>
    </w:div>
    <w:div w:id="22558463">
      <w:bodyDiv w:val="1"/>
      <w:marLeft w:val="0"/>
      <w:marRight w:val="0"/>
      <w:marTop w:val="0"/>
      <w:marBottom w:val="0"/>
      <w:divBdr>
        <w:top w:val="none" w:sz="0" w:space="0" w:color="auto"/>
        <w:left w:val="none" w:sz="0" w:space="0" w:color="auto"/>
        <w:bottom w:val="none" w:sz="0" w:space="0" w:color="auto"/>
        <w:right w:val="none" w:sz="0" w:space="0" w:color="auto"/>
      </w:divBdr>
    </w:div>
    <w:div w:id="39020670">
      <w:bodyDiv w:val="1"/>
      <w:marLeft w:val="0"/>
      <w:marRight w:val="0"/>
      <w:marTop w:val="0"/>
      <w:marBottom w:val="0"/>
      <w:divBdr>
        <w:top w:val="none" w:sz="0" w:space="0" w:color="auto"/>
        <w:left w:val="none" w:sz="0" w:space="0" w:color="auto"/>
        <w:bottom w:val="none" w:sz="0" w:space="0" w:color="auto"/>
        <w:right w:val="none" w:sz="0" w:space="0" w:color="auto"/>
      </w:divBdr>
    </w:div>
    <w:div w:id="40177210">
      <w:bodyDiv w:val="1"/>
      <w:marLeft w:val="0"/>
      <w:marRight w:val="0"/>
      <w:marTop w:val="0"/>
      <w:marBottom w:val="0"/>
      <w:divBdr>
        <w:top w:val="none" w:sz="0" w:space="0" w:color="auto"/>
        <w:left w:val="none" w:sz="0" w:space="0" w:color="auto"/>
        <w:bottom w:val="none" w:sz="0" w:space="0" w:color="auto"/>
        <w:right w:val="none" w:sz="0" w:space="0" w:color="auto"/>
      </w:divBdr>
    </w:div>
    <w:div w:id="129179851">
      <w:bodyDiv w:val="1"/>
      <w:marLeft w:val="0"/>
      <w:marRight w:val="0"/>
      <w:marTop w:val="0"/>
      <w:marBottom w:val="0"/>
      <w:divBdr>
        <w:top w:val="none" w:sz="0" w:space="0" w:color="auto"/>
        <w:left w:val="none" w:sz="0" w:space="0" w:color="auto"/>
        <w:bottom w:val="none" w:sz="0" w:space="0" w:color="auto"/>
        <w:right w:val="none" w:sz="0" w:space="0" w:color="auto"/>
      </w:divBdr>
    </w:div>
    <w:div w:id="220948260">
      <w:bodyDiv w:val="1"/>
      <w:marLeft w:val="0"/>
      <w:marRight w:val="0"/>
      <w:marTop w:val="0"/>
      <w:marBottom w:val="0"/>
      <w:divBdr>
        <w:top w:val="none" w:sz="0" w:space="0" w:color="auto"/>
        <w:left w:val="none" w:sz="0" w:space="0" w:color="auto"/>
        <w:bottom w:val="none" w:sz="0" w:space="0" w:color="auto"/>
        <w:right w:val="none" w:sz="0" w:space="0" w:color="auto"/>
      </w:divBdr>
    </w:div>
    <w:div w:id="221601239">
      <w:bodyDiv w:val="1"/>
      <w:marLeft w:val="0"/>
      <w:marRight w:val="0"/>
      <w:marTop w:val="0"/>
      <w:marBottom w:val="0"/>
      <w:divBdr>
        <w:top w:val="none" w:sz="0" w:space="0" w:color="auto"/>
        <w:left w:val="none" w:sz="0" w:space="0" w:color="auto"/>
        <w:bottom w:val="none" w:sz="0" w:space="0" w:color="auto"/>
        <w:right w:val="none" w:sz="0" w:space="0" w:color="auto"/>
      </w:divBdr>
    </w:div>
    <w:div w:id="236524257">
      <w:bodyDiv w:val="1"/>
      <w:marLeft w:val="0"/>
      <w:marRight w:val="0"/>
      <w:marTop w:val="0"/>
      <w:marBottom w:val="0"/>
      <w:divBdr>
        <w:top w:val="none" w:sz="0" w:space="0" w:color="auto"/>
        <w:left w:val="none" w:sz="0" w:space="0" w:color="auto"/>
        <w:bottom w:val="none" w:sz="0" w:space="0" w:color="auto"/>
        <w:right w:val="none" w:sz="0" w:space="0" w:color="auto"/>
      </w:divBdr>
    </w:div>
    <w:div w:id="266012372">
      <w:bodyDiv w:val="1"/>
      <w:marLeft w:val="0"/>
      <w:marRight w:val="0"/>
      <w:marTop w:val="0"/>
      <w:marBottom w:val="0"/>
      <w:divBdr>
        <w:top w:val="none" w:sz="0" w:space="0" w:color="auto"/>
        <w:left w:val="none" w:sz="0" w:space="0" w:color="auto"/>
        <w:bottom w:val="none" w:sz="0" w:space="0" w:color="auto"/>
        <w:right w:val="none" w:sz="0" w:space="0" w:color="auto"/>
      </w:divBdr>
    </w:div>
    <w:div w:id="272789432">
      <w:bodyDiv w:val="1"/>
      <w:marLeft w:val="0"/>
      <w:marRight w:val="0"/>
      <w:marTop w:val="0"/>
      <w:marBottom w:val="0"/>
      <w:divBdr>
        <w:top w:val="none" w:sz="0" w:space="0" w:color="auto"/>
        <w:left w:val="none" w:sz="0" w:space="0" w:color="auto"/>
        <w:bottom w:val="none" w:sz="0" w:space="0" w:color="auto"/>
        <w:right w:val="none" w:sz="0" w:space="0" w:color="auto"/>
      </w:divBdr>
    </w:div>
    <w:div w:id="317342340">
      <w:bodyDiv w:val="1"/>
      <w:marLeft w:val="0"/>
      <w:marRight w:val="0"/>
      <w:marTop w:val="0"/>
      <w:marBottom w:val="0"/>
      <w:divBdr>
        <w:top w:val="none" w:sz="0" w:space="0" w:color="auto"/>
        <w:left w:val="none" w:sz="0" w:space="0" w:color="auto"/>
        <w:bottom w:val="none" w:sz="0" w:space="0" w:color="auto"/>
        <w:right w:val="none" w:sz="0" w:space="0" w:color="auto"/>
      </w:divBdr>
    </w:div>
    <w:div w:id="338309450">
      <w:bodyDiv w:val="1"/>
      <w:marLeft w:val="0"/>
      <w:marRight w:val="0"/>
      <w:marTop w:val="0"/>
      <w:marBottom w:val="0"/>
      <w:divBdr>
        <w:top w:val="none" w:sz="0" w:space="0" w:color="auto"/>
        <w:left w:val="none" w:sz="0" w:space="0" w:color="auto"/>
        <w:bottom w:val="none" w:sz="0" w:space="0" w:color="auto"/>
        <w:right w:val="none" w:sz="0" w:space="0" w:color="auto"/>
      </w:divBdr>
    </w:div>
    <w:div w:id="359429239">
      <w:bodyDiv w:val="1"/>
      <w:marLeft w:val="0"/>
      <w:marRight w:val="0"/>
      <w:marTop w:val="0"/>
      <w:marBottom w:val="0"/>
      <w:divBdr>
        <w:top w:val="none" w:sz="0" w:space="0" w:color="auto"/>
        <w:left w:val="none" w:sz="0" w:space="0" w:color="auto"/>
        <w:bottom w:val="none" w:sz="0" w:space="0" w:color="auto"/>
        <w:right w:val="none" w:sz="0" w:space="0" w:color="auto"/>
      </w:divBdr>
    </w:div>
    <w:div w:id="359816507">
      <w:bodyDiv w:val="1"/>
      <w:marLeft w:val="0"/>
      <w:marRight w:val="0"/>
      <w:marTop w:val="0"/>
      <w:marBottom w:val="0"/>
      <w:divBdr>
        <w:top w:val="none" w:sz="0" w:space="0" w:color="auto"/>
        <w:left w:val="none" w:sz="0" w:space="0" w:color="auto"/>
        <w:bottom w:val="none" w:sz="0" w:space="0" w:color="auto"/>
        <w:right w:val="none" w:sz="0" w:space="0" w:color="auto"/>
      </w:divBdr>
    </w:div>
    <w:div w:id="441462414">
      <w:bodyDiv w:val="1"/>
      <w:marLeft w:val="0"/>
      <w:marRight w:val="0"/>
      <w:marTop w:val="0"/>
      <w:marBottom w:val="0"/>
      <w:divBdr>
        <w:top w:val="none" w:sz="0" w:space="0" w:color="auto"/>
        <w:left w:val="none" w:sz="0" w:space="0" w:color="auto"/>
        <w:bottom w:val="none" w:sz="0" w:space="0" w:color="auto"/>
        <w:right w:val="none" w:sz="0" w:space="0" w:color="auto"/>
      </w:divBdr>
    </w:div>
    <w:div w:id="448859924">
      <w:bodyDiv w:val="1"/>
      <w:marLeft w:val="0"/>
      <w:marRight w:val="0"/>
      <w:marTop w:val="0"/>
      <w:marBottom w:val="0"/>
      <w:divBdr>
        <w:top w:val="none" w:sz="0" w:space="0" w:color="auto"/>
        <w:left w:val="none" w:sz="0" w:space="0" w:color="auto"/>
        <w:bottom w:val="none" w:sz="0" w:space="0" w:color="auto"/>
        <w:right w:val="none" w:sz="0" w:space="0" w:color="auto"/>
      </w:divBdr>
    </w:div>
    <w:div w:id="531109361">
      <w:bodyDiv w:val="1"/>
      <w:marLeft w:val="0"/>
      <w:marRight w:val="0"/>
      <w:marTop w:val="0"/>
      <w:marBottom w:val="0"/>
      <w:divBdr>
        <w:top w:val="none" w:sz="0" w:space="0" w:color="auto"/>
        <w:left w:val="none" w:sz="0" w:space="0" w:color="auto"/>
        <w:bottom w:val="none" w:sz="0" w:space="0" w:color="auto"/>
        <w:right w:val="none" w:sz="0" w:space="0" w:color="auto"/>
      </w:divBdr>
    </w:div>
    <w:div w:id="587233127">
      <w:bodyDiv w:val="1"/>
      <w:marLeft w:val="0"/>
      <w:marRight w:val="0"/>
      <w:marTop w:val="0"/>
      <w:marBottom w:val="0"/>
      <w:divBdr>
        <w:top w:val="none" w:sz="0" w:space="0" w:color="auto"/>
        <w:left w:val="none" w:sz="0" w:space="0" w:color="auto"/>
        <w:bottom w:val="none" w:sz="0" w:space="0" w:color="auto"/>
        <w:right w:val="none" w:sz="0" w:space="0" w:color="auto"/>
      </w:divBdr>
    </w:div>
    <w:div w:id="594633749">
      <w:bodyDiv w:val="1"/>
      <w:marLeft w:val="0"/>
      <w:marRight w:val="0"/>
      <w:marTop w:val="0"/>
      <w:marBottom w:val="0"/>
      <w:divBdr>
        <w:top w:val="none" w:sz="0" w:space="0" w:color="auto"/>
        <w:left w:val="none" w:sz="0" w:space="0" w:color="auto"/>
        <w:bottom w:val="none" w:sz="0" w:space="0" w:color="auto"/>
        <w:right w:val="none" w:sz="0" w:space="0" w:color="auto"/>
      </w:divBdr>
    </w:div>
    <w:div w:id="598106911">
      <w:bodyDiv w:val="1"/>
      <w:marLeft w:val="0"/>
      <w:marRight w:val="0"/>
      <w:marTop w:val="0"/>
      <w:marBottom w:val="0"/>
      <w:divBdr>
        <w:top w:val="none" w:sz="0" w:space="0" w:color="auto"/>
        <w:left w:val="none" w:sz="0" w:space="0" w:color="auto"/>
        <w:bottom w:val="none" w:sz="0" w:space="0" w:color="auto"/>
        <w:right w:val="none" w:sz="0" w:space="0" w:color="auto"/>
      </w:divBdr>
    </w:div>
    <w:div w:id="646473689">
      <w:bodyDiv w:val="1"/>
      <w:marLeft w:val="0"/>
      <w:marRight w:val="0"/>
      <w:marTop w:val="0"/>
      <w:marBottom w:val="0"/>
      <w:divBdr>
        <w:top w:val="none" w:sz="0" w:space="0" w:color="auto"/>
        <w:left w:val="none" w:sz="0" w:space="0" w:color="auto"/>
        <w:bottom w:val="none" w:sz="0" w:space="0" w:color="auto"/>
        <w:right w:val="none" w:sz="0" w:space="0" w:color="auto"/>
      </w:divBdr>
      <w:divsChild>
        <w:div w:id="1897233981">
          <w:marLeft w:val="0"/>
          <w:marRight w:val="0"/>
          <w:marTop w:val="0"/>
          <w:marBottom w:val="0"/>
          <w:divBdr>
            <w:top w:val="none" w:sz="0" w:space="0" w:color="auto"/>
            <w:left w:val="none" w:sz="0" w:space="0" w:color="auto"/>
            <w:bottom w:val="none" w:sz="0" w:space="0" w:color="auto"/>
            <w:right w:val="none" w:sz="0" w:space="0" w:color="auto"/>
          </w:divBdr>
          <w:divsChild>
            <w:div w:id="1725791951">
              <w:marLeft w:val="0"/>
              <w:marRight w:val="0"/>
              <w:marTop w:val="0"/>
              <w:marBottom w:val="0"/>
              <w:divBdr>
                <w:top w:val="none" w:sz="0" w:space="0" w:color="auto"/>
                <w:left w:val="none" w:sz="0" w:space="0" w:color="auto"/>
                <w:bottom w:val="none" w:sz="0" w:space="0" w:color="auto"/>
                <w:right w:val="none" w:sz="0" w:space="0" w:color="auto"/>
              </w:divBdr>
              <w:divsChild>
                <w:div w:id="1109741539">
                  <w:marLeft w:val="0"/>
                  <w:marRight w:val="0"/>
                  <w:marTop w:val="0"/>
                  <w:marBottom w:val="0"/>
                  <w:divBdr>
                    <w:top w:val="none" w:sz="0" w:space="0" w:color="auto"/>
                    <w:left w:val="none" w:sz="0" w:space="0" w:color="auto"/>
                    <w:bottom w:val="none" w:sz="0" w:space="0" w:color="auto"/>
                    <w:right w:val="none" w:sz="0" w:space="0" w:color="auto"/>
                  </w:divBdr>
                  <w:divsChild>
                    <w:div w:id="953099405">
                      <w:marLeft w:val="0"/>
                      <w:marRight w:val="0"/>
                      <w:marTop w:val="0"/>
                      <w:marBottom w:val="0"/>
                      <w:divBdr>
                        <w:top w:val="none" w:sz="0" w:space="0" w:color="auto"/>
                        <w:left w:val="none" w:sz="0" w:space="0" w:color="auto"/>
                        <w:bottom w:val="none" w:sz="0" w:space="0" w:color="auto"/>
                        <w:right w:val="none" w:sz="0" w:space="0" w:color="auto"/>
                      </w:divBdr>
                      <w:divsChild>
                        <w:div w:id="1120956785">
                          <w:marLeft w:val="0"/>
                          <w:marRight w:val="0"/>
                          <w:marTop w:val="0"/>
                          <w:marBottom w:val="0"/>
                          <w:divBdr>
                            <w:top w:val="none" w:sz="0" w:space="0" w:color="auto"/>
                            <w:left w:val="none" w:sz="0" w:space="0" w:color="auto"/>
                            <w:bottom w:val="none" w:sz="0" w:space="0" w:color="auto"/>
                            <w:right w:val="none" w:sz="0" w:space="0" w:color="auto"/>
                          </w:divBdr>
                          <w:divsChild>
                            <w:div w:id="646208653">
                              <w:marLeft w:val="0"/>
                              <w:marRight w:val="0"/>
                              <w:marTop w:val="0"/>
                              <w:marBottom w:val="0"/>
                              <w:divBdr>
                                <w:top w:val="none" w:sz="0" w:space="0" w:color="auto"/>
                                <w:left w:val="none" w:sz="0" w:space="0" w:color="auto"/>
                                <w:bottom w:val="none" w:sz="0" w:space="0" w:color="auto"/>
                                <w:right w:val="none" w:sz="0" w:space="0" w:color="auto"/>
                              </w:divBdr>
                              <w:divsChild>
                                <w:div w:id="1460106075">
                                  <w:marLeft w:val="0"/>
                                  <w:marRight w:val="0"/>
                                  <w:marTop w:val="0"/>
                                  <w:marBottom w:val="0"/>
                                  <w:divBdr>
                                    <w:top w:val="none" w:sz="0" w:space="0" w:color="auto"/>
                                    <w:left w:val="none" w:sz="0" w:space="0" w:color="auto"/>
                                    <w:bottom w:val="none" w:sz="0" w:space="0" w:color="auto"/>
                                    <w:right w:val="none" w:sz="0" w:space="0" w:color="auto"/>
                                  </w:divBdr>
                                  <w:divsChild>
                                    <w:div w:id="1799252234">
                                      <w:marLeft w:val="0"/>
                                      <w:marRight w:val="0"/>
                                      <w:marTop w:val="0"/>
                                      <w:marBottom w:val="0"/>
                                      <w:divBdr>
                                        <w:top w:val="none" w:sz="0" w:space="0" w:color="auto"/>
                                        <w:left w:val="none" w:sz="0" w:space="0" w:color="auto"/>
                                        <w:bottom w:val="none" w:sz="0" w:space="0" w:color="auto"/>
                                        <w:right w:val="none" w:sz="0" w:space="0" w:color="auto"/>
                                      </w:divBdr>
                                      <w:divsChild>
                                        <w:div w:id="125515059">
                                          <w:marLeft w:val="0"/>
                                          <w:marRight w:val="0"/>
                                          <w:marTop w:val="0"/>
                                          <w:marBottom w:val="0"/>
                                          <w:divBdr>
                                            <w:top w:val="none" w:sz="0" w:space="0" w:color="auto"/>
                                            <w:left w:val="none" w:sz="0" w:space="0" w:color="auto"/>
                                            <w:bottom w:val="none" w:sz="0" w:space="0" w:color="auto"/>
                                            <w:right w:val="none" w:sz="0" w:space="0" w:color="auto"/>
                                          </w:divBdr>
                                          <w:divsChild>
                                            <w:div w:id="1397244442">
                                              <w:marLeft w:val="0"/>
                                              <w:marRight w:val="0"/>
                                              <w:marTop w:val="0"/>
                                              <w:marBottom w:val="0"/>
                                              <w:divBdr>
                                                <w:top w:val="none" w:sz="0" w:space="0" w:color="auto"/>
                                                <w:left w:val="none" w:sz="0" w:space="0" w:color="auto"/>
                                                <w:bottom w:val="none" w:sz="0" w:space="0" w:color="auto"/>
                                                <w:right w:val="none" w:sz="0" w:space="0" w:color="auto"/>
                                              </w:divBdr>
                                              <w:divsChild>
                                                <w:div w:id="17002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155888">
      <w:bodyDiv w:val="1"/>
      <w:marLeft w:val="0"/>
      <w:marRight w:val="0"/>
      <w:marTop w:val="0"/>
      <w:marBottom w:val="0"/>
      <w:divBdr>
        <w:top w:val="none" w:sz="0" w:space="0" w:color="auto"/>
        <w:left w:val="none" w:sz="0" w:space="0" w:color="auto"/>
        <w:bottom w:val="none" w:sz="0" w:space="0" w:color="auto"/>
        <w:right w:val="none" w:sz="0" w:space="0" w:color="auto"/>
      </w:divBdr>
    </w:div>
    <w:div w:id="686564694">
      <w:bodyDiv w:val="1"/>
      <w:marLeft w:val="0"/>
      <w:marRight w:val="0"/>
      <w:marTop w:val="0"/>
      <w:marBottom w:val="0"/>
      <w:divBdr>
        <w:top w:val="none" w:sz="0" w:space="0" w:color="auto"/>
        <w:left w:val="none" w:sz="0" w:space="0" w:color="auto"/>
        <w:bottom w:val="none" w:sz="0" w:space="0" w:color="auto"/>
        <w:right w:val="none" w:sz="0" w:space="0" w:color="auto"/>
      </w:divBdr>
    </w:div>
    <w:div w:id="690498064">
      <w:bodyDiv w:val="1"/>
      <w:marLeft w:val="0"/>
      <w:marRight w:val="0"/>
      <w:marTop w:val="0"/>
      <w:marBottom w:val="0"/>
      <w:divBdr>
        <w:top w:val="none" w:sz="0" w:space="0" w:color="auto"/>
        <w:left w:val="none" w:sz="0" w:space="0" w:color="auto"/>
        <w:bottom w:val="none" w:sz="0" w:space="0" w:color="auto"/>
        <w:right w:val="none" w:sz="0" w:space="0" w:color="auto"/>
      </w:divBdr>
    </w:div>
    <w:div w:id="746537428">
      <w:bodyDiv w:val="1"/>
      <w:marLeft w:val="0"/>
      <w:marRight w:val="0"/>
      <w:marTop w:val="0"/>
      <w:marBottom w:val="0"/>
      <w:divBdr>
        <w:top w:val="none" w:sz="0" w:space="0" w:color="auto"/>
        <w:left w:val="none" w:sz="0" w:space="0" w:color="auto"/>
        <w:bottom w:val="none" w:sz="0" w:space="0" w:color="auto"/>
        <w:right w:val="none" w:sz="0" w:space="0" w:color="auto"/>
      </w:divBdr>
    </w:div>
    <w:div w:id="778180459">
      <w:bodyDiv w:val="1"/>
      <w:marLeft w:val="0"/>
      <w:marRight w:val="0"/>
      <w:marTop w:val="0"/>
      <w:marBottom w:val="0"/>
      <w:divBdr>
        <w:top w:val="none" w:sz="0" w:space="0" w:color="auto"/>
        <w:left w:val="none" w:sz="0" w:space="0" w:color="auto"/>
        <w:bottom w:val="none" w:sz="0" w:space="0" w:color="auto"/>
        <w:right w:val="none" w:sz="0" w:space="0" w:color="auto"/>
      </w:divBdr>
    </w:div>
    <w:div w:id="794061907">
      <w:bodyDiv w:val="1"/>
      <w:marLeft w:val="0"/>
      <w:marRight w:val="0"/>
      <w:marTop w:val="0"/>
      <w:marBottom w:val="0"/>
      <w:divBdr>
        <w:top w:val="none" w:sz="0" w:space="0" w:color="auto"/>
        <w:left w:val="none" w:sz="0" w:space="0" w:color="auto"/>
        <w:bottom w:val="none" w:sz="0" w:space="0" w:color="auto"/>
        <w:right w:val="none" w:sz="0" w:space="0" w:color="auto"/>
      </w:divBdr>
    </w:div>
    <w:div w:id="835650214">
      <w:bodyDiv w:val="1"/>
      <w:marLeft w:val="0"/>
      <w:marRight w:val="0"/>
      <w:marTop w:val="0"/>
      <w:marBottom w:val="0"/>
      <w:divBdr>
        <w:top w:val="none" w:sz="0" w:space="0" w:color="auto"/>
        <w:left w:val="none" w:sz="0" w:space="0" w:color="auto"/>
        <w:bottom w:val="none" w:sz="0" w:space="0" w:color="auto"/>
        <w:right w:val="none" w:sz="0" w:space="0" w:color="auto"/>
      </w:divBdr>
    </w:div>
    <w:div w:id="962153168">
      <w:bodyDiv w:val="1"/>
      <w:marLeft w:val="0"/>
      <w:marRight w:val="0"/>
      <w:marTop w:val="0"/>
      <w:marBottom w:val="0"/>
      <w:divBdr>
        <w:top w:val="none" w:sz="0" w:space="0" w:color="auto"/>
        <w:left w:val="none" w:sz="0" w:space="0" w:color="auto"/>
        <w:bottom w:val="none" w:sz="0" w:space="0" w:color="auto"/>
        <w:right w:val="none" w:sz="0" w:space="0" w:color="auto"/>
      </w:divBdr>
    </w:div>
    <w:div w:id="968825050">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052461694">
      <w:bodyDiv w:val="1"/>
      <w:marLeft w:val="0"/>
      <w:marRight w:val="0"/>
      <w:marTop w:val="0"/>
      <w:marBottom w:val="0"/>
      <w:divBdr>
        <w:top w:val="none" w:sz="0" w:space="0" w:color="auto"/>
        <w:left w:val="none" w:sz="0" w:space="0" w:color="auto"/>
        <w:bottom w:val="none" w:sz="0" w:space="0" w:color="auto"/>
        <w:right w:val="none" w:sz="0" w:space="0" w:color="auto"/>
      </w:divBdr>
    </w:div>
    <w:div w:id="1137721601">
      <w:bodyDiv w:val="1"/>
      <w:marLeft w:val="0"/>
      <w:marRight w:val="0"/>
      <w:marTop w:val="0"/>
      <w:marBottom w:val="0"/>
      <w:divBdr>
        <w:top w:val="none" w:sz="0" w:space="0" w:color="auto"/>
        <w:left w:val="none" w:sz="0" w:space="0" w:color="auto"/>
        <w:bottom w:val="none" w:sz="0" w:space="0" w:color="auto"/>
        <w:right w:val="none" w:sz="0" w:space="0" w:color="auto"/>
      </w:divBdr>
    </w:div>
    <w:div w:id="1243566306">
      <w:bodyDiv w:val="1"/>
      <w:marLeft w:val="0"/>
      <w:marRight w:val="0"/>
      <w:marTop w:val="0"/>
      <w:marBottom w:val="0"/>
      <w:divBdr>
        <w:top w:val="none" w:sz="0" w:space="0" w:color="auto"/>
        <w:left w:val="none" w:sz="0" w:space="0" w:color="auto"/>
        <w:bottom w:val="none" w:sz="0" w:space="0" w:color="auto"/>
        <w:right w:val="none" w:sz="0" w:space="0" w:color="auto"/>
      </w:divBdr>
    </w:div>
    <w:div w:id="1491554228">
      <w:bodyDiv w:val="1"/>
      <w:marLeft w:val="0"/>
      <w:marRight w:val="0"/>
      <w:marTop w:val="0"/>
      <w:marBottom w:val="0"/>
      <w:divBdr>
        <w:top w:val="none" w:sz="0" w:space="0" w:color="auto"/>
        <w:left w:val="none" w:sz="0" w:space="0" w:color="auto"/>
        <w:bottom w:val="none" w:sz="0" w:space="0" w:color="auto"/>
        <w:right w:val="none" w:sz="0" w:space="0" w:color="auto"/>
      </w:divBdr>
    </w:div>
    <w:div w:id="1517382986">
      <w:bodyDiv w:val="1"/>
      <w:marLeft w:val="0"/>
      <w:marRight w:val="0"/>
      <w:marTop w:val="0"/>
      <w:marBottom w:val="0"/>
      <w:divBdr>
        <w:top w:val="none" w:sz="0" w:space="0" w:color="auto"/>
        <w:left w:val="none" w:sz="0" w:space="0" w:color="auto"/>
        <w:bottom w:val="none" w:sz="0" w:space="0" w:color="auto"/>
        <w:right w:val="none" w:sz="0" w:space="0" w:color="auto"/>
      </w:divBdr>
    </w:div>
    <w:div w:id="1593737108">
      <w:bodyDiv w:val="1"/>
      <w:marLeft w:val="0"/>
      <w:marRight w:val="0"/>
      <w:marTop w:val="0"/>
      <w:marBottom w:val="0"/>
      <w:divBdr>
        <w:top w:val="none" w:sz="0" w:space="0" w:color="auto"/>
        <w:left w:val="none" w:sz="0" w:space="0" w:color="auto"/>
        <w:bottom w:val="none" w:sz="0" w:space="0" w:color="auto"/>
        <w:right w:val="none" w:sz="0" w:space="0" w:color="auto"/>
      </w:divBdr>
    </w:div>
    <w:div w:id="1609316837">
      <w:bodyDiv w:val="1"/>
      <w:marLeft w:val="0"/>
      <w:marRight w:val="0"/>
      <w:marTop w:val="0"/>
      <w:marBottom w:val="0"/>
      <w:divBdr>
        <w:top w:val="none" w:sz="0" w:space="0" w:color="auto"/>
        <w:left w:val="none" w:sz="0" w:space="0" w:color="auto"/>
        <w:bottom w:val="none" w:sz="0" w:space="0" w:color="auto"/>
        <w:right w:val="none" w:sz="0" w:space="0" w:color="auto"/>
      </w:divBdr>
    </w:div>
    <w:div w:id="1637878465">
      <w:bodyDiv w:val="1"/>
      <w:marLeft w:val="0"/>
      <w:marRight w:val="0"/>
      <w:marTop w:val="0"/>
      <w:marBottom w:val="0"/>
      <w:divBdr>
        <w:top w:val="none" w:sz="0" w:space="0" w:color="auto"/>
        <w:left w:val="none" w:sz="0" w:space="0" w:color="auto"/>
        <w:bottom w:val="none" w:sz="0" w:space="0" w:color="auto"/>
        <w:right w:val="none" w:sz="0" w:space="0" w:color="auto"/>
      </w:divBdr>
    </w:div>
    <w:div w:id="1682856140">
      <w:bodyDiv w:val="1"/>
      <w:marLeft w:val="0"/>
      <w:marRight w:val="0"/>
      <w:marTop w:val="0"/>
      <w:marBottom w:val="0"/>
      <w:divBdr>
        <w:top w:val="none" w:sz="0" w:space="0" w:color="auto"/>
        <w:left w:val="none" w:sz="0" w:space="0" w:color="auto"/>
        <w:bottom w:val="none" w:sz="0" w:space="0" w:color="auto"/>
        <w:right w:val="none" w:sz="0" w:space="0" w:color="auto"/>
      </w:divBdr>
    </w:div>
    <w:div w:id="1803886785">
      <w:bodyDiv w:val="1"/>
      <w:marLeft w:val="0"/>
      <w:marRight w:val="0"/>
      <w:marTop w:val="0"/>
      <w:marBottom w:val="0"/>
      <w:divBdr>
        <w:top w:val="none" w:sz="0" w:space="0" w:color="auto"/>
        <w:left w:val="none" w:sz="0" w:space="0" w:color="auto"/>
        <w:bottom w:val="none" w:sz="0" w:space="0" w:color="auto"/>
        <w:right w:val="none" w:sz="0" w:space="0" w:color="auto"/>
      </w:divBdr>
    </w:div>
    <w:div w:id="1831486050">
      <w:bodyDiv w:val="1"/>
      <w:marLeft w:val="0"/>
      <w:marRight w:val="0"/>
      <w:marTop w:val="0"/>
      <w:marBottom w:val="0"/>
      <w:divBdr>
        <w:top w:val="none" w:sz="0" w:space="0" w:color="auto"/>
        <w:left w:val="none" w:sz="0" w:space="0" w:color="auto"/>
        <w:bottom w:val="none" w:sz="0" w:space="0" w:color="auto"/>
        <w:right w:val="none" w:sz="0" w:space="0" w:color="auto"/>
      </w:divBdr>
    </w:div>
    <w:div w:id="186385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hyperlink" Target="https://d3n8a8pro7vhmx.cloudfront.net/icin/pages/34/attachments/original/1595809263/ICIN_Seeking_FPIC_from_Indigenous_communities_for_Carbon_Projects_Guide_FINAL_Feb_2020.pdf?1595809263" TargetMode="External"/><Relationship Id="rId21" Type="http://schemas.openxmlformats.org/officeDocument/2006/relationships/image" Target="media/image5.png"/><Relationship Id="rId42" Type="http://schemas.openxmlformats.org/officeDocument/2006/relationships/footer" Target="footer2.xml"/><Relationship Id="rId47" Type="http://schemas.openxmlformats.org/officeDocument/2006/relationships/footer" Target="footer3.xml"/><Relationship Id="rId63" Type="http://schemas.openxmlformats.org/officeDocument/2006/relationships/hyperlink" Target="http://www.carbonmarketinstitute.org/wp-content/uploads/2017/11/Carbon-Farming-Industry-Roadmap.pdf" TargetMode="External"/><Relationship Id="rId68" Type="http://schemas.openxmlformats.org/officeDocument/2006/relationships/hyperlink" Target="http://www.cleanenergyregulator.gov.au/ERF/project-and-contracts-registers/project-register" TargetMode="External"/><Relationship Id="rId84" Type="http://schemas.openxmlformats.org/officeDocument/2006/relationships/hyperlink" Target="http://www.cleanenergyregulator.gov.au/About/Pages/News%20and%20updates/NewsItem.aspx?ListId=19b4efbb-6f5d-4637-94c4-121c1f96fcfe&amp;ItemId=440" TargetMode="External"/><Relationship Id="rId89" Type="http://schemas.openxmlformats.org/officeDocument/2006/relationships/hyperlink" Target="http://www.cleanenergyregulator.gov.au/DocumentAssets/Documents/Code%20of%20Common%20Terms%20%E2%80%93%20version%201%20archived.pdf" TargetMode="External"/><Relationship Id="rId112" Type="http://schemas.openxmlformats.org/officeDocument/2006/relationships/hyperlink" Target="https://www.environment.gov.au/system/files/consultations/f55d9551-ba51-492d-9f59-4be7b60722c9/files/combined-energy-efficiency-methods-consultation-paper.pdf" TargetMode="External"/><Relationship Id="rId133" Type="http://schemas.openxmlformats.org/officeDocument/2006/relationships/hyperlink" Target="https://openknowledge.worldbank.org/bitstream/handle/10986/33809/9781464815867.pdf?sequence=4&amp;isAllowed=y" TargetMode="External"/><Relationship Id="rId138" Type="http://schemas.openxmlformats.org/officeDocument/2006/relationships/hyperlink" Target="https://www.legislation.gov.au/Details/C2011B00060/Explanatory%20Memorandum/Text" TargetMode="External"/><Relationship Id="rId16" Type="http://schemas.openxmlformats.org/officeDocument/2006/relationships/image" Target="media/image4.gif"/><Relationship Id="rId107" Type="http://schemas.openxmlformats.org/officeDocument/2006/relationships/hyperlink" Target="https://www.industry.gov.au/data-and-publications/full-carbon-accounting-model-fullcam" TargetMode="External"/><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hyperlink" Target="https://www.industry.gov.au/sites/default/files/2020-05/expert-panel-report-examining-additional-sources-of-low-cost-abatement.pdf" TargetMode="External"/><Relationship Id="rId58" Type="http://schemas.openxmlformats.org/officeDocument/2006/relationships/hyperlink" Target="https://ww2.arb.ca.gov/our-work/programs/compliance-offset-program/arb-offset-credit-issuance" TargetMode="External"/><Relationship Id="rId74" Type="http://schemas.openxmlformats.org/officeDocument/2006/relationships/hyperlink" Target="http://www.cleanenergyregulator.gov.au/ERF/Want-to-participate-in-the-Emissions-Reduction-Fund/Step-2-Contracts-and-auctions/auction-qualification/conditions-precedent" TargetMode="External"/><Relationship Id="rId79" Type="http://schemas.openxmlformats.org/officeDocument/2006/relationships/hyperlink" Target="http://www.cleanenergyregulator.gov.au/DocumentAssets/Pages/Reducing-the-risk-of-fire-and-preserving-sequestered-carbon-in-ERF-vegetation-projects.aspx" TargetMode="External"/><Relationship Id="rId102" Type="http://schemas.openxmlformats.org/officeDocument/2006/relationships/hyperlink" Target="https://www.environment.gov.au/node/48625?utm_source=Climate%20change&amp;utm_campaign=feed&amp;utm_medium=rss" TargetMode="External"/><Relationship Id="rId123" Type="http://schemas.openxmlformats.org/officeDocument/2006/relationships/hyperlink" Target="https://www.pm.gov.au/media/investment-new-energy-technologies" TargetMode="External"/><Relationship Id="rId128" Type="http://schemas.openxmlformats.org/officeDocument/2006/relationships/hyperlink" Target="https://www.minister.industry.gov.au/ministers/taylor/media-releases/investment-new-energy-technologies" TargetMode="External"/><Relationship Id="rId5" Type="http://schemas.openxmlformats.org/officeDocument/2006/relationships/customXml" Target="../customXml/item5.xml"/><Relationship Id="rId90" Type="http://schemas.openxmlformats.org/officeDocument/2006/relationships/hyperlink" Target="http://www.cleanenergyregulator.gov.au/NGER/The-safeguard-mechanism" TargetMode="External"/><Relationship Id="rId95" Type="http://schemas.openxmlformats.org/officeDocument/2006/relationships/hyperlink" Target="https://www.climatechangeauthority.gov.au/publications/reaping-rewards-research-report" TargetMode="External"/><Relationship Id="rId22" Type="http://schemas.openxmlformats.org/officeDocument/2006/relationships/image" Target="media/image6.png"/><Relationship Id="rId27" Type="http://schemas.openxmlformats.org/officeDocument/2006/relationships/hyperlink" Target="file:///C:/Users/BS4653/AppData/Local/Microsoft/Windows/INetCache/Content.Outlook/WZTRF2RE/MEDIA%20RELEASE%20Australias%20carbon%20industry%20reaches%20critical%20maturity%20milestone.pdf" TargetMode="External"/><Relationship Id="rId43" Type="http://schemas.openxmlformats.org/officeDocument/2006/relationships/header" Target="header2.xml"/><Relationship Id="rId48" Type="http://schemas.openxmlformats.org/officeDocument/2006/relationships/hyperlink" Target="https://www.abcb.gov.au/ABCB/The-Board" TargetMode="External"/><Relationship Id="rId64" Type="http://schemas.openxmlformats.org/officeDocument/2006/relationships/hyperlink" Target="http://www.offsetguide.org/high-quality-offsets/additionality/high-quality-offsets-additionality-how-carbon-offset-programs-address-additionality/" TargetMode="External"/><Relationship Id="rId69" Type="http://schemas.openxmlformats.org/officeDocument/2006/relationships/hyperlink" Target="http://www.cleanenergyregulator.gov.au/DocumentAssets/Pages/Quarterly-Carbon-Market-Report---June-Quarter-2020.aspx" TargetMode="External"/><Relationship Id="rId113" Type="http://schemas.openxmlformats.org/officeDocument/2006/relationships/hyperlink" Target="http://www.environment.gov.au/system/files/consultations/78b935ed-7dae-4333-87b9-bcf8ffd7724a/files/erac-hir-nfmr-final-report.pdf" TargetMode="External"/><Relationship Id="rId118" Type="http://schemas.openxmlformats.org/officeDocument/2006/relationships/hyperlink" Target="https://www.icroa.org/resources/Documents/ICROA%20Offset%20Standard%20Review%20Criteria%202020.pdf" TargetMode="External"/><Relationship Id="rId134" Type="http://schemas.openxmlformats.org/officeDocument/2006/relationships/hyperlink" Target="https://www.legislation.gov.au/Details/F2020L00663" TargetMode="External"/><Relationship Id="rId13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takeovers.gov.au/content/DisplayDoc.aspx?doc=about/about_the_panel.htm" TargetMode="External"/><Relationship Id="rId72" Type="http://schemas.openxmlformats.org/officeDocument/2006/relationships/hyperlink" Target="http://cleanenergyregulator.gov.au/ERF/Pages/Choosing%20a%20project%20type/Opportunities%20for%20the%20land%20sector/Vegetation%20and%20sequestration%20methods/A-guide-to-the-2020-FullCAM-transition-arrangements.aspx" TargetMode="External"/><Relationship Id="rId80" Type="http://schemas.openxmlformats.org/officeDocument/2006/relationships/hyperlink" Target="http://www.cleanenergyregulator.gov.au/DocumentAssets/Documents/Guidelines%20on%20stratification%20evidence%20and%20records%20for%20HIR%20and%20NFMR.pdf" TargetMode="External"/><Relationship Id="rId85" Type="http://schemas.openxmlformats.org/officeDocument/2006/relationships/hyperlink" Target="http://www.cleanenergyregulator.gov.au/ERF/Want-to-participate-in-the-Emissions-Reduction-Fund/Step-4-Delivery-and-payment/managing-a-contract/delivery-failure" TargetMode="External"/><Relationship Id="rId93" Type="http://schemas.openxmlformats.org/officeDocument/2006/relationships/hyperlink" Target="http://climatechangeauthority.gov.au/prospering-low-emissions-world-updated-climate-policy-toolkit-australia" TargetMode="External"/><Relationship Id="rId98" Type="http://schemas.openxmlformats.org/officeDocument/2006/relationships/hyperlink" Target="https://www.climatechangeauthority.gov.au/sites/default/files/2020-06/Special%20review%20Report%203/Climate%20Change%20Authority%20Special%20Review%20Report%20Three.pdf" TargetMode="External"/><Relationship Id="rId121" Type="http://schemas.openxmlformats.org/officeDocument/2006/relationships/hyperlink" Target="https://www.aph.gov.au/Parliamentary_Business/Bills_Legislation/bd/bd1112a/12bd068"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cid:image005.png@01D2D93E.00EE1B50" TargetMode="External"/><Relationship Id="rId25" Type="http://schemas.openxmlformats.org/officeDocument/2006/relationships/image" Target="media/image9.png"/><Relationship Id="rId33" Type="http://schemas.openxmlformats.org/officeDocument/2006/relationships/image" Target="media/image15.jpg"/><Relationship Id="rId38" Type="http://schemas.openxmlformats.org/officeDocument/2006/relationships/image" Target="media/image19.png"/><Relationship Id="rId46" Type="http://schemas.openxmlformats.org/officeDocument/2006/relationships/hyperlink" Target="https://www.climatechangeauthority.gov.au/submissions-received" TargetMode="External"/><Relationship Id="rId59" Type="http://schemas.openxmlformats.org/officeDocument/2006/relationships/hyperlink" Target="http://marketplace.carbonmarketinstitute.org/wp-content/uploads/2020/04/Australian-Carbon-Industry-Code-of-Conduct-Independent-Review.pdf" TargetMode="External"/><Relationship Id="rId67" Type="http://schemas.openxmlformats.org/officeDocument/2006/relationships/hyperlink" Target="http://www.cleanenergyregulator.gov.au/ERF/Auctions-results" TargetMode="External"/><Relationship Id="rId103" Type="http://schemas.openxmlformats.org/officeDocument/2006/relationships/hyperlink" Target="https://www.agriculture.gov.au/water/policy/carbon-farming-initiative" TargetMode="External"/><Relationship Id="rId108" Type="http://schemas.openxmlformats.org/officeDocument/2006/relationships/hyperlink" Target="https://www.pmc.gov.au/domestic-policy/national-soils-advocate" TargetMode="External"/><Relationship Id="rId116" Type="http://schemas.openxmlformats.org/officeDocument/2006/relationships/hyperlink" Target="https://www.barrierreef.org/what-we-do/reef-trust-partnership/water-quality-improvement" TargetMode="External"/><Relationship Id="rId124" Type="http://schemas.openxmlformats.org/officeDocument/2006/relationships/hyperlink" Target="https://statements.qld.gov.au/statements/90611" TargetMode="External"/><Relationship Id="rId129" Type="http://schemas.openxmlformats.org/officeDocument/2006/relationships/hyperlink" Target="https://www.minister.industry.gov.au/ministers/taylor/media-releases/cutting-red-tape-support-emissions-reduction" TargetMode="External"/><Relationship Id="rId137" Type="http://schemas.openxmlformats.org/officeDocument/2006/relationships/hyperlink" Target="https://www.legislation.gov.au/Details/C2014B00129/Explanatory%20Memorandum/Text" TargetMode="External"/><Relationship Id="rId20" Type="http://schemas.openxmlformats.org/officeDocument/2006/relationships/hyperlink" Target="https://www.climatechangeauthority.gov.au/public-consultation" TargetMode="External"/><Relationship Id="rId41" Type="http://schemas.openxmlformats.org/officeDocument/2006/relationships/header" Target="header1.xml"/><Relationship Id="rId54" Type="http://schemas.openxmlformats.org/officeDocument/2006/relationships/hyperlink" Target="https://www.environment.gov.au/system/files/resources/73b550d8-f879-45e7-bb11-3ced98078319/files/government-response-cca-review-erf.pdf" TargetMode="External"/><Relationship Id="rId62" Type="http://schemas.openxmlformats.org/officeDocument/2006/relationships/hyperlink" Target="http://marketplace.carbonmarketinstitute.org/code/" TargetMode="External"/><Relationship Id="rId70" Type="http://schemas.openxmlformats.org/officeDocument/2006/relationships/hyperlink" Target="http://www.cleanenergyregulator.gov.au/ERF/Want-to-participate-in-the-Emissions-Reduction-Fund/Step-2-Contracts-and-auctions/contract-duration" TargetMode="External"/><Relationship Id="rId75" Type="http://schemas.openxmlformats.org/officeDocument/2006/relationships/hyperlink" Target="http://www.cleanenergyregulator.gov.au/ERF/Want-to-participate-in-the-Emissions-Reduction-Fund/Step-2-Contracts-and-auctions/understanding-contract-delivery-schedules" TargetMode="External"/><Relationship Id="rId83" Type="http://schemas.openxmlformats.org/officeDocument/2006/relationships/hyperlink" Target="http://www.cleanenergyregulator.gov.au/About/Policies-and-publications/fit-and-proper-person-posture" TargetMode="External"/><Relationship Id="rId88" Type="http://schemas.openxmlformats.org/officeDocument/2006/relationships/hyperlink" Target="http://www.cleanenergyregulator.gov.au/DocumentAssets/Documents/Carbon%20Abatement%20Contract%20Code%20of%20Common%20Terms%20v2.0.pdf" TargetMode="External"/><Relationship Id="rId91" Type="http://schemas.openxmlformats.org/officeDocument/2006/relationships/hyperlink" Target="http://www.cleanenergyregulator.gov.au/csf/Pages/at-a-glance.aspx" TargetMode="External"/><Relationship Id="rId96" Type="http://schemas.openxmlformats.org/officeDocument/2006/relationships/hyperlink" Target="https://www.climatechangeauthority.gov.au/sites/default/files/2020-06/CFI%202017%20December/ERF%20Review%20Report.pdf" TargetMode="External"/><Relationship Id="rId111" Type="http://schemas.openxmlformats.org/officeDocument/2006/relationships/hyperlink" Target="https://www.environment.gov.au/system/files/pages/772ff212-8532-4f08-8f60-89e24d8c6a61/files/facilities-method-review-report.pdf" TargetMode="External"/><Relationship Id="rId132" Type="http://schemas.openxmlformats.org/officeDocument/2006/relationships/hyperlink" Target="http://www.epa.wa.gov.au/policies-guidance/environmental-factor-guideline-%E2%80%93-greenhouse-gas-emissions-0"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ochub/div/climateauthority/businessfunctions/reviews/docs/ERF%20Review%20Final%20Report%2020201009.docx" TargetMode="External"/><Relationship Id="rId23" Type="http://schemas.openxmlformats.org/officeDocument/2006/relationships/image" Target="media/image7.png"/><Relationship Id="rId28" Type="http://schemas.openxmlformats.org/officeDocument/2006/relationships/image" Target="media/image10.jpg"/><Relationship Id="rId36" Type="http://schemas.openxmlformats.org/officeDocument/2006/relationships/package" Target="embeddings/Microsoft_Word_Document2.docx"/><Relationship Id="rId49" Type="http://schemas.openxmlformats.org/officeDocument/2006/relationships/hyperlink" Target="http://marketplace.carbonmarketinstitute.org/wp-content/uploads/2020/08/Administrator-Response-Transition-Plan-Code-Independent-Review.pdf" TargetMode="External"/><Relationship Id="rId57" Type="http://schemas.openxmlformats.org/officeDocument/2006/relationships/hyperlink" Target="https://www.offsetguide.org/wp-content/uploads/2020/03/Carbon-Offset-Guide_3122020.pdf" TargetMode="External"/><Relationship Id="rId106" Type="http://schemas.openxmlformats.org/officeDocument/2006/relationships/hyperlink" Target="https://www.industry.gov.au/regulations-and-standards/methods-for-the-emissions-reduction-fund" TargetMode="External"/><Relationship Id="rId114" Type="http://schemas.openxmlformats.org/officeDocument/2006/relationships/hyperlink" Target="https://consult.industry.gov.au/climate-change/proposed-2019-amendments-to-the-carbon-credits-car/" TargetMode="External"/><Relationship Id="rId119" Type="http://schemas.openxmlformats.org/officeDocument/2006/relationships/hyperlink" Target="https://www.icroa.org/The-ICROA-Code-of-Best-Practice" TargetMode="External"/><Relationship Id="rId127" Type="http://schemas.openxmlformats.org/officeDocument/2006/relationships/hyperlink" Target="https://www.fsb-tcfd.org/" TargetMode="Externa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1.emf"/><Relationship Id="rId52" Type="http://schemas.openxmlformats.org/officeDocument/2006/relationships/hyperlink" Target="https://www.industry.gov.au/sites/default/files/2020-05/government-response-to-the-expert-panel-report-examining-additional-sources-of-low-cost-abatement.pdf" TargetMode="External"/><Relationship Id="rId60" Type="http://schemas.openxmlformats.org/officeDocument/2006/relationships/hyperlink" Target="http://marketplace.carbonmarketinstitute.org/wp-content/uploads/2020/08/Administrator-Response-Transition-Plan-Code-Independent-Review.pdf" TargetMode="External"/><Relationship Id="rId65" Type="http://schemas.openxmlformats.org/officeDocument/2006/relationships/hyperlink" Target="http://www.cleanenergyregulator.gov.au/ERF/project-and-contracts-registers/carbon-abatement-contract-register" TargetMode="External"/><Relationship Id="rId73" Type="http://schemas.openxmlformats.org/officeDocument/2006/relationships/hyperlink" Target="http://www.cleanenergyregulator.gov.au/DocumentAssets/Pages/Quarterly-Carbon-Market-Report-workbook---December-Quarter-2019.aspx" TargetMode="External"/><Relationship Id="rId78" Type="http://schemas.openxmlformats.org/officeDocument/2006/relationships/hyperlink" Target="http://www.cleanenergyregulator.gov.au/DocumentAssets/Pages/Quarterly-Carbon-Market-Report-workbook---March-Quarter-2020.aspx" TargetMode="External"/><Relationship Id="rId81" Type="http://schemas.openxmlformats.org/officeDocument/2006/relationships/hyperlink" Target="http://www.cleanenergyregulator.gov.au/DocumentAssets/Documents/Code%20of%20Common%20Terms%20%E2%80%93%20version%203.pdf" TargetMode="External"/><Relationship Id="rId86" Type="http://schemas.openxmlformats.org/officeDocument/2006/relationships/hyperlink" Target="http://www.cleanenergyregulator.gov.au/ERF/Want-to-participate-in-the-Emissions-Reduction-Fund/Planning-a-project/method-variations" TargetMode="External"/><Relationship Id="rId94" Type="http://schemas.openxmlformats.org/officeDocument/2006/relationships/hyperlink" Target="https://www.climatechangeauthority.gov.au/publications/economic-recovery-resilience-and-prosperity-after-coronavirus" TargetMode="External"/><Relationship Id="rId99" Type="http://schemas.openxmlformats.org/officeDocument/2006/relationships/hyperlink" Target="https://www.climatechangeauthority.gov.au/" TargetMode="External"/><Relationship Id="rId101" Type="http://schemas.openxmlformats.org/officeDocument/2006/relationships/hyperlink" Target="https://publications.csiro.au/rpr/pub?pid=changeme:822" TargetMode="External"/><Relationship Id="rId122" Type="http://schemas.openxmlformats.org/officeDocument/2006/relationships/hyperlink" Target="https://www.pm.gov.au/media/speech-climate-solutions" TargetMode="External"/><Relationship Id="rId130" Type="http://schemas.openxmlformats.org/officeDocument/2006/relationships/hyperlink" Target="https://cdm.unfccc.int/methodologies/index.html" TargetMode="External"/><Relationship Id="rId135" Type="http://schemas.openxmlformats.org/officeDocument/2006/relationships/hyperlink" Target="https://www.legislation.gov.au/Details/F2019L00504"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climatechangeauthority.gov.au/publications/economic-recovery-resilience-and-prosperity-after-coronavirus" TargetMode="External"/><Relationship Id="rId39" Type="http://schemas.openxmlformats.org/officeDocument/2006/relationships/image" Target="media/image20.png"/><Relationship Id="rId109" Type="http://schemas.openxmlformats.org/officeDocument/2006/relationships/hyperlink" Target="https://energy.nsw.gov.au/government-and-regulation/electricity-strategy/memorandum-understanding" TargetMode="External"/><Relationship Id="rId34" Type="http://schemas.openxmlformats.org/officeDocument/2006/relationships/image" Target="media/image16.png"/><Relationship Id="rId50" Type="http://schemas.openxmlformats.org/officeDocument/2006/relationships/hyperlink" Target="https://www.afma.gov.au/sites/default/files/revised_fmp1_to_reflect_legislative_changes_-_october_2018.pdf?acsf_files_redirect" TargetMode="External"/><Relationship Id="rId55" Type="http://schemas.openxmlformats.org/officeDocument/2006/relationships/hyperlink" Target="https://www.environment.gov.au/system/files/resources/1f98a924-5946-404c-9510-d440304280f1/files/erf-white-paper.pdf" TargetMode="External"/><Relationship Id="rId76" Type="http://schemas.openxmlformats.org/officeDocument/2006/relationships/hyperlink" Target="http://www.cleanenergyregulator.gov.au/DocumentAssets/Pages/Quarterly-Carbon-Market-Report-%E2%80%93-September-Quarter-2019-workbook.aspx" TargetMode="External"/><Relationship Id="rId97" Type="http://schemas.openxmlformats.org/officeDocument/2006/relationships/hyperlink" Target="https://www.climatechangeauthority.gov.au/sites/default/files/2020-06/CFI%202017%20August/CFI%202017%20Consultation%20Paper.pdf" TargetMode="External"/><Relationship Id="rId104" Type="http://schemas.openxmlformats.org/officeDocument/2006/relationships/hyperlink" Target="https://webarchive.nla.gov.au/awa/20200413144214/http:/environment.gov.au/" TargetMode="External"/><Relationship Id="rId120" Type="http://schemas.openxmlformats.org/officeDocument/2006/relationships/hyperlink" Target="https://www.agrifutures.com.au/wp-content/uploads/2019/07/19-026-Digital-1.pdf" TargetMode="External"/><Relationship Id="rId125" Type="http://schemas.openxmlformats.org/officeDocument/2006/relationships/hyperlink" Target="https://www.qld.gov.au/__data/assets/pdf_file/0022/116545/lrf-investment-application-guidelines.pdf" TargetMode="External"/><Relationship Id="rId7" Type="http://schemas.openxmlformats.org/officeDocument/2006/relationships/styles" Target="styles.xml"/><Relationship Id="rId71" Type="http://schemas.openxmlformats.org/officeDocument/2006/relationships/hyperlink" Target="http://www.cleanenergyregulator.gov.au/NGER/The-safeguard-mechanism/Baselines/Calculated-baseline" TargetMode="External"/><Relationship Id="rId92" Type="http://schemas.openxmlformats.org/officeDocument/2006/relationships/hyperlink" Target="http://www.cleanenergyregulator.gov.au/DocumentAssets/Documents/Guidance%20for%20meeting%20the%20requirements%20of%20soil%20carbon%20land%20management%20strategies.pdf"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footer" Target="footer1.xml"/><Relationship Id="rId45" Type="http://schemas.openxmlformats.org/officeDocument/2006/relationships/image" Target="media/image22.emf"/><Relationship Id="rId66" Type="http://schemas.openxmlformats.org/officeDocument/2006/relationships/hyperlink" Target="http://www.cleanenergyregulator.gov.au/NGER/National%20greenhouse%20and%20energy%20reporting%20data/safeguard-facility-reported-emissions/safeguard-facility-emissions-2018-19" TargetMode="External"/><Relationship Id="rId87" Type="http://schemas.openxmlformats.org/officeDocument/2006/relationships/hyperlink" Target="http://www.cleanenergyregulator.gov.au/Infohub/CPM/About-the-mechanism" TargetMode="External"/><Relationship Id="rId110" Type="http://schemas.openxmlformats.org/officeDocument/2006/relationships/hyperlink" Target="https://www.industry.gov.au/sites/default/files/2020-07/erac-offset-integrity-standards-paper.pdf" TargetMode="External"/><Relationship Id="rId115" Type="http://schemas.openxmlformats.org/officeDocument/2006/relationships/hyperlink" Target="https://www.environment.gov.au/system/files/consultations/53d880e3-2ee1-4853-9a9d-ee48f749fc47/files/erac-landfill-gas-review-report.pdf" TargetMode="External"/><Relationship Id="rId131" Type="http://schemas.openxmlformats.org/officeDocument/2006/relationships/hyperlink" Target="https://verra.org/methodologies/" TargetMode="External"/><Relationship Id="rId136" Type="http://schemas.openxmlformats.org/officeDocument/2006/relationships/hyperlink" Target="https://www.legislation.gov.au/Details/F2018L01642" TargetMode="External"/><Relationship Id="rId61" Type="http://schemas.openxmlformats.org/officeDocument/2006/relationships/hyperlink" Target="https://carbonmarketinstitute.org/australias-carbon-industry-critical-milestone/" TargetMode="External"/><Relationship Id="rId82" Type="http://schemas.openxmlformats.org/officeDocument/2006/relationships/hyperlink" Target="http://www.cleanenergyregulator.gov.au/ERF/Want-to-participate-in-the-Emissions-Reduction-Fund/Planning-a-project/Eligibility-and-newness" TargetMode="External"/><Relationship Id="rId19" Type="http://schemas.openxmlformats.org/officeDocument/2006/relationships/hyperlink" Target="https://www.climatechangeauthority.gov.au/publications/economic-recovery-resilience-and-prosperity-after-coronavirus" TargetMode="External"/><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7.emf"/><Relationship Id="rId56" Type="http://schemas.openxmlformats.org/officeDocument/2006/relationships/hyperlink" Target="https://www.environment.gov.au/system/files/resources/721e8088-a670-4032-b947-1b078ce49624/files/erf-method-development-factsheet.pdf" TargetMode="External"/><Relationship Id="rId77" Type="http://schemas.openxmlformats.org/officeDocument/2006/relationships/hyperlink" Target="http://www.cleanenergyregulator.gov.au/DocumentAssets/Pages/Quarterly-Carbon-Market-Report-workbook---June-Quarter-2020.aspx" TargetMode="External"/><Relationship Id="rId100" Type="http://schemas.openxmlformats.org/officeDocument/2006/relationships/hyperlink" Target="https://www.climatechangeinaustralia.gov.au/en/" TargetMode="External"/><Relationship Id="rId105" Type="http://schemas.openxmlformats.org/officeDocument/2006/relationships/hyperlink" Target="https://www.environment.gov.au/system/files/resources/d4bc7fc6-9e72-45d8-ac4c-07a70fcf647b/files/erf-method-determination-guidelines.pdf" TargetMode="External"/><Relationship Id="rId126" Type="http://schemas.openxmlformats.org/officeDocument/2006/relationships/hyperlink" Target="https://www.qld.gov.au/environment/climate/climate-change/land-restoration-fund/abou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2010%20Templates\Workgroup%20Templates\Departmental\DISER%20Report%20colour.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'Vol surrender'!$B$3</c:f>
              <c:strCache>
                <c:ptCount val="1"/>
                <c:pt idx="0">
                  <c:v>Climate Active Carbon Neutral Standard</c:v>
                </c:pt>
              </c:strCache>
            </c:strRef>
          </c:tx>
          <c:spPr>
            <a:solidFill>
              <a:schemeClr val="accent2">
                <a:lumMod val="25000"/>
                <a:lumOff val="75000"/>
              </a:schemeClr>
            </a:solidFill>
            <a:ln>
              <a:noFill/>
            </a:ln>
            <a:effectLst/>
          </c:spPr>
          <c:invertIfNegative val="0"/>
          <c:cat>
            <c:strRef>
              <c:f>'Vol surrender'!$A$4:$A$12</c:f>
              <c:strCache>
                <c:ptCount val="9"/>
                <c:pt idx="0">
                  <c:v>Q1 2018</c:v>
                </c:pt>
                <c:pt idx="1">
                  <c:v>Q2 2018</c:v>
                </c:pt>
                <c:pt idx="2">
                  <c:v>Q3 2018</c:v>
                </c:pt>
                <c:pt idx="3">
                  <c:v>Q4 2018</c:v>
                </c:pt>
                <c:pt idx="4">
                  <c:v>Q1 2019</c:v>
                </c:pt>
                <c:pt idx="5">
                  <c:v>Q2 2019</c:v>
                </c:pt>
                <c:pt idx="6">
                  <c:v>Q3 2019</c:v>
                </c:pt>
                <c:pt idx="7">
                  <c:v>Q4 2019</c:v>
                </c:pt>
                <c:pt idx="8">
                  <c:v>Q1 2020</c:v>
                </c:pt>
              </c:strCache>
            </c:strRef>
          </c:cat>
          <c:val>
            <c:numRef>
              <c:f>'Vol surrender'!$B$4:$B$12</c:f>
              <c:numCache>
                <c:formatCode>_-* #,##0_-;\-* #,##0_-;_-* "-"??_-;_-@_-</c:formatCode>
                <c:ptCount val="9"/>
                <c:pt idx="0">
                  <c:v>1356</c:v>
                </c:pt>
                <c:pt idx="1">
                  <c:v>75412</c:v>
                </c:pt>
                <c:pt idx="2">
                  <c:v>11331</c:v>
                </c:pt>
                <c:pt idx="3">
                  <c:v>115117</c:v>
                </c:pt>
                <c:pt idx="4">
                  <c:v>7349</c:v>
                </c:pt>
                <c:pt idx="5">
                  <c:v>43118</c:v>
                </c:pt>
                <c:pt idx="6">
                  <c:v>34944</c:v>
                </c:pt>
                <c:pt idx="7">
                  <c:v>130064</c:v>
                </c:pt>
                <c:pt idx="8">
                  <c:v>70020</c:v>
                </c:pt>
              </c:numCache>
            </c:numRef>
          </c:val>
        </c:ser>
        <c:ser>
          <c:idx val="1"/>
          <c:order val="1"/>
          <c:tx>
            <c:strRef>
              <c:f>'Vol surrender'!$C$3</c:f>
              <c:strCache>
                <c:ptCount val="1"/>
                <c:pt idx="0">
                  <c:v>State and Territory</c:v>
                </c:pt>
              </c:strCache>
            </c:strRef>
          </c:tx>
          <c:spPr>
            <a:solidFill>
              <a:schemeClr val="accent3"/>
            </a:solidFill>
            <a:ln>
              <a:noFill/>
            </a:ln>
            <a:effectLst/>
          </c:spPr>
          <c:invertIfNegative val="0"/>
          <c:cat>
            <c:strRef>
              <c:f>'Vol surrender'!$A$4:$A$12</c:f>
              <c:strCache>
                <c:ptCount val="9"/>
                <c:pt idx="0">
                  <c:v>Q1 2018</c:v>
                </c:pt>
                <c:pt idx="1">
                  <c:v>Q2 2018</c:v>
                </c:pt>
                <c:pt idx="2">
                  <c:v>Q3 2018</c:v>
                </c:pt>
                <c:pt idx="3">
                  <c:v>Q4 2018</c:v>
                </c:pt>
                <c:pt idx="4">
                  <c:v>Q1 2019</c:v>
                </c:pt>
                <c:pt idx="5">
                  <c:v>Q2 2019</c:v>
                </c:pt>
                <c:pt idx="6">
                  <c:v>Q3 2019</c:v>
                </c:pt>
                <c:pt idx="7">
                  <c:v>Q4 2019</c:v>
                </c:pt>
                <c:pt idx="8">
                  <c:v>Q1 2020</c:v>
                </c:pt>
              </c:strCache>
            </c:strRef>
          </c:cat>
          <c:val>
            <c:numRef>
              <c:f>'Vol surrender'!$C$4:$C$12</c:f>
              <c:numCache>
                <c:formatCode>General</c:formatCode>
                <c:ptCount val="9"/>
                <c:pt idx="2" formatCode="_-* #,##0_-;\-* #,##0_-;_-* &quot;-&quot;??_-;_-@_-">
                  <c:v>43800</c:v>
                </c:pt>
                <c:pt idx="4" formatCode="_-* #,##0_-;\-* #,##0_-;_-* &quot;-&quot;??_-;_-@_-">
                  <c:v>17458</c:v>
                </c:pt>
                <c:pt idx="5" formatCode="_-* #,##0_-;\-* #,##0_-;_-* &quot;-&quot;??_-;_-@_-">
                  <c:v>66985</c:v>
                </c:pt>
                <c:pt idx="6" formatCode="_-* #,##0_-;\-* #,##0_-;_-* &quot;-&quot;??_-;_-@_-">
                  <c:v>25039</c:v>
                </c:pt>
                <c:pt idx="7" formatCode="_-* #,##0_-;\-* #,##0_-;_-* &quot;-&quot;??_-;_-@_-">
                  <c:v>1190</c:v>
                </c:pt>
                <c:pt idx="8" formatCode="_-* #,##0_-;\-* #,##0_-;_-* &quot;-&quot;??_-;_-@_-">
                  <c:v>18250</c:v>
                </c:pt>
              </c:numCache>
            </c:numRef>
          </c:val>
        </c:ser>
        <c:ser>
          <c:idx val="2"/>
          <c:order val="2"/>
          <c:tx>
            <c:strRef>
              <c:f>'Vol surrender'!$D$3</c:f>
              <c:strCache>
                <c:ptCount val="1"/>
                <c:pt idx="0">
                  <c:v>Desalination </c:v>
                </c:pt>
              </c:strCache>
            </c:strRef>
          </c:tx>
          <c:spPr>
            <a:solidFill>
              <a:schemeClr val="tx2">
                <a:lumMod val="60000"/>
                <a:lumOff val="40000"/>
              </a:schemeClr>
            </a:solidFill>
            <a:ln>
              <a:noFill/>
            </a:ln>
            <a:effectLst/>
          </c:spPr>
          <c:invertIfNegative val="0"/>
          <c:cat>
            <c:strRef>
              <c:f>'Vol surrender'!$A$4:$A$12</c:f>
              <c:strCache>
                <c:ptCount val="9"/>
                <c:pt idx="0">
                  <c:v>Q1 2018</c:v>
                </c:pt>
                <c:pt idx="1">
                  <c:v>Q2 2018</c:v>
                </c:pt>
                <c:pt idx="2">
                  <c:v>Q3 2018</c:v>
                </c:pt>
                <c:pt idx="3">
                  <c:v>Q4 2018</c:v>
                </c:pt>
                <c:pt idx="4">
                  <c:v>Q1 2019</c:v>
                </c:pt>
                <c:pt idx="5">
                  <c:v>Q2 2019</c:v>
                </c:pt>
                <c:pt idx="6">
                  <c:v>Q3 2019</c:v>
                </c:pt>
                <c:pt idx="7">
                  <c:v>Q4 2019</c:v>
                </c:pt>
                <c:pt idx="8">
                  <c:v>Q1 2020</c:v>
                </c:pt>
              </c:strCache>
            </c:strRef>
          </c:cat>
          <c:val>
            <c:numRef>
              <c:f>'Vol surrender'!$D$4:$D$12</c:f>
              <c:numCache>
                <c:formatCode>_-* #,##0_-;\-* #,##0_-;_-* "-"??_-;_-@_-</c:formatCode>
                <c:ptCount val="9"/>
                <c:pt idx="1">
                  <c:v>211159</c:v>
                </c:pt>
                <c:pt idx="4">
                  <c:v>9781</c:v>
                </c:pt>
                <c:pt idx="6">
                  <c:v>18174</c:v>
                </c:pt>
              </c:numCache>
            </c:numRef>
          </c:val>
        </c:ser>
        <c:ser>
          <c:idx val="3"/>
          <c:order val="3"/>
          <c:tx>
            <c:strRef>
              <c:f>'Vol surrender'!$E$3</c:f>
              <c:strCache>
                <c:ptCount val="1"/>
                <c:pt idx="0">
                  <c:v>Other </c:v>
                </c:pt>
              </c:strCache>
            </c:strRef>
          </c:tx>
          <c:spPr>
            <a:solidFill>
              <a:schemeClr val="accent4"/>
            </a:solidFill>
            <a:ln>
              <a:noFill/>
            </a:ln>
            <a:effectLst/>
          </c:spPr>
          <c:invertIfNegative val="0"/>
          <c:cat>
            <c:strRef>
              <c:f>'Vol surrender'!$A$4:$A$12</c:f>
              <c:strCache>
                <c:ptCount val="9"/>
                <c:pt idx="0">
                  <c:v>Q1 2018</c:v>
                </c:pt>
                <c:pt idx="1">
                  <c:v>Q2 2018</c:v>
                </c:pt>
                <c:pt idx="2">
                  <c:v>Q3 2018</c:v>
                </c:pt>
                <c:pt idx="3">
                  <c:v>Q4 2018</c:v>
                </c:pt>
                <c:pt idx="4">
                  <c:v>Q1 2019</c:v>
                </c:pt>
                <c:pt idx="5">
                  <c:v>Q2 2019</c:v>
                </c:pt>
                <c:pt idx="6">
                  <c:v>Q3 2019</c:v>
                </c:pt>
                <c:pt idx="7">
                  <c:v>Q4 2019</c:v>
                </c:pt>
                <c:pt idx="8">
                  <c:v>Q1 2020</c:v>
                </c:pt>
              </c:strCache>
            </c:strRef>
          </c:cat>
          <c:val>
            <c:numRef>
              <c:f>'Vol surrender'!$E$4:$E$12</c:f>
              <c:numCache>
                <c:formatCode>_-* #,##0_-;\-* #,##0_-;_-* "-"??_-;_-@_-</c:formatCode>
                <c:ptCount val="9"/>
                <c:pt idx="0">
                  <c:v>925</c:v>
                </c:pt>
                <c:pt idx="1">
                  <c:v>6195</c:v>
                </c:pt>
                <c:pt idx="2">
                  <c:v>12974</c:v>
                </c:pt>
                <c:pt idx="3">
                  <c:v>49451</c:v>
                </c:pt>
                <c:pt idx="4">
                  <c:v>4199</c:v>
                </c:pt>
                <c:pt idx="5">
                  <c:v>1175</c:v>
                </c:pt>
                <c:pt idx="6">
                  <c:v>54512</c:v>
                </c:pt>
                <c:pt idx="7">
                  <c:v>62890</c:v>
                </c:pt>
                <c:pt idx="8">
                  <c:v>26573</c:v>
                </c:pt>
              </c:numCache>
            </c:numRef>
          </c:val>
        </c:ser>
        <c:dLbls>
          <c:showLegendKey val="0"/>
          <c:showVal val="0"/>
          <c:showCatName val="0"/>
          <c:showSerName val="0"/>
          <c:showPercent val="0"/>
          <c:showBubbleSize val="0"/>
        </c:dLbls>
        <c:gapWidth val="150"/>
        <c:overlap val="100"/>
        <c:axId val="767361136"/>
        <c:axId val="767361528"/>
      </c:barChart>
      <c:catAx>
        <c:axId val="76736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361528"/>
        <c:crosses val="autoZero"/>
        <c:auto val="1"/>
        <c:lblAlgn val="ctr"/>
        <c:lblOffset val="100"/>
        <c:noMultiLvlLbl val="0"/>
      </c:catAx>
      <c:valAx>
        <c:axId val="76736152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36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6" ma:contentTypeDescription="Create a new document." ma:contentTypeScope="" ma:versionID="b58067ebd15e0bf828dd45865161ae1e">
  <xsd:schema xmlns:xsd="http://www.w3.org/2001/XMLSchema" xmlns:xs="http://www.w3.org/2001/XMLSchema" xmlns:p="http://schemas.microsoft.com/office/2006/metadata/properties" xmlns:ns1="http://schemas.microsoft.com/sharepoint/v3" xmlns:ns2="a36bd50b-1532-4c22-b385-5c082c960938" xmlns:ns3="01bdaa01-5807-4828-8c99-6323bf09314b" xmlns:ns4="255183c1-b2a7-4747-b17d-becd86d393ba" xmlns:ns5="http://schemas.microsoft.com/sharepoint/v4" targetNamespace="http://schemas.microsoft.com/office/2006/metadata/properties" ma:root="true" ma:fieldsID="2e6ca8ae1ffed0163683117e45fc4ffb" ns1:_="" ns2:_="" ns3:_="" ns4:_="" ns5:_="">
    <xsd:import namespace="http://schemas.microsoft.com/sharepoint/v3"/>
    <xsd:import namespace="a36bd50b-1532-4c22-b385-5c082c960938"/>
    <xsd:import namespace="01bdaa01-5807-4828-8c99-6323bf09314b"/>
    <xsd:import namespace="255183c1-b2a7-4747-b17d-becd86d393b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a8c250d72ce948d28301ea6df157b105" minOccurs="0"/>
                <xsd:element ref="ns4:SharedWithUser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96a68bf9-5dab-4c66-910d-a7955f2e3ae5}" ma:internalName="TaxCatchAll" ma:showField="CatchAllData" ma:web="01bdaa01-5807-4828-8c99-6323bf09314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4ac3cb2d-9e18-4152-a41f-9163e72b54cd" ma:anchorId="00000000-0000-0000-0000-000000000000" ma:open="true" ma:isKeyword="false">
      <xsd:complexType>
        <xsd:sequence>
          <xsd:element ref="pc:Terms" minOccurs="0" maxOccurs="1"/>
        </xsd:sequence>
      </xsd:complexType>
    </xsd:element>
    <xsd:element name="n99e4c9942c6404eb103464a00e6097b" ma:index="21" ma:taxonomy="true" ma:internalName="n99e4c9942c6404eb103464a00e6097b" ma:taxonomyFieldName="DocHub_Year" ma:displayName="Year" ma:indexed="true" ma:default=""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bdaa01-5807-4828-8c99-6323bf09314b" elementFormDefault="qualified">
    <xsd:import namespace="http://schemas.microsoft.com/office/2006/documentManagement/types"/>
    <xsd:import namespace="http://schemas.microsoft.com/office/infopath/2007/PartnerControls"/>
    <xsd:element name="a8c250d72ce948d28301ea6df157b105" ma:index="24" ma:taxonomy="true" ma:internalName="a8c250d72ce948d28301ea6df157b105" ma:taxonomyFieldName="DocHub_ClimateChangeReview" ma:displayName="Review" ma:indexed="true" ma:default="" ma:fieldId="{a8c250d7-2ce9-48d2-8301-ea6df157b105}" ma:sspId="fb0313f7-9433-48c0-866e-9e0bbee59a50" ma:termSetId="a5f8bebe-df3a-4e32-a2a1-7f6c914648e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5183c1-b2a7-4747-b17d-becd86d393ba"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6a3660c5-15bd-4052-a0a1-6237663b7600</TermId>
        </TermInfo>
      </Terms>
    </n99e4c9942c6404eb103464a00e6097b>
    <adb9bed2e36e4a93af574aeb444da63e xmlns="a36bd50b-1532-4c22-b385-5c082c960938">
      <Terms xmlns="http://schemas.microsoft.com/office/infopath/2007/PartnerControls"/>
    </adb9bed2e36e4a93af574aeb444da63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5fe11d9d-5f5a-4301-b7b3-0d2ee8e5c31c</TermId>
        </TermInfo>
      </Terms>
    </g7bcb40ba23249a78edca7d43a67c1c9>
    <TaxCatchAll xmlns="a36bd50b-1532-4c22-b385-5c082c960938">
      <Value>90</Value>
      <Value>61</Value>
      <Value>79</Value>
      <Value>1</Value>
      <Value>28</Value>
    </TaxCatchAll>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OFFICIAL:Sensitive</TermName>
          <TermId xmlns="http://schemas.microsoft.com/office/infopath/2007/PartnerControls">11f6fb0b-52ce-4109-8f7f-521b2a62f692</TermId>
        </TermInfo>
      </Terms>
    </aa25a1a23adf4c92a153145de6afe324>
    <_dlc_DocId xmlns="a36bd50b-1532-4c22-b385-5c082c960938">ZMC7FXQ5CY32-162109550-22</_dlc_DocId>
    <_dlc_DocIdUrl xmlns="a36bd50b-1532-4c22-b385-5c082c960938">
      <Url>https://dochub/div/climateauthority/_layouts/15/DocIdRedir.aspx?ID=ZMC7FXQ5CY32-162109550-22</Url>
      <Description>ZMC7FXQ5CY32-162109550-22</Description>
    </_dlc_DocIdUrl>
    <IconOverlay xmlns="http://schemas.microsoft.com/sharepoint/v4" xsi:nil="true"/>
    <a8c250d72ce948d28301ea6df157b105 xmlns="01bdaa01-5807-4828-8c99-6323bf09314b">
      <Terms xmlns="http://schemas.microsoft.com/office/infopath/2007/PartnerControls">
        <TermInfo xmlns="http://schemas.microsoft.com/office/infopath/2007/PartnerControls">
          <TermName xmlns="http://schemas.microsoft.com/office/infopath/2007/PartnerControls">Emissions Reduction Fund</TermName>
          <TermId xmlns="http://schemas.microsoft.com/office/infopath/2007/PartnerControls">7700fdf8-0a4a-479c-92e1-b4b3addd381a</TermId>
        </TermInfo>
      </Terms>
    </a8c250d72ce948d28301ea6df157b10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794D9-EBB4-45B3-BA99-CAFA9502A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01bdaa01-5807-4828-8c99-6323bf09314b"/>
    <ds:schemaRef ds:uri="255183c1-b2a7-4747-b17d-becd86d393b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D55D3E-3E22-4ACE-995D-C936CE8CE6FB}">
  <ds:schemaRefs>
    <ds:schemaRef ds:uri="http://purl.org/dc/elements/1.1/"/>
    <ds:schemaRef ds:uri="http://schemas.microsoft.com/office/2006/metadata/properties"/>
    <ds:schemaRef ds:uri="a36bd50b-1532-4c22-b385-5c082c960938"/>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55183c1-b2a7-4747-b17d-becd86d393ba"/>
    <ds:schemaRef ds:uri="01bdaa01-5807-4828-8c99-6323bf09314b"/>
    <ds:schemaRef ds:uri="http://www.w3.org/XML/1998/namespace"/>
    <ds:schemaRef ds:uri="http://purl.org/dc/dcmitype/"/>
  </ds:schemaRefs>
</ds:datastoreItem>
</file>

<file path=customXml/itemProps3.xml><?xml version="1.0" encoding="utf-8"?>
<ds:datastoreItem xmlns:ds="http://schemas.openxmlformats.org/officeDocument/2006/customXml" ds:itemID="{A5D47087-D482-45CF-A1E9-44CDC8833D12}">
  <ds:schemaRefs>
    <ds:schemaRef ds:uri="http://schemas.microsoft.com/sharepoint/v3/contenttype/forms"/>
  </ds:schemaRefs>
</ds:datastoreItem>
</file>

<file path=customXml/itemProps4.xml><?xml version="1.0" encoding="utf-8"?>
<ds:datastoreItem xmlns:ds="http://schemas.openxmlformats.org/officeDocument/2006/customXml" ds:itemID="{3A5D5252-4FC2-47A1-BD9D-C2B123C6E2C9}">
  <ds:schemaRefs>
    <ds:schemaRef ds:uri="http://schemas.microsoft.com/sharepoint/events"/>
  </ds:schemaRefs>
</ds:datastoreItem>
</file>

<file path=customXml/itemProps5.xml><?xml version="1.0" encoding="utf-8"?>
<ds:datastoreItem xmlns:ds="http://schemas.openxmlformats.org/officeDocument/2006/customXml" ds:itemID="{0ACF4F2E-C2C7-413E-85AB-252967C7E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DISER Report colour</Template>
  <TotalTime>0</TotalTime>
  <Pages>149</Pages>
  <Words>58412</Words>
  <Characters>332952</Characters>
  <Application>Microsoft Office Word</Application>
  <DocSecurity>8</DocSecurity>
  <Lines>2774</Lines>
  <Paragraphs>781</Paragraphs>
  <ScaleCrop>false</ScaleCrop>
  <HeadingPairs>
    <vt:vector size="2" baseType="variant">
      <vt:variant>
        <vt:lpstr>Title</vt:lpstr>
      </vt:variant>
      <vt:variant>
        <vt:i4>1</vt:i4>
      </vt:variant>
    </vt:vector>
  </HeadingPairs>
  <TitlesOfParts>
    <vt:vector size="1" baseType="lpstr">
      <vt:lpstr>Review of the Emissions Reduction Fund</vt:lpstr>
    </vt:vector>
  </TitlesOfParts>
  <Manager/>
  <Company/>
  <LinksUpToDate>false</LinksUpToDate>
  <CharactersWithSpaces>390583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Emissions Reduction Fund</dc:title>
  <dc:subject/>
  <dc:creator/>
  <cp:keywords/>
  <dc:description/>
  <cp:lastModifiedBy/>
  <cp:revision>1</cp:revision>
  <dcterms:created xsi:type="dcterms:W3CDTF">2020-11-04T03:31:00Z</dcterms:created>
  <dcterms:modified xsi:type="dcterms:W3CDTF">2020-11-04T03:31:00Z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_dlc_DocIdItemGuid">
    <vt:lpwstr>d61fd282-f2a2-4d2f-922b-84b4c6427ccb</vt:lpwstr>
  </property>
  <property fmtid="{D5CDD505-2E9C-101B-9397-08002B2CF9AE}" pid="4" name="DocHub_Year">
    <vt:lpwstr>79;#2020|6a3660c5-15bd-4052-a0a1-6237663b7600</vt:lpwstr>
  </property>
  <property fmtid="{D5CDD505-2E9C-101B-9397-08002B2CF9AE}" pid="5" name="DocHub_DocumentType">
    <vt:lpwstr>28;#Report|116a9244-cef6-47ce-a9a5-088c9cf21292</vt:lpwstr>
  </property>
  <property fmtid="{D5CDD505-2E9C-101B-9397-08002B2CF9AE}" pid="6" name="DocHub_SecurityClassification">
    <vt:lpwstr>1;#OFFICIAL:Sensitive|11f6fb0b-52ce-4109-8f7f-521b2a62f692</vt:lpwstr>
  </property>
  <property fmtid="{D5CDD505-2E9C-101B-9397-08002B2CF9AE}" pid="7" name="DocHub_Keywords">
    <vt:lpwstr/>
  </property>
  <property fmtid="{D5CDD505-2E9C-101B-9397-08002B2CF9AE}" pid="8" name="DocHub_WorkActivity">
    <vt:lpwstr>90;#Drafting|5fe11d9d-5f5a-4301-b7b3-0d2ee8e5c31c</vt:lpwstr>
  </property>
  <property fmtid="{D5CDD505-2E9C-101B-9397-08002B2CF9AE}" pid="9" name="DocHub_ClimateChangeReview">
    <vt:lpwstr>61;#Emissions Reduction Fund|7700fdf8-0a4a-479c-92e1-b4b3addd381a</vt:lpwstr>
  </property>
</Properties>
</file>