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4C239D">
      <w:pPr>
        <w:pStyle w:val="Heading1"/>
        <w:divId w:val="528760133"/>
        <w:rPr>
          <w:rFonts w:eastAsia="Times New Roman" w:cs="Helvetica"/>
          <w:color w:val="333333"/>
          <w:lang w:val="en"/>
        </w:rPr>
      </w:pPr>
      <w:r>
        <w:rPr>
          <w:rFonts w:eastAsia="Times New Roman" w:cs="Helvetica"/>
          <w:color w:val="333333"/>
          <w:lang w:val="en"/>
        </w:rPr>
        <w:t>Chapter 7 Form and scope of goals</w:t>
      </w:r>
    </w:p>
    <w:p w:rsidR="00000000" w:rsidRDefault="004C239D">
      <w:pPr>
        <w:pStyle w:val="NormalWeb"/>
        <w:shd w:val="clear" w:color="auto" w:fill="F5F5F5"/>
        <w:spacing w:line="300" w:lineRule="atLeast"/>
        <w:divId w:val="1466660536"/>
        <w:rPr>
          <w:rFonts w:ascii="Georgia" w:hAnsi="Georgia" w:cs="Helvetica"/>
          <w:color w:val="333333"/>
          <w:lang w:val="en"/>
        </w:rPr>
      </w:pPr>
      <w:r>
        <w:rPr>
          <w:rFonts w:ascii="Georgia" w:hAnsi="Georgia" w:cs="Helvetica"/>
          <w:color w:val="333333"/>
          <w:lang w:val="en"/>
        </w:rPr>
        <w:t>The Authority recommends a set of emissions reduction goals to guide Australia’s transition to a low-emissions economy and contribute to global efforts to avoid dangerous climate change. The Authority takes a budget approach, which highlights the trade-off</w:t>
      </w:r>
      <w:r>
        <w:rPr>
          <w:rFonts w:ascii="Georgia" w:hAnsi="Georgia" w:cs="Helvetica"/>
          <w:color w:val="333333"/>
          <w:lang w:val="en"/>
        </w:rPr>
        <w:t>s between actions taken now and those made necessary later. These goals are designed to provide a clear course for action in the short term and guidance for planning in the medium and long term, and include points of review to respond to changing circumsta</w:t>
      </w:r>
      <w:r>
        <w:rPr>
          <w:rFonts w:ascii="Georgia" w:hAnsi="Georgia" w:cs="Helvetica"/>
          <w:color w:val="333333"/>
          <w:lang w:val="en"/>
        </w:rPr>
        <w:t xml:space="preserve">nces. </w:t>
      </w:r>
    </w:p>
    <w:p w:rsidR="00000000" w:rsidRDefault="004C239D">
      <w:pPr>
        <w:pStyle w:val="NormalWeb"/>
        <w:shd w:val="clear" w:color="auto" w:fill="F5F5F5"/>
        <w:spacing w:line="300" w:lineRule="atLeast"/>
        <w:divId w:val="1466660536"/>
        <w:rPr>
          <w:rFonts w:ascii="Georgia" w:hAnsi="Georgia" w:cs="Helvetica"/>
          <w:color w:val="333333"/>
          <w:lang w:val="en"/>
        </w:rPr>
      </w:pPr>
      <w:r>
        <w:rPr>
          <w:rFonts w:ascii="Georgia" w:hAnsi="Georgia" w:cs="Helvetica"/>
          <w:color w:val="333333"/>
          <w:lang w:val="en"/>
        </w:rPr>
        <w:t>The recommended set of goals includes a 2020 emissions reduction target, a trajectory range from 2020 to 2030, and a national emissions budget for the period 2013 to 2050. These goals are coordinated and consistent. The short-term emissions reductio</w:t>
      </w:r>
      <w:r>
        <w:rPr>
          <w:rFonts w:ascii="Georgia" w:hAnsi="Georgia" w:cs="Helvetica"/>
          <w:color w:val="333333"/>
          <w:lang w:val="en"/>
        </w:rPr>
        <w:t>n target represents Australia’s next step in the strong action it needs to take to meet the long-term budget. A trajectory range in the medium term balances Australia’s effort over time and allows effort to be adjusted in light of new information.</w:t>
      </w:r>
    </w:p>
    <w:p w:rsidR="00000000" w:rsidRDefault="004C239D">
      <w:pPr>
        <w:pStyle w:val="NormalWeb"/>
        <w:shd w:val="clear" w:color="auto" w:fill="F5F5F5"/>
        <w:spacing w:line="300" w:lineRule="atLeast"/>
        <w:divId w:val="1466660536"/>
        <w:rPr>
          <w:rFonts w:ascii="Georgia" w:hAnsi="Georgia" w:cs="Helvetica"/>
          <w:color w:val="333333"/>
          <w:lang w:val="en"/>
        </w:rPr>
      </w:pPr>
      <w:r>
        <w:rPr>
          <w:rFonts w:ascii="Georgia" w:hAnsi="Georgia" w:cs="Helvetica"/>
          <w:color w:val="333333"/>
          <w:lang w:val="en"/>
        </w:rPr>
        <w:t>The reco</w:t>
      </w:r>
      <w:r>
        <w:rPr>
          <w:rFonts w:ascii="Georgia" w:hAnsi="Georgia" w:cs="Helvetica"/>
          <w:color w:val="333333"/>
          <w:lang w:val="en"/>
        </w:rPr>
        <w:t>mmended goals are consistent with international emissions accounting rules. Australia’s emissions in the first Kyoto Protocol commitment period were less than its target. This means that Australia has surplus emissions units that can be used towards the 20</w:t>
      </w:r>
      <w:r>
        <w:rPr>
          <w:rFonts w:ascii="Georgia" w:hAnsi="Georgia" w:cs="Helvetica"/>
          <w:color w:val="333333"/>
          <w:lang w:val="en"/>
        </w:rPr>
        <w:t>20 target. The Authority considers that the best use of this carryover is to strengthen the 2020 target by 4 percentage points.</w:t>
      </w:r>
    </w:p>
    <w:p w:rsidR="00000000" w:rsidRDefault="004C239D">
      <w:pPr>
        <w:pStyle w:val="NormalWeb"/>
        <w:shd w:val="clear" w:color="auto" w:fill="F5F5F5"/>
        <w:spacing w:line="300" w:lineRule="atLeast"/>
        <w:divId w:val="1466660536"/>
        <w:rPr>
          <w:rFonts w:ascii="Georgia" w:hAnsi="Georgia" w:cs="Helvetica"/>
          <w:color w:val="333333"/>
          <w:lang w:val="en"/>
        </w:rPr>
      </w:pPr>
      <w:r>
        <w:rPr>
          <w:rFonts w:ascii="Georgia" w:hAnsi="Georgia" w:cs="Helvetica"/>
          <w:color w:val="333333"/>
          <w:lang w:val="en"/>
        </w:rPr>
        <w:t xml:space="preserve">Australia’s emissions reduction targets are net of trade. This means they can be met flexibly through a combination of domestic </w:t>
      </w:r>
      <w:r>
        <w:rPr>
          <w:rFonts w:ascii="Georgia" w:hAnsi="Georgia" w:cs="Helvetica"/>
          <w:color w:val="333333"/>
          <w:lang w:val="en"/>
        </w:rPr>
        <w:t>and international emissions reductions—any international emissions reductions Australia buys will count as reductions towards our target, but any emissions reductions sold overseas cannot be counted. Using international reductions would help Australia meet</w:t>
      </w:r>
      <w:r>
        <w:rPr>
          <w:rFonts w:ascii="Georgia" w:hAnsi="Georgia" w:cs="Helvetica"/>
          <w:color w:val="333333"/>
          <w:lang w:val="en"/>
        </w:rPr>
        <w:t xml:space="preserve"> its goals cost-effectively.</w:t>
      </w:r>
    </w:p>
    <w:p w:rsidR="00000000" w:rsidRDefault="004C239D">
      <w:pPr>
        <w:pStyle w:val="NormalWeb"/>
        <w:shd w:val="clear" w:color="auto" w:fill="F5F5F5"/>
        <w:spacing w:line="300" w:lineRule="atLeast"/>
        <w:divId w:val="1466660536"/>
        <w:rPr>
          <w:rFonts w:ascii="Georgia" w:hAnsi="Georgia" w:cs="Helvetica"/>
          <w:color w:val="333333"/>
          <w:lang w:val="en"/>
        </w:rPr>
      </w:pPr>
      <w:r>
        <w:rPr>
          <w:rFonts w:ascii="Georgia" w:hAnsi="Georgia" w:cs="Helvetica"/>
          <w:color w:val="333333"/>
          <w:lang w:val="en"/>
        </w:rPr>
        <w:t>Voluntary action, such as individuals and companies offsetting their emissions to become ‘carbon-neutral’, can achieve emissions reductions above and beyond national targets. The Authority recommends that the government continu</w:t>
      </w:r>
      <w:r>
        <w:rPr>
          <w:rFonts w:ascii="Georgia" w:hAnsi="Georgia" w:cs="Helvetica"/>
          <w:color w:val="333333"/>
          <w:lang w:val="en"/>
        </w:rPr>
        <w:t xml:space="preserve">e a ‘targets plus’ approach, </w:t>
      </w:r>
      <w:proofErr w:type="spellStart"/>
      <w:r>
        <w:rPr>
          <w:rFonts w:ascii="Georgia" w:hAnsi="Georgia" w:cs="Helvetica"/>
          <w:color w:val="333333"/>
          <w:lang w:val="en"/>
        </w:rPr>
        <w:t>recognising</w:t>
      </w:r>
      <w:proofErr w:type="spellEnd"/>
      <w:r>
        <w:rPr>
          <w:rFonts w:ascii="Georgia" w:hAnsi="Georgia" w:cs="Helvetica"/>
          <w:color w:val="333333"/>
          <w:lang w:val="en"/>
        </w:rPr>
        <w:t xml:space="preserve"> voluntary action by cancelling an equivalent quantity of Kyoto units.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In developing its recommended set of goals, the Authority has considered important preliminary matters, which are outlined in this chapter: </w:t>
      </w:r>
    </w:p>
    <w:p w:rsidR="00000000" w:rsidRDefault="004C239D">
      <w:pPr>
        <w:numPr>
          <w:ilvl w:val="0"/>
          <w:numId w:val="1"/>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 xml:space="preserve">the </w:t>
      </w:r>
      <w:r>
        <w:rPr>
          <w:rFonts w:ascii="Georgia" w:eastAsia="Times New Roman" w:hAnsi="Georgia" w:cs="Helvetica"/>
          <w:color w:val="333333"/>
          <w:lang w:val="en"/>
        </w:rPr>
        <w:t xml:space="preserve">case for the Authority recommending goals to 2020 and beyond </w:t>
      </w:r>
    </w:p>
    <w:p w:rsidR="00000000" w:rsidRDefault="004C239D">
      <w:pPr>
        <w:numPr>
          <w:ilvl w:val="0"/>
          <w:numId w:val="1"/>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how longer term goals should be reviewed and updated over time</w:t>
      </w:r>
    </w:p>
    <w:p w:rsidR="00000000" w:rsidRDefault="004C239D">
      <w:pPr>
        <w:numPr>
          <w:ilvl w:val="0"/>
          <w:numId w:val="1"/>
        </w:numPr>
        <w:spacing w:before="100" w:beforeAutospacing="1" w:after="100" w:afterAutospacing="1" w:line="300" w:lineRule="atLeast"/>
        <w:ind w:left="375"/>
        <w:divId w:val="528760133"/>
        <w:rPr>
          <w:rFonts w:ascii="Georgia" w:eastAsia="Times New Roman" w:hAnsi="Georgia" w:cs="Helvetica"/>
          <w:color w:val="333333"/>
          <w:lang w:val="en"/>
        </w:rPr>
      </w:pPr>
      <w:proofErr w:type="gramStart"/>
      <w:r>
        <w:rPr>
          <w:rFonts w:ascii="Georgia" w:eastAsia="Times New Roman" w:hAnsi="Georgia" w:cs="Helvetica"/>
          <w:color w:val="333333"/>
          <w:lang w:val="en"/>
        </w:rPr>
        <w:t>how</w:t>
      </w:r>
      <w:proofErr w:type="gramEnd"/>
      <w:r>
        <w:rPr>
          <w:rFonts w:ascii="Georgia" w:eastAsia="Times New Roman" w:hAnsi="Georgia" w:cs="Helvetica"/>
          <w:color w:val="333333"/>
          <w:lang w:val="en"/>
        </w:rPr>
        <w:t xml:space="preserve"> to treat and account for different emissions reductions, including voluntary action to reduce emissions and Australia’s surplus</w:t>
      </w:r>
      <w:r>
        <w:rPr>
          <w:rFonts w:ascii="Georgia" w:eastAsia="Times New Roman" w:hAnsi="Georgia" w:cs="Helvetica"/>
          <w:color w:val="333333"/>
          <w:lang w:val="en"/>
        </w:rPr>
        <w:t xml:space="preserve"> emissions rights from the 2008–2012 Kyoto Protocol period.</w:t>
      </w:r>
    </w:p>
    <w:p w:rsidR="00000000" w:rsidRDefault="004C239D">
      <w:pPr>
        <w:pStyle w:val="Heading2"/>
        <w:divId w:val="528760133"/>
        <w:rPr>
          <w:rFonts w:eastAsia="Times New Roman" w:cs="Helvetica"/>
          <w:color w:val="333333"/>
          <w:lang w:val="en"/>
        </w:rPr>
      </w:pPr>
      <w:r>
        <w:rPr>
          <w:rFonts w:eastAsia="Times New Roman" w:cs="Helvetica"/>
          <w:color w:val="333333"/>
          <w:lang w:val="en"/>
        </w:rPr>
        <w:lastRenderedPageBreak/>
        <w:t>7.1 A coordinated set of goals for Australia</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Clean Energy Act requires the Authority to recommend an indicative national emissions trajectory and a national emissions budget. The legislation g</w:t>
      </w:r>
      <w:r>
        <w:rPr>
          <w:rFonts w:ascii="Georgia" w:hAnsi="Georgia" w:cs="Helvetica"/>
          <w:color w:val="333333"/>
          <w:lang w:val="en"/>
        </w:rPr>
        <w:t xml:space="preserve">ives the Authority discretion over the nature of and timeframe for its recommended emissions reduction goals.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Given that climate change is a long-term issue, there is value in a coordinated set of near-term and longer term goals. Near-term goals should re</w:t>
      </w:r>
      <w:r>
        <w:rPr>
          <w:rFonts w:ascii="Georgia" w:hAnsi="Georgia" w:cs="Helvetica"/>
          <w:color w:val="333333"/>
          <w:lang w:val="en"/>
        </w:rPr>
        <w:t xml:space="preserve">present a credible step towards the longer term objectives, and not leave too much of the emissions reduction effort until later; equally, too much effort in the near term could prove costly and disruptive.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The Authority is recommending a coordinated set </w:t>
      </w:r>
      <w:r>
        <w:rPr>
          <w:rFonts w:ascii="Georgia" w:hAnsi="Georgia" w:cs="Helvetica"/>
          <w:color w:val="333333"/>
          <w:lang w:val="en"/>
        </w:rPr>
        <w:t>of emissions reduction goals that give a degree of certainty in the short term to 2020, and predictability and flexibility over the medium term to 2030 and long term to 2050 (Figure 7.1).</w:t>
      </w:r>
    </w:p>
    <w:p w:rsidR="00000000" w:rsidRDefault="004C239D">
      <w:pPr>
        <w:pStyle w:val="Heading2"/>
        <w:divId w:val="528760133"/>
        <w:rPr>
          <w:rFonts w:eastAsia="Times New Roman" w:cs="Helvetica"/>
          <w:color w:val="333333"/>
          <w:lang w:val="en"/>
        </w:rPr>
      </w:pPr>
      <w:r>
        <w:rPr>
          <w:rFonts w:eastAsia="Times New Roman" w:cs="Helvetica"/>
          <w:color w:val="333333"/>
          <w:lang w:val="en"/>
        </w:rPr>
        <w:t>Figure 7.1: The Authority’s recommended set of emissions reduction g</w:t>
      </w:r>
      <w:r>
        <w:rPr>
          <w:rFonts w:eastAsia="Times New Roman" w:cs="Helvetica"/>
          <w:color w:val="333333"/>
          <w:lang w:val="en"/>
        </w:rPr>
        <w:t>oals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noProof/>
          <w:color w:val="333333"/>
        </w:rPr>
        <w:drawing>
          <wp:inline distT="0" distB="0" distL="0" distR="0">
            <wp:extent cx="5907240" cy="3052800"/>
            <wp:effectExtent l="0" t="0" r="0" b="0"/>
            <wp:docPr id="1" name="Picture 1" descr="This is an illustrative line graph showing the Authority’s recommended set of emissions reductions goals. It plots emissions over time. The set of goals comprises a 2020 point-in-time target; a trajectory from 2013 to 2020; a budget for the period 2013 to 2020 budget; a trajectory range from 2020 to 2030; and a long term national emissions budget for the period 2013 to 2050. &#10;The 2013 to 2020 trajectory is a straight line, starting at Australia’s first Kyoto commitment period target and ending at the recommended 2020 target. The 2013 to 2020 budget is the area under this trajectory. &#10;The 2020 to 2030 trajectory range comprises two straight lines. Both begin at the recommended 2020 target, and then diverge, with the upper line descending gradually and the lower line descending more rapidly. Both end in 2030. &#10;The long term budget to 2050 a roughly triangular area, which includes the 2013-2020 budget and tapers to an end point in 205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n illustrative line graph showing the Authority’s recommended set of emissions reductions goals. It plots emissions over time. The set of goals comprises a 2020 point-in-time target; a trajectory from 2013 to 2020; a budget for the period 2013 to 2020 budget; a trajectory range from 2020 to 2030; and a long term national emissions budget for the period 2013 to 2050. &#10;The 2013 to 2020 trajectory is a straight line, starting at Australia’s first Kyoto commitment period target and ending at the recommended 2020 target. The 2013 to 2020 budget is the area under this trajectory. &#10;The 2020 to 2030 trajectory range comprises two straight lines. Both begin at the recommended 2020 target, and then diverge, with the upper line descending gradually and the lower line descending more rapidly. Both end in 2030. &#10;The long term budget to 2050 a roughly triangular area, which includes the 2013-2020 budget and tapers to an end point in 2050.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7240" cy="3052800"/>
                    </a:xfrm>
                    <a:prstGeom prst="rect">
                      <a:avLst/>
                    </a:prstGeom>
                    <a:noFill/>
                    <a:ln>
                      <a:noFill/>
                    </a:ln>
                  </pic:spPr>
                </pic:pic>
              </a:graphicData>
            </a:graphic>
          </wp:inline>
        </w:drawing>
      </w:r>
      <w:r>
        <w:rPr>
          <w:rFonts w:ascii="Georgia" w:hAnsi="Georgia" w:cs="Helvetica"/>
          <w:color w:val="333333"/>
          <w:lang w:val="en"/>
        </w:rPr>
        <w:t> </w:t>
      </w:r>
    </w:p>
    <w:p w:rsidR="00000000" w:rsidRDefault="004C239D">
      <w:pPr>
        <w:pStyle w:val="NormalWeb"/>
        <w:spacing w:line="300" w:lineRule="atLeast"/>
        <w:divId w:val="528760133"/>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Figure is illustrative only.</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Climate Change Authority</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7.1.1 2020 goals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Australi</w:t>
      </w:r>
      <w:r>
        <w:rPr>
          <w:rFonts w:ascii="Georgia" w:hAnsi="Georgia" w:cs="Helvetica"/>
          <w:color w:val="333333"/>
          <w:lang w:val="en"/>
        </w:rPr>
        <w:t xml:space="preserve">a has committed internationally to a target range of between 5 and 25 per cent below 2000 levels by 2020. As 2020 approaches, it is appropriate to refine the target range to a single 2020 emissions reduction target to provide a clear course for </w:t>
      </w:r>
      <w:r>
        <w:rPr>
          <w:rFonts w:ascii="Georgia" w:hAnsi="Georgia" w:cs="Helvetica"/>
          <w:color w:val="333333"/>
          <w:lang w:val="en"/>
        </w:rPr>
        <w:lastRenderedPageBreak/>
        <w:t xml:space="preserve">short-term </w:t>
      </w:r>
      <w:r>
        <w:rPr>
          <w:rFonts w:ascii="Georgia" w:hAnsi="Georgia" w:cs="Helvetica"/>
          <w:color w:val="333333"/>
          <w:lang w:val="en"/>
        </w:rPr>
        <w:t xml:space="preserve">action by Australian governments, businesses, communities and households.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recommends:</w:t>
      </w:r>
    </w:p>
    <w:p w:rsidR="00000000" w:rsidRDefault="004C239D">
      <w:pPr>
        <w:numPr>
          <w:ilvl w:val="0"/>
          <w:numId w:val="2"/>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 xml:space="preserve">a single 2020 emissions reduction target </w:t>
      </w:r>
    </w:p>
    <w:p w:rsidR="00000000" w:rsidRDefault="004C239D">
      <w:pPr>
        <w:numPr>
          <w:ilvl w:val="0"/>
          <w:numId w:val="2"/>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a trajectory to the 2020 target to indicate the pace of emissions reduction</w:t>
      </w:r>
    </w:p>
    <w:p w:rsidR="00000000" w:rsidRDefault="004C239D">
      <w:pPr>
        <w:numPr>
          <w:ilvl w:val="0"/>
          <w:numId w:val="2"/>
        </w:numPr>
        <w:spacing w:before="100" w:beforeAutospacing="1" w:after="100" w:afterAutospacing="1" w:line="300" w:lineRule="atLeast"/>
        <w:ind w:left="375"/>
        <w:divId w:val="528760133"/>
        <w:rPr>
          <w:rFonts w:ascii="Georgia" w:eastAsia="Times New Roman" w:hAnsi="Georgia" w:cs="Helvetica"/>
          <w:color w:val="333333"/>
          <w:lang w:val="en"/>
        </w:rPr>
      </w:pPr>
      <w:proofErr w:type="gramStart"/>
      <w:r>
        <w:rPr>
          <w:rFonts w:ascii="Georgia" w:eastAsia="Times New Roman" w:hAnsi="Georgia" w:cs="Helvetica"/>
          <w:color w:val="333333"/>
          <w:lang w:val="en"/>
        </w:rPr>
        <w:t>an</w:t>
      </w:r>
      <w:proofErr w:type="gramEnd"/>
      <w:r>
        <w:rPr>
          <w:rFonts w:ascii="Georgia" w:eastAsia="Times New Roman" w:hAnsi="Georgia" w:cs="Helvetica"/>
          <w:color w:val="333333"/>
          <w:lang w:val="en"/>
        </w:rPr>
        <w:t xml:space="preserve"> emissions budget for the period 2013–2020 to provide a cumulative constraint on Australia’s net emissions. </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7.1.2 Extending the timeframe—post-2020 goals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There is a compelling case for increasing the amount of guidance in Australia’s post-2020 emissions</w:t>
      </w:r>
      <w:r>
        <w:rPr>
          <w:rFonts w:ascii="Georgia" w:hAnsi="Georgia" w:cs="Helvetica"/>
          <w:color w:val="333333"/>
          <w:lang w:val="en"/>
        </w:rPr>
        <w:t xml:space="preserve"> reduction goals, including to: </w:t>
      </w:r>
    </w:p>
    <w:p w:rsidR="00000000" w:rsidRDefault="004C239D">
      <w:pPr>
        <w:numPr>
          <w:ilvl w:val="0"/>
          <w:numId w:val="3"/>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improve policy predictability by providing an early indication of future emissions reduction goals, which can reduce risk and costs for business</w:t>
      </w:r>
    </w:p>
    <w:p w:rsidR="00000000" w:rsidRDefault="004C239D">
      <w:pPr>
        <w:numPr>
          <w:ilvl w:val="0"/>
          <w:numId w:val="3"/>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improve environmental effectiveness by linking Australia’s action more directly to a scientifically derived global emissions budget</w:t>
      </w:r>
    </w:p>
    <w:p w:rsidR="00000000" w:rsidRDefault="004C239D">
      <w:pPr>
        <w:numPr>
          <w:ilvl w:val="0"/>
          <w:numId w:val="3"/>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clarify the distribution of Australia’s effort over time, and the implications of short-term goals for intergenerational equ</w:t>
      </w:r>
      <w:r>
        <w:rPr>
          <w:rFonts w:ascii="Georgia" w:eastAsia="Times New Roman" w:hAnsi="Georgia" w:cs="Helvetica"/>
          <w:color w:val="333333"/>
          <w:lang w:val="en"/>
        </w:rPr>
        <w:t>ity</w:t>
      </w:r>
    </w:p>
    <w:p w:rsidR="00000000" w:rsidRDefault="004C239D">
      <w:pPr>
        <w:numPr>
          <w:ilvl w:val="0"/>
          <w:numId w:val="3"/>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inform international negotiations on the post-2020 framework, as Australia and other countries are likely to begin indicating post-2020 goals in 2014 or 2015</w:t>
      </w:r>
    </w:p>
    <w:p w:rsidR="00000000" w:rsidRDefault="004C239D">
      <w:pPr>
        <w:numPr>
          <w:ilvl w:val="0"/>
          <w:numId w:val="3"/>
        </w:numPr>
        <w:spacing w:before="100" w:beforeAutospacing="1" w:after="100" w:afterAutospacing="1" w:line="300" w:lineRule="atLeast"/>
        <w:ind w:left="375"/>
        <w:divId w:val="528760133"/>
        <w:rPr>
          <w:rFonts w:ascii="Georgia" w:eastAsia="Times New Roman" w:hAnsi="Georgia" w:cs="Helvetica"/>
          <w:color w:val="333333"/>
          <w:lang w:val="en"/>
        </w:rPr>
      </w:pPr>
      <w:proofErr w:type="gramStart"/>
      <w:r>
        <w:rPr>
          <w:rFonts w:ascii="Georgia" w:eastAsia="Times New Roman" w:hAnsi="Georgia" w:cs="Helvetica"/>
          <w:color w:val="333333"/>
          <w:lang w:val="en"/>
        </w:rPr>
        <w:t>increase</w:t>
      </w:r>
      <w:proofErr w:type="gramEnd"/>
      <w:r>
        <w:rPr>
          <w:rFonts w:ascii="Georgia" w:eastAsia="Times New Roman" w:hAnsi="Georgia" w:cs="Helvetica"/>
          <w:color w:val="333333"/>
          <w:lang w:val="en"/>
        </w:rPr>
        <w:t xml:space="preserve"> government transparency and accountability for achieving its long-term goal.</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A wide r</w:t>
      </w:r>
      <w:r>
        <w:rPr>
          <w:rFonts w:ascii="Georgia" w:hAnsi="Georgia" w:cs="Helvetica"/>
          <w:color w:val="333333"/>
          <w:lang w:val="en"/>
        </w:rPr>
        <w:t xml:space="preserve">ange of stakeholders expressed strong support for post-2020 goals, including businesses, non-government </w:t>
      </w:r>
      <w:proofErr w:type="spellStart"/>
      <w:r>
        <w:rPr>
          <w:rFonts w:ascii="Georgia" w:hAnsi="Georgia" w:cs="Helvetica"/>
          <w:color w:val="333333"/>
          <w:lang w:val="en"/>
        </w:rPr>
        <w:t>organisations</w:t>
      </w:r>
      <w:proofErr w:type="spellEnd"/>
      <w:r>
        <w:rPr>
          <w:rFonts w:ascii="Georgia" w:hAnsi="Georgia" w:cs="Helvetica"/>
          <w:color w:val="333333"/>
          <w:lang w:val="en"/>
        </w:rPr>
        <w:t xml:space="preserve"> and individuals. For example, the Energy Supply Association of Australia said:</w:t>
      </w:r>
    </w:p>
    <w:p w:rsidR="00000000" w:rsidRDefault="004C239D">
      <w:pPr>
        <w:pStyle w:val="NormalWeb"/>
        <w:spacing w:line="300" w:lineRule="atLeast"/>
        <w:divId w:val="528760133"/>
        <w:rPr>
          <w:rFonts w:ascii="Georgia" w:hAnsi="Georgia" w:cs="Helvetica"/>
          <w:color w:val="333333"/>
          <w:lang w:val="en"/>
        </w:rPr>
      </w:pPr>
      <w:r>
        <w:rPr>
          <w:rStyle w:val="Emphasis"/>
          <w:rFonts w:ascii="Georgia" w:hAnsi="Georgia" w:cs="Helvetica"/>
          <w:color w:val="333333"/>
          <w:lang w:val="en"/>
        </w:rPr>
        <w:t>… [a]s a capital-intensive industry with long-lived assets,</w:t>
      </w:r>
      <w:r>
        <w:rPr>
          <w:rStyle w:val="Emphasis"/>
          <w:rFonts w:ascii="Georgia" w:hAnsi="Georgia" w:cs="Helvetica"/>
          <w:color w:val="333333"/>
          <w:lang w:val="en"/>
        </w:rPr>
        <w:t xml:space="preserve"> long-term investment signals are required to enable an orderly and efficient shift to lower emissions technologies … [S]</w:t>
      </w:r>
      <w:proofErr w:type="spellStart"/>
      <w:r>
        <w:rPr>
          <w:rStyle w:val="Emphasis"/>
          <w:rFonts w:ascii="Georgia" w:hAnsi="Georgia" w:cs="Helvetica"/>
          <w:color w:val="333333"/>
          <w:lang w:val="en"/>
        </w:rPr>
        <w:t>uch</w:t>
      </w:r>
      <w:proofErr w:type="spellEnd"/>
      <w:r>
        <w:rPr>
          <w:rStyle w:val="Emphasis"/>
          <w:rFonts w:ascii="Georgia" w:hAnsi="Georgia" w:cs="Helvetica"/>
          <w:color w:val="333333"/>
          <w:lang w:val="en"/>
        </w:rPr>
        <w:t xml:space="preserve"> targets will continue to be valuable irrespective of the proposed repeal of the carbon price. (Draft Report submission, p. 1)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The </w:t>
      </w:r>
      <w:r>
        <w:rPr>
          <w:rFonts w:ascii="Georgia" w:hAnsi="Georgia" w:cs="Helvetica"/>
          <w:color w:val="333333"/>
          <w:lang w:val="en"/>
        </w:rPr>
        <w:t xml:space="preserve">main concern raised was that these goals need to remain appropriate and relevant as circumstances change; for example, as the international response to climate change evolves. This can be achieved through periodic reviews of medium- and long-term goals to </w:t>
      </w:r>
      <w:r>
        <w:rPr>
          <w:rFonts w:ascii="Georgia" w:hAnsi="Georgia" w:cs="Helvetica"/>
          <w:color w:val="333333"/>
          <w:lang w:val="en"/>
        </w:rPr>
        <w:t xml:space="preserve">ensure new information is considered.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concludes that clear but flexible long-term guidance on Australia’s emissions reductions can help create a stable, predictable environment for Australia’s transition to a low-emissions future.</w:t>
      </w:r>
    </w:p>
    <w:p w:rsidR="00000000" w:rsidRDefault="004C239D">
      <w:pPr>
        <w:pStyle w:val="Heading5"/>
        <w:divId w:val="528760133"/>
        <w:rPr>
          <w:rFonts w:eastAsia="Times New Roman" w:cs="Helvetica"/>
          <w:color w:val="333333"/>
          <w:lang w:val="en"/>
        </w:rPr>
      </w:pPr>
      <w:r>
        <w:rPr>
          <w:rFonts w:eastAsia="Times New Roman" w:cs="Helvetica"/>
          <w:color w:val="333333"/>
          <w:lang w:val="en"/>
        </w:rPr>
        <w:t>Recommende</w:t>
      </w:r>
      <w:r>
        <w:rPr>
          <w:rFonts w:eastAsia="Times New Roman" w:cs="Helvetica"/>
          <w:color w:val="333333"/>
          <w:lang w:val="en"/>
        </w:rPr>
        <w:t>d post-2020 goals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The Authority considers a national emissions budget to 2050 and a trajectory range from 2020 to 2030 would provide long-term guidance while maintaining flexibility </w:t>
      </w:r>
      <w:r>
        <w:rPr>
          <w:rFonts w:ascii="Georgia" w:hAnsi="Georgia" w:cs="Helvetica"/>
          <w:color w:val="333333"/>
          <w:lang w:val="en"/>
        </w:rPr>
        <w:lastRenderedPageBreak/>
        <w:t xml:space="preserve">to respond to new information. Combining a budget with a trajectory range </w:t>
      </w:r>
      <w:proofErr w:type="spellStart"/>
      <w:r>
        <w:rPr>
          <w:rFonts w:ascii="Georgia" w:hAnsi="Georgia" w:cs="Helvetica"/>
          <w:color w:val="333333"/>
          <w:lang w:val="en"/>
        </w:rPr>
        <w:t>capitalises</w:t>
      </w:r>
      <w:proofErr w:type="spellEnd"/>
      <w:r>
        <w:rPr>
          <w:rFonts w:ascii="Georgia" w:hAnsi="Georgia" w:cs="Helvetica"/>
          <w:color w:val="333333"/>
          <w:lang w:val="en"/>
        </w:rPr>
        <w:t xml:space="preserve"> on the advantages of each:</w:t>
      </w:r>
    </w:p>
    <w:p w:rsidR="00000000" w:rsidRDefault="004C239D">
      <w:pPr>
        <w:numPr>
          <w:ilvl w:val="0"/>
          <w:numId w:val="4"/>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A long-term budget to 2050 provides a direct, transparent link between Australia’s emissions reduction goals and its overarching objective to limit warming to below 2 degrees. It can also increase government accountab</w:t>
      </w:r>
      <w:r>
        <w:rPr>
          <w:rFonts w:ascii="Georgia" w:eastAsia="Times New Roman" w:hAnsi="Georgia" w:cs="Helvetica"/>
          <w:color w:val="333333"/>
          <w:lang w:val="en"/>
        </w:rPr>
        <w:t>ility by providing a simple measure of progress. The budget to 2050 should be subject to periodic review. The Authority’s recommended budget is described in Chapter 8.</w:t>
      </w:r>
    </w:p>
    <w:p w:rsidR="00000000" w:rsidRDefault="004C239D">
      <w:pPr>
        <w:numPr>
          <w:ilvl w:val="0"/>
          <w:numId w:val="4"/>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A trajectory range to 2030 balances flexibility and predictability for medium-term polic</w:t>
      </w:r>
      <w:r>
        <w:rPr>
          <w:rFonts w:ascii="Georgia" w:eastAsia="Times New Roman" w:hAnsi="Georgia" w:cs="Helvetica"/>
          <w:color w:val="333333"/>
          <w:lang w:val="en"/>
        </w:rPr>
        <w:t xml:space="preserve">y by allowing space to adjust and respond to new information. A trajectory range to 2030 provides some guidance on the distribution of effort to 2050, can inform Australia’s international commitments and signals a willingness to take stronger action under </w:t>
      </w:r>
      <w:r>
        <w:rPr>
          <w:rFonts w:ascii="Georgia" w:eastAsia="Times New Roman" w:hAnsi="Georgia" w:cs="Helvetica"/>
          <w:color w:val="333333"/>
          <w:lang w:val="en"/>
        </w:rPr>
        <w:t>the right conditions. The Authority’s recommended range is discussed in Chapter 9.</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Authority’s approach incorporates many elements proposed by stakeholders in their submissions to the Issues Paper. AGL Energy proposed a long-term national emissions bud</w:t>
      </w:r>
      <w:r>
        <w:rPr>
          <w:rFonts w:ascii="Georgia" w:hAnsi="Georgia" w:cs="Helvetica"/>
          <w:color w:val="333333"/>
          <w:lang w:val="en"/>
        </w:rPr>
        <w:t>get to 2050 complemented by a medium-term trajectory range for potential future caps from 2020 to 2030. Energy Australia suggested a trajectory range (also known as a gateway) could be useful to improve investor certainty and that 10 years of gateways from</w:t>
      </w:r>
      <w:r>
        <w:rPr>
          <w:rFonts w:ascii="Georgia" w:hAnsi="Georgia" w:cs="Helvetica"/>
          <w:color w:val="333333"/>
          <w:lang w:val="en"/>
        </w:rPr>
        <w:t xml:space="preserve"> 2020 should be considered. Oxfam, Australian Conservation Foundation and Climate Action Network Australia were broadly aligned in support of post-2020 guidance, such as a long-term budget, interim targets and a longer term trajectory. Some stakeholders pr</w:t>
      </w:r>
      <w:r>
        <w:rPr>
          <w:rFonts w:ascii="Georgia" w:hAnsi="Georgia" w:cs="Helvetica"/>
          <w:color w:val="333333"/>
          <w:lang w:val="en"/>
        </w:rPr>
        <w:t xml:space="preserve">oposed medium-term targets; for example, to 2030.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Stakeholders had different views about the merits of trajectories, which may equally apply to the use of a trajectory range. Non-government </w:t>
      </w:r>
      <w:proofErr w:type="spellStart"/>
      <w:r>
        <w:rPr>
          <w:rFonts w:ascii="Georgia" w:hAnsi="Georgia" w:cs="Helvetica"/>
          <w:color w:val="333333"/>
          <w:lang w:val="en"/>
        </w:rPr>
        <w:t>organisations</w:t>
      </w:r>
      <w:proofErr w:type="spellEnd"/>
      <w:r>
        <w:rPr>
          <w:rFonts w:ascii="Georgia" w:hAnsi="Georgia" w:cs="Helvetica"/>
          <w:color w:val="333333"/>
          <w:lang w:val="en"/>
        </w:rPr>
        <w:t xml:space="preserve"> were broadly supportive, whereas the Business Counc</w:t>
      </w:r>
      <w:r>
        <w:rPr>
          <w:rFonts w:ascii="Georgia" w:hAnsi="Georgia" w:cs="Helvetica"/>
          <w:color w:val="333333"/>
          <w:lang w:val="en"/>
        </w:rPr>
        <w:t>il of Australia recommended the Authority refrain from nominating trajectories because they would inhibit Australia making the most efficient distribution of emissions reductions over time (</w:t>
      </w:r>
      <w:r>
        <w:rPr>
          <w:rStyle w:val="Emphasis"/>
          <w:rFonts w:ascii="Georgia" w:hAnsi="Georgia" w:cs="Helvetica"/>
          <w:color w:val="333333"/>
          <w:lang w:val="en"/>
        </w:rPr>
        <w:t>Draft Report submission</w:t>
      </w:r>
      <w:r>
        <w:rPr>
          <w:rFonts w:ascii="Georgia" w:hAnsi="Georgia" w:cs="Helvetica"/>
          <w:color w:val="333333"/>
          <w:lang w:val="en"/>
        </w:rPr>
        <w:t>, p. 2). The Authority agrees that goals sh</w:t>
      </w:r>
      <w:r>
        <w:rPr>
          <w:rFonts w:ascii="Georgia" w:hAnsi="Georgia" w:cs="Helvetica"/>
          <w:color w:val="333333"/>
          <w:lang w:val="en"/>
        </w:rPr>
        <w:t>ould provide some flexibility in the timing of emissions reduction effort. The purpose of a trajectory or trajectory range, however, is to provide broad guidance on the pace of emissions reductions over time, not to set binding limits in each year. As a re</w:t>
      </w:r>
      <w:r>
        <w:rPr>
          <w:rFonts w:ascii="Georgia" w:hAnsi="Georgia" w:cs="Helvetica"/>
          <w:color w:val="333333"/>
          <w:lang w:val="en"/>
        </w:rPr>
        <w:t>sult, trajectories allow efficient distribution of effort over time. That said, having recommended a long-term budget, the Authority considers a trajectory or trajectory range that stretched beyond 2030 would be unnecessarily prescriptive at this time.</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As </w:t>
      </w:r>
      <w:r>
        <w:rPr>
          <w:rFonts w:ascii="Georgia" w:hAnsi="Georgia" w:cs="Helvetica"/>
          <w:color w:val="333333"/>
          <w:lang w:val="en"/>
        </w:rPr>
        <w:t xml:space="preserve">discussed further in Section 7.2, post-2020 goals must be reviewed regularly, and the reviews themselves should respond to changing circumstances in a reasonably predictable way. </w:t>
      </w:r>
    </w:p>
    <w:p w:rsidR="00000000" w:rsidRDefault="004C239D">
      <w:pPr>
        <w:pStyle w:val="Heading2"/>
        <w:shd w:val="clear" w:color="auto" w:fill="FCF8E3"/>
        <w:divId w:val="1592354783"/>
        <w:rPr>
          <w:rFonts w:eastAsia="Times New Roman" w:cs="Helvetica"/>
          <w:color w:val="C09853"/>
          <w:lang w:val="en"/>
        </w:rPr>
      </w:pPr>
      <w:r>
        <w:rPr>
          <w:rFonts w:eastAsia="Times New Roman" w:cs="Helvetica"/>
          <w:color w:val="C09853"/>
          <w:lang w:val="en"/>
        </w:rPr>
        <w:t>Conclusion</w:t>
      </w:r>
    </w:p>
    <w:p w:rsidR="00000000" w:rsidRDefault="004C239D">
      <w:pPr>
        <w:pStyle w:val="NormalWeb"/>
        <w:shd w:val="clear" w:color="auto" w:fill="FCF8E3"/>
        <w:spacing w:line="300" w:lineRule="atLeast"/>
        <w:divId w:val="1592354783"/>
        <w:rPr>
          <w:rFonts w:ascii="Georgia" w:hAnsi="Georgia" w:cs="Helvetica"/>
          <w:color w:val="C09853"/>
          <w:lang w:val="en"/>
        </w:rPr>
      </w:pPr>
      <w:r>
        <w:rPr>
          <w:rFonts w:ascii="Georgia" w:hAnsi="Georgia" w:cs="Helvetica"/>
          <w:color w:val="C09853"/>
          <w:lang w:val="en"/>
        </w:rPr>
        <w:lastRenderedPageBreak/>
        <w:t>C.10</w:t>
      </w:r>
      <w:r>
        <w:rPr>
          <w:rFonts w:ascii="Georgia" w:hAnsi="Georgia" w:cs="Helvetica"/>
          <w:color w:val="C09853"/>
          <w:lang w:val="en"/>
        </w:rPr>
        <w:tab/>
      </w:r>
      <w:r>
        <w:rPr>
          <w:rFonts w:ascii="Georgia" w:hAnsi="Georgia" w:cs="Helvetica"/>
          <w:color w:val="C09853"/>
          <w:lang w:val="en"/>
        </w:rPr>
        <w:t>A coordinated set of emissions reduction goals for the short, medium and long term would provide a more predictable environment for businesses and others to act. An appropriate set of goals for Australia comprises:</w:t>
      </w:r>
    </w:p>
    <w:p w:rsidR="00000000" w:rsidRDefault="004C239D">
      <w:pPr>
        <w:numPr>
          <w:ilvl w:val="0"/>
          <w:numId w:val="5"/>
        </w:numPr>
        <w:shd w:val="clear" w:color="auto" w:fill="FCF8E3"/>
        <w:spacing w:before="100" w:beforeAutospacing="1" w:after="100" w:afterAutospacing="1" w:line="300" w:lineRule="atLeast"/>
        <w:ind w:left="375"/>
        <w:divId w:val="1592354783"/>
        <w:rPr>
          <w:rFonts w:ascii="Georgia" w:eastAsia="Times New Roman" w:hAnsi="Georgia" w:cs="Helvetica"/>
          <w:color w:val="C09853"/>
          <w:lang w:val="en"/>
        </w:rPr>
      </w:pPr>
      <w:r>
        <w:rPr>
          <w:rFonts w:ascii="Georgia" w:eastAsia="Times New Roman" w:hAnsi="Georgia" w:cs="Helvetica"/>
          <w:color w:val="C09853"/>
          <w:lang w:val="en"/>
        </w:rPr>
        <w:t>A short-term target for 2020, and an emis</w:t>
      </w:r>
      <w:r>
        <w:rPr>
          <w:rFonts w:ascii="Georgia" w:eastAsia="Times New Roman" w:hAnsi="Georgia" w:cs="Helvetica"/>
          <w:color w:val="C09853"/>
          <w:lang w:val="en"/>
        </w:rPr>
        <w:t>sions budget and trajectory to 2020 providing a clear course for short-term action.</w:t>
      </w:r>
    </w:p>
    <w:p w:rsidR="00000000" w:rsidRDefault="004C239D">
      <w:pPr>
        <w:numPr>
          <w:ilvl w:val="0"/>
          <w:numId w:val="5"/>
        </w:numPr>
        <w:shd w:val="clear" w:color="auto" w:fill="FCF8E3"/>
        <w:spacing w:before="100" w:beforeAutospacing="1" w:after="100" w:afterAutospacing="1" w:line="300" w:lineRule="atLeast"/>
        <w:ind w:left="375"/>
        <w:divId w:val="1592354783"/>
        <w:rPr>
          <w:rFonts w:ascii="Georgia" w:eastAsia="Times New Roman" w:hAnsi="Georgia" w:cs="Helvetica"/>
          <w:color w:val="C09853"/>
          <w:lang w:val="en"/>
        </w:rPr>
      </w:pPr>
      <w:r>
        <w:rPr>
          <w:rFonts w:ascii="Georgia" w:eastAsia="Times New Roman" w:hAnsi="Georgia" w:cs="Helvetica"/>
          <w:color w:val="C09853"/>
          <w:lang w:val="en"/>
        </w:rPr>
        <w:t>A trajectory range to 2030 and a national emissions budget to 2050, providing guidance for longer term planning, subject to periodic review to respond to new information an</w:t>
      </w:r>
      <w:r>
        <w:rPr>
          <w:rFonts w:ascii="Georgia" w:eastAsia="Times New Roman" w:hAnsi="Georgia" w:cs="Helvetica"/>
          <w:color w:val="C09853"/>
          <w:lang w:val="en"/>
        </w:rPr>
        <w:t>d changing circumstances.</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7.1.3 Defining the indicative national emissions trajectory to 2020 and range to 2030</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recommends straight-line indicative trajectories to the 2020 target and from the 2020 target to either end of the 2030 range (Figu</w:t>
      </w:r>
      <w:r>
        <w:rPr>
          <w:rFonts w:ascii="Georgia" w:hAnsi="Georgia" w:cs="Helvetica"/>
          <w:color w:val="333333"/>
          <w:lang w:val="en"/>
        </w:rPr>
        <w:t xml:space="preserve">re 7.1).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Given that trajectories are indicative rather than binding in every year, and that the appropriate long-term path to reduce emissions is uncertain, straight lines are a sensible approach. They provide a simple pathway to defined goals, and can be</w:t>
      </w:r>
      <w:r>
        <w:rPr>
          <w:rFonts w:ascii="Georgia" w:hAnsi="Georgia" w:cs="Helvetica"/>
          <w:color w:val="333333"/>
          <w:lang w:val="en"/>
        </w:rPr>
        <w:t xml:space="preserve"> subject to regular reviews to incorporate new information. Curved trajectories to 2030 would not provide significant additional guidance.</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trajectory requires a starting point. The Authority defined its recommended trajectory to 2020 in the same way Au</w:t>
      </w:r>
      <w:r>
        <w:rPr>
          <w:rFonts w:ascii="Georgia" w:hAnsi="Georgia" w:cs="Helvetica"/>
          <w:color w:val="333333"/>
          <w:lang w:val="en"/>
        </w:rPr>
        <w:t>stralia defined its target for the second commitment period of the Kyoto Protocol—based on a straight line from 108 per cent of 1990 emissions in 2010 to its recommended target in 2020. Appendix B discusses how the Authority’s recommended 2020 goals relate</w:t>
      </w:r>
      <w:r>
        <w:rPr>
          <w:rFonts w:ascii="Georgia" w:hAnsi="Georgia" w:cs="Helvetica"/>
          <w:color w:val="333333"/>
          <w:lang w:val="en"/>
        </w:rPr>
        <w:t xml:space="preserve"> to Kyoto Protocol targets.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principal advantage of a trajectory range is that it balances flexibility and predictability. As with Australia’s 2020 target, which was originally proposed as a target range rather than a single point, Australia can useful</w:t>
      </w:r>
      <w:r>
        <w:rPr>
          <w:rFonts w:ascii="Georgia" w:hAnsi="Georgia" w:cs="Helvetica"/>
          <w:color w:val="333333"/>
          <w:lang w:val="en"/>
        </w:rPr>
        <w:t>ly start with a 2030 trajectory range. This could be particularly helpful for the government as it considers Australia’s post-2020 international commitments. Under the UNFCCC negotiations, many countries will put forward post-2020 goals in 2014 and 2015 (S</w:t>
      </w:r>
      <w:r>
        <w:rPr>
          <w:rFonts w:ascii="Georgia" w:hAnsi="Georgia" w:cs="Helvetica"/>
          <w:color w:val="333333"/>
          <w:lang w:val="en"/>
        </w:rPr>
        <w:t xml:space="preserve">ection 4.2). Australia may choose to put forward a range for 2030 now, and narrow this over time as the form and scale of international action becomes clearer. If strong global action to reduce emissions transpires, Australia could track towards the lower </w:t>
      </w:r>
      <w:r>
        <w:rPr>
          <w:rFonts w:ascii="Georgia" w:hAnsi="Georgia" w:cs="Helvetica"/>
          <w:color w:val="333333"/>
          <w:lang w:val="en"/>
        </w:rPr>
        <w:t xml:space="preserve">(more ambitious) bound of the range; if not, Australia could track towards the upper bound.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Authority’s overall approach to the trajectory range is similar to that recommended by the National Emissions Trading Taskforce (2007) and the Prime Ministeria</w:t>
      </w:r>
      <w:r>
        <w:rPr>
          <w:rFonts w:ascii="Georgia" w:hAnsi="Georgia" w:cs="Helvetica"/>
          <w:color w:val="333333"/>
          <w:lang w:val="en"/>
        </w:rPr>
        <w:t>l Task Group on Emissions Trading (2007) but is applied to national emissions rather than caps in an emissions trading scheme.</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width of the trajectory range is also important—an extremely wide range provides little guidance; while an extremely narrow r</w:t>
      </w:r>
      <w:r>
        <w:rPr>
          <w:rFonts w:ascii="Georgia" w:hAnsi="Georgia" w:cs="Helvetica"/>
          <w:color w:val="333333"/>
          <w:lang w:val="en"/>
        </w:rPr>
        <w:t xml:space="preserve">ange provides little flexibility to </w:t>
      </w:r>
      <w:r>
        <w:rPr>
          <w:rFonts w:ascii="Georgia" w:hAnsi="Georgia" w:cs="Helvetica"/>
          <w:color w:val="333333"/>
          <w:lang w:val="en"/>
        </w:rPr>
        <w:lastRenderedPageBreak/>
        <w:t xml:space="preserve">respond to new information over time. The range should maintain flexibility while providing reasonable guidance on the pace of post-2020 reductions. </w:t>
      </w:r>
    </w:p>
    <w:p w:rsidR="00000000" w:rsidRDefault="004C239D">
      <w:pPr>
        <w:pStyle w:val="Heading2"/>
        <w:divId w:val="528760133"/>
        <w:rPr>
          <w:rFonts w:eastAsia="Times New Roman" w:cs="Helvetica"/>
          <w:color w:val="333333"/>
          <w:lang w:val="en"/>
        </w:rPr>
      </w:pPr>
      <w:r>
        <w:rPr>
          <w:rFonts w:eastAsia="Times New Roman" w:cs="Helvetica"/>
          <w:color w:val="333333"/>
          <w:lang w:val="en"/>
        </w:rPr>
        <w:t>7.2 Periodic review of longer term goals—what, when and how</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trajec</w:t>
      </w:r>
      <w:r>
        <w:rPr>
          <w:rFonts w:ascii="Georgia" w:hAnsi="Georgia" w:cs="Helvetica"/>
          <w:color w:val="333333"/>
          <w:lang w:val="en"/>
        </w:rPr>
        <w:t xml:space="preserve">tory range to 2030 and the emissions budget to 2050 should be reviewed periodically in light of new information to ensure they remain appropriate and relevant.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considers reviews of medium- and long-term goals should take place every five yea</w:t>
      </w:r>
      <w:r>
        <w:rPr>
          <w:rFonts w:ascii="Georgia" w:hAnsi="Georgia" w:cs="Helvetica"/>
          <w:color w:val="333333"/>
          <w:lang w:val="en"/>
        </w:rPr>
        <w:t>rs, as currently provided for under the Clean Energy Act. More frequent reviews could tend to reduce, rather than improve, certainty for investors. However, major developments such as new international agreements may warrant special reviews; for example, i</w:t>
      </w:r>
      <w:r>
        <w:rPr>
          <w:rFonts w:ascii="Georgia" w:hAnsi="Georgia" w:cs="Helvetica"/>
          <w:color w:val="333333"/>
          <w:lang w:val="en"/>
        </w:rPr>
        <w:t xml:space="preserve">t may be appropriate to review Australia’s medium- and long-term goals in 2016 to take account of any new agreements on the post-2020 framework.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These periodic reviews should be conducted according to clear, defined criteria to help increase policy predic</w:t>
      </w:r>
      <w:r>
        <w:rPr>
          <w:rFonts w:ascii="Georgia" w:hAnsi="Georgia" w:cs="Helvetica"/>
          <w:color w:val="333333"/>
          <w:lang w:val="en"/>
        </w:rPr>
        <w:t xml:space="preserve">tability. The Authority considers three factors of particular importance here: </w:t>
      </w:r>
    </w:p>
    <w:p w:rsidR="00000000" w:rsidRDefault="004C239D">
      <w:pPr>
        <w:numPr>
          <w:ilvl w:val="0"/>
          <w:numId w:val="6"/>
        </w:numPr>
        <w:spacing w:before="100" w:beforeAutospacing="1" w:after="100" w:afterAutospacing="1" w:line="300" w:lineRule="atLeast"/>
        <w:ind w:left="375"/>
        <w:divId w:val="528760133"/>
        <w:rPr>
          <w:rFonts w:ascii="Georgia" w:eastAsia="Times New Roman" w:hAnsi="Georgia" w:cs="Helvetica"/>
          <w:color w:val="333333"/>
          <w:lang w:val="en"/>
        </w:rPr>
      </w:pPr>
      <w:r>
        <w:rPr>
          <w:rStyle w:val="Strong"/>
          <w:rFonts w:ascii="Georgia" w:eastAsia="Times New Roman" w:hAnsi="Georgia" w:cs="Helvetica"/>
          <w:color w:val="333333"/>
          <w:lang w:val="en"/>
        </w:rPr>
        <w:t>Climate science</w:t>
      </w:r>
      <w:r>
        <w:rPr>
          <w:rFonts w:ascii="Georgia" w:eastAsia="Times New Roman" w:hAnsi="Georgia" w:cs="Helvetica"/>
          <w:color w:val="333333"/>
          <w:lang w:val="en"/>
        </w:rPr>
        <w:t>—new science that indicates the desirable global budget is smaller than previously estimated could imply stronger action by Australia. Evidence that the global b</w:t>
      </w:r>
      <w:r>
        <w:rPr>
          <w:rFonts w:ascii="Georgia" w:eastAsia="Times New Roman" w:hAnsi="Georgia" w:cs="Helvetica"/>
          <w:color w:val="333333"/>
          <w:lang w:val="en"/>
        </w:rPr>
        <w:t>udget is larger than previously estimated could imply less action.</w:t>
      </w:r>
    </w:p>
    <w:p w:rsidR="00000000" w:rsidRDefault="004C239D">
      <w:pPr>
        <w:numPr>
          <w:ilvl w:val="0"/>
          <w:numId w:val="6"/>
        </w:numPr>
        <w:spacing w:before="100" w:beforeAutospacing="1" w:after="100" w:afterAutospacing="1" w:line="300" w:lineRule="atLeast"/>
        <w:ind w:left="375"/>
        <w:divId w:val="528760133"/>
        <w:rPr>
          <w:rFonts w:ascii="Georgia" w:eastAsia="Times New Roman" w:hAnsi="Georgia" w:cs="Helvetica"/>
          <w:color w:val="333333"/>
          <w:lang w:val="en"/>
        </w:rPr>
      </w:pPr>
      <w:r>
        <w:rPr>
          <w:rStyle w:val="Strong"/>
          <w:rFonts w:ascii="Georgia" w:eastAsia="Times New Roman" w:hAnsi="Georgia" w:cs="Helvetica"/>
          <w:color w:val="333333"/>
          <w:lang w:val="en"/>
        </w:rPr>
        <w:t>The level and pace of international action on climate change</w:t>
      </w:r>
      <w:r>
        <w:rPr>
          <w:rFonts w:ascii="Georgia" w:eastAsia="Times New Roman" w:hAnsi="Georgia" w:cs="Helvetica"/>
          <w:color w:val="333333"/>
          <w:lang w:val="en"/>
        </w:rPr>
        <w:t>—stronger international action could imply stronger Australian action, and weaker international action could imply weaker Austral</w:t>
      </w:r>
      <w:r>
        <w:rPr>
          <w:rFonts w:ascii="Georgia" w:eastAsia="Times New Roman" w:hAnsi="Georgia" w:cs="Helvetica"/>
          <w:color w:val="333333"/>
          <w:lang w:val="en"/>
        </w:rPr>
        <w:t xml:space="preserve">ian action. This criterion would take into account Australia’s international obligations and undertakings. These act as a ‘floor’ to any future trajectories—allowing strengthening but not weakening. In the same way, Australia would not adopt a 2020 target </w:t>
      </w:r>
      <w:r>
        <w:rPr>
          <w:rFonts w:ascii="Georgia" w:eastAsia="Times New Roman" w:hAnsi="Georgia" w:cs="Helvetica"/>
          <w:color w:val="333333"/>
          <w:lang w:val="en"/>
        </w:rPr>
        <w:t xml:space="preserve">below the bottom of its current 5–25 per cent range. </w:t>
      </w:r>
    </w:p>
    <w:p w:rsidR="00000000" w:rsidRDefault="004C239D">
      <w:pPr>
        <w:numPr>
          <w:ilvl w:val="0"/>
          <w:numId w:val="6"/>
        </w:numPr>
        <w:spacing w:before="100" w:beforeAutospacing="1" w:after="100" w:afterAutospacing="1" w:line="300" w:lineRule="atLeast"/>
        <w:ind w:left="375"/>
        <w:divId w:val="528760133"/>
        <w:rPr>
          <w:rFonts w:ascii="Georgia" w:eastAsia="Times New Roman" w:hAnsi="Georgia" w:cs="Helvetica"/>
          <w:color w:val="333333"/>
          <w:lang w:val="en"/>
        </w:rPr>
      </w:pPr>
      <w:r>
        <w:rPr>
          <w:rStyle w:val="Strong"/>
          <w:rFonts w:ascii="Georgia" w:eastAsia="Times New Roman" w:hAnsi="Georgia" w:cs="Helvetica"/>
          <w:color w:val="333333"/>
          <w:lang w:val="en"/>
        </w:rPr>
        <w:t>Economic factors</w:t>
      </w:r>
      <w:r>
        <w:rPr>
          <w:rFonts w:ascii="Georgia" w:eastAsia="Times New Roman" w:hAnsi="Georgia" w:cs="Helvetica"/>
          <w:color w:val="333333"/>
          <w:lang w:val="en"/>
        </w:rPr>
        <w:t>—higher than expected costs (for example, because of macroeconomic shocks or because low-emissions technologies have not developed as expected) could imply weaker action by Australia. Lo</w:t>
      </w:r>
      <w:r>
        <w:rPr>
          <w:rFonts w:ascii="Georgia" w:eastAsia="Times New Roman" w:hAnsi="Georgia" w:cs="Helvetica"/>
          <w:color w:val="333333"/>
          <w:lang w:val="en"/>
        </w:rPr>
        <w:t xml:space="preserve">wer than expected costs (for example, because low-emissions technology is cheaper than expected) could imply stronger action is warranted.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Technical considerations may also be relevant. For example, developments in international accounting rules for green</w:t>
      </w:r>
      <w:r>
        <w:rPr>
          <w:rFonts w:ascii="Georgia" w:hAnsi="Georgia" w:cs="Helvetica"/>
          <w:color w:val="333333"/>
          <w:lang w:val="en"/>
        </w:rPr>
        <w:t xml:space="preserve">house gas emissions could affect the scope of national goals, as discussed in Section 7.3; and changes in national and global population projections could affect the size of the national budget, as discussed in Chapter 8.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The Authority is not inclined to </w:t>
      </w:r>
      <w:r>
        <w:rPr>
          <w:rFonts w:ascii="Georgia" w:hAnsi="Georgia" w:cs="Helvetica"/>
          <w:color w:val="333333"/>
          <w:lang w:val="en"/>
        </w:rPr>
        <w:t xml:space="preserve">prescribe more specific criteria. These might appear to add clarity, but in practice may not allow decisions to be based on the best available information. For example, the very specific 2020 target conditions are a source of sometimes unproductive debate </w:t>
      </w:r>
      <w:r>
        <w:rPr>
          <w:rFonts w:ascii="Georgia" w:hAnsi="Georgia" w:cs="Helvetica"/>
          <w:color w:val="333333"/>
          <w:lang w:val="en"/>
        </w:rPr>
        <w:t xml:space="preserve">on the detail of other countries’ actions </w:t>
      </w:r>
      <w:r>
        <w:rPr>
          <w:rFonts w:ascii="Georgia" w:hAnsi="Georgia" w:cs="Helvetica"/>
          <w:color w:val="333333"/>
          <w:lang w:val="en"/>
        </w:rPr>
        <w:lastRenderedPageBreak/>
        <w:t>rather than the overall scale and trend in global action. In combination with broad consultation and transparent decision-making, the Authority considers general criteria provide a more robust base for setting appr</w:t>
      </w:r>
      <w:r>
        <w:rPr>
          <w:rFonts w:ascii="Georgia" w:hAnsi="Georgia" w:cs="Helvetica"/>
          <w:color w:val="333333"/>
          <w:lang w:val="en"/>
        </w:rPr>
        <w:t>opriate goals over time.</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Periodic reviews should:</w:t>
      </w:r>
    </w:p>
    <w:p w:rsidR="00000000" w:rsidRDefault="004C239D">
      <w:pPr>
        <w:numPr>
          <w:ilvl w:val="0"/>
          <w:numId w:val="7"/>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 xml:space="preserve">Extend the trajectory range to </w:t>
      </w:r>
      <w:r>
        <w:rPr>
          <w:rFonts w:ascii="Georgia" w:eastAsia="Times New Roman" w:hAnsi="Georgia" w:cs="Helvetica"/>
          <w:color w:val="333333"/>
          <w:lang w:val="en"/>
        </w:rPr>
        <w:t xml:space="preserve">maintain a similar amount of guidance over time. The recommended 2020 goals and trajectory range to 2030 provide 16 years of initial guidance. Similar guidance can be maintained by extending trajectories by five years at each five-yearly review. </w:t>
      </w:r>
    </w:p>
    <w:p w:rsidR="00000000" w:rsidRDefault="004C239D">
      <w:pPr>
        <w:numPr>
          <w:ilvl w:val="0"/>
          <w:numId w:val="7"/>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Narrow th</w:t>
      </w:r>
      <w:r>
        <w:rPr>
          <w:rFonts w:ascii="Georgia" w:eastAsia="Times New Roman" w:hAnsi="Georgia" w:cs="Helvetica"/>
          <w:color w:val="333333"/>
          <w:lang w:val="en"/>
        </w:rPr>
        <w:t xml:space="preserve">e existing trajectory range as more and better information becomes available. In truly exceptional circumstances, a review could recommend the trajectory range moves outside the previously defined range. </w:t>
      </w:r>
    </w:p>
    <w:p w:rsidR="00000000" w:rsidRDefault="004C239D">
      <w:pPr>
        <w:numPr>
          <w:ilvl w:val="0"/>
          <w:numId w:val="7"/>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Review the 2050 emissions budget and, in the longer</w:t>
      </w:r>
      <w:r>
        <w:rPr>
          <w:rFonts w:ascii="Georgia" w:eastAsia="Times New Roman" w:hAnsi="Georgia" w:cs="Helvetica"/>
          <w:color w:val="333333"/>
          <w:lang w:val="en"/>
        </w:rPr>
        <w:t xml:space="preserve"> term, extend the budget beyond 2050. </w:t>
      </w:r>
    </w:p>
    <w:p w:rsidR="00000000" w:rsidRDefault="004C239D">
      <w:pPr>
        <w:pStyle w:val="Heading2"/>
        <w:shd w:val="clear" w:color="auto" w:fill="FCF8E3"/>
        <w:divId w:val="1388525292"/>
        <w:rPr>
          <w:rFonts w:eastAsia="Times New Roman" w:cs="Helvetica"/>
          <w:color w:val="C09853"/>
          <w:lang w:val="en"/>
        </w:rPr>
      </w:pPr>
      <w:r>
        <w:rPr>
          <w:rFonts w:eastAsia="Times New Roman" w:cs="Helvetica"/>
          <w:color w:val="C09853"/>
          <w:lang w:val="en"/>
        </w:rPr>
        <w:t>Recommendations</w:t>
      </w:r>
    </w:p>
    <w:p w:rsidR="00000000" w:rsidRDefault="004C239D">
      <w:pPr>
        <w:pStyle w:val="NormalWeb"/>
        <w:shd w:val="clear" w:color="auto" w:fill="FCF8E3"/>
        <w:spacing w:line="300" w:lineRule="atLeast"/>
        <w:divId w:val="1388525292"/>
        <w:rPr>
          <w:rFonts w:ascii="Georgia" w:hAnsi="Georgia" w:cs="Helvetica"/>
          <w:color w:val="C09853"/>
          <w:lang w:val="en"/>
        </w:rPr>
      </w:pPr>
      <w:r>
        <w:rPr>
          <w:rFonts w:ascii="Georgia" w:hAnsi="Georgia" w:cs="Helvetica"/>
          <w:color w:val="C09853"/>
          <w:lang w:val="en"/>
        </w:rPr>
        <w:t>R.1</w:t>
      </w:r>
      <w:r>
        <w:rPr>
          <w:rFonts w:ascii="Georgia" w:hAnsi="Georgia" w:cs="Helvetica"/>
          <w:color w:val="C09853"/>
          <w:lang w:val="en"/>
        </w:rPr>
        <w:tab/>
        <w:t>The trajectory range and the national budget to 2050 be reviewed at least every five years. There could be additional reviews to take account of major developments; for example, in 2016 to take acc</w:t>
      </w:r>
      <w:r>
        <w:rPr>
          <w:rFonts w:ascii="Georgia" w:hAnsi="Georgia" w:cs="Helvetica"/>
          <w:color w:val="C09853"/>
          <w:lang w:val="en"/>
        </w:rPr>
        <w:t>ount of international developments on the post-2020 framework. As part of these reviews, the trajectory range would be extended to maintain a similar period of guidance over time, and short-term targets and trajectories would be set within the existing ran</w:t>
      </w:r>
      <w:r>
        <w:rPr>
          <w:rFonts w:ascii="Georgia" w:hAnsi="Georgia" w:cs="Helvetica"/>
          <w:color w:val="C09853"/>
          <w:lang w:val="en"/>
        </w:rPr>
        <w:t>ge.</w:t>
      </w:r>
    </w:p>
    <w:p w:rsidR="00000000" w:rsidRDefault="004C239D">
      <w:pPr>
        <w:pStyle w:val="NormalWeb"/>
        <w:shd w:val="clear" w:color="auto" w:fill="FCF8E3"/>
        <w:spacing w:line="300" w:lineRule="atLeast"/>
        <w:divId w:val="1388525292"/>
        <w:rPr>
          <w:rFonts w:ascii="Georgia" w:hAnsi="Georgia" w:cs="Helvetica"/>
          <w:color w:val="C09853"/>
          <w:lang w:val="en"/>
        </w:rPr>
      </w:pPr>
      <w:r>
        <w:rPr>
          <w:rFonts w:ascii="Georgia" w:hAnsi="Georgia" w:cs="Helvetica"/>
          <w:color w:val="C09853"/>
          <w:lang w:val="en"/>
        </w:rPr>
        <w:t>R.2</w:t>
      </w:r>
      <w:r>
        <w:rPr>
          <w:rFonts w:ascii="Georgia" w:hAnsi="Georgia" w:cs="Helvetica"/>
          <w:color w:val="C09853"/>
          <w:lang w:val="en"/>
        </w:rPr>
        <w:tab/>
        <w:t>The periodic reviews of the trajectory range and the national budget to 2050 have particular regard to the following general criteria—changes in or new information about climate science, the level and pace of international action, and economic fact</w:t>
      </w:r>
      <w:r>
        <w:rPr>
          <w:rFonts w:ascii="Georgia" w:hAnsi="Georgia" w:cs="Helvetica"/>
          <w:color w:val="C09853"/>
          <w:lang w:val="en"/>
        </w:rPr>
        <w:t>ors.</w:t>
      </w:r>
    </w:p>
    <w:p w:rsidR="00000000" w:rsidRDefault="004C239D">
      <w:pPr>
        <w:pStyle w:val="Heading2"/>
        <w:divId w:val="528760133"/>
        <w:rPr>
          <w:rFonts w:eastAsia="Times New Roman" w:cs="Helvetica"/>
          <w:color w:val="333333"/>
          <w:lang w:val="en"/>
        </w:rPr>
      </w:pPr>
      <w:r>
        <w:rPr>
          <w:rFonts w:eastAsia="Times New Roman" w:cs="Helvetica"/>
          <w:color w:val="333333"/>
          <w:lang w:val="en"/>
        </w:rPr>
        <w:t>7.3 Defining the goals—what is counted and how?</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In recommending targets, trajectories and budgets, the Authority must define which emissions are counted and how. This includes which greenhouse gases, emissions sources and sinks are counted and how int</w:t>
      </w:r>
      <w:r>
        <w:rPr>
          <w:rFonts w:ascii="Georgia" w:hAnsi="Georgia" w:cs="Helvetica"/>
          <w:color w:val="333333"/>
          <w:lang w:val="en"/>
        </w:rPr>
        <w:t>ernational emissions reductions are used. This section sets out:</w:t>
      </w:r>
    </w:p>
    <w:p w:rsidR="00000000" w:rsidRDefault="004C239D">
      <w:pPr>
        <w:numPr>
          <w:ilvl w:val="0"/>
          <w:numId w:val="8"/>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the Authority’s intended approach, taking into account Australia’s international obligations and undertakings under the Kyoto Protocol and UNFCCC</w:t>
      </w:r>
    </w:p>
    <w:p w:rsidR="00000000" w:rsidRDefault="004C239D">
      <w:pPr>
        <w:numPr>
          <w:ilvl w:val="0"/>
          <w:numId w:val="8"/>
        </w:numPr>
        <w:spacing w:before="100" w:beforeAutospacing="1" w:after="100" w:afterAutospacing="1" w:line="300" w:lineRule="atLeast"/>
        <w:ind w:left="375"/>
        <w:divId w:val="528760133"/>
        <w:rPr>
          <w:rFonts w:ascii="Georgia" w:eastAsia="Times New Roman" w:hAnsi="Georgia" w:cs="Helvetica"/>
          <w:color w:val="333333"/>
          <w:lang w:val="en"/>
        </w:rPr>
      </w:pPr>
      <w:proofErr w:type="gramStart"/>
      <w:r>
        <w:rPr>
          <w:rFonts w:ascii="Georgia" w:eastAsia="Times New Roman" w:hAnsi="Georgia" w:cs="Helvetica"/>
          <w:color w:val="333333"/>
          <w:lang w:val="en"/>
        </w:rPr>
        <w:t>the</w:t>
      </w:r>
      <w:proofErr w:type="gramEnd"/>
      <w:r>
        <w:rPr>
          <w:rFonts w:ascii="Georgia" w:eastAsia="Times New Roman" w:hAnsi="Georgia" w:cs="Helvetica"/>
          <w:color w:val="333333"/>
          <w:lang w:val="en"/>
        </w:rPr>
        <w:t xml:space="preserve"> practical implications of this approach, </w:t>
      </w:r>
      <w:r>
        <w:rPr>
          <w:rFonts w:ascii="Georgia" w:eastAsia="Times New Roman" w:hAnsi="Georgia" w:cs="Helvetica"/>
          <w:color w:val="333333"/>
          <w:lang w:val="en"/>
        </w:rPr>
        <w:t>particularly for land sector emissions and removals, and the use of units ‘carried over’ from the first commitment period of the Kyoto Protocol.</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7.3.1 Goals should be consistent with international rules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lastRenderedPageBreak/>
        <w:t>The Authority has applied the Kyoto Protocol rules fo</w:t>
      </w:r>
      <w:r>
        <w:rPr>
          <w:rFonts w:ascii="Georgia" w:hAnsi="Georgia" w:cs="Helvetica"/>
          <w:color w:val="333333"/>
          <w:lang w:val="en"/>
        </w:rPr>
        <w:t xml:space="preserve">r gases, sectors, sources and markets in its recommended goals because they are the most definitive and binding set of accounting rules.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Kyoto Protocol sets clear rules on which emissions count towards Australia’s Kyoto commitments (Box 7.1). Australi</w:t>
      </w:r>
      <w:r>
        <w:rPr>
          <w:rFonts w:ascii="Georgia" w:hAnsi="Georgia" w:cs="Helvetica"/>
          <w:color w:val="333333"/>
          <w:lang w:val="en"/>
        </w:rPr>
        <w:t xml:space="preserve">a must follow these rules for its current, unconditional commitment to limit average annual emissions to 99.5 per cent of 1990 levels from 2013 to 2020.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accounting framework for post-2020 emissions reduction commitments is currently under negotiation.</w:t>
      </w:r>
      <w:r>
        <w:rPr>
          <w:rFonts w:ascii="Georgia" w:hAnsi="Georgia" w:cs="Helvetica"/>
          <w:color w:val="333333"/>
          <w:lang w:val="en"/>
        </w:rPr>
        <w:t xml:space="preserve"> These discussions are still in their early stages, but are likely to build on current rules and accommodate the use of a wider range of international emissions reductions from domestic and regional schemes.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has also followed the UNFCCC and C</w:t>
      </w:r>
      <w:r>
        <w:rPr>
          <w:rFonts w:ascii="Georgia" w:hAnsi="Georgia" w:cs="Helvetica"/>
          <w:color w:val="333333"/>
          <w:lang w:val="en"/>
        </w:rPr>
        <w:t>ommonwealth Government practice of accounting for emissions on a production rather than a consumption basis. Some stakeholders support a consumption approach; for example, the Australian Industry Greenhouse Network argues that production-based emissions ac</w:t>
      </w:r>
      <w:r>
        <w:rPr>
          <w:rFonts w:ascii="Georgia" w:hAnsi="Georgia" w:cs="Helvetica"/>
          <w:color w:val="333333"/>
          <w:lang w:val="en"/>
        </w:rPr>
        <w:t>counting is less rigorous and distorts the measurement of Australia’s efforts to reduce emissions (</w:t>
      </w:r>
      <w:r>
        <w:rPr>
          <w:rStyle w:val="Emphasis"/>
          <w:rFonts w:ascii="Georgia" w:hAnsi="Georgia" w:cs="Helvetica"/>
          <w:color w:val="333333"/>
          <w:lang w:val="en"/>
        </w:rPr>
        <w:t>Draft Report submission</w:t>
      </w:r>
      <w:r>
        <w:rPr>
          <w:rFonts w:ascii="Georgia" w:hAnsi="Georgia" w:cs="Helvetica"/>
          <w:color w:val="333333"/>
          <w:lang w:val="en"/>
        </w:rPr>
        <w:t>, p. 6). The Authority considers that production-based emissions accounting provides an appropriate basis for Australia’s goals. It fo</w:t>
      </w:r>
      <w:r>
        <w:rPr>
          <w:rFonts w:ascii="Georgia" w:hAnsi="Georgia" w:cs="Helvetica"/>
          <w:color w:val="333333"/>
          <w:lang w:val="en"/>
        </w:rPr>
        <w:t xml:space="preserve">cuses on emissions within Australia, over which Australia exercises direct control, and is the basis on which Australia’s international commitments are calculated.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Both Australia’s domestic emissions reductions and the purchase of international reductions</w:t>
      </w:r>
      <w:r>
        <w:rPr>
          <w:rFonts w:ascii="Georgia" w:hAnsi="Georgia" w:cs="Helvetica"/>
          <w:color w:val="333333"/>
          <w:lang w:val="en"/>
        </w:rPr>
        <w:t xml:space="preserve"> contribute to keeping warming below 2 degrees. Australia’s goals are net of trade to reflect this. If Australia’s domestic emissions were above the recommended goals, these goals could still be met with purchased international reductions. Chapter 12 discu</w:t>
      </w:r>
      <w:r>
        <w:rPr>
          <w:rFonts w:ascii="Georgia" w:hAnsi="Georgia" w:cs="Helvetica"/>
          <w:color w:val="333333"/>
          <w:lang w:val="en"/>
        </w:rPr>
        <w:t xml:space="preserve">sses the role of international reductions in more detail. </w:t>
      </w:r>
    </w:p>
    <w:p w:rsidR="00000000" w:rsidRDefault="004C239D">
      <w:pPr>
        <w:pStyle w:val="Heading2"/>
        <w:shd w:val="clear" w:color="auto" w:fill="F5F5F5"/>
        <w:divId w:val="882837013"/>
        <w:rPr>
          <w:rFonts w:eastAsia="Times New Roman" w:cs="Helvetica"/>
          <w:color w:val="333333"/>
          <w:lang w:val="en"/>
        </w:rPr>
      </w:pPr>
      <w:r>
        <w:rPr>
          <w:rFonts w:eastAsia="Times New Roman" w:cs="Helvetica"/>
          <w:color w:val="333333"/>
          <w:lang w:val="en"/>
        </w:rPr>
        <w:t>Box 7.1: Kyoto Protocol accounting framework</w:t>
      </w:r>
    </w:p>
    <w:p w:rsidR="00000000" w:rsidRDefault="004C239D">
      <w:pPr>
        <w:pStyle w:val="NormalWeb"/>
        <w:shd w:val="clear" w:color="auto" w:fill="F5F5F5"/>
        <w:spacing w:line="300" w:lineRule="atLeast"/>
        <w:divId w:val="882837013"/>
        <w:rPr>
          <w:rFonts w:ascii="Georgia" w:hAnsi="Georgia" w:cs="Helvetica"/>
          <w:color w:val="333333"/>
          <w:lang w:val="en"/>
        </w:rPr>
      </w:pPr>
      <w:r>
        <w:rPr>
          <w:rFonts w:ascii="Georgia" w:hAnsi="Georgia" w:cs="Helvetica"/>
          <w:color w:val="333333"/>
          <w:lang w:val="en"/>
        </w:rPr>
        <w:t>The Kyoto Protocol provides guidance about the emissions countries must count towards their emissions reduction commitments and the units that can be us</w:t>
      </w:r>
      <w:r>
        <w:rPr>
          <w:rFonts w:ascii="Georgia" w:hAnsi="Georgia" w:cs="Helvetica"/>
          <w:color w:val="333333"/>
          <w:lang w:val="en"/>
        </w:rPr>
        <w:t>ed to meet a commitment. For the second commitment period, Kyoto Protocol rules count emissions:</w:t>
      </w:r>
    </w:p>
    <w:p w:rsidR="00000000" w:rsidRDefault="004C239D">
      <w:pPr>
        <w:numPr>
          <w:ilvl w:val="0"/>
          <w:numId w:val="9"/>
        </w:numPr>
        <w:shd w:val="clear" w:color="auto" w:fill="F5F5F5"/>
        <w:spacing w:before="100" w:beforeAutospacing="1" w:after="100" w:afterAutospacing="1" w:line="300" w:lineRule="atLeast"/>
        <w:ind w:left="375"/>
        <w:divId w:val="882837013"/>
        <w:rPr>
          <w:rFonts w:ascii="Georgia" w:eastAsia="Times New Roman" w:hAnsi="Georgia" w:cs="Helvetica"/>
          <w:color w:val="333333"/>
          <w:lang w:val="en"/>
        </w:rPr>
      </w:pPr>
      <w:r>
        <w:rPr>
          <w:rFonts w:ascii="Georgia" w:eastAsia="Times New Roman" w:hAnsi="Georgia" w:cs="Helvetica"/>
          <w:color w:val="333333"/>
          <w:lang w:val="en"/>
        </w:rPr>
        <w:t xml:space="preserve">of seven greenhouse gases (carbon dioxide, methane, nitrous oxide, </w:t>
      </w:r>
      <w:proofErr w:type="spellStart"/>
      <w:r>
        <w:rPr>
          <w:rFonts w:ascii="Georgia" w:eastAsia="Times New Roman" w:hAnsi="Georgia" w:cs="Helvetica"/>
          <w:color w:val="333333"/>
          <w:lang w:val="en"/>
        </w:rPr>
        <w:t>hydrofluorocarbons</w:t>
      </w:r>
      <w:proofErr w:type="spellEnd"/>
      <w:r>
        <w:rPr>
          <w:rFonts w:ascii="Georgia" w:eastAsia="Times New Roman" w:hAnsi="Georgia" w:cs="Helvetica"/>
          <w:color w:val="333333"/>
          <w:lang w:val="en"/>
        </w:rPr>
        <w:t xml:space="preserve">, </w:t>
      </w:r>
      <w:proofErr w:type="spellStart"/>
      <w:r>
        <w:rPr>
          <w:rFonts w:ascii="Georgia" w:eastAsia="Times New Roman" w:hAnsi="Georgia" w:cs="Helvetica"/>
          <w:color w:val="333333"/>
          <w:lang w:val="en"/>
        </w:rPr>
        <w:t>perfluorocarbons</w:t>
      </w:r>
      <w:proofErr w:type="spellEnd"/>
      <w:r>
        <w:rPr>
          <w:rFonts w:ascii="Georgia" w:eastAsia="Times New Roman" w:hAnsi="Georgia" w:cs="Helvetica"/>
          <w:color w:val="333333"/>
          <w:lang w:val="en"/>
        </w:rPr>
        <w:t xml:space="preserve">, </w:t>
      </w:r>
      <w:proofErr w:type="spellStart"/>
      <w:r>
        <w:rPr>
          <w:rFonts w:ascii="Georgia" w:eastAsia="Times New Roman" w:hAnsi="Georgia" w:cs="Helvetica"/>
          <w:color w:val="333333"/>
          <w:lang w:val="en"/>
        </w:rPr>
        <w:t>sulphur</w:t>
      </w:r>
      <w:proofErr w:type="spellEnd"/>
      <w:r>
        <w:rPr>
          <w:rFonts w:ascii="Georgia" w:eastAsia="Times New Roman" w:hAnsi="Georgia" w:cs="Helvetica"/>
          <w:color w:val="333333"/>
          <w:lang w:val="en"/>
        </w:rPr>
        <w:t xml:space="preserve"> </w:t>
      </w:r>
      <w:proofErr w:type="spellStart"/>
      <w:r>
        <w:rPr>
          <w:rFonts w:ascii="Georgia" w:eastAsia="Times New Roman" w:hAnsi="Georgia" w:cs="Helvetica"/>
          <w:color w:val="333333"/>
          <w:lang w:val="en"/>
        </w:rPr>
        <w:t>hexfluoride</w:t>
      </w:r>
      <w:proofErr w:type="spellEnd"/>
      <w:r>
        <w:rPr>
          <w:rFonts w:ascii="Georgia" w:eastAsia="Times New Roman" w:hAnsi="Georgia" w:cs="Helvetica"/>
          <w:color w:val="333333"/>
          <w:lang w:val="en"/>
        </w:rPr>
        <w:t xml:space="preserve"> and nitrogen </w:t>
      </w:r>
      <w:proofErr w:type="spellStart"/>
      <w:r>
        <w:rPr>
          <w:rFonts w:ascii="Georgia" w:eastAsia="Times New Roman" w:hAnsi="Georgia" w:cs="Helvetica"/>
          <w:color w:val="333333"/>
          <w:lang w:val="en"/>
        </w:rPr>
        <w:t>trifluoride</w:t>
      </w:r>
      <w:proofErr w:type="spellEnd"/>
      <w:r>
        <w:rPr>
          <w:rFonts w:ascii="Georgia" w:eastAsia="Times New Roman" w:hAnsi="Georgia" w:cs="Helvetica"/>
          <w:color w:val="333333"/>
          <w:lang w:val="en"/>
        </w:rPr>
        <w:t>)</w:t>
      </w:r>
    </w:p>
    <w:p w:rsidR="00000000" w:rsidRDefault="004C239D">
      <w:pPr>
        <w:numPr>
          <w:ilvl w:val="0"/>
          <w:numId w:val="9"/>
        </w:numPr>
        <w:shd w:val="clear" w:color="auto" w:fill="F5F5F5"/>
        <w:spacing w:before="100" w:beforeAutospacing="1" w:after="100" w:afterAutospacing="1" w:line="300" w:lineRule="atLeast"/>
        <w:ind w:left="375"/>
        <w:divId w:val="882837013"/>
        <w:rPr>
          <w:rFonts w:ascii="Georgia" w:eastAsia="Times New Roman" w:hAnsi="Georgia" w:cs="Helvetica"/>
          <w:color w:val="333333"/>
          <w:lang w:val="en"/>
        </w:rPr>
      </w:pPr>
      <w:r>
        <w:rPr>
          <w:rFonts w:ascii="Georgia" w:eastAsia="Times New Roman" w:hAnsi="Georgia" w:cs="Helvetica"/>
          <w:color w:val="333333"/>
          <w:lang w:val="en"/>
        </w:rPr>
        <w:t>from the sectors and sources of energy, industrial processes, solvent and other product use, agriculture and waste</w:t>
      </w:r>
    </w:p>
    <w:p w:rsidR="00000000" w:rsidRDefault="004C239D">
      <w:pPr>
        <w:numPr>
          <w:ilvl w:val="0"/>
          <w:numId w:val="9"/>
        </w:numPr>
        <w:shd w:val="clear" w:color="auto" w:fill="F5F5F5"/>
        <w:spacing w:before="100" w:beforeAutospacing="1" w:after="100" w:afterAutospacing="1" w:line="300" w:lineRule="atLeast"/>
        <w:ind w:left="375"/>
        <w:divId w:val="882837013"/>
        <w:rPr>
          <w:rFonts w:ascii="Georgia" w:eastAsia="Times New Roman" w:hAnsi="Georgia" w:cs="Helvetica"/>
          <w:color w:val="333333"/>
          <w:lang w:val="en"/>
        </w:rPr>
      </w:pPr>
      <w:proofErr w:type="gramStart"/>
      <w:r>
        <w:rPr>
          <w:rFonts w:ascii="Georgia" w:eastAsia="Times New Roman" w:hAnsi="Georgia" w:cs="Helvetica"/>
          <w:color w:val="333333"/>
          <w:lang w:val="en"/>
        </w:rPr>
        <w:t>from</w:t>
      </w:r>
      <w:proofErr w:type="gramEnd"/>
      <w:r>
        <w:rPr>
          <w:rFonts w:ascii="Georgia" w:eastAsia="Times New Roman" w:hAnsi="Georgia" w:cs="Helvetica"/>
          <w:color w:val="333333"/>
          <w:lang w:val="en"/>
        </w:rPr>
        <w:t xml:space="preserve"> the land sector, including afforestation, reforestation and deforestation, and forest management; and countries have the option to elect</w:t>
      </w:r>
      <w:r>
        <w:rPr>
          <w:rFonts w:ascii="Georgia" w:eastAsia="Times New Roman" w:hAnsi="Georgia" w:cs="Helvetica"/>
          <w:color w:val="333333"/>
          <w:lang w:val="en"/>
        </w:rPr>
        <w:t xml:space="preserve"> cropland management, grazing land management and </w:t>
      </w:r>
      <w:proofErr w:type="spellStart"/>
      <w:r>
        <w:rPr>
          <w:rFonts w:ascii="Georgia" w:eastAsia="Times New Roman" w:hAnsi="Georgia" w:cs="Helvetica"/>
          <w:color w:val="333333"/>
          <w:lang w:val="en"/>
        </w:rPr>
        <w:t>revegetation</w:t>
      </w:r>
      <w:proofErr w:type="spellEnd"/>
      <w:r>
        <w:rPr>
          <w:rFonts w:ascii="Georgia" w:eastAsia="Times New Roman" w:hAnsi="Georgia" w:cs="Helvetica"/>
          <w:color w:val="333333"/>
          <w:lang w:val="en"/>
        </w:rPr>
        <w:t xml:space="preserve"> activities.</w:t>
      </w:r>
    </w:p>
    <w:p w:rsidR="00000000" w:rsidRDefault="004C239D">
      <w:pPr>
        <w:pStyle w:val="NormalWeb"/>
        <w:shd w:val="clear" w:color="auto" w:fill="F5F5F5"/>
        <w:spacing w:line="300" w:lineRule="atLeast"/>
        <w:divId w:val="882837013"/>
        <w:rPr>
          <w:rFonts w:ascii="Georgia" w:hAnsi="Georgia" w:cs="Helvetica"/>
          <w:color w:val="333333"/>
          <w:lang w:val="en"/>
        </w:rPr>
      </w:pPr>
      <w:r>
        <w:rPr>
          <w:rFonts w:ascii="Georgia" w:hAnsi="Georgia" w:cs="Helvetica"/>
          <w:color w:val="333333"/>
          <w:lang w:val="en"/>
        </w:rPr>
        <w:lastRenderedPageBreak/>
        <w:t>The Kyoto Protocol counts national emissions on a net basis—countries’ domestic emissions are adjusted for any imports and exports of emission units. It only allows units created un</w:t>
      </w:r>
      <w:r>
        <w:rPr>
          <w:rFonts w:ascii="Georgia" w:hAnsi="Georgia" w:cs="Helvetica"/>
          <w:color w:val="333333"/>
          <w:lang w:val="en"/>
        </w:rPr>
        <w:t xml:space="preserve">der the UNFCCC and the Protocol to be used to meet Protocol emissions reduction commitments. For example, this includes units generated from emissions reduction projects in developing countries under the Clean Development Mechanism but it does not include </w:t>
      </w:r>
      <w:r>
        <w:rPr>
          <w:rFonts w:ascii="Georgia" w:hAnsi="Georgia" w:cs="Helvetica"/>
          <w:color w:val="333333"/>
          <w:lang w:val="en"/>
        </w:rPr>
        <w:t>units generated from reducing deforestation in developing countries.</w:t>
      </w:r>
    </w:p>
    <w:p w:rsidR="00000000" w:rsidRDefault="004C239D">
      <w:pPr>
        <w:pStyle w:val="NormalWeb"/>
        <w:shd w:val="clear" w:color="auto" w:fill="F5F5F5"/>
        <w:spacing w:line="300" w:lineRule="atLeast"/>
        <w:divId w:val="882837013"/>
        <w:rPr>
          <w:rFonts w:ascii="Georgia" w:hAnsi="Georgia" w:cs="Helvetica"/>
          <w:color w:val="333333"/>
          <w:lang w:val="en"/>
        </w:rPr>
      </w:pPr>
      <w:r>
        <w:rPr>
          <w:rFonts w:ascii="Georgia" w:hAnsi="Georgia" w:cs="Helvetica"/>
          <w:color w:val="333333"/>
          <w:lang w:val="en"/>
        </w:rPr>
        <w:t>The government could choose to set additional goals that reach beyond its Kyoto Protocol commitment and count a broader range of international emissions reductions towards those goals. Th</w:t>
      </w:r>
      <w:r>
        <w:rPr>
          <w:rFonts w:ascii="Georgia" w:hAnsi="Georgia" w:cs="Helvetica"/>
          <w:color w:val="333333"/>
          <w:lang w:val="en"/>
        </w:rPr>
        <w:t xml:space="preserve">e Authority’s accounting assumptions do not preclude this—its recommended targets and budgets could be adjusted to take account of the additional emissions reductions from these other sources. </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7.3.2 Emissions from international aviation and shipping</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Inter</w:t>
      </w:r>
      <w:r>
        <w:rPr>
          <w:rFonts w:ascii="Georgia" w:hAnsi="Georgia" w:cs="Helvetica"/>
          <w:color w:val="333333"/>
          <w:lang w:val="en"/>
        </w:rPr>
        <w:t>national aviation and shipping are an important and growing source of global emissions. These emissions are not included in national commitments under the UNFCCC. Instead, they are addressed through the International Civil Aviation Organization and the Int</w:t>
      </w:r>
      <w:r>
        <w:rPr>
          <w:rFonts w:ascii="Georgia" w:hAnsi="Georgia" w:cs="Helvetica"/>
          <w:color w:val="333333"/>
          <w:lang w:val="en"/>
        </w:rPr>
        <w:t>ernational Maritime Organization, respectively (see Appendix B for further information). The Authority has therefore excluded these from Australia’s national targets, trajectories and budgets. To ensure they are accounted for at a global level, the Authori</w:t>
      </w:r>
      <w:r>
        <w:rPr>
          <w:rFonts w:ascii="Georgia" w:hAnsi="Georgia" w:cs="Helvetica"/>
          <w:color w:val="333333"/>
          <w:lang w:val="en"/>
        </w:rPr>
        <w:t xml:space="preserve">ty has deducted an allowance for emissions from international aviation and shipping from the global emissions budget before considering Australia’s share of that budget (Section 8.3).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This issue should continue to be monitored over time to take account of</w:t>
      </w:r>
      <w:r>
        <w:rPr>
          <w:rFonts w:ascii="Georgia" w:hAnsi="Georgia" w:cs="Helvetica"/>
          <w:color w:val="333333"/>
          <w:lang w:val="en"/>
        </w:rPr>
        <w:t xml:space="preserve"> further information and international developments. If these emissions are included in future national commitments, the national emissions budget should be adjusted accordingly.</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7.3.3 Voluntary action</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Most emissions reduction activities within Australia h</w:t>
      </w:r>
      <w:r>
        <w:rPr>
          <w:rFonts w:ascii="Georgia" w:hAnsi="Georgia" w:cs="Helvetica"/>
          <w:color w:val="333333"/>
          <w:lang w:val="en"/>
        </w:rPr>
        <w:t xml:space="preserve">elp meet national targets and Australia’s international obligations and undertakings. For example, the government has a range of policies and measures including the RET and Direct Action Plan to meet its goals.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Voluntary action refers to individuals and c</w:t>
      </w:r>
      <w:r>
        <w:rPr>
          <w:rFonts w:ascii="Georgia" w:hAnsi="Georgia" w:cs="Helvetica"/>
          <w:color w:val="333333"/>
          <w:lang w:val="en"/>
        </w:rPr>
        <w:t xml:space="preserve">ompanies offsetting their emissions to become ‘carbon-neutral’ and households buying </w:t>
      </w:r>
      <w:proofErr w:type="spellStart"/>
      <w:r>
        <w:rPr>
          <w:rFonts w:ascii="Georgia" w:hAnsi="Georgia" w:cs="Helvetica"/>
          <w:color w:val="333333"/>
          <w:lang w:val="en"/>
        </w:rPr>
        <w:t>GreenPower</w:t>
      </w:r>
      <w:proofErr w:type="spellEnd"/>
      <w:r>
        <w:rPr>
          <w:rFonts w:ascii="Georgia" w:hAnsi="Georgia" w:cs="Helvetica"/>
          <w:color w:val="333333"/>
          <w:lang w:val="en"/>
        </w:rPr>
        <w:t xml:space="preserve"> (a government-accredited program for energy retailers to purchase renewable energy on behalf of customers). Voluntary Action achieves emissions reductions addit</w:t>
      </w:r>
      <w:r>
        <w:rPr>
          <w:rFonts w:ascii="Georgia" w:hAnsi="Georgia" w:cs="Helvetica"/>
          <w:color w:val="333333"/>
          <w:lang w:val="en"/>
        </w:rPr>
        <w:t xml:space="preserve">ional to—that is, above and beyond—national targets.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The government has previously indicated support for voluntary action being additional to national targets (Commonwealth of Australia 2009). In 2013, Australia </w:t>
      </w:r>
      <w:r>
        <w:rPr>
          <w:rFonts w:ascii="Georgia" w:hAnsi="Georgia" w:cs="Helvetica"/>
          <w:color w:val="333333"/>
          <w:lang w:val="en"/>
        </w:rPr>
        <w:lastRenderedPageBreak/>
        <w:t>calculated the emissions reductions flowing</w:t>
      </w:r>
      <w:r>
        <w:rPr>
          <w:rFonts w:ascii="Georgia" w:hAnsi="Georgia" w:cs="Helvetica"/>
          <w:color w:val="333333"/>
          <w:lang w:val="en"/>
        </w:rPr>
        <w:t xml:space="preserve"> from </w:t>
      </w:r>
      <w:proofErr w:type="spellStart"/>
      <w:r>
        <w:rPr>
          <w:rFonts w:ascii="Georgia" w:hAnsi="Georgia" w:cs="Helvetica"/>
          <w:color w:val="333333"/>
          <w:lang w:val="en"/>
        </w:rPr>
        <w:t>recognised</w:t>
      </w:r>
      <w:proofErr w:type="spellEnd"/>
      <w:r>
        <w:rPr>
          <w:rFonts w:ascii="Georgia" w:hAnsi="Georgia" w:cs="Helvetica"/>
          <w:color w:val="333333"/>
          <w:lang w:val="en"/>
        </w:rPr>
        <w:t xml:space="preserve"> voluntary action in the period 2008–10, and cancelled 2.3 million Kyoto units (CER 2013). This ensured voluntary action delivered emissions reductions beyond the minimum required by Australia’s first Kyoto target.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recommends</w:t>
      </w:r>
      <w:r>
        <w:rPr>
          <w:rFonts w:ascii="Georgia" w:hAnsi="Georgia" w:cs="Helvetica"/>
          <w:color w:val="333333"/>
          <w:lang w:val="en"/>
        </w:rPr>
        <w:t xml:space="preserve"> that the government continue a ‘targets plus’ approach to voluntary action. This can be done by tracking the emissions reductions from </w:t>
      </w:r>
      <w:proofErr w:type="spellStart"/>
      <w:r>
        <w:rPr>
          <w:rFonts w:ascii="Georgia" w:hAnsi="Georgia" w:cs="Helvetica"/>
          <w:color w:val="333333"/>
          <w:lang w:val="en"/>
        </w:rPr>
        <w:t>recognised</w:t>
      </w:r>
      <w:proofErr w:type="spellEnd"/>
      <w:r>
        <w:rPr>
          <w:rFonts w:ascii="Georgia" w:hAnsi="Georgia" w:cs="Helvetica"/>
          <w:color w:val="333333"/>
          <w:lang w:val="en"/>
        </w:rPr>
        <w:t xml:space="preserve"> voluntary actions and, at the end of the second commitment period, cancelling an equivalent number of Kyoto u</w:t>
      </w:r>
      <w:r>
        <w:rPr>
          <w:rFonts w:ascii="Georgia" w:hAnsi="Georgia" w:cs="Helvetica"/>
          <w:color w:val="333333"/>
          <w:lang w:val="en"/>
        </w:rPr>
        <w:t xml:space="preserve">nits. The Authority has, in consultation with stakeholders, identified three forms of voluntary action that should be </w:t>
      </w:r>
      <w:proofErr w:type="spellStart"/>
      <w:r>
        <w:rPr>
          <w:rFonts w:ascii="Georgia" w:hAnsi="Georgia" w:cs="Helvetica"/>
          <w:color w:val="333333"/>
          <w:lang w:val="en"/>
        </w:rPr>
        <w:t>recognised</w:t>
      </w:r>
      <w:proofErr w:type="spellEnd"/>
      <w:r>
        <w:rPr>
          <w:rFonts w:ascii="Georgia" w:hAnsi="Georgia" w:cs="Helvetica"/>
          <w:color w:val="333333"/>
          <w:lang w:val="en"/>
        </w:rPr>
        <w:t>—</w:t>
      </w:r>
      <w:proofErr w:type="spellStart"/>
      <w:r>
        <w:rPr>
          <w:rFonts w:ascii="Georgia" w:hAnsi="Georgia" w:cs="Helvetica"/>
          <w:color w:val="333333"/>
          <w:lang w:val="en"/>
        </w:rPr>
        <w:t>GreenPower</w:t>
      </w:r>
      <w:proofErr w:type="spellEnd"/>
      <w:r>
        <w:rPr>
          <w:rFonts w:ascii="Georgia" w:hAnsi="Georgia" w:cs="Helvetica"/>
          <w:color w:val="333333"/>
          <w:lang w:val="en"/>
        </w:rPr>
        <w:t xml:space="preserve"> purchases, voluntary cancellation of domestic units (for example, Australian carbon credit units generated under the</w:t>
      </w:r>
      <w:r>
        <w:rPr>
          <w:rFonts w:ascii="Georgia" w:hAnsi="Georgia" w:cs="Helvetica"/>
          <w:color w:val="333333"/>
          <w:lang w:val="en"/>
        </w:rPr>
        <w:t xml:space="preserve"> CFI) and voluntary cancellation of renewable energy certificates generated under the RET.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has also considered voluntary action in its recommended caps (see Chapter 13).</w:t>
      </w:r>
    </w:p>
    <w:p w:rsidR="00000000" w:rsidRDefault="004C239D">
      <w:pPr>
        <w:pStyle w:val="Heading2"/>
        <w:shd w:val="clear" w:color="auto" w:fill="FCF8E3"/>
        <w:divId w:val="43531010"/>
        <w:rPr>
          <w:rFonts w:eastAsia="Times New Roman" w:cs="Helvetica"/>
          <w:color w:val="C09853"/>
          <w:lang w:val="en"/>
        </w:rPr>
      </w:pPr>
      <w:r>
        <w:rPr>
          <w:rFonts w:eastAsia="Times New Roman" w:cs="Helvetica"/>
          <w:color w:val="C09853"/>
          <w:lang w:val="en"/>
        </w:rPr>
        <w:t>Recommendation</w:t>
      </w:r>
    </w:p>
    <w:p w:rsidR="00000000" w:rsidRDefault="004C239D">
      <w:pPr>
        <w:pStyle w:val="NormalWeb"/>
        <w:shd w:val="clear" w:color="auto" w:fill="FCF8E3"/>
        <w:spacing w:line="300" w:lineRule="atLeast"/>
        <w:divId w:val="43531010"/>
        <w:rPr>
          <w:rFonts w:ascii="Georgia" w:hAnsi="Georgia" w:cs="Helvetica"/>
          <w:color w:val="C09853"/>
          <w:lang w:val="en"/>
        </w:rPr>
      </w:pPr>
      <w:r>
        <w:rPr>
          <w:rFonts w:ascii="Georgia" w:hAnsi="Georgia" w:cs="Helvetica"/>
          <w:color w:val="C09853"/>
          <w:lang w:val="en"/>
        </w:rPr>
        <w:t>R.3</w:t>
      </w:r>
      <w:r>
        <w:rPr>
          <w:rFonts w:ascii="Georgia" w:hAnsi="Georgia" w:cs="Helvetica"/>
          <w:color w:val="C09853"/>
          <w:lang w:val="en"/>
        </w:rPr>
        <w:tab/>
        <w:t xml:space="preserve">The government </w:t>
      </w:r>
      <w:proofErr w:type="spellStart"/>
      <w:r>
        <w:rPr>
          <w:rFonts w:ascii="Georgia" w:hAnsi="Georgia" w:cs="Helvetica"/>
          <w:color w:val="C09853"/>
          <w:lang w:val="en"/>
        </w:rPr>
        <w:t>recognise</w:t>
      </w:r>
      <w:proofErr w:type="spellEnd"/>
      <w:r>
        <w:rPr>
          <w:rFonts w:ascii="Georgia" w:hAnsi="Georgia" w:cs="Helvetica"/>
          <w:color w:val="C09853"/>
          <w:lang w:val="en"/>
        </w:rPr>
        <w:t xml:space="preserve"> voluntary action by cancell</w:t>
      </w:r>
      <w:r>
        <w:rPr>
          <w:rFonts w:ascii="Georgia" w:hAnsi="Georgia" w:cs="Helvetica"/>
          <w:color w:val="C09853"/>
          <w:lang w:val="en"/>
        </w:rPr>
        <w:t xml:space="preserve">ing one Kyoto Protocol unit for each </w:t>
      </w:r>
      <w:proofErr w:type="spellStart"/>
      <w:r>
        <w:rPr>
          <w:rFonts w:ascii="Georgia" w:hAnsi="Georgia" w:cs="Helvetica"/>
          <w:color w:val="C09853"/>
          <w:lang w:val="en"/>
        </w:rPr>
        <w:t>tonne</w:t>
      </w:r>
      <w:proofErr w:type="spellEnd"/>
      <w:r>
        <w:rPr>
          <w:rFonts w:ascii="Georgia" w:hAnsi="Georgia" w:cs="Helvetica"/>
          <w:color w:val="C09853"/>
          <w:lang w:val="en"/>
        </w:rPr>
        <w:t xml:space="preserve"> of emissions reductions achieved in the period 2013–2020 through:</w:t>
      </w:r>
    </w:p>
    <w:p w:rsidR="00000000" w:rsidRDefault="004C239D">
      <w:pPr>
        <w:numPr>
          <w:ilvl w:val="0"/>
          <w:numId w:val="10"/>
        </w:numPr>
        <w:shd w:val="clear" w:color="auto" w:fill="FCF8E3"/>
        <w:spacing w:before="100" w:beforeAutospacing="1" w:after="100" w:afterAutospacing="1" w:line="300" w:lineRule="atLeast"/>
        <w:ind w:left="375"/>
        <w:divId w:val="43531010"/>
        <w:rPr>
          <w:rFonts w:ascii="Georgia" w:eastAsia="Times New Roman" w:hAnsi="Georgia" w:cs="Helvetica"/>
          <w:color w:val="C09853"/>
          <w:lang w:val="en"/>
        </w:rPr>
      </w:pPr>
      <w:r>
        <w:rPr>
          <w:rFonts w:ascii="Georgia" w:eastAsia="Times New Roman" w:hAnsi="Georgia" w:cs="Helvetica"/>
          <w:color w:val="C09853"/>
          <w:lang w:val="en"/>
        </w:rPr>
        <w:t>the voluntary cancellation of domestic units,</w:t>
      </w:r>
    </w:p>
    <w:p w:rsidR="00000000" w:rsidRDefault="004C239D">
      <w:pPr>
        <w:numPr>
          <w:ilvl w:val="0"/>
          <w:numId w:val="10"/>
        </w:numPr>
        <w:shd w:val="clear" w:color="auto" w:fill="FCF8E3"/>
        <w:spacing w:before="100" w:beforeAutospacing="1" w:after="100" w:afterAutospacing="1" w:line="300" w:lineRule="atLeast"/>
        <w:ind w:left="375"/>
        <w:divId w:val="43531010"/>
        <w:rPr>
          <w:rFonts w:ascii="Georgia" w:eastAsia="Times New Roman" w:hAnsi="Georgia" w:cs="Helvetica"/>
          <w:color w:val="C09853"/>
          <w:lang w:val="en"/>
        </w:rPr>
      </w:pPr>
      <w:r>
        <w:rPr>
          <w:rFonts w:ascii="Georgia" w:eastAsia="Times New Roman" w:hAnsi="Georgia" w:cs="Helvetica"/>
          <w:color w:val="C09853"/>
          <w:lang w:val="en"/>
        </w:rPr>
        <w:t>the voluntary cancellation of renewable energy certificates, and</w:t>
      </w:r>
    </w:p>
    <w:p w:rsidR="00000000" w:rsidRDefault="004C239D">
      <w:pPr>
        <w:numPr>
          <w:ilvl w:val="0"/>
          <w:numId w:val="10"/>
        </w:numPr>
        <w:shd w:val="clear" w:color="auto" w:fill="FCF8E3"/>
        <w:spacing w:before="100" w:beforeAutospacing="1" w:after="100" w:afterAutospacing="1" w:line="300" w:lineRule="atLeast"/>
        <w:ind w:left="375"/>
        <w:divId w:val="43531010"/>
        <w:rPr>
          <w:rFonts w:ascii="Georgia" w:eastAsia="Times New Roman" w:hAnsi="Georgia" w:cs="Helvetica"/>
          <w:color w:val="C09853"/>
          <w:lang w:val="en"/>
        </w:rPr>
      </w:pPr>
      <w:proofErr w:type="spellStart"/>
      <w:r>
        <w:rPr>
          <w:rFonts w:ascii="Georgia" w:eastAsia="Times New Roman" w:hAnsi="Georgia" w:cs="Helvetica"/>
          <w:color w:val="C09853"/>
          <w:lang w:val="en"/>
        </w:rPr>
        <w:t>GreenPower</w:t>
      </w:r>
      <w:proofErr w:type="spellEnd"/>
      <w:r>
        <w:rPr>
          <w:rFonts w:ascii="Georgia" w:eastAsia="Times New Roman" w:hAnsi="Georgia" w:cs="Helvetica"/>
          <w:color w:val="C09853"/>
          <w:lang w:val="en"/>
        </w:rPr>
        <w:t xml:space="preserve"> purchases.</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7.3.4 Land sector accounting</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In 2012, Kyoto Protocol Parties agreed to new rules for accounting for land sector emissions. These rules apply for the second commitment period. They make it mandatory for Parties to account for emissions and removals from for</w:t>
      </w:r>
      <w:r>
        <w:rPr>
          <w:rFonts w:ascii="Georgia" w:hAnsi="Georgia" w:cs="Helvetica"/>
          <w:color w:val="333333"/>
          <w:lang w:val="en"/>
        </w:rPr>
        <w:t xml:space="preserve">est management, and optional to account for emissions and removals from cropland management, grazing land management and </w:t>
      </w:r>
      <w:proofErr w:type="spellStart"/>
      <w:r>
        <w:rPr>
          <w:rFonts w:ascii="Georgia" w:hAnsi="Georgia" w:cs="Helvetica"/>
          <w:color w:val="333333"/>
          <w:lang w:val="en"/>
        </w:rPr>
        <w:t>revegetation</w:t>
      </w:r>
      <w:proofErr w:type="spellEnd"/>
      <w:r>
        <w:rPr>
          <w:rFonts w:ascii="Georgia" w:hAnsi="Georgia" w:cs="Helvetica"/>
          <w:color w:val="333333"/>
          <w:lang w:val="en"/>
        </w:rPr>
        <w:t>. Australia has elected to count emissions from the optional land use activities, so the Authority has applied the same cov</w:t>
      </w:r>
      <w:r>
        <w:rPr>
          <w:rFonts w:ascii="Georgia" w:hAnsi="Georgia" w:cs="Helvetica"/>
          <w:color w:val="333333"/>
          <w:lang w:val="en"/>
        </w:rPr>
        <w:t>erage for its recommended goals.</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These accounting changes are expected to lead to net emissions reductions of approximately 12 Mt CO</w:t>
      </w:r>
      <w:r>
        <w:rPr>
          <w:rFonts w:ascii="Georgia" w:hAnsi="Georgia" w:cs="Helvetica"/>
          <w:color w:val="333333"/>
          <w:sz w:val="18"/>
          <w:szCs w:val="18"/>
          <w:vertAlign w:val="subscript"/>
          <w:lang w:val="en"/>
        </w:rPr>
        <w:t>2</w:t>
      </w:r>
      <w:r>
        <w:rPr>
          <w:rFonts w:ascii="Georgia" w:hAnsi="Georgia" w:cs="Helvetica"/>
          <w:color w:val="333333"/>
          <w:lang w:val="en"/>
        </w:rPr>
        <w:t>-e in 2020 (DIICCSRTE 2013). Overall, these activities are expected to provide 90 </w:t>
      </w:r>
      <w:r>
        <w:rPr>
          <w:rFonts w:ascii="Georgia" w:hAnsi="Georgia" w:cs="Helvetica"/>
          <w:color w:val="333333"/>
          <w:lang w:val="en"/>
        </w:rPr>
        <w:t>Mt of emissions reductions over the period 2013–2020 (see Appendix F5); this is equivalent to strengthening the 2020 target by 3 percentage points and makes any particular 2020 target easier to achieve.</w:t>
      </w:r>
    </w:p>
    <w:p w:rsidR="00000000" w:rsidRDefault="004C239D">
      <w:pPr>
        <w:pStyle w:val="Heading3"/>
        <w:divId w:val="528760133"/>
        <w:rPr>
          <w:rFonts w:eastAsia="Times New Roman" w:cs="Helvetica"/>
          <w:color w:val="333333"/>
          <w:lang w:val="en"/>
        </w:rPr>
      </w:pPr>
      <w:r>
        <w:rPr>
          <w:rFonts w:eastAsia="Times New Roman" w:cs="Helvetica"/>
          <w:color w:val="333333"/>
          <w:lang w:val="en"/>
        </w:rPr>
        <w:t>7.3.5 Carryover from the first commitment period of t</w:t>
      </w:r>
      <w:r>
        <w:rPr>
          <w:rFonts w:eastAsia="Times New Roman" w:cs="Helvetica"/>
          <w:color w:val="333333"/>
          <w:lang w:val="en"/>
        </w:rPr>
        <w:t>he Kyoto Protocol</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lastRenderedPageBreak/>
        <w:t>The Kyoto Protocol takes a budget approach to emissions reduction commitments, giving countries flexibility in meeting their targets. If emissions during a commitment period are less than the country’s target, these surplus emission units</w:t>
      </w:r>
      <w:r>
        <w:rPr>
          <w:rFonts w:ascii="Georgia" w:hAnsi="Georgia" w:cs="Helvetica"/>
          <w:color w:val="333333"/>
          <w:lang w:val="en"/>
        </w:rPr>
        <w:t xml:space="preserve"> can be carried forward into the next period. The Authority has therefore </w:t>
      </w:r>
      <w:proofErr w:type="spellStart"/>
      <w:r>
        <w:rPr>
          <w:rFonts w:ascii="Georgia" w:hAnsi="Georgia" w:cs="Helvetica"/>
          <w:color w:val="333333"/>
          <w:lang w:val="en"/>
        </w:rPr>
        <w:t>analysed</w:t>
      </w:r>
      <w:proofErr w:type="spellEnd"/>
      <w:r>
        <w:rPr>
          <w:rFonts w:ascii="Georgia" w:hAnsi="Georgia" w:cs="Helvetica"/>
          <w:color w:val="333333"/>
          <w:lang w:val="en"/>
        </w:rPr>
        <w:t xml:space="preserve"> 2020 goals and carryover on a budget basis. For example, carryover is assumed to be used towards the 2013–2020 budget, which is then converted to the corresponding 2020 targ</w:t>
      </w:r>
      <w:r>
        <w:rPr>
          <w:rFonts w:ascii="Georgia" w:hAnsi="Georgia" w:cs="Helvetica"/>
          <w:color w:val="333333"/>
          <w:lang w:val="en"/>
        </w:rPr>
        <w:t>et.</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Australia’s emissions over the first commitment period (2008–2012) averaged 104 per cent of 1990 levels, less than its 108 per cent target. As a result, Australia has an estimated 122 Mt CO</w:t>
      </w:r>
      <w:r>
        <w:rPr>
          <w:rFonts w:ascii="Georgia" w:hAnsi="Georgia" w:cs="Helvetica"/>
          <w:color w:val="333333"/>
          <w:sz w:val="18"/>
          <w:szCs w:val="18"/>
          <w:vertAlign w:val="subscript"/>
          <w:lang w:val="en"/>
        </w:rPr>
        <w:t>2</w:t>
      </w:r>
      <w:r>
        <w:rPr>
          <w:rFonts w:ascii="Georgia" w:hAnsi="Georgia" w:cs="Helvetica"/>
          <w:color w:val="333333"/>
          <w:lang w:val="en"/>
        </w:rPr>
        <w:t>-e of surplus emission units. Voluntary action during the firs</w:t>
      </w:r>
      <w:r>
        <w:rPr>
          <w:rFonts w:ascii="Georgia" w:hAnsi="Georgia" w:cs="Helvetica"/>
          <w:color w:val="333333"/>
          <w:lang w:val="en"/>
        </w:rPr>
        <w:t>t commitment period delivered an estimated 5 Mt of emissions reductions. This means Australia has an estimated 116 Mt CO</w:t>
      </w:r>
      <w:r>
        <w:rPr>
          <w:rFonts w:ascii="Georgia" w:hAnsi="Georgia" w:cs="Helvetica"/>
          <w:color w:val="333333"/>
          <w:sz w:val="18"/>
          <w:szCs w:val="18"/>
          <w:vertAlign w:val="subscript"/>
          <w:lang w:val="en"/>
        </w:rPr>
        <w:t>2</w:t>
      </w:r>
      <w:r>
        <w:rPr>
          <w:rFonts w:ascii="Georgia" w:hAnsi="Georgia" w:cs="Helvetica"/>
          <w:color w:val="333333"/>
          <w:lang w:val="en"/>
        </w:rPr>
        <w:t>-e to carryover</w:t>
      </w:r>
      <w:r>
        <w:rPr>
          <w:rFonts w:ascii="Georgia" w:hAnsi="Georgia" w:cs="Helvetica"/>
          <w:color w:val="333333"/>
          <w:lang w:val="en"/>
        </w:rPr>
        <w:t>.</w:t>
      </w:r>
      <w:hyperlink w:anchor="footnote-194814-1" w:history="1">
        <w:r>
          <w:rPr>
            <w:rStyle w:val="Hyperlink"/>
            <w:rFonts w:ascii="Georgia" w:hAnsi="Georgia" w:cs="Helvetica"/>
            <w:sz w:val="18"/>
            <w:szCs w:val="18"/>
            <w:vertAlign w:val="superscript"/>
            <w:lang w:val="en"/>
          </w:rPr>
          <w:t>1</w:t>
        </w:r>
      </w:hyperlink>
      <w:r>
        <w:rPr>
          <w:rFonts w:ascii="Georgia" w:hAnsi="Georgia" w:cs="Helvetica"/>
          <w:color w:val="333333"/>
          <w:lang w:val="en"/>
        </w:rPr>
        <w:t xml:space="preserve">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Australia has a choice of how to use this carryover:</w:t>
      </w:r>
    </w:p>
    <w:p w:rsidR="00000000" w:rsidRDefault="004C239D">
      <w:pPr>
        <w:numPr>
          <w:ilvl w:val="0"/>
          <w:numId w:val="11"/>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use to help meet its 20</w:t>
      </w:r>
      <w:r>
        <w:rPr>
          <w:rFonts w:ascii="Georgia" w:eastAsia="Times New Roman" w:hAnsi="Georgia" w:cs="Helvetica"/>
          <w:color w:val="333333"/>
          <w:lang w:val="en"/>
        </w:rPr>
        <w:t>20 emissions reduction target</w:t>
      </w:r>
    </w:p>
    <w:p w:rsidR="00000000" w:rsidRDefault="004C239D">
      <w:pPr>
        <w:numPr>
          <w:ilvl w:val="0"/>
          <w:numId w:val="11"/>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hold in reserve as insurance and decide later which option to choose</w:t>
      </w:r>
    </w:p>
    <w:p w:rsidR="00000000" w:rsidRDefault="004C239D">
      <w:pPr>
        <w:numPr>
          <w:ilvl w:val="0"/>
          <w:numId w:val="11"/>
        </w:numPr>
        <w:spacing w:before="100" w:beforeAutospacing="1" w:after="100" w:afterAutospacing="1" w:line="300" w:lineRule="atLeast"/>
        <w:ind w:left="375"/>
        <w:divId w:val="528760133"/>
        <w:rPr>
          <w:rFonts w:ascii="Georgia" w:eastAsia="Times New Roman" w:hAnsi="Georgia" w:cs="Helvetica"/>
          <w:color w:val="333333"/>
          <w:lang w:val="en"/>
        </w:rPr>
      </w:pPr>
      <w:r>
        <w:rPr>
          <w:rFonts w:ascii="Georgia" w:eastAsia="Times New Roman" w:hAnsi="Georgia" w:cs="Helvetica"/>
          <w:color w:val="333333"/>
          <w:lang w:val="en"/>
        </w:rPr>
        <w:t>voluntarily cancel the extra units</w:t>
      </w:r>
    </w:p>
    <w:p w:rsidR="00000000" w:rsidRDefault="004C239D">
      <w:pPr>
        <w:numPr>
          <w:ilvl w:val="0"/>
          <w:numId w:val="11"/>
        </w:numPr>
        <w:spacing w:before="100" w:beforeAutospacing="1" w:after="100" w:afterAutospacing="1" w:line="300" w:lineRule="atLeast"/>
        <w:ind w:left="375"/>
        <w:divId w:val="528760133"/>
        <w:rPr>
          <w:rFonts w:ascii="Georgia" w:eastAsia="Times New Roman" w:hAnsi="Georgia" w:cs="Helvetica"/>
          <w:color w:val="333333"/>
          <w:lang w:val="en"/>
        </w:rPr>
      </w:pPr>
      <w:proofErr w:type="gramStart"/>
      <w:r>
        <w:rPr>
          <w:rFonts w:ascii="Georgia" w:eastAsia="Times New Roman" w:hAnsi="Georgia" w:cs="Helvetica"/>
          <w:color w:val="333333"/>
          <w:lang w:val="en"/>
        </w:rPr>
        <w:t>use</w:t>
      </w:r>
      <w:proofErr w:type="gramEnd"/>
      <w:r>
        <w:rPr>
          <w:rFonts w:ascii="Georgia" w:eastAsia="Times New Roman" w:hAnsi="Georgia" w:cs="Helvetica"/>
          <w:color w:val="333333"/>
          <w:lang w:val="en"/>
        </w:rPr>
        <w:t xml:space="preserve"> to strengthen the 2020 target.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The Authority considered these options and their implications for environmental effect</w:t>
      </w:r>
      <w:r>
        <w:rPr>
          <w:rFonts w:ascii="Georgia" w:hAnsi="Georgia" w:cs="Helvetica"/>
          <w:color w:val="333333"/>
          <w:lang w:val="en"/>
        </w:rPr>
        <w:t>iveness, economic impacts and Australia’s international influence.</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If the carryover was used to help meet the existing, minimum 5 per cent 2020 target, it would reduce costs (relative to meeting the 5 per cent target without carryover) but deliver no envir</w:t>
      </w:r>
      <w:r>
        <w:rPr>
          <w:rFonts w:ascii="Georgia" w:hAnsi="Georgia" w:cs="Helvetica"/>
          <w:color w:val="333333"/>
          <w:lang w:val="en"/>
        </w:rPr>
        <w:t>onmental benefit, nor any positive influence on international action. Under this option, Australia’s effective 2020 target would be 1 per cent below 2000 levels, as carryover is sufficient to cover the remaining 4 percentage points. Given the strengthening</w:t>
      </w:r>
      <w:r>
        <w:rPr>
          <w:rFonts w:ascii="Georgia" w:hAnsi="Georgia" w:cs="Helvetica"/>
          <w:color w:val="333333"/>
          <w:lang w:val="en"/>
        </w:rPr>
        <w:t xml:space="preserve"> trend of international action, Australia’s capacity to reduce emissions and revised projections that show the emissions reduction task is already smaller than previously expected (discussed in Section 10.2), the Authority does not consider this an appropr</w:t>
      </w:r>
      <w:r>
        <w:rPr>
          <w:rFonts w:ascii="Georgia" w:hAnsi="Georgia" w:cs="Helvetica"/>
          <w:color w:val="333333"/>
          <w:lang w:val="en"/>
        </w:rPr>
        <w:t>iate approach.</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In the context of setting caps for the carbon pricing mechanism, some stakeholders suggested the government hold the carryover as insurance for unexpected events. The Authority considered these risks and determined there is no need for this </w:t>
      </w:r>
      <w:r>
        <w:rPr>
          <w:rFonts w:ascii="Georgia" w:hAnsi="Georgia" w:cs="Helvetica"/>
          <w:color w:val="333333"/>
          <w:lang w:val="en"/>
        </w:rPr>
        <w:t xml:space="preserve">insurance (see Section 13.4).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A range of stakeholders supported voluntarily cancelling the carryover, including the Australian Conservation Foundation (</w:t>
      </w:r>
      <w:r>
        <w:rPr>
          <w:rStyle w:val="Emphasis"/>
          <w:rFonts w:ascii="Georgia" w:hAnsi="Georgia" w:cs="Helvetica"/>
          <w:color w:val="333333"/>
          <w:lang w:val="en"/>
        </w:rPr>
        <w:t>Issues Paper submission</w:t>
      </w:r>
      <w:r>
        <w:rPr>
          <w:rFonts w:ascii="Georgia" w:hAnsi="Georgia" w:cs="Helvetica"/>
          <w:color w:val="333333"/>
          <w:lang w:val="en"/>
        </w:rPr>
        <w:t>, p. 11). This option has the environmental benefit of permanently reducing Aust</w:t>
      </w:r>
      <w:r>
        <w:rPr>
          <w:rFonts w:ascii="Georgia" w:hAnsi="Georgia" w:cs="Helvetica"/>
          <w:color w:val="333333"/>
          <w:lang w:val="en"/>
        </w:rPr>
        <w:t>ralia’s emissions by the amount of the carryover but, given very few other countries have carryover, is unlikely to have any influence internationally.</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 xml:space="preserve">Using the carryover to strengthen the 2020 target allows Australia to adopt a more ambitious target for </w:t>
      </w:r>
      <w:r>
        <w:rPr>
          <w:rFonts w:ascii="Georgia" w:hAnsi="Georgia" w:cs="Helvetica"/>
          <w:color w:val="333333"/>
          <w:lang w:val="en"/>
        </w:rPr>
        <w:t xml:space="preserve">no additional cost, compared to meeting a weaker target without carryover, as the reductions have already been made and can now be used. This has the same environmental benefit as cancelling the carryover, but is more visible </w:t>
      </w:r>
      <w:r>
        <w:rPr>
          <w:rFonts w:ascii="Georgia" w:hAnsi="Georgia" w:cs="Helvetica"/>
          <w:color w:val="333333"/>
          <w:lang w:val="en"/>
        </w:rPr>
        <w:lastRenderedPageBreak/>
        <w:t xml:space="preserve">internationally. As a result, </w:t>
      </w:r>
      <w:r>
        <w:rPr>
          <w:rFonts w:ascii="Georgia" w:hAnsi="Georgia" w:cs="Helvetica"/>
          <w:color w:val="333333"/>
          <w:lang w:val="en"/>
        </w:rPr>
        <w:t xml:space="preserve">it is more likely to influence other countries to strengthen their goals, </w:t>
      </w:r>
      <w:proofErr w:type="spellStart"/>
      <w:r>
        <w:rPr>
          <w:rFonts w:ascii="Georgia" w:hAnsi="Georgia" w:cs="Helvetica"/>
          <w:color w:val="333333"/>
          <w:lang w:val="en"/>
        </w:rPr>
        <w:t>maximising</w:t>
      </w:r>
      <w:proofErr w:type="spellEnd"/>
      <w:r>
        <w:rPr>
          <w:rFonts w:ascii="Georgia" w:hAnsi="Georgia" w:cs="Helvetica"/>
          <w:color w:val="333333"/>
          <w:lang w:val="en"/>
        </w:rPr>
        <w:t xml:space="preserve"> the potential environmental benefits. Strengthening the target by 4 percentage points is equal to an additional 122 Mt CO</w:t>
      </w:r>
      <w:r>
        <w:rPr>
          <w:rFonts w:ascii="Georgia" w:hAnsi="Georgia" w:cs="Helvetica"/>
          <w:color w:val="333333"/>
          <w:sz w:val="18"/>
          <w:szCs w:val="18"/>
          <w:vertAlign w:val="subscript"/>
          <w:lang w:val="en"/>
        </w:rPr>
        <w:t>2</w:t>
      </w:r>
      <w:r>
        <w:rPr>
          <w:rFonts w:ascii="Georgia" w:hAnsi="Georgia" w:cs="Helvetica"/>
          <w:color w:val="333333"/>
          <w:lang w:val="en"/>
        </w:rPr>
        <w:t>-e of emissions reductions; roughly equivalent to</w:t>
      </w:r>
      <w:r>
        <w:rPr>
          <w:rFonts w:ascii="Georgia" w:hAnsi="Georgia" w:cs="Helvetica"/>
          <w:color w:val="333333"/>
          <w:lang w:val="en"/>
        </w:rPr>
        <w:t xml:space="preserve"> Australia’s carryover (Figure 7.2).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color w:val="333333"/>
          <w:lang w:val="en"/>
        </w:rPr>
        <w:t>On balance, the Authority recommends the carryover be used to strengthen Australia’s target.</w:t>
      </w:r>
    </w:p>
    <w:p w:rsidR="00000000" w:rsidRDefault="004C239D">
      <w:pPr>
        <w:pStyle w:val="Heading2"/>
        <w:divId w:val="528760133"/>
        <w:rPr>
          <w:rFonts w:eastAsia="Times New Roman" w:cs="Helvetica"/>
          <w:color w:val="333333"/>
          <w:lang w:val="en"/>
        </w:rPr>
      </w:pPr>
      <w:r>
        <w:rPr>
          <w:rFonts w:eastAsia="Times New Roman" w:cs="Helvetica"/>
          <w:color w:val="333333"/>
          <w:lang w:val="en"/>
        </w:rPr>
        <w:t xml:space="preserve">Figure 7.2: Carryover relative to the 2013–2020 budget and 2020 target </w:t>
      </w:r>
    </w:p>
    <w:p w:rsidR="00000000" w:rsidRDefault="004C239D">
      <w:pPr>
        <w:pStyle w:val="NormalWeb"/>
        <w:spacing w:line="300" w:lineRule="atLeast"/>
        <w:divId w:val="528760133"/>
        <w:rPr>
          <w:rFonts w:ascii="Georgia" w:hAnsi="Georgia" w:cs="Helvetica"/>
          <w:color w:val="333333"/>
          <w:lang w:val="en"/>
        </w:rPr>
      </w:pPr>
      <w:r>
        <w:rPr>
          <w:rFonts w:ascii="Georgia" w:hAnsi="Georgia" w:cs="Helvetica"/>
          <w:noProof/>
          <w:color w:val="333333"/>
        </w:rPr>
        <w:drawing>
          <wp:inline distT="0" distB="0" distL="0" distR="0">
            <wp:extent cx="5907600" cy="3289680"/>
            <wp:effectExtent l="0" t="0" r="0" b="0"/>
            <wp:docPr id="2" name="Picture 2" descr="This is an illustrative line graph that shows how Australia’s carryover could be used to strengthen the 2020 target by 4 percentage points. The graph charts emissions on the vertical axis and years (2000–2020) on the horizontal axis. The graph depicts two green shaded areas of equal size. The first shaded area is between 2008 and 2012 and is bounded on top by a dotted line  depicting Australia’s target for the first commitment of the Kyoto Protocol (108 per cent of 1990 emissions on average between 2008 and 2012), and underneath by Australia’s actual emissions for that period. The second shaded area is between 2013 and 2020, bounded by a straight lines from the first commitment period target in 2010 to two points in 2020 – the first to a 5 per cent target, the second to a 9 per cent target (both below 2000 levels). Both shaded areas are equal to Australia’s carryover of 116 megatonnes of carbon dioxide equiva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n illustrative line graph that shows how Australia’s carryover could be used to strengthen the 2020 target by 4 percentage points. The graph charts emissions on the vertical axis and years (2000–2020) on the horizontal axis. The graph depicts two green shaded areas of equal size. The first shaded area is between 2008 and 2012 and is bounded on top by a dotted line  depicting Australia’s target for the first commitment of the Kyoto Protocol (108 per cent of 1990 emissions on average between 2008 and 2012), and underneath by Australia’s actual emissions for that period. The second shaded area is between 2013 and 2020, bounded by a straight lines from the first commitment period target in 2010 to two points in 2020 – the first to a 5 per cent target, the second to a 9 per cent target (both below 2000 levels). Both shaded areas are equal to Australia’s carryover of 116 megatonnes of carbon dioxide equival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600" cy="3289680"/>
                    </a:xfrm>
                    <a:prstGeom prst="rect">
                      <a:avLst/>
                    </a:prstGeom>
                    <a:noFill/>
                    <a:ln>
                      <a:noFill/>
                    </a:ln>
                  </pic:spPr>
                </pic:pic>
              </a:graphicData>
            </a:graphic>
          </wp:inline>
        </w:drawing>
      </w:r>
      <w:r>
        <w:rPr>
          <w:rFonts w:ascii="Georgia" w:hAnsi="Georgia" w:cs="Helvetica"/>
          <w:color w:val="333333"/>
          <w:lang w:val="en"/>
        </w:rPr>
        <w:t> </w:t>
      </w:r>
    </w:p>
    <w:p w:rsidR="00000000" w:rsidRDefault="004C239D">
      <w:pPr>
        <w:pStyle w:val="NormalWeb"/>
        <w:spacing w:line="300" w:lineRule="atLeast"/>
        <w:divId w:val="528760133"/>
        <w:rPr>
          <w:rFonts w:ascii="Georgia" w:hAnsi="Georgia" w:cs="Helvetica"/>
          <w:color w:val="333333"/>
          <w:lang w:val="en"/>
        </w:rPr>
      </w:pPr>
      <w:r>
        <w:rPr>
          <w:rStyle w:val="Strong"/>
          <w:rFonts w:ascii="Georgia" w:hAnsi="Georgia" w:cs="Helvetica"/>
          <w:color w:val="333333"/>
          <w:lang w:val="en"/>
        </w:rPr>
        <w:t xml:space="preserve">Note: </w:t>
      </w:r>
      <w:r>
        <w:rPr>
          <w:rFonts w:ascii="Georgia" w:hAnsi="Georgia" w:cs="Helvetica"/>
          <w:color w:val="333333"/>
          <w:lang w:val="en"/>
        </w:rPr>
        <w:t xml:space="preserve">As discussed in Section 7.1, the indicative national </w:t>
      </w:r>
      <w:r>
        <w:rPr>
          <w:rFonts w:ascii="Georgia" w:hAnsi="Georgia" w:cs="Helvetica"/>
          <w:color w:val="333333"/>
          <w:lang w:val="en"/>
        </w:rPr>
        <w:t xml:space="preserve">trajectory begins at 108 per </w:t>
      </w:r>
      <w:bookmarkStart w:id="0" w:name="_GoBack"/>
      <w:bookmarkEnd w:id="0"/>
      <w:r>
        <w:rPr>
          <w:rFonts w:ascii="Georgia" w:hAnsi="Georgia" w:cs="Helvetica"/>
          <w:color w:val="333333"/>
          <w:lang w:val="en"/>
        </w:rPr>
        <w:t>cent of 1990 emissions in 2010 to be consistent with Australia’s commitments under the Kyoto Protocol. Strengthening the 2020 target by 4 percentage points requires an additional 122 Mt CO</w:t>
      </w:r>
      <w:r>
        <w:rPr>
          <w:rFonts w:ascii="Georgia" w:hAnsi="Georgia" w:cs="Helvetica"/>
          <w:color w:val="333333"/>
          <w:sz w:val="18"/>
          <w:szCs w:val="18"/>
          <w:vertAlign w:val="subscript"/>
          <w:lang w:val="en"/>
        </w:rPr>
        <w:t>2</w:t>
      </w:r>
      <w:r>
        <w:rPr>
          <w:rFonts w:ascii="Georgia" w:hAnsi="Georgia" w:cs="Helvetica"/>
          <w:color w:val="333333"/>
          <w:lang w:val="en"/>
        </w:rPr>
        <w:t>-e of abatement over 2013–2020. This i</w:t>
      </w:r>
      <w:r>
        <w:rPr>
          <w:rFonts w:ascii="Georgia" w:hAnsi="Georgia" w:cs="Helvetica"/>
          <w:color w:val="333333"/>
          <w:lang w:val="en"/>
        </w:rPr>
        <w:t>s provided by carryover plus 5 Mt CO</w:t>
      </w:r>
      <w:r>
        <w:rPr>
          <w:rFonts w:ascii="Georgia" w:hAnsi="Georgia" w:cs="Helvetica"/>
          <w:color w:val="333333"/>
          <w:sz w:val="18"/>
          <w:szCs w:val="18"/>
          <w:vertAlign w:val="subscript"/>
          <w:lang w:val="en"/>
        </w:rPr>
        <w:t>2</w:t>
      </w:r>
      <w:r>
        <w:rPr>
          <w:rFonts w:ascii="Georgia" w:hAnsi="Georgia" w:cs="Helvetica"/>
          <w:color w:val="333333"/>
          <w:lang w:val="en"/>
        </w:rPr>
        <w:t>-e of additional effort (see Chapter 10). Figures do not add due to rounding.</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Climate Change Authority</w:t>
      </w:r>
    </w:p>
    <w:p w:rsidR="00000000" w:rsidRDefault="004C239D">
      <w:pPr>
        <w:pStyle w:val="Heading2"/>
        <w:shd w:val="clear" w:color="auto" w:fill="FCF8E3"/>
        <w:divId w:val="14308295"/>
        <w:rPr>
          <w:rFonts w:eastAsia="Times New Roman" w:cs="Helvetica"/>
          <w:color w:val="C09853"/>
          <w:lang w:val="en"/>
        </w:rPr>
      </w:pPr>
      <w:r>
        <w:rPr>
          <w:rFonts w:eastAsia="Times New Roman" w:cs="Helvetica"/>
          <w:color w:val="C09853"/>
          <w:lang w:val="en"/>
        </w:rPr>
        <w:t>Conclusion</w:t>
      </w:r>
    </w:p>
    <w:p w:rsidR="00000000" w:rsidRDefault="004C239D">
      <w:pPr>
        <w:pStyle w:val="NormalWeb"/>
        <w:shd w:val="clear" w:color="auto" w:fill="FCF8E3"/>
        <w:spacing w:line="300" w:lineRule="atLeast"/>
        <w:divId w:val="14308295"/>
        <w:rPr>
          <w:rFonts w:ascii="Georgia" w:hAnsi="Georgia" w:cs="Helvetica"/>
          <w:color w:val="C09853"/>
          <w:lang w:val="en"/>
        </w:rPr>
      </w:pPr>
      <w:r>
        <w:rPr>
          <w:rFonts w:ascii="Georgia" w:hAnsi="Georgia" w:cs="Helvetica"/>
          <w:color w:val="C09853"/>
          <w:lang w:val="en"/>
        </w:rPr>
        <w:t>C.11</w:t>
      </w:r>
      <w:r>
        <w:rPr>
          <w:rFonts w:ascii="Georgia" w:hAnsi="Georgia" w:cs="Helvetica"/>
          <w:color w:val="C09853"/>
          <w:lang w:val="en"/>
        </w:rPr>
        <w:tab/>
      </w:r>
      <w:r>
        <w:rPr>
          <w:rFonts w:ascii="Georgia" w:hAnsi="Georgia" w:cs="Helvetica"/>
          <w:color w:val="C09853"/>
          <w:lang w:val="en"/>
        </w:rPr>
        <w:t>The best use of Australia’s carryover from the first Kyoto Protocol commitment period is to strengthen the 2020 emissions reduction target.</w:t>
      </w:r>
    </w:p>
    <w:p w:rsidR="00000000" w:rsidRDefault="004C239D">
      <w:pPr>
        <w:pStyle w:val="NormalWeb"/>
        <w:spacing w:line="300" w:lineRule="atLeast"/>
        <w:divId w:val="466506283"/>
        <w:rPr>
          <w:rFonts w:ascii="Georgia" w:hAnsi="Georgia" w:cs="Helvetica"/>
          <w:color w:val="333333"/>
          <w:lang w:val="en"/>
        </w:rPr>
      </w:pPr>
      <w:hyperlink w:anchor="footnote-194814-1-backlink" w:history="1">
        <w:r>
          <w:rPr>
            <w:rStyle w:val="Hyperlink"/>
            <w:rFonts w:ascii="Georgia" w:hAnsi="Georgia" w:cs="Helvetica"/>
            <w:lang w:val="en"/>
          </w:rPr>
          <w:t>1</w:t>
        </w:r>
      </w:hyperlink>
      <w:r>
        <w:rPr>
          <w:rFonts w:ascii="Georgia" w:hAnsi="Georgia" w:cs="Helvetica"/>
          <w:color w:val="333333"/>
          <w:lang w:val="en"/>
        </w:rPr>
        <w:tab/>
        <w:t>Figures do not add due to rounding. For more detail regarding car</w:t>
      </w:r>
      <w:r>
        <w:rPr>
          <w:rFonts w:ascii="Georgia" w:hAnsi="Georgia" w:cs="Helvetica"/>
          <w:color w:val="333333"/>
          <w:lang w:val="en"/>
        </w:rPr>
        <w:t xml:space="preserve">ryover see Appendix E3.8. </w:t>
      </w:r>
    </w:p>
    <w:sectPr w:rsidR="00000000" w:rsidSect="004C239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4D9E"/>
    <w:multiLevelType w:val="multilevel"/>
    <w:tmpl w:val="E70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711B2"/>
    <w:multiLevelType w:val="multilevel"/>
    <w:tmpl w:val="25BC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A685B"/>
    <w:multiLevelType w:val="multilevel"/>
    <w:tmpl w:val="9154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70FAF"/>
    <w:multiLevelType w:val="multilevel"/>
    <w:tmpl w:val="CB8E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83CC9"/>
    <w:multiLevelType w:val="multilevel"/>
    <w:tmpl w:val="620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E0B19"/>
    <w:multiLevelType w:val="multilevel"/>
    <w:tmpl w:val="020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15178"/>
    <w:multiLevelType w:val="multilevel"/>
    <w:tmpl w:val="8046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3E5939"/>
    <w:multiLevelType w:val="multilevel"/>
    <w:tmpl w:val="6A90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92815"/>
    <w:multiLevelType w:val="multilevel"/>
    <w:tmpl w:val="ABC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6D727F"/>
    <w:multiLevelType w:val="multilevel"/>
    <w:tmpl w:val="7CAA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324B0"/>
    <w:multiLevelType w:val="multilevel"/>
    <w:tmpl w:val="3D2C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8"/>
  </w:num>
  <w:num w:numId="6">
    <w:abstractNumId w:val="9"/>
  </w:num>
  <w:num w:numId="7">
    <w:abstractNumId w:val="6"/>
  </w:num>
  <w:num w:numId="8">
    <w:abstractNumId w:val="0"/>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C239D"/>
    <w:rsid w:val="004C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139647-8C5B-4466-9172-F7DA72E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60133">
      <w:marLeft w:val="0"/>
      <w:marRight w:val="0"/>
      <w:marTop w:val="0"/>
      <w:marBottom w:val="0"/>
      <w:divBdr>
        <w:top w:val="none" w:sz="0" w:space="0" w:color="auto"/>
        <w:left w:val="none" w:sz="0" w:space="0" w:color="auto"/>
        <w:bottom w:val="none" w:sz="0" w:space="0" w:color="auto"/>
        <w:right w:val="none" w:sz="0" w:space="0" w:color="auto"/>
      </w:divBdr>
      <w:divsChild>
        <w:div w:id="1466660536">
          <w:marLeft w:val="0"/>
          <w:marRight w:val="0"/>
          <w:marTop w:val="0"/>
          <w:marBottom w:val="300"/>
          <w:divBdr>
            <w:top w:val="single" w:sz="6" w:space="14" w:color="E3E3E3"/>
            <w:left w:val="single" w:sz="6" w:space="14" w:color="E3E3E3"/>
            <w:bottom w:val="single" w:sz="6" w:space="14" w:color="E3E3E3"/>
            <w:right w:val="single" w:sz="6" w:space="14" w:color="E3E3E3"/>
          </w:divBdr>
        </w:div>
        <w:div w:id="1592354783">
          <w:marLeft w:val="0"/>
          <w:marRight w:val="0"/>
          <w:marTop w:val="0"/>
          <w:marBottom w:val="300"/>
          <w:divBdr>
            <w:top w:val="single" w:sz="6" w:space="6" w:color="FBEED5"/>
            <w:left w:val="single" w:sz="6" w:space="11" w:color="FBEED5"/>
            <w:bottom w:val="single" w:sz="6" w:space="6" w:color="FBEED5"/>
            <w:right w:val="single" w:sz="6" w:space="26" w:color="FBEED5"/>
          </w:divBdr>
        </w:div>
        <w:div w:id="1388525292">
          <w:marLeft w:val="0"/>
          <w:marRight w:val="0"/>
          <w:marTop w:val="0"/>
          <w:marBottom w:val="300"/>
          <w:divBdr>
            <w:top w:val="single" w:sz="6" w:space="6" w:color="FBEED5"/>
            <w:left w:val="single" w:sz="6" w:space="11" w:color="FBEED5"/>
            <w:bottom w:val="single" w:sz="6" w:space="6" w:color="FBEED5"/>
            <w:right w:val="single" w:sz="6" w:space="26" w:color="FBEED5"/>
          </w:divBdr>
        </w:div>
        <w:div w:id="882837013">
          <w:marLeft w:val="0"/>
          <w:marRight w:val="0"/>
          <w:marTop w:val="0"/>
          <w:marBottom w:val="300"/>
          <w:divBdr>
            <w:top w:val="single" w:sz="6" w:space="14" w:color="E3E3E3"/>
            <w:left w:val="single" w:sz="6" w:space="14" w:color="E3E3E3"/>
            <w:bottom w:val="single" w:sz="6" w:space="14" w:color="E3E3E3"/>
            <w:right w:val="single" w:sz="6" w:space="14" w:color="E3E3E3"/>
          </w:divBdr>
        </w:div>
        <w:div w:id="43531010">
          <w:marLeft w:val="0"/>
          <w:marRight w:val="0"/>
          <w:marTop w:val="0"/>
          <w:marBottom w:val="300"/>
          <w:divBdr>
            <w:top w:val="single" w:sz="6" w:space="6" w:color="FBEED5"/>
            <w:left w:val="single" w:sz="6" w:space="11" w:color="FBEED5"/>
            <w:bottom w:val="single" w:sz="6" w:space="6" w:color="FBEED5"/>
            <w:right w:val="single" w:sz="6" w:space="26" w:color="FBEED5"/>
          </w:divBdr>
        </w:div>
        <w:div w:id="14308295">
          <w:marLeft w:val="0"/>
          <w:marRight w:val="0"/>
          <w:marTop w:val="0"/>
          <w:marBottom w:val="300"/>
          <w:divBdr>
            <w:top w:val="single" w:sz="6" w:space="6" w:color="FBEED5"/>
            <w:left w:val="single" w:sz="6" w:space="11" w:color="FBEED5"/>
            <w:bottom w:val="single" w:sz="6" w:space="6" w:color="FBEED5"/>
            <w:right w:val="single" w:sz="6" w:space="26" w:color="FBEED5"/>
          </w:divBdr>
        </w:div>
        <w:div w:id="1310329991">
          <w:marLeft w:val="0"/>
          <w:marRight w:val="0"/>
          <w:marTop w:val="0"/>
          <w:marBottom w:val="0"/>
          <w:divBdr>
            <w:top w:val="none" w:sz="0" w:space="0" w:color="auto"/>
            <w:left w:val="none" w:sz="0" w:space="0" w:color="auto"/>
            <w:bottom w:val="none" w:sz="0" w:space="0" w:color="auto"/>
            <w:right w:val="none" w:sz="0" w:space="0" w:color="auto"/>
          </w:divBdr>
          <w:divsChild>
            <w:div w:id="4665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4271</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29048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2014-03-04T06:38:00Z</dcterms:created>
  <dcterms:modified xsi:type="dcterms:W3CDTF">2014-03-04T06:38:00Z</dcterms:modified>
</cp:coreProperties>
</file>