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000000" w:rsidRDefault="009123E6">
      <w:pPr>
        <w:pStyle w:val="Heading1"/>
        <w:divId w:val="894126188"/>
        <w:rPr>
          <w:rFonts w:eastAsia="Times New Roman" w:cs="Helvetica"/>
          <w:color w:val="333333"/>
          <w:lang w:val="en"/>
        </w:rPr>
      </w:pPr>
      <w:r>
        <w:rPr>
          <w:rFonts w:eastAsia="Times New Roman" w:cs="Helvetica"/>
          <w:color w:val="333333"/>
          <w:lang w:val="en"/>
        </w:rPr>
        <w:t>Chapter 11 Australia’s emissions outlook</w:t>
      </w:r>
    </w:p>
    <w:p w:rsidR="00000000" w:rsidRDefault="009123E6">
      <w:pPr>
        <w:pStyle w:val="NormalWeb"/>
        <w:shd w:val="clear" w:color="auto" w:fill="F5F5F5"/>
        <w:spacing w:line="300" w:lineRule="atLeast"/>
        <w:divId w:val="818807252"/>
        <w:rPr>
          <w:rFonts w:ascii="Georgia" w:hAnsi="Georgia" w:cs="Helvetica"/>
          <w:color w:val="333333"/>
          <w:lang w:val="en"/>
        </w:rPr>
      </w:pPr>
      <w:r>
        <w:rPr>
          <w:rFonts w:ascii="Georgia" w:hAnsi="Georgia" w:cs="Helvetica"/>
          <w:color w:val="333333"/>
          <w:lang w:val="en"/>
        </w:rPr>
        <w:t>Without strong policies to drive emissions reductions, and with strong projected population and economic growth, emissions from most sectors of the Australian economy are projected to rise. Total domestic emissions are projected to grow to 17 per cent abov</w:t>
      </w:r>
      <w:r>
        <w:rPr>
          <w:rFonts w:ascii="Georgia" w:hAnsi="Georgia" w:cs="Helvetica"/>
          <w:color w:val="333333"/>
          <w:lang w:val="en"/>
        </w:rPr>
        <w:t xml:space="preserve">e 2000 levels by 2020, and 37 per cent by 2030. </w:t>
      </w:r>
    </w:p>
    <w:p w:rsidR="00000000" w:rsidRDefault="009123E6">
      <w:pPr>
        <w:pStyle w:val="NormalWeb"/>
        <w:shd w:val="clear" w:color="auto" w:fill="F5F5F5"/>
        <w:spacing w:line="300" w:lineRule="atLeast"/>
        <w:divId w:val="818807252"/>
        <w:rPr>
          <w:rFonts w:ascii="Georgia" w:hAnsi="Georgia" w:cs="Helvetica"/>
          <w:color w:val="333333"/>
          <w:lang w:val="en"/>
        </w:rPr>
      </w:pPr>
      <w:r>
        <w:rPr>
          <w:rFonts w:ascii="Georgia" w:hAnsi="Georgia" w:cs="Helvetica"/>
          <w:color w:val="333333"/>
          <w:lang w:val="en"/>
        </w:rPr>
        <w:t>Even with incentives to reduce emissions, growth in export-oriented activity, such as liquefied natural gas (LNG) production and agriculture, is projected to increase emissions in those areas.</w:t>
      </w:r>
    </w:p>
    <w:p w:rsidR="00000000" w:rsidRDefault="009123E6">
      <w:pPr>
        <w:pStyle w:val="NormalWeb"/>
        <w:shd w:val="clear" w:color="auto" w:fill="F5F5F5"/>
        <w:spacing w:line="300" w:lineRule="atLeast"/>
        <w:divId w:val="818807252"/>
        <w:rPr>
          <w:rFonts w:ascii="Georgia" w:hAnsi="Georgia" w:cs="Helvetica"/>
          <w:color w:val="333333"/>
          <w:lang w:val="en"/>
        </w:rPr>
      </w:pPr>
      <w:r>
        <w:rPr>
          <w:rFonts w:ascii="Georgia" w:hAnsi="Georgia" w:cs="Helvetica"/>
          <w:color w:val="333333"/>
          <w:lang w:val="en"/>
        </w:rPr>
        <w:t>To meet its em</w:t>
      </w:r>
      <w:r>
        <w:rPr>
          <w:rFonts w:ascii="Georgia" w:hAnsi="Georgia" w:cs="Helvetica"/>
          <w:color w:val="333333"/>
          <w:lang w:val="en"/>
        </w:rPr>
        <w:t>issions reduction goals, Australia must capture the significant low-cost opportunities it has to reduce emissions, particularly in the electricity generation, industrial processes and fugitive emissions sectors. A set of stable, effective and complementary</w:t>
      </w:r>
      <w:r>
        <w:rPr>
          <w:rFonts w:ascii="Georgia" w:hAnsi="Georgia" w:cs="Helvetica"/>
          <w:color w:val="333333"/>
          <w:lang w:val="en"/>
        </w:rPr>
        <w:t xml:space="preserve"> policies will be important to achieve goals at lowest cost, including targeted policies and regulations to address non-price barriers to reducing emissions.</w:t>
      </w:r>
    </w:p>
    <w:p w:rsidR="00000000" w:rsidRDefault="009123E6">
      <w:pPr>
        <w:pStyle w:val="NormalWeb"/>
        <w:shd w:val="clear" w:color="auto" w:fill="F5F5F5"/>
        <w:spacing w:line="300" w:lineRule="atLeast"/>
        <w:divId w:val="818807252"/>
        <w:rPr>
          <w:rFonts w:ascii="Georgia" w:hAnsi="Georgia" w:cs="Helvetica"/>
          <w:color w:val="333333"/>
          <w:lang w:val="en"/>
        </w:rPr>
      </w:pPr>
      <w:r>
        <w:rPr>
          <w:rFonts w:ascii="Georgia" w:hAnsi="Georgia" w:cs="Helvetica"/>
          <w:color w:val="333333"/>
          <w:lang w:val="en"/>
        </w:rPr>
        <w:t>If Australia is to reduce its emissions in the medium to longer term, effective policies need to b</w:t>
      </w:r>
      <w:r>
        <w:rPr>
          <w:rFonts w:ascii="Georgia" w:hAnsi="Georgia" w:cs="Helvetica"/>
          <w:color w:val="333333"/>
          <w:lang w:val="en"/>
        </w:rPr>
        <w:t>e implemented now. Australia’s current stock of emissions-intensive and energy-intensive buildings, electricity generators, industrial plants, infrastructure and vehicles will take decades to turn over. New infrastructure will affect Australia’s efficiency</w:t>
      </w:r>
      <w:r>
        <w:rPr>
          <w:rFonts w:ascii="Georgia" w:hAnsi="Georgia" w:cs="Helvetica"/>
          <w:color w:val="333333"/>
          <w:lang w:val="en"/>
        </w:rPr>
        <w:t xml:space="preserve"> and emissions levels, for better or worse, for many years. Australia needs clear and sustained policy signals in place as soon as possible to deliver substantial emissions reductions post-2020.</w:t>
      </w:r>
    </w:p>
    <w:p w:rsidR="00000000" w:rsidRDefault="009123E6">
      <w:pPr>
        <w:pStyle w:val="NormalWeb"/>
        <w:shd w:val="clear" w:color="auto" w:fill="F5F5F5"/>
        <w:spacing w:line="300" w:lineRule="atLeast"/>
        <w:divId w:val="818807252"/>
        <w:rPr>
          <w:rFonts w:ascii="Georgia" w:hAnsi="Georgia" w:cs="Helvetica"/>
          <w:color w:val="333333"/>
          <w:lang w:val="en"/>
        </w:rPr>
      </w:pPr>
      <w:r>
        <w:rPr>
          <w:rFonts w:ascii="Georgia" w:hAnsi="Georgia" w:cs="Helvetica"/>
          <w:color w:val="333333"/>
          <w:lang w:val="en"/>
        </w:rPr>
        <w:t>The electricity sector has the largest share of Australia’s e</w:t>
      </w:r>
      <w:r>
        <w:rPr>
          <w:rFonts w:ascii="Georgia" w:hAnsi="Georgia" w:cs="Helvetica"/>
          <w:color w:val="333333"/>
          <w:lang w:val="en"/>
        </w:rPr>
        <w:t>missions and the largest emissions reduction potential. Investments in this sector are long-lived—failing to act in the near term to improve energy efficiency in industrial, commercial and residential sectors would make it harder to meet Australia’s future</w:t>
      </w:r>
      <w:r>
        <w:rPr>
          <w:rFonts w:ascii="Georgia" w:hAnsi="Georgia" w:cs="Helvetica"/>
          <w:color w:val="333333"/>
          <w:lang w:val="en"/>
        </w:rPr>
        <w:t xml:space="preserve"> emissions reduction goals. Longer term, reducing the emissions intensity of supply is vital. If electricity generation becomes considerably less emissions-intensive, electricity could be used to power other sectors, including transport and direct combusti</w:t>
      </w:r>
      <w:r>
        <w:rPr>
          <w:rFonts w:ascii="Georgia" w:hAnsi="Georgia" w:cs="Helvetica"/>
          <w:color w:val="333333"/>
          <w:lang w:val="en"/>
        </w:rPr>
        <w:t>on, reducing domestic emissions.</w:t>
      </w:r>
    </w:p>
    <w:p w:rsidR="00000000" w:rsidRDefault="009123E6">
      <w:pPr>
        <w:pStyle w:val="NormalWeb"/>
        <w:shd w:val="clear" w:color="auto" w:fill="F5F5F5"/>
        <w:spacing w:line="300" w:lineRule="atLeast"/>
        <w:divId w:val="818807252"/>
        <w:rPr>
          <w:rFonts w:ascii="Georgia" w:hAnsi="Georgia" w:cs="Helvetica"/>
          <w:color w:val="333333"/>
          <w:lang w:val="en"/>
        </w:rPr>
      </w:pPr>
      <w:r>
        <w:rPr>
          <w:rFonts w:ascii="Georgia" w:hAnsi="Georgia" w:cs="Helvetica"/>
          <w:color w:val="333333"/>
          <w:lang w:val="en"/>
        </w:rPr>
        <w:t>Improving transport energy efficiency is a major opportunity for substantial low-cost emissions reductions. The Authority recommends the government investigates light vehicle CO</w:t>
      </w:r>
      <w:r>
        <w:rPr>
          <w:rFonts w:ascii="Georgia" w:hAnsi="Georgia" w:cs="Helvetica"/>
          <w:color w:val="333333"/>
          <w:sz w:val="18"/>
          <w:szCs w:val="18"/>
          <w:vertAlign w:val="subscript"/>
          <w:lang w:val="en"/>
        </w:rPr>
        <w:t>2</w:t>
      </w:r>
      <w:r>
        <w:rPr>
          <w:rFonts w:ascii="Georgia" w:hAnsi="Georgia" w:cs="Helvetica"/>
          <w:color w:val="333333"/>
          <w:lang w:val="en"/>
        </w:rPr>
        <w:t xml:space="preserve"> emission standards for introduction in Austr</w:t>
      </w:r>
      <w:r>
        <w:rPr>
          <w:rFonts w:ascii="Georgia" w:hAnsi="Georgia" w:cs="Helvetica"/>
          <w:color w:val="333333"/>
          <w:lang w:val="en"/>
        </w:rPr>
        <w:t>alia in the near term.</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Chapter 11 describes Australia’s emissions outlook in detail and highlights substantial opportunities to reduce emissions from energy supply, buildings, equipment and vehicles.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In this chapter, emissions reduction opportunities are i</w:t>
      </w:r>
      <w:r>
        <w:rPr>
          <w:rFonts w:ascii="Georgia" w:hAnsi="Georgia" w:cs="Helvetica"/>
          <w:color w:val="333333"/>
          <w:lang w:val="en"/>
        </w:rPr>
        <w:t xml:space="preserve">dentified relative to a counterfactual ‘no price’ scenario. This analysis is complemented by Appendix D, </w:t>
      </w:r>
      <w:proofErr w:type="gramStart"/>
      <w:r>
        <w:rPr>
          <w:rFonts w:ascii="Georgia" w:hAnsi="Georgia" w:cs="Helvetica"/>
          <w:color w:val="333333"/>
          <w:lang w:val="en"/>
        </w:rPr>
        <w:lastRenderedPageBreak/>
        <w:t>which</w:t>
      </w:r>
      <w:proofErr w:type="gramEnd"/>
      <w:r>
        <w:rPr>
          <w:rFonts w:ascii="Georgia" w:hAnsi="Georgia" w:cs="Helvetica"/>
          <w:color w:val="333333"/>
          <w:lang w:val="en"/>
        </w:rPr>
        <w:t xml:space="preserve"> presents a more detailed assessment of Australia’s progress against emissions reduction goals and the outlook for emissions, relative to 2000 lev</w:t>
      </w:r>
      <w:r>
        <w:rPr>
          <w:rFonts w:ascii="Georgia" w:hAnsi="Georgia" w:cs="Helvetica"/>
          <w:color w:val="333333"/>
          <w:lang w:val="en"/>
        </w:rPr>
        <w:t>els.</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 xml:space="preserve">11.1 Why </w:t>
      </w:r>
      <w:proofErr w:type="spellStart"/>
      <w:r>
        <w:rPr>
          <w:rFonts w:eastAsia="Times New Roman" w:cs="Helvetica"/>
          <w:color w:val="333333"/>
          <w:lang w:val="en"/>
        </w:rPr>
        <w:t>analyse</w:t>
      </w:r>
      <w:proofErr w:type="spellEnd"/>
      <w:r>
        <w:rPr>
          <w:rFonts w:eastAsia="Times New Roman" w:cs="Helvetica"/>
          <w:color w:val="333333"/>
          <w:lang w:val="en"/>
        </w:rPr>
        <w:t xml:space="preserve"> Australia’s emissions outlook?</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Assessing Australia’s emissions outlook can identify opportunities for economically efficient and environmentally effective emissions reductions, as well as uncertainties, data gaps and challenges to </w:t>
      </w:r>
      <w:proofErr w:type="spellStart"/>
      <w:r>
        <w:rPr>
          <w:rFonts w:ascii="Georgia" w:hAnsi="Georgia" w:cs="Helvetica"/>
          <w:color w:val="333333"/>
          <w:lang w:val="en"/>
        </w:rPr>
        <w:t>rea</w:t>
      </w:r>
      <w:r>
        <w:rPr>
          <w:rFonts w:ascii="Georgia" w:hAnsi="Georgia" w:cs="Helvetica"/>
          <w:color w:val="333333"/>
          <w:lang w:val="en"/>
        </w:rPr>
        <w:t>lising</w:t>
      </w:r>
      <w:proofErr w:type="spellEnd"/>
      <w:r>
        <w:rPr>
          <w:rFonts w:ascii="Georgia" w:hAnsi="Georgia" w:cs="Helvetica"/>
          <w:color w:val="333333"/>
          <w:lang w:val="en"/>
        </w:rPr>
        <w:t xml:space="preserve"> those opportunities. This information can contribute to effective policy development. It can also indicate whether Australia is on track to meet its emissions reduction goals and international commitments, and provide an early warning if efforts are</w:t>
      </w:r>
      <w:r>
        <w:rPr>
          <w:rFonts w:ascii="Georgia" w:hAnsi="Georgia" w:cs="Helvetica"/>
          <w:color w:val="333333"/>
          <w:lang w:val="en"/>
        </w:rPr>
        <w:t xml:space="preserve"> falling short.</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Authority must review Australia’s progress towards its emission reduction goals annually. The analysis of Australia’s emissions outlook in this chapter, together with the analysis in chapters 5, 6 and 12 and Appendix D, fulfills the cur</w:t>
      </w:r>
      <w:r>
        <w:rPr>
          <w:rFonts w:ascii="Georgia" w:hAnsi="Georgia" w:cs="Helvetica"/>
          <w:color w:val="333333"/>
          <w:lang w:val="en"/>
        </w:rPr>
        <w:t>rent legislative requirements for reporting on progress.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The following sections explore possible future trends in </w:t>
      </w:r>
      <w:proofErr w:type="spellStart"/>
      <w:r>
        <w:rPr>
          <w:rFonts w:ascii="Georgia" w:hAnsi="Georgia" w:cs="Helvetica"/>
          <w:color w:val="333333"/>
          <w:lang w:val="en"/>
        </w:rPr>
        <w:t>sectoral</w:t>
      </w:r>
      <w:proofErr w:type="spellEnd"/>
      <w:r>
        <w:rPr>
          <w:rFonts w:ascii="Georgia" w:hAnsi="Georgia" w:cs="Helvetica"/>
          <w:color w:val="333333"/>
          <w:lang w:val="en"/>
        </w:rPr>
        <w:t xml:space="preserve"> emissions and potential contributions to Australia’s emissions reduction goals. They neither prescribe nor imply endorsement of speci</w:t>
      </w:r>
      <w:r>
        <w:rPr>
          <w:rFonts w:ascii="Georgia" w:hAnsi="Georgia" w:cs="Helvetica"/>
          <w:color w:val="333333"/>
          <w:lang w:val="en"/>
        </w:rPr>
        <w:t xml:space="preserve">fic outcomes, but instead identify potential paths for future emissions reductions. </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 xml:space="preserve">11.2 Modelling underpinning the emissions outlook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The Authority has used economic modelling to explore a range of future scenarios for Australia’s economy and emissions. </w:t>
      </w:r>
      <w:r>
        <w:rPr>
          <w:rFonts w:ascii="Georgia" w:hAnsi="Georgia" w:cs="Helvetica"/>
          <w:color w:val="333333"/>
          <w:lang w:val="en"/>
        </w:rPr>
        <w:t>The four core scenarios modelled by Treasury and DIICCSRTE (2013) and described in Chapter 10 involve different levels of incentives for emissions reductions (Box 11.1). The no price scenario includes existing policies such as the RET, energy efficiency st</w:t>
      </w:r>
      <w:r>
        <w:rPr>
          <w:rFonts w:ascii="Georgia" w:hAnsi="Georgia" w:cs="Helvetica"/>
          <w:color w:val="333333"/>
          <w:lang w:val="en"/>
        </w:rPr>
        <w:t xml:space="preserve">andards and land clearing controls, but excludes the carbon price and the CFI. The other three scenarios assume a low, medium and high carbon price, in addition to other existing policies and the CFI.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While the scenarios are largely based on the current l</w:t>
      </w:r>
      <w:r>
        <w:rPr>
          <w:rFonts w:ascii="Georgia" w:hAnsi="Georgia" w:cs="Helvetica"/>
          <w:color w:val="333333"/>
          <w:lang w:val="en"/>
        </w:rPr>
        <w:t>egislative arrangements in the Clean Energy Act, the Authority considers the carbon price can be seen as a broad proxy for incentive-based measures. The results show the potential scale and source of emissions reductions available in Australia at different</w:t>
      </w:r>
      <w:r>
        <w:rPr>
          <w:rFonts w:ascii="Georgia" w:hAnsi="Georgia" w:cs="Helvetica"/>
          <w:color w:val="333333"/>
          <w:lang w:val="en"/>
        </w:rPr>
        <w:t xml:space="preserve"> marginal costs (Table 11.1). These four scenarios inform the Authority’s assessment of possible emissions outcomes in the remainder of this chapter and in Appendix D. </w:t>
      </w:r>
    </w:p>
    <w:p w:rsidR="00000000" w:rsidRDefault="009123E6">
      <w:pPr>
        <w:pStyle w:val="Heading2"/>
        <w:shd w:val="clear" w:color="auto" w:fill="F5F5F5"/>
        <w:divId w:val="1179612853"/>
        <w:rPr>
          <w:rFonts w:eastAsia="Times New Roman" w:cs="Helvetica"/>
          <w:color w:val="333333"/>
          <w:lang w:val="en"/>
        </w:rPr>
      </w:pPr>
      <w:r>
        <w:rPr>
          <w:rFonts w:eastAsia="Times New Roman" w:cs="Helvetica"/>
          <w:color w:val="333333"/>
          <w:lang w:val="en"/>
        </w:rPr>
        <w:t xml:space="preserve">Box 11.1: Modelled emissions reductions opportunities </w:t>
      </w:r>
    </w:p>
    <w:p w:rsidR="00000000" w:rsidRDefault="009123E6">
      <w:pPr>
        <w:pStyle w:val="NormalWeb"/>
        <w:shd w:val="clear" w:color="auto" w:fill="F5F5F5"/>
        <w:spacing w:line="300" w:lineRule="atLeast"/>
        <w:divId w:val="1179612853"/>
        <w:rPr>
          <w:rFonts w:ascii="Georgia" w:hAnsi="Georgia" w:cs="Helvetica"/>
          <w:color w:val="333333"/>
          <w:lang w:val="en"/>
        </w:rPr>
      </w:pPr>
      <w:r>
        <w:rPr>
          <w:rFonts w:ascii="Georgia" w:hAnsi="Georgia" w:cs="Helvetica"/>
          <w:color w:val="333333"/>
          <w:lang w:val="en"/>
        </w:rPr>
        <w:t>The emissions reduction opportun</w:t>
      </w:r>
      <w:r>
        <w:rPr>
          <w:rFonts w:ascii="Georgia" w:hAnsi="Georgia" w:cs="Helvetica"/>
          <w:color w:val="333333"/>
          <w:lang w:val="en"/>
        </w:rPr>
        <w:t>ities identified in the modelling reflect projected outcomes under different future carbon prices, relative to projected emissions without a carbon price. Depending on the design, the Authority considers other policies, including the Direct Action Plan, ma</w:t>
      </w:r>
      <w:r>
        <w:rPr>
          <w:rFonts w:ascii="Georgia" w:hAnsi="Georgia" w:cs="Helvetica"/>
          <w:color w:val="333333"/>
          <w:lang w:val="en"/>
        </w:rPr>
        <w:t xml:space="preserve">y </w:t>
      </w:r>
      <w:proofErr w:type="spellStart"/>
      <w:r>
        <w:rPr>
          <w:rFonts w:ascii="Georgia" w:hAnsi="Georgia" w:cs="Helvetica"/>
          <w:color w:val="333333"/>
          <w:lang w:val="en"/>
        </w:rPr>
        <w:t>mobilise</w:t>
      </w:r>
      <w:proofErr w:type="spellEnd"/>
      <w:r>
        <w:rPr>
          <w:rFonts w:ascii="Georgia" w:hAnsi="Georgia" w:cs="Helvetica"/>
          <w:color w:val="333333"/>
          <w:lang w:val="en"/>
        </w:rPr>
        <w:t xml:space="preserve"> similar emissions reductions opportunities. The Treasury and DIICCSRTE modelling reflects:</w:t>
      </w:r>
    </w:p>
    <w:p w:rsidR="00000000" w:rsidRDefault="009123E6">
      <w:pPr>
        <w:numPr>
          <w:ilvl w:val="0"/>
          <w:numId w:val="1"/>
        </w:numPr>
        <w:shd w:val="clear" w:color="auto" w:fill="F5F5F5"/>
        <w:spacing w:before="100" w:beforeAutospacing="1" w:after="100" w:afterAutospacing="1" w:line="300" w:lineRule="atLeast"/>
        <w:ind w:left="375"/>
        <w:divId w:val="1179612853"/>
        <w:rPr>
          <w:rFonts w:ascii="Georgia" w:eastAsia="Times New Roman" w:hAnsi="Georgia" w:cs="Helvetica"/>
          <w:color w:val="333333"/>
          <w:lang w:val="en"/>
        </w:rPr>
      </w:pPr>
      <w:r>
        <w:rPr>
          <w:rFonts w:ascii="Georgia" w:eastAsia="Times New Roman" w:hAnsi="Georgia" w:cs="Helvetica"/>
          <w:color w:val="333333"/>
          <w:lang w:val="en"/>
        </w:rPr>
        <w:lastRenderedPageBreak/>
        <w:t>Outcomes that might arise when entities subject to the carbon price pay for emissions. If carbon prices are passed through to downstream markets, it may p</w:t>
      </w:r>
      <w:r>
        <w:rPr>
          <w:rFonts w:ascii="Georgia" w:eastAsia="Times New Roman" w:hAnsi="Georgia" w:cs="Helvetica"/>
          <w:color w:val="333333"/>
          <w:lang w:val="en"/>
        </w:rPr>
        <w:t xml:space="preserve">rompt a reduction in demand, leading to lower production of emissions-intensive goods and services. This effect is included in the modelled outcomes. </w:t>
      </w:r>
    </w:p>
    <w:p w:rsidR="00000000" w:rsidRDefault="009123E6">
      <w:pPr>
        <w:numPr>
          <w:ilvl w:val="0"/>
          <w:numId w:val="1"/>
        </w:numPr>
        <w:shd w:val="clear" w:color="auto" w:fill="F5F5F5"/>
        <w:spacing w:before="100" w:beforeAutospacing="1" w:after="100" w:afterAutospacing="1" w:line="300" w:lineRule="atLeast"/>
        <w:ind w:left="375"/>
        <w:divId w:val="1179612853"/>
        <w:rPr>
          <w:rFonts w:ascii="Georgia" w:eastAsia="Times New Roman" w:hAnsi="Georgia" w:cs="Helvetica"/>
          <w:color w:val="333333"/>
          <w:lang w:val="en"/>
        </w:rPr>
      </w:pPr>
      <w:r>
        <w:rPr>
          <w:rFonts w:ascii="Georgia" w:eastAsia="Times New Roman" w:hAnsi="Georgia" w:cs="Helvetica"/>
          <w:color w:val="333333"/>
          <w:lang w:val="en"/>
        </w:rPr>
        <w:t>The coverage of the carbon price under the current legislation. The Direct Action Plan may cover a differ</w:t>
      </w:r>
      <w:r>
        <w:rPr>
          <w:rFonts w:ascii="Georgia" w:eastAsia="Times New Roman" w:hAnsi="Georgia" w:cs="Helvetica"/>
          <w:color w:val="333333"/>
          <w:lang w:val="en"/>
        </w:rPr>
        <w:t>ent set of activities. In the low, medium and high scenarios, a price incentive applies to all emissions sources except fuel use by light vehicles, decommissioned mines, synthetic gases imported prior to July 2012 and facilities below the coverage threshol</w:t>
      </w:r>
      <w:r>
        <w:rPr>
          <w:rFonts w:ascii="Georgia" w:eastAsia="Times New Roman" w:hAnsi="Georgia" w:cs="Helvetica"/>
          <w:color w:val="333333"/>
          <w:lang w:val="en"/>
        </w:rPr>
        <w:t xml:space="preserve">d (generally 25 </w:t>
      </w:r>
      <w:proofErr w:type="spellStart"/>
      <w:r>
        <w:rPr>
          <w:rFonts w:ascii="Georgia" w:eastAsia="Times New Roman" w:hAnsi="Georgia" w:cs="Helvetica"/>
          <w:color w:val="333333"/>
          <w:lang w:val="en"/>
        </w:rPr>
        <w:t>kt</w:t>
      </w:r>
      <w:proofErr w:type="spellEnd"/>
      <w:r>
        <w:rPr>
          <w:rFonts w:ascii="Georgia" w:eastAsia="Times New Roman" w:hAnsi="Georgia" w:cs="Helvetica"/>
          <w:color w:val="333333"/>
          <w:lang w:val="en"/>
        </w:rPr>
        <w:t xml:space="preserve"> CO</w:t>
      </w:r>
      <w:r>
        <w:rPr>
          <w:rFonts w:ascii="Georgia" w:eastAsia="Times New Roman" w:hAnsi="Georgia" w:cs="Helvetica"/>
          <w:color w:val="333333"/>
          <w:sz w:val="18"/>
          <w:szCs w:val="18"/>
          <w:vertAlign w:val="subscript"/>
          <w:lang w:val="en"/>
        </w:rPr>
        <w:t>2</w:t>
      </w:r>
      <w:r>
        <w:rPr>
          <w:rFonts w:ascii="Georgia" w:eastAsia="Times New Roman" w:hAnsi="Georgia" w:cs="Helvetica"/>
          <w:color w:val="333333"/>
          <w:lang w:val="en"/>
        </w:rPr>
        <w:t xml:space="preserve">-e per year). LULUCF, agriculture and waste deposited to landfill before 2012 can access a price incentive for emissions reductions through the CFI. </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Table 11.1: Marginal emissions reduction cost under different scenarios, 2020 and 20</w:t>
      </w:r>
      <w:r>
        <w:rPr>
          <w:rFonts w:eastAsia="Times New Roman" w:cs="Helvetica"/>
          <w:color w:val="333333"/>
          <w:lang w:val="en"/>
        </w:rPr>
        <w:t>30 ($/t CO</w:t>
      </w:r>
      <w:r>
        <w:rPr>
          <w:rFonts w:eastAsia="Times New Roman" w:cs="Helvetica"/>
          <w:color w:val="333333"/>
          <w:sz w:val="23"/>
          <w:szCs w:val="23"/>
          <w:vertAlign w:val="subscript"/>
          <w:lang w:val="en"/>
        </w:rPr>
        <w:t>2</w:t>
      </w:r>
      <w:r>
        <w:rPr>
          <w:rFonts w:eastAsia="Times New Roman" w:cs="Helvetica"/>
          <w:color w:val="333333"/>
          <w:lang w:val="en"/>
        </w:rPr>
        <w:t>-e)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86"/>
        <w:gridCol w:w="2146"/>
        <w:gridCol w:w="2395"/>
      </w:tblGrid>
      <w:tr w:rsidR="00000000">
        <w:trPr>
          <w:divId w:val="894126188"/>
          <w:tblHeader/>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rPr>
                <w:rFonts w:eastAsia="Times New Roman" w:cs="Helvetica"/>
                <w:color w:val="333333"/>
                <w:lang w:val="en"/>
              </w:rPr>
            </w:pP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Style w:val="Strong"/>
                <w:rFonts w:ascii="Georgia" w:hAnsi="Georgia" w:cs="Helvetica"/>
                <w:color w:val="333333"/>
              </w:rPr>
              <w:t>2020</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Style w:val="Strong"/>
                <w:rFonts w:ascii="Georgia" w:hAnsi="Georgia" w:cs="Helvetica"/>
                <w:color w:val="333333"/>
              </w:rPr>
              <w:t>2030</w:t>
            </w:r>
          </w:p>
        </w:tc>
      </w:tr>
      <w:tr w:rsidR="00000000">
        <w:trPr>
          <w:divId w:val="894126188"/>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No price scenario</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 xml:space="preserve">0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0</w:t>
            </w:r>
          </w:p>
        </w:tc>
      </w:tr>
      <w:tr w:rsidR="00000000">
        <w:trPr>
          <w:divId w:val="894126188"/>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Low scenario</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$6.30</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$54.50</w:t>
            </w:r>
          </w:p>
        </w:tc>
      </w:tr>
      <w:tr w:rsidR="00000000">
        <w:trPr>
          <w:divId w:val="894126188"/>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Medium scenario</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$26.70</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$54.40</w:t>
            </w:r>
          </w:p>
        </w:tc>
      </w:tr>
      <w:tr w:rsidR="00000000">
        <w:trPr>
          <w:divId w:val="894126188"/>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High scenario</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$65.20</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$134.90</w:t>
            </w:r>
          </w:p>
        </w:tc>
      </w:tr>
    </w:tbl>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Note:</w:t>
      </w:r>
      <w:r>
        <w:rPr>
          <w:rFonts w:ascii="Georgia" w:hAnsi="Georgia" w:cs="Helvetica"/>
          <w:color w:val="333333"/>
          <w:lang w:val="en"/>
        </w:rPr>
        <w:t xml:space="preserve"> </w:t>
      </w:r>
      <w:r>
        <w:rPr>
          <w:rFonts w:ascii="Georgia" w:hAnsi="Georgia" w:cs="Helvetica"/>
          <w:color w:val="333333"/>
          <w:lang w:val="en"/>
        </w:rPr>
        <w:t xml:space="preserve">Real $2012, rounded to nearest 10 cents. The marginal cost of emissions reductions in 2020 reflects the weighted average of the ACU and the Kyoto unit prices. In 2030, the marginal cost of emissions reduction is the ACU price. </w:t>
      </w:r>
      <w:r>
        <w:rPr>
          <w:rFonts w:ascii="Georgia" w:hAnsi="Georgia" w:cs="Helvetica"/>
          <w:color w:val="333333"/>
          <w:lang w:val="en"/>
        </w:rPr>
        <w:br/>
      </w:r>
      <w:r>
        <w:rPr>
          <w:rStyle w:val="Strong"/>
          <w:rFonts w:ascii="Georgia" w:hAnsi="Georgia" w:cs="Helvetica"/>
          <w:color w:val="333333"/>
          <w:lang w:val="en"/>
        </w:rPr>
        <w:t>Source:</w:t>
      </w:r>
      <w:r>
        <w:rPr>
          <w:rFonts w:ascii="Georgia" w:hAnsi="Georgia" w:cs="Helvetica"/>
          <w:color w:val="333333"/>
          <w:lang w:val="en"/>
        </w:rPr>
        <w:t xml:space="preserve"> Treasury and DIICCSR</w:t>
      </w:r>
      <w:r>
        <w:rPr>
          <w:rFonts w:ascii="Georgia" w:hAnsi="Georgia" w:cs="Helvetica"/>
          <w:color w:val="333333"/>
          <w:lang w:val="en"/>
        </w:rPr>
        <w:t>TE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modelling provides a useful benchmark to assess the cost of achieving different targets and identifying emissions reduction opportunities in the domestic economy at different prices, given certain policy settings and assumptions. It does not give a com</w:t>
      </w:r>
      <w:r>
        <w:rPr>
          <w:rFonts w:ascii="Georgia" w:hAnsi="Georgia" w:cs="Helvetica"/>
          <w:color w:val="333333"/>
          <w:lang w:val="en"/>
        </w:rPr>
        <w:t xml:space="preserve">plete picture of emissions reductions potential under all possible policies. The actual emissions reductions made in Australia in the future, and the associated economic cost, will depend on a range of factors, including the policies in place. Figure 11.1 </w:t>
      </w:r>
      <w:r>
        <w:rPr>
          <w:rFonts w:ascii="Georgia" w:hAnsi="Georgia" w:cs="Helvetica"/>
          <w:color w:val="333333"/>
          <w:lang w:val="en"/>
        </w:rPr>
        <w:t>explains the range of estimates for emissions reductions and Section 11.3.3 describes the factors influencing Australia’s emissions reduction outlook.</w:t>
      </w:r>
    </w:p>
    <w:p w:rsidR="009123E6" w:rsidRDefault="009123E6">
      <w:pPr>
        <w:rPr>
          <w:rFonts w:ascii="inherit" w:eastAsia="Times New Roman" w:hAnsi="inherit" w:cs="Helvetica"/>
          <w:b/>
          <w:bCs/>
          <w:color w:val="333333"/>
          <w:sz w:val="31"/>
          <w:szCs w:val="31"/>
          <w:lang w:val="en"/>
        </w:rPr>
      </w:pPr>
      <w:r>
        <w:rPr>
          <w:rFonts w:eastAsia="Times New Roman" w:cs="Helvetica"/>
          <w:color w:val="333333"/>
          <w:lang w:val="en"/>
        </w:rPr>
        <w:br w:type="page"/>
      </w:r>
    </w:p>
    <w:p w:rsidR="00000000" w:rsidRDefault="009123E6">
      <w:pPr>
        <w:pStyle w:val="Heading2"/>
        <w:divId w:val="894126188"/>
        <w:rPr>
          <w:rFonts w:eastAsia="Times New Roman" w:cs="Helvetica"/>
          <w:color w:val="333333"/>
          <w:lang w:val="en"/>
        </w:rPr>
      </w:pPr>
      <w:r>
        <w:rPr>
          <w:rFonts w:eastAsia="Times New Roman" w:cs="Helvetica"/>
          <w:color w:val="333333"/>
          <w:lang w:val="en"/>
        </w:rPr>
        <w:lastRenderedPageBreak/>
        <w:t>Figure 11.1: Categories of emissions reduction opportunities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088"/>
        <w:gridCol w:w="2939"/>
      </w:tblGrid>
      <w:tr w:rsidR="00000000">
        <w:trPr>
          <w:divId w:val="894126188"/>
          <w:tblCellSpacing w:w="15" w:type="dxa"/>
        </w:trPr>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noProof/>
                <w:color w:val="333333"/>
              </w:rPr>
              <w:drawing>
                <wp:inline distT="0" distB="0" distL="0" distR="0">
                  <wp:extent cx="3648075" cy="3752850"/>
                  <wp:effectExtent l="0" t="0" r="0" b="0"/>
                  <wp:docPr id="1" name="Picture 1" descr="Figure 11.1 shows a Venn diagram of different categories of emissions reduction opportunities and how they inter-relate. A large circle is used to represent technical potential and with two smaller circles, both completely enclosed by the technical potential circle, representing realised opportunities and cost effective opportunities. The two smaller circles overlap one an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1.1 shows a Venn diagram of different categories of emissions reduction opportunities and how they inter-relate. A large circle is used to represent technical potential and with two smaller circles, both completely enclosed by the technical potential circle, representing realised opportunities and cost effective opportunities. The two smaller circles overlap one anoth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8075" cy="3752850"/>
                          </a:xfrm>
                          <a:prstGeom prst="rect">
                            <a:avLst/>
                          </a:prstGeom>
                          <a:noFill/>
                          <a:ln>
                            <a:noFill/>
                          </a:ln>
                        </pic:spPr>
                      </pic:pic>
                    </a:graphicData>
                  </a:graphic>
                </wp:inline>
              </w:drawing>
            </w:r>
            <w:r>
              <w:rPr>
                <w:rFonts w:ascii="Georgia" w:hAnsi="Georgia" w:cs="Helvetica"/>
                <w:color w:val="333333"/>
              </w:rPr>
              <w:t> </w:t>
            </w:r>
          </w:p>
        </w:tc>
        <w:tc>
          <w:tcPr>
            <w:tcW w:w="0" w:type="auto"/>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There are different w</w:t>
            </w:r>
            <w:r>
              <w:rPr>
                <w:rFonts w:ascii="Georgia" w:hAnsi="Georgia" w:cs="Helvetica"/>
                <w:color w:val="333333"/>
              </w:rPr>
              <w:t>ays to consider emissions reduction opportunities:</w:t>
            </w:r>
          </w:p>
          <w:p w:rsidR="00000000" w:rsidRDefault="009123E6">
            <w:pPr>
              <w:numPr>
                <w:ilvl w:val="0"/>
                <w:numId w:val="2"/>
              </w:numPr>
              <w:spacing w:before="100" w:beforeAutospacing="1" w:after="100" w:afterAutospacing="1" w:line="300" w:lineRule="atLeast"/>
              <w:ind w:left="375"/>
              <w:rPr>
                <w:rFonts w:ascii="Georgia" w:eastAsia="Times New Roman" w:hAnsi="Georgia" w:cs="Helvetica"/>
                <w:color w:val="333333"/>
              </w:rPr>
            </w:pPr>
            <w:r>
              <w:rPr>
                <w:rFonts w:ascii="Georgia" w:eastAsia="Times New Roman" w:hAnsi="Georgia" w:cs="Helvetica"/>
                <w:color w:val="333333"/>
              </w:rPr>
              <w:t>technical potential is that which is technically possible, though not necessarily at low cost</w:t>
            </w:r>
          </w:p>
          <w:p w:rsidR="00000000" w:rsidRDefault="009123E6">
            <w:pPr>
              <w:numPr>
                <w:ilvl w:val="0"/>
                <w:numId w:val="2"/>
              </w:numPr>
              <w:spacing w:before="100" w:beforeAutospacing="1" w:after="100" w:afterAutospacing="1" w:line="300" w:lineRule="atLeast"/>
              <w:ind w:left="375"/>
              <w:rPr>
                <w:rFonts w:ascii="Georgia" w:eastAsia="Times New Roman" w:hAnsi="Georgia" w:cs="Helvetica"/>
                <w:color w:val="333333"/>
              </w:rPr>
            </w:pPr>
            <w:r>
              <w:rPr>
                <w:rFonts w:ascii="Georgia" w:eastAsia="Times New Roman" w:hAnsi="Georgia" w:cs="Helvetica"/>
                <w:color w:val="333333"/>
              </w:rPr>
              <w:t xml:space="preserve">cost-effective opportunities are those that can be </w:t>
            </w:r>
            <w:proofErr w:type="spellStart"/>
            <w:r>
              <w:rPr>
                <w:rFonts w:ascii="Georgia" w:eastAsia="Times New Roman" w:hAnsi="Georgia" w:cs="Helvetica"/>
                <w:color w:val="333333"/>
              </w:rPr>
              <w:t>realised</w:t>
            </w:r>
            <w:proofErr w:type="spellEnd"/>
            <w:r>
              <w:rPr>
                <w:rFonts w:ascii="Georgia" w:eastAsia="Times New Roman" w:hAnsi="Georgia" w:cs="Helvetica"/>
                <w:color w:val="333333"/>
              </w:rPr>
              <w:t xml:space="preserve"> up to a benchmark of acceptable cost, from either a</w:t>
            </w:r>
            <w:r>
              <w:rPr>
                <w:rFonts w:ascii="Georgia" w:eastAsia="Times New Roman" w:hAnsi="Georgia" w:cs="Helvetica"/>
                <w:color w:val="333333"/>
              </w:rPr>
              <w:t xml:space="preserve"> societal or investor perspective </w:t>
            </w:r>
          </w:p>
          <w:p w:rsidR="00000000" w:rsidRDefault="009123E6">
            <w:pPr>
              <w:numPr>
                <w:ilvl w:val="0"/>
                <w:numId w:val="2"/>
              </w:numPr>
              <w:spacing w:before="100" w:beforeAutospacing="1" w:after="100" w:afterAutospacing="1" w:line="300" w:lineRule="atLeast"/>
              <w:ind w:left="375"/>
              <w:rPr>
                <w:rFonts w:ascii="Georgia" w:eastAsia="Times New Roman" w:hAnsi="Georgia" w:cs="Helvetica"/>
                <w:color w:val="333333"/>
              </w:rPr>
            </w:pPr>
            <w:proofErr w:type="spellStart"/>
            <w:proofErr w:type="gramStart"/>
            <w:r>
              <w:rPr>
                <w:rFonts w:ascii="Georgia" w:eastAsia="Times New Roman" w:hAnsi="Georgia" w:cs="Helvetica"/>
                <w:color w:val="333333"/>
              </w:rPr>
              <w:t>realised</w:t>
            </w:r>
            <w:proofErr w:type="spellEnd"/>
            <w:proofErr w:type="gramEnd"/>
            <w:r>
              <w:rPr>
                <w:rFonts w:ascii="Georgia" w:eastAsia="Times New Roman" w:hAnsi="Georgia" w:cs="Helvetica"/>
                <w:color w:val="333333"/>
              </w:rPr>
              <w:t xml:space="preserve"> opportunities are those that are taken up. </w:t>
            </w:r>
          </w:p>
          <w:p w:rsidR="00000000" w:rsidRDefault="009123E6">
            <w:pPr>
              <w:pStyle w:val="NormalWeb"/>
              <w:spacing w:line="300" w:lineRule="atLeast"/>
              <w:rPr>
                <w:rFonts w:ascii="Georgia" w:hAnsi="Georgia" w:cs="Helvetica"/>
                <w:color w:val="333333"/>
              </w:rPr>
            </w:pPr>
            <w:r>
              <w:rPr>
                <w:rFonts w:ascii="Georgia" w:hAnsi="Georgia" w:cs="Helvetica"/>
                <w:color w:val="333333"/>
              </w:rPr>
              <w:t>Policies can change the relative costs of reducing emissions and can make low-emissions activities and technologies competitive with conventional ones. An effective pol</w:t>
            </w:r>
            <w:r>
              <w:rPr>
                <w:rFonts w:ascii="Georgia" w:hAnsi="Georgia" w:cs="Helvetica"/>
                <w:color w:val="333333"/>
              </w:rPr>
              <w:t xml:space="preserve">icy suite will align cost-effective opportunities with </w:t>
            </w:r>
            <w:proofErr w:type="spellStart"/>
            <w:r>
              <w:rPr>
                <w:rFonts w:ascii="Georgia" w:hAnsi="Georgia" w:cs="Helvetica"/>
                <w:color w:val="333333"/>
              </w:rPr>
              <w:t>realised</w:t>
            </w:r>
            <w:proofErr w:type="spellEnd"/>
            <w:r>
              <w:rPr>
                <w:rFonts w:ascii="Georgia" w:hAnsi="Georgia" w:cs="Helvetica"/>
                <w:color w:val="333333"/>
              </w:rPr>
              <w:t xml:space="preserve"> opportunities. Policy gaps mean that cost-effective opportunities are missed; inefficient policies </w:t>
            </w:r>
            <w:proofErr w:type="spellStart"/>
            <w:r>
              <w:rPr>
                <w:rFonts w:ascii="Georgia" w:hAnsi="Georgia" w:cs="Helvetica"/>
                <w:color w:val="333333"/>
              </w:rPr>
              <w:t>realise</w:t>
            </w:r>
            <w:proofErr w:type="spellEnd"/>
            <w:r>
              <w:rPr>
                <w:rFonts w:ascii="Georgia" w:hAnsi="Georgia" w:cs="Helvetica"/>
                <w:color w:val="333333"/>
              </w:rPr>
              <w:t xml:space="preserve"> opportunities that are not cost-effective. </w:t>
            </w:r>
          </w:p>
        </w:tc>
      </w:tr>
    </w:tbl>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Climate Change Authority</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lastRenderedPageBreak/>
        <w:t>Modelli</w:t>
      </w:r>
      <w:r>
        <w:rPr>
          <w:rFonts w:ascii="Georgia" w:hAnsi="Georgia" w:cs="Helvetica"/>
          <w:color w:val="333333"/>
          <w:lang w:val="en"/>
        </w:rPr>
        <w:t xml:space="preserve">ng, emissions projections and marginal abatement cost curves all make assumptions about technical, cost-effective and </w:t>
      </w:r>
      <w:proofErr w:type="spellStart"/>
      <w:r>
        <w:rPr>
          <w:rFonts w:ascii="Georgia" w:hAnsi="Georgia" w:cs="Helvetica"/>
          <w:color w:val="333333"/>
          <w:lang w:val="en"/>
        </w:rPr>
        <w:t>realised</w:t>
      </w:r>
      <w:proofErr w:type="spellEnd"/>
      <w:r>
        <w:rPr>
          <w:rFonts w:ascii="Georgia" w:hAnsi="Georgia" w:cs="Helvetica"/>
          <w:color w:val="333333"/>
          <w:lang w:val="en"/>
        </w:rPr>
        <w:t xml:space="preserve"> emissions reduction opportunities. They give a snapshot of potential outcomes at a point in time. Modelling results are significa</w:t>
      </w:r>
      <w:r>
        <w:rPr>
          <w:rFonts w:ascii="Georgia" w:hAnsi="Georgia" w:cs="Helvetica"/>
          <w:color w:val="333333"/>
          <w:lang w:val="en"/>
        </w:rPr>
        <w:t>ntly influenced by these assumptions and this is reflected in the wide range of emissions reduction estimates (Box 11.2).</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Treasury and DIICCSRTE modelling, for example, considers only a portion of the technical potential for emissions reductions. It fo</w:t>
      </w:r>
      <w:r>
        <w:rPr>
          <w:rFonts w:ascii="Georgia" w:hAnsi="Georgia" w:cs="Helvetica"/>
          <w:color w:val="333333"/>
          <w:lang w:val="en"/>
        </w:rPr>
        <w:t xml:space="preserve">cuses on the cost-effective opportunities for Australian emissions reductions in particular sectors at various marginal costs, which together meet a given emissions reduction goal. </w:t>
      </w:r>
    </w:p>
    <w:p w:rsidR="00000000" w:rsidRDefault="009123E6">
      <w:pPr>
        <w:pStyle w:val="Heading2"/>
        <w:shd w:val="clear" w:color="auto" w:fill="F5F5F5"/>
        <w:divId w:val="172693444"/>
        <w:rPr>
          <w:rFonts w:eastAsia="Times New Roman" w:cs="Helvetica"/>
          <w:color w:val="333333"/>
          <w:lang w:val="en"/>
        </w:rPr>
      </w:pPr>
      <w:r>
        <w:rPr>
          <w:rFonts w:eastAsia="Times New Roman" w:cs="Helvetica"/>
          <w:color w:val="333333"/>
          <w:lang w:val="en"/>
        </w:rPr>
        <w:t xml:space="preserve">Box 11.2: Why do emissions reduction estimates differ? </w:t>
      </w:r>
    </w:p>
    <w:p w:rsidR="00000000" w:rsidRDefault="009123E6">
      <w:pPr>
        <w:pStyle w:val="NormalWeb"/>
        <w:shd w:val="clear" w:color="auto" w:fill="F5F5F5"/>
        <w:spacing w:line="300" w:lineRule="atLeast"/>
        <w:divId w:val="172693444"/>
        <w:rPr>
          <w:rFonts w:ascii="Georgia" w:hAnsi="Georgia" w:cs="Helvetica"/>
          <w:color w:val="333333"/>
          <w:lang w:val="en"/>
        </w:rPr>
      </w:pPr>
      <w:r>
        <w:rPr>
          <w:rFonts w:ascii="Georgia" w:hAnsi="Georgia" w:cs="Helvetica"/>
          <w:color w:val="333333"/>
          <w:lang w:val="en"/>
        </w:rPr>
        <w:t>The Treasury and D</w:t>
      </w:r>
      <w:r>
        <w:rPr>
          <w:rFonts w:ascii="Georgia" w:hAnsi="Georgia" w:cs="Helvetica"/>
          <w:color w:val="333333"/>
          <w:lang w:val="en"/>
        </w:rPr>
        <w:t>IICCSRTE modelling suggests total domestic emissions reductions in 2020 could be 35, 65 and 134 Mt CO</w:t>
      </w:r>
      <w:r>
        <w:rPr>
          <w:rFonts w:ascii="Georgia" w:hAnsi="Georgia" w:cs="Helvetica"/>
          <w:color w:val="333333"/>
          <w:sz w:val="18"/>
          <w:szCs w:val="18"/>
          <w:vertAlign w:val="subscript"/>
          <w:lang w:val="en"/>
        </w:rPr>
        <w:t>2</w:t>
      </w:r>
      <w:r>
        <w:rPr>
          <w:rFonts w:ascii="Georgia" w:hAnsi="Georgia" w:cs="Helvetica"/>
          <w:color w:val="333333"/>
          <w:lang w:val="en"/>
        </w:rPr>
        <w:t>-e in 2020 (relative to no price scenarios, in low, medium and high scenarios respectively). Only a portion of the technical potential for emissions reduc</w:t>
      </w:r>
      <w:r>
        <w:rPr>
          <w:rFonts w:ascii="Georgia" w:hAnsi="Georgia" w:cs="Helvetica"/>
          <w:color w:val="333333"/>
          <w:lang w:val="en"/>
        </w:rPr>
        <w:t xml:space="preserve">tions is </w:t>
      </w:r>
      <w:proofErr w:type="spellStart"/>
      <w:r>
        <w:rPr>
          <w:rFonts w:ascii="Georgia" w:hAnsi="Georgia" w:cs="Helvetica"/>
          <w:color w:val="333333"/>
          <w:lang w:val="en"/>
        </w:rPr>
        <w:t>realised</w:t>
      </w:r>
      <w:proofErr w:type="spellEnd"/>
      <w:r>
        <w:rPr>
          <w:rFonts w:ascii="Georgia" w:hAnsi="Georgia" w:cs="Helvetica"/>
          <w:color w:val="333333"/>
          <w:lang w:val="en"/>
        </w:rPr>
        <w:t>.</w:t>
      </w:r>
    </w:p>
    <w:p w:rsidR="00000000" w:rsidRDefault="009123E6">
      <w:pPr>
        <w:pStyle w:val="NormalWeb"/>
        <w:shd w:val="clear" w:color="auto" w:fill="F5F5F5"/>
        <w:spacing w:line="300" w:lineRule="atLeast"/>
        <w:divId w:val="172693444"/>
        <w:rPr>
          <w:rFonts w:ascii="Georgia" w:hAnsi="Georgia" w:cs="Helvetica"/>
          <w:color w:val="333333"/>
          <w:lang w:val="en"/>
        </w:rPr>
      </w:pPr>
      <w:r>
        <w:rPr>
          <w:rFonts w:ascii="Georgia" w:hAnsi="Georgia" w:cs="Helvetica"/>
          <w:color w:val="333333"/>
          <w:lang w:val="en"/>
        </w:rPr>
        <w:t xml:space="preserve">Other studies suggest 2020 emissions reductions may be more or less. </w:t>
      </w:r>
      <w:proofErr w:type="spellStart"/>
      <w:r>
        <w:rPr>
          <w:rFonts w:ascii="Georgia" w:hAnsi="Georgia" w:cs="Helvetica"/>
          <w:color w:val="333333"/>
          <w:lang w:val="en"/>
        </w:rPr>
        <w:t>ClimateWorks</w:t>
      </w:r>
      <w:proofErr w:type="spellEnd"/>
      <w:r>
        <w:rPr>
          <w:rFonts w:ascii="Georgia" w:hAnsi="Georgia" w:cs="Helvetica"/>
          <w:color w:val="333333"/>
          <w:lang w:val="en"/>
        </w:rPr>
        <w:t xml:space="preserve"> (2010), for example, estimates ‘realistic’ emissions reduction potential in 2020 is 249 Mt CO</w:t>
      </w:r>
      <w:r>
        <w:rPr>
          <w:rFonts w:ascii="Georgia" w:hAnsi="Georgia" w:cs="Helvetica"/>
          <w:color w:val="333333"/>
          <w:sz w:val="18"/>
          <w:szCs w:val="18"/>
          <w:vertAlign w:val="subscript"/>
          <w:lang w:val="en"/>
        </w:rPr>
        <w:t>2</w:t>
      </w:r>
      <w:r>
        <w:rPr>
          <w:rFonts w:ascii="Georgia" w:hAnsi="Georgia" w:cs="Helvetica"/>
          <w:color w:val="333333"/>
          <w:lang w:val="en"/>
        </w:rPr>
        <w:t>-e, relative to business-as-usual (BAU). By contrast, in a la</w:t>
      </w:r>
      <w:r>
        <w:rPr>
          <w:rFonts w:ascii="Georgia" w:hAnsi="Georgia" w:cs="Helvetica"/>
          <w:color w:val="333333"/>
          <w:lang w:val="en"/>
        </w:rPr>
        <w:t xml:space="preserve">ter study, </w:t>
      </w:r>
      <w:proofErr w:type="spellStart"/>
      <w:r>
        <w:rPr>
          <w:rFonts w:ascii="Georgia" w:hAnsi="Georgia" w:cs="Helvetica"/>
          <w:color w:val="333333"/>
          <w:lang w:val="en"/>
        </w:rPr>
        <w:t>ClimateWorks</w:t>
      </w:r>
      <w:proofErr w:type="spellEnd"/>
      <w:r>
        <w:rPr>
          <w:rFonts w:ascii="Georgia" w:hAnsi="Georgia" w:cs="Helvetica"/>
          <w:color w:val="333333"/>
          <w:lang w:val="en"/>
        </w:rPr>
        <w:t xml:space="preserve"> (2013a) estimates 80 Mt CO</w:t>
      </w:r>
      <w:r>
        <w:rPr>
          <w:rFonts w:ascii="Georgia" w:hAnsi="Georgia" w:cs="Helvetica"/>
          <w:color w:val="333333"/>
          <w:sz w:val="18"/>
          <w:szCs w:val="18"/>
          <w:vertAlign w:val="subscript"/>
          <w:lang w:val="en"/>
        </w:rPr>
        <w:t>2</w:t>
      </w:r>
      <w:r>
        <w:rPr>
          <w:rFonts w:ascii="Georgia" w:hAnsi="Georgia" w:cs="Helvetica"/>
          <w:color w:val="333333"/>
          <w:lang w:val="en"/>
        </w:rPr>
        <w:t xml:space="preserve">-e of emissions reductions may be </w:t>
      </w:r>
      <w:proofErr w:type="spellStart"/>
      <w:r>
        <w:rPr>
          <w:rFonts w:ascii="Georgia" w:hAnsi="Georgia" w:cs="Helvetica"/>
          <w:color w:val="333333"/>
          <w:lang w:val="en"/>
        </w:rPr>
        <w:t>realised</w:t>
      </w:r>
      <w:proofErr w:type="spellEnd"/>
      <w:r>
        <w:rPr>
          <w:rFonts w:ascii="Georgia" w:hAnsi="Georgia" w:cs="Helvetica"/>
          <w:color w:val="333333"/>
          <w:lang w:val="en"/>
        </w:rPr>
        <w:t xml:space="preserve"> in 2020 if recent levels of emissions reduction activity are sustained (2013).</w:t>
      </w:r>
    </w:p>
    <w:p w:rsidR="00000000" w:rsidRDefault="009123E6">
      <w:pPr>
        <w:pStyle w:val="NormalWeb"/>
        <w:shd w:val="clear" w:color="auto" w:fill="F5F5F5"/>
        <w:spacing w:line="300" w:lineRule="atLeast"/>
        <w:divId w:val="172693444"/>
        <w:rPr>
          <w:rFonts w:ascii="Georgia" w:hAnsi="Georgia" w:cs="Helvetica"/>
          <w:color w:val="333333"/>
          <w:lang w:val="en"/>
        </w:rPr>
      </w:pPr>
      <w:r>
        <w:rPr>
          <w:rFonts w:ascii="Georgia" w:hAnsi="Georgia" w:cs="Helvetica"/>
          <w:color w:val="333333"/>
          <w:lang w:val="en"/>
        </w:rPr>
        <w:t>Differences between these studies explain the variability in their results, includi</w:t>
      </w:r>
      <w:r>
        <w:rPr>
          <w:rFonts w:ascii="Georgia" w:hAnsi="Georgia" w:cs="Helvetica"/>
          <w:color w:val="333333"/>
          <w:lang w:val="en"/>
        </w:rPr>
        <w:t>ng assumptions in BAU and other scenarios about:</w:t>
      </w:r>
    </w:p>
    <w:p w:rsidR="00000000" w:rsidRDefault="009123E6">
      <w:pPr>
        <w:numPr>
          <w:ilvl w:val="0"/>
          <w:numId w:val="3"/>
        </w:numPr>
        <w:shd w:val="clear" w:color="auto" w:fill="F5F5F5"/>
        <w:spacing w:before="100" w:beforeAutospacing="1" w:after="100" w:afterAutospacing="1" w:line="300" w:lineRule="atLeast"/>
        <w:ind w:left="375"/>
        <w:divId w:val="172693444"/>
        <w:rPr>
          <w:rFonts w:ascii="Georgia" w:eastAsia="Times New Roman" w:hAnsi="Georgia" w:cs="Helvetica"/>
          <w:color w:val="333333"/>
          <w:lang w:val="en"/>
        </w:rPr>
      </w:pPr>
      <w:r>
        <w:rPr>
          <w:rFonts w:ascii="Georgia" w:eastAsia="Times New Roman" w:hAnsi="Georgia" w:cs="Helvetica"/>
          <w:color w:val="333333"/>
          <w:lang w:val="en"/>
        </w:rPr>
        <w:t xml:space="preserve">Technologies and practices available to reduce emissions (this affects ‘technical potential’). For example, </w:t>
      </w:r>
      <w:proofErr w:type="spellStart"/>
      <w:r>
        <w:rPr>
          <w:rFonts w:ascii="Georgia" w:eastAsia="Times New Roman" w:hAnsi="Georgia" w:cs="Helvetica"/>
          <w:color w:val="333333"/>
          <w:lang w:val="en"/>
        </w:rPr>
        <w:t>ClimateWorks</w:t>
      </w:r>
      <w:proofErr w:type="spellEnd"/>
      <w:r>
        <w:rPr>
          <w:rFonts w:ascii="Georgia" w:eastAsia="Times New Roman" w:hAnsi="Georgia" w:cs="Helvetica"/>
          <w:color w:val="333333"/>
          <w:lang w:val="en"/>
        </w:rPr>
        <w:t xml:space="preserve"> (2010) assumed several carbon capture and storage (CCS) demonstration plants would be </w:t>
      </w:r>
      <w:r>
        <w:rPr>
          <w:rFonts w:ascii="Georgia" w:eastAsia="Times New Roman" w:hAnsi="Georgia" w:cs="Helvetica"/>
          <w:color w:val="333333"/>
          <w:lang w:val="en"/>
        </w:rPr>
        <w:t>operating by 2020. By contrast, in the Treasury and DIICCSTRE modelling CCS was found not to be economically viable before 2030.</w:t>
      </w:r>
    </w:p>
    <w:p w:rsidR="00000000" w:rsidRDefault="009123E6">
      <w:pPr>
        <w:numPr>
          <w:ilvl w:val="0"/>
          <w:numId w:val="3"/>
        </w:numPr>
        <w:shd w:val="clear" w:color="auto" w:fill="F5F5F5"/>
        <w:spacing w:before="100" w:beforeAutospacing="1" w:after="100" w:afterAutospacing="1" w:line="300" w:lineRule="atLeast"/>
        <w:ind w:left="375"/>
        <w:divId w:val="172693444"/>
        <w:rPr>
          <w:rFonts w:ascii="Georgia" w:eastAsia="Times New Roman" w:hAnsi="Georgia" w:cs="Helvetica"/>
          <w:color w:val="333333"/>
          <w:lang w:val="en"/>
        </w:rPr>
      </w:pPr>
      <w:r>
        <w:rPr>
          <w:rFonts w:ascii="Georgia" w:eastAsia="Times New Roman" w:hAnsi="Georgia" w:cs="Helvetica"/>
          <w:color w:val="333333"/>
          <w:lang w:val="en"/>
        </w:rPr>
        <w:t xml:space="preserve">The costs of low-emissions technologies, including whether only private or also public or social costs are considered (this affects cost-effective opportunities). </w:t>
      </w:r>
      <w:proofErr w:type="spellStart"/>
      <w:r>
        <w:rPr>
          <w:rFonts w:ascii="Georgia" w:eastAsia="Times New Roman" w:hAnsi="Georgia" w:cs="Helvetica"/>
          <w:color w:val="333333"/>
          <w:lang w:val="en"/>
        </w:rPr>
        <w:t>ClimateWorks</w:t>
      </w:r>
      <w:proofErr w:type="spellEnd"/>
      <w:r>
        <w:rPr>
          <w:rFonts w:ascii="Georgia" w:eastAsia="Times New Roman" w:hAnsi="Georgia" w:cs="Helvetica"/>
          <w:color w:val="333333"/>
          <w:lang w:val="en"/>
        </w:rPr>
        <w:t xml:space="preserve"> assumed capital costs of low-emissions sources of electricity are generally lowe</w:t>
      </w:r>
      <w:r>
        <w:rPr>
          <w:rFonts w:ascii="Georgia" w:eastAsia="Times New Roman" w:hAnsi="Georgia" w:cs="Helvetica"/>
          <w:color w:val="333333"/>
          <w:lang w:val="en"/>
        </w:rPr>
        <w:t>r than was assumed in the Treasury and DIICCSRTE modelling. The modelling assumptions were based on ACIL Allen Consulting’s (2013) updates to technology costs from the 2012 Australian Energy Technology Assessment (BREE 2012).</w:t>
      </w:r>
    </w:p>
    <w:p w:rsidR="00000000" w:rsidRDefault="009123E6">
      <w:pPr>
        <w:numPr>
          <w:ilvl w:val="0"/>
          <w:numId w:val="3"/>
        </w:numPr>
        <w:shd w:val="clear" w:color="auto" w:fill="F5F5F5"/>
        <w:spacing w:before="100" w:beforeAutospacing="1" w:after="100" w:afterAutospacing="1" w:line="300" w:lineRule="atLeast"/>
        <w:ind w:left="375"/>
        <w:divId w:val="172693444"/>
        <w:rPr>
          <w:rFonts w:ascii="Georgia" w:eastAsia="Times New Roman" w:hAnsi="Georgia" w:cs="Helvetica"/>
          <w:color w:val="333333"/>
          <w:lang w:val="en"/>
        </w:rPr>
      </w:pPr>
      <w:r>
        <w:rPr>
          <w:rFonts w:ascii="Georgia" w:eastAsia="Times New Roman" w:hAnsi="Georgia" w:cs="Helvetica"/>
          <w:color w:val="333333"/>
          <w:lang w:val="en"/>
        </w:rPr>
        <w:t>The anticipated consumer respo</w:t>
      </w:r>
      <w:r>
        <w:rPr>
          <w:rFonts w:ascii="Georgia" w:eastAsia="Times New Roman" w:hAnsi="Georgia" w:cs="Helvetica"/>
          <w:color w:val="333333"/>
          <w:lang w:val="en"/>
        </w:rPr>
        <w:t>nse and uptake of low-emissions options (this affects ‘</w:t>
      </w:r>
      <w:proofErr w:type="spellStart"/>
      <w:r>
        <w:rPr>
          <w:rFonts w:ascii="Georgia" w:eastAsia="Times New Roman" w:hAnsi="Georgia" w:cs="Helvetica"/>
          <w:color w:val="333333"/>
          <w:lang w:val="en"/>
        </w:rPr>
        <w:t>realised</w:t>
      </w:r>
      <w:proofErr w:type="spellEnd"/>
      <w:r>
        <w:rPr>
          <w:rFonts w:ascii="Georgia" w:eastAsia="Times New Roman" w:hAnsi="Georgia" w:cs="Helvetica"/>
          <w:color w:val="333333"/>
          <w:lang w:val="en"/>
        </w:rPr>
        <w:t xml:space="preserve"> opportunities’). </w:t>
      </w:r>
      <w:proofErr w:type="spellStart"/>
      <w:r>
        <w:rPr>
          <w:rFonts w:ascii="Georgia" w:eastAsia="Times New Roman" w:hAnsi="Georgia" w:cs="Helvetica"/>
          <w:color w:val="333333"/>
          <w:lang w:val="en"/>
        </w:rPr>
        <w:t>ClimateWorks</w:t>
      </w:r>
      <w:proofErr w:type="spellEnd"/>
      <w:r>
        <w:rPr>
          <w:rFonts w:ascii="Georgia" w:eastAsia="Times New Roman" w:hAnsi="Georgia" w:cs="Helvetica"/>
          <w:color w:val="333333"/>
          <w:lang w:val="en"/>
        </w:rPr>
        <w:t xml:space="preserve"> (2010 and 2013a) made more detailed and extensive assumptions about energy efficiency potential, and suggests large potential savings, than did the Treasury and D</w:t>
      </w:r>
      <w:r>
        <w:rPr>
          <w:rFonts w:ascii="Georgia" w:eastAsia="Times New Roman" w:hAnsi="Georgia" w:cs="Helvetica"/>
          <w:color w:val="333333"/>
          <w:lang w:val="en"/>
        </w:rPr>
        <w:t>IICCSRTE modelling.</w:t>
      </w:r>
    </w:p>
    <w:p w:rsidR="00000000" w:rsidRDefault="009123E6">
      <w:pPr>
        <w:pStyle w:val="NormalWeb"/>
        <w:shd w:val="clear" w:color="auto" w:fill="F5F5F5"/>
        <w:spacing w:line="300" w:lineRule="atLeast"/>
        <w:divId w:val="172693444"/>
        <w:rPr>
          <w:rFonts w:ascii="Georgia" w:hAnsi="Georgia" w:cs="Helvetica"/>
          <w:color w:val="333333"/>
          <w:lang w:val="en"/>
        </w:rPr>
      </w:pPr>
      <w:r>
        <w:rPr>
          <w:rFonts w:ascii="Georgia" w:hAnsi="Georgia" w:cs="Helvetica"/>
          <w:color w:val="333333"/>
          <w:lang w:val="en"/>
        </w:rPr>
        <w:t xml:space="preserve">Emissions accounting differences also alter results. The Authority, for example, incorporated updated global warming potentials from the IPCC’s Fourth Assessment </w:t>
      </w:r>
      <w:r>
        <w:rPr>
          <w:rFonts w:ascii="Georgia" w:hAnsi="Georgia" w:cs="Helvetica"/>
          <w:color w:val="333333"/>
          <w:lang w:val="en"/>
        </w:rPr>
        <w:lastRenderedPageBreak/>
        <w:t xml:space="preserve">Report (AR4) in its emission estimates, while </w:t>
      </w:r>
      <w:proofErr w:type="spellStart"/>
      <w:r>
        <w:rPr>
          <w:rFonts w:ascii="Georgia" w:hAnsi="Georgia" w:cs="Helvetica"/>
          <w:color w:val="333333"/>
          <w:lang w:val="en"/>
        </w:rPr>
        <w:t>ClimateWorks</w:t>
      </w:r>
      <w:proofErr w:type="spellEnd"/>
      <w:r>
        <w:rPr>
          <w:rFonts w:ascii="Georgia" w:hAnsi="Georgia" w:cs="Helvetica"/>
          <w:color w:val="333333"/>
          <w:lang w:val="en"/>
        </w:rPr>
        <w:t xml:space="preserve"> used the global warming potentials </w:t>
      </w:r>
      <w:r>
        <w:rPr>
          <w:rFonts w:ascii="Georgia" w:hAnsi="Georgia" w:cs="Helvetica"/>
          <w:color w:val="333333"/>
          <w:lang w:val="en"/>
        </w:rPr>
        <w:t xml:space="preserve">specified in the Second Assessment Report (AR2). </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11.3 Outlook for Australia’s emissions</w:t>
      </w:r>
    </w:p>
    <w:p w:rsidR="00000000" w:rsidRDefault="009123E6">
      <w:pPr>
        <w:pStyle w:val="Heading3"/>
        <w:divId w:val="894126188"/>
        <w:rPr>
          <w:rFonts w:eastAsia="Times New Roman" w:cs="Helvetica"/>
          <w:color w:val="333333"/>
          <w:lang w:val="en"/>
        </w:rPr>
      </w:pPr>
      <w:r>
        <w:rPr>
          <w:rFonts w:eastAsia="Times New Roman" w:cs="Helvetica"/>
          <w:color w:val="333333"/>
          <w:lang w:val="en"/>
        </w:rPr>
        <w:t>11.3.1 Australia’s domestic emissions levels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Australia’s emissions have remained relatively flat since 1990. As discussed in Chapter 6, most of the emissions reduction</w:t>
      </w:r>
      <w:r>
        <w:rPr>
          <w:rFonts w:ascii="Georgia" w:hAnsi="Georgia" w:cs="Helvetica"/>
          <w:color w:val="333333"/>
          <w:lang w:val="en"/>
        </w:rPr>
        <w:t>s over that period are attributable to economic factors and policies enacted in the land sector. Between 2008 and 2012, electricity sector emissions have been falling by an average of about 0.8 per cent per year, due to lower demand growth and a shift towa</w:t>
      </w:r>
      <w:r>
        <w:rPr>
          <w:rFonts w:ascii="Georgia" w:hAnsi="Georgia" w:cs="Helvetica"/>
          <w:color w:val="333333"/>
          <w:lang w:val="en"/>
        </w:rPr>
        <w:t xml:space="preserve">rds less emissions-intensive generation (gas and renewables).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current rate of reduction in emissions intensity from both policy and economic drivers is unlikely to reduce overall national emissions to 2020. Under the no price scenario, Australia’s emi</w:t>
      </w:r>
      <w:r>
        <w:rPr>
          <w:rFonts w:ascii="Georgia" w:hAnsi="Georgia" w:cs="Helvetica"/>
          <w:color w:val="333333"/>
          <w:lang w:val="en"/>
        </w:rPr>
        <w:t xml:space="preserve">ssions are projected to rise to 17 per cent above 2000 levels in 2020 and 37 per cent in 2030. Figure 11.2 shows that with price incentives emissions may fall—and the stronger the incentive, the greater the emissions reductions.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Only under the high scenar</w:t>
      </w:r>
      <w:r>
        <w:rPr>
          <w:rFonts w:ascii="Georgia" w:hAnsi="Georgia" w:cs="Helvetica"/>
          <w:color w:val="333333"/>
          <w:lang w:val="en"/>
        </w:rPr>
        <w:t>io are Australia’s emissions projected to fall and stay below 2000 levels (Figure 11.2). The high scenario gets closest to the cumulative emissions reductions required to meet Australia’s minimum 5 per cent target.</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Figure 11.2: Australia’s projected emissi</w:t>
      </w:r>
      <w:r>
        <w:rPr>
          <w:rFonts w:eastAsia="Times New Roman" w:cs="Helvetica"/>
          <w:color w:val="333333"/>
          <w:lang w:val="en"/>
        </w:rPr>
        <w:t>ons under different scenarios, 1990–2030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14440" cy="1991880"/>
            <wp:effectExtent l="0" t="0" r="0" b="0"/>
            <wp:docPr id="2" name="Picture 2" descr="Figure 11.2 shows Australia’s historical and projected domestic emissions between 1990 and 2030. &#10;The chart shows that Australia’s emissions dipped between 1990 and 2000, and crested between 2000 and 2012. In the years 1990, 2000 and 2012 emissions were 580, 586 and 600 megatonnes of carbon dioxide equivalent, respectively.&#10;The chart is shown as four projected scenarios from 2012 to 2030. From 2012 to 2030, emissions are projected to increase under all scenarios, except the high scenario. Relative to 2000 levels the projections show that (a) under the no price scenario, emissions are 17% higher in 2020 and 37% higher in 2030; (b) under the low scenario, emissions are 11% higher in 2020 and 15% higher in 2030; (c) under the medium scenario, emissions are 6% higher in 2020 and 10% higher in 2030; and (d) under the high scenario, emissions are 6% lower in 2020 and 21% higher in 203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1.2 shows Australia’s historical and projected domestic emissions between 1990 and 2030. &#10;The chart shows that Australia’s emissions dipped between 1990 and 2000, and crested between 2000 and 2012. In the years 1990, 2000 and 2012 emissions were 580, 586 and 600 megatonnes of carbon dioxide equivalent, respectively.&#10;The chart is shown as four projected scenarios from 2012 to 2030. From 2012 to 2030, emissions are projected to increase under all scenarios, except the high scenario. Relative to 2000 levels the projections show that (a) under the no price scenario, emissions are 17% higher in 2020 and 37% higher in 2030; (b) under the low scenario, emissions are 11% higher in 2020 and 15% higher in 2030; (c) under the medium scenario, emissions are 6% higher in 2020 and 10% higher in 2030; and (d) under the high scenario, emissions are 6% lower in 2020 and 21% higher in 2030.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4440" cy="1991880"/>
                    </a:xfrm>
                    <a:prstGeom prst="rect">
                      <a:avLst/>
                    </a:prstGeom>
                    <a:noFill/>
                    <a:ln>
                      <a:noFill/>
                    </a:ln>
                  </pic:spPr>
                </pic:pic>
              </a:graphicData>
            </a:graphic>
          </wp:inline>
        </w:drawing>
      </w:r>
      <w:r>
        <w:rPr>
          <w:rFonts w:ascii="Georgia" w:hAnsi="Georgia" w:cs="Helvetica"/>
          <w:color w:val="333333"/>
          <w:lang w:val="en"/>
        </w:rPr>
        <w:t> </w:t>
      </w:r>
    </w:p>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Source:</w:t>
      </w:r>
      <w:r>
        <w:rPr>
          <w:rFonts w:ascii="Georgia" w:hAnsi="Georgia" w:cs="Helvetica"/>
          <w:color w:val="333333"/>
          <w:lang w:val="en"/>
        </w:rPr>
        <w:t xml:space="preserve"> Climate Change Authority calculations using res</w:t>
      </w:r>
      <w:r>
        <w:rPr>
          <w:rFonts w:ascii="Georgia" w:hAnsi="Georgia" w:cs="Helvetica"/>
          <w:color w:val="333333"/>
          <w:lang w:val="en"/>
        </w:rPr>
        <w:t>ults from Treasury and DIICCSRTE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Part C recommends emissions reduction goals for Australia, including a budget for the period 2013–2050 of 10.1 </w:t>
      </w:r>
      <w:proofErr w:type="spellStart"/>
      <w:r>
        <w:rPr>
          <w:rFonts w:ascii="Georgia" w:hAnsi="Georgia" w:cs="Helvetica"/>
          <w:color w:val="333333"/>
          <w:lang w:val="en"/>
        </w:rPr>
        <w:t>Gt</w:t>
      </w:r>
      <w:proofErr w:type="spellEnd"/>
      <w:r>
        <w:rPr>
          <w:rFonts w:ascii="Georgia" w:hAnsi="Georgia" w:cs="Helvetica"/>
          <w:color w:val="333333"/>
          <w:lang w:val="en"/>
        </w:rPr>
        <w:t xml:space="preserve"> CO</w:t>
      </w:r>
      <w:r>
        <w:rPr>
          <w:rFonts w:ascii="Georgia" w:hAnsi="Georgia" w:cs="Helvetica"/>
          <w:color w:val="333333"/>
          <w:sz w:val="18"/>
          <w:szCs w:val="18"/>
          <w:vertAlign w:val="subscript"/>
          <w:lang w:val="en"/>
        </w:rPr>
        <w:t>2</w:t>
      </w:r>
      <w:r>
        <w:rPr>
          <w:rFonts w:ascii="Georgia" w:hAnsi="Georgia" w:cs="Helvetica"/>
          <w:color w:val="333333"/>
          <w:lang w:val="en"/>
        </w:rPr>
        <w:t xml:space="preserve">-e. These goals are expressed in net terms, </w:t>
      </w:r>
      <w:r>
        <w:rPr>
          <w:rFonts w:ascii="Georgia" w:hAnsi="Georgia" w:cs="Helvetica"/>
          <w:color w:val="333333"/>
          <w:lang w:val="en"/>
        </w:rPr>
        <w:lastRenderedPageBreak/>
        <w:t xml:space="preserve">consistent with Australia’s international commitments to </w:t>
      </w:r>
      <w:r>
        <w:rPr>
          <w:rFonts w:ascii="Georgia" w:hAnsi="Georgia" w:cs="Helvetica"/>
          <w:color w:val="333333"/>
          <w:lang w:val="en"/>
        </w:rPr>
        <w:t xml:space="preserve">reduce emissions. To the extent that Australia’s domestic emissions are higher than the levels specified in its international commitments, they must be offset by international emissions reductions.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Figure 11.3 shows Australia’s projected cumulative emissi</w:t>
      </w:r>
      <w:r>
        <w:rPr>
          <w:rFonts w:ascii="Georgia" w:hAnsi="Georgia" w:cs="Helvetica"/>
          <w:color w:val="333333"/>
          <w:lang w:val="en"/>
        </w:rPr>
        <w:t>ons over the period 2013–2030, relative to its net emissions budget to 2050. This illustrates that, by 2030, Australia’s emissions exceed the recommended budget under all of the modelled scenarios, except the high scenario. This suggests that to stay withi</w:t>
      </w:r>
      <w:r>
        <w:rPr>
          <w:rFonts w:ascii="Georgia" w:hAnsi="Georgia" w:cs="Helvetica"/>
          <w:color w:val="333333"/>
          <w:lang w:val="en"/>
        </w:rPr>
        <w:t xml:space="preserve">n the recommended budget, Australia will need to use international emissions reductions to complement domestic reductions.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high scenario consumes the least of the Authority’s recommended emissions budget; the low and medium scenarios use the budget mo</w:t>
      </w:r>
      <w:r>
        <w:rPr>
          <w:rFonts w:ascii="Georgia" w:hAnsi="Georgia" w:cs="Helvetica"/>
          <w:color w:val="333333"/>
          <w:lang w:val="en"/>
        </w:rPr>
        <w:t>re slowly than the no price scenario. This highlights the role of a strong incentive, or new policy, to reduce Australia’s domestic emissions.</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 xml:space="preserve">Figure 11.3: </w:t>
      </w:r>
      <w:r>
        <w:rPr>
          <w:rFonts w:eastAsia="Times New Roman" w:cs="Helvetica"/>
          <w:color w:val="333333"/>
          <w:lang w:val="en"/>
        </w:rPr>
        <w:t xml:space="preserve">Australia’s recommended emissions budget to 2050 compared with cumulative domestic emissions from 2013 to 2030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14800" cy="2602440"/>
            <wp:effectExtent l="0" t="0" r="0" b="7620"/>
            <wp:docPr id="3" name="Picture 3" descr="Figure 11.3 shows Australia’s cumulative domestic emissions from 2013 to 2030 compared to Australia’s recommended emissions budget for 2013 to 2050 of 10,100 megatonnes of carbon dioxide equivalent. &#10;Under all scenarios except the high scenario, Australia’s cumulative emissions for the period 2013–2030 exceed the recommended 2050 budget. Under the no price, emissions are projected to reach almost 13,000 megatonnes of carbon dioxide equivalent, decreasing to around 12,000 megatonnes of carbon dioxide equivalent in the low scenario and around 11,000 megatonnes of carbon dioxide equivalent in the medium scenario. In contrast, emissions are projected to be less than 10,000 megatonnes of carbon dioxide equivalent in the high scenario, within recommended 2050 budge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1.3 shows Australia’s cumulative domestic emissions from 2013 to 2030 compared to Australia’s recommended emissions budget for 2013 to 2050 of 10,100 megatonnes of carbon dioxide equivalent. &#10;Under all scenarios except the high scenario, Australia’s cumulative emissions for the period 2013–2030 exceed the recommended 2050 budget. Under the no price, emissions are projected to reach almost 13,000 megatonnes of carbon dioxide equivalent, decreasing to around 12,000 megatonnes of carbon dioxide equivalent in the low scenario and around 11,000 megatonnes of carbon dioxide equivalent in the medium scenario. In contrast, emissions are projected to be less than 10,000 megatonnes of carbon dioxide equivalent in the high scenario, within recommended 2050 budget.&#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4800" cy="2602440"/>
                    </a:xfrm>
                    <a:prstGeom prst="rect">
                      <a:avLst/>
                    </a:prstGeom>
                    <a:noFill/>
                    <a:ln>
                      <a:noFill/>
                    </a:ln>
                  </pic:spPr>
                </pic:pic>
              </a:graphicData>
            </a:graphic>
          </wp:inline>
        </w:drawing>
      </w:r>
      <w:r>
        <w:rPr>
          <w:rFonts w:ascii="Georgia" w:hAnsi="Georgia" w:cs="Helvetica"/>
          <w:color w:val="333333"/>
          <w:lang w:val="en"/>
        </w:rPr>
        <w:t> </w:t>
      </w:r>
    </w:p>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Source:</w:t>
      </w:r>
      <w:r>
        <w:rPr>
          <w:rFonts w:ascii="Georgia" w:hAnsi="Georgia" w:cs="Helvetica"/>
          <w:color w:val="333333"/>
          <w:lang w:val="en"/>
        </w:rPr>
        <w:t xml:space="preserve"> Climate Change Authority calculations using results from Treasury and DIICCSRTE 2013</w:t>
      </w:r>
    </w:p>
    <w:p w:rsidR="00000000" w:rsidRDefault="009123E6">
      <w:pPr>
        <w:pStyle w:val="Heading3"/>
        <w:divId w:val="894126188"/>
        <w:rPr>
          <w:rFonts w:eastAsia="Times New Roman" w:cs="Helvetica"/>
          <w:color w:val="333333"/>
          <w:lang w:val="en"/>
        </w:rPr>
      </w:pPr>
      <w:r>
        <w:rPr>
          <w:rFonts w:eastAsia="Times New Roman" w:cs="Helvetica"/>
          <w:color w:val="333333"/>
          <w:lang w:val="en"/>
        </w:rPr>
        <w:t xml:space="preserve">11.3.2 Australia’s domestic emissions intensity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historical trend of falling emissions intensity of the economy, described in Chapter 6, is proj</w:t>
      </w:r>
      <w:r>
        <w:rPr>
          <w:rFonts w:ascii="Georgia" w:hAnsi="Georgia" w:cs="Helvetica"/>
          <w:color w:val="333333"/>
          <w:lang w:val="en"/>
        </w:rPr>
        <w:t xml:space="preserve">ected to continue under all scenarios as projected economic growth outpaces emissions growth (Figure 11.4). Economic growth is projected to increase at an average annual rate of about 3.1 per cent between 2013 and 2020, resulting in a similar average rate </w:t>
      </w:r>
      <w:r>
        <w:rPr>
          <w:rFonts w:ascii="Georgia" w:hAnsi="Georgia" w:cs="Helvetica"/>
          <w:color w:val="333333"/>
          <w:lang w:val="en"/>
        </w:rPr>
        <w:t>of emissions intensity reduction over the two decades since 1992.</w:t>
      </w:r>
    </w:p>
    <w:p w:rsidR="00000000" w:rsidRDefault="009123E6">
      <w:pPr>
        <w:pStyle w:val="Heading2"/>
        <w:divId w:val="894126188"/>
        <w:rPr>
          <w:rFonts w:eastAsia="Times New Roman" w:cs="Helvetica"/>
          <w:color w:val="333333"/>
          <w:lang w:val="en"/>
        </w:rPr>
      </w:pPr>
      <w:r>
        <w:rPr>
          <w:rFonts w:eastAsia="Times New Roman" w:cs="Helvetica"/>
          <w:color w:val="333333"/>
          <w:lang w:val="en"/>
        </w:rPr>
        <w:lastRenderedPageBreak/>
        <w:t>Figure 11.4: Australia’s projected emissions per dollar GDP, 2000–2030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15160" cy="2587320"/>
            <wp:effectExtent l="0" t="0" r="0" b="0"/>
            <wp:docPr id="4" name="Picture 4" descr="Figure 11.4 shows the historical and projected emissions intensity of Australia’s economy per unit of GDP between 2000 and 2030. &#10;The chart shows emission intensity declined between 2000 and 2012, from 0.57 kg carbon dioxide equivalent per dollar GDP to 0.41. From 2012 to 2030, four scenarios are projected. Under all scenarios the intensity falls, to between 0.32 (no price scenario) and 0.19 (high scenario) in 203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1.4 shows the historical and projected emissions intensity of Australia’s economy per unit of GDP between 2000 and 2030. &#10;The chart shows emission intensity declined between 2000 and 2012, from 0.57 kg carbon dioxide equivalent per dollar GDP to 0.41. From 2012 to 2030, four scenarios are projected. Under all scenarios the intensity falls, to between 0.32 (no price scenario) and 0.19 (high scenario) in 2030.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160" cy="2587320"/>
                    </a:xfrm>
                    <a:prstGeom prst="rect">
                      <a:avLst/>
                    </a:prstGeom>
                    <a:noFill/>
                    <a:ln>
                      <a:noFill/>
                    </a:ln>
                  </pic:spPr>
                </pic:pic>
              </a:graphicData>
            </a:graphic>
          </wp:inline>
        </w:drawing>
      </w:r>
      <w:r>
        <w:rPr>
          <w:rFonts w:ascii="Georgia" w:hAnsi="Georgia" w:cs="Helvetica"/>
          <w:color w:val="333333"/>
          <w:lang w:val="en"/>
        </w:rPr>
        <w:t> </w:t>
      </w:r>
    </w:p>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Source:</w:t>
      </w:r>
      <w:r>
        <w:rPr>
          <w:rFonts w:ascii="Georgia" w:hAnsi="Georgia" w:cs="Helvetica"/>
          <w:color w:val="333333"/>
          <w:lang w:val="en"/>
        </w:rPr>
        <w:t xml:space="preserve"> Climate Change Authority calculations using results</w:t>
      </w:r>
      <w:r>
        <w:rPr>
          <w:rFonts w:ascii="Georgia" w:hAnsi="Georgia" w:cs="Helvetica"/>
          <w:color w:val="333333"/>
          <w:lang w:val="en"/>
        </w:rPr>
        <w:t xml:space="preserve"> from Treasury and DIICCSRTE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Emissions per person are also projected to fall in the low, medium and high scenarios, but rise slightly relative to current levels in the no price scenario (Figure 11.5). In the high scenario, emissions per person are app</w:t>
      </w:r>
      <w:r>
        <w:rPr>
          <w:rFonts w:ascii="Georgia" w:hAnsi="Georgia" w:cs="Helvetica"/>
          <w:color w:val="333333"/>
          <w:lang w:val="en"/>
        </w:rPr>
        <w:t>roximately half 2000 levels by 2030.</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Figure 11.5: Australia’s projected emissions per person, 2000–2030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15160" cy="2625480"/>
            <wp:effectExtent l="0" t="0" r="0" b="0"/>
            <wp:docPr id="5" name="Picture 5" descr="Figure 11.5 shows Australia’s historical and projected emissions per person between 2000 and 2030.&#10;Historical emissions per person are shown to have fallen between 2000 and 2012, from 31 to 26 tonnes of carbon dioxide equivalent. From 2012, the four projection scenarios are plotted.&#10;In 2020, Australia’s projected emissions per person are 26 tonnes of carbon dioxide equivalent in the no price scenario, 25 tonnes in the low scenario, 24 tonnes in the medium scenario and 21 tonnes in the high scenario.&#10;In 2030, Australia’s projected emissions per person are projected to remain at 26 tonnes of carbon dioxide equivalent in the no price scenario, and decline to 22 tonnes in the low scenario, 21 tonnes in the medium scenario and 15 tonnes in the high scenari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11.5 shows Australia’s historical and projected emissions per person between 2000 and 2030.&#10;Historical emissions per person are shown to have fallen between 2000 and 2012, from 31 to 26 tonnes of carbon dioxide equivalent. From 2012, the four projection scenarios are plotted.&#10;In 2020, Australia’s projected emissions per person are 26 tonnes of carbon dioxide equivalent in the no price scenario, 25 tonnes in the low scenario, 24 tonnes in the medium scenario and 21 tonnes in the high scenario.&#10;In 2030, Australia’s projected emissions per person are projected to remain at 26 tonnes of carbon dioxide equivalent in the no price scenario, and decline to 22 tonnes in the low scenario, 21 tonnes in the medium scenario and 15 tonnes in the high scenario.&#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160" cy="2625480"/>
                    </a:xfrm>
                    <a:prstGeom prst="rect">
                      <a:avLst/>
                    </a:prstGeom>
                    <a:noFill/>
                    <a:ln>
                      <a:noFill/>
                    </a:ln>
                  </pic:spPr>
                </pic:pic>
              </a:graphicData>
            </a:graphic>
          </wp:inline>
        </w:drawing>
      </w:r>
      <w:r>
        <w:rPr>
          <w:rFonts w:ascii="Georgia" w:hAnsi="Georgia" w:cs="Helvetica"/>
          <w:color w:val="333333"/>
          <w:lang w:val="en"/>
        </w:rPr>
        <w:t> </w:t>
      </w:r>
    </w:p>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Source:</w:t>
      </w:r>
      <w:r>
        <w:rPr>
          <w:rFonts w:ascii="Georgia" w:hAnsi="Georgia" w:cs="Helvetica"/>
          <w:color w:val="333333"/>
          <w:lang w:val="en"/>
        </w:rPr>
        <w:t xml:space="preserve"> Climate Change Authority calculations using results from Treasury and DIICCSRTE 2013</w:t>
      </w:r>
    </w:p>
    <w:p w:rsidR="00000000" w:rsidRDefault="009123E6">
      <w:pPr>
        <w:pStyle w:val="Heading3"/>
        <w:divId w:val="894126188"/>
        <w:rPr>
          <w:rFonts w:eastAsia="Times New Roman" w:cs="Helvetica"/>
          <w:color w:val="333333"/>
          <w:lang w:val="en"/>
        </w:rPr>
      </w:pPr>
      <w:r>
        <w:rPr>
          <w:rFonts w:eastAsia="Times New Roman" w:cs="Helvetica"/>
          <w:color w:val="333333"/>
          <w:lang w:val="en"/>
        </w:rPr>
        <w:lastRenderedPageBreak/>
        <w:t>11.3.3 Factors influencing the emissions outlook</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Several factors will drive Australia’s future emissions. Across all scenarios, irrespective of the choice of emissions reduction goals or the level of a price incentive, emissions will be influenced by:</w:t>
      </w:r>
    </w:p>
    <w:p w:rsidR="00000000" w:rsidRDefault="009123E6">
      <w:pPr>
        <w:numPr>
          <w:ilvl w:val="0"/>
          <w:numId w:val="4"/>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Broa</w:t>
      </w:r>
      <w:r>
        <w:rPr>
          <w:rFonts w:ascii="Georgia" w:eastAsia="Times New Roman" w:hAnsi="Georgia" w:cs="Helvetica"/>
          <w:color w:val="333333"/>
          <w:lang w:val="en"/>
        </w:rPr>
        <w:t>d trends in the macro-economy, such as exchange rates, commodity prices, interest rates, income levels, renewal of building stock and equipment, and population growth. Australia’s population and economy are projected to grow and to place upwards pressure o</w:t>
      </w:r>
      <w:r>
        <w:rPr>
          <w:rFonts w:ascii="Georgia" w:eastAsia="Times New Roman" w:hAnsi="Georgia" w:cs="Helvetica"/>
          <w:color w:val="333333"/>
          <w:lang w:val="en"/>
        </w:rPr>
        <w:t xml:space="preserve">n emissions as a result. </w:t>
      </w:r>
    </w:p>
    <w:p w:rsidR="00000000" w:rsidRDefault="009123E6">
      <w:pPr>
        <w:numPr>
          <w:ilvl w:val="0"/>
          <w:numId w:val="4"/>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 xml:space="preserve">International demand for emissions-intensive commodities and resources, such as beef, LNG and coal. Projected growth in global demand is likely to increase Australian activity in these sectors and the associated emissions.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ty</w:t>
      </w:r>
      <w:r>
        <w:rPr>
          <w:rFonts w:ascii="Georgia" w:hAnsi="Georgia" w:cs="Helvetica"/>
          <w:color w:val="333333"/>
          <w:lang w:val="en"/>
        </w:rPr>
        <w:t>pe of emissions reductions and the rate at which they are achieved will also be affected by:</w:t>
      </w:r>
    </w:p>
    <w:p w:rsidR="00000000" w:rsidRDefault="009123E6">
      <w:pPr>
        <w:numPr>
          <w:ilvl w:val="0"/>
          <w:numId w:val="5"/>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technical progress over time, which can make low-emissions technologies or practices more feasible, and change their relative costs</w:t>
      </w:r>
    </w:p>
    <w:p w:rsidR="00000000" w:rsidRDefault="009123E6">
      <w:pPr>
        <w:numPr>
          <w:ilvl w:val="0"/>
          <w:numId w:val="5"/>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the diffusion rate of new techn</w:t>
      </w:r>
      <w:r>
        <w:rPr>
          <w:rFonts w:ascii="Georgia" w:eastAsia="Times New Roman" w:hAnsi="Georgia" w:cs="Helvetica"/>
          <w:color w:val="333333"/>
          <w:lang w:val="en"/>
        </w:rPr>
        <w:t>ologies and practices, which depends on stock and fleet turnover rates, the timing of retrofit opportunities, and the lead time for training and skills development</w:t>
      </w:r>
    </w:p>
    <w:p w:rsidR="00000000" w:rsidRDefault="009123E6">
      <w:pPr>
        <w:numPr>
          <w:ilvl w:val="0"/>
          <w:numId w:val="5"/>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incentives and policies put in place to reduce emissions; for example, in the electricity se</w:t>
      </w:r>
      <w:r>
        <w:rPr>
          <w:rFonts w:ascii="Georgia" w:eastAsia="Times New Roman" w:hAnsi="Georgia" w:cs="Helvetica"/>
          <w:color w:val="333333"/>
          <w:lang w:val="en"/>
        </w:rPr>
        <w:t>ctor, the RET is significant</w:t>
      </w:r>
    </w:p>
    <w:p w:rsidR="00000000" w:rsidRDefault="009123E6">
      <w:pPr>
        <w:numPr>
          <w:ilvl w:val="0"/>
          <w:numId w:val="5"/>
        </w:numPr>
        <w:spacing w:before="100" w:beforeAutospacing="1" w:after="100" w:afterAutospacing="1" w:line="300" w:lineRule="atLeast"/>
        <w:ind w:left="375"/>
        <w:divId w:val="894126188"/>
        <w:rPr>
          <w:rFonts w:ascii="Georgia" w:eastAsia="Times New Roman" w:hAnsi="Georgia" w:cs="Helvetica"/>
          <w:color w:val="333333"/>
          <w:lang w:val="en"/>
        </w:rPr>
      </w:pPr>
      <w:proofErr w:type="gramStart"/>
      <w:r>
        <w:rPr>
          <w:rFonts w:ascii="Georgia" w:eastAsia="Times New Roman" w:hAnsi="Georgia" w:cs="Helvetica"/>
          <w:color w:val="333333"/>
          <w:lang w:val="en"/>
        </w:rPr>
        <w:t>cultural</w:t>
      </w:r>
      <w:proofErr w:type="gramEnd"/>
      <w:r>
        <w:rPr>
          <w:rFonts w:ascii="Georgia" w:eastAsia="Times New Roman" w:hAnsi="Georgia" w:cs="Helvetica"/>
          <w:color w:val="333333"/>
          <w:lang w:val="en"/>
        </w:rPr>
        <w:t xml:space="preserve"> norms and consumer </w:t>
      </w:r>
      <w:proofErr w:type="spellStart"/>
      <w:r>
        <w:rPr>
          <w:rFonts w:ascii="Georgia" w:eastAsia="Times New Roman" w:hAnsi="Georgia" w:cs="Helvetica"/>
          <w:color w:val="333333"/>
          <w:lang w:val="en"/>
        </w:rPr>
        <w:t>behaviour</w:t>
      </w:r>
      <w:proofErr w:type="spellEnd"/>
      <w:r>
        <w:rPr>
          <w:rFonts w:ascii="Georgia" w:eastAsia="Times New Roman" w:hAnsi="Georgia" w:cs="Helvetica"/>
          <w:color w:val="333333"/>
          <w:lang w:val="en"/>
        </w:rPr>
        <w:t>.</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 range of assumptions and baselines are reflected in different estimates for emissions reductions (see Box 11.2). These estimates explore what might happen and where there could be variab</w:t>
      </w:r>
      <w:r>
        <w:rPr>
          <w:rFonts w:ascii="Georgia" w:hAnsi="Georgia" w:cs="Helvetica"/>
          <w:color w:val="333333"/>
          <w:lang w:val="en"/>
        </w:rPr>
        <w:t>ility, but do not necessarily assess likelihood.</w:t>
      </w:r>
    </w:p>
    <w:p w:rsidR="00000000" w:rsidRDefault="009123E6">
      <w:pPr>
        <w:pStyle w:val="Heading3"/>
        <w:divId w:val="894126188"/>
        <w:rPr>
          <w:rFonts w:eastAsia="Times New Roman" w:cs="Helvetica"/>
          <w:color w:val="333333"/>
          <w:lang w:val="en"/>
        </w:rPr>
      </w:pPr>
      <w:r>
        <w:rPr>
          <w:rFonts w:eastAsia="Times New Roman" w:cs="Helvetica"/>
          <w:color w:val="333333"/>
          <w:lang w:val="en"/>
        </w:rPr>
        <w:t xml:space="preserve">11.3.4 </w:t>
      </w:r>
      <w:proofErr w:type="spellStart"/>
      <w:r>
        <w:rPr>
          <w:rFonts w:eastAsia="Times New Roman" w:cs="Helvetica"/>
          <w:color w:val="333333"/>
          <w:lang w:val="en"/>
        </w:rPr>
        <w:t>Sectoral</w:t>
      </w:r>
      <w:proofErr w:type="spellEnd"/>
      <w:r>
        <w:rPr>
          <w:rFonts w:eastAsia="Times New Roman" w:cs="Helvetica"/>
          <w:color w:val="333333"/>
          <w:lang w:val="en"/>
        </w:rPr>
        <w:t xml:space="preserve"> outlook overview</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Emissions reduction opportunities vary considerably, depending on each sector’s proportion of Australia’s total emissions (Figure 6.2) and its responsiveness to incentives. F</w:t>
      </w:r>
      <w:r>
        <w:rPr>
          <w:rFonts w:ascii="Georgia" w:hAnsi="Georgia" w:cs="Helvetica"/>
          <w:color w:val="333333"/>
          <w:lang w:val="en"/>
        </w:rPr>
        <w:t>or example, the Treasury and DIICCSRTE (2013) suggest that growth in mining and LNG processing will lead to new sources of emissions. These would need to be offset by stronger reductions in other sectors to maintain the same overall pace of reduction.</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Figu</w:t>
      </w:r>
      <w:r>
        <w:rPr>
          <w:rFonts w:ascii="Georgia" w:hAnsi="Georgia" w:cs="Helvetica"/>
          <w:color w:val="333333"/>
          <w:lang w:val="en"/>
        </w:rPr>
        <w:t xml:space="preserve">re 11.6 shows the range in projected </w:t>
      </w:r>
      <w:proofErr w:type="spellStart"/>
      <w:r>
        <w:rPr>
          <w:rFonts w:ascii="Georgia" w:hAnsi="Georgia" w:cs="Helvetica"/>
          <w:color w:val="333333"/>
          <w:lang w:val="en"/>
        </w:rPr>
        <w:t>sectoral</w:t>
      </w:r>
      <w:proofErr w:type="spellEnd"/>
      <w:r>
        <w:rPr>
          <w:rFonts w:ascii="Georgia" w:hAnsi="Georgia" w:cs="Helvetica"/>
          <w:color w:val="333333"/>
          <w:lang w:val="en"/>
        </w:rPr>
        <w:t xml:space="preserve"> emissions outcomes across the modelled scenarios. Without additional policies (no price scenario), emissions in every sector except waste are projected to increase above 2012 levels. Specific </w:t>
      </w:r>
      <w:proofErr w:type="spellStart"/>
      <w:r>
        <w:rPr>
          <w:rFonts w:ascii="Georgia" w:hAnsi="Georgia" w:cs="Helvetica"/>
          <w:color w:val="333333"/>
          <w:lang w:val="en"/>
        </w:rPr>
        <w:t>sectoral</w:t>
      </w:r>
      <w:proofErr w:type="spellEnd"/>
      <w:r>
        <w:rPr>
          <w:rFonts w:ascii="Georgia" w:hAnsi="Georgia" w:cs="Helvetica"/>
          <w:color w:val="333333"/>
          <w:lang w:val="en"/>
        </w:rPr>
        <w:t xml:space="preserve"> emissions</w:t>
      </w:r>
      <w:r>
        <w:rPr>
          <w:rFonts w:ascii="Georgia" w:hAnsi="Georgia" w:cs="Helvetica"/>
          <w:color w:val="333333"/>
          <w:lang w:val="en"/>
        </w:rPr>
        <w:t xml:space="preserve"> reduction opportunities are discussed further in Section 11.4 and Appendix D.</w:t>
      </w:r>
    </w:p>
    <w:p w:rsidR="00000000" w:rsidRDefault="009123E6">
      <w:pPr>
        <w:pStyle w:val="Heading2"/>
        <w:divId w:val="894126188"/>
        <w:rPr>
          <w:rFonts w:eastAsia="Times New Roman" w:cs="Helvetica"/>
          <w:color w:val="333333"/>
          <w:lang w:val="en"/>
        </w:rPr>
      </w:pPr>
      <w:r>
        <w:rPr>
          <w:rFonts w:eastAsia="Times New Roman" w:cs="Helvetica"/>
          <w:color w:val="333333"/>
          <w:lang w:val="en"/>
        </w:rPr>
        <w:lastRenderedPageBreak/>
        <w:t>Figure 11.6: Projected average annual change in emissions, by sector, 2012–2030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15160" cy="4899960"/>
            <wp:effectExtent l="0" t="0" r="0" b="0"/>
            <wp:docPr id="6" name="Picture 6" descr="Figure 11.6 shows the projected average annual change in Australia’s emissions in aggregate and by sector between 2012 and 2030. &#10;The figure is split into two charts. The first shows the range of scenario results for 2012 to 2020; the second shows the range of scenario results for 2020 to 2030. &#10;The electricity sector shows the greatest range of results for both time period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1.6 shows the projected average annual change in Australia’s emissions in aggregate and by sector between 2012 and 2030. &#10;The figure is split into two charts. The first shows the range of scenario results for 2012 to 2020; the second shows the range of scenario results for 2020 to 2030. &#10;The electricity sector shows the greatest range of results for both time periods.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5160" cy="4899960"/>
                    </a:xfrm>
                    <a:prstGeom prst="rect">
                      <a:avLst/>
                    </a:prstGeom>
                    <a:noFill/>
                    <a:ln>
                      <a:noFill/>
                    </a:ln>
                  </pic:spPr>
                </pic:pic>
              </a:graphicData>
            </a:graphic>
          </wp:inline>
        </w:drawing>
      </w:r>
      <w:r>
        <w:rPr>
          <w:rFonts w:ascii="Georgia" w:hAnsi="Georgia" w:cs="Helvetica"/>
          <w:color w:val="333333"/>
          <w:lang w:val="en"/>
        </w:rPr>
        <w:t> </w:t>
      </w:r>
    </w:p>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Climate Change Authority calculations using results from Treasury and DIICCSRTE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Figure 11.7 and Table 11.2 provide an insight into the emissions reductions that a price incentive (or equivalent) could drive between now and 2030:</w:t>
      </w:r>
    </w:p>
    <w:p w:rsidR="00000000" w:rsidRDefault="009123E6">
      <w:pPr>
        <w:numPr>
          <w:ilvl w:val="0"/>
          <w:numId w:val="6"/>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 xml:space="preserve">Electricity remains the greatest single </w:t>
      </w:r>
      <w:proofErr w:type="spellStart"/>
      <w:r>
        <w:rPr>
          <w:rFonts w:ascii="Georgia" w:eastAsia="Times New Roman" w:hAnsi="Georgia" w:cs="Helvetica"/>
          <w:color w:val="333333"/>
          <w:lang w:val="en"/>
        </w:rPr>
        <w:t>sectoral</w:t>
      </w:r>
      <w:proofErr w:type="spellEnd"/>
      <w:r>
        <w:rPr>
          <w:rFonts w:ascii="Georgia" w:eastAsia="Times New Roman" w:hAnsi="Georgia" w:cs="Helvetica"/>
          <w:color w:val="333333"/>
          <w:lang w:val="en"/>
        </w:rPr>
        <w:t xml:space="preserve"> source of emissions under all scenarios. In a no price sce</w:t>
      </w:r>
      <w:r>
        <w:rPr>
          <w:rFonts w:ascii="Georgia" w:eastAsia="Times New Roman" w:hAnsi="Georgia" w:cs="Helvetica"/>
          <w:color w:val="333333"/>
          <w:lang w:val="en"/>
        </w:rPr>
        <w:t>nario, its emissions are set to rise from current levels, despite the RET. Electricity also offers the largest opportunity for emissions reductions in response to price incentives, through both a reduction in the emissions intensity of generation and energ</w:t>
      </w:r>
      <w:r>
        <w:rPr>
          <w:rFonts w:ascii="Georgia" w:eastAsia="Times New Roman" w:hAnsi="Georgia" w:cs="Helvetica"/>
          <w:color w:val="333333"/>
          <w:lang w:val="en"/>
        </w:rPr>
        <w:t xml:space="preserve">y efficiency. </w:t>
      </w:r>
    </w:p>
    <w:p w:rsidR="00000000" w:rsidRDefault="009123E6">
      <w:pPr>
        <w:numPr>
          <w:ilvl w:val="0"/>
          <w:numId w:val="6"/>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Sectors that are primarily driven by export demand—direct combustion, fugitives and agriculture—present the greatest challenge. Emissions growth is projected for these sectors under all scenarios, with the exception of fugitive emissions, wh</w:t>
      </w:r>
      <w:r>
        <w:rPr>
          <w:rFonts w:ascii="Georgia" w:eastAsia="Times New Roman" w:hAnsi="Georgia" w:cs="Helvetica"/>
          <w:color w:val="333333"/>
          <w:lang w:val="en"/>
        </w:rPr>
        <w:t>ich could fall during the 2020s with a sufficiently high price signal.</w:t>
      </w:r>
    </w:p>
    <w:p w:rsidR="00000000" w:rsidRDefault="009123E6">
      <w:pPr>
        <w:numPr>
          <w:ilvl w:val="0"/>
          <w:numId w:val="6"/>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lastRenderedPageBreak/>
        <w:t>Transport emissions reductions depend on the rate of uptake of fuel-efficient new vehicles and a switch to lower emissions fuels. Without policies to promote these opportunities, transport emissions will grow. Increasing activity in this sector, notably in</w:t>
      </w:r>
      <w:r>
        <w:rPr>
          <w:rFonts w:ascii="Georgia" w:eastAsia="Times New Roman" w:hAnsi="Georgia" w:cs="Helvetica"/>
          <w:color w:val="333333"/>
          <w:lang w:val="en"/>
        </w:rPr>
        <w:t xml:space="preserve"> aviation and road freight, is expected to place upwards pressure on emissions levels. So, too, would a possible move towards synthetic fuels derived from coal, gas and shale. </w:t>
      </w:r>
    </w:p>
    <w:p w:rsidR="00000000" w:rsidRDefault="009123E6">
      <w:pPr>
        <w:numPr>
          <w:ilvl w:val="0"/>
          <w:numId w:val="6"/>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Industrial process emissions are projected to be highly responsive to a price i</w:t>
      </w:r>
      <w:r>
        <w:rPr>
          <w:rFonts w:ascii="Georgia" w:eastAsia="Times New Roman" w:hAnsi="Georgia" w:cs="Helvetica"/>
          <w:color w:val="333333"/>
          <w:lang w:val="en"/>
        </w:rPr>
        <w:t>ncentive and, under the high scenario, could be reduced by 58 per cent on 2000 levels by 2030.</w:t>
      </w:r>
    </w:p>
    <w:p w:rsidR="00000000" w:rsidRDefault="009123E6">
      <w:pPr>
        <w:numPr>
          <w:ilvl w:val="0"/>
          <w:numId w:val="6"/>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Greater reforestation and afforestation activities, avoided deforestation and improved land management could deliver emissions reductions from the land sector, e</w:t>
      </w:r>
      <w:r>
        <w:rPr>
          <w:rFonts w:ascii="Georgia" w:eastAsia="Times New Roman" w:hAnsi="Georgia" w:cs="Helvetica"/>
          <w:color w:val="333333"/>
          <w:lang w:val="en"/>
        </w:rPr>
        <w:t>specially with a high price incentive, to 2020.</w:t>
      </w:r>
    </w:p>
    <w:p w:rsidR="00000000" w:rsidRDefault="009123E6">
      <w:pPr>
        <w:numPr>
          <w:ilvl w:val="0"/>
          <w:numId w:val="6"/>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 xml:space="preserve">Waste emissions are projected to remain relatively stable without a price incentive. Emissions reductions are still available and could be </w:t>
      </w:r>
      <w:proofErr w:type="spellStart"/>
      <w:r>
        <w:rPr>
          <w:rFonts w:ascii="Georgia" w:eastAsia="Times New Roman" w:hAnsi="Georgia" w:cs="Helvetica"/>
          <w:color w:val="333333"/>
          <w:lang w:val="en"/>
        </w:rPr>
        <w:t>realised</w:t>
      </w:r>
      <w:proofErr w:type="spellEnd"/>
      <w:r>
        <w:rPr>
          <w:rFonts w:ascii="Georgia" w:eastAsia="Times New Roman" w:hAnsi="Georgia" w:cs="Helvetica"/>
          <w:color w:val="333333"/>
          <w:lang w:val="en"/>
        </w:rPr>
        <w:t xml:space="preserve"> with an appropriate price incentive.</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 xml:space="preserve">Figure 11.7: Projected </w:t>
      </w:r>
      <w:r>
        <w:rPr>
          <w:rFonts w:eastAsia="Times New Roman" w:cs="Helvetica"/>
          <w:color w:val="333333"/>
          <w:lang w:val="en"/>
        </w:rPr>
        <w:t>emissions reductions relative to the no price scenario, 2020 and 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15160" cy="2457720"/>
            <wp:effectExtent l="0" t="0" r="0" b="0"/>
            <wp:docPr id="7" name="Picture 7" descr="Figure 11.7 shows projected emissions reductions by sector relative to the no price scenario in 2020 and 2030. In 2020, a target of 5 per cent below 2000 levels requires around 130 megatonnes of carbon dioxide equivalent reduction and a 19 per cent target requires over 200 megatonnes of carbon dioxide equivalent reduction.&#10;Compared to the no price scenario in 2020, projected emissions reductions are 35 megatonnes of carbon dioxide equivalent  in the low scenario, 65 megatonnes of carbon dioxide equivalent in the medium scenario and 134 megatonnes of carbon dioxide equivalent in the high scenario. &#10;Compared to the no price scenario in 2030, projected emissions reductions are 129 megatonnes of carbon dioxide equivalent in the low scenario, 156 megatonnes of carbon dioxide equivalent in the medium scenario and 335 megatonnes of carbon dioxide equivalent in the high scenario. &#10;In each scenario in 2020 and 2030, the largest emissions reductions are in the electricity sector. Significant reductions are also shown for the land, fugitive and industrial process secto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11.7 shows projected emissions reductions by sector relative to the no price scenario in 2020 and 2030. In 2020, a target of 5 per cent below 2000 levels requires around 130 megatonnes of carbon dioxide equivalent reduction and a 19 per cent target requires over 200 megatonnes of carbon dioxide equivalent reduction.&#10;Compared to the no price scenario in 2020, projected emissions reductions are 35 megatonnes of carbon dioxide equivalent  in the low scenario, 65 megatonnes of carbon dioxide equivalent in the medium scenario and 134 megatonnes of carbon dioxide equivalent in the high scenario. &#10;Compared to the no price scenario in 2030, projected emissions reductions are 129 megatonnes of carbon dioxide equivalent in the low scenario, 156 megatonnes of carbon dioxide equivalent in the medium scenario and 335 megatonnes of carbon dioxide equivalent in the high scenario. &#10;In each scenario in 2020 and 2030, the largest emissions reductions are in the electricity sector. Significant reductions are also shown for the land, fugitive and industrial process sectors.&#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160" cy="2457720"/>
                    </a:xfrm>
                    <a:prstGeom prst="rect">
                      <a:avLst/>
                    </a:prstGeom>
                    <a:noFill/>
                    <a:ln>
                      <a:noFill/>
                    </a:ln>
                  </pic:spPr>
                </pic:pic>
              </a:graphicData>
            </a:graphic>
          </wp:inline>
        </w:drawing>
      </w:r>
      <w:r>
        <w:rPr>
          <w:rFonts w:ascii="Georgia" w:hAnsi="Georgia" w:cs="Helvetica"/>
          <w:color w:val="333333"/>
          <w:lang w:val="en"/>
        </w:rPr>
        <w:t> </w:t>
      </w:r>
    </w:p>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Source:</w:t>
      </w:r>
      <w:r>
        <w:rPr>
          <w:rFonts w:ascii="Georgia" w:hAnsi="Georgia" w:cs="Helvetica"/>
          <w:color w:val="333333"/>
          <w:lang w:val="en"/>
        </w:rPr>
        <w:t xml:space="preserve"> </w:t>
      </w:r>
      <w:r>
        <w:rPr>
          <w:rFonts w:ascii="Georgia" w:hAnsi="Georgia" w:cs="Helvetica"/>
          <w:color w:val="333333"/>
          <w:lang w:val="en"/>
        </w:rPr>
        <w:t>Climate Change Authority calculations using results from Treasury and DIICCSRTE 2013</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 xml:space="preserve">Table 11.2: </w:t>
      </w:r>
      <w:proofErr w:type="spellStart"/>
      <w:r>
        <w:rPr>
          <w:rFonts w:eastAsia="Times New Roman" w:cs="Helvetica"/>
          <w:color w:val="333333"/>
          <w:lang w:val="en"/>
        </w:rPr>
        <w:t>Sectoral</w:t>
      </w:r>
      <w:proofErr w:type="spellEnd"/>
      <w:r>
        <w:rPr>
          <w:rFonts w:eastAsia="Times New Roman" w:cs="Helvetica"/>
          <w:color w:val="333333"/>
          <w:lang w:val="en"/>
        </w:rPr>
        <w:t xml:space="preserve"> shares of emissions reductions relative to the no price scenario, 2020 and 2030 (per cent)</w:t>
      </w:r>
    </w:p>
    <w:tbl>
      <w:tblPr>
        <w:tblW w:w="5024" w:type="pct"/>
        <w:tblCellMar>
          <w:top w:w="15" w:type="dxa"/>
          <w:left w:w="15" w:type="dxa"/>
          <w:bottom w:w="15" w:type="dxa"/>
          <w:right w:w="15" w:type="dxa"/>
        </w:tblCellMar>
        <w:tblLook w:val="04A0" w:firstRow="1" w:lastRow="0" w:firstColumn="1" w:lastColumn="0" w:noHBand="0" w:noVBand="1"/>
      </w:tblPr>
      <w:tblGrid>
        <w:gridCol w:w="881"/>
        <w:gridCol w:w="1137"/>
        <w:gridCol w:w="881"/>
        <w:gridCol w:w="881"/>
        <w:gridCol w:w="881"/>
        <w:gridCol w:w="881"/>
        <w:gridCol w:w="882"/>
        <w:gridCol w:w="882"/>
        <w:gridCol w:w="882"/>
        <w:gridCol w:w="882"/>
      </w:tblGrid>
      <w:tr w:rsidR="009123E6" w:rsidTr="009123E6">
        <w:trPr>
          <w:divId w:val="894126188"/>
          <w:cantSplit/>
          <w:trHeight w:val="1814"/>
          <w:tblHeader/>
        </w:trPr>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rPr>
                <w:rFonts w:eastAsia="Times New Roman" w:cs="Helvetica"/>
                <w:color w:val="333333"/>
                <w:lang w:val="en"/>
              </w:rPr>
            </w:pPr>
          </w:p>
        </w:tc>
        <w:tc>
          <w:tcPr>
            <w:tcW w:w="500" w:type="pct"/>
            <w:tcBorders>
              <w:top w:val="single" w:sz="6" w:space="0" w:color="DDDDDD"/>
            </w:tcBorders>
            <w:shd w:val="clear" w:color="auto" w:fill="auto"/>
            <w:tcMar>
              <w:top w:w="120" w:type="dxa"/>
              <w:left w:w="120" w:type="dxa"/>
              <w:bottom w:w="120" w:type="dxa"/>
              <w:right w:w="120" w:type="dxa"/>
            </w:tcMar>
            <w:textDirection w:val="tbRl"/>
            <w:hideMark/>
          </w:tcPr>
          <w:p w:rsidR="00000000" w:rsidRDefault="009123E6" w:rsidP="009123E6">
            <w:pPr>
              <w:ind w:left="113" w:right="113"/>
              <w:rPr>
                <w:rFonts w:eastAsia="Times New Roman"/>
                <w:sz w:val="20"/>
                <w:szCs w:val="20"/>
              </w:rPr>
            </w:pPr>
          </w:p>
        </w:tc>
        <w:tc>
          <w:tcPr>
            <w:tcW w:w="500" w:type="pct"/>
            <w:tcBorders>
              <w:top w:val="single" w:sz="6" w:space="0" w:color="DDDDDD"/>
            </w:tcBorders>
            <w:shd w:val="clear" w:color="auto" w:fill="auto"/>
            <w:tcMar>
              <w:top w:w="120" w:type="dxa"/>
              <w:left w:w="120" w:type="dxa"/>
              <w:bottom w:w="120" w:type="dxa"/>
              <w:right w:w="120" w:type="dxa"/>
            </w:tcMar>
            <w:textDirection w:val="tbRl"/>
            <w:hideMark/>
          </w:tcPr>
          <w:p w:rsidR="00000000" w:rsidRDefault="009123E6" w:rsidP="009123E6">
            <w:pPr>
              <w:pStyle w:val="NormalWeb"/>
              <w:spacing w:line="300" w:lineRule="atLeast"/>
              <w:ind w:left="113" w:right="113"/>
              <w:rPr>
                <w:rFonts w:ascii="Georgia" w:hAnsi="Georgia" w:cs="Helvetica"/>
                <w:color w:val="333333"/>
              </w:rPr>
            </w:pPr>
            <w:r>
              <w:rPr>
                <w:rStyle w:val="Strong"/>
                <w:rFonts w:ascii="Georgia" w:hAnsi="Georgia" w:cs="Helvetica"/>
                <w:color w:val="333333"/>
              </w:rPr>
              <w:t>Electricity</w:t>
            </w:r>
          </w:p>
        </w:tc>
        <w:tc>
          <w:tcPr>
            <w:tcW w:w="500" w:type="pct"/>
            <w:tcBorders>
              <w:top w:val="single" w:sz="6" w:space="0" w:color="DDDDDD"/>
            </w:tcBorders>
            <w:shd w:val="clear" w:color="auto" w:fill="auto"/>
            <w:tcMar>
              <w:top w:w="120" w:type="dxa"/>
              <w:left w:w="120" w:type="dxa"/>
              <w:bottom w:w="120" w:type="dxa"/>
              <w:right w:w="120" w:type="dxa"/>
            </w:tcMar>
            <w:textDirection w:val="tbRl"/>
            <w:hideMark/>
          </w:tcPr>
          <w:p w:rsidR="00000000" w:rsidRDefault="009123E6" w:rsidP="009123E6">
            <w:pPr>
              <w:pStyle w:val="NormalWeb"/>
              <w:spacing w:line="300" w:lineRule="atLeast"/>
              <w:ind w:left="113" w:right="113"/>
              <w:rPr>
                <w:rFonts w:ascii="Georgia" w:hAnsi="Georgia" w:cs="Helvetica"/>
                <w:color w:val="333333"/>
              </w:rPr>
            </w:pPr>
            <w:r>
              <w:rPr>
                <w:rStyle w:val="Strong"/>
                <w:rFonts w:ascii="Georgia" w:hAnsi="Georgia" w:cs="Helvetica"/>
                <w:color w:val="333333"/>
              </w:rPr>
              <w:t xml:space="preserve">Transport </w:t>
            </w:r>
          </w:p>
        </w:tc>
        <w:tc>
          <w:tcPr>
            <w:tcW w:w="500" w:type="pct"/>
            <w:tcBorders>
              <w:top w:val="single" w:sz="6" w:space="0" w:color="DDDDDD"/>
            </w:tcBorders>
            <w:shd w:val="clear" w:color="auto" w:fill="auto"/>
            <w:tcMar>
              <w:top w:w="120" w:type="dxa"/>
              <w:left w:w="120" w:type="dxa"/>
              <w:bottom w:w="120" w:type="dxa"/>
              <w:right w:w="120" w:type="dxa"/>
            </w:tcMar>
            <w:textDirection w:val="tbRl"/>
            <w:hideMark/>
          </w:tcPr>
          <w:p w:rsidR="00000000" w:rsidRDefault="009123E6" w:rsidP="009123E6">
            <w:pPr>
              <w:pStyle w:val="NormalWeb"/>
              <w:spacing w:line="300" w:lineRule="atLeast"/>
              <w:ind w:left="113" w:right="113"/>
              <w:rPr>
                <w:rFonts w:ascii="Georgia" w:hAnsi="Georgia" w:cs="Helvetica"/>
                <w:color w:val="333333"/>
              </w:rPr>
            </w:pPr>
            <w:r>
              <w:rPr>
                <w:rStyle w:val="Strong"/>
                <w:rFonts w:ascii="Georgia" w:hAnsi="Georgia" w:cs="Helvetica"/>
                <w:color w:val="333333"/>
              </w:rPr>
              <w:t>Direct combustion</w:t>
            </w:r>
          </w:p>
        </w:tc>
        <w:tc>
          <w:tcPr>
            <w:tcW w:w="500" w:type="pct"/>
            <w:tcBorders>
              <w:top w:val="single" w:sz="6" w:space="0" w:color="DDDDDD"/>
            </w:tcBorders>
            <w:shd w:val="clear" w:color="auto" w:fill="auto"/>
            <w:tcMar>
              <w:top w:w="120" w:type="dxa"/>
              <w:left w:w="120" w:type="dxa"/>
              <w:bottom w:w="120" w:type="dxa"/>
              <w:right w:w="120" w:type="dxa"/>
            </w:tcMar>
            <w:textDirection w:val="tbRl"/>
            <w:hideMark/>
          </w:tcPr>
          <w:p w:rsidR="00000000" w:rsidRDefault="009123E6" w:rsidP="009123E6">
            <w:pPr>
              <w:pStyle w:val="NormalWeb"/>
              <w:spacing w:line="300" w:lineRule="atLeast"/>
              <w:ind w:left="113" w:right="113"/>
              <w:rPr>
                <w:rFonts w:ascii="Georgia" w:hAnsi="Georgia" w:cs="Helvetica"/>
                <w:color w:val="333333"/>
              </w:rPr>
            </w:pPr>
            <w:r>
              <w:rPr>
                <w:rStyle w:val="Strong"/>
                <w:rFonts w:ascii="Georgia" w:hAnsi="Georgia" w:cs="Helvetica"/>
                <w:color w:val="333333"/>
              </w:rPr>
              <w:t xml:space="preserve">Fugitives </w:t>
            </w:r>
          </w:p>
        </w:tc>
        <w:tc>
          <w:tcPr>
            <w:tcW w:w="500" w:type="pct"/>
            <w:tcBorders>
              <w:top w:val="single" w:sz="6" w:space="0" w:color="DDDDDD"/>
            </w:tcBorders>
            <w:shd w:val="clear" w:color="auto" w:fill="auto"/>
            <w:tcMar>
              <w:top w:w="120" w:type="dxa"/>
              <w:left w:w="120" w:type="dxa"/>
              <w:bottom w:w="120" w:type="dxa"/>
              <w:right w:w="120" w:type="dxa"/>
            </w:tcMar>
            <w:textDirection w:val="tbRl"/>
            <w:hideMark/>
          </w:tcPr>
          <w:p w:rsidR="00000000" w:rsidRDefault="009123E6" w:rsidP="009123E6">
            <w:pPr>
              <w:pStyle w:val="NormalWeb"/>
              <w:spacing w:line="300" w:lineRule="atLeast"/>
              <w:ind w:left="113" w:right="113"/>
              <w:rPr>
                <w:rFonts w:ascii="Georgia" w:hAnsi="Georgia" w:cs="Helvetica"/>
                <w:color w:val="333333"/>
              </w:rPr>
            </w:pPr>
            <w:r>
              <w:rPr>
                <w:rStyle w:val="Strong"/>
                <w:rFonts w:ascii="Georgia" w:hAnsi="Georgia" w:cs="Helvetica"/>
                <w:color w:val="333333"/>
              </w:rPr>
              <w:t>Indus</w:t>
            </w:r>
            <w:r>
              <w:rPr>
                <w:rStyle w:val="Strong"/>
                <w:rFonts w:ascii="Georgia" w:hAnsi="Georgia" w:cs="Helvetica"/>
                <w:color w:val="333333"/>
              </w:rPr>
              <w:t xml:space="preserve">trial processes </w:t>
            </w:r>
          </w:p>
        </w:tc>
        <w:tc>
          <w:tcPr>
            <w:tcW w:w="500" w:type="pct"/>
            <w:tcBorders>
              <w:top w:val="single" w:sz="6" w:space="0" w:color="DDDDDD"/>
            </w:tcBorders>
            <w:shd w:val="clear" w:color="auto" w:fill="auto"/>
            <w:tcMar>
              <w:top w:w="120" w:type="dxa"/>
              <w:left w:w="120" w:type="dxa"/>
              <w:bottom w:w="120" w:type="dxa"/>
              <w:right w:w="120" w:type="dxa"/>
            </w:tcMar>
            <w:textDirection w:val="tbRl"/>
            <w:hideMark/>
          </w:tcPr>
          <w:p w:rsidR="00000000" w:rsidRDefault="009123E6" w:rsidP="009123E6">
            <w:pPr>
              <w:pStyle w:val="NormalWeb"/>
              <w:spacing w:line="300" w:lineRule="atLeast"/>
              <w:ind w:left="113" w:right="113"/>
              <w:rPr>
                <w:rFonts w:ascii="Georgia" w:hAnsi="Georgia" w:cs="Helvetica"/>
                <w:color w:val="333333"/>
              </w:rPr>
            </w:pPr>
            <w:r>
              <w:rPr>
                <w:rStyle w:val="Strong"/>
                <w:rFonts w:ascii="Georgia" w:hAnsi="Georgia" w:cs="Helvetica"/>
                <w:color w:val="333333"/>
              </w:rPr>
              <w:t xml:space="preserve">Agriculture </w:t>
            </w:r>
          </w:p>
        </w:tc>
        <w:tc>
          <w:tcPr>
            <w:tcW w:w="500" w:type="pct"/>
            <w:tcBorders>
              <w:top w:val="single" w:sz="6" w:space="0" w:color="DDDDDD"/>
            </w:tcBorders>
            <w:shd w:val="clear" w:color="auto" w:fill="auto"/>
            <w:tcMar>
              <w:top w:w="120" w:type="dxa"/>
              <w:left w:w="120" w:type="dxa"/>
              <w:bottom w:w="120" w:type="dxa"/>
              <w:right w:w="120" w:type="dxa"/>
            </w:tcMar>
            <w:textDirection w:val="tbRl"/>
            <w:hideMark/>
          </w:tcPr>
          <w:p w:rsidR="00000000" w:rsidRDefault="009123E6" w:rsidP="009123E6">
            <w:pPr>
              <w:pStyle w:val="NormalWeb"/>
              <w:spacing w:line="300" w:lineRule="atLeast"/>
              <w:ind w:left="113" w:right="113"/>
              <w:rPr>
                <w:rFonts w:ascii="Georgia" w:hAnsi="Georgia" w:cs="Helvetica"/>
                <w:color w:val="333333"/>
              </w:rPr>
            </w:pPr>
            <w:r>
              <w:rPr>
                <w:rStyle w:val="Strong"/>
                <w:rFonts w:ascii="Georgia" w:hAnsi="Georgia" w:cs="Helvetica"/>
                <w:color w:val="333333"/>
              </w:rPr>
              <w:t>LULUCF</w:t>
            </w:r>
          </w:p>
        </w:tc>
        <w:tc>
          <w:tcPr>
            <w:tcW w:w="500" w:type="pct"/>
            <w:tcBorders>
              <w:top w:val="single" w:sz="6" w:space="0" w:color="DDDDDD"/>
            </w:tcBorders>
            <w:shd w:val="clear" w:color="auto" w:fill="auto"/>
            <w:tcMar>
              <w:top w:w="120" w:type="dxa"/>
              <w:left w:w="120" w:type="dxa"/>
              <w:bottom w:w="120" w:type="dxa"/>
              <w:right w:w="120" w:type="dxa"/>
            </w:tcMar>
            <w:textDirection w:val="tbRl"/>
            <w:hideMark/>
          </w:tcPr>
          <w:p w:rsidR="00000000" w:rsidRDefault="009123E6" w:rsidP="009123E6">
            <w:pPr>
              <w:pStyle w:val="NormalWeb"/>
              <w:spacing w:line="300" w:lineRule="atLeast"/>
              <w:ind w:left="113" w:right="113"/>
              <w:rPr>
                <w:rFonts w:ascii="Georgia" w:hAnsi="Georgia" w:cs="Helvetica"/>
                <w:color w:val="333333"/>
              </w:rPr>
            </w:pPr>
            <w:r>
              <w:rPr>
                <w:rStyle w:val="Strong"/>
                <w:rFonts w:ascii="Georgia" w:hAnsi="Georgia" w:cs="Helvetica"/>
                <w:color w:val="333333"/>
              </w:rPr>
              <w:t xml:space="preserve">Waste </w:t>
            </w:r>
          </w:p>
        </w:tc>
        <w:bookmarkStart w:id="0" w:name="_GoBack"/>
        <w:bookmarkEnd w:id="0"/>
      </w:tr>
      <w:tr w:rsidR="009123E6" w:rsidTr="009123E6">
        <w:trPr>
          <w:divId w:val="894126188"/>
        </w:trPr>
        <w:tc>
          <w:tcPr>
            <w:tcW w:w="500" w:type="pct"/>
            <w:vMerge w:val="restar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2020</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Low scenario</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25.3</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6.3</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3.4</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24.2</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13.2</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4.0</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17.5</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6.0</w:t>
            </w:r>
          </w:p>
        </w:tc>
      </w:tr>
      <w:tr w:rsidR="009123E6" w:rsidTr="009123E6">
        <w:trPr>
          <w:divId w:val="894126188"/>
        </w:trPr>
        <w:tc>
          <w:tcPr>
            <w:tcW w:w="500" w:type="pct"/>
            <w:vMerge/>
            <w:tcBorders>
              <w:top w:val="single" w:sz="6" w:space="0" w:color="DDDDDD"/>
            </w:tcBorders>
            <w:shd w:val="clear" w:color="auto" w:fill="auto"/>
            <w:vAlign w:val="center"/>
            <w:hideMark/>
          </w:tcPr>
          <w:p w:rsidR="00000000" w:rsidRDefault="009123E6">
            <w:pPr>
              <w:spacing w:line="300" w:lineRule="atLeast"/>
              <w:rPr>
                <w:rFonts w:ascii="Georgia" w:hAnsi="Georgia" w:cs="Helvetica"/>
                <w:color w:val="333333"/>
              </w:rPr>
            </w:pP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Medium scenario</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24.1</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6.9</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5.5</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21.3</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14.7</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4.0</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18.9</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4.8</w:t>
            </w:r>
          </w:p>
        </w:tc>
      </w:tr>
      <w:tr w:rsidR="009123E6" w:rsidTr="009123E6">
        <w:trPr>
          <w:divId w:val="894126188"/>
        </w:trPr>
        <w:tc>
          <w:tcPr>
            <w:tcW w:w="500" w:type="pct"/>
            <w:vMerge/>
            <w:tcBorders>
              <w:top w:val="single" w:sz="6" w:space="0" w:color="DDDDDD"/>
            </w:tcBorders>
            <w:shd w:val="clear" w:color="auto" w:fill="auto"/>
            <w:vAlign w:val="center"/>
            <w:hideMark/>
          </w:tcPr>
          <w:p w:rsidR="00000000" w:rsidRDefault="009123E6">
            <w:pPr>
              <w:spacing w:line="300" w:lineRule="atLeast"/>
              <w:rPr>
                <w:rFonts w:ascii="Georgia" w:hAnsi="Georgia" w:cs="Helvetica"/>
                <w:color w:val="333333"/>
              </w:rPr>
            </w:pP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High scenario</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43.7</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4.8</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5.2</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15.6</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11.8</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2.5</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13.3</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3.1</w:t>
            </w:r>
          </w:p>
        </w:tc>
      </w:tr>
      <w:tr w:rsidR="009123E6" w:rsidTr="009123E6">
        <w:trPr>
          <w:divId w:val="894126188"/>
        </w:trPr>
        <w:tc>
          <w:tcPr>
            <w:tcW w:w="500" w:type="pct"/>
            <w:vMerge w:val="restar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2030</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Low scenario</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28.3</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5.4</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6.8</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24.4</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16.2</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3.2</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11.0</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4.7</w:t>
            </w:r>
          </w:p>
        </w:tc>
      </w:tr>
      <w:tr w:rsidR="009123E6" w:rsidTr="009123E6">
        <w:trPr>
          <w:divId w:val="894126188"/>
        </w:trPr>
        <w:tc>
          <w:tcPr>
            <w:tcW w:w="500" w:type="pct"/>
            <w:vMerge/>
            <w:tcBorders>
              <w:top w:val="single" w:sz="6" w:space="0" w:color="DDDDDD"/>
            </w:tcBorders>
            <w:shd w:val="clear" w:color="auto" w:fill="auto"/>
            <w:vAlign w:val="center"/>
            <w:hideMark/>
          </w:tcPr>
          <w:p w:rsidR="00000000" w:rsidRDefault="009123E6">
            <w:pPr>
              <w:spacing w:line="300" w:lineRule="atLeast"/>
              <w:rPr>
                <w:rFonts w:ascii="Georgia" w:hAnsi="Georgia" w:cs="Helvetica"/>
                <w:color w:val="333333"/>
              </w:rPr>
            </w:pP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Medium scenario</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32.7</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9.4</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6.0</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21.1</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14.5</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3.0</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9.1</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4.1</w:t>
            </w:r>
          </w:p>
        </w:tc>
      </w:tr>
      <w:tr w:rsidR="009123E6" w:rsidTr="009123E6">
        <w:trPr>
          <w:divId w:val="894126188"/>
        </w:trPr>
        <w:tc>
          <w:tcPr>
            <w:tcW w:w="500" w:type="pct"/>
            <w:vMerge/>
            <w:tcBorders>
              <w:top w:val="single" w:sz="6" w:space="0" w:color="DDDDDD"/>
            </w:tcBorders>
            <w:shd w:val="clear" w:color="auto" w:fill="auto"/>
            <w:vAlign w:val="center"/>
            <w:hideMark/>
          </w:tcPr>
          <w:p w:rsidR="00000000" w:rsidRDefault="009123E6">
            <w:pPr>
              <w:spacing w:line="300" w:lineRule="atLeast"/>
              <w:rPr>
                <w:rFonts w:ascii="Georgia" w:hAnsi="Georgia" w:cs="Helvetica"/>
                <w:color w:val="333333"/>
              </w:rPr>
            </w:pP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High scenario</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51.9</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6.9</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5.0</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15.2</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10.1</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1.9</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6.7</w:t>
            </w:r>
          </w:p>
        </w:tc>
        <w:tc>
          <w:tcPr>
            <w:tcW w:w="500" w:type="pct"/>
            <w:tcBorders>
              <w:top w:val="single" w:sz="6" w:space="0" w:color="DDDDDD"/>
            </w:tcBorders>
            <w:shd w:val="clear" w:color="auto" w:fill="auto"/>
            <w:tcMar>
              <w:top w:w="120" w:type="dxa"/>
              <w:left w:w="120" w:type="dxa"/>
              <w:bottom w:w="120" w:type="dxa"/>
              <w:right w:w="120" w:type="dxa"/>
            </w:tcMar>
            <w:hideMark/>
          </w:tcPr>
          <w:p w:rsidR="00000000" w:rsidRDefault="009123E6">
            <w:pPr>
              <w:pStyle w:val="NormalWeb"/>
              <w:spacing w:line="300" w:lineRule="atLeast"/>
              <w:rPr>
                <w:rFonts w:ascii="Georgia" w:hAnsi="Georgia" w:cs="Helvetica"/>
                <w:color w:val="333333"/>
              </w:rPr>
            </w:pPr>
            <w:r>
              <w:rPr>
                <w:rFonts w:ascii="Georgia" w:hAnsi="Georgia" w:cs="Helvetica"/>
                <w:color w:val="333333"/>
              </w:rPr>
              <w:t>2.4</w:t>
            </w:r>
          </w:p>
        </w:tc>
      </w:tr>
    </w:tbl>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Note:</w:t>
      </w:r>
      <w:r>
        <w:rPr>
          <w:rFonts w:ascii="Georgia" w:hAnsi="Georgia" w:cs="Helvetica"/>
          <w:color w:val="333333"/>
          <w:lang w:val="en"/>
        </w:rPr>
        <w:t xml:space="preserve"> Rows may not total 100 per cent due to rounding.</w:t>
      </w:r>
      <w:r>
        <w:rPr>
          <w:rFonts w:ascii="Georgia" w:hAnsi="Georgia" w:cs="Helvetica"/>
          <w:color w:val="333333"/>
          <w:lang w:val="en"/>
        </w:rPr>
        <w:br/>
      </w:r>
      <w:r>
        <w:rPr>
          <w:rStyle w:val="Strong"/>
          <w:rFonts w:ascii="Georgia" w:hAnsi="Georgia" w:cs="Helvetica"/>
          <w:color w:val="333333"/>
          <w:lang w:val="en"/>
        </w:rPr>
        <w:t xml:space="preserve">Source: </w:t>
      </w:r>
      <w:r>
        <w:rPr>
          <w:rFonts w:ascii="Georgia" w:hAnsi="Georgia" w:cs="Helvetica"/>
          <w:color w:val="333333"/>
          <w:lang w:val="en"/>
        </w:rPr>
        <w:t>Climate Change Authority calculations using results from Treasury and DIICCSRTE 2013</w:t>
      </w:r>
      <w:r>
        <w:rPr>
          <w:rFonts w:ascii="Georgia" w:hAnsi="Georgia" w:cs="Helvetica"/>
          <w:color w:val="333333"/>
          <w:lang w:val="en"/>
        </w:rPr>
        <w:t xml:space="preserve"> </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 xml:space="preserve">11.4 </w:t>
      </w:r>
      <w:proofErr w:type="spellStart"/>
      <w:r>
        <w:rPr>
          <w:rFonts w:eastAsia="Times New Roman" w:cs="Helvetica"/>
          <w:color w:val="333333"/>
          <w:lang w:val="en"/>
        </w:rPr>
        <w:t>Sectoral</w:t>
      </w:r>
      <w:proofErr w:type="spellEnd"/>
      <w:r>
        <w:rPr>
          <w:rFonts w:eastAsia="Times New Roman" w:cs="Helvetica"/>
          <w:color w:val="333333"/>
          <w:lang w:val="en"/>
        </w:rPr>
        <w:t xml:space="preserve"> outlook and emissions reduction opportunities</w:t>
      </w:r>
    </w:p>
    <w:p w:rsidR="00000000" w:rsidRDefault="009123E6">
      <w:pPr>
        <w:pStyle w:val="Heading3"/>
        <w:divId w:val="894126188"/>
        <w:rPr>
          <w:rFonts w:eastAsia="Times New Roman" w:cs="Helvetica"/>
          <w:color w:val="333333"/>
          <w:lang w:val="en"/>
        </w:rPr>
      </w:pPr>
      <w:r>
        <w:rPr>
          <w:rFonts w:eastAsia="Times New Roman" w:cs="Helvetica"/>
          <w:color w:val="333333"/>
          <w:lang w:val="en"/>
        </w:rPr>
        <w:t xml:space="preserve">11.4.1 Electricity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Emissions in the electricity sector are released when fuels, such as coal, natural gas and oil, are combusted to generate electricity. This sector includes generation that is</w:t>
      </w:r>
      <w:r>
        <w:rPr>
          <w:rFonts w:ascii="Georgia" w:hAnsi="Georgia" w:cs="Helvetica"/>
          <w:color w:val="333333"/>
          <w:lang w:val="en"/>
        </w:rPr>
        <w:t xml:space="preserve"> connected to electricity grids such as the NEM and generation for use on-site (‘off-grid’). The electricity sector accounted for 33 per cent of national emissions in 2012 (Treasury and DIICCSRTE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Emissions from electricity are projected to rise stea</w:t>
      </w:r>
      <w:r>
        <w:rPr>
          <w:rFonts w:ascii="Georgia" w:hAnsi="Georgia" w:cs="Helvetica"/>
          <w:color w:val="333333"/>
          <w:lang w:val="en"/>
        </w:rPr>
        <w:t xml:space="preserve">dily in a no price scenario, underpinned by economic and population growth. With a price incentive, electricity emissions could </w:t>
      </w:r>
      <w:proofErr w:type="spellStart"/>
      <w:r>
        <w:rPr>
          <w:rFonts w:ascii="Georgia" w:hAnsi="Georgia" w:cs="Helvetica"/>
          <w:color w:val="333333"/>
          <w:lang w:val="en"/>
        </w:rPr>
        <w:t>stabilise</w:t>
      </w:r>
      <w:proofErr w:type="spellEnd"/>
      <w:r>
        <w:rPr>
          <w:rFonts w:ascii="Georgia" w:hAnsi="Georgia" w:cs="Helvetica"/>
          <w:color w:val="333333"/>
          <w:lang w:val="en"/>
        </w:rPr>
        <w:t xml:space="preserve"> and then fall significantly after 2030 (low and medium scenarios) or, with sufficient incentive, begin to fall in the </w:t>
      </w:r>
      <w:r>
        <w:rPr>
          <w:rFonts w:ascii="Georgia" w:hAnsi="Georgia" w:cs="Helvetica"/>
          <w:color w:val="333333"/>
          <w:lang w:val="en"/>
        </w:rPr>
        <w:t>nearer term (high scenario) (Figure 11.8).</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lastRenderedPageBreak/>
        <w:t>The emissions reductions projected in the low, medium and high scenarios, relative to the no price scenario, reflect a shift towards lower emissions sources of generation and lower electricity demand. The relative</w:t>
      </w:r>
      <w:r>
        <w:rPr>
          <w:rFonts w:ascii="Georgia" w:hAnsi="Georgia" w:cs="Helvetica"/>
          <w:color w:val="333333"/>
          <w:lang w:val="en"/>
        </w:rPr>
        <w:t xml:space="preserve"> costs of generating technologies and fuels, and mitigation policies that affect these costs, will largely determine the timing and magnitude of the shift towards low-emissions generation (ACIL Allen Consulting 2013; BREE 2012a; IEA 2012a). </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Figure 11.8: E</w:t>
      </w:r>
      <w:r>
        <w:rPr>
          <w:rFonts w:eastAsia="Times New Roman" w:cs="Helvetica"/>
          <w:color w:val="333333"/>
          <w:lang w:val="en"/>
        </w:rPr>
        <w:t>lectricity emissions, historical and projected, 1990–2030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14800" cy="2778120"/>
            <wp:effectExtent l="0" t="0" r="0" b="0"/>
            <wp:docPr id="8" name="Picture 8" descr="Figure 11.8 shows Australia’s historical and projected electricity emissions between 1990 and 2030.&#10;Australia’s electricity emissions increased between 1990 and 2009 and then fell to 2012. Australia’s electricity emissions are projected to increase 39 per cent above 2000 levels by 2030 in the no price scenario and decrease to 18 per cent below 2000 levels in the low scenario, 10 per cent below 2000 levels in the medium scenario and 60 per cent below 2000 levels in the high scenari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1.8 shows Australia’s historical and projected electricity emissions between 1990 and 2030.&#10;Australia’s electricity emissions increased between 1990 and 2009 and then fell to 2012. Australia’s electricity emissions are projected to increase 39 per cent above 2000 levels by 2030 in the no price scenario and decrease to 18 per cent below 2000 levels in the low scenario, 10 per cent below 2000 levels in the medium scenario and 60 per cent below 2000 levels in the high scenario.&#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4800" cy="2778120"/>
                    </a:xfrm>
                    <a:prstGeom prst="rect">
                      <a:avLst/>
                    </a:prstGeom>
                    <a:noFill/>
                    <a:ln>
                      <a:noFill/>
                    </a:ln>
                  </pic:spPr>
                </pic:pic>
              </a:graphicData>
            </a:graphic>
          </wp:inline>
        </w:drawing>
      </w:r>
      <w:r>
        <w:rPr>
          <w:rFonts w:ascii="Georgia" w:hAnsi="Georgia" w:cs="Helvetica"/>
          <w:color w:val="333333"/>
          <w:lang w:val="en"/>
        </w:rPr>
        <w:t> </w:t>
      </w:r>
    </w:p>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Source:</w:t>
      </w:r>
      <w:r>
        <w:rPr>
          <w:rFonts w:ascii="Georgia" w:hAnsi="Georgia" w:cs="Helvetica"/>
          <w:color w:val="333333"/>
          <w:lang w:val="en"/>
        </w:rPr>
        <w:t xml:space="preserve"> Climate Change Authority calculations using results from Treasury and DIICCSRTE 2013 and ACIL Allen Consulting 2013</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Opportunities to reduce electricity sector emissions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Modelling and other analyses suggest that, with incentives in place, the electricity sector could be the single largest source of domestic emissions reductions over the next two decades. The Treasury and DIICCSRTE modelling suggests about half of the domes</w:t>
      </w:r>
      <w:r>
        <w:rPr>
          <w:rFonts w:ascii="Georgia" w:hAnsi="Georgia" w:cs="Helvetica"/>
          <w:color w:val="333333"/>
          <w:lang w:val="en"/>
        </w:rPr>
        <w:t>tic emissions reduction opportunities to reach Australia’s minimum 5 per cent target could be found in the electricity sector.</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Compared to the no price scenario, the modelling suggests the electricity sector could reduce emissions by between 9 and 59 Mt CO</w:t>
      </w:r>
      <w:r>
        <w:rPr>
          <w:rFonts w:ascii="Georgia" w:hAnsi="Georgia" w:cs="Helvetica"/>
          <w:color w:val="333333"/>
          <w:sz w:val="18"/>
          <w:szCs w:val="18"/>
          <w:vertAlign w:val="subscript"/>
          <w:lang w:val="en"/>
        </w:rPr>
        <w:t>2</w:t>
      </w:r>
      <w:r>
        <w:rPr>
          <w:rFonts w:ascii="Georgia" w:hAnsi="Georgia" w:cs="Helvetica"/>
          <w:color w:val="333333"/>
          <w:lang w:val="en"/>
        </w:rPr>
        <w:t>-e in 2020 (in low and high scenarios, respectively) and by between 36 and 174 Mt CO</w:t>
      </w:r>
      <w:r>
        <w:rPr>
          <w:rFonts w:ascii="Georgia" w:hAnsi="Georgia" w:cs="Helvetica"/>
          <w:color w:val="333333"/>
          <w:sz w:val="18"/>
          <w:szCs w:val="18"/>
          <w:vertAlign w:val="subscript"/>
          <w:lang w:val="en"/>
        </w:rPr>
        <w:t>2</w:t>
      </w:r>
      <w:r>
        <w:rPr>
          <w:rFonts w:ascii="Georgia" w:hAnsi="Georgia" w:cs="Helvetica"/>
          <w:color w:val="333333"/>
          <w:lang w:val="en"/>
        </w:rPr>
        <w:t xml:space="preserve">-e in 2030. </w:t>
      </w:r>
      <w:proofErr w:type="spellStart"/>
      <w:r>
        <w:rPr>
          <w:rFonts w:ascii="Georgia" w:hAnsi="Georgia" w:cs="Helvetica"/>
          <w:color w:val="333333"/>
          <w:lang w:val="en"/>
        </w:rPr>
        <w:t>ClimateWorks</w:t>
      </w:r>
      <w:proofErr w:type="spellEnd"/>
      <w:r>
        <w:rPr>
          <w:rFonts w:ascii="Georgia" w:hAnsi="Georgia" w:cs="Helvetica"/>
          <w:color w:val="333333"/>
          <w:lang w:val="en"/>
        </w:rPr>
        <w:t xml:space="preserve"> (2010) estimates that the electricity sector has ‘realistic reduction’ potential of up to 77 Mt CO</w:t>
      </w:r>
      <w:r>
        <w:rPr>
          <w:rFonts w:ascii="Georgia" w:hAnsi="Georgia" w:cs="Helvetica"/>
          <w:color w:val="333333"/>
          <w:sz w:val="18"/>
          <w:szCs w:val="18"/>
          <w:vertAlign w:val="subscript"/>
          <w:lang w:val="en"/>
        </w:rPr>
        <w:t>2</w:t>
      </w:r>
      <w:r>
        <w:rPr>
          <w:rFonts w:ascii="Georgia" w:hAnsi="Georgia" w:cs="Helvetica"/>
          <w:color w:val="333333"/>
          <w:lang w:val="en"/>
        </w:rPr>
        <w:t>-e in 2020, compared to BAU, by reducing the e</w:t>
      </w:r>
      <w:r>
        <w:rPr>
          <w:rFonts w:ascii="Georgia" w:hAnsi="Georgia" w:cs="Helvetica"/>
          <w:color w:val="333333"/>
          <w:lang w:val="en"/>
        </w:rPr>
        <w:t>missions intensity of supply. These estimated emissions reductions are additional to the emissions reductions due to the RET.</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The RET has a significant effect on emissions. At its currently legislated level, the RET is estimated to reduce emissions by 102 </w:t>
      </w:r>
      <w:r>
        <w:rPr>
          <w:rFonts w:ascii="Georgia" w:hAnsi="Georgia" w:cs="Helvetica"/>
          <w:color w:val="333333"/>
          <w:lang w:val="en"/>
        </w:rPr>
        <w:t>Mt CO</w:t>
      </w:r>
      <w:r>
        <w:rPr>
          <w:rFonts w:ascii="Georgia" w:hAnsi="Georgia" w:cs="Helvetica"/>
          <w:color w:val="333333"/>
          <w:sz w:val="18"/>
          <w:szCs w:val="18"/>
          <w:vertAlign w:val="subscript"/>
          <w:lang w:val="en"/>
        </w:rPr>
        <w:t>2</w:t>
      </w:r>
      <w:r>
        <w:rPr>
          <w:rFonts w:ascii="Georgia" w:hAnsi="Georgia" w:cs="Helvetica"/>
          <w:color w:val="333333"/>
          <w:lang w:val="en"/>
        </w:rPr>
        <w:t xml:space="preserve">-e over the period 2012–13 to </w:t>
      </w:r>
      <w:r>
        <w:rPr>
          <w:rFonts w:ascii="Georgia" w:hAnsi="Georgia" w:cs="Helvetica"/>
          <w:color w:val="333333"/>
          <w:lang w:val="en"/>
        </w:rPr>
        <w:lastRenderedPageBreak/>
        <w:t>2020–21 (CCA 2012). If the RET is not met, or the level of the RET is lowered, this would increase projected emissions and the emissions reduction task to 2020 (see Chapter 9). AEMO’s (2013a) forecasts also suggest the R</w:t>
      </w:r>
      <w:r>
        <w:rPr>
          <w:rFonts w:ascii="Georgia" w:hAnsi="Georgia" w:cs="Helvetica"/>
          <w:color w:val="333333"/>
          <w:lang w:val="en"/>
        </w:rPr>
        <w:t xml:space="preserve">ET will play an important role in lowering the emissions intensity of electricity supply over the period to 2020. The Treasury and DIICCSRTE modelling projects that the RET is met, as legislated, in all scenarios.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Price incentives are important both in dr</w:t>
      </w:r>
      <w:r>
        <w:rPr>
          <w:rFonts w:ascii="Georgia" w:hAnsi="Georgia" w:cs="Helvetica"/>
          <w:color w:val="333333"/>
          <w:lang w:val="en"/>
        </w:rPr>
        <w:t>iving changes in the emissions intensity of supply and reducing demand (</w:t>
      </w:r>
      <w:proofErr w:type="spellStart"/>
      <w:r>
        <w:rPr>
          <w:rFonts w:ascii="Georgia" w:hAnsi="Georgia" w:cs="Helvetica"/>
          <w:color w:val="333333"/>
          <w:lang w:val="en"/>
        </w:rPr>
        <w:t>ClimateWorks</w:t>
      </w:r>
      <w:proofErr w:type="spellEnd"/>
      <w:r>
        <w:rPr>
          <w:rFonts w:ascii="Georgia" w:hAnsi="Georgia" w:cs="Helvetica"/>
          <w:color w:val="333333"/>
          <w:lang w:val="en"/>
        </w:rPr>
        <w:t xml:space="preserve"> 2013b; </w:t>
      </w:r>
      <w:proofErr w:type="spellStart"/>
      <w:r>
        <w:rPr>
          <w:rFonts w:ascii="Georgia" w:hAnsi="Georgia" w:cs="Helvetica"/>
          <w:color w:val="333333"/>
          <w:lang w:val="en"/>
        </w:rPr>
        <w:t>Garnaut</w:t>
      </w:r>
      <w:proofErr w:type="spellEnd"/>
      <w:r>
        <w:rPr>
          <w:rFonts w:ascii="Georgia" w:hAnsi="Georgia" w:cs="Helvetica"/>
          <w:color w:val="333333"/>
          <w:lang w:val="en"/>
        </w:rPr>
        <w:t xml:space="preserve"> 2008; IEA 2012a). Recently, emissions reductions have come from both, with estimates that about 40 per cent of the reduction in emissions from the NEM in th</w:t>
      </w:r>
      <w:r>
        <w:rPr>
          <w:rFonts w:ascii="Georgia" w:hAnsi="Georgia" w:cs="Helvetica"/>
          <w:color w:val="333333"/>
          <w:lang w:val="en"/>
        </w:rPr>
        <w:t>e year to 2013 was due to lower electricity demand, and 60 per cent to the uptake of lower emissions electricity generation (Pitt &amp; Sherry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In the near term, most of the electricity sector’s emissions reductions are likely to come from reducing elect</w:t>
      </w:r>
      <w:r>
        <w:rPr>
          <w:rFonts w:ascii="Georgia" w:hAnsi="Georgia" w:cs="Helvetica"/>
          <w:color w:val="333333"/>
          <w:lang w:val="en"/>
        </w:rPr>
        <w:t>ricity demand, driven in part by energy efficiency measures. If barriers to energy efficiency (described below) are overcome, this could play an even larger role.</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Reducing emissions through lowering electricity demand</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Despite declines in the past few years</w:t>
      </w:r>
      <w:r>
        <w:rPr>
          <w:rFonts w:ascii="Georgia" w:hAnsi="Georgia" w:cs="Helvetica"/>
          <w:color w:val="333333"/>
          <w:lang w:val="en"/>
        </w:rPr>
        <w:t>, Australia’s per person electricity consumption is well above the OECD average and it lags on energy efficiency (IEA 2012b). Reducing electricity demand, particularly by taking up more efficient technologies and equipment, can:</w:t>
      </w:r>
    </w:p>
    <w:p w:rsidR="00000000" w:rsidRDefault="009123E6">
      <w:pPr>
        <w:numPr>
          <w:ilvl w:val="0"/>
          <w:numId w:val="7"/>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offer personal and societal</w:t>
      </w:r>
      <w:r>
        <w:rPr>
          <w:rFonts w:ascii="Georgia" w:eastAsia="Times New Roman" w:hAnsi="Georgia" w:cs="Helvetica"/>
          <w:color w:val="333333"/>
          <w:lang w:val="en"/>
        </w:rPr>
        <w:t xml:space="preserve"> financial savings </w:t>
      </w:r>
    </w:p>
    <w:p w:rsidR="00000000" w:rsidRDefault="009123E6">
      <w:pPr>
        <w:numPr>
          <w:ilvl w:val="0"/>
          <w:numId w:val="7"/>
        </w:numPr>
        <w:spacing w:before="100" w:beforeAutospacing="1" w:after="100" w:afterAutospacing="1" w:line="300" w:lineRule="atLeast"/>
        <w:ind w:left="375"/>
        <w:divId w:val="894126188"/>
        <w:rPr>
          <w:rFonts w:ascii="Georgia" w:eastAsia="Times New Roman" w:hAnsi="Georgia" w:cs="Helvetica"/>
          <w:color w:val="333333"/>
          <w:lang w:val="en"/>
        </w:rPr>
      </w:pPr>
      <w:proofErr w:type="gramStart"/>
      <w:r>
        <w:rPr>
          <w:rFonts w:ascii="Georgia" w:eastAsia="Times New Roman" w:hAnsi="Georgia" w:cs="Helvetica"/>
          <w:color w:val="333333"/>
          <w:lang w:val="en"/>
        </w:rPr>
        <w:t>make</w:t>
      </w:r>
      <w:proofErr w:type="gramEnd"/>
      <w:r>
        <w:rPr>
          <w:rFonts w:ascii="Georgia" w:eastAsia="Times New Roman" w:hAnsi="Georgia" w:cs="Helvetica"/>
          <w:color w:val="333333"/>
          <w:lang w:val="en"/>
        </w:rPr>
        <w:t xml:space="preserve"> it easier and less costly to meet Australia’s emissions reduction goals, particularly in the near term.</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Several sources suggest that reducing electricity demand can reduce emissions at low cost, or even at a positive net present va</w:t>
      </w:r>
      <w:r>
        <w:rPr>
          <w:rFonts w:ascii="Georgia" w:hAnsi="Georgia" w:cs="Helvetica"/>
          <w:color w:val="333333"/>
          <w:lang w:val="en"/>
        </w:rPr>
        <w:t>lue (Prime Minister’s Task Group on Energy Efficiency 2010; PC 2005; Climate Institute 2013). This could particularly benefit disadvantaged consumers, who have more energy-intensive appliances or houses and would be more likely to face the barriers of spli</w:t>
      </w:r>
      <w:r>
        <w:rPr>
          <w:rFonts w:ascii="Georgia" w:hAnsi="Georgia" w:cs="Helvetica"/>
          <w:color w:val="333333"/>
          <w:lang w:val="en"/>
        </w:rPr>
        <w:t>t incentives or capital constraints to investing in energy efficiency. Changing the profile or level of energy demand could also reduce consumers’ electricity bills and offer economic benefits. For example, the AEMC (2012) estimates that reducing peak dema</w:t>
      </w:r>
      <w:r>
        <w:rPr>
          <w:rFonts w:ascii="Georgia" w:hAnsi="Georgia" w:cs="Helvetica"/>
          <w:color w:val="333333"/>
          <w:lang w:val="en"/>
        </w:rPr>
        <w:t>nd growth could cut system expenditure by at least $4.3 billion over the next decade, mainly through avoided investment in the electricity transmission and distribution network.</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Building and equipment choices lock in higher or lower emissions for many year</w:t>
      </w:r>
      <w:r>
        <w:rPr>
          <w:rFonts w:ascii="Georgia" w:hAnsi="Georgia" w:cs="Helvetica"/>
          <w:color w:val="333333"/>
          <w:lang w:val="en"/>
        </w:rPr>
        <w:t>s. It may be decades before appliances are replaced or economic retrofits to buildings are possible. Policies targeting new assets will take several years—even decades—to significantly reduce aggregate emissions. The emissions reduced from buildings and ap</w:t>
      </w:r>
      <w:r>
        <w:rPr>
          <w:rFonts w:ascii="Georgia" w:hAnsi="Georgia" w:cs="Helvetica"/>
          <w:color w:val="333333"/>
          <w:lang w:val="en"/>
        </w:rPr>
        <w:t xml:space="preserve">pliances between 2020 and 2030 will depend on the policies and standards that are put in place in the next few years.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lastRenderedPageBreak/>
        <w:t>Evidence suggests that energy efficiency programs (primarily regulatory) have delivered large electricity demand reductions. According to</w:t>
      </w:r>
      <w:r>
        <w:rPr>
          <w:rFonts w:ascii="Georgia" w:hAnsi="Georgia" w:cs="Helvetica"/>
          <w:color w:val="333333"/>
          <w:lang w:val="en"/>
        </w:rPr>
        <w:t xml:space="preserve"> Saddler (2013), these programs accounted for about a third of the observed reductions in demand growth in the NEM since 2006. AEMO reports that continuing the existing and planned building-related energy efficiency measures and minimum energy performance </w:t>
      </w:r>
      <w:r>
        <w:rPr>
          <w:rFonts w:ascii="Georgia" w:hAnsi="Georgia" w:cs="Helvetica"/>
          <w:color w:val="333333"/>
          <w:lang w:val="en"/>
        </w:rPr>
        <w:t>standards for electricity appliances could reduce electricity demand, in 2030, to a level that is about 17 per cent below projected national electricity demand in the Treasury and DIICCSRTE’s no price scenario (AEMO 2013b). If such regulations were maintai</w:t>
      </w:r>
      <w:r>
        <w:rPr>
          <w:rFonts w:ascii="Georgia" w:hAnsi="Georgia" w:cs="Helvetica"/>
          <w:color w:val="333333"/>
          <w:lang w:val="en"/>
        </w:rPr>
        <w:t>ned and expanded, and complemented with some of the initiatives identified in previous reviews (see Table D.5 in Appendix D), it could increase the share of potential emissions reductions taken up.</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All else being equal, lower-than-projected electricity dem</w:t>
      </w:r>
      <w:r>
        <w:rPr>
          <w:rFonts w:ascii="Georgia" w:hAnsi="Georgia" w:cs="Helvetica"/>
          <w:color w:val="333333"/>
          <w:lang w:val="en"/>
        </w:rPr>
        <w:t xml:space="preserve">and can reduce emissions and make the emissions reduction task easier. Several downward revisions to demand projections in recent years illustrate this potential (for example, AEMO 2013a, 2013d). </w:t>
      </w:r>
      <w:proofErr w:type="spellStart"/>
      <w:r>
        <w:rPr>
          <w:rFonts w:ascii="Georgia" w:hAnsi="Georgia" w:cs="Helvetica"/>
          <w:color w:val="333333"/>
          <w:lang w:val="en"/>
        </w:rPr>
        <w:t>ClimateWorks</w:t>
      </w:r>
      <w:proofErr w:type="spellEnd"/>
      <w:r>
        <w:rPr>
          <w:rFonts w:ascii="Georgia" w:hAnsi="Georgia" w:cs="Helvetica"/>
          <w:color w:val="333333"/>
          <w:lang w:val="en"/>
        </w:rPr>
        <w:t xml:space="preserve"> (2013c) describes plausible scenarios for lower</w:t>
      </w:r>
      <w:r>
        <w:rPr>
          <w:rFonts w:ascii="Georgia" w:hAnsi="Georgia" w:cs="Helvetica"/>
          <w:color w:val="333333"/>
          <w:lang w:val="en"/>
        </w:rPr>
        <w:t xml:space="preserve"> electricity demand from households, commercial buildings and industry, which could keep electricity demand at 2012–13 levels in 2020 and deliver up to 23 Mt CO</w:t>
      </w:r>
      <w:r>
        <w:rPr>
          <w:rFonts w:ascii="Georgia" w:hAnsi="Georgia" w:cs="Helvetica"/>
          <w:color w:val="333333"/>
          <w:sz w:val="18"/>
          <w:szCs w:val="18"/>
          <w:vertAlign w:val="subscript"/>
          <w:lang w:val="en"/>
        </w:rPr>
        <w:t>2</w:t>
      </w:r>
      <w:r>
        <w:rPr>
          <w:rFonts w:ascii="Georgia" w:hAnsi="Georgia" w:cs="Helvetica"/>
          <w:color w:val="333333"/>
          <w:lang w:val="en"/>
        </w:rPr>
        <w:t>-e emissions reductions in 2019–20. ACIL Allen Consulting (2013) modelled a low-electricity dem</w:t>
      </w:r>
      <w:r>
        <w:rPr>
          <w:rFonts w:ascii="Georgia" w:hAnsi="Georgia" w:cs="Helvetica"/>
          <w:color w:val="333333"/>
          <w:lang w:val="en"/>
        </w:rPr>
        <w:t>and sensitivity, which suggested even larger potential emissions reductions.</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Reducing emissions intensity of electricity supply</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At present, Australia’s electricity supply is among the most emissions-intensive in the developed world and, since 2007, has exc</w:t>
      </w:r>
      <w:r>
        <w:rPr>
          <w:rFonts w:ascii="Georgia" w:hAnsi="Georgia" w:cs="Helvetica"/>
          <w:color w:val="333333"/>
          <w:lang w:val="en"/>
        </w:rPr>
        <w:t xml:space="preserve">eeded China’s electricity emissions intensity (IEA 2013a).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To at least 2020, existing and committed electricity supply is expected to be adequate to meet demand in the NEM (AEMO 2013c). Over this period and into the decade beyond, the RET will play an imp</w:t>
      </w:r>
      <w:r>
        <w:rPr>
          <w:rFonts w:ascii="Georgia" w:hAnsi="Georgia" w:cs="Helvetica"/>
          <w:color w:val="333333"/>
          <w:lang w:val="en"/>
        </w:rPr>
        <w:t>ortant role in reducing the emissions-intensity of supply by supporting deployment of low-emissions technologies, including wind and solar. Over this period, the risk of locking in new emissions-intensive generation is relatively low. Longer term, however,</w:t>
      </w:r>
      <w:r>
        <w:rPr>
          <w:rFonts w:ascii="Georgia" w:hAnsi="Georgia" w:cs="Helvetica"/>
          <w:color w:val="333333"/>
          <w:lang w:val="en"/>
        </w:rPr>
        <w:t xml:space="preserve"> clear policy and other signals must be in place to avoid deploying new emissions-intensive generation and to encourage major retrofits that reduce emissions from existing plants.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Additional opportunities to reduce the emissions intensity of the existing g</w:t>
      </w:r>
      <w:r>
        <w:rPr>
          <w:rFonts w:ascii="Georgia" w:hAnsi="Georgia" w:cs="Helvetica"/>
          <w:color w:val="333333"/>
          <w:lang w:val="en"/>
        </w:rPr>
        <w:t>eneration fleet, dominated by fossil fuel generators, may relate to:</w:t>
      </w:r>
    </w:p>
    <w:p w:rsidR="00000000" w:rsidRDefault="009123E6">
      <w:pPr>
        <w:numPr>
          <w:ilvl w:val="0"/>
          <w:numId w:val="8"/>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reducing output—with a price incentive, the recent trend towards mothballing and reducing output from coal-fired power could continue</w:t>
      </w:r>
    </w:p>
    <w:p w:rsidR="00000000" w:rsidRDefault="009123E6">
      <w:pPr>
        <w:numPr>
          <w:ilvl w:val="0"/>
          <w:numId w:val="8"/>
        </w:numPr>
        <w:spacing w:before="100" w:beforeAutospacing="1" w:after="100" w:afterAutospacing="1" w:line="300" w:lineRule="atLeast"/>
        <w:ind w:left="375"/>
        <w:divId w:val="894126188"/>
        <w:rPr>
          <w:rFonts w:ascii="Georgia" w:eastAsia="Times New Roman" w:hAnsi="Georgia" w:cs="Helvetica"/>
          <w:color w:val="333333"/>
          <w:lang w:val="en"/>
        </w:rPr>
      </w:pPr>
      <w:proofErr w:type="gramStart"/>
      <w:r>
        <w:rPr>
          <w:rFonts w:ascii="Georgia" w:eastAsia="Times New Roman" w:hAnsi="Georgia" w:cs="Helvetica"/>
          <w:color w:val="333333"/>
          <w:lang w:val="en"/>
        </w:rPr>
        <w:t>retrofitting—</w:t>
      </w:r>
      <w:proofErr w:type="gramEnd"/>
      <w:r>
        <w:rPr>
          <w:rFonts w:ascii="Georgia" w:eastAsia="Times New Roman" w:hAnsi="Georgia" w:cs="Helvetica"/>
          <w:color w:val="333333"/>
          <w:lang w:val="en"/>
        </w:rPr>
        <w:t>upgrading turbines, modifying boiler ope</w:t>
      </w:r>
      <w:r>
        <w:rPr>
          <w:rFonts w:ascii="Georgia" w:eastAsia="Times New Roman" w:hAnsi="Georgia" w:cs="Helvetica"/>
          <w:color w:val="333333"/>
          <w:lang w:val="en"/>
        </w:rPr>
        <w:t xml:space="preserve">rations, retrofitting plants with new coal-drying technologies and co-firing with low-emissions fuels. Several Australian generators have suggested they may do so, in a scenario with a price incentive (DRET 2013).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Fuel prices will affect emissions from existing (and future) generators. Rising gas prices make it likely that gas-fired generation in the NEM will decline and remain </w:t>
      </w:r>
      <w:r>
        <w:rPr>
          <w:rFonts w:ascii="Georgia" w:hAnsi="Georgia" w:cs="Helvetica"/>
          <w:color w:val="333333"/>
          <w:lang w:val="en"/>
        </w:rPr>
        <w:lastRenderedPageBreak/>
        <w:t>below current levels until at least the early 2030s (AEMO 2013e). The Treasury and DIICCS</w:t>
      </w:r>
      <w:r>
        <w:rPr>
          <w:rFonts w:ascii="Georgia" w:hAnsi="Georgia" w:cs="Helvetica"/>
          <w:color w:val="333333"/>
          <w:lang w:val="en"/>
        </w:rPr>
        <w:t xml:space="preserve">RTE modelling projects that, in the no price scenario, the share of coal-fired generation does not change substantially in the period to 2030, and the declining share of gas generation is replaced by renewable sources. Some industry analysis suggests that </w:t>
      </w:r>
      <w:r>
        <w:rPr>
          <w:rFonts w:ascii="Georgia" w:hAnsi="Georgia" w:cs="Helvetica"/>
          <w:color w:val="333333"/>
          <w:lang w:val="en"/>
        </w:rPr>
        <w:t>gas could lose market share to coal-fired generation in the NEM instead of renewable sources (</w:t>
      </w:r>
      <w:proofErr w:type="spellStart"/>
      <w:r>
        <w:rPr>
          <w:rFonts w:ascii="Georgia" w:hAnsi="Georgia" w:cs="Helvetica"/>
          <w:color w:val="333333"/>
          <w:lang w:val="en"/>
        </w:rPr>
        <w:t>Reputex</w:t>
      </w:r>
      <w:proofErr w:type="spellEnd"/>
      <w:r>
        <w:rPr>
          <w:rFonts w:ascii="Georgia" w:hAnsi="Georgia" w:cs="Helvetica"/>
          <w:color w:val="333333"/>
          <w:lang w:val="en"/>
        </w:rPr>
        <w:t xml:space="preserve">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Over time, with innovation and greater deployment, the costs of low-emissions technologies are likely to fall. This will improve their competitiven</w:t>
      </w:r>
      <w:r>
        <w:rPr>
          <w:rFonts w:ascii="Georgia" w:hAnsi="Georgia" w:cs="Helvetica"/>
          <w:color w:val="333333"/>
          <w:lang w:val="en"/>
        </w:rPr>
        <w:t>ess and their share of generation. Depending on the relative costs and policy incentives, by the 2030s the growing share of low-emissions generation could include emerging technologies such as geothermal and CCS, which are currently relatively costly and f</w:t>
      </w:r>
      <w:r>
        <w:rPr>
          <w:rFonts w:ascii="Georgia" w:hAnsi="Georgia" w:cs="Helvetica"/>
          <w:color w:val="333333"/>
          <w:lang w:val="en"/>
        </w:rPr>
        <w:t>acing other challenges to deployment (see below). Policies, including supporting research and development, could assist.</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Challenges to reducing electricity sector emissions</w:t>
      </w:r>
    </w:p>
    <w:p w:rsidR="00000000" w:rsidRDefault="009123E6">
      <w:pPr>
        <w:pStyle w:val="Heading6"/>
        <w:divId w:val="894126188"/>
        <w:rPr>
          <w:rFonts w:eastAsia="Times New Roman" w:cs="Helvetica"/>
          <w:color w:val="333333"/>
          <w:lang w:val="en"/>
        </w:rPr>
      </w:pPr>
      <w:r>
        <w:rPr>
          <w:rFonts w:eastAsia="Times New Roman" w:cs="Helvetica"/>
          <w:color w:val="333333"/>
          <w:lang w:val="en"/>
        </w:rPr>
        <w:t>Challenges to reducing electricity demand</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There are several non-price barriers to r</w:t>
      </w:r>
      <w:r>
        <w:rPr>
          <w:rFonts w:ascii="Georgia" w:hAnsi="Georgia" w:cs="Helvetica"/>
          <w:color w:val="333333"/>
          <w:lang w:val="en"/>
        </w:rPr>
        <w:t xml:space="preserve">educing electricity demand, identified by the Productivity Commission (2005, 2013), </w:t>
      </w:r>
      <w:proofErr w:type="spellStart"/>
      <w:r>
        <w:rPr>
          <w:rFonts w:ascii="Georgia" w:hAnsi="Georgia" w:cs="Helvetica"/>
          <w:color w:val="333333"/>
          <w:lang w:val="en"/>
        </w:rPr>
        <w:t>Garnaut</w:t>
      </w:r>
      <w:proofErr w:type="spellEnd"/>
      <w:r>
        <w:rPr>
          <w:rFonts w:ascii="Georgia" w:hAnsi="Georgia" w:cs="Helvetica"/>
          <w:color w:val="333333"/>
          <w:lang w:val="en"/>
        </w:rPr>
        <w:t xml:space="preserve"> (2008), AEMC (2012) and others. There is also considerable consensus about solutions, including:</w:t>
      </w:r>
    </w:p>
    <w:p w:rsidR="00000000" w:rsidRDefault="009123E6">
      <w:pPr>
        <w:numPr>
          <w:ilvl w:val="0"/>
          <w:numId w:val="9"/>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 xml:space="preserve">electricity consumption information and prices that better reflect actual costs of supply and smart infrastructure to help consumers manage their use </w:t>
      </w:r>
    </w:p>
    <w:p w:rsidR="00000000" w:rsidRDefault="009123E6">
      <w:pPr>
        <w:numPr>
          <w:ilvl w:val="0"/>
          <w:numId w:val="9"/>
        </w:numPr>
        <w:spacing w:before="100" w:beforeAutospacing="1" w:after="100" w:afterAutospacing="1" w:line="300" w:lineRule="atLeast"/>
        <w:ind w:left="375"/>
        <w:divId w:val="894126188"/>
        <w:rPr>
          <w:rFonts w:ascii="Georgia" w:eastAsia="Times New Roman" w:hAnsi="Georgia" w:cs="Helvetica"/>
          <w:color w:val="333333"/>
          <w:lang w:val="en"/>
        </w:rPr>
      </w:pPr>
      <w:proofErr w:type="gramStart"/>
      <w:r>
        <w:rPr>
          <w:rFonts w:ascii="Georgia" w:eastAsia="Times New Roman" w:hAnsi="Georgia" w:cs="Helvetica"/>
          <w:color w:val="333333"/>
          <w:lang w:val="en"/>
        </w:rPr>
        <w:t>energy</w:t>
      </w:r>
      <w:proofErr w:type="gramEnd"/>
      <w:r>
        <w:rPr>
          <w:rFonts w:ascii="Georgia" w:eastAsia="Times New Roman" w:hAnsi="Georgia" w:cs="Helvetica"/>
          <w:color w:val="333333"/>
          <w:lang w:val="en"/>
        </w:rPr>
        <w:t xml:space="preserve"> efficiency standards for electrical appliances and buildings. Standards help combat split or perve</w:t>
      </w:r>
      <w:r>
        <w:rPr>
          <w:rFonts w:ascii="Georgia" w:eastAsia="Times New Roman" w:hAnsi="Georgia" w:cs="Helvetica"/>
          <w:color w:val="333333"/>
          <w:lang w:val="en"/>
        </w:rPr>
        <w:t>rse incentives for investing in energy efficiency while still allowing consumers the same appliance functionality.</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It is important to determine how energy efficiency opportunities can be cost-effectively pursued in the new policy environment. Particular in</w:t>
      </w:r>
      <w:r>
        <w:rPr>
          <w:rFonts w:ascii="Georgia" w:hAnsi="Georgia" w:cs="Helvetica"/>
          <w:color w:val="333333"/>
          <w:lang w:val="en"/>
        </w:rPr>
        <w:t xml:space="preserve">itiatives that have been identified in previous reviews are discussed in Appendix D. </w:t>
      </w:r>
    </w:p>
    <w:p w:rsidR="00000000" w:rsidRDefault="009123E6">
      <w:pPr>
        <w:pStyle w:val="Heading6"/>
        <w:divId w:val="894126188"/>
        <w:rPr>
          <w:rFonts w:eastAsia="Times New Roman" w:cs="Helvetica"/>
          <w:color w:val="333333"/>
          <w:lang w:val="en"/>
        </w:rPr>
      </w:pPr>
      <w:r>
        <w:rPr>
          <w:rFonts w:eastAsia="Times New Roman" w:cs="Helvetica"/>
          <w:color w:val="333333"/>
          <w:lang w:val="en"/>
        </w:rPr>
        <w:t>Challenges to reducing emissions intensity of electricity supply</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Several sources of low-emissions electricity generation have already been deployed in Australia, includin</w:t>
      </w:r>
      <w:r>
        <w:rPr>
          <w:rFonts w:ascii="Georgia" w:hAnsi="Georgia" w:cs="Helvetica"/>
          <w:color w:val="333333"/>
          <w:lang w:val="en"/>
        </w:rPr>
        <w:t>g wind and solar PV. At present, new investments in low-emissions generation are not cost-competitive with existing generation (whose high initial capital costs are now sunk). This, combined with an overcapacity of supply in the NEM and barriers to exit fo</w:t>
      </w:r>
      <w:r>
        <w:rPr>
          <w:rFonts w:ascii="Georgia" w:hAnsi="Georgia" w:cs="Helvetica"/>
          <w:color w:val="333333"/>
          <w:lang w:val="en"/>
        </w:rPr>
        <w:t xml:space="preserve">r incumbent generators, means that existing generators could operate for some time. This means there is little incentive for investment in new lower emissions (or any other) electricity generation.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Policy is needed to reduce the emissions intensity of sup</w:t>
      </w:r>
      <w:r>
        <w:rPr>
          <w:rFonts w:ascii="Georgia" w:hAnsi="Georgia" w:cs="Helvetica"/>
          <w:color w:val="333333"/>
          <w:lang w:val="en"/>
        </w:rPr>
        <w:t>ply. The RET is accelerating deployment of renewable electricity generation; this could be further accelerated by policies that create an additional demand for low-emissions generation. It is important that policies and incentives are stable, given the lon</w:t>
      </w:r>
      <w:r>
        <w:rPr>
          <w:rFonts w:ascii="Georgia" w:hAnsi="Georgia" w:cs="Helvetica"/>
          <w:color w:val="333333"/>
          <w:lang w:val="en"/>
        </w:rPr>
        <w:t xml:space="preserve">g life of electricity generation assets.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lastRenderedPageBreak/>
        <w:t>The deployment of emerging low-emissions technologies, such as geothermal and CCS, is high-risk and capital-intensive. Public or policy support may be required to make deploying these technologies financially viabl</w:t>
      </w:r>
      <w:r>
        <w:rPr>
          <w:rFonts w:ascii="Georgia" w:hAnsi="Georgia" w:cs="Helvetica"/>
          <w:color w:val="333333"/>
          <w:lang w:val="en"/>
        </w:rPr>
        <w:t>e, unless an additional revenue stream is available. Further, technical, price and logistical challenges have slowed progress on these particular technologies in recent years. As a result, electricity sector experts generally do not expect them to contribu</w:t>
      </w:r>
      <w:r>
        <w:rPr>
          <w:rFonts w:ascii="Georgia" w:hAnsi="Georgia" w:cs="Helvetica"/>
          <w:color w:val="333333"/>
          <w:lang w:val="en"/>
        </w:rPr>
        <w:t xml:space="preserve">te substantial emissions reductions in Australia until the 2030s, even if policy drivers exist to promote investments in lower emissions generation (ACIL Allen Consulting 2013; BREE 2012b). </w:t>
      </w:r>
    </w:p>
    <w:p w:rsidR="00000000" w:rsidRDefault="009123E6">
      <w:pPr>
        <w:pStyle w:val="Heading6"/>
        <w:divId w:val="894126188"/>
        <w:rPr>
          <w:rFonts w:eastAsia="Times New Roman" w:cs="Helvetica"/>
          <w:color w:val="333333"/>
          <w:lang w:val="en"/>
        </w:rPr>
      </w:pPr>
      <w:r>
        <w:rPr>
          <w:rFonts w:eastAsia="Times New Roman" w:cs="Helvetica"/>
          <w:color w:val="333333"/>
          <w:lang w:val="en"/>
        </w:rPr>
        <w:t xml:space="preserve">Challenges to tracking progress in the electricity sector </w:t>
      </w:r>
    </w:p>
    <w:p w:rsidR="00000000" w:rsidRDefault="009123E6">
      <w:pPr>
        <w:pStyle w:val="NormalWeb"/>
        <w:spacing w:line="300" w:lineRule="atLeast"/>
        <w:divId w:val="894126188"/>
        <w:rPr>
          <w:rFonts w:ascii="Georgia" w:hAnsi="Georgia" w:cs="Helvetica"/>
          <w:color w:val="333333"/>
          <w:lang w:val="en"/>
        </w:rPr>
      </w:pPr>
      <w:proofErr w:type="spellStart"/>
      <w:r>
        <w:rPr>
          <w:rFonts w:ascii="Georgia" w:hAnsi="Georgia" w:cs="Helvetica"/>
          <w:color w:val="333333"/>
          <w:lang w:val="en"/>
        </w:rPr>
        <w:t>Analys</w:t>
      </w:r>
      <w:r>
        <w:rPr>
          <w:rFonts w:ascii="Georgia" w:hAnsi="Georgia" w:cs="Helvetica"/>
          <w:color w:val="333333"/>
          <w:lang w:val="en"/>
        </w:rPr>
        <w:t>ing</w:t>
      </w:r>
      <w:proofErr w:type="spellEnd"/>
      <w:r>
        <w:rPr>
          <w:rFonts w:ascii="Georgia" w:hAnsi="Georgia" w:cs="Helvetica"/>
          <w:color w:val="333333"/>
          <w:lang w:val="en"/>
        </w:rPr>
        <w:t xml:space="preserve"> the outlook for the electricity sector is hampered by data gaps. Policy-makers, investors, market participants and consumers could make better decisions if more information was available, including:</w:t>
      </w:r>
    </w:p>
    <w:p w:rsidR="00000000" w:rsidRDefault="009123E6">
      <w:pPr>
        <w:numPr>
          <w:ilvl w:val="0"/>
          <w:numId w:val="10"/>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consistent time series information on the location an</w:t>
      </w:r>
      <w:r>
        <w:rPr>
          <w:rFonts w:ascii="Georgia" w:eastAsia="Times New Roman" w:hAnsi="Georgia" w:cs="Helvetica"/>
          <w:color w:val="333333"/>
          <w:lang w:val="en"/>
        </w:rPr>
        <w:t>d time of end-use electricity consumption</w:t>
      </w:r>
    </w:p>
    <w:p w:rsidR="00000000" w:rsidRDefault="009123E6">
      <w:pPr>
        <w:numPr>
          <w:ilvl w:val="0"/>
          <w:numId w:val="10"/>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routine collection of granular information on the level and mix of off-grid generation</w:t>
      </w:r>
    </w:p>
    <w:p w:rsidR="00000000" w:rsidRDefault="009123E6">
      <w:pPr>
        <w:numPr>
          <w:ilvl w:val="0"/>
          <w:numId w:val="10"/>
        </w:numPr>
        <w:spacing w:before="100" w:beforeAutospacing="1" w:after="100" w:afterAutospacing="1" w:line="300" w:lineRule="atLeast"/>
        <w:ind w:left="375"/>
        <w:divId w:val="894126188"/>
        <w:rPr>
          <w:rFonts w:ascii="Georgia" w:eastAsia="Times New Roman" w:hAnsi="Georgia" w:cs="Helvetica"/>
          <w:color w:val="333333"/>
          <w:lang w:val="en"/>
        </w:rPr>
      </w:pPr>
      <w:proofErr w:type="gramStart"/>
      <w:r>
        <w:rPr>
          <w:rFonts w:ascii="Georgia" w:eastAsia="Times New Roman" w:hAnsi="Georgia" w:cs="Helvetica"/>
          <w:color w:val="333333"/>
          <w:lang w:val="en"/>
        </w:rPr>
        <w:t>earlier</w:t>
      </w:r>
      <w:proofErr w:type="gramEnd"/>
      <w:r>
        <w:rPr>
          <w:rFonts w:ascii="Georgia" w:eastAsia="Times New Roman" w:hAnsi="Georgia" w:cs="Helvetica"/>
          <w:color w:val="333333"/>
          <w:lang w:val="en"/>
        </w:rPr>
        <w:t xml:space="preserve"> publication of the pipeline for grid-connected electricity generation assets, by AEMO and transmission companies.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 det</w:t>
      </w:r>
      <w:r>
        <w:rPr>
          <w:rFonts w:ascii="Georgia" w:hAnsi="Georgia" w:cs="Helvetica"/>
          <w:color w:val="333333"/>
          <w:lang w:val="en"/>
        </w:rPr>
        <w:t>ailed analysis of progress in reducing electricity sector emissions is presented in Appendix D3.</w:t>
      </w:r>
    </w:p>
    <w:p w:rsidR="00000000" w:rsidRDefault="009123E6">
      <w:pPr>
        <w:pStyle w:val="Heading3"/>
        <w:divId w:val="894126188"/>
        <w:rPr>
          <w:rFonts w:eastAsia="Times New Roman" w:cs="Helvetica"/>
          <w:color w:val="333333"/>
          <w:lang w:val="en"/>
        </w:rPr>
      </w:pPr>
      <w:r>
        <w:rPr>
          <w:rFonts w:eastAsia="Times New Roman" w:cs="Helvetica"/>
          <w:color w:val="333333"/>
          <w:lang w:val="en"/>
        </w:rPr>
        <w:t>11.4.2 Transport</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Transport emissions are produced from vehicles combusting fuels to move people and freight, reported across four modes—road, rail, domestic av</w:t>
      </w:r>
      <w:r>
        <w:rPr>
          <w:rFonts w:ascii="Georgia" w:hAnsi="Georgia" w:cs="Helvetica"/>
          <w:color w:val="333333"/>
          <w:lang w:val="en"/>
        </w:rPr>
        <w:t xml:space="preserve">iation and domestic shipping. International aviation and shipping emissions are excluded from Australia’s emissions. Emissions associated with producing and refining liquid and gaseous fuels, as well as generating electricity, are attributed to stationary </w:t>
      </w:r>
      <w:r>
        <w:rPr>
          <w:rFonts w:ascii="Georgia" w:hAnsi="Georgia" w:cs="Helvetica"/>
          <w:color w:val="333333"/>
          <w:lang w:val="en"/>
        </w:rPr>
        <w:t>energy sectors. The transport sector accounted for approximately 15 per cent of Australia’s emissions in 2012.</w:t>
      </w:r>
    </w:p>
    <w:p w:rsidR="009123E6" w:rsidRDefault="009123E6">
      <w:pPr>
        <w:rPr>
          <w:rFonts w:ascii="inherit" w:eastAsia="Times New Roman" w:hAnsi="inherit" w:cs="Helvetica"/>
          <w:b/>
          <w:bCs/>
          <w:color w:val="333333"/>
          <w:sz w:val="31"/>
          <w:szCs w:val="31"/>
          <w:lang w:val="en"/>
        </w:rPr>
      </w:pPr>
      <w:r>
        <w:rPr>
          <w:rFonts w:eastAsia="Times New Roman" w:cs="Helvetica"/>
          <w:color w:val="333333"/>
          <w:lang w:val="en"/>
        </w:rPr>
        <w:br w:type="page"/>
      </w:r>
    </w:p>
    <w:p w:rsidR="00000000" w:rsidRDefault="009123E6">
      <w:pPr>
        <w:pStyle w:val="Heading2"/>
        <w:divId w:val="894126188"/>
        <w:rPr>
          <w:rFonts w:eastAsia="Times New Roman" w:cs="Helvetica"/>
          <w:color w:val="333333"/>
          <w:lang w:val="en"/>
        </w:rPr>
      </w:pPr>
      <w:r>
        <w:rPr>
          <w:rFonts w:eastAsia="Times New Roman" w:cs="Helvetica"/>
          <w:color w:val="333333"/>
          <w:lang w:val="en"/>
        </w:rPr>
        <w:lastRenderedPageBreak/>
        <w:t>Figure 11.9: Transport emissions, historical and projected, 1990–2030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637406" cy="2669628"/>
            <wp:effectExtent l="0" t="0" r="0" b="0"/>
            <wp:docPr id="9" name="Picture 9" descr="Figure 11.9 shows Australia’s historical and projected transport emissions between 1990 and 2030.&#10;Australia’s transport emissions increased between 1990 and 2012. Australia’s transport emissions are projected to increase to 41 per cent above 2000 levels by 2030 in the no price scenario, and 31 per cent above 2000 levels in the low scenario. Emissions stay fairly stable and are 21 per cent above 2000 levels in the medium scenario. Emissions fall to 10 per cent above 2000 levels in the high scenari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1.9 shows Australia’s historical and projected transport emissions between 1990 and 2030.&#10;Australia’s transport emissions increased between 1990 and 2012. Australia’s transport emissions are projected to increase to 41 per cent above 2000 levels by 2030 in the no price scenario, and 31 per cent above 2000 levels in the low scenario. Emissions stay fairly stable and are 21 per cent above 2000 levels in the medium scenario. Emissions fall to 10 per cent above 2000 levels in the high scenario.&#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2783" cy="2672175"/>
                    </a:xfrm>
                    <a:prstGeom prst="rect">
                      <a:avLst/>
                    </a:prstGeom>
                    <a:noFill/>
                    <a:ln>
                      <a:noFill/>
                    </a:ln>
                  </pic:spPr>
                </pic:pic>
              </a:graphicData>
            </a:graphic>
          </wp:inline>
        </w:drawing>
      </w:r>
      <w:r>
        <w:rPr>
          <w:rFonts w:ascii="Georgia" w:hAnsi="Georgia" w:cs="Helvetica"/>
          <w:color w:val="333333"/>
          <w:lang w:val="en"/>
        </w:rPr>
        <w:t> </w:t>
      </w:r>
    </w:p>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Source:</w:t>
      </w:r>
      <w:r>
        <w:rPr>
          <w:rFonts w:ascii="Georgia" w:hAnsi="Georgia" w:cs="Helvetica"/>
          <w:color w:val="333333"/>
          <w:lang w:val="en"/>
        </w:rPr>
        <w:t xml:space="preserve"> Climate Change Authority calculations using results from Treasury and DIICCSRTE 2013 and Reedman and Graham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Transport sector emissions have increased by 29 Mt</w:t>
      </w:r>
      <w:r>
        <w:rPr>
          <w:rFonts w:ascii="Georgia" w:hAnsi="Georgia" w:cs="Helvetica"/>
          <w:color w:val="333333"/>
          <w:lang w:val="en"/>
        </w:rPr>
        <w:t xml:space="preserve"> CO</w:t>
      </w:r>
      <w:r>
        <w:rPr>
          <w:rFonts w:ascii="Georgia" w:hAnsi="Georgia" w:cs="Helvetica"/>
          <w:color w:val="333333"/>
          <w:sz w:val="18"/>
          <w:szCs w:val="18"/>
          <w:vertAlign w:val="subscript"/>
          <w:lang w:val="en"/>
        </w:rPr>
        <w:t>2</w:t>
      </w:r>
      <w:r>
        <w:rPr>
          <w:rFonts w:ascii="Georgia" w:hAnsi="Georgia" w:cs="Helvetica"/>
          <w:color w:val="333333"/>
          <w:lang w:val="en"/>
        </w:rPr>
        <w:t xml:space="preserve">-e (46 per cent) since 1990. The Treasury and DIICCSRTE modelling projects that, under all scenarios, transport demand will continue to grow. Under the low, medium and high scenarios, emissions dip or level out to the </w:t>
      </w:r>
      <w:proofErr w:type="spellStart"/>
      <w:r>
        <w:rPr>
          <w:rFonts w:ascii="Georgia" w:hAnsi="Georgia" w:cs="Helvetica"/>
          <w:color w:val="333333"/>
          <w:lang w:val="en"/>
        </w:rPr>
        <w:t>mid 2030s</w:t>
      </w:r>
      <w:proofErr w:type="spellEnd"/>
      <w:r>
        <w:rPr>
          <w:rFonts w:ascii="Georgia" w:hAnsi="Georgia" w:cs="Helvetica"/>
          <w:color w:val="333333"/>
          <w:lang w:val="en"/>
        </w:rPr>
        <w:t>, due to reduced emissions in</w:t>
      </w:r>
      <w:r>
        <w:rPr>
          <w:rFonts w:ascii="Georgia" w:hAnsi="Georgia" w:cs="Helvetica"/>
          <w:color w:val="333333"/>
          <w:lang w:val="en"/>
        </w:rPr>
        <w:t>tensity of passenger and road freight transport (Figure 11.9). After 2030, emissions are projected to increase again as road transport activity continues to grow and price-driven emissions reduction opportunities are exhausted.</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Opportunities to reduce tran</w:t>
      </w:r>
      <w:r>
        <w:rPr>
          <w:rFonts w:eastAsia="Times New Roman" w:cs="Helvetica"/>
          <w:color w:val="333333"/>
          <w:lang w:val="en"/>
        </w:rPr>
        <w:t>sport emissions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Broadly, transport emissions can be reduced in three ways:</w:t>
      </w:r>
    </w:p>
    <w:p w:rsidR="00000000" w:rsidRDefault="009123E6">
      <w:pPr>
        <w:numPr>
          <w:ilvl w:val="0"/>
          <w:numId w:val="11"/>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increasing the efficiency of vehicles, through technology improvements in internal combustion engines and rollout of alternative drivetrain vehicles in the case of road vehicles</w:t>
      </w:r>
    </w:p>
    <w:p w:rsidR="00000000" w:rsidRDefault="009123E6">
      <w:pPr>
        <w:numPr>
          <w:ilvl w:val="0"/>
          <w:numId w:val="11"/>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reduced emissions intensity of fuels, through low-emissions alternatives to conventional fuels such as biofuels and natural gas</w:t>
      </w:r>
    </w:p>
    <w:p w:rsidR="00000000" w:rsidRDefault="009123E6">
      <w:pPr>
        <w:numPr>
          <w:ilvl w:val="0"/>
          <w:numId w:val="11"/>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more efficient demand management—through mode shift from road freight to rail or shipping, and from private vehicles to public a</w:t>
      </w:r>
      <w:r>
        <w:rPr>
          <w:rFonts w:ascii="Georgia" w:eastAsia="Times New Roman" w:hAnsi="Georgia" w:cs="Helvetica"/>
          <w:color w:val="333333"/>
          <w:lang w:val="en"/>
        </w:rPr>
        <w:t>nd active transport—as well as improved urban planning, transport infrastructure, traffic management and intelligent transport systems.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There are emissions reduction opportunities in all forms of transport. The Treasury and DIICCSRTE modelling suggests tha</w:t>
      </w:r>
      <w:r>
        <w:rPr>
          <w:rFonts w:ascii="Georgia" w:hAnsi="Georgia" w:cs="Helvetica"/>
          <w:color w:val="333333"/>
          <w:lang w:val="en"/>
        </w:rPr>
        <w:t xml:space="preserve">t price incentives may be effective in reducing emissions from some sources in the medium to long term, with emissions </w:t>
      </w:r>
      <w:r>
        <w:rPr>
          <w:rFonts w:ascii="Georgia" w:hAnsi="Georgia" w:cs="Helvetica"/>
          <w:color w:val="333333"/>
          <w:lang w:val="en"/>
        </w:rPr>
        <w:lastRenderedPageBreak/>
        <w:t>lower by 23 Mt CO</w:t>
      </w:r>
      <w:r>
        <w:rPr>
          <w:rFonts w:ascii="Georgia" w:hAnsi="Georgia" w:cs="Helvetica"/>
          <w:color w:val="333333"/>
          <w:sz w:val="18"/>
          <w:szCs w:val="18"/>
          <w:vertAlign w:val="subscript"/>
          <w:lang w:val="en"/>
        </w:rPr>
        <w:t>2</w:t>
      </w:r>
      <w:r>
        <w:rPr>
          <w:rFonts w:ascii="Georgia" w:hAnsi="Georgia" w:cs="Helvetica"/>
          <w:color w:val="333333"/>
          <w:lang w:val="en"/>
        </w:rPr>
        <w:t>-e in 2030 under the high scenario relative to the no price scenario.</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In this modelling, most of the projected transpor</w:t>
      </w:r>
      <w:r>
        <w:rPr>
          <w:rFonts w:ascii="Georgia" w:hAnsi="Georgia" w:cs="Helvetica"/>
          <w:color w:val="333333"/>
          <w:lang w:val="en"/>
        </w:rPr>
        <w:t>t emissions reductions due to price incentives result from reduced emissions intensity of heavy vehicles through gains in efficiency and increasing consumption of biofuels in place of liquid fossil fuels. Biofuels could play the largest role in reducing av</w:t>
      </w:r>
      <w:r>
        <w:rPr>
          <w:rFonts w:ascii="Georgia" w:hAnsi="Georgia" w:cs="Helvetica"/>
          <w:color w:val="333333"/>
          <w:lang w:val="en"/>
        </w:rPr>
        <w:t>iation emissions, which could offset strong increases in demand.</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Light vehicles are responsible for almost 10 per cent of Australia’s total emissions. As mass-produced, dispersed emissions sources, light vehicle emissions reductions may be more effectively</w:t>
      </w:r>
      <w:r>
        <w:rPr>
          <w:rFonts w:ascii="Georgia" w:hAnsi="Georgia" w:cs="Helvetica"/>
          <w:color w:val="333333"/>
          <w:lang w:val="en"/>
        </w:rPr>
        <w:t xml:space="preserve"> </w:t>
      </w:r>
      <w:proofErr w:type="spellStart"/>
      <w:r>
        <w:rPr>
          <w:rFonts w:ascii="Georgia" w:hAnsi="Georgia" w:cs="Helvetica"/>
          <w:color w:val="333333"/>
          <w:lang w:val="en"/>
        </w:rPr>
        <w:t>realised</w:t>
      </w:r>
      <w:proofErr w:type="spellEnd"/>
      <w:r>
        <w:rPr>
          <w:rFonts w:ascii="Georgia" w:hAnsi="Georgia" w:cs="Helvetica"/>
          <w:color w:val="333333"/>
          <w:lang w:val="en"/>
        </w:rPr>
        <w:t xml:space="preserve"> using efficiency standards (discussed below). Emissions reductions possible through such standards were not included in the modelling presented in Figure 11.9.</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Emissions reduction benefits from better managed demand are not modelled; however, sev</w:t>
      </w:r>
      <w:r>
        <w:rPr>
          <w:rFonts w:ascii="Georgia" w:hAnsi="Georgia" w:cs="Helvetica"/>
          <w:color w:val="333333"/>
          <w:lang w:val="en"/>
        </w:rPr>
        <w:t>eral studies (Graham et al. 2012) have identified significant emissions reduction potential for a range of approaches.</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 xml:space="preserve">Challenges to reducing transport emissions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Under any scenario, emissions reductions might be slowed or prevented by:</w:t>
      </w:r>
    </w:p>
    <w:p w:rsidR="00000000" w:rsidRDefault="009123E6">
      <w:pPr>
        <w:numPr>
          <w:ilvl w:val="0"/>
          <w:numId w:val="12"/>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The rate of turnove</w:t>
      </w:r>
      <w:r>
        <w:rPr>
          <w:rFonts w:ascii="Georgia" w:eastAsia="Times New Roman" w:hAnsi="Georgia" w:cs="Helvetica"/>
          <w:color w:val="333333"/>
          <w:lang w:val="en"/>
        </w:rPr>
        <w:t>r of the vehicle fleet—in 2013, the average age of all road vehicles registered in Australia was 10 years (ABS 2013), and trains, aircraft and ships may remain in service for several decades. Transport infrastructure, too, is designed and built for many de</w:t>
      </w:r>
      <w:r>
        <w:rPr>
          <w:rFonts w:ascii="Georgia" w:eastAsia="Times New Roman" w:hAnsi="Georgia" w:cs="Helvetica"/>
          <w:color w:val="333333"/>
          <w:lang w:val="en"/>
        </w:rPr>
        <w:t>cades of use.</w:t>
      </w:r>
    </w:p>
    <w:p w:rsidR="00000000" w:rsidRDefault="009123E6">
      <w:pPr>
        <w:numPr>
          <w:ilvl w:val="0"/>
          <w:numId w:val="12"/>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The cost of alternative fuels and emerging vehicle technologies—biofuels are currently expensive to produce compared to liquid fossil fuels, and if oil prices are lower than projected this may delay uptake of low-emissions alternatives. The c</w:t>
      </w:r>
      <w:r>
        <w:rPr>
          <w:rFonts w:ascii="Georgia" w:eastAsia="Times New Roman" w:hAnsi="Georgia" w:cs="Helvetica"/>
          <w:color w:val="333333"/>
          <w:lang w:val="en"/>
        </w:rPr>
        <w:t>urrent high purchase price and limited driving range of electric vehicles, for example, relative to internal combustion engine vehicles, is a hurdle to widespread adoption.</w:t>
      </w:r>
    </w:p>
    <w:p w:rsidR="00000000" w:rsidRDefault="009123E6">
      <w:pPr>
        <w:numPr>
          <w:ilvl w:val="0"/>
          <w:numId w:val="12"/>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Supply constraints in alternative fuels—the increased production of sustainable bio</w:t>
      </w:r>
      <w:r>
        <w:rPr>
          <w:rFonts w:ascii="Georgia" w:eastAsia="Times New Roman" w:hAnsi="Georgia" w:cs="Helvetica"/>
          <w:color w:val="333333"/>
          <w:lang w:val="en"/>
        </w:rPr>
        <w:t xml:space="preserve">fuels could be limited by a lack of available land and competing food uses for the biofuel crops, though next-generation biofuels may ameliorate this issue. </w:t>
      </w:r>
    </w:p>
    <w:p w:rsidR="00000000" w:rsidRDefault="009123E6">
      <w:pPr>
        <w:numPr>
          <w:ilvl w:val="0"/>
          <w:numId w:val="12"/>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The emissions intensity of new energy sources—if the emissions intensity of Australia’s electricit</w:t>
      </w:r>
      <w:r>
        <w:rPr>
          <w:rFonts w:ascii="Georgia" w:eastAsia="Times New Roman" w:hAnsi="Georgia" w:cs="Helvetica"/>
          <w:color w:val="333333"/>
          <w:lang w:val="en"/>
        </w:rPr>
        <w:t>y supply remains high, it is possible that vehicle electrification could result in a net emissions increase compared with continued use of conventional light vehicles. Emissions could increase if higher emission alternative fuels, such as those derived fro</w:t>
      </w:r>
      <w:r>
        <w:rPr>
          <w:rFonts w:ascii="Georgia" w:eastAsia="Times New Roman" w:hAnsi="Georgia" w:cs="Helvetica"/>
          <w:color w:val="333333"/>
          <w:lang w:val="en"/>
        </w:rPr>
        <w:t>m gas-, coal- and shale-to-liquid methods, gain market share at the expense of lower emissions fuels.</w:t>
      </w:r>
    </w:p>
    <w:p w:rsidR="00000000" w:rsidRDefault="009123E6">
      <w:pPr>
        <w:numPr>
          <w:ilvl w:val="0"/>
          <w:numId w:val="12"/>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 xml:space="preserve">The level and cost of infrastructure needed to encourage lower emissions alternative freight and passenger travel—for example, the low population density </w:t>
      </w:r>
      <w:r>
        <w:rPr>
          <w:rFonts w:ascii="Georgia" w:eastAsia="Times New Roman" w:hAnsi="Georgia" w:cs="Helvetica"/>
          <w:color w:val="333333"/>
          <w:lang w:val="en"/>
        </w:rPr>
        <w:t>of Australia’s cities (relative to European and Asian standards) presents a challenge to investing in and using alternatives to light vehicles for urban passenger movement.</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A role for fleet-average light vehicle CO</w:t>
      </w:r>
      <w:r>
        <w:rPr>
          <w:rFonts w:eastAsia="Times New Roman" w:cs="Helvetica"/>
          <w:color w:val="333333"/>
          <w:sz w:val="16"/>
          <w:szCs w:val="16"/>
          <w:vertAlign w:val="subscript"/>
          <w:lang w:val="en"/>
        </w:rPr>
        <w:t>2</w:t>
      </w:r>
      <w:r>
        <w:rPr>
          <w:rFonts w:eastAsia="Times New Roman" w:cs="Helvetica"/>
          <w:color w:val="333333"/>
          <w:lang w:val="en"/>
        </w:rPr>
        <w:t xml:space="preserve"> emissions standards for Australia?</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lastRenderedPageBreak/>
        <w:t>Despi</w:t>
      </w:r>
      <w:r>
        <w:rPr>
          <w:rFonts w:ascii="Georgia" w:hAnsi="Georgia" w:cs="Helvetica"/>
          <w:color w:val="333333"/>
          <w:lang w:val="en"/>
        </w:rPr>
        <w:t>te having reduced their emissions intensity by 21 per cent over the past decade (NTC 2013), Australia’s light vehicles remain among the most emissions-intensive in the world. The Treasury and DIICCSRTE modelling does not include any price incentive or poli</w:t>
      </w:r>
      <w:r>
        <w:rPr>
          <w:rFonts w:ascii="Georgia" w:hAnsi="Georgia" w:cs="Helvetica"/>
          <w:color w:val="333333"/>
          <w:lang w:val="en"/>
        </w:rPr>
        <w:t>cies targeting vehicle efficiency.</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Light vehicle emissions reductions can be </w:t>
      </w:r>
      <w:proofErr w:type="spellStart"/>
      <w:r>
        <w:rPr>
          <w:rFonts w:ascii="Georgia" w:hAnsi="Georgia" w:cs="Helvetica"/>
          <w:color w:val="333333"/>
          <w:lang w:val="en"/>
        </w:rPr>
        <w:t>realised</w:t>
      </w:r>
      <w:proofErr w:type="spellEnd"/>
      <w:r>
        <w:rPr>
          <w:rFonts w:ascii="Georgia" w:hAnsi="Georgia" w:cs="Helvetica"/>
          <w:color w:val="333333"/>
          <w:lang w:val="en"/>
        </w:rPr>
        <w:t xml:space="preserve"> through fleet-average CO</w:t>
      </w:r>
      <w:r>
        <w:rPr>
          <w:rFonts w:ascii="Georgia" w:hAnsi="Georgia" w:cs="Helvetica"/>
          <w:color w:val="333333"/>
          <w:sz w:val="18"/>
          <w:szCs w:val="18"/>
          <w:vertAlign w:val="subscript"/>
          <w:lang w:val="en"/>
        </w:rPr>
        <w:t>2</w:t>
      </w:r>
      <w:r>
        <w:rPr>
          <w:rFonts w:ascii="Georgia" w:hAnsi="Georgia" w:cs="Helvetica"/>
          <w:color w:val="333333"/>
          <w:lang w:val="en"/>
        </w:rPr>
        <w:t xml:space="preserve"> emissions standards (or, equivalently, fuel economy standards). Australia considered such standards in 2010 (DIT 2011) but they have not progres</w:t>
      </w:r>
      <w:r>
        <w:rPr>
          <w:rFonts w:ascii="Georgia" w:hAnsi="Georgia" w:cs="Helvetica"/>
          <w:color w:val="333333"/>
          <w:lang w:val="en"/>
        </w:rPr>
        <w:t>sed. Over 70 per cent of light vehicles produced in the world today are subject to mandatory CO</w:t>
      </w:r>
      <w:r>
        <w:rPr>
          <w:rFonts w:ascii="Georgia" w:hAnsi="Georgia" w:cs="Helvetica"/>
          <w:color w:val="333333"/>
          <w:sz w:val="18"/>
          <w:szCs w:val="18"/>
          <w:vertAlign w:val="subscript"/>
          <w:lang w:val="en"/>
        </w:rPr>
        <w:t>2</w:t>
      </w:r>
      <w:r>
        <w:rPr>
          <w:rFonts w:ascii="Georgia" w:hAnsi="Georgia" w:cs="Helvetica"/>
          <w:color w:val="333333"/>
          <w:lang w:val="en"/>
        </w:rPr>
        <w:t xml:space="preserve"> emissions standards, including those sold in the EU, the US, Canada, China, Japan and South Korea (Figure 11.10). Similar standards are under investigation in </w:t>
      </w:r>
      <w:r>
        <w:rPr>
          <w:rFonts w:ascii="Georgia" w:hAnsi="Georgia" w:cs="Helvetica"/>
          <w:color w:val="333333"/>
          <w:lang w:val="en"/>
        </w:rPr>
        <w:t xml:space="preserve">emerging auto markets such as India, Indonesia and Thailand. Australia’s light vehicle fleet is unlikely to </w:t>
      </w:r>
      <w:proofErr w:type="spellStart"/>
      <w:r>
        <w:rPr>
          <w:rFonts w:ascii="Georgia" w:hAnsi="Georgia" w:cs="Helvetica"/>
          <w:color w:val="333333"/>
          <w:lang w:val="en"/>
        </w:rPr>
        <w:t>maximise</w:t>
      </w:r>
      <w:proofErr w:type="spellEnd"/>
      <w:r>
        <w:rPr>
          <w:rFonts w:ascii="Georgia" w:hAnsi="Georgia" w:cs="Helvetica"/>
          <w:color w:val="333333"/>
          <w:lang w:val="en"/>
        </w:rPr>
        <w:t xml:space="preserve"> available fuel efficiency opportunities if suppliers </w:t>
      </w:r>
      <w:proofErr w:type="spellStart"/>
      <w:r>
        <w:rPr>
          <w:rFonts w:ascii="Georgia" w:hAnsi="Georgia" w:cs="Helvetica"/>
          <w:color w:val="333333"/>
          <w:lang w:val="en"/>
        </w:rPr>
        <w:t>prioritise</w:t>
      </w:r>
      <w:proofErr w:type="spellEnd"/>
      <w:r>
        <w:rPr>
          <w:rFonts w:ascii="Georgia" w:hAnsi="Georgia" w:cs="Helvetica"/>
          <w:color w:val="333333"/>
          <w:lang w:val="en"/>
        </w:rPr>
        <w:t xml:space="preserve"> auto markets with mandatory standards in place for their more efficient mod</w:t>
      </w:r>
      <w:r>
        <w:rPr>
          <w:rFonts w:ascii="Georgia" w:hAnsi="Georgia" w:cs="Helvetica"/>
          <w:color w:val="333333"/>
          <w:lang w:val="en"/>
        </w:rPr>
        <w:t>els and variants. Nevertheless, Australia is likely to gain some fuel efficiency benefits as a flow-on effect from standards applied in other auto markets.</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Figure 11.10: Share of global vehicle markets covered by mandatory CO</w:t>
      </w:r>
      <w:r>
        <w:rPr>
          <w:rFonts w:eastAsia="Times New Roman" w:cs="Helvetica"/>
          <w:color w:val="333333"/>
          <w:sz w:val="23"/>
          <w:szCs w:val="23"/>
          <w:vertAlign w:val="subscript"/>
          <w:lang w:val="en"/>
        </w:rPr>
        <w:t>2</w:t>
      </w:r>
      <w:r>
        <w:rPr>
          <w:rFonts w:eastAsia="Times New Roman" w:cs="Helvetica"/>
          <w:color w:val="333333"/>
          <w:lang w:val="en"/>
        </w:rPr>
        <w:t xml:space="preserve"> emissions standards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15160" cy="3640680"/>
            <wp:effectExtent l="0" t="0" r="0" b="0"/>
            <wp:docPr id="10" name="Picture 10" descr="Figure 11.10 shows a pie chart of the share of global light vehicle markets covered by mandatory carbon dioxide emissions standards in 2012.&#10;Canada, China, EU-28, Japan, Republic of Korea, Mexico and United States accounted for over 70 per cent of the global vehicle market and had regulated carbon dioxide light vehicle emissions standards in 2012. Developing countries India, Indonesia and Thailand are developing standards for light vehicle emissions and accounted for 7 per cent of the global vehicle market in 2012.&#10;In contrast, Australia has no light vehicle carbon dioxide emission standards. Other countries with no carbon dioxide standards include Argentina, Brazil, Iran, Russia and Turkey, and together including Australia, they accounted for 22 per cent of the global vehicle market in 20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1.10 shows a pie chart of the share of global light vehicle markets covered by mandatory carbon dioxide emissions standards in 2012.&#10;Canada, China, EU-28, Japan, Republic of Korea, Mexico and United States accounted for over 70 per cent of the global vehicle market and had regulated carbon dioxide light vehicle emissions standards in 2012. Developing countries India, Indonesia and Thailand are developing standards for light vehicle emissions and accounted for 7 per cent of the global vehicle market in 2012.&#10;In contrast, Australia has no light vehicle carbon dioxide emission standards. Other countries with no carbon dioxide standards include Argentina, Brazil, Iran, Russia and Turkey, and together including Australia, they accounted for 22 per cent of the global vehicle market in 2012.&#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5160" cy="3640680"/>
                    </a:xfrm>
                    <a:prstGeom prst="rect">
                      <a:avLst/>
                    </a:prstGeom>
                    <a:noFill/>
                    <a:ln>
                      <a:noFill/>
                    </a:ln>
                  </pic:spPr>
                </pic:pic>
              </a:graphicData>
            </a:graphic>
          </wp:inline>
        </w:drawing>
      </w:r>
      <w:r>
        <w:rPr>
          <w:rFonts w:ascii="Georgia" w:hAnsi="Georgia" w:cs="Helvetica"/>
          <w:color w:val="333333"/>
          <w:lang w:val="en"/>
        </w:rPr>
        <w:t> </w:t>
      </w:r>
    </w:p>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 xml:space="preserve">Source: </w:t>
      </w:r>
      <w:r>
        <w:rPr>
          <w:rFonts w:ascii="Georgia" w:hAnsi="Georgia" w:cs="Helvetica"/>
          <w:color w:val="333333"/>
          <w:lang w:val="en"/>
        </w:rPr>
        <w:t>Climate Change Authority calculations based on The International Council on Clean Transportation 2013, Transport Policy.net 2013 (for standards cover</w:t>
      </w:r>
      <w:r>
        <w:rPr>
          <w:rFonts w:ascii="Georgia" w:hAnsi="Georgia" w:cs="Helvetica"/>
          <w:color w:val="333333"/>
          <w:lang w:val="en"/>
        </w:rPr>
        <w:t>age), and OICA 2012 (for vehicle numbers)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lastRenderedPageBreak/>
        <w:t>The Authority commissioned CSIRO to model the emissions reduction potential of Australia adopting fleet-average CO</w:t>
      </w:r>
      <w:r>
        <w:rPr>
          <w:rFonts w:ascii="Georgia" w:hAnsi="Georgia" w:cs="Helvetica"/>
          <w:color w:val="333333"/>
          <w:sz w:val="18"/>
          <w:szCs w:val="18"/>
          <w:vertAlign w:val="subscript"/>
          <w:lang w:val="en"/>
        </w:rPr>
        <w:t>2</w:t>
      </w:r>
      <w:r>
        <w:rPr>
          <w:rFonts w:ascii="Georgia" w:hAnsi="Georgia" w:cs="Helvetica"/>
          <w:color w:val="333333"/>
          <w:lang w:val="en"/>
        </w:rPr>
        <w:t xml:space="preserve"> emissions standards that drive a rate of efficiency improvement comparable to that of the EU and U</w:t>
      </w:r>
      <w:r>
        <w:rPr>
          <w:rFonts w:ascii="Georgia" w:hAnsi="Georgia" w:cs="Helvetica"/>
          <w:color w:val="333333"/>
          <w:lang w:val="en"/>
        </w:rPr>
        <w:t>S. This modelling showed that up to 14 Mt CO</w:t>
      </w:r>
      <w:r>
        <w:rPr>
          <w:rFonts w:ascii="Georgia" w:hAnsi="Georgia" w:cs="Helvetica"/>
          <w:color w:val="333333"/>
          <w:sz w:val="18"/>
          <w:szCs w:val="18"/>
          <w:vertAlign w:val="subscript"/>
          <w:lang w:val="en"/>
        </w:rPr>
        <w:t>2</w:t>
      </w:r>
      <w:r>
        <w:rPr>
          <w:rFonts w:ascii="Georgia" w:hAnsi="Georgia" w:cs="Helvetica"/>
          <w:color w:val="333333"/>
          <w:lang w:val="en"/>
        </w:rPr>
        <w:t>-e per annum (13 per cent of total transport emissions) could be avoided by 2030 using fleet-average emissions standards introduced from 2018. By 2030, about half of the light vehicle fleet would have been subje</w:t>
      </w:r>
      <w:r>
        <w:rPr>
          <w:rFonts w:ascii="Georgia" w:hAnsi="Georgia" w:cs="Helvetica"/>
          <w:color w:val="333333"/>
          <w:lang w:val="en"/>
        </w:rPr>
        <w:t xml:space="preserve">ct to standards. For the entire modelled period (from now to 2050), introducing relatively lenient standards earlier (in 2018) was projected to achieve greater emissions reductions than introducing more stringent standards later (in 2025), </w:t>
      </w:r>
      <w:proofErr w:type="spellStart"/>
      <w:r>
        <w:rPr>
          <w:rFonts w:ascii="Georgia" w:hAnsi="Georgia" w:cs="Helvetica"/>
          <w:color w:val="333333"/>
          <w:lang w:val="en"/>
        </w:rPr>
        <w:t>emphasising</w:t>
      </w:r>
      <w:proofErr w:type="spellEnd"/>
      <w:r>
        <w:rPr>
          <w:rFonts w:ascii="Georgia" w:hAnsi="Georgia" w:cs="Helvetica"/>
          <w:color w:val="333333"/>
          <w:lang w:val="en"/>
        </w:rPr>
        <w:t xml:space="preserve"> the </w:t>
      </w:r>
      <w:r>
        <w:rPr>
          <w:rFonts w:ascii="Georgia" w:hAnsi="Georgia" w:cs="Helvetica"/>
          <w:color w:val="333333"/>
          <w:lang w:val="en"/>
        </w:rPr>
        <w:t>importance of early action. This is discussed in more detail in Appendix D4.</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In overseas markets, fleet-average CO</w:t>
      </w:r>
      <w:r>
        <w:rPr>
          <w:rFonts w:ascii="Georgia" w:hAnsi="Georgia" w:cs="Helvetica"/>
          <w:color w:val="333333"/>
          <w:sz w:val="18"/>
          <w:szCs w:val="18"/>
          <w:vertAlign w:val="subscript"/>
          <w:lang w:val="en"/>
        </w:rPr>
        <w:t>2</w:t>
      </w:r>
      <w:r>
        <w:rPr>
          <w:rFonts w:ascii="Georgia" w:hAnsi="Georgia" w:cs="Helvetica"/>
          <w:color w:val="333333"/>
          <w:lang w:val="en"/>
        </w:rPr>
        <w:t xml:space="preserve"> standards deliver emissions reductions at a net private saving—the additional vehicle cost is more than offset by fuel savings over the life</w:t>
      </w:r>
      <w:r>
        <w:rPr>
          <w:rFonts w:ascii="Georgia" w:hAnsi="Georgia" w:cs="Helvetica"/>
          <w:color w:val="333333"/>
          <w:lang w:val="en"/>
        </w:rPr>
        <w:t xml:space="preserve"> of the vehicle. Given the global market for automobiles, the cost of efficiency improvements is likely to be broadly comparable across markets (Reedman and Graham 2013). Studies have shown that the cost of the EU’s standards to 2020 (95 gCO</w:t>
      </w:r>
      <w:r>
        <w:rPr>
          <w:rFonts w:ascii="Georgia" w:hAnsi="Georgia" w:cs="Helvetica"/>
          <w:color w:val="333333"/>
          <w:sz w:val="18"/>
          <w:szCs w:val="18"/>
          <w:vertAlign w:val="subscript"/>
          <w:lang w:val="en"/>
        </w:rPr>
        <w:t>2</w:t>
      </w:r>
      <w:r>
        <w:rPr>
          <w:rFonts w:ascii="Georgia" w:hAnsi="Georgia" w:cs="Helvetica"/>
          <w:color w:val="333333"/>
          <w:lang w:val="en"/>
        </w:rPr>
        <w:t>/km by 2020) a</w:t>
      </w:r>
      <w:r>
        <w:rPr>
          <w:rFonts w:ascii="Georgia" w:hAnsi="Georgia" w:cs="Helvetica"/>
          <w:color w:val="333333"/>
          <w:lang w:val="en"/>
        </w:rPr>
        <w:t>re likely to increase the average vehicle purchase price by about €1,000–1,100 per vehicle (Cambridge Econometrics and Ricardo-AEA 2013). Similarly, in the US, which has enacted standards with a similar rate of efficiency improvement, the increased purchas</w:t>
      </w:r>
      <w:r>
        <w:rPr>
          <w:rFonts w:ascii="Georgia" w:hAnsi="Georgia" w:cs="Helvetica"/>
          <w:color w:val="333333"/>
          <w:lang w:val="en"/>
        </w:rPr>
        <w:t xml:space="preserve">e cost per vehicle in 2020, compared to a baseline year of 2010, is estimated at US$762 (NHTSA 2012).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The CSIRO modelling shows that standards that require the same rate of efficiency improvement in Australia as under EU and US standards—about 5 per cent </w:t>
      </w:r>
      <w:r>
        <w:rPr>
          <w:rFonts w:ascii="Georgia" w:hAnsi="Georgia" w:cs="Helvetica"/>
          <w:color w:val="333333"/>
          <w:lang w:val="en"/>
        </w:rPr>
        <w:t>per annum—would reduce fleet-average fuel consumption by as much as 23 per cent by 2030, offering commensurate reductions in fuel cost and improvements in productivity, all else being equal. This is for the average of all in-service vehicles, not just newe</w:t>
      </w:r>
      <w:r>
        <w:rPr>
          <w:rFonts w:ascii="Georgia" w:hAnsi="Georgia" w:cs="Helvetica"/>
          <w:color w:val="333333"/>
          <w:lang w:val="en"/>
        </w:rPr>
        <w:t xml:space="preserve">r vehicles subject to the standards. Standards could offer a total fleet-average fuel savings of about 3 cents per </w:t>
      </w:r>
      <w:proofErr w:type="spellStart"/>
      <w:r>
        <w:rPr>
          <w:rFonts w:ascii="Georgia" w:hAnsi="Georgia" w:cs="Helvetica"/>
          <w:color w:val="333333"/>
          <w:lang w:val="en"/>
        </w:rPr>
        <w:t>kilometre</w:t>
      </w:r>
      <w:proofErr w:type="spellEnd"/>
      <w:r>
        <w:rPr>
          <w:rFonts w:ascii="Georgia" w:hAnsi="Georgia" w:cs="Helvetica"/>
          <w:color w:val="333333"/>
          <w:lang w:val="en"/>
        </w:rPr>
        <w:t xml:space="preserve"> by 2030, which equates to $450 per year for a vehicle travelling a typical 15,000 km per year. The savings would be higher for the </w:t>
      </w:r>
      <w:r>
        <w:rPr>
          <w:rFonts w:ascii="Georgia" w:hAnsi="Georgia" w:cs="Helvetica"/>
          <w:color w:val="333333"/>
          <w:lang w:val="en"/>
        </w:rPr>
        <w:t>average newer vehicle subject to the standards.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CSIRO modelling projects light vehicle fuel consumption could be 12–24 per cent lower in 2030 with standards, which could help drive improvements in transport sector productivity. The modelling also shows</w:t>
      </w:r>
      <w:r>
        <w:rPr>
          <w:rFonts w:ascii="Georgia" w:hAnsi="Georgia" w:cs="Helvetica"/>
          <w:color w:val="333333"/>
          <w:lang w:val="en"/>
        </w:rPr>
        <w:t xml:space="preserve"> that alternative drivetrain vehicles, notably plug-in hybrid electric vehicles and fully electric vehicles, are likely to be deployed sooner if light vehicle CO</w:t>
      </w:r>
      <w:r>
        <w:rPr>
          <w:rFonts w:ascii="Georgia" w:hAnsi="Georgia" w:cs="Helvetica"/>
          <w:color w:val="333333"/>
          <w:sz w:val="18"/>
          <w:szCs w:val="18"/>
          <w:vertAlign w:val="subscript"/>
          <w:lang w:val="en"/>
        </w:rPr>
        <w:t>2</w:t>
      </w:r>
      <w:r>
        <w:rPr>
          <w:rFonts w:ascii="Georgia" w:hAnsi="Georgia" w:cs="Helvetica"/>
          <w:color w:val="333333"/>
          <w:lang w:val="en"/>
        </w:rPr>
        <w:t xml:space="preserve"> standards are implemented. When operating in electric mode, these vehicles are quiet and have</w:t>
      </w:r>
      <w:r>
        <w:rPr>
          <w:rFonts w:ascii="Georgia" w:hAnsi="Georgia" w:cs="Helvetica"/>
          <w:color w:val="333333"/>
          <w:lang w:val="en"/>
        </w:rPr>
        <w:t xml:space="preserve"> no drive-time emissions. Their deployment will help reduce Australians’ exposure to noise and air toxic emissions, with associated health and amenity benefits.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Light vehicle CO</w:t>
      </w:r>
      <w:r>
        <w:rPr>
          <w:rFonts w:ascii="Georgia" w:hAnsi="Georgia" w:cs="Helvetica"/>
          <w:color w:val="333333"/>
          <w:sz w:val="18"/>
          <w:szCs w:val="18"/>
          <w:vertAlign w:val="subscript"/>
          <w:lang w:val="en"/>
        </w:rPr>
        <w:t>2</w:t>
      </w:r>
      <w:r>
        <w:rPr>
          <w:rFonts w:ascii="Georgia" w:hAnsi="Georgia" w:cs="Helvetica"/>
          <w:color w:val="333333"/>
          <w:lang w:val="en"/>
        </w:rPr>
        <w:t xml:space="preserve"> emissions standards appear to offer significant, low-cost emissions reduction</w:t>
      </w:r>
      <w:r>
        <w:rPr>
          <w:rFonts w:ascii="Georgia" w:hAnsi="Georgia" w:cs="Helvetica"/>
          <w:color w:val="333333"/>
          <w:lang w:val="en"/>
        </w:rPr>
        <w:t>s, with potential co-benefits. Fuel savings alone are likely to provide a private payback of just a few years. Implementing light vehicle emissions standards deserves further investigation for Australia.</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emissions reduction potential of Australian light vehicle fleet-average CO</w:t>
      </w:r>
      <w:r>
        <w:rPr>
          <w:rFonts w:ascii="Georgia" w:hAnsi="Georgia" w:cs="Helvetica"/>
          <w:color w:val="333333"/>
          <w:sz w:val="18"/>
          <w:szCs w:val="18"/>
          <w:vertAlign w:val="subscript"/>
          <w:lang w:val="en"/>
        </w:rPr>
        <w:t>2</w:t>
      </w:r>
      <w:r>
        <w:rPr>
          <w:rFonts w:ascii="Georgia" w:hAnsi="Georgia" w:cs="Helvetica"/>
          <w:color w:val="333333"/>
          <w:lang w:val="en"/>
        </w:rPr>
        <w:t xml:space="preserve"> standards is discussed further in Appendix D.</w:t>
      </w:r>
    </w:p>
    <w:p w:rsidR="00000000" w:rsidRDefault="009123E6">
      <w:pPr>
        <w:pStyle w:val="Heading2"/>
        <w:shd w:val="clear" w:color="auto" w:fill="FCF8E3"/>
        <w:divId w:val="968246887"/>
        <w:rPr>
          <w:rFonts w:eastAsia="Times New Roman" w:cs="Helvetica"/>
          <w:color w:val="C09853"/>
          <w:lang w:val="en"/>
        </w:rPr>
      </w:pPr>
      <w:r>
        <w:rPr>
          <w:rFonts w:eastAsia="Times New Roman" w:cs="Helvetica"/>
          <w:color w:val="C09853"/>
          <w:lang w:val="en"/>
        </w:rPr>
        <w:lastRenderedPageBreak/>
        <w:t>Recommendation</w:t>
      </w:r>
    </w:p>
    <w:p w:rsidR="00000000" w:rsidRDefault="009123E6">
      <w:pPr>
        <w:pStyle w:val="NormalWeb"/>
        <w:shd w:val="clear" w:color="auto" w:fill="FCF8E3"/>
        <w:spacing w:line="300" w:lineRule="atLeast"/>
        <w:divId w:val="968246887"/>
        <w:rPr>
          <w:rFonts w:ascii="Georgia" w:hAnsi="Georgia" w:cs="Helvetica"/>
          <w:color w:val="C09853"/>
          <w:lang w:val="en"/>
        </w:rPr>
      </w:pPr>
      <w:r>
        <w:rPr>
          <w:rFonts w:ascii="Georgia" w:hAnsi="Georgia" w:cs="Helvetica"/>
          <w:color w:val="C09853"/>
          <w:lang w:val="en"/>
        </w:rPr>
        <w:t>R.10</w:t>
      </w:r>
      <w:r>
        <w:rPr>
          <w:rFonts w:ascii="Georgia" w:hAnsi="Georgia" w:cs="Helvetica"/>
          <w:color w:val="C09853"/>
          <w:lang w:val="en"/>
        </w:rPr>
        <w:tab/>
        <w:t>The government investigate the near-term introduction of fleet-average CO</w:t>
      </w:r>
      <w:r>
        <w:rPr>
          <w:rFonts w:ascii="Georgia" w:hAnsi="Georgia" w:cs="Helvetica"/>
          <w:color w:val="C09853"/>
          <w:sz w:val="18"/>
          <w:szCs w:val="18"/>
          <w:vertAlign w:val="subscript"/>
          <w:lang w:val="en"/>
        </w:rPr>
        <w:t>2</w:t>
      </w:r>
      <w:r>
        <w:rPr>
          <w:rFonts w:ascii="Georgia" w:hAnsi="Georgia" w:cs="Helvetica"/>
          <w:color w:val="C09853"/>
          <w:lang w:val="en"/>
        </w:rPr>
        <w:t xml:space="preserve"> emissions standards for light vehic</w:t>
      </w:r>
      <w:r>
        <w:rPr>
          <w:rFonts w:ascii="Georgia" w:hAnsi="Georgia" w:cs="Helvetica"/>
          <w:color w:val="C09853"/>
          <w:lang w:val="en"/>
        </w:rPr>
        <w:t>les in Australia as a way to secure significant, cost-effective emissions reductions and related co-benefits.</w:t>
      </w:r>
    </w:p>
    <w:p w:rsidR="00000000" w:rsidRDefault="009123E6">
      <w:pPr>
        <w:pStyle w:val="Heading3"/>
        <w:divId w:val="894126188"/>
        <w:rPr>
          <w:rFonts w:eastAsia="Times New Roman" w:cs="Helvetica"/>
          <w:color w:val="333333"/>
          <w:lang w:val="en"/>
        </w:rPr>
      </w:pPr>
      <w:r>
        <w:rPr>
          <w:rFonts w:eastAsia="Times New Roman" w:cs="Helvetica"/>
          <w:color w:val="333333"/>
          <w:lang w:val="en"/>
        </w:rPr>
        <w:t>11.4.3 Direct combustion</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Direct combustion emissions occur when fuels are combusted for stationary energy purposes, such as generating heat, steam</w:t>
      </w:r>
      <w:r>
        <w:rPr>
          <w:rFonts w:ascii="Georgia" w:hAnsi="Georgia" w:cs="Helvetica"/>
          <w:color w:val="333333"/>
          <w:lang w:val="en"/>
        </w:rPr>
        <w:t xml:space="preserve"> or pressure (excluding electricity generation). These emissions are released by large industrial users and small, dispersed residential and commercial consumers. Emissions from direct combustion accounted for 16 per cent of national emissions in 2012 (Tre</w:t>
      </w:r>
      <w:r>
        <w:rPr>
          <w:rFonts w:ascii="Georgia" w:hAnsi="Georgia" w:cs="Helvetica"/>
          <w:color w:val="333333"/>
          <w:lang w:val="en"/>
        </w:rPr>
        <w:t xml:space="preserve">asury and DIICCSRTE 2013).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In each modelled scenario, direct combustion emissions are projected to rise strongly from current levels through to 2030 (Figure 11.11). In absolute terms, under all but the no price scenario, direct combustion emissions increa</w:t>
      </w:r>
      <w:r>
        <w:rPr>
          <w:rFonts w:ascii="Georgia" w:hAnsi="Georgia" w:cs="Helvetica"/>
          <w:color w:val="333333"/>
          <w:lang w:val="en"/>
        </w:rPr>
        <w:t>se more than any sector of the Australian economy. This increase is driven by growth in energy extraction industries, including more than 15 LNG production projects in operation, under construction or at initial stages (BREE 2013a).</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Price incentives could </w:t>
      </w:r>
      <w:r>
        <w:rPr>
          <w:rFonts w:ascii="Georgia" w:hAnsi="Georgia" w:cs="Helvetica"/>
          <w:color w:val="333333"/>
          <w:lang w:val="en"/>
        </w:rPr>
        <w:t>slow growth to some extent by encouraging greater uptake of low-emissions technologies.</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Figure 11.11: Direct combustion emissions, historical and projected, 1990–2030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07240" cy="2594880"/>
            <wp:effectExtent l="0" t="0" r="0" b="0"/>
            <wp:docPr id="11" name="Picture 11" descr="Figure 11.11 shows Australia’s historical and projected direct combustion emissions between 1990 and 2030. &#10;Australia’s direct combustion emissions increased between 1990 and 2012. Australia’s direct combustion emissions are projected to increase to 79 per cent above 2000 levels in 2030 in the no price scenario, 67 per cent above 2000 levels in the low scenario, 66 per cent above 2000 levels in the medium scenario and 57 per cent above 2000 levels in the high scenari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1.11 shows Australia’s historical and projected direct combustion emissions between 1990 and 2030. &#10;Australia’s direct combustion emissions increased between 1990 and 2012. Australia’s direct combustion emissions are projected to increase to 79 per cent above 2000 levels in 2030 in the no price scenario, 67 per cent above 2000 levels in the low scenario, 66 per cent above 2000 levels in the medium scenario and 57 per cent above 2000 levels in the high scenario.&#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7240" cy="2594880"/>
                    </a:xfrm>
                    <a:prstGeom prst="rect">
                      <a:avLst/>
                    </a:prstGeom>
                    <a:noFill/>
                    <a:ln>
                      <a:noFill/>
                    </a:ln>
                  </pic:spPr>
                </pic:pic>
              </a:graphicData>
            </a:graphic>
          </wp:inline>
        </w:drawing>
      </w:r>
      <w:r>
        <w:rPr>
          <w:rFonts w:ascii="Georgia" w:hAnsi="Georgia" w:cs="Helvetica"/>
          <w:color w:val="333333"/>
          <w:lang w:val="en"/>
        </w:rPr>
        <w:t> </w:t>
      </w:r>
      <w:r>
        <w:rPr>
          <w:rStyle w:val="Strong"/>
          <w:rFonts w:ascii="Georgia" w:hAnsi="Georgia" w:cs="Helvetica"/>
          <w:color w:val="333333"/>
          <w:lang w:val="en"/>
        </w:rPr>
        <w:t>Source:</w:t>
      </w:r>
      <w:r>
        <w:rPr>
          <w:rFonts w:ascii="Georgia" w:hAnsi="Georgia" w:cs="Helvetica"/>
          <w:color w:val="333333"/>
          <w:lang w:val="en"/>
        </w:rPr>
        <w:t xml:space="preserve"> Climate Chang</w:t>
      </w:r>
      <w:r>
        <w:rPr>
          <w:rFonts w:ascii="Georgia" w:hAnsi="Georgia" w:cs="Helvetica"/>
          <w:color w:val="333333"/>
          <w:lang w:val="en"/>
        </w:rPr>
        <w:t>e Authority calculations using results from Treasury and DIICCSRTE 2013</w:t>
      </w:r>
    </w:p>
    <w:p w:rsidR="00000000" w:rsidRDefault="009123E6">
      <w:pPr>
        <w:pStyle w:val="Heading5"/>
        <w:divId w:val="894126188"/>
        <w:rPr>
          <w:rFonts w:eastAsia="Times New Roman" w:cs="Helvetica"/>
          <w:color w:val="333333"/>
          <w:lang w:val="en"/>
        </w:rPr>
      </w:pPr>
      <w:r>
        <w:rPr>
          <w:rFonts w:eastAsia="Times New Roman" w:cs="Helvetica"/>
          <w:color w:val="333333"/>
          <w:lang w:val="en"/>
        </w:rPr>
        <w:lastRenderedPageBreak/>
        <w:t xml:space="preserve">Opportunities to reduce direct combustion emissions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With strong growth projected in energy resources extraction, emissions intensity improvements are unlikely to be enough to reduce o</w:t>
      </w:r>
      <w:r>
        <w:rPr>
          <w:rFonts w:ascii="Georgia" w:hAnsi="Georgia" w:cs="Helvetica"/>
          <w:color w:val="333333"/>
          <w:lang w:val="en"/>
        </w:rPr>
        <w:t>verall emissions from the sector. The Treasury and DIICCSRTE modelling suggests price incentives will have a relatively limited effect on direct combustion emissions; much of the growth relates to LNG exports under long-term supply contracts. Even under th</w:t>
      </w:r>
      <w:r>
        <w:rPr>
          <w:rFonts w:ascii="Georgia" w:hAnsi="Georgia" w:cs="Helvetica"/>
          <w:color w:val="333333"/>
          <w:lang w:val="en"/>
        </w:rPr>
        <w:t>e high scenario, the sector is expected to reduce emissions by only about 6 per cent (7 Mt CO</w:t>
      </w:r>
      <w:r>
        <w:rPr>
          <w:rFonts w:ascii="Georgia" w:hAnsi="Georgia" w:cs="Helvetica"/>
          <w:color w:val="333333"/>
          <w:sz w:val="18"/>
          <w:szCs w:val="18"/>
          <w:vertAlign w:val="subscript"/>
          <w:lang w:val="en"/>
        </w:rPr>
        <w:t>2</w:t>
      </w:r>
      <w:r>
        <w:rPr>
          <w:rFonts w:ascii="Georgia" w:hAnsi="Georgia" w:cs="Helvetica"/>
          <w:color w:val="333333"/>
          <w:lang w:val="en"/>
        </w:rPr>
        <w:t>-e) in 2020 and 12 per cent (17 Mt CO</w:t>
      </w:r>
      <w:r>
        <w:rPr>
          <w:rFonts w:ascii="Georgia" w:hAnsi="Georgia" w:cs="Helvetica"/>
          <w:color w:val="333333"/>
          <w:sz w:val="18"/>
          <w:szCs w:val="18"/>
          <w:vertAlign w:val="subscript"/>
          <w:lang w:val="en"/>
        </w:rPr>
        <w:t>2</w:t>
      </w:r>
      <w:r>
        <w:rPr>
          <w:rFonts w:ascii="Georgia" w:hAnsi="Georgia" w:cs="Helvetica"/>
          <w:color w:val="333333"/>
          <w:lang w:val="en"/>
        </w:rPr>
        <w:t>-e) in 2030, compared with a no price scenario.</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manufacturing and mining industries produce about three-quarters of dire</w:t>
      </w:r>
      <w:r>
        <w:rPr>
          <w:rFonts w:ascii="Georgia" w:hAnsi="Georgia" w:cs="Helvetica"/>
          <w:color w:val="333333"/>
          <w:lang w:val="en"/>
        </w:rPr>
        <w:t>ct combustion emissions. Mining activity is projected to grow, even with strong global action on climate change. Emissions reductions could come from improvements in emissions intensity, such as making gas turbines and machinery more efficient, or capturin</w:t>
      </w:r>
      <w:r>
        <w:rPr>
          <w:rFonts w:ascii="Georgia" w:hAnsi="Georgia" w:cs="Helvetica"/>
          <w:color w:val="333333"/>
          <w:lang w:val="en"/>
        </w:rPr>
        <w:t>g and using heat from gas turbine exhaust. With a price incentive, new investments could increasingly incorporate low-emissions technologies that could deliver greater emissions reductions in the longer term (Treasury and DIICCSRTE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growth in res</w:t>
      </w:r>
      <w:r>
        <w:rPr>
          <w:rFonts w:ascii="Georgia" w:hAnsi="Georgia" w:cs="Helvetica"/>
          <w:color w:val="333333"/>
          <w:lang w:val="en"/>
        </w:rPr>
        <w:t xml:space="preserve">idential and commercial direct combustion emissions, mainly from gas use, could be constrained through more efficient water and space heating appliances and more thermally efficient buildings. George </w:t>
      </w:r>
      <w:proofErr w:type="spellStart"/>
      <w:r>
        <w:rPr>
          <w:rFonts w:ascii="Georgia" w:hAnsi="Georgia" w:cs="Helvetica"/>
          <w:color w:val="333333"/>
          <w:lang w:val="en"/>
        </w:rPr>
        <w:t>Wilkenfeld</w:t>
      </w:r>
      <w:proofErr w:type="spellEnd"/>
      <w:r>
        <w:rPr>
          <w:rFonts w:ascii="Georgia" w:hAnsi="Georgia" w:cs="Helvetica"/>
          <w:color w:val="333333"/>
          <w:lang w:val="en"/>
        </w:rPr>
        <w:t xml:space="preserve"> &amp; Associates (2009) suggest that ongoing and </w:t>
      </w:r>
      <w:r>
        <w:rPr>
          <w:rFonts w:ascii="Georgia" w:hAnsi="Georgia" w:cs="Helvetica"/>
          <w:color w:val="333333"/>
          <w:lang w:val="en"/>
        </w:rPr>
        <w:t>expanded mandatory efficiency standards for buildings and gas appliances, such as water heaters, could reduce cumulative emissions from residential gas use by 4.5 Mt CO</w:t>
      </w:r>
      <w:r>
        <w:rPr>
          <w:rFonts w:ascii="Georgia" w:hAnsi="Georgia" w:cs="Helvetica"/>
          <w:color w:val="333333"/>
          <w:sz w:val="18"/>
          <w:szCs w:val="18"/>
          <w:vertAlign w:val="subscript"/>
          <w:lang w:val="en"/>
        </w:rPr>
        <w:t>2</w:t>
      </w:r>
      <w:r>
        <w:rPr>
          <w:rFonts w:ascii="Georgia" w:hAnsi="Georgia" w:cs="Helvetica"/>
          <w:color w:val="333333"/>
          <w:lang w:val="en"/>
        </w:rPr>
        <w:t>-e between 2000 and 2020, though households shifting from electric to gas appliances ma</w:t>
      </w:r>
      <w:r>
        <w:rPr>
          <w:rFonts w:ascii="Georgia" w:hAnsi="Georgia" w:cs="Helvetica"/>
          <w:color w:val="333333"/>
          <w:lang w:val="en"/>
        </w:rPr>
        <w:t xml:space="preserve">y offset these emission reductions.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Beyond efficiency improvements, the main opportunity to reduce direct combustion emissions could be to substitute alternative lower emissions energy sources, such as biofuels. If the emissions intensity of electricity g</w:t>
      </w:r>
      <w:r>
        <w:rPr>
          <w:rFonts w:ascii="Georgia" w:hAnsi="Georgia" w:cs="Helvetica"/>
          <w:color w:val="333333"/>
          <w:lang w:val="en"/>
        </w:rPr>
        <w:t>eneration falls, as projected with incentives in place, then moving from direct fuel combustion to electricity could, in the medium to longer term, significantly reduce emissions from residential, commercial and industrial consumers.</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Challenges to reducing</w:t>
      </w:r>
      <w:r>
        <w:rPr>
          <w:rFonts w:eastAsia="Times New Roman" w:cs="Helvetica"/>
          <w:color w:val="333333"/>
          <w:lang w:val="en"/>
        </w:rPr>
        <w:t xml:space="preserve"> direct combustion emissions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challenges to reducing emissions from direct combustion include:</w:t>
      </w:r>
    </w:p>
    <w:p w:rsidR="00000000" w:rsidRDefault="009123E6">
      <w:pPr>
        <w:numPr>
          <w:ilvl w:val="0"/>
          <w:numId w:val="13"/>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long-term energy supply contracts in the LNG industry</w:t>
      </w:r>
    </w:p>
    <w:p w:rsidR="00000000" w:rsidRDefault="009123E6">
      <w:pPr>
        <w:numPr>
          <w:ilvl w:val="0"/>
          <w:numId w:val="13"/>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investments in long-lived, high-value assets, including plant, equipment and buildings</w:t>
      </w:r>
    </w:p>
    <w:p w:rsidR="00000000" w:rsidRDefault="009123E6">
      <w:pPr>
        <w:numPr>
          <w:ilvl w:val="0"/>
          <w:numId w:val="13"/>
        </w:numPr>
        <w:spacing w:before="100" w:beforeAutospacing="1" w:after="100" w:afterAutospacing="1" w:line="300" w:lineRule="atLeast"/>
        <w:ind w:left="375"/>
        <w:divId w:val="894126188"/>
        <w:rPr>
          <w:rFonts w:ascii="Georgia" w:eastAsia="Times New Roman" w:hAnsi="Georgia" w:cs="Helvetica"/>
          <w:color w:val="333333"/>
          <w:lang w:val="en"/>
        </w:rPr>
      </w:pPr>
      <w:proofErr w:type="gramStart"/>
      <w:r>
        <w:rPr>
          <w:rFonts w:ascii="Georgia" w:eastAsia="Times New Roman" w:hAnsi="Georgia" w:cs="Helvetica"/>
          <w:color w:val="333333"/>
          <w:lang w:val="en"/>
        </w:rPr>
        <w:t>barriers</w:t>
      </w:r>
      <w:proofErr w:type="gramEnd"/>
      <w:r>
        <w:rPr>
          <w:rFonts w:ascii="Georgia" w:eastAsia="Times New Roman" w:hAnsi="Georgia" w:cs="Helvetica"/>
          <w:color w:val="333333"/>
          <w:lang w:val="en"/>
        </w:rPr>
        <w:t xml:space="preserve"> to the </w:t>
      </w:r>
      <w:r>
        <w:rPr>
          <w:rFonts w:ascii="Georgia" w:eastAsia="Times New Roman" w:hAnsi="Georgia" w:cs="Helvetica"/>
          <w:color w:val="333333"/>
          <w:lang w:val="en"/>
        </w:rPr>
        <w:t>take-up of energy efficiency, including lack of information on energy consumption and split or perverse incentives for investing in energy efficiency. Standards for gas appliances and buildings, and information provision, have been used to help overcome th</w:t>
      </w:r>
      <w:r>
        <w:rPr>
          <w:rFonts w:ascii="Georgia" w:eastAsia="Times New Roman" w:hAnsi="Georgia" w:cs="Helvetica"/>
          <w:color w:val="333333"/>
          <w:lang w:val="en"/>
        </w:rPr>
        <w:t>ese non-price barriers.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 detailed analysis of progress in reducing direct combustion emissions is presented in Appendix D5.</w:t>
      </w:r>
    </w:p>
    <w:p w:rsidR="00000000" w:rsidRDefault="009123E6">
      <w:pPr>
        <w:pStyle w:val="Heading3"/>
        <w:divId w:val="894126188"/>
        <w:rPr>
          <w:rFonts w:eastAsia="Times New Roman" w:cs="Helvetica"/>
          <w:color w:val="333333"/>
          <w:lang w:val="en"/>
        </w:rPr>
      </w:pPr>
      <w:r>
        <w:rPr>
          <w:rFonts w:eastAsia="Times New Roman" w:cs="Helvetica"/>
          <w:color w:val="333333"/>
          <w:lang w:val="en"/>
        </w:rPr>
        <w:lastRenderedPageBreak/>
        <w:t>11.4.4 Fugitives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Fugitive emissions are greenhouse gases emitted during the extraction, production, processing, storage, transmission and distribution of fossil fuels such as coal, oil and gas. Fugitive emissions accounted for 8 per cent of national emissions in 2012 (Trea</w:t>
      </w:r>
      <w:r>
        <w:rPr>
          <w:rFonts w:ascii="Georgia" w:hAnsi="Georgia" w:cs="Helvetica"/>
          <w:color w:val="333333"/>
          <w:lang w:val="en"/>
        </w:rPr>
        <w:t>sury and DIICCSRTE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Without price incentives, fugitive emissions could rise rapidly, driven largely by strong export demand for LNG and coal (Figure 11.12). Substantial emissions reduction opportunities exist, however. In the modelled scenarios, the fugitive sector is project</w:t>
      </w:r>
      <w:r>
        <w:rPr>
          <w:rFonts w:ascii="Georgia" w:hAnsi="Georgia" w:cs="Helvetica"/>
          <w:color w:val="333333"/>
          <w:lang w:val="en"/>
        </w:rPr>
        <w:t xml:space="preserve">ed to be the second largest source of emissions reductions over the period to 2030, providing 15–24 per cent of total expected emissions reductions, relative to the no price scenario (Treasury and DIICCSRTE 2013). </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Figure 11.12: Fugitive emissions, histori</w:t>
      </w:r>
      <w:r>
        <w:rPr>
          <w:rFonts w:eastAsia="Times New Roman" w:cs="Helvetica"/>
          <w:color w:val="333333"/>
          <w:lang w:val="en"/>
        </w:rPr>
        <w:t>cal and projected, 1990–2030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07240" cy="2091240"/>
            <wp:effectExtent l="0" t="0" r="0" b="0"/>
            <wp:docPr id="12" name="Picture 12" descr="Figure 11.12 shows Australia’s historical and projected fugitive emissions between 1990 and 2030.&#10;Australia’s fugitive emissions increased between 1990 and 2012. The figure shows Australia’s fugitive emissions are projected to increase to 144 per cent above 2000 levels by 2030 in the no price scenario, 68 per cent above 2000 levels in the low scenario, 64 per cent above 2000 levels in the medium scenario and 21 per cent above 2000 levels in the high scenari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1.12 shows Australia’s historical and projected fugitive emissions between 1990 and 2030.&#10;Australia’s fugitive emissions increased between 1990 and 2012. The figure shows Australia’s fugitive emissions are projected to increase to 144 per cent above 2000 levels by 2030 in the no price scenario, 68 per cent above 2000 levels in the low scenario, 64 per cent above 2000 levels in the medium scenario and 21 per cent above 2000 levels in the high scenario.&#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7240" cy="2091240"/>
                    </a:xfrm>
                    <a:prstGeom prst="rect">
                      <a:avLst/>
                    </a:prstGeom>
                    <a:noFill/>
                    <a:ln>
                      <a:noFill/>
                    </a:ln>
                  </pic:spPr>
                </pic:pic>
              </a:graphicData>
            </a:graphic>
          </wp:inline>
        </w:drawing>
      </w:r>
      <w:r>
        <w:rPr>
          <w:rFonts w:ascii="Georgia" w:hAnsi="Georgia" w:cs="Helvetica"/>
          <w:color w:val="333333"/>
          <w:lang w:val="en"/>
        </w:rPr>
        <w:t> </w:t>
      </w:r>
    </w:p>
    <w:p w:rsidR="00000000" w:rsidRDefault="009123E6">
      <w:pPr>
        <w:pStyle w:val="NormalWeb"/>
        <w:spacing w:line="300" w:lineRule="atLeast"/>
        <w:divId w:val="894126188"/>
        <w:rPr>
          <w:rFonts w:ascii="Georgia" w:hAnsi="Georgia" w:cs="Helvetica"/>
          <w:color w:val="333333"/>
          <w:lang w:val="en"/>
        </w:rPr>
      </w:pPr>
      <w:r>
        <w:rPr>
          <w:rStyle w:val="Strong"/>
          <w:rFonts w:ascii="Georgia" w:hAnsi="Georgia" w:cs="Helvetica"/>
          <w:color w:val="333333"/>
          <w:lang w:val="en"/>
        </w:rPr>
        <w:t>Source:</w:t>
      </w:r>
      <w:r>
        <w:rPr>
          <w:rFonts w:ascii="Georgia" w:hAnsi="Georgia" w:cs="Helvetica"/>
          <w:color w:val="333333"/>
          <w:lang w:val="en"/>
        </w:rPr>
        <w:t xml:space="preserve"> Climate Change Authority calculations using results from Tr</w:t>
      </w:r>
      <w:r>
        <w:rPr>
          <w:rFonts w:ascii="Georgia" w:hAnsi="Georgia" w:cs="Helvetica"/>
          <w:color w:val="333333"/>
          <w:lang w:val="en"/>
        </w:rPr>
        <w:t>easury and DIICCSRTE 2013</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 xml:space="preserve">Opportunities to reduce fugitive emissions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In the no price scenario, fugitive emissions could more than double, from 48 Mt CO</w:t>
      </w:r>
      <w:r>
        <w:rPr>
          <w:rFonts w:ascii="Georgia" w:hAnsi="Georgia" w:cs="Helvetica"/>
          <w:color w:val="333333"/>
          <w:sz w:val="18"/>
          <w:szCs w:val="18"/>
          <w:vertAlign w:val="subscript"/>
          <w:lang w:val="en"/>
        </w:rPr>
        <w:t>2</w:t>
      </w:r>
      <w:r>
        <w:rPr>
          <w:rFonts w:ascii="Georgia" w:hAnsi="Georgia" w:cs="Helvetica"/>
          <w:color w:val="333333"/>
          <w:lang w:val="en"/>
        </w:rPr>
        <w:t>-e in 2012 to 100 Mt CO</w:t>
      </w:r>
      <w:r>
        <w:rPr>
          <w:rFonts w:ascii="Georgia" w:hAnsi="Georgia" w:cs="Helvetica"/>
          <w:color w:val="333333"/>
          <w:sz w:val="18"/>
          <w:szCs w:val="18"/>
          <w:vertAlign w:val="subscript"/>
          <w:lang w:val="en"/>
        </w:rPr>
        <w:t>2</w:t>
      </w:r>
      <w:r>
        <w:rPr>
          <w:rFonts w:ascii="Georgia" w:hAnsi="Georgia" w:cs="Helvetica"/>
          <w:color w:val="333333"/>
          <w:lang w:val="en"/>
        </w:rPr>
        <w:t>-e in 2030. In low and high scenarios, the modelling shows that the fugitives sector could reduce emissions by 8 and 21 Mt CO</w:t>
      </w:r>
      <w:r>
        <w:rPr>
          <w:rFonts w:ascii="Georgia" w:hAnsi="Georgia" w:cs="Helvetica"/>
          <w:color w:val="333333"/>
          <w:sz w:val="18"/>
          <w:szCs w:val="18"/>
          <w:vertAlign w:val="subscript"/>
          <w:lang w:val="en"/>
        </w:rPr>
        <w:t>2</w:t>
      </w:r>
      <w:r>
        <w:rPr>
          <w:rFonts w:ascii="Georgia" w:hAnsi="Georgia" w:cs="Helvetica"/>
          <w:color w:val="333333"/>
          <w:lang w:val="en"/>
        </w:rPr>
        <w:t>-e in 2020, respectively, compared to the no price scenario. In 2030, the fugitives sector could contribute between 31 and 51 Mt C</w:t>
      </w:r>
      <w:r>
        <w:rPr>
          <w:rFonts w:ascii="Georgia" w:hAnsi="Georgia" w:cs="Helvetica"/>
          <w:color w:val="333333"/>
          <w:lang w:val="en"/>
        </w:rPr>
        <w:t>O</w:t>
      </w:r>
      <w:r>
        <w:rPr>
          <w:rFonts w:ascii="Georgia" w:hAnsi="Georgia" w:cs="Helvetica"/>
          <w:color w:val="333333"/>
          <w:sz w:val="18"/>
          <w:szCs w:val="18"/>
          <w:vertAlign w:val="subscript"/>
          <w:lang w:val="en"/>
        </w:rPr>
        <w:t>2</w:t>
      </w:r>
      <w:r>
        <w:rPr>
          <w:rFonts w:ascii="Georgia" w:hAnsi="Georgia" w:cs="Helvetica"/>
          <w:color w:val="333333"/>
          <w:lang w:val="en"/>
        </w:rPr>
        <w:t>-e emissions reductions.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Despite increased coal and gas production, improvements in emissions intensity could result in fugitive emissions approaching current levels by 2030. Coal mines are responsible for about three-quarters of fugitive emissions; a nu</w:t>
      </w:r>
      <w:r>
        <w:rPr>
          <w:rFonts w:ascii="Georgia" w:hAnsi="Georgia" w:cs="Helvetica"/>
          <w:color w:val="333333"/>
          <w:lang w:val="en"/>
        </w:rPr>
        <w:t xml:space="preserve">mber of technologies are available to reduce emissions, including pre-draining to capture methane (which is a mature technology) and the </w:t>
      </w:r>
      <w:proofErr w:type="spellStart"/>
      <w:r>
        <w:rPr>
          <w:rFonts w:ascii="Georgia" w:hAnsi="Georgia" w:cs="Helvetica"/>
          <w:color w:val="333333"/>
          <w:lang w:val="en"/>
        </w:rPr>
        <w:t>oxidisation</w:t>
      </w:r>
      <w:proofErr w:type="spellEnd"/>
      <w:r>
        <w:rPr>
          <w:rFonts w:ascii="Georgia" w:hAnsi="Georgia" w:cs="Helvetica"/>
          <w:color w:val="333333"/>
          <w:lang w:val="en"/>
        </w:rPr>
        <w:t xml:space="preserve"> of ventilation air methane (which is at an early stage of development). With incentives, these technologies</w:t>
      </w:r>
      <w:r>
        <w:rPr>
          <w:rFonts w:ascii="Georgia" w:hAnsi="Georgia" w:cs="Helvetica"/>
          <w:color w:val="333333"/>
          <w:lang w:val="en"/>
        </w:rPr>
        <w:t xml:space="preserve"> may be increasingly </w:t>
      </w:r>
      <w:r>
        <w:rPr>
          <w:rFonts w:ascii="Georgia" w:hAnsi="Georgia" w:cs="Helvetica"/>
          <w:color w:val="333333"/>
          <w:lang w:val="en"/>
        </w:rPr>
        <w:lastRenderedPageBreak/>
        <w:t>deployed after 2020 (</w:t>
      </w:r>
      <w:proofErr w:type="spellStart"/>
      <w:r>
        <w:rPr>
          <w:rFonts w:ascii="Georgia" w:hAnsi="Georgia" w:cs="Helvetica"/>
          <w:color w:val="333333"/>
          <w:lang w:val="en"/>
        </w:rPr>
        <w:t>ClimateWorks</w:t>
      </w:r>
      <w:proofErr w:type="spellEnd"/>
      <w:r>
        <w:rPr>
          <w:rFonts w:ascii="Georgia" w:hAnsi="Georgia" w:cs="Helvetica"/>
          <w:color w:val="333333"/>
          <w:lang w:val="en"/>
        </w:rPr>
        <w:t xml:space="preserve"> 2013a). In the short term, a price incentive to reduce emissions could encourage the relative expansion of lower emissions mines. It could also drive the deployment of additional pre- and post-mine dra</w:t>
      </w:r>
      <w:r>
        <w:rPr>
          <w:rFonts w:ascii="Georgia" w:hAnsi="Georgia" w:cs="Helvetica"/>
          <w:color w:val="333333"/>
          <w:lang w:val="en"/>
        </w:rPr>
        <w:t xml:space="preserve">inage, where gas could either be flared or used to generate electricity.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CCS in the oil and gas sectors could significantly reduce fugitive emissions, though it is not widespread today. The IEA (2013b) highlights this potential at a global scale. The Gorg</w:t>
      </w:r>
      <w:r>
        <w:rPr>
          <w:rFonts w:ascii="Georgia" w:hAnsi="Georgia" w:cs="Helvetica"/>
          <w:color w:val="333333"/>
          <w:lang w:val="en"/>
        </w:rPr>
        <w:t>on LNG project in Western Australia is expected to capture and inject at least 3 Mt of CO</w:t>
      </w:r>
      <w:r>
        <w:rPr>
          <w:rFonts w:ascii="Georgia" w:hAnsi="Georgia" w:cs="Helvetica"/>
          <w:color w:val="333333"/>
          <w:sz w:val="18"/>
          <w:szCs w:val="18"/>
          <w:vertAlign w:val="subscript"/>
          <w:lang w:val="en"/>
        </w:rPr>
        <w:t>2</w:t>
      </w:r>
      <w:r>
        <w:rPr>
          <w:rFonts w:ascii="Georgia" w:hAnsi="Georgia" w:cs="Helvetica"/>
          <w:color w:val="333333"/>
          <w:lang w:val="en"/>
        </w:rPr>
        <w:t xml:space="preserve"> annually by 2015 (Chevron 2013). Incentives may encourage deployment of CCS technologies in new projects near geologically suitable injection sites. Recently announc</w:t>
      </w:r>
      <w:r>
        <w:rPr>
          <w:rFonts w:ascii="Georgia" w:hAnsi="Georgia" w:cs="Helvetica"/>
          <w:color w:val="333333"/>
          <w:lang w:val="en"/>
        </w:rPr>
        <w:t xml:space="preserve">ed Queensland LNG projects are not expected to use CCS.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Other opportunities to reduce fugitive emissions in the natural gas industry may include equipment changes and upgrades, changes in operational practices, and direct inspection and maintenance (US EP</w:t>
      </w:r>
      <w:r>
        <w:rPr>
          <w:rFonts w:ascii="Georgia" w:hAnsi="Georgia" w:cs="Helvetica"/>
          <w:color w:val="333333"/>
          <w:lang w:val="en"/>
        </w:rPr>
        <w:t xml:space="preserve">A 2006). </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Challenges to reducing fugitive emissions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There is strong growth in LNG and coal production, which could outstrip improvements in emissions intensity. Australia’s LNG exports </w:t>
      </w:r>
      <w:proofErr w:type="spellStart"/>
      <w:r>
        <w:rPr>
          <w:rFonts w:ascii="Georgia" w:hAnsi="Georgia" w:cs="Helvetica"/>
          <w:color w:val="333333"/>
          <w:lang w:val="en"/>
        </w:rPr>
        <w:t>totalled</w:t>
      </w:r>
      <w:proofErr w:type="spellEnd"/>
      <w:r>
        <w:rPr>
          <w:rFonts w:ascii="Georgia" w:hAnsi="Georgia" w:cs="Helvetica"/>
          <w:color w:val="333333"/>
          <w:lang w:val="en"/>
        </w:rPr>
        <w:t xml:space="preserve"> 24 million </w:t>
      </w:r>
      <w:proofErr w:type="spellStart"/>
      <w:r>
        <w:rPr>
          <w:rFonts w:ascii="Georgia" w:hAnsi="Georgia" w:cs="Helvetica"/>
          <w:color w:val="333333"/>
          <w:lang w:val="en"/>
        </w:rPr>
        <w:t>tonnes</w:t>
      </w:r>
      <w:proofErr w:type="spellEnd"/>
      <w:r>
        <w:rPr>
          <w:rFonts w:ascii="Georgia" w:hAnsi="Georgia" w:cs="Helvetica"/>
          <w:color w:val="333333"/>
          <w:lang w:val="en"/>
        </w:rPr>
        <w:t xml:space="preserve"> in 2012 (BREE 2013b), and there are over 15 </w:t>
      </w:r>
      <w:r>
        <w:rPr>
          <w:rFonts w:ascii="Georgia" w:hAnsi="Georgia" w:cs="Helvetica"/>
          <w:color w:val="333333"/>
          <w:lang w:val="en"/>
        </w:rPr>
        <w:t>projects in operation, under construction or at initial stages, with a combined annual production capacity around five times that (BREE 2013a). Coal exports are also projected to grow (BREE 2012b).</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Technologies to reduce emissions remain an additional cost</w:t>
      </w:r>
      <w:r>
        <w:rPr>
          <w:rFonts w:ascii="Georgia" w:hAnsi="Georgia" w:cs="Helvetica"/>
          <w:color w:val="333333"/>
          <w:lang w:val="en"/>
        </w:rPr>
        <w:t xml:space="preserve"> for coal, oil and gas producers, compared to conventional production. Their uptake can be accelerated by policies or price incentives.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 detailed analysis of progress in reducing fugitive emissions is presented in Appendix D6.</w:t>
      </w:r>
    </w:p>
    <w:p w:rsidR="00000000" w:rsidRDefault="009123E6">
      <w:pPr>
        <w:pStyle w:val="Heading3"/>
        <w:divId w:val="894126188"/>
        <w:rPr>
          <w:rFonts w:eastAsia="Times New Roman" w:cs="Helvetica"/>
          <w:color w:val="333333"/>
          <w:lang w:val="en"/>
        </w:rPr>
      </w:pPr>
      <w:r>
        <w:rPr>
          <w:rFonts w:eastAsia="Times New Roman" w:cs="Helvetica"/>
          <w:color w:val="333333"/>
          <w:lang w:val="en"/>
        </w:rPr>
        <w:t>11.4.5 Industrial processes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The main sources of industrial process emissions are metal production, such as iron, steel and </w:t>
      </w:r>
      <w:proofErr w:type="spellStart"/>
      <w:r>
        <w:rPr>
          <w:rFonts w:ascii="Georgia" w:hAnsi="Georgia" w:cs="Helvetica"/>
          <w:color w:val="333333"/>
          <w:lang w:val="en"/>
        </w:rPr>
        <w:t>aluminium</w:t>
      </w:r>
      <w:proofErr w:type="spellEnd"/>
      <w:r>
        <w:rPr>
          <w:rFonts w:ascii="Georgia" w:hAnsi="Georgia" w:cs="Helvetica"/>
          <w:color w:val="333333"/>
          <w:lang w:val="en"/>
        </w:rPr>
        <w:t xml:space="preserve">; synthetic greenhouse gases, such as those used for refrigeration and as propellants; chemical processes in </w:t>
      </w:r>
      <w:proofErr w:type="spellStart"/>
      <w:r>
        <w:rPr>
          <w:rFonts w:ascii="Georgia" w:hAnsi="Georgia" w:cs="Helvetica"/>
          <w:color w:val="333333"/>
          <w:lang w:val="en"/>
        </w:rPr>
        <w:t>fertiliser</w:t>
      </w:r>
      <w:proofErr w:type="spellEnd"/>
      <w:r>
        <w:rPr>
          <w:rFonts w:ascii="Georgia" w:hAnsi="Georgia" w:cs="Helvetica"/>
          <w:color w:val="333333"/>
          <w:lang w:val="en"/>
        </w:rPr>
        <w:t xml:space="preserve"> and explosives manufacturing; an</w:t>
      </w:r>
      <w:r>
        <w:rPr>
          <w:rFonts w:ascii="Georgia" w:hAnsi="Georgia" w:cs="Helvetica"/>
          <w:color w:val="333333"/>
          <w:lang w:val="en"/>
        </w:rPr>
        <w:t>d mineral production, particularly cement and lime products.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Industrial process emissions exclude energy-related emissions such as those from burning fossil fuels for heat, steam or pressure. Emissions from industrial processes accounted for 5 per cent of </w:t>
      </w:r>
      <w:r>
        <w:rPr>
          <w:rFonts w:ascii="Georgia" w:hAnsi="Georgia" w:cs="Helvetica"/>
          <w:color w:val="333333"/>
          <w:lang w:val="en"/>
        </w:rPr>
        <w:t>Australia’s emissions in 2012 (Treasury and DIICCSRTE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In the no price scenario, industrial process emissions are projected to rise (Figure 11.13). With a price incentive, emissions decrease below 2000 levels by 2030. In scenarios with a price incent</w:t>
      </w:r>
      <w:r>
        <w:rPr>
          <w:rFonts w:ascii="Georgia" w:hAnsi="Georgia" w:cs="Helvetica"/>
          <w:color w:val="333333"/>
          <w:lang w:val="en"/>
        </w:rPr>
        <w:t>ive, industrial processes contribute a proportionally large share of domestic emissions reductions by adopting readily available and relatively low-cost, low-emissions substitutes, technologies and process improvements.</w:t>
      </w:r>
    </w:p>
    <w:p w:rsidR="00000000" w:rsidRDefault="009123E6">
      <w:pPr>
        <w:pStyle w:val="Heading2"/>
        <w:divId w:val="894126188"/>
        <w:rPr>
          <w:rFonts w:eastAsia="Times New Roman" w:cs="Helvetica"/>
          <w:color w:val="333333"/>
          <w:lang w:val="en"/>
        </w:rPr>
      </w:pPr>
      <w:r>
        <w:rPr>
          <w:rFonts w:eastAsia="Times New Roman" w:cs="Helvetica"/>
          <w:color w:val="333333"/>
          <w:lang w:val="en"/>
        </w:rPr>
        <w:lastRenderedPageBreak/>
        <w:t>Figure 11.13: Industrial process emi</w:t>
      </w:r>
      <w:r>
        <w:rPr>
          <w:rFonts w:eastAsia="Times New Roman" w:cs="Helvetica"/>
          <w:color w:val="333333"/>
          <w:lang w:val="en"/>
        </w:rPr>
        <w:t>ssions, historical and projected, 1990–2030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07240" cy="2053080"/>
            <wp:effectExtent l="0" t="0" r="0" b="0"/>
            <wp:docPr id="13" name="Picture 13" descr="Figure 11.13 shows Australia’s historical and projected industrial process emissions between 1990 and 2030. &#10;Australia’s industrial process emissions increased between 1990 and 2012. Australia’s industrial process emissions are projected to increase to 73 per cent above 2000 levels in 2030 in the no price scenario and fall to 7 per cent below 2000 levels in the low scenario, 14 per cent below 2000 levels in the medium scenario and 58 per cent below 2000 levels in the high scenari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11.13 shows Australia’s historical and projected industrial process emissions between 1990 and 2030. &#10;Australia’s industrial process emissions increased between 1990 and 2012. Australia’s industrial process emissions are projected to increase to 73 per cent above 2000 levels in 2030 in the no price scenario and fall to 7 per cent below 2000 levels in the low scenario, 14 per cent below 2000 levels in the medium scenario and 58 per cent below 2000 levels in the high scenario.&#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7240" cy="2053080"/>
                    </a:xfrm>
                    <a:prstGeom prst="rect">
                      <a:avLst/>
                    </a:prstGeom>
                    <a:noFill/>
                    <a:ln>
                      <a:noFill/>
                    </a:ln>
                  </pic:spPr>
                </pic:pic>
              </a:graphicData>
            </a:graphic>
          </wp:inline>
        </w:drawing>
      </w:r>
      <w:r>
        <w:rPr>
          <w:rFonts w:ascii="Georgia" w:hAnsi="Georgia" w:cs="Helvetica"/>
          <w:color w:val="333333"/>
          <w:lang w:val="en"/>
        </w:rPr>
        <w:t> </w:t>
      </w:r>
      <w:r>
        <w:rPr>
          <w:rStyle w:val="Strong"/>
          <w:rFonts w:ascii="Georgia" w:hAnsi="Georgia" w:cs="Helvetica"/>
          <w:color w:val="333333"/>
          <w:lang w:val="en"/>
        </w:rPr>
        <w:t>Source:</w:t>
      </w:r>
      <w:r>
        <w:rPr>
          <w:rFonts w:ascii="Georgia" w:hAnsi="Georgia" w:cs="Helvetica"/>
          <w:color w:val="333333"/>
          <w:lang w:val="en"/>
        </w:rPr>
        <w:t xml:space="preserve"> </w:t>
      </w:r>
      <w:r>
        <w:rPr>
          <w:rFonts w:ascii="Georgia" w:hAnsi="Georgia" w:cs="Helvetica"/>
          <w:color w:val="333333"/>
          <w:lang w:val="en"/>
        </w:rPr>
        <w:t>Climate Change Authority calculations using results from Treasury and DIICCSRTE 2013</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Opportunities to reduce industrial process emissions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industrial processes sector could reduce 2020 emissions by between 5 and 16 Mt CO</w:t>
      </w:r>
      <w:r>
        <w:rPr>
          <w:rFonts w:ascii="Georgia" w:hAnsi="Georgia" w:cs="Helvetica"/>
          <w:color w:val="333333"/>
          <w:sz w:val="18"/>
          <w:szCs w:val="18"/>
          <w:vertAlign w:val="subscript"/>
          <w:lang w:val="en"/>
        </w:rPr>
        <w:t>2</w:t>
      </w:r>
      <w:r>
        <w:rPr>
          <w:rFonts w:ascii="Georgia" w:hAnsi="Georgia" w:cs="Helvetica"/>
          <w:color w:val="333333"/>
          <w:lang w:val="en"/>
        </w:rPr>
        <w:t>-e, compared with the no price s</w:t>
      </w:r>
      <w:r>
        <w:rPr>
          <w:rFonts w:ascii="Georgia" w:hAnsi="Georgia" w:cs="Helvetica"/>
          <w:color w:val="333333"/>
          <w:lang w:val="en"/>
        </w:rPr>
        <w:t>cenario (Treasury and DIICCSRTE 2013). Emissions reductions opportunities are projected to be even greater—up to 34 Mt CO</w:t>
      </w:r>
      <w:r>
        <w:rPr>
          <w:rFonts w:ascii="Georgia" w:hAnsi="Georgia" w:cs="Helvetica"/>
          <w:color w:val="333333"/>
          <w:sz w:val="18"/>
          <w:szCs w:val="18"/>
          <w:vertAlign w:val="subscript"/>
          <w:lang w:val="en"/>
        </w:rPr>
        <w:t>2</w:t>
      </w:r>
      <w:r>
        <w:rPr>
          <w:rFonts w:ascii="Georgia" w:hAnsi="Georgia" w:cs="Helvetica"/>
          <w:color w:val="333333"/>
          <w:lang w:val="en"/>
        </w:rPr>
        <w:t>-e—in 2030, which is 75 per cent lower than the no price scenario.</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Almost half of the estimated emissions reductions in the industrial</w:t>
      </w:r>
      <w:r>
        <w:rPr>
          <w:rFonts w:ascii="Georgia" w:hAnsi="Georgia" w:cs="Helvetica"/>
          <w:color w:val="333333"/>
          <w:lang w:val="en"/>
        </w:rPr>
        <w:t xml:space="preserve"> processes sector in 2020 and 2030 could be delivered by nitrous oxide conversion catalysts for nitric acid production. This technology was deployed by Orica in 2012, and has been </w:t>
      </w:r>
      <w:proofErr w:type="spellStart"/>
      <w:r>
        <w:rPr>
          <w:rFonts w:ascii="Georgia" w:hAnsi="Georgia" w:cs="Helvetica"/>
          <w:color w:val="333333"/>
          <w:lang w:val="en"/>
        </w:rPr>
        <w:t>trialled</w:t>
      </w:r>
      <w:proofErr w:type="spellEnd"/>
      <w:r>
        <w:rPr>
          <w:rFonts w:ascii="Georgia" w:hAnsi="Georgia" w:cs="Helvetica"/>
          <w:color w:val="333333"/>
          <w:lang w:val="en"/>
        </w:rPr>
        <w:t xml:space="preserve"> by Wesfarmers since 2011; Wesfarmers (2013) reported that it has re</w:t>
      </w:r>
      <w:r>
        <w:rPr>
          <w:rFonts w:ascii="Georgia" w:hAnsi="Georgia" w:cs="Helvetica"/>
          <w:color w:val="333333"/>
          <w:lang w:val="en"/>
        </w:rPr>
        <w:t xml:space="preserve">duced nitrous oxide emissions by an average of 85 per cent. </w:t>
      </w:r>
      <w:proofErr w:type="spellStart"/>
      <w:r>
        <w:rPr>
          <w:rFonts w:ascii="Georgia" w:hAnsi="Georgia" w:cs="Helvetica"/>
          <w:color w:val="333333"/>
          <w:lang w:val="en"/>
        </w:rPr>
        <w:t>ClimateWorks</w:t>
      </w:r>
      <w:proofErr w:type="spellEnd"/>
      <w:r>
        <w:rPr>
          <w:rFonts w:ascii="Georgia" w:hAnsi="Georgia" w:cs="Helvetica"/>
          <w:color w:val="333333"/>
          <w:lang w:val="en"/>
        </w:rPr>
        <w:t xml:space="preserve"> (2013a) estimates that if this technology is taken up more widely it could reduce the emissions intensity of the nitric acid production process by 44 per cent in 2020 compared with to</w:t>
      </w:r>
      <w:r>
        <w:rPr>
          <w:rFonts w:ascii="Georgia" w:hAnsi="Georgia" w:cs="Helvetica"/>
          <w:color w:val="333333"/>
          <w:lang w:val="en"/>
        </w:rPr>
        <w:t>day. The regulation of nitric acid plants, including state-based environmental guidelines, is helping to reduce emissions in this sector.</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other significant emissions reduction opportunity is the destruction and replacement of synthetic greenhouse gases</w:t>
      </w:r>
      <w:r>
        <w:rPr>
          <w:rFonts w:ascii="Georgia" w:hAnsi="Georgia" w:cs="Helvetica"/>
          <w:color w:val="333333"/>
          <w:lang w:val="en"/>
        </w:rPr>
        <w:t>. These gases are used mainly in refrigeration and accounted for about 27 per cent of industrial process emissions in 2012. Synthetic greenhouse gases may be superseded by alternative gases that have low to zero global warming potential. The rate of recove</w:t>
      </w:r>
      <w:r>
        <w:rPr>
          <w:rFonts w:ascii="Georgia" w:hAnsi="Georgia" w:cs="Helvetica"/>
          <w:color w:val="333333"/>
          <w:lang w:val="en"/>
        </w:rPr>
        <w:t>ry and destruction of these gases, and the associated emission reductions, will depend largely on incentives in place. The rate of recovery is likely to slow following the government’s decision to not provide additional financial support, beyond 30 June 20</w:t>
      </w:r>
      <w:r>
        <w:rPr>
          <w:rFonts w:ascii="Georgia" w:hAnsi="Georgia" w:cs="Helvetica"/>
          <w:color w:val="333333"/>
          <w:lang w:val="en"/>
        </w:rPr>
        <w:t xml:space="preserve">14, to the existing industry-funded and industry-operated destruction incentives program for waste synthetic greenhouse gases and ozone-depleting substances (DoE 2013).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In the longer term, CCS could significantly reduce industrial process emissions. The I</w:t>
      </w:r>
      <w:r>
        <w:rPr>
          <w:rFonts w:ascii="Georgia" w:hAnsi="Georgia" w:cs="Helvetica"/>
          <w:color w:val="333333"/>
          <w:lang w:val="en"/>
        </w:rPr>
        <w:t xml:space="preserve">nternational Energy Agency (IEA 2013b) suggests that by </w:t>
      </w:r>
      <w:proofErr w:type="spellStart"/>
      <w:r>
        <w:rPr>
          <w:rFonts w:ascii="Georgia" w:hAnsi="Georgia" w:cs="Helvetica"/>
          <w:color w:val="333333"/>
          <w:lang w:val="en"/>
        </w:rPr>
        <w:t>mid century</w:t>
      </w:r>
      <w:proofErr w:type="spellEnd"/>
      <w:r>
        <w:rPr>
          <w:rFonts w:ascii="Georgia" w:hAnsi="Georgia" w:cs="Helvetica"/>
          <w:color w:val="333333"/>
          <w:lang w:val="en"/>
        </w:rPr>
        <w:t xml:space="preserve">, about half of </w:t>
      </w:r>
      <w:r>
        <w:rPr>
          <w:rFonts w:ascii="Georgia" w:hAnsi="Georgia" w:cs="Helvetica"/>
          <w:color w:val="333333"/>
          <w:lang w:val="en"/>
        </w:rPr>
        <w:lastRenderedPageBreak/>
        <w:t>the global emissions reductions that it attributes to CCS could be from industries such as cement, hydrogen production, iron and steel.</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Challenges to reducing industrial pro</w:t>
      </w:r>
      <w:r>
        <w:rPr>
          <w:rFonts w:eastAsia="Times New Roman" w:cs="Helvetica"/>
          <w:color w:val="333333"/>
          <w:lang w:val="en"/>
        </w:rPr>
        <w:t xml:space="preserve">cess emissions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Challenges to reducing industrial process emissions include:</w:t>
      </w:r>
    </w:p>
    <w:p w:rsidR="00000000" w:rsidRDefault="009123E6">
      <w:pPr>
        <w:numPr>
          <w:ilvl w:val="0"/>
          <w:numId w:val="14"/>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The cost of emissions reduction technologies—financial incentives and other policies can accelerate uptake of technologies to lower emissions, as has occurred in recent years. The</w:t>
      </w:r>
      <w:r>
        <w:rPr>
          <w:rFonts w:ascii="Georgia" w:eastAsia="Times New Roman" w:hAnsi="Georgia" w:cs="Helvetica"/>
          <w:color w:val="333333"/>
          <w:lang w:val="en"/>
        </w:rPr>
        <w:t>se incentives could also apply to CCS for industrial applications where the technology is proven but still relatively expensive (IEA 2013c).</w:t>
      </w:r>
    </w:p>
    <w:p w:rsidR="00000000" w:rsidRDefault="009123E6">
      <w:pPr>
        <w:numPr>
          <w:ilvl w:val="0"/>
          <w:numId w:val="14"/>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 xml:space="preserve">Rising production—particularly in the chemicals sector—that could outstrip improvements in emissions intensity.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 detailed analysis of progress in reducing industrial process emissions is presented in Appendix D7.</w:t>
      </w:r>
    </w:p>
    <w:p w:rsidR="00000000" w:rsidRDefault="009123E6">
      <w:pPr>
        <w:pStyle w:val="Heading3"/>
        <w:divId w:val="894126188"/>
        <w:rPr>
          <w:rFonts w:eastAsia="Times New Roman" w:cs="Helvetica"/>
          <w:color w:val="333333"/>
          <w:lang w:val="en"/>
        </w:rPr>
      </w:pPr>
      <w:r>
        <w:rPr>
          <w:rFonts w:eastAsia="Times New Roman" w:cs="Helvetica"/>
          <w:color w:val="333333"/>
          <w:lang w:val="en"/>
        </w:rPr>
        <w:t>11.4.6 Agriculture</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Agriculture emissions result from livestock digestive processes (enteric fermentation), manure management, nitrous oxide emissions from</w:t>
      </w:r>
      <w:r>
        <w:rPr>
          <w:rFonts w:ascii="Georgia" w:hAnsi="Georgia" w:cs="Helvetica"/>
          <w:color w:val="333333"/>
          <w:lang w:val="en"/>
        </w:rPr>
        <w:t xml:space="preserve"> cropping and pastureland soils, prescribed burning of savannas and burning of agricultural residues. The agriculture sector accounted for approximately 17 per cent of Australia’s emissions in 2012.</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Consistent with Australia’s Kyoto Protocol Accounting Fra</w:t>
      </w:r>
      <w:r>
        <w:rPr>
          <w:rFonts w:ascii="Georgia" w:hAnsi="Georgia" w:cs="Helvetica"/>
          <w:color w:val="333333"/>
          <w:lang w:val="en"/>
        </w:rPr>
        <w:t xml:space="preserve">mework and the categories of reporting used in the National Greenhouse Gas Inventory, agriculture and LULUCF emissions have been evaluated separately in this report. The Authority </w:t>
      </w:r>
      <w:proofErr w:type="spellStart"/>
      <w:r>
        <w:rPr>
          <w:rFonts w:ascii="Georgia" w:hAnsi="Georgia" w:cs="Helvetica"/>
          <w:color w:val="333333"/>
          <w:lang w:val="en"/>
        </w:rPr>
        <w:t>recognises</w:t>
      </w:r>
      <w:proofErr w:type="spellEnd"/>
      <w:r>
        <w:rPr>
          <w:rFonts w:ascii="Georgia" w:hAnsi="Georgia" w:cs="Helvetica"/>
          <w:color w:val="333333"/>
          <w:lang w:val="en"/>
        </w:rPr>
        <w:t xml:space="preserve"> that these two sectors are interconnected.</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Agriculture emissions </w:t>
      </w:r>
      <w:r>
        <w:rPr>
          <w:rFonts w:ascii="Georgia" w:hAnsi="Georgia" w:cs="Helvetica"/>
          <w:color w:val="333333"/>
          <w:lang w:val="en"/>
        </w:rPr>
        <w:t xml:space="preserve">have increased by 1 per cent since 1990. Under all modelled scenarios, agriculture emissions are projected to increase strongly in the longer term, driven by strong international demand for agricultural commodities, primarily from emerging Asian economies </w:t>
      </w:r>
      <w:r>
        <w:rPr>
          <w:rFonts w:ascii="Georgia" w:hAnsi="Georgia" w:cs="Helvetica"/>
          <w:color w:val="333333"/>
          <w:lang w:val="en"/>
        </w:rPr>
        <w:t xml:space="preserve">(Figure 11.14). There are incentives such as the CFI, which may reduce agriculture emissions intensity; however, strong projected activity growth means total agriculture emissions could still grow. </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Figure 11.14: Agriculture emissions, historical and proje</w:t>
      </w:r>
      <w:r>
        <w:rPr>
          <w:rFonts w:eastAsia="Times New Roman" w:cs="Helvetica"/>
          <w:color w:val="333333"/>
          <w:lang w:val="en"/>
        </w:rPr>
        <w:t>cted, 1990–2030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lastRenderedPageBreak/>
        <w:drawing>
          <wp:inline distT="0" distB="0" distL="0" distR="0">
            <wp:extent cx="5906880" cy="2716920"/>
            <wp:effectExtent l="0" t="0" r="0" b="0"/>
            <wp:docPr id="14" name="Picture 14" descr="Figure 11.14 shows Australia’s historical and projected agriculture emissions between 1990 and 2030. &#10;Australia’s agriculture emissions were about the same in 1990 as in 2012. Australia’s agriculture emissions are projected to increase to 17 per cent above 2000 levels by 2030 in the no price scenario, 13 per cent above 2000 levels in the low and medium scenarios and 11 per cent above 2000 levels in the high scenari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11.14 shows Australia’s historical and projected agriculture emissions between 1990 and 2030. &#10;Australia’s agriculture emissions were about the same in 1990 as in 2012. Australia’s agriculture emissions are projected to increase to 17 per cent above 2000 levels by 2030 in the no price scenario, 13 per cent above 2000 levels in the low and medium scenarios and 11 per cent above 2000 levels in the high scenario.&#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6880" cy="2716920"/>
                    </a:xfrm>
                    <a:prstGeom prst="rect">
                      <a:avLst/>
                    </a:prstGeom>
                    <a:noFill/>
                    <a:ln>
                      <a:noFill/>
                    </a:ln>
                  </pic:spPr>
                </pic:pic>
              </a:graphicData>
            </a:graphic>
          </wp:inline>
        </w:drawing>
      </w:r>
      <w:r>
        <w:rPr>
          <w:rFonts w:ascii="Georgia" w:hAnsi="Georgia" w:cs="Helvetica"/>
          <w:color w:val="333333"/>
          <w:lang w:val="en"/>
        </w:rPr>
        <w:t> </w:t>
      </w:r>
      <w:r>
        <w:rPr>
          <w:rStyle w:val="Strong"/>
          <w:rFonts w:ascii="Georgia" w:hAnsi="Georgia" w:cs="Helvetica"/>
          <w:color w:val="333333"/>
          <w:lang w:val="en"/>
        </w:rPr>
        <w:t>Source:</w:t>
      </w:r>
      <w:r>
        <w:rPr>
          <w:rFonts w:ascii="Georgia" w:hAnsi="Georgia" w:cs="Helvetica"/>
          <w:color w:val="333333"/>
          <w:lang w:val="en"/>
        </w:rPr>
        <w:t xml:space="preserve"> </w:t>
      </w:r>
      <w:r>
        <w:rPr>
          <w:rFonts w:ascii="Georgia" w:hAnsi="Georgia" w:cs="Helvetica"/>
          <w:color w:val="333333"/>
          <w:lang w:val="en"/>
        </w:rPr>
        <w:t>Climate Change Authority calculations using results from Treasury and DIICCSRTE 2013</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 xml:space="preserve">Opportunities to reduce agriculture emissions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Treasury and DIICCSRTE estimates emissions would be about 1 Mt CO</w:t>
      </w:r>
      <w:r>
        <w:rPr>
          <w:rFonts w:ascii="Georgia" w:hAnsi="Georgia" w:cs="Helvetica"/>
          <w:color w:val="333333"/>
          <w:sz w:val="18"/>
          <w:szCs w:val="18"/>
          <w:vertAlign w:val="subscript"/>
          <w:lang w:val="en"/>
        </w:rPr>
        <w:t>2</w:t>
      </w:r>
      <w:r>
        <w:rPr>
          <w:rFonts w:ascii="Georgia" w:hAnsi="Georgia" w:cs="Helvetica"/>
          <w:color w:val="333333"/>
          <w:lang w:val="en"/>
        </w:rPr>
        <w:t>-e and 3 Mt CO</w:t>
      </w:r>
      <w:r>
        <w:rPr>
          <w:rFonts w:ascii="Georgia" w:hAnsi="Georgia" w:cs="Helvetica"/>
          <w:color w:val="333333"/>
          <w:sz w:val="18"/>
          <w:szCs w:val="18"/>
          <w:vertAlign w:val="subscript"/>
          <w:lang w:val="en"/>
        </w:rPr>
        <w:t>2</w:t>
      </w:r>
      <w:r>
        <w:rPr>
          <w:rFonts w:ascii="Georgia" w:hAnsi="Georgia" w:cs="Helvetica"/>
          <w:color w:val="333333"/>
          <w:lang w:val="en"/>
        </w:rPr>
        <w:t>-e lower in 2020 under the low and high</w:t>
      </w:r>
      <w:r>
        <w:rPr>
          <w:rFonts w:ascii="Georgia" w:hAnsi="Georgia" w:cs="Helvetica"/>
          <w:color w:val="333333"/>
          <w:lang w:val="en"/>
        </w:rPr>
        <w:t xml:space="preserve"> scenarios, respectively, relative to the no price scenario. Most of these emission reductions are from livestock.</w:t>
      </w:r>
    </w:p>
    <w:p w:rsidR="00000000" w:rsidRDefault="009123E6">
      <w:pPr>
        <w:pStyle w:val="NormalWeb"/>
        <w:spacing w:line="300" w:lineRule="atLeast"/>
        <w:divId w:val="894126188"/>
        <w:rPr>
          <w:rFonts w:ascii="Georgia" w:hAnsi="Georgia" w:cs="Helvetica"/>
          <w:color w:val="333333"/>
          <w:lang w:val="en"/>
        </w:rPr>
      </w:pPr>
      <w:proofErr w:type="spellStart"/>
      <w:r>
        <w:rPr>
          <w:rFonts w:ascii="Georgia" w:hAnsi="Georgia" w:cs="Helvetica"/>
          <w:color w:val="333333"/>
          <w:lang w:val="en"/>
        </w:rPr>
        <w:t>ClimateWorks</w:t>
      </w:r>
      <w:proofErr w:type="spellEnd"/>
      <w:r>
        <w:rPr>
          <w:rFonts w:ascii="Georgia" w:hAnsi="Georgia" w:cs="Helvetica"/>
          <w:color w:val="333333"/>
          <w:lang w:val="en"/>
        </w:rPr>
        <w:t xml:space="preserve"> (2010) assessed the emissions reduction potential of agriculture and found greater opportunities—reductions of 2–3 Mt CO</w:t>
      </w:r>
      <w:r>
        <w:rPr>
          <w:rFonts w:ascii="Georgia" w:hAnsi="Georgia" w:cs="Helvetica"/>
          <w:color w:val="333333"/>
          <w:sz w:val="18"/>
          <w:szCs w:val="18"/>
          <w:vertAlign w:val="subscript"/>
          <w:lang w:val="en"/>
        </w:rPr>
        <w:t>2</w:t>
      </w:r>
      <w:r>
        <w:rPr>
          <w:rFonts w:ascii="Georgia" w:hAnsi="Georgia" w:cs="Helvetica"/>
          <w:color w:val="333333"/>
          <w:lang w:val="en"/>
        </w:rPr>
        <w:t>-e in 2</w:t>
      </w:r>
      <w:r>
        <w:rPr>
          <w:rFonts w:ascii="Georgia" w:hAnsi="Georgia" w:cs="Helvetica"/>
          <w:color w:val="333333"/>
          <w:lang w:val="en"/>
        </w:rPr>
        <w:t>020 from livestock at a societal cost of $17/t CO</w:t>
      </w:r>
      <w:r>
        <w:rPr>
          <w:rFonts w:ascii="Georgia" w:hAnsi="Georgia" w:cs="Helvetica"/>
          <w:color w:val="333333"/>
          <w:sz w:val="18"/>
          <w:szCs w:val="18"/>
          <w:vertAlign w:val="subscript"/>
          <w:lang w:val="en"/>
        </w:rPr>
        <w:t>2</w:t>
      </w:r>
      <w:r>
        <w:rPr>
          <w:rFonts w:ascii="Georgia" w:hAnsi="Georgia" w:cs="Helvetica"/>
          <w:color w:val="333333"/>
          <w:lang w:val="en"/>
        </w:rPr>
        <w:t>-e or less. ABARES (2013a) analysis suggests that about 7 Mt CO</w:t>
      </w:r>
      <w:r>
        <w:rPr>
          <w:rFonts w:ascii="Georgia" w:hAnsi="Georgia" w:cs="Helvetica"/>
          <w:color w:val="333333"/>
          <w:sz w:val="18"/>
          <w:szCs w:val="18"/>
          <w:vertAlign w:val="subscript"/>
          <w:lang w:val="en"/>
        </w:rPr>
        <w:t>2</w:t>
      </w:r>
      <w:r>
        <w:rPr>
          <w:rFonts w:ascii="Georgia" w:hAnsi="Georgia" w:cs="Helvetica"/>
          <w:color w:val="333333"/>
          <w:lang w:val="en"/>
        </w:rPr>
        <w:t>-e of emissions reductions, at a cost of $73/t CO</w:t>
      </w:r>
      <w:r>
        <w:rPr>
          <w:rFonts w:ascii="Georgia" w:hAnsi="Georgia" w:cs="Helvetica"/>
          <w:color w:val="333333"/>
          <w:sz w:val="18"/>
          <w:szCs w:val="18"/>
          <w:vertAlign w:val="subscript"/>
          <w:lang w:val="en"/>
        </w:rPr>
        <w:t>2</w:t>
      </w:r>
      <w:r>
        <w:rPr>
          <w:rFonts w:ascii="Georgia" w:hAnsi="Georgia" w:cs="Helvetica"/>
          <w:color w:val="333333"/>
          <w:lang w:val="en"/>
        </w:rPr>
        <w:t>-e or less, might be available from livestock in 2020. Apart from manure management, however</w:t>
      </w:r>
      <w:r>
        <w:rPr>
          <w:rFonts w:ascii="Georgia" w:hAnsi="Georgia" w:cs="Helvetica"/>
          <w:color w:val="333333"/>
          <w:lang w:val="en"/>
        </w:rPr>
        <w:t>, most of the projected technologies and practices for reducing livestock emissions are still being developed and are not ready for commercial use. The studies referred to have significant differences in assumptions about available technologies, level of u</w:t>
      </w:r>
      <w:r>
        <w:rPr>
          <w:rFonts w:ascii="Georgia" w:hAnsi="Georgia" w:cs="Helvetica"/>
          <w:color w:val="333333"/>
          <w:lang w:val="en"/>
        </w:rPr>
        <w:t>ptake and associated costs.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Productivity gains and increasing profitability are the two main drivers for farmers to invest in activities that lower agriculture emissions intensity. Historically, Australia increased annual cropping productivity by 1.5 per c</w:t>
      </w:r>
      <w:r>
        <w:rPr>
          <w:rFonts w:ascii="Georgia" w:hAnsi="Georgia" w:cs="Helvetica"/>
          <w:color w:val="333333"/>
          <w:lang w:val="en"/>
        </w:rPr>
        <w:t xml:space="preserve">ent a year between 1977 and 2011 (ABARES 2013b). In livestock, beef emissions intensity improved by about 10 per cent between 1990 and 2005 (Henry &amp; </w:t>
      </w:r>
      <w:proofErr w:type="spellStart"/>
      <w:r>
        <w:rPr>
          <w:rFonts w:ascii="Georgia" w:hAnsi="Georgia" w:cs="Helvetica"/>
          <w:color w:val="333333"/>
          <w:lang w:val="en"/>
        </w:rPr>
        <w:t>Eckard</w:t>
      </w:r>
      <w:proofErr w:type="spellEnd"/>
      <w:r>
        <w:rPr>
          <w:rFonts w:ascii="Georgia" w:hAnsi="Georgia" w:cs="Helvetica"/>
          <w:color w:val="333333"/>
          <w:lang w:val="en"/>
        </w:rPr>
        <w:t xml:space="preserve"> 2008).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dairy industry is focused on reducing its already low emissions intensity further. It ha</w:t>
      </w:r>
      <w:r>
        <w:rPr>
          <w:rFonts w:ascii="Georgia" w:hAnsi="Georgia" w:cs="Helvetica"/>
          <w:color w:val="333333"/>
          <w:lang w:val="en"/>
        </w:rPr>
        <w:t>s set an industry-wide target of 30 per cent lower emissions intensity by 2020 (Dairy Australia 2013).</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Challenges to reducing agriculture emissions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There are limited opportunities to reduce absolute food production emissions given growing demand for Austra</w:t>
      </w:r>
      <w:r>
        <w:rPr>
          <w:rFonts w:ascii="Georgia" w:hAnsi="Georgia" w:cs="Helvetica"/>
          <w:color w:val="333333"/>
          <w:lang w:val="en"/>
        </w:rPr>
        <w:t xml:space="preserve">lian agriculture products. Reductions in emissions intensity are expected from new technology and processes in time; however, are unlikely to be enough to offset production growth.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lastRenderedPageBreak/>
        <w:t>While there are technologies that can reduce emissions intensity in the se</w:t>
      </w:r>
      <w:r>
        <w:rPr>
          <w:rFonts w:ascii="Georgia" w:hAnsi="Georgia" w:cs="Helvetica"/>
          <w:color w:val="333333"/>
          <w:lang w:val="en"/>
        </w:rPr>
        <w:t>ctor, there are not projected to be sufficient cost-effective emissions technologies available to offset the total growth in emissions. This is the case for greenhouse gas emissions from enteric fermentation in livestock, for example, which was responsible</w:t>
      </w:r>
      <w:r>
        <w:rPr>
          <w:rFonts w:ascii="Georgia" w:hAnsi="Georgia" w:cs="Helvetica"/>
          <w:color w:val="333333"/>
          <w:lang w:val="en"/>
        </w:rPr>
        <w:t xml:space="preserve"> for about two-thirds of emissions from the agriculture sector in 2012 (Treasury and DIICSRTE 2013).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Measuring emission reductions is also an issue; livestock and cropping emissions involve complex interactions within biological systems that are very diff</w:t>
      </w:r>
      <w:r>
        <w:rPr>
          <w:rFonts w:ascii="Georgia" w:hAnsi="Georgia" w:cs="Helvetica"/>
          <w:color w:val="333333"/>
          <w:lang w:val="en"/>
        </w:rPr>
        <w:t xml:space="preserve">icult to measure precisely. A practice that reduces emissions on one farm may have a different effect at another, due to local conditions such as pasture type and weather.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Continued research and technology development is important to support both understa</w:t>
      </w:r>
      <w:r>
        <w:rPr>
          <w:rFonts w:ascii="Georgia" w:hAnsi="Georgia" w:cs="Helvetica"/>
          <w:color w:val="333333"/>
          <w:lang w:val="en"/>
        </w:rPr>
        <w:t>nding and uptake of emissions reduction opportunities and general emissions intensity improvements.</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Where opportunities to reduce agriculture emissions exist, their uptake can be challenged by limited access to capital. Smaller farms may be unable to achie</w:t>
      </w:r>
      <w:r>
        <w:rPr>
          <w:rFonts w:ascii="Georgia" w:hAnsi="Georgia" w:cs="Helvetica"/>
          <w:color w:val="333333"/>
          <w:lang w:val="en"/>
        </w:rPr>
        <w:t>ve economies of scale and may have inadequate access to information about emissions reduction projects. These challenges are exacerbated by the many small and dispersed participants in the sector. A range of approaches could be taken to combat these challe</w:t>
      </w:r>
      <w:r>
        <w:rPr>
          <w:rFonts w:ascii="Georgia" w:hAnsi="Georgia" w:cs="Helvetica"/>
          <w:color w:val="333333"/>
          <w:lang w:val="en"/>
        </w:rPr>
        <w:t xml:space="preserve">nges, such as providing information through rural networks, simplifying methodologies for projects, facilitating access to capital and consolidating projects across many small farms.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 detailed analysis of progress in reducing agriculture emissions is pre</w:t>
      </w:r>
      <w:r>
        <w:rPr>
          <w:rFonts w:ascii="Georgia" w:hAnsi="Georgia" w:cs="Helvetica"/>
          <w:color w:val="333333"/>
          <w:lang w:val="en"/>
        </w:rPr>
        <w:t>sented in Appendix D8.</w:t>
      </w:r>
    </w:p>
    <w:p w:rsidR="00000000" w:rsidRDefault="009123E6">
      <w:pPr>
        <w:pStyle w:val="Heading3"/>
        <w:divId w:val="894126188"/>
        <w:rPr>
          <w:rFonts w:eastAsia="Times New Roman" w:cs="Helvetica"/>
          <w:color w:val="333333"/>
          <w:lang w:val="en"/>
        </w:rPr>
      </w:pPr>
      <w:r>
        <w:rPr>
          <w:rFonts w:eastAsia="Times New Roman" w:cs="Helvetica"/>
          <w:color w:val="333333"/>
          <w:lang w:val="en"/>
        </w:rPr>
        <w:t>11.4.7 Land use, land use change and forestry</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Land use, and the biomass the land supports, forms part of the carbon cycle and affects atmospheric CO</w:t>
      </w:r>
      <w:r>
        <w:rPr>
          <w:rFonts w:ascii="Georgia" w:hAnsi="Georgia" w:cs="Helvetica"/>
          <w:color w:val="333333"/>
          <w:sz w:val="18"/>
          <w:szCs w:val="18"/>
          <w:vertAlign w:val="subscript"/>
          <w:lang w:val="en"/>
        </w:rPr>
        <w:t>2</w:t>
      </w:r>
      <w:r>
        <w:rPr>
          <w:rFonts w:ascii="Georgia" w:hAnsi="Georgia" w:cs="Helvetica"/>
          <w:color w:val="333333"/>
          <w:lang w:val="en"/>
        </w:rPr>
        <w:t xml:space="preserve"> levels. Reporting on the LULUCF sector includes:</w:t>
      </w:r>
    </w:p>
    <w:p w:rsidR="00000000" w:rsidRDefault="009123E6">
      <w:pPr>
        <w:numPr>
          <w:ilvl w:val="0"/>
          <w:numId w:val="15"/>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emissions and sequestration due to</w:t>
      </w:r>
      <w:r>
        <w:rPr>
          <w:rFonts w:ascii="Georgia" w:eastAsia="Times New Roman" w:hAnsi="Georgia" w:cs="Helvetica"/>
          <w:color w:val="333333"/>
          <w:lang w:val="en"/>
        </w:rPr>
        <w:t xml:space="preserve"> the clearance of forested land for new purposes (deforestation)</w:t>
      </w:r>
    </w:p>
    <w:p w:rsidR="00000000" w:rsidRDefault="009123E6">
      <w:pPr>
        <w:numPr>
          <w:ilvl w:val="0"/>
          <w:numId w:val="15"/>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new forests on land that was un-forested on 1 January 1990 (afforestation and reforestation)</w:t>
      </w:r>
    </w:p>
    <w:p w:rsidR="00000000" w:rsidRDefault="009123E6">
      <w:pPr>
        <w:numPr>
          <w:ilvl w:val="0"/>
          <w:numId w:val="15"/>
        </w:numPr>
        <w:spacing w:before="100" w:beforeAutospacing="1" w:after="100" w:afterAutospacing="1" w:line="300" w:lineRule="atLeast"/>
        <w:ind w:left="375"/>
        <w:divId w:val="894126188"/>
        <w:rPr>
          <w:rFonts w:ascii="Georgia" w:eastAsia="Times New Roman" w:hAnsi="Georgia" w:cs="Helvetica"/>
          <w:color w:val="333333"/>
          <w:lang w:val="en"/>
        </w:rPr>
      </w:pPr>
      <w:proofErr w:type="gramStart"/>
      <w:r>
        <w:rPr>
          <w:rFonts w:ascii="Georgia" w:eastAsia="Times New Roman" w:hAnsi="Georgia" w:cs="Helvetica"/>
          <w:color w:val="333333"/>
          <w:lang w:val="en"/>
        </w:rPr>
        <w:t>other</w:t>
      </w:r>
      <w:proofErr w:type="gramEnd"/>
      <w:r>
        <w:rPr>
          <w:rFonts w:ascii="Georgia" w:eastAsia="Times New Roman" w:hAnsi="Georgia" w:cs="Helvetica"/>
          <w:color w:val="333333"/>
          <w:lang w:val="en"/>
        </w:rPr>
        <w:t xml:space="preserve"> practices that change emissions and sequestration (forest management, cropland management and grazing land management).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Combustion of fossil fuels from forestry and land management activities, such as diesel used in logging machinery, is covered in </w:t>
      </w:r>
      <w:r>
        <w:rPr>
          <w:rFonts w:ascii="Georgia" w:hAnsi="Georgia" w:cs="Helvetica"/>
          <w:color w:val="333333"/>
          <w:lang w:val="en"/>
        </w:rPr>
        <w:t>the direct combustion sector. LULUCF accounted for approximately 4 per cent of Australia’s emissions in 2012.</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LULUCF has been the biggest </w:t>
      </w:r>
      <w:proofErr w:type="spellStart"/>
      <w:r>
        <w:rPr>
          <w:rFonts w:ascii="Georgia" w:hAnsi="Georgia" w:cs="Helvetica"/>
          <w:color w:val="333333"/>
          <w:lang w:val="en"/>
        </w:rPr>
        <w:t>sectoral</w:t>
      </w:r>
      <w:proofErr w:type="spellEnd"/>
      <w:r>
        <w:rPr>
          <w:rFonts w:ascii="Georgia" w:hAnsi="Georgia" w:cs="Helvetica"/>
          <w:color w:val="333333"/>
          <w:lang w:val="en"/>
        </w:rPr>
        <w:t xml:space="preserve"> contributor to emissions reductions in Australia since 1990. Net emissions from the sector have declined by 8</w:t>
      </w:r>
      <w:r>
        <w:rPr>
          <w:rFonts w:ascii="Georgia" w:hAnsi="Georgia" w:cs="Helvetica"/>
          <w:color w:val="333333"/>
          <w:lang w:val="en"/>
        </w:rPr>
        <w:t>5 per cent from 140 Mt CO</w:t>
      </w:r>
      <w:r>
        <w:rPr>
          <w:rFonts w:ascii="Georgia" w:hAnsi="Georgia" w:cs="Helvetica"/>
          <w:color w:val="333333"/>
          <w:sz w:val="18"/>
          <w:szCs w:val="18"/>
          <w:vertAlign w:val="subscript"/>
          <w:lang w:val="en"/>
        </w:rPr>
        <w:t>2</w:t>
      </w:r>
      <w:r>
        <w:rPr>
          <w:rFonts w:ascii="Georgia" w:hAnsi="Georgia" w:cs="Helvetica"/>
          <w:color w:val="333333"/>
          <w:lang w:val="en"/>
        </w:rPr>
        <w:t>-e in 1990 to 21 Mt CO</w:t>
      </w:r>
      <w:r>
        <w:rPr>
          <w:rFonts w:ascii="Georgia" w:hAnsi="Georgia" w:cs="Helvetica"/>
          <w:color w:val="333333"/>
          <w:sz w:val="18"/>
          <w:szCs w:val="18"/>
          <w:vertAlign w:val="subscript"/>
          <w:lang w:val="en"/>
        </w:rPr>
        <w:t>2</w:t>
      </w:r>
      <w:r>
        <w:rPr>
          <w:rFonts w:ascii="Georgia" w:hAnsi="Georgia" w:cs="Helvetica"/>
          <w:color w:val="333333"/>
          <w:lang w:val="en"/>
        </w:rPr>
        <w:t>-e in 2012. This trend, however, is not projected to continue (Figure 11.15).</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lastRenderedPageBreak/>
        <w:t>Macroeconomic factors, such as farmers’ terms of trade and prices of wood commodities, have been the main determinant of LULUCF e</w:t>
      </w:r>
      <w:r>
        <w:rPr>
          <w:rFonts w:ascii="Georgia" w:hAnsi="Georgia" w:cs="Helvetica"/>
          <w:color w:val="333333"/>
          <w:lang w:val="en"/>
        </w:rPr>
        <w:t>missions. The progressive introduction of state and territory land clearing restrictions has also played a significant role in reducing emissions since 1990; most notably, the restrictions introduced in Queensland in 2004 and 2009. Incentives (such as Mana</w:t>
      </w:r>
      <w:r>
        <w:rPr>
          <w:rFonts w:ascii="Georgia" w:hAnsi="Georgia" w:cs="Helvetica"/>
          <w:color w:val="333333"/>
          <w:lang w:val="en"/>
        </w:rPr>
        <w:t>ged Investment Schemes) boosted forest plantations in the 1990s, but it is unlikely all of these forests will be replanted once harvested. Over the medium to longer term, a combination of subdued forestry demand, reduced land clearing restrictions and pres</w:t>
      </w:r>
      <w:r>
        <w:rPr>
          <w:rFonts w:ascii="Georgia" w:hAnsi="Georgia" w:cs="Helvetica"/>
          <w:color w:val="333333"/>
          <w:lang w:val="en"/>
        </w:rPr>
        <w:t xml:space="preserve">sure from increased cattle herd numbers after 2020 all contribute to projected emissions trends. </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Figure 11.15: LULUCF emissions, historical and projected, 1990–2030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07240" cy="2396520"/>
            <wp:effectExtent l="0" t="0" r="0" b="0"/>
            <wp:docPr id="15" name="Picture 15" descr="Figure 11.15 shows Australia’s historical and projected land-use, land-use change and forestry (LULUCF) emissions between 1990 and 2030. &#10;Australia’s LULUCF emissions decreased between 1990 and 2012. Australia’s LULUCF emissions are projected to fall to 53 per cent below 2000 levels by 2030 in the no price scenario, 73 per cent below 2000 levels in the low and medium scenarios and 85 per cent below 2000 levels in the high scenari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11.15 shows Australia’s historical and projected land-use, land-use change and forestry (LULUCF) emissions between 1990 and 2030. &#10;Australia’s LULUCF emissions decreased between 1990 and 2012. Australia’s LULUCF emissions are projected to fall to 53 per cent below 2000 levels by 2030 in the no price scenario, 73 per cent below 2000 levels in the low and medium scenarios and 85 per cent below 2000 levels in the high scenario.&#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7240" cy="2396520"/>
                    </a:xfrm>
                    <a:prstGeom prst="rect">
                      <a:avLst/>
                    </a:prstGeom>
                    <a:noFill/>
                    <a:ln>
                      <a:noFill/>
                    </a:ln>
                  </pic:spPr>
                </pic:pic>
              </a:graphicData>
            </a:graphic>
          </wp:inline>
        </w:drawing>
      </w:r>
      <w:r>
        <w:rPr>
          <w:rFonts w:ascii="Georgia" w:hAnsi="Georgia" w:cs="Helvetica"/>
          <w:color w:val="333333"/>
          <w:lang w:val="en"/>
        </w:rPr>
        <w:t> </w:t>
      </w:r>
      <w:r>
        <w:rPr>
          <w:rStyle w:val="Strong"/>
          <w:rFonts w:ascii="Georgia" w:hAnsi="Georgia" w:cs="Helvetica"/>
          <w:color w:val="333333"/>
          <w:lang w:val="en"/>
        </w:rPr>
        <w:t>Source:</w:t>
      </w:r>
      <w:r>
        <w:rPr>
          <w:rFonts w:ascii="Georgia" w:hAnsi="Georgia" w:cs="Helvetica"/>
          <w:color w:val="333333"/>
          <w:lang w:val="en"/>
        </w:rPr>
        <w:t xml:space="preserve"> Climate Change Authority calculations using results</w:t>
      </w:r>
      <w:r>
        <w:rPr>
          <w:rFonts w:ascii="Georgia" w:hAnsi="Georgia" w:cs="Helvetica"/>
          <w:color w:val="333333"/>
          <w:lang w:val="en"/>
        </w:rPr>
        <w:t xml:space="preserve"> from Treasury and DIICCSRTE 2013</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 xml:space="preserve">Opportunities to reduce LULUCF emissions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Price incentives could play an important role in LULUCF emissions reductions. Relative to the no price scenario, 12 Mt CO</w:t>
      </w:r>
      <w:r>
        <w:rPr>
          <w:rFonts w:ascii="Georgia" w:hAnsi="Georgia" w:cs="Helvetica"/>
          <w:color w:val="333333"/>
          <w:sz w:val="18"/>
          <w:szCs w:val="18"/>
          <w:vertAlign w:val="subscript"/>
          <w:lang w:val="en"/>
        </w:rPr>
        <w:t>2</w:t>
      </w:r>
      <w:r>
        <w:rPr>
          <w:rFonts w:ascii="Georgia" w:hAnsi="Georgia" w:cs="Helvetica"/>
          <w:color w:val="333333"/>
          <w:lang w:val="en"/>
        </w:rPr>
        <w:t>-e and 14 Mt CO</w:t>
      </w:r>
      <w:r>
        <w:rPr>
          <w:rFonts w:ascii="Georgia" w:hAnsi="Georgia" w:cs="Helvetica"/>
          <w:color w:val="333333"/>
          <w:sz w:val="18"/>
          <w:szCs w:val="18"/>
          <w:vertAlign w:val="subscript"/>
          <w:lang w:val="en"/>
        </w:rPr>
        <w:t>2</w:t>
      </w:r>
      <w:r>
        <w:rPr>
          <w:rFonts w:ascii="Georgia" w:hAnsi="Georgia" w:cs="Helvetica"/>
          <w:color w:val="333333"/>
          <w:lang w:val="en"/>
        </w:rPr>
        <w:t>-e of emissions reductions could be delive</w:t>
      </w:r>
      <w:r>
        <w:rPr>
          <w:rFonts w:ascii="Georgia" w:hAnsi="Georgia" w:cs="Helvetica"/>
          <w:color w:val="333333"/>
          <w:lang w:val="en"/>
        </w:rPr>
        <w:t>red in 2020 and 2030, respectively, under the medium scenario. Under the high scenario, emissions reductions may be 18 Mt CO</w:t>
      </w:r>
      <w:r>
        <w:rPr>
          <w:rFonts w:ascii="Georgia" w:hAnsi="Georgia" w:cs="Helvetica"/>
          <w:color w:val="333333"/>
          <w:sz w:val="18"/>
          <w:szCs w:val="18"/>
          <w:vertAlign w:val="subscript"/>
          <w:lang w:val="en"/>
        </w:rPr>
        <w:t>2</w:t>
      </w:r>
      <w:r>
        <w:rPr>
          <w:rFonts w:ascii="Georgia" w:hAnsi="Georgia" w:cs="Helvetica"/>
          <w:color w:val="333333"/>
          <w:lang w:val="en"/>
        </w:rPr>
        <w:t>-e in 2020 and 23 Mt CO</w:t>
      </w:r>
      <w:r>
        <w:rPr>
          <w:rFonts w:ascii="Georgia" w:hAnsi="Georgia" w:cs="Helvetica"/>
          <w:color w:val="333333"/>
          <w:sz w:val="18"/>
          <w:szCs w:val="18"/>
          <w:vertAlign w:val="subscript"/>
          <w:lang w:val="en"/>
        </w:rPr>
        <w:t>2</w:t>
      </w:r>
      <w:r>
        <w:rPr>
          <w:rFonts w:ascii="Georgia" w:hAnsi="Georgia" w:cs="Helvetica"/>
          <w:color w:val="333333"/>
          <w:lang w:val="en"/>
        </w:rPr>
        <w:t xml:space="preserve">-e in 2030. Most of the projected emissions reductions in response to the price incentive come from forest </w:t>
      </w:r>
      <w:r>
        <w:rPr>
          <w:rFonts w:ascii="Georgia" w:hAnsi="Georgia" w:cs="Helvetica"/>
          <w:color w:val="333333"/>
          <w:lang w:val="en"/>
        </w:rPr>
        <w:t xml:space="preserve">management and vegetation regeneration.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Since January 2013, Australia has been required to count net emissions associated with forest management towards its emissions commitments under the Kyoto Protocol, and has also elected to include net emissions asso</w:t>
      </w:r>
      <w:r>
        <w:rPr>
          <w:rFonts w:ascii="Georgia" w:hAnsi="Georgia" w:cs="Helvetica"/>
          <w:color w:val="333333"/>
          <w:lang w:val="en"/>
        </w:rPr>
        <w:t xml:space="preserve">ciated with cropland management, grazing land management and </w:t>
      </w:r>
      <w:proofErr w:type="spellStart"/>
      <w:r>
        <w:rPr>
          <w:rFonts w:ascii="Georgia" w:hAnsi="Georgia" w:cs="Helvetica"/>
          <w:color w:val="333333"/>
          <w:lang w:val="en"/>
        </w:rPr>
        <w:t>revegetation</w:t>
      </w:r>
      <w:proofErr w:type="spellEnd"/>
      <w:r>
        <w:rPr>
          <w:rFonts w:ascii="Georgia" w:hAnsi="Georgia" w:cs="Helvetica"/>
          <w:color w:val="333333"/>
          <w:lang w:val="en"/>
        </w:rPr>
        <w:t xml:space="preserve"> activities (see Chapter 7). Cumulatively, over the period from 2013 to 2020, the Treasury and DIICCSRTE modelling projects LULUCF emission reductions associated with these changes of</w:t>
      </w:r>
      <w:r>
        <w:rPr>
          <w:rFonts w:ascii="Georgia" w:hAnsi="Georgia" w:cs="Helvetica"/>
          <w:color w:val="333333"/>
          <w:lang w:val="en"/>
        </w:rPr>
        <w:t xml:space="preserve"> 90 Mt CO</w:t>
      </w:r>
      <w:r>
        <w:rPr>
          <w:rFonts w:ascii="Georgia" w:hAnsi="Georgia" w:cs="Helvetica"/>
          <w:color w:val="333333"/>
          <w:sz w:val="18"/>
          <w:szCs w:val="18"/>
          <w:vertAlign w:val="subscript"/>
          <w:lang w:val="en"/>
        </w:rPr>
        <w:t>2</w:t>
      </w:r>
      <w:r>
        <w:rPr>
          <w:rFonts w:ascii="Georgia" w:hAnsi="Georgia" w:cs="Helvetica"/>
          <w:color w:val="333333"/>
          <w:lang w:val="en"/>
        </w:rPr>
        <w:t>-e irrespective of price incentives. With price incentives, cumulative emission reductions are projected to increase to 116 Mt CO</w:t>
      </w:r>
      <w:r>
        <w:rPr>
          <w:rFonts w:ascii="Georgia" w:hAnsi="Georgia" w:cs="Helvetica"/>
          <w:color w:val="333333"/>
          <w:sz w:val="18"/>
          <w:szCs w:val="18"/>
          <w:vertAlign w:val="subscript"/>
          <w:lang w:val="en"/>
        </w:rPr>
        <w:t>2</w:t>
      </w:r>
      <w:r>
        <w:rPr>
          <w:rFonts w:ascii="Georgia" w:hAnsi="Georgia" w:cs="Helvetica"/>
          <w:color w:val="333333"/>
          <w:lang w:val="en"/>
        </w:rPr>
        <w:t xml:space="preserve">-e in the low scenario, </w:t>
      </w:r>
      <w:r>
        <w:rPr>
          <w:rFonts w:ascii="Georgia" w:hAnsi="Georgia" w:cs="Helvetica"/>
          <w:color w:val="333333"/>
          <w:lang w:val="en"/>
        </w:rPr>
        <w:lastRenderedPageBreak/>
        <w:t>and up to 126 Mt CO</w:t>
      </w:r>
      <w:r>
        <w:rPr>
          <w:rFonts w:ascii="Georgia" w:hAnsi="Georgia" w:cs="Helvetica"/>
          <w:color w:val="333333"/>
          <w:sz w:val="18"/>
          <w:szCs w:val="18"/>
          <w:vertAlign w:val="subscript"/>
          <w:lang w:val="en"/>
        </w:rPr>
        <w:t>2</w:t>
      </w:r>
      <w:r>
        <w:rPr>
          <w:rFonts w:ascii="Georgia" w:hAnsi="Georgia" w:cs="Helvetica"/>
          <w:color w:val="333333"/>
          <w:lang w:val="en"/>
        </w:rPr>
        <w:t>-e in the medium scenario. Similarly, the ANU Centre for Climate Law and</w:t>
      </w:r>
      <w:r>
        <w:rPr>
          <w:rFonts w:ascii="Georgia" w:hAnsi="Georgia" w:cs="Helvetica"/>
          <w:color w:val="333333"/>
          <w:lang w:val="en"/>
        </w:rPr>
        <w:t xml:space="preserve"> Policy estimates potential LULUCF emissions reductions of 110–115 Mt CO</w:t>
      </w:r>
      <w:r>
        <w:rPr>
          <w:rFonts w:ascii="Georgia" w:hAnsi="Georgia" w:cs="Helvetica"/>
          <w:color w:val="333333"/>
          <w:sz w:val="18"/>
          <w:szCs w:val="18"/>
          <w:vertAlign w:val="subscript"/>
          <w:lang w:val="en"/>
        </w:rPr>
        <w:t>2</w:t>
      </w:r>
      <w:r>
        <w:rPr>
          <w:rFonts w:ascii="Georgia" w:hAnsi="Georgia" w:cs="Helvetica"/>
          <w:color w:val="333333"/>
          <w:lang w:val="en"/>
        </w:rPr>
        <w:t xml:space="preserve">-e from forest management, cropland management, grazing land management and </w:t>
      </w:r>
      <w:proofErr w:type="spellStart"/>
      <w:r>
        <w:rPr>
          <w:rFonts w:ascii="Georgia" w:hAnsi="Georgia" w:cs="Helvetica"/>
          <w:color w:val="333333"/>
          <w:lang w:val="en"/>
        </w:rPr>
        <w:t>revegetation</w:t>
      </w:r>
      <w:proofErr w:type="spellEnd"/>
      <w:r>
        <w:rPr>
          <w:rFonts w:ascii="Georgia" w:hAnsi="Georgia" w:cs="Helvetica"/>
          <w:color w:val="333333"/>
          <w:lang w:val="en"/>
        </w:rPr>
        <w:t xml:space="preserve"> activities from 2013 to 2020 (</w:t>
      </w:r>
      <w:r>
        <w:rPr>
          <w:rStyle w:val="Emphasis"/>
          <w:rFonts w:ascii="Georgia" w:hAnsi="Georgia" w:cs="Helvetica"/>
          <w:color w:val="333333"/>
          <w:lang w:val="en"/>
        </w:rPr>
        <w:t>Issues Paper submission</w:t>
      </w:r>
      <w:r>
        <w:rPr>
          <w:rFonts w:ascii="Georgia" w:hAnsi="Georgia" w:cs="Helvetica"/>
          <w:color w:val="333333"/>
          <w:lang w:val="en"/>
        </w:rPr>
        <w:t xml:space="preserve">).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Grundy et al. (forthcoming 2014) find</w:t>
      </w:r>
      <w:r>
        <w:rPr>
          <w:rFonts w:ascii="Georgia" w:hAnsi="Georgia" w:cs="Helvetica"/>
          <w:color w:val="333333"/>
          <w:lang w:val="en"/>
        </w:rPr>
        <w:t>s that, with strong price incentives, non-harvest carbon plantations and native vegetation could greatly increase sequestration to 2050. It also projects low volumes of sequestration before 2030, even with strong price incentives, due in part to probable s</w:t>
      </w:r>
      <w:r>
        <w:rPr>
          <w:rFonts w:ascii="Georgia" w:hAnsi="Georgia" w:cs="Helvetica"/>
          <w:color w:val="333333"/>
          <w:lang w:val="en"/>
        </w:rPr>
        <w:t xml:space="preserve">low uptake of new land uses and the physical characteristics of carbon sequestration.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From 2031 to 2050, Grundy et al. (forthcoming 2014) projects average annual emission reductions of between 100 and 500 Mt CO</w:t>
      </w:r>
      <w:r>
        <w:rPr>
          <w:rFonts w:ascii="Georgia" w:hAnsi="Georgia" w:cs="Helvetica"/>
          <w:color w:val="333333"/>
          <w:sz w:val="18"/>
          <w:szCs w:val="18"/>
          <w:vertAlign w:val="subscript"/>
          <w:lang w:val="en"/>
        </w:rPr>
        <w:t>2</w:t>
      </w:r>
      <w:r>
        <w:rPr>
          <w:rFonts w:ascii="Georgia" w:hAnsi="Georgia" w:cs="Helvetica"/>
          <w:color w:val="333333"/>
          <w:lang w:val="en"/>
        </w:rPr>
        <w:t>-e would be economically and technically fea</w:t>
      </w:r>
      <w:r>
        <w:rPr>
          <w:rFonts w:ascii="Georgia" w:hAnsi="Georgia" w:cs="Helvetica"/>
          <w:color w:val="333333"/>
          <w:lang w:val="en"/>
        </w:rPr>
        <w:t>sible if payments to landholders are broadly consistent with the CFI and the carbon price trajectories in the medium and high scenarios modelled by the Treasury and DIICCSRTE (2013). The upper end of this range suggests there is potential to achieve 80–100</w:t>
      </w:r>
      <w:r>
        <w:rPr>
          <w:rFonts w:ascii="Georgia" w:hAnsi="Georgia" w:cs="Helvetica"/>
          <w:color w:val="333333"/>
          <w:lang w:val="en"/>
        </w:rPr>
        <w:t xml:space="preserve"> per cent reduction in Australia’s emissions in 2050 (compared to 2000 levels) with little or no use of international units, through a combination of land sector credits and emissions reductions in energy and other sectors. </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Challenges to reducing LULUCF e</w:t>
      </w:r>
      <w:r>
        <w:rPr>
          <w:rFonts w:eastAsia="Times New Roman" w:cs="Helvetica"/>
          <w:color w:val="333333"/>
          <w:lang w:val="en"/>
        </w:rPr>
        <w:t xml:space="preserve">missions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Historically, land clearing regulations have been an important driver of land sector emissions reductions. The recent dilution of land clearing restrictions in Queensland, New South Wales and, more recently, Western Australia could make it harder</w:t>
      </w:r>
      <w:r>
        <w:rPr>
          <w:rFonts w:ascii="Georgia" w:hAnsi="Georgia" w:cs="Helvetica"/>
          <w:color w:val="333333"/>
          <w:lang w:val="en"/>
        </w:rPr>
        <w:t xml:space="preserve"> to reduce land sector emissions.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LULUCF emissions reductions also face many barriers similar to those of agriculture. Effective methodologies to ensure that emissions reductions are measurable and robust are critical. Substantial research is likely to be</w:t>
      </w:r>
      <w:r>
        <w:rPr>
          <w:rFonts w:ascii="Georgia" w:hAnsi="Georgia" w:cs="Helvetica"/>
          <w:color w:val="333333"/>
          <w:lang w:val="en"/>
        </w:rPr>
        <w:t xml:space="preserve"> required to design effective incentive policies that accurately measure emissions reductions from changed land and forest management practices, and ensure that attributed emissions reductions are robust and permanent.</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For smaller scale operations, availab</w:t>
      </w:r>
      <w:r>
        <w:rPr>
          <w:rFonts w:ascii="Georgia" w:hAnsi="Georgia" w:cs="Helvetica"/>
          <w:color w:val="333333"/>
          <w:lang w:val="en"/>
        </w:rPr>
        <w:t>le returns may be insufficient to make adopting emissions reductions technologies or practices worthwhile, and limited access to capital may also be a barrier. Requirements for ‘permanence’ in carbon sequestration projects, such as forestry, may also fix l</w:t>
      </w:r>
      <w:r>
        <w:rPr>
          <w:rFonts w:ascii="Georgia" w:hAnsi="Georgia" w:cs="Helvetica"/>
          <w:color w:val="333333"/>
          <w:lang w:val="en"/>
        </w:rPr>
        <w:t xml:space="preserve">and uses for periods of up to a century. For activities such as forestry plantings on pasture lands, landowners will need to consider the value of alternative uses. Projected increased demand for agricultural commodities may make forestry investments less </w:t>
      </w:r>
      <w:r>
        <w:rPr>
          <w:rFonts w:ascii="Georgia" w:hAnsi="Georgia" w:cs="Helvetica"/>
          <w:color w:val="333333"/>
          <w:lang w:val="en"/>
        </w:rPr>
        <w:t>attractive, relative to investing in agriculture.</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 detailed analysis of progress in reducing LULUCF emissions is presented in Appendix D9.</w:t>
      </w:r>
    </w:p>
    <w:p w:rsidR="00000000" w:rsidRDefault="009123E6">
      <w:pPr>
        <w:pStyle w:val="Heading3"/>
        <w:divId w:val="894126188"/>
        <w:rPr>
          <w:rFonts w:eastAsia="Times New Roman" w:cs="Helvetica"/>
          <w:color w:val="333333"/>
          <w:lang w:val="en"/>
        </w:rPr>
      </w:pPr>
      <w:r>
        <w:rPr>
          <w:rFonts w:eastAsia="Times New Roman" w:cs="Helvetica"/>
          <w:color w:val="333333"/>
          <w:lang w:val="en"/>
        </w:rPr>
        <w:t>11.4.8 Waste</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lastRenderedPageBreak/>
        <w:t>Waste includes solid waste and wastewater from residential, commercial and industrial activity. Waste e</w:t>
      </w:r>
      <w:r>
        <w:rPr>
          <w:rFonts w:ascii="Georgia" w:hAnsi="Georgia" w:cs="Helvetica"/>
          <w:color w:val="333333"/>
          <w:lang w:val="en"/>
        </w:rPr>
        <w:t xml:space="preserve">missions are mainly methane and nitrous oxide, which arise as organic waste decomposes in the absence of oxygen. The waste sector accounted for 3 per cent of Australia’s emissions in 2012.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Waste sector emissions have decreased by 26 per cent since 1990 de</w:t>
      </w:r>
      <w:r>
        <w:rPr>
          <w:rFonts w:ascii="Georgia" w:hAnsi="Georgia" w:cs="Helvetica"/>
          <w:color w:val="333333"/>
          <w:lang w:val="en"/>
        </w:rPr>
        <w:t xml:space="preserve">spite population growth and increased waste volumes. Under all modelled scenarios, waste emissions will continue falling (Figure 11.16). In the absence of a carbon price or any new policy measures, waste emissions are projected to fall marginally to about </w:t>
      </w:r>
      <w:r>
        <w:rPr>
          <w:rFonts w:ascii="Georgia" w:hAnsi="Georgia" w:cs="Helvetica"/>
          <w:color w:val="333333"/>
          <w:lang w:val="en"/>
        </w:rPr>
        <w:t>15 Mt CO</w:t>
      </w:r>
      <w:r>
        <w:rPr>
          <w:rFonts w:ascii="Georgia" w:hAnsi="Georgia" w:cs="Helvetica"/>
          <w:color w:val="333333"/>
          <w:sz w:val="18"/>
          <w:szCs w:val="18"/>
          <w:vertAlign w:val="subscript"/>
          <w:lang w:val="en"/>
        </w:rPr>
        <w:t>2</w:t>
      </w:r>
      <w:r>
        <w:rPr>
          <w:rFonts w:ascii="Georgia" w:hAnsi="Georgia" w:cs="Helvetica"/>
          <w:color w:val="333333"/>
          <w:lang w:val="en"/>
        </w:rPr>
        <w:t>-e in 2030. Further emissions reductions of between 6 and 8 Mt CO</w:t>
      </w:r>
      <w:r>
        <w:rPr>
          <w:rFonts w:ascii="Georgia" w:hAnsi="Georgia" w:cs="Helvetica"/>
          <w:color w:val="333333"/>
          <w:sz w:val="18"/>
          <w:szCs w:val="18"/>
          <w:vertAlign w:val="subscript"/>
          <w:lang w:val="en"/>
        </w:rPr>
        <w:t>2</w:t>
      </w:r>
      <w:r>
        <w:rPr>
          <w:rFonts w:ascii="Georgia" w:hAnsi="Georgia" w:cs="Helvetica"/>
          <w:color w:val="333333"/>
          <w:lang w:val="en"/>
        </w:rPr>
        <w:t>-e (compared to the no price scenario) could be expected under the scenarios with a price incentive.</w:t>
      </w:r>
    </w:p>
    <w:p w:rsidR="00000000" w:rsidRDefault="009123E6">
      <w:pPr>
        <w:pStyle w:val="Heading2"/>
        <w:divId w:val="894126188"/>
        <w:rPr>
          <w:rFonts w:eastAsia="Times New Roman" w:cs="Helvetica"/>
          <w:color w:val="333333"/>
          <w:lang w:val="en"/>
        </w:rPr>
      </w:pPr>
      <w:r>
        <w:rPr>
          <w:rFonts w:eastAsia="Times New Roman" w:cs="Helvetica"/>
          <w:color w:val="333333"/>
          <w:lang w:val="en"/>
        </w:rPr>
        <w:t>Figure 11.16: Waste emissions, historical and projected, 1990–2030</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noProof/>
          <w:color w:val="333333"/>
        </w:rPr>
        <w:drawing>
          <wp:inline distT="0" distB="0" distL="0" distR="0">
            <wp:extent cx="5906880" cy="2449800"/>
            <wp:effectExtent l="0" t="0" r="0" b="0"/>
            <wp:docPr id="16" name="Picture 16" descr="Figure 11.16 shows Australia’s historical and projected waste emissions between 1990 and 2030. &#10;Australia’s waste emissions decreased between 1990 and 2000. Australia’s waste emissions are projected to decrease further to 13 per cent below 2000 levels by 2030 in the no price scenario, 49 per cent below 2000 levels in the low scenario, 51 per cent below 2000 levels in the medium scenario and 60 per cent below 2000 levels in the high scenari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11.16 shows Australia’s historical and projected waste emissions between 1990 and 2030. &#10;Australia’s waste emissions decreased between 1990 and 2000. Australia’s waste emissions are projected to decrease further to 13 per cent below 2000 levels by 2030 in the no price scenario, 49 per cent below 2000 levels in the low scenario, 51 per cent below 2000 levels in the medium scenario and 60 per cent below 2000 levels in the high scenario.&#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6880" cy="2449800"/>
                    </a:xfrm>
                    <a:prstGeom prst="rect">
                      <a:avLst/>
                    </a:prstGeom>
                    <a:noFill/>
                    <a:ln>
                      <a:noFill/>
                    </a:ln>
                  </pic:spPr>
                </pic:pic>
              </a:graphicData>
            </a:graphic>
          </wp:inline>
        </w:drawing>
      </w:r>
      <w:r>
        <w:rPr>
          <w:rFonts w:ascii="Georgia" w:hAnsi="Georgia" w:cs="Helvetica"/>
          <w:color w:val="333333"/>
          <w:lang w:val="en"/>
        </w:rPr>
        <w:t> </w:t>
      </w:r>
      <w:r>
        <w:rPr>
          <w:rStyle w:val="Strong"/>
          <w:rFonts w:ascii="Georgia" w:hAnsi="Georgia" w:cs="Helvetica"/>
          <w:color w:val="333333"/>
          <w:lang w:val="en"/>
        </w:rPr>
        <w:t>Source:</w:t>
      </w:r>
      <w:r>
        <w:rPr>
          <w:rFonts w:ascii="Georgia" w:hAnsi="Georgia" w:cs="Helvetica"/>
          <w:color w:val="333333"/>
          <w:lang w:val="en"/>
        </w:rPr>
        <w:t xml:space="preserve"> Climate Change Authority calculations using results from Treasury and DIICCSRTE 2013</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Gas </w:t>
      </w:r>
      <w:r>
        <w:rPr>
          <w:rFonts w:ascii="Georgia" w:hAnsi="Georgia" w:cs="Helvetica"/>
          <w:color w:val="333333"/>
          <w:lang w:val="en"/>
        </w:rPr>
        <w:t>capture technologies can significantly reduce waste emissions. Historically, both regulatory and market-based measures have successfully driven the deployment of these technologies. Direct regulation of landfills for health and safety purposes has played a</w:t>
      </w:r>
      <w:r>
        <w:rPr>
          <w:rFonts w:ascii="Georgia" w:hAnsi="Georgia" w:cs="Helvetica"/>
          <w:color w:val="333333"/>
          <w:lang w:val="en"/>
        </w:rPr>
        <w:t xml:space="preserve"> major role, as have market incentives. The New South Wales Greenhouse Gas Reduction Scheme and the RET have been important in reducing emissions from landfill. The RET and the CFI are expected to drive further reductions.</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Opportunities to reduce waste emi</w:t>
      </w:r>
      <w:r>
        <w:rPr>
          <w:rFonts w:eastAsia="Times New Roman" w:cs="Helvetica"/>
          <w:color w:val="333333"/>
          <w:lang w:val="en"/>
        </w:rPr>
        <w:t xml:space="preserve">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 major emissions reduction opportunity for waste is the expansion of alternative waste treatment facilities to reduce waste volumes being sent to landfill. This relies on development of new facilities and installation of new technologies, such as food w</w:t>
      </w:r>
      <w:r>
        <w:rPr>
          <w:rFonts w:ascii="Georgia" w:hAnsi="Georgia" w:cs="Helvetica"/>
          <w:color w:val="333333"/>
          <w:lang w:val="en"/>
        </w:rPr>
        <w:t>aste treatment and other thermal energy recovery technologies. Further emissions reductions could be generated by improving gas capture technology efficiency rates at landfill and wastewater facilities, and extending coverage of these technologies to small</w:t>
      </w:r>
      <w:r>
        <w:rPr>
          <w:rFonts w:ascii="Georgia" w:hAnsi="Georgia" w:cs="Helvetica"/>
          <w:color w:val="333333"/>
          <w:lang w:val="en"/>
        </w:rPr>
        <w:t xml:space="preserve">er facilities. A price incentive would increase uptake of both gas collection and destruction and alternative waste treatment technologies. The CFI already provides </w:t>
      </w:r>
      <w:r>
        <w:rPr>
          <w:rFonts w:ascii="Georgia" w:hAnsi="Georgia" w:cs="Helvetica"/>
          <w:color w:val="333333"/>
          <w:lang w:val="en"/>
        </w:rPr>
        <w:lastRenderedPageBreak/>
        <w:t xml:space="preserve">incentives to destroy methane emissions from ‘legacy’ waste (deposited at landfills before </w:t>
      </w:r>
      <w:r>
        <w:rPr>
          <w:rFonts w:ascii="Georgia" w:hAnsi="Georgia" w:cs="Helvetica"/>
          <w:color w:val="333333"/>
          <w:lang w:val="en"/>
        </w:rPr>
        <w:t>July 2012).</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There is some evidence that increasing the cost of landfill disposal makes alternative waste treatment a more attractive option as it drives waste streams away from landfill. This has been addressed via increased landfill levies in some Austral</w:t>
      </w:r>
      <w:r>
        <w:rPr>
          <w:rFonts w:ascii="Georgia" w:hAnsi="Georgia" w:cs="Helvetica"/>
          <w:color w:val="333333"/>
          <w:lang w:val="en"/>
        </w:rPr>
        <w:t>ian states and in the UK.</w:t>
      </w:r>
    </w:p>
    <w:p w:rsidR="00000000" w:rsidRDefault="009123E6">
      <w:pPr>
        <w:pStyle w:val="Heading5"/>
        <w:divId w:val="894126188"/>
        <w:rPr>
          <w:rFonts w:eastAsia="Times New Roman" w:cs="Helvetica"/>
          <w:color w:val="333333"/>
          <w:lang w:val="en"/>
        </w:rPr>
      </w:pPr>
      <w:r>
        <w:rPr>
          <w:rFonts w:eastAsia="Times New Roman" w:cs="Helvetica"/>
          <w:color w:val="333333"/>
          <w:lang w:val="en"/>
        </w:rPr>
        <w:t xml:space="preserve">Challenges to reducing waste emissions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 xml:space="preserve">Australia has high levels of adoption of conventional emissions reduction technologies such as gas capture and alternative waste treatment relative to other countries. </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There are several bar</w:t>
      </w:r>
      <w:r>
        <w:rPr>
          <w:rFonts w:ascii="Georgia" w:hAnsi="Georgia" w:cs="Helvetica"/>
          <w:color w:val="333333"/>
          <w:lang w:val="en"/>
        </w:rPr>
        <w:t xml:space="preserve">riers to </w:t>
      </w:r>
      <w:proofErr w:type="spellStart"/>
      <w:r>
        <w:rPr>
          <w:rFonts w:ascii="Georgia" w:hAnsi="Georgia" w:cs="Helvetica"/>
          <w:color w:val="333333"/>
          <w:lang w:val="en"/>
        </w:rPr>
        <w:t>realising</w:t>
      </w:r>
      <w:proofErr w:type="spellEnd"/>
      <w:r>
        <w:rPr>
          <w:rFonts w:ascii="Georgia" w:hAnsi="Georgia" w:cs="Helvetica"/>
          <w:color w:val="333333"/>
          <w:lang w:val="en"/>
        </w:rPr>
        <w:t xml:space="preserve"> further emission reductions in the waste sector:</w:t>
      </w:r>
    </w:p>
    <w:p w:rsidR="00000000" w:rsidRDefault="009123E6">
      <w:pPr>
        <w:numPr>
          <w:ilvl w:val="0"/>
          <w:numId w:val="16"/>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Installing new technologies involves large capital costs that may take an extended operating period to recover. This suggests that a strong and stable price incentive, or a clear and enfor</w:t>
      </w:r>
      <w:r>
        <w:rPr>
          <w:rFonts w:ascii="Georgia" w:eastAsia="Times New Roman" w:hAnsi="Georgia" w:cs="Helvetica"/>
          <w:color w:val="333333"/>
          <w:lang w:val="en"/>
        </w:rPr>
        <w:t>ceable regulatory requirement, would be needed to promote investment in these technologies.</w:t>
      </w:r>
    </w:p>
    <w:p w:rsidR="00000000" w:rsidRDefault="009123E6">
      <w:pPr>
        <w:numPr>
          <w:ilvl w:val="0"/>
          <w:numId w:val="16"/>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New waste treatment technologies and processes such as food waste treatment and thermal treatment plants may face hurdles of gaining community acceptance, finding s</w:t>
      </w:r>
      <w:r>
        <w:rPr>
          <w:rFonts w:ascii="Georgia" w:eastAsia="Times New Roman" w:hAnsi="Georgia" w:cs="Helvetica"/>
          <w:color w:val="333333"/>
          <w:lang w:val="en"/>
        </w:rPr>
        <w:t>uitable available land, meeting local planning requirements and gaining sufficient funding.</w:t>
      </w:r>
    </w:p>
    <w:p w:rsidR="00000000" w:rsidRDefault="009123E6">
      <w:pPr>
        <w:numPr>
          <w:ilvl w:val="0"/>
          <w:numId w:val="16"/>
        </w:numPr>
        <w:spacing w:before="100" w:beforeAutospacing="1" w:after="100" w:afterAutospacing="1" w:line="300" w:lineRule="atLeast"/>
        <w:ind w:left="375"/>
        <w:divId w:val="894126188"/>
        <w:rPr>
          <w:rFonts w:ascii="Georgia" w:eastAsia="Times New Roman" w:hAnsi="Georgia" w:cs="Helvetica"/>
          <w:color w:val="333333"/>
          <w:lang w:val="en"/>
        </w:rPr>
      </w:pPr>
      <w:r>
        <w:rPr>
          <w:rFonts w:ascii="Georgia" w:eastAsia="Times New Roman" w:hAnsi="Georgia" w:cs="Helvetica"/>
          <w:color w:val="333333"/>
          <w:lang w:val="en"/>
        </w:rPr>
        <w:t>Alternative waste treatment and other emissions reduction technologies require a minimum scale to be cost-effective. Smaller towns in rural and regional areas often</w:t>
      </w:r>
      <w:r>
        <w:rPr>
          <w:rFonts w:ascii="Georgia" w:eastAsia="Times New Roman" w:hAnsi="Georgia" w:cs="Helvetica"/>
          <w:color w:val="333333"/>
          <w:lang w:val="en"/>
        </w:rPr>
        <w:t xml:space="preserve"> do not generate enough waste for local councils to justify the investment.</w:t>
      </w:r>
    </w:p>
    <w:p w:rsidR="00000000" w:rsidRDefault="009123E6">
      <w:pPr>
        <w:pStyle w:val="NormalWeb"/>
        <w:spacing w:line="300" w:lineRule="atLeast"/>
        <w:divId w:val="894126188"/>
        <w:rPr>
          <w:rFonts w:ascii="Georgia" w:hAnsi="Georgia" w:cs="Helvetica"/>
          <w:color w:val="333333"/>
          <w:lang w:val="en"/>
        </w:rPr>
      </w:pPr>
      <w:r>
        <w:rPr>
          <w:rFonts w:ascii="Georgia" w:hAnsi="Georgia" w:cs="Helvetica"/>
          <w:color w:val="333333"/>
          <w:lang w:val="en"/>
        </w:rPr>
        <w:t>A detailed analysis of progress in reducing waste emissions is presented in Appendix D10.</w:t>
      </w:r>
    </w:p>
    <w:p w:rsidR="00000000" w:rsidRDefault="009123E6">
      <w:pPr>
        <w:pStyle w:val="Heading2"/>
        <w:shd w:val="clear" w:color="auto" w:fill="FCF8E3"/>
        <w:divId w:val="1207571282"/>
        <w:rPr>
          <w:rFonts w:eastAsia="Times New Roman" w:cs="Helvetica"/>
          <w:color w:val="C09853"/>
          <w:lang w:val="en"/>
        </w:rPr>
      </w:pPr>
      <w:r>
        <w:rPr>
          <w:rFonts w:eastAsia="Times New Roman" w:cs="Helvetica"/>
          <w:color w:val="C09853"/>
          <w:lang w:val="en"/>
        </w:rPr>
        <w:t>Conclusions</w:t>
      </w:r>
    </w:p>
    <w:p w:rsidR="00000000" w:rsidRDefault="009123E6">
      <w:pPr>
        <w:pStyle w:val="NormalWeb"/>
        <w:shd w:val="clear" w:color="auto" w:fill="FCF8E3"/>
        <w:spacing w:line="300" w:lineRule="atLeast"/>
        <w:divId w:val="1207571282"/>
        <w:rPr>
          <w:rFonts w:ascii="Georgia" w:hAnsi="Georgia" w:cs="Helvetica"/>
          <w:color w:val="C09853"/>
          <w:lang w:val="en"/>
        </w:rPr>
      </w:pPr>
      <w:r>
        <w:rPr>
          <w:rFonts w:ascii="Georgia" w:hAnsi="Georgia" w:cs="Helvetica"/>
          <w:color w:val="C09853"/>
          <w:lang w:val="en"/>
        </w:rPr>
        <w:t>C.16</w:t>
      </w:r>
      <w:r>
        <w:rPr>
          <w:rFonts w:ascii="Georgia" w:hAnsi="Georgia" w:cs="Helvetica"/>
          <w:color w:val="C09853"/>
          <w:lang w:val="en"/>
        </w:rPr>
        <w:tab/>
      </w:r>
      <w:r>
        <w:rPr>
          <w:rFonts w:ascii="Georgia" w:hAnsi="Georgia" w:cs="Helvetica"/>
          <w:color w:val="C09853"/>
          <w:lang w:val="en"/>
        </w:rPr>
        <w:t xml:space="preserve">The rate of reduction in emissions intensity since 1990 is not sufficient to drive absolute reductions in Australia’s emissions in the period to 2030. </w:t>
      </w:r>
    </w:p>
    <w:p w:rsidR="00000000" w:rsidRDefault="009123E6">
      <w:pPr>
        <w:pStyle w:val="NormalWeb"/>
        <w:shd w:val="clear" w:color="auto" w:fill="FCF8E3"/>
        <w:spacing w:line="300" w:lineRule="atLeast"/>
        <w:divId w:val="1207571282"/>
        <w:rPr>
          <w:rFonts w:ascii="Georgia" w:hAnsi="Georgia" w:cs="Helvetica"/>
          <w:color w:val="C09853"/>
          <w:lang w:val="en"/>
        </w:rPr>
      </w:pPr>
      <w:r>
        <w:rPr>
          <w:rFonts w:ascii="Georgia" w:hAnsi="Georgia" w:cs="Helvetica"/>
          <w:color w:val="C09853"/>
          <w:lang w:val="en"/>
        </w:rPr>
        <w:t>C.17</w:t>
      </w:r>
      <w:r>
        <w:rPr>
          <w:rFonts w:ascii="Georgia" w:hAnsi="Georgia" w:cs="Helvetica"/>
          <w:color w:val="C09853"/>
          <w:lang w:val="en"/>
        </w:rPr>
        <w:tab/>
        <w:t>Without a price incentive or additional policies, economy-wide emissions are projected to rise to 1</w:t>
      </w:r>
      <w:r>
        <w:rPr>
          <w:rFonts w:ascii="Georgia" w:hAnsi="Georgia" w:cs="Helvetica"/>
          <w:color w:val="C09853"/>
          <w:lang w:val="en"/>
        </w:rPr>
        <w:t>7 per cent above 2000 levels in 2020 and 37 per cent in 2030.</w:t>
      </w:r>
    </w:p>
    <w:p w:rsidR="00000000" w:rsidRDefault="009123E6">
      <w:pPr>
        <w:pStyle w:val="NormalWeb"/>
        <w:shd w:val="clear" w:color="auto" w:fill="FCF8E3"/>
        <w:spacing w:line="300" w:lineRule="atLeast"/>
        <w:divId w:val="1207571282"/>
        <w:rPr>
          <w:rFonts w:ascii="Georgia" w:hAnsi="Georgia" w:cs="Helvetica"/>
          <w:color w:val="C09853"/>
          <w:lang w:val="en"/>
        </w:rPr>
      </w:pPr>
      <w:r>
        <w:rPr>
          <w:rFonts w:ascii="Georgia" w:hAnsi="Georgia" w:cs="Helvetica"/>
          <w:color w:val="C09853"/>
          <w:lang w:val="en"/>
        </w:rPr>
        <w:t>C.18</w:t>
      </w:r>
      <w:r>
        <w:rPr>
          <w:rFonts w:ascii="Georgia" w:hAnsi="Georgia" w:cs="Helvetica"/>
          <w:color w:val="C09853"/>
          <w:lang w:val="en"/>
        </w:rPr>
        <w:tab/>
        <w:t>Australia has extensive opportunities to reduce emissions at relatively low costs, but it will take time to replace the stock of buildings, vehicles, equipment and plant. To achieve Austral</w:t>
      </w:r>
      <w:r>
        <w:rPr>
          <w:rFonts w:ascii="Georgia" w:hAnsi="Georgia" w:cs="Helvetica"/>
          <w:color w:val="C09853"/>
          <w:lang w:val="en"/>
        </w:rPr>
        <w:t>ia’s emissions reduction goals and avoid locking in future emissions growth, stable, cost-effective and complementary policies need to be in place this decade.</w:t>
      </w:r>
    </w:p>
    <w:p w:rsidR="00000000" w:rsidRDefault="009123E6">
      <w:pPr>
        <w:pStyle w:val="NormalWeb"/>
        <w:shd w:val="clear" w:color="auto" w:fill="FCF8E3"/>
        <w:spacing w:line="300" w:lineRule="atLeast"/>
        <w:divId w:val="1207571282"/>
        <w:rPr>
          <w:rFonts w:ascii="Georgia" w:hAnsi="Georgia" w:cs="Helvetica"/>
          <w:color w:val="C09853"/>
          <w:lang w:val="en"/>
        </w:rPr>
      </w:pPr>
      <w:r>
        <w:rPr>
          <w:rFonts w:ascii="Georgia" w:hAnsi="Georgia" w:cs="Helvetica"/>
          <w:color w:val="C09853"/>
          <w:lang w:val="en"/>
        </w:rPr>
        <w:t>C.19</w:t>
      </w:r>
      <w:r>
        <w:rPr>
          <w:rFonts w:ascii="Georgia" w:hAnsi="Georgia" w:cs="Helvetica"/>
          <w:color w:val="C09853"/>
          <w:lang w:val="en"/>
        </w:rPr>
        <w:tab/>
        <w:t>Electricity sector emissions are projected to grow strongly without a price incentive or ot</w:t>
      </w:r>
      <w:r>
        <w:rPr>
          <w:rFonts w:ascii="Georgia" w:hAnsi="Georgia" w:cs="Helvetica"/>
          <w:color w:val="C09853"/>
          <w:lang w:val="en"/>
        </w:rPr>
        <w:t>her policy mechanism. With price incentives, the sector could be the single largest source of domestic emissions reductions.</w:t>
      </w:r>
    </w:p>
    <w:p w:rsidR="00000000" w:rsidRDefault="009123E6">
      <w:pPr>
        <w:pStyle w:val="NormalWeb"/>
        <w:shd w:val="clear" w:color="auto" w:fill="FCF8E3"/>
        <w:spacing w:line="300" w:lineRule="atLeast"/>
        <w:divId w:val="1207571282"/>
        <w:rPr>
          <w:rFonts w:ascii="Georgia" w:hAnsi="Georgia" w:cs="Helvetica"/>
          <w:color w:val="C09853"/>
          <w:lang w:val="en"/>
        </w:rPr>
      </w:pPr>
      <w:r>
        <w:rPr>
          <w:rFonts w:ascii="Georgia" w:hAnsi="Georgia" w:cs="Helvetica"/>
          <w:color w:val="C09853"/>
          <w:lang w:val="en"/>
        </w:rPr>
        <w:lastRenderedPageBreak/>
        <w:t>C.20</w:t>
      </w:r>
      <w:r>
        <w:rPr>
          <w:rFonts w:ascii="Georgia" w:hAnsi="Georgia" w:cs="Helvetica"/>
          <w:color w:val="C09853"/>
          <w:lang w:val="en"/>
        </w:rPr>
        <w:tab/>
        <w:t xml:space="preserve">Without a price incentive, rapid growth in demand for road transport and domestic air travel is projected to drive increasing </w:t>
      </w:r>
      <w:r>
        <w:rPr>
          <w:rFonts w:ascii="Georgia" w:hAnsi="Georgia" w:cs="Helvetica"/>
          <w:color w:val="C09853"/>
          <w:lang w:val="en"/>
        </w:rPr>
        <w:t>transport emissions. Appropriate policies could deliver significant transport emissions reductions.</w:t>
      </w:r>
    </w:p>
    <w:sectPr w:rsidR="00000000" w:rsidSect="009123E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679D"/>
    <w:multiLevelType w:val="multilevel"/>
    <w:tmpl w:val="69E4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2213A"/>
    <w:multiLevelType w:val="multilevel"/>
    <w:tmpl w:val="E8DC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76D4E"/>
    <w:multiLevelType w:val="multilevel"/>
    <w:tmpl w:val="4F28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33DA5"/>
    <w:multiLevelType w:val="multilevel"/>
    <w:tmpl w:val="5938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81D1A"/>
    <w:multiLevelType w:val="multilevel"/>
    <w:tmpl w:val="656A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C24134"/>
    <w:multiLevelType w:val="multilevel"/>
    <w:tmpl w:val="2E3A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C1D36"/>
    <w:multiLevelType w:val="multilevel"/>
    <w:tmpl w:val="C6E0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E32361"/>
    <w:multiLevelType w:val="multilevel"/>
    <w:tmpl w:val="DF22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013CC"/>
    <w:multiLevelType w:val="multilevel"/>
    <w:tmpl w:val="71DA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F4584"/>
    <w:multiLevelType w:val="multilevel"/>
    <w:tmpl w:val="14F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D02A06"/>
    <w:multiLevelType w:val="multilevel"/>
    <w:tmpl w:val="AB04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E31F54"/>
    <w:multiLevelType w:val="multilevel"/>
    <w:tmpl w:val="0C92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3B3AB6"/>
    <w:multiLevelType w:val="multilevel"/>
    <w:tmpl w:val="1BCA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C45763"/>
    <w:multiLevelType w:val="multilevel"/>
    <w:tmpl w:val="82B2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EE7826"/>
    <w:multiLevelType w:val="multilevel"/>
    <w:tmpl w:val="5336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4F3FE9"/>
    <w:multiLevelType w:val="multilevel"/>
    <w:tmpl w:val="1CCA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1"/>
  </w:num>
  <w:num w:numId="4">
    <w:abstractNumId w:val="9"/>
  </w:num>
  <w:num w:numId="5">
    <w:abstractNumId w:val="10"/>
  </w:num>
  <w:num w:numId="6">
    <w:abstractNumId w:val="4"/>
  </w:num>
  <w:num w:numId="7">
    <w:abstractNumId w:val="2"/>
  </w:num>
  <w:num w:numId="8">
    <w:abstractNumId w:val="13"/>
  </w:num>
  <w:num w:numId="9">
    <w:abstractNumId w:val="8"/>
  </w:num>
  <w:num w:numId="10">
    <w:abstractNumId w:val="6"/>
  </w:num>
  <w:num w:numId="11">
    <w:abstractNumId w:val="1"/>
  </w:num>
  <w:num w:numId="12">
    <w:abstractNumId w:val="12"/>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123E6"/>
    <w:rsid w:val="0091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BC9BFB-DD90-4499-B464-A1CE95B4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50" w:after="150" w:line="600" w:lineRule="atLeast"/>
      <w:outlineLvl w:val="0"/>
    </w:pPr>
    <w:rPr>
      <w:rFonts w:ascii="inherit" w:hAnsi="inherit"/>
      <w:b/>
      <w:bCs/>
      <w:kern w:val="36"/>
      <w:sz w:val="54"/>
      <w:szCs w:val="54"/>
    </w:rPr>
  </w:style>
  <w:style w:type="paragraph" w:styleId="Heading2">
    <w:name w:val="heading 2"/>
    <w:basedOn w:val="Normal"/>
    <w:link w:val="Heading2Char"/>
    <w:uiPriority w:val="9"/>
    <w:qFormat/>
    <w:pPr>
      <w:spacing w:before="150" w:after="150" w:line="600" w:lineRule="atLeast"/>
      <w:outlineLvl w:val="1"/>
    </w:pPr>
    <w:rPr>
      <w:rFonts w:ascii="inherit" w:hAnsi="inherit"/>
      <w:b/>
      <w:bCs/>
      <w:sz w:val="31"/>
      <w:szCs w:val="31"/>
    </w:rPr>
  </w:style>
  <w:style w:type="paragraph" w:styleId="Heading3">
    <w:name w:val="heading 3"/>
    <w:basedOn w:val="Normal"/>
    <w:link w:val="Heading3Char"/>
    <w:uiPriority w:val="9"/>
    <w:qFormat/>
    <w:pPr>
      <w:spacing w:before="150" w:after="150" w:line="600" w:lineRule="atLeast"/>
      <w:outlineLvl w:val="2"/>
    </w:pPr>
    <w:rPr>
      <w:rFonts w:ascii="inherit" w:hAnsi="inherit"/>
      <w:b/>
      <w:bCs/>
      <w:sz w:val="29"/>
      <w:szCs w:val="29"/>
    </w:rPr>
  </w:style>
  <w:style w:type="paragraph" w:styleId="Heading4">
    <w:name w:val="heading 4"/>
    <w:basedOn w:val="Normal"/>
    <w:link w:val="Heading4Char"/>
    <w:uiPriority w:val="9"/>
    <w:qFormat/>
    <w:pPr>
      <w:spacing w:before="150" w:after="150" w:line="300" w:lineRule="atLeast"/>
      <w:outlineLvl w:val="3"/>
    </w:pPr>
    <w:rPr>
      <w:rFonts w:ascii="inherit" w:hAnsi="inherit"/>
      <w:b/>
      <w:bCs/>
      <w:sz w:val="26"/>
      <w:szCs w:val="26"/>
    </w:rPr>
  </w:style>
  <w:style w:type="paragraph" w:styleId="Heading5">
    <w:name w:val="heading 5"/>
    <w:basedOn w:val="Normal"/>
    <w:link w:val="Heading5Char"/>
    <w:uiPriority w:val="9"/>
    <w:qFormat/>
    <w:pPr>
      <w:spacing w:before="150" w:after="150" w:line="300" w:lineRule="atLeast"/>
      <w:outlineLvl w:val="4"/>
    </w:pPr>
    <w:rPr>
      <w:rFonts w:ascii="inherit" w:hAnsi="inherit"/>
      <w:b/>
      <w:bCs/>
      <w:sz w:val="21"/>
      <w:szCs w:val="21"/>
    </w:rPr>
  </w:style>
  <w:style w:type="paragraph" w:styleId="Heading6">
    <w:name w:val="heading 6"/>
    <w:basedOn w:val="Normal"/>
    <w:link w:val="Heading6Char"/>
    <w:uiPriority w:val="9"/>
    <w:qFormat/>
    <w:pPr>
      <w:spacing w:before="150" w:after="150" w:line="300" w:lineRule="atLeast"/>
      <w:outlineLvl w:val="5"/>
    </w:pPr>
    <w:rPr>
      <w:rFonts w:ascii="inherit" w:hAnsi="inheri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88CC"/>
      <w:u w:val="none"/>
      <w:effect w:val="none"/>
    </w:rPr>
  </w:style>
  <w:style w:type="character" w:styleId="FollowedHyperlink">
    <w:name w:val="FollowedHyperlink"/>
    <w:basedOn w:val="DefaultParagraphFont"/>
    <w:uiPriority w:val="99"/>
    <w:semiHidden/>
    <w:unhideWhenUsed/>
    <w:rPr>
      <w:strike w:val="0"/>
      <w:dstrike w:val="0"/>
      <w:color w:val="0088CC"/>
      <w:u w:val="none"/>
      <w:effect w:val="none"/>
    </w:rPr>
  </w:style>
  <w:style w:type="paragraph" w:styleId="HTMLAddress">
    <w:name w:val="HTML Address"/>
    <w:basedOn w:val="Normal"/>
    <w:link w:val="HTMLAddressChar"/>
    <w:uiPriority w:val="99"/>
    <w:semiHidden/>
    <w:unhideWhenUsed/>
    <w:pPr>
      <w:spacing w:after="300" w:line="300" w:lineRule="atLeast"/>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nsolas" w:hint="default"/>
      <w:color w:val="DD1144"/>
      <w:sz w:val="18"/>
      <w:szCs w:val="18"/>
      <w:bdr w:val="single" w:sz="6" w:space="2" w:color="E1E1E8" w:frame="1"/>
      <w:shd w:val="clear" w:color="auto" w:fill="F7F7F9"/>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Pr>
      <w:rFonts w:ascii="Consolas" w:hAnsi="Consolas" w:cs="Consolas"/>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after="150"/>
    </w:pPr>
  </w:style>
  <w:style w:type="paragraph" w:customStyle="1" w:styleId="error">
    <w:name w:val="error"/>
    <w:basedOn w:val="Normal"/>
    <w:pPr>
      <w:spacing w:after="150"/>
    </w:pPr>
    <w:rPr>
      <w:color w:val="8C2E0B"/>
    </w:r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pPr>
      <w:spacing w:after="150"/>
    </w:pPr>
  </w:style>
  <w:style w:type="paragraph" w:customStyle="1" w:styleId="ok">
    <w:name w:val="ok"/>
    <w:basedOn w:val="Normal"/>
    <w:pPr>
      <w:spacing w:after="150"/>
    </w:pPr>
    <w:rPr>
      <w:color w:val="234600"/>
    </w:rPr>
  </w:style>
  <w:style w:type="paragraph" w:customStyle="1" w:styleId="warning">
    <w:name w:val="warning"/>
    <w:basedOn w:val="Normal"/>
    <w:pPr>
      <w:spacing w:after="150"/>
    </w:pPr>
    <w:rPr>
      <w:color w:val="884400"/>
    </w:rPr>
  </w:style>
  <w:style w:type="paragraph" w:customStyle="1" w:styleId="form-item">
    <w:name w:val="form-item"/>
    <w:basedOn w:val="Normal"/>
    <w:pPr>
      <w:spacing w:before="240" w:after="240"/>
    </w:pPr>
  </w:style>
  <w:style w:type="paragraph" w:customStyle="1" w:styleId="form-actions">
    <w:name w:val="form-actions"/>
    <w:basedOn w:val="Normal"/>
    <w:pPr>
      <w:pBdr>
        <w:top w:val="single" w:sz="6" w:space="14" w:color="E5E5E5"/>
      </w:pBdr>
      <w:shd w:val="clear" w:color="auto" w:fill="F5F5F5"/>
      <w:spacing w:before="300" w:after="300"/>
    </w:pPr>
  </w:style>
  <w:style w:type="paragraph" w:customStyle="1" w:styleId="marker">
    <w:name w:val="marker"/>
    <w:basedOn w:val="Normal"/>
    <w:pPr>
      <w:spacing w:after="150"/>
    </w:pPr>
    <w:rPr>
      <w:color w:val="FF0000"/>
    </w:rPr>
  </w:style>
  <w:style w:type="paragraph" w:customStyle="1" w:styleId="form-required">
    <w:name w:val="form-required"/>
    <w:basedOn w:val="Normal"/>
    <w:pPr>
      <w:spacing w:after="150"/>
    </w:pPr>
    <w:rPr>
      <w:color w:val="FF0000"/>
    </w:rPr>
  </w:style>
  <w:style w:type="paragraph" w:customStyle="1" w:styleId="more-link">
    <w:name w:val="more-link"/>
    <w:basedOn w:val="Normal"/>
    <w:pPr>
      <w:spacing w:after="150"/>
      <w:jc w:val="right"/>
    </w:pPr>
  </w:style>
  <w:style w:type="paragraph" w:customStyle="1" w:styleId="more-help-link">
    <w:name w:val="more-help-link"/>
    <w:basedOn w:val="Normal"/>
    <w:pPr>
      <w:spacing w:after="150"/>
      <w:jc w:val="right"/>
    </w:pPr>
  </w:style>
  <w:style w:type="paragraph" w:customStyle="1" w:styleId="pager-current">
    <w:name w:val="pager-current"/>
    <w:basedOn w:val="Normal"/>
    <w:pPr>
      <w:spacing w:after="150"/>
    </w:pPr>
    <w:rPr>
      <w:b/>
      <w:bCs/>
    </w:rPr>
  </w:style>
  <w:style w:type="paragraph" w:customStyle="1" w:styleId="tabledrag-toggle-weight">
    <w:name w:val="tabledrag-toggle-weight"/>
    <w:basedOn w:val="Normal"/>
    <w:pPr>
      <w:spacing w:after="150"/>
    </w:pPr>
    <w:rPr>
      <w:sz w:val="22"/>
      <w:szCs w:val="22"/>
    </w:rPr>
  </w:style>
  <w:style w:type="paragraph" w:customStyle="1" w:styleId="progress">
    <w:name w:val="progress"/>
    <w:basedOn w:val="Normal"/>
    <w:pPr>
      <w:shd w:val="clear" w:color="auto" w:fill="F7F7F7"/>
      <w:spacing w:after="300"/>
    </w:pPr>
    <w:rPr>
      <w:b/>
      <w:bCs/>
    </w:rPr>
  </w:style>
  <w:style w:type="paragraph" w:customStyle="1" w:styleId="indented">
    <w:name w:val="indented"/>
    <w:basedOn w:val="Normal"/>
    <w:pPr>
      <w:spacing w:after="150"/>
      <w:ind w:left="375"/>
    </w:pPr>
  </w:style>
  <w:style w:type="paragraph" w:customStyle="1" w:styleId="comment-unpublished">
    <w:name w:val="comment-unpublished"/>
    <w:basedOn w:val="Normal"/>
    <w:pPr>
      <w:shd w:val="clear" w:color="auto" w:fill="FFF4F4"/>
      <w:spacing w:after="150"/>
    </w:pPr>
  </w:style>
  <w:style w:type="paragraph" w:customStyle="1" w:styleId="comment-preview">
    <w:name w:val="comment-preview"/>
    <w:basedOn w:val="Normal"/>
    <w:pPr>
      <w:shd w:val="clear" w:color="auto" w:fill="FFFFEA"/>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search-form">
    <w:name w:val="search-form"/>
    <w:basedOn w:val="Normal"/>
    <w:pPr>
      <w:spacing w:after="240"/>
    </w:p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C4C4C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profile">
    <w:name w:val="profile"/>
    <w:basedOn w:val="Normal"/>
    <w:pPr>
      <w:spacing w:before="240" w:after="24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hide-text">
    <w:name w:val="hide-text"/>
    <w:basedOn w:val="Normal"/>
    <w:pPr>
      <w:spacing w:after="150"/>
    </w:pPr>
  </w:style>
  <w:style w:type="paragraph" w:customStyle="1" w:styleId="input-block-level">
    <w:name w:val="input-block-level"/>
    <w:basedOn w:val="Normal"/>
    <w:pPr>
      <w:spacing w:after="150"/>
    </w:pPr>
  </w:style>
  <w:style w:type="paragraph" w:customStyle="1" w:styleId="img-polaroid">
    <w:name w:val="img-polaroid"/>
    <w:basedOn w:val="Normal"/>
    <w:pPr>
      <w:pBdr>
        <w:top w:val="single" w:sz="6" w:space="3" w:color="CCCCCC"/>
        <w:left w:val="single" w:sz="6" w:space="3" w:color="CCCCCC"/>
        <w:bottom w:val="single" w:sz="6" w:space="3" w:color="CCCCCC"/>
        <w:right w:val="single" w:sz="6" w:space="3" w:color="CCCCCC"/>
      </w:pBdr>
      <w:shd w:val="clear" w:color="auto" w:fill="FFFFFF"/>
      <w:spacing w:after="150"/>
    </w:pPr>
  </w:style>
  <w:style w:type="paragraph" w:customStyle="1" w:styleId="row">
    <w:name w:val="row"/>
    <w:basedOn w:val="Normal"/>
    <w:pPr>
      <w:spacing w:after="150"/>
      <w:ind w:left="-300"/>
    </w:pPr>
  </w:style>
  <w:style w:type="paragraph" w:customStyle="1" w:styleId="container">
    <w:name w:val="container"/>
    <w:basedOn w:val="Normal"/>
    <w:pPr>
      <w:spacing w:after="150"/>
    </w:pPr>
  </w:style>
  <w:style w:type="paragraph" w:customStyle="1" w:styleId="span12">
    <w:name w:val="span12"/>
    <w:basedOn w:val="Normal"/>
    <w:pPr>
      <w:spacing w:after="150"/>
    </w:pPr>
  </w:style>
  <w:style w:type="paragraph" w:customStyle="1" w:styleId="span11">
    <w:name w:val="span11"/>
    <w:basedOn w:val="Normal"/>
    <w:pPr>
      <w:spacing w:after="150"/>
    </w:pPr>
  </w:style>
  <w:style w:type="paragraph" w:customStyle="1" w:styleId="span10">
    <w:name w:val="span10"/>
    <w:basedOn w:val="Normal"/>
    <w:pPr>
      <w:spacing w:after="150"/>
    </w:pPr>
  </w:style>
  <w:style w:type="paragraph" w:customStyle="1" w:styleId="span9">
    <w:name w:val="span9"/>
    <w:basedOn w:val="Normal"/>
    <w:pPr>
      <w:spacing w:after="150"/>
    </w:pPr>
  </w:style>
  <w:style w:type="paragraph" w:customStyle="1" w:styleId="span8">
    <w:name w:val="span8"/>
    <w:basedOn w:val="Normal"/>
    <w:pPr>
      <w:spacing w:after="150"/>
    </w:pPr>
  </w:style>
  <w:style w:type="paragraph" w:customStyle="1" w:styleId="span7">
    <w:name w:val="span7"/>
    <w:basedOn w:val="Normal"/>
    <w:pPr>
      <w:spacing w:after="150"/>
    </w:pPr>
  </w:style>
  <w:style w:type="paragraph" w:customStyle="1" w:styleId="span6">
    <w:name w:val="span6"/>
    <w:basedOn w:val="Normal"/>
    <w:pPr>
      <w:spacing w:after="150"/>
    </w:pPr>
  </w:style>
  <w:style w:type="paragraph" w:customStyle="1" w:styleId="span5">
    <w:name w:val="span5"/>
    <w:basedOn w:val="Normal"/>
    <w:pPr>
      <w:spacing w:after="150"/>
    </w:pPr>
  </w:style>
  <w:style w:type="paragraph" w:customStyle="1" w:styleId="span4">
    <w:name w:val="span4"/>
    <w:basedOn w:val="Normal"/>
    <w:pPr>
      <w:spacing w:after="150"/>
    </w:pPr>
  </w:style>
  <w:style w:type="paragraph" w:customStyle="1" w:styleId="span3">
    <w:name w:val="span3"/>
    <w:basedOn w:val="Normal"/>
    <w:pPr>
      <w:spacing w:after="150"/>
    </w:pPr>
  </w:style>
  <w:style w:type="paragraph" w:customStyle="1" w:styleId="span2">
    <w:name w:val="span2"/>
    <w:basedOn w:val="Normal"/>
    <w:pPr>
      <w:spacing w:after="150"/>
    </w:pPr>
  </w:style>
  <w:style w:type="paragraph" w:customStyle="1" w:styleId="span1">
    <w:name w:val="span1"/>
    <w:basedOn w:val="Normal"/>
    <w:pPr>
      <w:spacing w:after="150"/>
    </w:pPr>
  </w:style>
  <w:style w:type="paragraph" w:customStyle="1" w:styleId="offset12">
    <w:name w:val="offset12"/>
    <w:basedOn w:val="Normal"/>
    <w:pPr>
      <w:spacing w:after="150"/>
      <w:ind w:left="14700"/>
    </w:pPr>
  </w:style>
  <w:style w:type="paragraph" w:customStyle="1" w:styleId="offset11">
    <w:name w:val="offset11"/>
    <w:basedOn w:val="Normal"/>
    <w:pPr>
      <w:spacing w:after="150"/>
      <w:ind w:left="13500"/>
    </w:pPr>
  </w:style>
  <w:style w:type="paragraph" w:customStyle="1" w:styleId="offset10">
    <w:name w:val="offset10"/>
    <w:basedOn w:val="Normal"/>
    <w:pPr>
      <w:spacing w:after="150"/>
      <w:ind w:left="12300"/>
    </w:pPr>
  </w:style>
  <w:style w:type="paragraph" w:customStyle="1" w:styleId="offset9">
    <w:name w:val="offset9"/>
    <w:basedOn w:val="Normal"/>
    <w:pPr>
      <w:spacing w:after="150"/>
      <w:ind w:left="11100"/>
    </w:pPr>
  </w:style>
  <w:style w:type="paragraph" w:customStyle="1" w:styleId="offset8">
    <w:name w:val="offset8"/>
    <w:basedOn w:val="Normal"/>
    <w:pPr>
      <w:spacing w:after="150"/>
      <w:ind w:left="9900"/>
    </w:pPr>
  </w:style>
  <w:style w:type="paragraph" w:customStyle="1" w:styleId="offset7">
    <w:name w:val="offset7"/>
    <w:basedOn w:val="Normal"/>
    <w:pPr>
      <w:spacing w:after="150"/>
      <w:ind w:left="8700"/>
    </w:pPr>
  </w:style>
  <w:style w:type="paragraph" w:customStyle="1" w:styleId="offset6">
    <w:name w:val="offset6"/>
    <w:basedOn w:val="Normal"/>
    <w:pPr>
      <w:spacing w:after="150"/>
      <w:ind w:left="7500"/>
    </w:pPr>
  </w:style>
  <w:style w:type="paragraph" w:customStyle="1" w:styleId="offset5">
    <w:name w:val="offset5"/>
    <w:basedOn w:val="Normal"/>
    <w:pPr>
      <w:spacing w:after="150"/>
      <w:ind w:left="6300"/>
    </w:pPr>
  </w:style>
  <w:style w:type="paragraph" w:customStyle="1" w:styleId="offset4">
    <w:name w:val="offset4"/>
    <w:basedOn w:val="Normal"/>
    <w:pPr>
      <w:spacing w:after="150"/>
      <w:ind w:left="5100"/>
    </w:pPr>
  </w:style>
  <w:style w:type="paragraph" w:customStyle="1" w:styleId="offset3">
    <w:name w:val="offset3"/>
    <w:basedOn w:val="Normal"/>
    <w:pPr>
      <w:spacing w:after="150"/>
      <w:ind w:left="3900"/>
    </w:pPr>
  </w:style>
  <w:style w:type="paragraph" w:customStyle="1" w:styleId="offset2">
    <w:name w:val="offset2"/>
    <w:basedOn w:val="Normal"/>
    <w:pPr>
      <w:spacing w:after="150"/>
      <w:ind w:left="2700"/>
    </w:pPr>
  </w:style>
  <w:style w:type="paragraph" w:customStyle="1" w:styleId="offset1">
    <w:name w:val="offset1"/>
    <w:basedOn w:val="Normal"/>
    <w:pPr>
      <w:spacing w:after="150"/>
      <w:ind w:left="1500"/>
    </w:pPr>
  </w:style>
  <w:style w:type="paragraph" w:customStyle="1" w:styleId="row-fluid">
    <w:name w:val="row-fluid"/>
    <w:basedOn w:val="Normal"/>
    <w:pPr>
      <w:spacing w:after="150"/>
    </w:pPr>
  </w:style>
  <w:style w:type="paragraph" w:customStyle="1" w:styleId="container-fluid">
    <w:name w:val="container-fluid"/>
    <w:basedOn w:val="Normal"/>
    <w:pPr>
      <w:shd w:val="clear" w:color="auto" w:fill="FFFFFF"/>
      <w:spacing w:after="150"/>
    </w:pPr>
  </w:style>
  <w:style w:type="paragraph" w:customStyle="1" w:styleId="lead">
    <w:name w:val="lead"/>
    <w:basedOn w:val="Normal"/>
    <w:pPr>
      <w:spacing w:after="300" w:line="450" w:lineRule="atLeast"/>
    </w:pPr>
    <w:rPr>
      <w:sz w:val="30"/>
      <w:szCs w:val="30"/>
    </w:rPr>
  </w:style>
  <w:style w:type="paragraph" w:customStyle="1" w:styleId="muted">
    <w:name w:val="muted"/>
    <w:basedOn w:val="Normal"/>
    <w:pPr>
      <w:spacing w:after="150"/>
    </w:pPr>
    <w:rPr>
      <w:color w:val="999999"/>
    </w:rPr>
  </w:style>
  <w:style w:type="paragraph" w:customStyle="1" w:styleId="page-header">
    <w:name w:val="page-header"/>
    <w:basedOn w:val="Normal"/>
    <w:pPr>
      <w:pBdr>
        <w:bottom w:val="single" w:sz="6" w:space="7" w:color="EEEEEE"/>
      </w:pBdr>
      <w:spacing w:before="300" w:after="450"/>
    </w:pPr>
  </w:style>
  <w:style w:type="paragraph" w:customStyle="1" w:styleId="uneditable-input">
    <w:name w:val="uneditable-input"/>
    <w:basedOn w:val="Normal"/>
    <w:pPr>
      <w:shd w:val="clear" w:color="auto" w:fill="FCFCFC"/>
      <w:spacing w:after="150"/>
    </w:pPr>
    <w:rPr>
      <w:color w:val="999999"/>
    </w:rPr>
  </w:style>
  <w:style w:type="paragraph" w:customStyle="1" w:styleId="uneditable-textarea">
    <w:name w:val="uneditable-textarea"/>
    <w:basedOn w:val="Normal"/>
    <w:pPr>
      <w:shd w:val="clear" w:color="auto" w:fill="FCFCFC"/>
      <w:spacing w:after="150"/>
    </w:pPr>
    <w:rPr>
      <w:color w:val="999999"/>
    </w:rPr>
  </w:style>
  <w:style w:type="paragraph" w:customStyle="1" w:styleId="radio">
    <w:name w:val="radio"/>
    <w:basedOn w:val="Normal"/>
    <w:pPr>
      <w:spacing w:after="150"/>
    </w:pPr>
  </w:style>
  <w:style w:type="paragraph" w:customStyle="1" w:styleId="checkbox">
    <w:name w:val="checkbox"/>
    <w:basedOn w:val="Normal"/>
    <w:pPr>
      <w:spacing w:after="150"/>
    </w:pPr>
  </w:style>
  <w:style w:type="paragraph" w:customStyle="1" w:styleId="input-mini">
    <w:name w:val="input-mini"/>
    <w:basedOn w:val="Normal"/>
    <w:pPr>
      <w:spacing w:after="150"/>
    </w:pPr>
  </w:style>
  <w:style w:type="paragraph" w:customStyle="1" w:styleId="input-small">
    <w:name w:val="input-small"/>
    <w:basedOn w:val="Normal"/>
    <w:pPr>
      <w:spacing w:after="150"/>
    </w:pPr>
  </w:style>
  <w:style w:type="paragraph" w:customStyle="1" w:styleId="input-medium">
    <w:name w:val="input-medium"/>
    <w:basedOn w:val="Normal"/>
    <w:pPr>
      <w:spacing w:after="150"/>
    </w:pPr>
  </w:style>
  <w:style w:type="paragraph" w:customStyle="1" w:styleId="input-large">
    <w:name w:val="input-large"/>
    <w:basedOn w:val="Normal"/>
    <w:pPr>
      <w:spacing w:after="150"/>
    </w:pPr>
  </w:style>
  <w:style w:type="paragraph" w:customStyle="1" w:styleId="input-xlarge">
    <w:name w:val="input-xlarge"/>
    <w:basedOn w:val="Normal"/>
    <w:pPr>
      <w:spacing w:after="150"/>
    </w:pPr>
  </w:style>
  <w:style w:type="paragraph" w:customStyle="1" w:styleId="input-xxlarge">
    <w:name w:val="input-xxlarge"/>
    <w:basedOn w:val="Normal"/>
    <w:pPr>
      <w:spacing w:after="150"/>
    </w:pPr>
  </w:style>
  <w:style w:type="paragraph" w:customStyle="1" w:styleId="help-block">
    <w:name w:val="help-block"/>
    <w:basedOn w:val="Normal"/>
    <w:pPr>
      <w:spacing w:after="150"/>
    </w:pPr>
    <w:rPr>
      <w:color w:val="595959"/>
    </w:rPr>
  </w:style>
  <w:style w:type="paragraph" w:customStyle="1" w:styleId="help-inline">
    <w:name w:val="help-inline"/>
    <w:basedOn w:val="Normal"/>
    <w:pPr>
      <w:spacing w:after="150"/>
      <w:textAlignment w:val="center"/>
    </w:pPr>
    <w:rPr>
      <w:color w:val="595959"/>
    </w:rPr>
  </w:style>
  <w:style w:type="paragraph" w:customStyle="1" w:styleId="input-append">
    <w:name w:val="input-append"/>
    <w:basedOn w:val="Normal"/>
    <w:pPr>
      <w:spacing w:after="75"/>
    </w:pPr>
    <w:rPr>
      <w:sz w:val="2"/>
      <w:szCs w:val="2"/>
    </w:rPr>
  </w:style>
  <w:style w:type="paragraph" w:customStyle="1" w:styleId="input-prepend">
    <w:name w:val="input-prepend"/>
    <w:basedOn w:val="Normal"/>
    <w:pPr>
      <w:spacing w:after="75"/>
    </w:pPr>
    <w:rPr>
      <w:sz w:val="2"/>
      <w:szCs w:val="2"/>
    </w:rPr>
  </w:style>
  <w:style w:type="paragraph" w:customStyle="1" w:styleId="control-group">
    <w:name w:val="control-group"/>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2" w:space="0" w:color="DDDDDD"/>
        <w:bottom w:val="single" w:sz="6" w:space="0" w:color="DDDDDD"/>
        <w:right w:val="single" w:sz="6" w:space="0" w:color="DDDDDD"/>
      </w:pBdr>
      <w:spacing w:after="150"/>
    </w:pPr>
  </w:style>
  <w:style w:type="paragraph" w:customStyle="1" w:styleId="icon-muted">
    <w:name w:val="icon-muted"/>
    <w:basedOn w:val="Normal"/>
    <w:pPr>
      <w:spacing w:after="150"/>
    </w:pPr>
    <w:rPr>
      <w:color w:val="EEEEEE"/>
    </w:rPr>
  </w:style>
  <w:style w:type="paragraph" w:customStyle="1" w:styleId="icon-border">
    <w:name w:val="icon-border"/>
    <w:basedOn w:val="Normal"/>
    <w:pPr>
      <w:pBdr>
        <w:top w:val="single" w:sz="6" w:space="2" w:color="EEEEEE"/>
        <w:left w:val="single" w:sz="6" w:space="3" w:color="EEEEEE"/>
        <w:bottom w:val="single" w:sz="6" w:space="2" w:color="EEEEEE"/>
        <w:right w:val="single" w:sz="6" w:space="3" w:color="EEEEEE"/>
      </w:pBdr>
      <w:spacing w:after="150"/>
    </w:pPr>
  </w:style>
  <w:style w:type="paragraph" w:customStyle="1" w:styleId="icon-2x">
    <w:name w:val="icon-2x"/>
    <w:basedOn w:val="Normal"/>
    <w:pPr>
      <w:spacing w:after="150"/>
    </w:pPr>
    <w:rPr>
      <w:sz w:val="48"/>
      <w:szCs w:val="48"/>
    </w:rPr>
  </w:style>
  <w:style w:type="paragraph" w:customStyle="1" w:styleId="icon-3x">
    <w:name w:val="icon-3x"/>
    <w:basedOn w:val="Normal"/>
    <w:pPr>
      <w:spacing w:after="150"/>
    </w:pPr>
    <w:rPr>
      <w:sz w:val="72"/>
      <w:szCs w:val="72"/>
    </w:rPr>
  </w:style>
  <w:style w:type="paragraph" w:customStyle="1" w:styleId="icon-4x">
    <w:name w:val="icon-4x"/>
    <w:basedOn w:val="Normal"/>
    <w:pPr>
      <w:spacing w:after="150"/>
    </w:pPr>
    <w:rPr>
      <w:sz w:val="96"/>
      <w:szCs w:val="96"/>
    </w:rPr>
  </w:style>
  <w:style w:type="paragraph" w:customStyle="1" w:styleId="icon-large">
    <w:name w:val="icon-large"/>
    <w:basedOn w:val="Normal"/>
    <w:pPr>
      <w:textAlignment w:val="center"/>
    </w:pPr>
    <w:rPr>
      <w:sz w:val="32"/>
      <w:szCs w:val="32"/>
    </w:rPr>
  </w:style>
  <w:style w:type="paragraph" w:customStyle="1" w:styleId="caret">
    <w:name w:val="caret"/>
    <w:basedOn w:val="Normal"/>
    <w:pPr>
      <w:pBdr>
        <w:top w:val="single" w:sz="24" w:space="0" w:color="000000"/>
      </w:pBdr>
      <w:spacing w:after="150"/>
      <w:textAlignment w:val="top"/>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rPr>
  </w:style>
  <w:style w:type="paragraph" w:customStyle="1" w:styleId="typeahead">
    <w:name w:val="typeahead"/>
    <w:basedOn w:val="Normal"/>
    <w:pPr>
      <w:spacing w:before="30"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arge">
    <w:name w:val="well-large"/>
    <w:basedOn w:val="Normal"/>
    <w:pPr>
      <w:spacing w:after="150"/>
    </w:pPr>
  </w:style>
  <w:style w:type="paragraph" w:customStyle="1" w:styleId="well-small">
    <w:name w:val="well-small"/>
    <w:basedOn w:val="Normal"/>
    <w:pPr>
      <w:spacing w:after="150"/>
    </w:pPr>
  </w:style>
  <w:style w:type="paragraph" w:customStyle="1" w:styleId="collapse">
    <w:name w:val="collapse"/>
    <w:basedOn w:val="Normal"/>
    <w:pPr>
      <w:spacing w:after="150"/>
    </w:pPr>
  </w:style>
  <w:style w:type="paragraph" w:customStyle="1" w:styleId="close">
    <w:name w:val="close"/>
    <w:basedOn w:val="Normal"/>
    <w:pPr>
      <w:spacing w:after="150" w:line="300" w:lineRule="atLeast"/>
    </w:pPr>
    <w:rPr>
      <w:b/>
      <w:bCs/>
      <w:color w:val="000000"/>
      <w:sz w:val="30"/>
      <w:szCs w:val="30"/>
    </w:rPr>
  </w:style>
  <w:style w:type="paragraph" w:customStyle="1" w:styleId="btn">
    <w:name w:val="btn"/>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btn-large">
    <w:name w:val="btn-large"/>
    <w:basedOn w:val="Normal"/>
    <w:pPr>
      <w:spacing w:after="150"/>
    </w:pPr>
  </w:style>
  <w:style w:type="paragraph" w:customStyle="1" w:styleId="btn-small">
    <w:name w:val="btn-small"/>
    <w:basedOn w:val="Normal"/>
    <w:pPr>
      <w:spacing w:after="150" w:line="270" w:lineRule="atLeast"/>
    </w:pPr>
    <w:rPr>
      <w:sz w:val="18"/>
      <w:szCs w:val="18"/>
    </w:rPr>
  </w:style>
  <w:style w:type="paragraph" w:customStyle="1" w:styleId="btn-mini">
    <w:name w:val="btn-mini"/>
    <w:basedOn w:val="Normal"/>
    <w:pPr>
      <w:spacing w:after="150" w:line="240" w:lineRule="atLeast"/>
    </w:pPr>
    <w:rPr>
      <w:sz w:val="17"/>
      <w:szCs w:val="17"/>
    </w:rPr>
  </w:style>
  <w:style w:type="paragraph" w:customStyle="1" w:styleId="btn-block">
    <w:name w:val="btn-block"/>
    <w:basedOn w:val="Normal"/>
    <w:pPr>
      <w:spacing w:after="150"/>
    </w:pPr>
  </w:style>
  <w:style w:type="paragraph" w:customStyle="1" w:styleId="btn-primary">
    <w:name w:val="btn-primary"/>
    <w:basedOn w:val="Normal"/>
    <w:pPr>
      <w:shd w:val="clear" w:color="auto" w:fill="006DCC"/>
      <w:spacing w:after="150"/>
    </w:pPr>
    <w:rPr>
      <w:color w:val="FFFFFF"/>
    </w:rPr>
  </w:style>
  <w:style w:type="paragraph" w:customStyle="1" w:styleId="btn-warning">
    <w:name w:val="btn-warning"/>
    <w:basedOn w:val="Normal"/>
    <w:pPr>
      <w:shd w:val="clear" w:color="auto" w:fill="FAA732"/>
      <w:spacing w:after="150"/>
    </w:pPr>
    <w:rPr>
      <w:color w:val="FFFFFF"/>
    </w:rPr>
  </w:style>
  <w:style w:type="paragraph" w:customStyle="1" w:styleId="btn-danger">
    <w:name w:val="btn-danger"/>
    <w:basedOn w:val="Normal"/>
    <w:pPr>
      <w:shd w:val="clear" w:color="auto" w:fill="DA4F49"/>
      <w:spacing w:after="150"/>
    </w:pPr>
    <w:rPr>
      <w:color w:val="FFFFFF"/>
    </w:rPr>
  </w:style>
  <w:style w:type="paragraph" w:customStyle="1" w:styleId="btn-success">
    <w:name w:val="btn-success"/>
    <w:basedOn w:val="Normal"/>
    <w:pPr>
      <w:shd w:val="clear" w:color="auto" w:fill="5BB75B"/>
      <w:spacing w:after="150"/>
    </w:pPr>
    <w:rPr>
      <w:color w:val="FFFFFF"/>
    </w:rPr>
  </w:style>
  <w:style w:type="paragraph" w:customStyle="1" w:styleId="btn-info">
    <w:name w:val="btn-info"/>
    <w:basedOn w:val="Normal"/>
    <w:pPr>
      <w:shd w:val="clear" w:color="auto" w:fill="49AFCD"/>
      <w:spacing w:after="150"/>
    </w:pPr>
    <w:rPr>
      <w:color w:val="FFFFFF"/>
    </w:rPr>
  </w:style>
  <w:style w:type="paragraph" w:customStyle="1" w:styleId="btn-inverse">
    <w:name w:val="btn-inverse"/>
    <w:basedOn w:val="Normal"/>
    <w:pPr>
      <w:shd w:val="clear" w:color="auto" w:fill="363636"/>
      <w:spacing w:after="150"/>
    </w:pPr>
    <w:rPr>
      <w:color w:val="FFFFFF"/>
    </w:rPr>
  </w:style>
  <w:style w:type="paragraph" w:customStyle="1" w:styleId="btn-link">
    <w:name w:val="btn-link"/>
    <w:basedOn w:val="Normal"/>
    <w:pPr>
      <w:spacing w:after="150"/>
    </w:pPr>
    <w:rPr>
      <w:color w:val="0088CC"/>
    </w:rPr>
  </w:style>
  <w:style w:type="paragraph" w:customStyle="1" w:styleId="btn-group">
    <w:name w:val="btn-group"/>
    <w:basedOn w:val="Normal"/>
    <w:pPr>
      <w:spacing w:after="150"/>
    </w:pPr>
    <w:rPr>
      <w:sz w:val="2"/>
      <w:szCs w:val="2"/>
    </w:rPr>
  </w:style>
  <w:style w:type="paragraph" w:customStyle="1" w:styleId="btn-toolbar">
    <w:name w:val="btn-toolbar"/>
    <w:basedOn w:val="Normal"/>
    <w:pPr>
      <w:spacing w:before="150" w:after="150"/>
    </w:pPr>
    <w:rPr>
      <w:sz w:val="2"/>
      <w:szCs w:val="2"/>
    </w:rPr>
  </w:style>
  <w:style w:type="paragraph" w:customStyle="1" w:styleId="alert">
    <w:name w:val="alert"/>
    <w:basedOn w:val="Normal"/>
    <w:pPr>
      <w:pBdr>
        <w:top w:val="single" w:sz="6" w:space="6" w:color="FBEED5"/>
        <w:left w:val="single" w:sz="6" w:space="11" w:color="FBEED5"/>
        <w:bottom w:val="single" w:sz="6" w:space="6" w:color="FBEED5"/>
        <w:right w:val="single" w:sz="6" w:space="26" w:color="FBEED5"/>
      </w:pBdr>
      <w:shd w:val="clear" w:color="auto" w:fill="FCF8E3"/>
      <w:spacing w:after="300"/>
    </w:pPr>
    <w:rPr>
      <w:color w:val="C09853"/>
    </w:rPr>
  </w:style>
  <w:style w:type="paragraph" w:customStyle="1" w:styleId="alert-success">
    <w:name w:val="alert-success"/>
    <w:basedOn w:val="Normal"/>
    <w:pPr>
      <w:shd w:val="clear" w:color="auto" w:fill="DFF0D8"/>
      <w:spacing w:after="150"/>
    </w:pPr>
    <w:rPr>
      <w:color w:val="468847"/>
    </w:rPr>
  </w:style>
  <w:style w:type="paragraph" w:customStyle="1" w:styleId="alert-danger">
    <w:name w:val="alert-danger"/>
    <w:basedOn w:val="Normal"/>
    <w:pPr>
      <w:shd w:val="clear" w:color="auto" w:fill="F2DEDE"/>
      <w:spacing w:after="150"/>
    </w:pPr>
    <w:rPr>
      <w:color w:val="B94A48"/>
    </w:rPr>
  </w:style>
  <w:style w:type="paragraph" w:customStyle="1" w:styleId="alert-error">
    <w:name w:val="alert-error"/>
    <w:basedOn w:val="Normal"/>
    <w:pPr>
      <w:shd w:val="clear" w:color="auto" w:fill="F2DEDE"/>
      <w:spacing w:after="150"/>
    </w:pPr>
    <w:rPr>
      <w:color w:val="B94A48"/>
    </w:rPr>
  </w:style>
  <w:style w:type="paragraph" w:customStyle="1" w:styleId="alert-info">
    <w:name w:val="alert-info"/>
    <w:basedOn w:val="Normal"/>
    <w:pPr>
      <w:shd w:val="clear" w:color="auto" w:fill="D9EDF7"/>
      <w:spacing w:after="150"/>
    </w:pPr>
    <w:rPr>
      <w:color w:val="3A87AD"/>
    </w:rPr>
  </w:style>
  <w:style w:type="paragraph" w:customStyle="1" w:styleId="alert-block">
    <w:name w:val="alert-block"/>
    <w:basedOn w:val="Normal"/>
    <w:pPr>
      <w:spacing w:after="150"/>
    </w:pPr>
  </w:style>
  <w:style w:type="paragraph" w:customStyle="1" w:styleId="nav">
    <w:name w:val="nav"/>
    <w:basedOn w:val="Normal"/>
    <w:pPr>
      <w:spacing w:after="300"/>
    </w:pPr>
  </w:style>
  <w:style w:type="paragraph" w:customStyle="1" w:styleId="nav-header">
    <w:name w:val="nav-header"/>
    <w:basedOn w:val="Normal"/>
    <w:pPr>
      <w:spacing w:after="150" w:line="300" w:lineRule="atLeast"/>
    </w:pPr>
    <w:rPr>
      <w:b/>
      <w:bCs/>
      <w:caps/>
      <w:color w:val="999999"/>
      <w:sz w:val="17"/>
      <w:szCs w:val="17"/>
    </w:rPr>
  </w:style>
  <w:style w:type="paragraph" w:customStyle="1" w:styleId="nav-list">
    <w:name w:val="nav-list"/>
    <w:basedOn w:val="Normal"/>
  </w:style>
  <w:style w:type="paragraph" w:customStyle="1" w:styleId="nav-tabs">
    <w:name w:val="nav-tabs"/>
    <w:basedOn w:val="Normal"/>
    <w:pPr>
      <w:pBdr>
        <w:bottom w:val="single" w:sz="6" w:space="0" w:color="DDDDDD"/>
      </w:pBdr>
      <w:spacing w:after="150"/>
    </w:pPr>
  </w:style>
  <w:style w:type="paragraph" w:customStyle="1" w:styleId="navbar">
    <w:name w:val="navbar"/>
    <w:basedOn w:val="Normal"/>
    <w:pPr>
      <w:spacing w:after="300"/>
    </w:pPr>
    <w:rPr>
      <w:color w:val="555555"/>
    </w:rPr>
  </w:style>
  <w:style w:type="paragraph" w:customStyle="1" w:styleId="navbar-inner">
    <w:name w:val="navbar-inner"/>
    <w:basedOn w:val="Normal"/>
    <w:pPr>
      <w:pBdr>
        <w:top w:val="single" w:sz="6" w:space="0" w:color="D4D4D4"/>
        <w:left w:val="single" w:sz="6" w:space="15" w:color="D4D4D4"/>
        <w:bottom w:val="single" w:sz="6" w:space="0" w:color="D4D4D4"/>
        <w:right w:val="single" w:sz="6" w:space="15" w:color="D4D4D4"/>
      </w:pBdr>
      <w:shd w:val="clear" w:color="auto" w:fill="FAFAFA"/>
      <w:spacing w:after="150"/>
    </w:pPr>
  </w:style>
  <w:style w:type="paragraph" w:customStyle="1" w:styleId="navbar-text">
    <w:name w:val="navbar-text"/>
    <w:basedOn w:val="Normal"/>
    <w:pPr>
      <w:spacing w:line="600" w:lineRule="atLeast"/>
    </w:pPr>
  </w:style>
  <w:style w:type="paragraph" w:customStyle="1" w:styleId="navbar-link">
    <w:name w:val="navbar-link"/>
    <w:basedOn w:val="Normal"/>
    <w:pPr>
      <w:spacing w:after="150"/>
    </w:pPr>
    <w:rPr>
      <w:color w:val="555555"/>
    </w:rPr>
  </w:style>
  <w:style w:type="paragraph" w:customStyle="1" w:styleId="navbar-form">
    <w:name w:val="navbar-form"/>
    <w:basedOn w:val="Normal"/>
  </w:style>
  <w:style w:type="paragraph" w:customStyle="1" w:styleId="navbar-search">
    <w:name w:val="navbar-search"/>
    <w:basedOn w:val="Normal"/>
    <w:pPr>
      <w:spacing w:before="75"/>
    </w:pPr>
  </w:style>
  <w:style w:type="paragraph" w:customStyle="1" w:styleId="navbar-static-top">
    <w:name w:val="navbar-static-top"/>
    <w:basedOn w:val="Normal"/>
  </w:style>
  <w:style w:type="paragraph" w:customStyle="1" w:styleId="navbar-fixed-top">
    <w:name w:val="navbar-fixed-top"/>
    <w:basedOn w:val="Normal"/>
  </w:style>
  <w:style w:type="paragraph" w:customStyle="1" w:styleId="navbar-fixed-bottom">
    <w:name w:val="navbar-fixed-bottom"/>
    <w:basedOn w:val="Normal"/>
  </w:style>
  <w:style w:type="paragraph" w:customStyle="1" w:styleId="navbar-inverse">
    <w:name w:val="navbar-inverse"/>
    <w:basedOn w:val="Normal"/>
    <w:pPr>
      <w:spacing w:after="150"/>
    </w:pPr>
    <w:rPr>
      <w:color w:val="999999"/>
    </w:r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after="300"/>
    </w:pPr>
  </w:style>
  <w:style w:type="paragraph" w:customStyle="1" w:styleId="pagination-centered">
    <w:name w:val="pagination-centered"/>
    <w:basedOn w:val="Normal"/>
    <w:pPr>
      <w:spacing w:after="150"/>
      <w:jc w:val="center"/>
    </w:pPr>
  </w:style>
  <w:style w:type="paragraph" w:customStyle="1" w:styleId="pagination-right">
    <w:name w:val="pagination-right"/>
    <w:basedOn w:val="Normal"/>
    <w:pPr>
      <w:spacing w:after="150"/>
      <w:jc w:val="right"/>
    </w:pPr>
  </w:style>
  <w:style w:type="paragraph" w:customStyle="1" w:styleId="pager">
    <w:name w:val="pager"/>
    <w:basedOn w:val="Normal"/>
    <w:pPr>
      <w:spacing w:before="300" w:after="300"/>
      <w:jc w:val="center"/>
    </w:pPr>
  </w:style>
  <w:style w:type="paragraph" w:customStyle="1" w:styleId="modal-backdrop">
    <w:name w:val="modal-backdrop"/>
    <w:basedOn w:val="Normal"/>
    <w:pPr>
      <w:shd w:val="clear" w:color="auto" w:fill="000000"/>
      <w:spacing w:after="150"/>
    </w:pPr>
  </w:style>
  <w:style w:type="paragraph" w:customStyle="1" w:styleId="modal">
    <w:name w:val="modal"/>
    <w:basedOn w:val="Normal"/>
    <w:pPr>
      <w:pBdr>
        <w:top w:val="single" w:sz="6" w:space="0" w:color="999999"/>
        <w:left w:val="single" w:sz="6" w:space="0" w:color="999999"/>
        <w:bottom w:val="single" w:sz="6" w:space="0" w:color="999999"/>
        <w:right w:val="single" w:sz="6" w:space="0" w:color="999999"/>
      </w:pBdr>
      <w:shd w:val="clear" w:color="auto" w:fill="FFFFFF"/>
      <w:ind w:left="-4200"/>
    </w:pPr>
  </w:style>
  <w:style w:type="paragraph" w:customStyle="1" w:styleId="modal-header">
    <w:name w:val="modal-header"/>
    <w:basedOn w:val="Normal"/>
    <w:pPr>
      <w:pBdr>
        <w:bottom w:val="single" w:sz="6" w:space="7" w:color="EEEEEE"/>
      </w:pBdr>
      <w:spacing w:after="150"/>
    </w:pPr>
  </w:style>
  <w:style w:type="paragraph" w:customStyle="1" w:styleId="modal-body">
    <w:name w:val="modal-body"/>
    <w:basedOn w:val="Normal"/>
    <w:pPr>
      <w:spacing w:after="150"/>
    </w:pPr>
  </w:style>
  <w:style w:type="paragraph" w:customStyle="1" w:styleId="modal-form">
    <w:name w:val="modal-form"/>
    <w:basedOn w:val="Normal"/>
  </w:style>
  <w:style w:type="paragraph" w:customStyle="1" w:styleId="modal-footer">
    <w:name w:val="modal-footer"/>
    <w:basedOn w:val="Normal"/>
    <w:pPr>
      <w:pBdr>
        <w:top w:val="single" w:sz="6" w:space="11" w:color="DDDDDD"/>
      </w:pBdr>
      <w:shd w:val="clear" w:color="auto" w:fill="F5F5F5"/>
      <w:jc w:val="right"/>
    </w:pPr>
  </w:style>
  <w:style w:type="paragraph" w:customStyle="1" w:styleId="tooltip">
    <w:name w:val="tooltip"/>
    <w:basedOn w:val="Normal"/>
    <w:pPr>
      <w:spacing w:after="150"/>
    </w:pPr>
    <w:rPr>
      <w:sz w:val="17"/>
      <w:szCs w:val="17"/>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after="150"/>
    </w:pPr>
  </w:style>
  <w:style w:type="paragraph" w:customStyle="1" w:styleId="thumbnails">
    <w:name w:val="thumbnails"/>
    <w:basedOn w:val="Normal"/>
    <w:pPr>
      <w:spacing w:after="150"/>
      <w:ind w:left="-30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pacing w:after="150"/>
    </w:pPr>
  </w:style>
  <w:style w:type="paragraph" w:customStyle="1" w:styleId="label">
    <w:name w:val="label"/>
    <w:basedOn w:val="Normal"/>
    <w:pPr>
      <w:shd w:val="clear" w:color="auto" w:fill="999999"/>
      <w:spacing w:after="150" w:line="210" w:lineRule="atLeast"/>
      <w:textAlignment w:val="baseline"/>
    </w:pPr>
    <w:rPr>
      <w:b/>
      <w:bCs/>
      <w:color w:val="FFFFFF"/>
      <w:sz w:val="18"/>
      <w:szCs w:val="18"/>
    </w:rPr>
  </w:style>
  <w:style w:type="paragraph" w:customStyle="1" w:styleId="badge">
    <w:name w:val="badge"/>
    <w:basedOn w:val="Normal"/>
    <w:pPr>
      <w:shd w:val="clear" w:color="auto" w:fill="999999"/>
      <w:spacing w:after="150" w:line="210" w:lineRule="atLeast"/>
      <w:textAlignment w:val="baseline"/>
    </w:pPr>
    <w:rPr>
      <w:b/>
      <w:bCs/>
      <w:color w:val="FFFFFF"/>
      <w:sz w:val="18"/>
      <w:szCs w:val="18"/>
    </w:rPr>
  </w:style>
  <w:style w:type="paragraph" w:customStyle="1" w:styleId="label-important">
    <w:name w:val="label-important"/>
    <w:basedOn w:val="Normal"/>
    <w:pPr>
      <w:shd w:val="clear" w:color="auto" w:fill="B94A48"/>
      <w:spacing w:after="150"/>
    </w:pPr>
  </w:style>
  <w:style w:type="paragraph" w:customStyle="1" w:styleId="badge-important">
    <w:name w:val="badge-important"/>
    <w:basedOn w:val="Normal"/>
    <w:pPr>
      <w:shd w:val="clear" w:color="auto" w:fill="B94A48"/>
      <w:spacing w:after="150"/>
    </w:pPr>
  </w:style>
  <w:style w:type="paragraph" w:customStyle="1" w:styleId="label-importanthref">
    <w:name w:val="label-important[href]"/>
    <w:basedOn w:val="Normal"/>
    <w:pPr>
      <w:shd w:val="clear" w:color="auto" w:fill="953B39"/>
      <w:spacing w:after="150"/>
    </w:pPr>
  </w:style>
  <w:style w:type="paragraph" w:customStyle="1" w:styleId="badge-importanthref">
    <w:name w:val="badge-important[href]"/>
    <w:basedOn w:val="Normal"/>
    <w:pPr>
      <w:shd w:val="clear" w:color="auto" w:fill="953B39"/>
      <w:spacing w:after="150"/>
    </w:pPr>
  </w:style>
  <w:style w:type="paragraph" w:customStyle="1" w:styleId="label-warning">
    <w:name w:val="label-warning"/>
    <w:basedOn w:val="Normal"/>
    <w:pPr>
      <w:shd w:val="clear" w:color="auto" w:fill="F89406"/>
      <w:spacing w:after="150"/>
    </w:pPr>
  </w:style>
  <w:style w:type="paragraph" w:customStyle="1" w:styleId="badge-warning">
    <w:name w:val="badge-warning"/>
    <w:basedOn w:val="Normal"/>
    <w:pPr>
      <w:shd w:val="clear" w:color="auto" w:fill="F89406"/>
      <w:spacing w:after="150"/>
    </w:pPr>
  </w:style>
  <w:style w:type="paragraph" w:customStyle="1" w:styleId="label-warninghref">
    <w:name w:val="label-warning[href]"/>
    <w:basedOn w:val="Normal"/>
    <w:pPr>
      <w:shd w:val="clear" w:color="auto" w:fill="C67605"/>
      <w:spacing w:after="150"/>
    </w:pPr>
  </w:style>
  <w:style w:type="paragraph" w:customStyle="1" w:styleId="badge-warninghref">
    <w:name w:val="badge-warning[href]"/>
    <w:basedOn w:val="Normal"/>
    <w:pPr>
      <w:shd w:val="clear" w:color="auto" w:fill="C67605"/>
      <w:spacing w:after="150"/>
    </w:pPr>
  </w:style>
  <w:style w:type="paragraph" w:customStyle="1" w:styleId="label-success">
    <w:name w:val="label-success"/>
    <w:basedOn w:val="Normal"/>
    <w:pPr>
      <w:shd w:val="clear" w:color="auto" w:fill="468847"/>
      <w:spacing w:after="150"/>
    </w:pPr>
  </w:style>
  <w:style w:type="paragraph" w:customStyle="1" w:styleId="badge-success">
    <w:name w:val="badge-success"/>
    <w:basedOn w:val="Normal"/>
    <w:pPr>
      <w:shd w:val="clear" w:color="auto" w:fill="468847"/>
      <w:spacing w:after="150"/>
    </w:pPr>
  </w:style>
  <w:style w:type="paragraph" w:customStyle="1" w:styleId="label-successhref">
    <w:name w:val="label-success[href]"/>
    <w:basedOn w:val="Normal"/>
    <w:pPr>
      <w:shd w:val="clear" w:color="auto" w:fill="356635"/>
      <w:spacing w:after="150"/>
    </w:pPr>
  </w:style>
  <w:style w:type="paragraph" w:customStyle="1" w:styleId="badge-successhref">
    <w:name w:val="badge-success[href]"/>
    <w:basedOn w:val="Normal"/>
    <w:pPr>
      <w:shd w:val="clear" w:color="auto" w:fill="356635"/>
      <w:spacing w:after="150"/>
    </w:pPr>
  </w:style>
  <w:style w:type="paragraph" w:customStyle="1" w:styleId="label-info">
    <w:name w:val="label-info"/>
    <w:basedOn w:val="Normal"/>
    <w:pPr>
      <w:shd w:val="clear" w:color="auto" w:fill="3A87AD"/>
      <w:spacing w:after="150"/>
    </w:pPr>
  </w:style>
  <w:style w:type="paragraph" w:customStyle="1" w:styleId="badge-info">
    <w:name w:val="badge-info"/>
    <w:basedOn w:val="Normal"/>
    <w:pPr>
      <w:shd w:val="clear" w:color="auto" w:fill="3A87AD"/>
      <w:spacing w:after="150"/>
    </w:pPr>
  </w:style>
  <w:style w:type="paragraph" w:customStyle="1" w:styleId="label-infohref">
    <w:name w:val="label-info[href]"/>
    <w:basedOn w:val="Normal"/>
    <w:pPr>
      <w:shd w:val="clear" w:color="auto" w:fill="2D6987"/>
      <w:spacing w:after="150"/>
    </w:pPr>
  </w:style>
  <w:style w:type="paragraph" w:customStyle="1" w:styleId="badge-infohref">
    <w:name w:val="badge-info[href]"/>
    <w:basedOn w:val="Normal"/>
    <w:pPr>
      <w:shd w:val="clear" w:color="auto" w:fill="2D6987"/>
      <w:spacing w:after="150"/>
    </w:pPr>
  </w:style>
  <w:style w:type="paragraph" w:customStyle="1" w:styleId="label-inverse">
    <w:name w:val="label-inverse"/>
    <w:basedOn w:val="Normal"/>
    <w:pPr>
      <w:shd w:val="clear" w:color="auto" w:fill="333333"/>
      <w:spacing w:after="150"/>
    </w:pPr>
  </w:style>
  <w:style w:type="paragraph" w:customStyle="1" w:styleId="badge-inverse">
    <w:name w:val="badge-inverse"/>
    <w:basedOn w:val="Normal"/>
    <w:pPr>
      <w:shd w:val="clear" w:color="auto" w:fill="333333"/>
      <w:spacing w:after="150"/>
    </w:pPr>
  </w:style>
  <w:style w:type="paragraph" w:customStyle="1" w:styleId="label-inversehref">
    <w:name w:val="label-inverse[href]"/>
    <w:basedOn w:val="Normal"/>
    <w:pPr>
      <w:shd w:val="clear" w:color="auto" w:fill="1A1A1A"/>
      <w:spacing w:after="150"/>
    </w:pPr>
  </w:style>
  <w:style w:type="paragraph" w:customStyle="1" w:styleId="badge-inversehref">
    <w:name w:val="badge-inverse[href]"/>
    <w:basedOn w:val="Normal"/>
    <w:pPr>
      <w:shd w:val="clear" w:color="auto" w:fill="1A1A1A"/>
      <w:spacing w:after="150"/>
    </w:pPr>
  </w:style>
  <w:style w:type="paragraph" w:customStyle="1" w:styleId="accordion">
    <w:name w:val="accordion"/>
    <w:basedOn w:val="Normal"/>
    <w:pPr>
      <w:spacing w:after="300"/>
    </w:pPr>
  </w:style>
  <w:style w:type="paragraph" w:customStyle="1" w:styleId="accordion-group">
    <w:name w:val="accordion-group"/>
    <w:basedOn w:val="Normal"/>
    <w:pPr>
      <w:pBdr>
        <w:top w:val="single" w:sz="6" w:space="0" w:color="E5E5E5"/>
        <w:left w:val="single" w:sz="6" w:space="0" w:color="E5E5E5"/>
        <w:bottom w:val="single" w:sz="6" w:space="0" w:color="E5E5E5"/>
        <w:right w:val="single" w:sz="6" w:space="0" w:color="E5E5E5"/>
      </w:pBdr>
      <w:spacing w:after="30"/>
    </w:pPr>
  </w:style>
  <w:style w:type="paragraph" w:customStyle="1" w:styleId="accordion-heading">
    <w:name w:val="accordion-heading"/>
    <w:basedOn w:val="Normal"/>
    <w:pPr>
      <w:spacing w:after="150"/>
    </w:pPr>
  </w:style>
  <w:style w:type="paragraph" w:customStyle="1" w:styleId="accordion-inner">
    <w:name w:val="accordion-inner"/>
    <w:basedOn w:val="Normal"/>
    <w:pPr>
      <w:pBdr>
        <w:top w:val="single" w:sz="6" w:space="7" w:color="E5E5E5"/>
      </w:pBdr>
      <w:spacing w:after="150"/>
    </w:pPr>
  </w:style>
  <w:style w:type="paragraph" w:customStyle="1" w:styleId="carousel">
    <w:name w:val="carousel"/>
    <w:basedOn w:val="Normal"/>
    <w:pPr>
      <w:spacing w:after="300"/>
    </w:pPr>
  </w:style>
  <w:style w:type="paragraph" w:customStyle="1" w:styleId="carousel-inner">
    <w:name w:val="carousel-inner"/>
    <w:basedOn w:val="Normal"/>
    <w:pPr>
      <w:spacing w:after="150"/>
    </w:pPr>
  </w:style>
  <w:style w:type="paragraph" w:customStyle="1" w:styleId="carousel-control">
    <w:name w:val="carousel-control"/>
    <w:basedOn w:val="Normal"/>
    <w:pPr>
      <w:pBdr>
        <w:top w:val="single" w:sz="18" w:space="0" w:color="FFFFFF"/>
        <w:left w:val="single" w:sz="18" w:space="0" w:color="FFFFFF"/>
        <w:bottom w:val="single" w:sz="18" w:space="0" w:color="FFFFFF"/>
        <w:right w:val="single" w:sz="18" w:space="0" w:color="FFFFFF"/>
      </w:pBdr>
      <w:shd w:val="clear" w:color="auto" w:fill="222222"/>
      <w:spacing w:after="150" w:line="450" w:lineRule="atLeast"/>
      <w:jc w:val="center"/>
    </w:pPr>
    <w:rPr>
      <w:color w:val="FFFFFF"/>
      <w:sz w:val="90"/>
      <w:szCs w:val="90"/>
    </w:rPr>
  </w:style>
  <w:style w:type="paragraph" w:customStyle="1" w:styleId="carousel-caption">
    <w:name w:val="carousel-caption"/>
    <w:basedOn w:val="Normal"/>
    <w:pPr>
      <w:shd w:val="clear" w:color="auto" w:fill="333333"/>
      <w:spacing w:after="150"/>
    </w:pPr>
  </w:style>
  <w:style w:type="paragraph" w:customStyle="1" w:styleId="hero-unit">
    <w:name w:val="hero-unit"/>
    <w:basedOn w:val="Normal"/>
    <w:pPr>
      <w:shd w:val="clear" w:color="auto" w:fill="EEEEEE"/>
      <w:spacing w:after="4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ir">
    <w:name w:val="ir"/>
    <w:basedOn w:val="Normal"/>
    <w:pPr>
      <w:spacing w:after="150"/>
    </w:pPr>
  </w:style>
  <w:style w:type="paragraph" w:customStyle="1" w:styleId="visually-hidden">
    <w:name w:val="visually-hidden"/>
    <w:basedOn w:val="Normal"/>
    <w:pPr>
      <w:ind w:left="-15" w:right="-15"/>
    </w:pPr>
  </w:style>
  <w:style w:type="paragraph" w:customStyle="1" w:styleId="hidden">
    <w:name w:val="hidden"/>
    <w:basedOn w:val="Normal"/>
    <w:pPr>
      <w:spacing w:after="150"/>
    </w:pPr>
    <w:rPr>
      <w:vanish/>
    </w:rPr>
  </w:style>
  <w:style w:type="paragraph" w:customStyle="1" w:styleId="assistme">
    <w:name w:val="assistme"/>
    <w:basedOn w:val="Normal"/>
    <w:pPr>
      <w:shd w:val="clear" w:color="auto" w:fill="333333"/>
      <w:spacing w:after="150"/>
      <w:jc w:val="right"/>
    </w:pPr>
  </w:style>
  <w:style w:type="paragraph" w:customStyle="1" w:styleId="masthead">
    <w:name w:val="masthead"/>
    <w:basedOn w:val="Normal"/>
    <w:pPr>
      <w:spacing w:after="1080"/>
    </w:pPr>
  </w:style>
  <w:style w:type="paragraph" w:customStyle="1" w:styleId="subhead">
    <w:name w:val="subhead"/>
    <w:basedOn w:val="Normal"/>
    <w:pPr>
      <w:spacing w:after="135"/>
    </w:pPr>
  </w:style>
  <w:style w:type="paragraph" w:customStyle="1" w:styleId="subnav">
    <w:name w:val="subnav"/>
    <w:basedOn w:val="Normal"/>
    <w:pPr>
      <w:pBdr>
        <w:top w:val="single" w:sz="6" w:space="0" w:color="E5E5E5"/>
        <w:left w:val="single" w:sz="6" w:space="0" w:color="E5E5E5"/>
        <w:bottom w:val="single" w:sz="6" w:space="0" w:color="E5E5E5"/>
        <w:right w:val="single" w:sz="6" w:space="0" w:color="E5E5E5"/>
      </w:pBdr>
      <w:shd w:val="clear" w:color="auto" w:fill="EEEEEE"/>
      <w:spacing w:after="150"/>
    </w:pPr>
  </w:style>
  <w:style w:type="paragraph" w:customStyle="1" w:styleId="bs-links">
    <w:name w:val="bs-links"/>
    <w:basedOn w:val="Normal"/>
    <w:pPr>
      <w:spacing w:before="540" w:after="540"/>
    </w:pPr>
  </w:style>
  <w:style w:type="paragraph" w:customStyle="1" w:styleId="quick-links">
    <w:name w:val="quick-links"/>
    <w:basedOn w:val="Normal"/>
    <w:pPr>
      <w:jc w:val="center"/>
    </w:pPr>
  </w:style>
  <w:style w:type="paragraph" w:customStyle="1" w:styleId="footer">
    <w:name w:val="footer"/>
    <w:basedOn w:val="Normal"/>
    <w:pPr>
      <w:pBdr>
        <w:top w:val="single" w:sz="6" w:space="26" w:color="E5E5E5"/>
      </w:pBdr>
      <w:spacing w:before="675" w:after="150"/>
    </w:pPr>
  </w:style>
  <w:style w:type="paragraph" w:customStyle="1" w:styleId="show-grid">
    <w:name w:val="show-grid"/>
    <w:basedOn w:val="Normal"/>
    <w:pPr>
      <w:spacing w:before="150" w:after="300"/>
    </w:pPr>
  </w:style>
  <w:style w:type="paragraph" w:customStyle="1" w:styleId="mini-layout">
    <w:name w:val="mini-layout"/>
    <w:basedOn w:val="Normal"/>
    <w:pPr>
      <w:pBdr>
        <w:top w:val="single" w:sz="6" w:space="0" w:color="DDDDDD"/>
        <w:left w:val="single" w:sz="6" w:space="0" w:color="DDDDDD"/>
        <w:bottom w:val="single" w:sz="6" w:space="0" w:color="DDDDDD"/>
        <w:right w:val="single" w:sz="6" w:space="0" w:color="DDDDDD"/>
      </w:pBdr>
      <w:spacing w:after="300"/>
    </w:pPr>
  </w:style>
  <w:style w:type="paragraph" w:customStyle="1" w:styleId="large-bird">
    <w:name w:val="large-bird"/>
    <w:basedOn w:val="Normal"/>
    <w:pPr>
      <w:spacing w:before="75"/>
      <w:ind w:left="4650"/>
    </w:pPr>
  </w:style>
  <w:style w:type="paragraph" w:customStyle="1" w:styleId="download-btn">
    <w:name w:val="download-btn"/>
    <w:basedOn w:val="Normal"/>
    <w:pPr>
      <w:spacing w:before="540" w:after="1620"/>
    </w:pPr>
  </w:style>
  <w:style w:type="paragraph" w:customStyle="1" w:styleId="swatch-col">
    <w:name w:val="swatch-col"/>
    <w:basedOn w:val="Normal"/>
    <w:pPr>
      <w:spacing w:after="150"/>
    </w:pPr>
  </w:style>
  <w:style w:type="paragraph" w:customStyle="1" w:styleId="swatch">
    <w:name w:val="swatch"/>
    <w:basedOn w:val="Normal"/>
  </w:style>
  <w:style w:type="paragraph" w:customStyle="1" w:styleId="swatch-bordered">
    <w:name w:val="swatch-bordered"/>
    <w:basedOn w:val="Normal"/>
    <w:pPr>
      <w:pBdr>
        <w:top w:val="single" w:sz="6" w:space="0" w:color="EEEEEE"/>
        <w:left w:val="single" w:sz="6" w:space="0" w:color="EEEEEE"/>
        <w:bottom w:val="single" w:sz="6" w:space="0" w:color="EEEEEE"/>
        <w:right w:val="single" w:sz="6" w:space="0" w:color="EEEEEE"/>
      </w:pBdr>
      <w:spacing w:after="150"/>
    </w:pPr>
  </w:style>
  <w:style w:type="paragraph" w:customStyle="1" w:styleId="marketing-byline">
    <w:name w:val="marketing-byline"/>
    <w:basedOn w:val="Normal"/>
    <w:pPr>
      <w:spacing w:after="405" w:line="360" w:lineRule="atLeast"/>
      <w:jc w:val="center"/>
    </w:pPr>
    <w:rPr>
      <w:color w:val="999999"/>
      <w:sz w:val="27"/>
      <w:szCs w:val="27"/>
    </w:rPr>
  </w:style>
  <w:style w:type="paragraph" w:customStyle="1" w:styleId="scrollspy-example">
    <w:name w:val="scrollspy-example"/>
    <w:basedOn w:val="Normal"/>
    <w:pPr>
      <w:spacing w:after="150"/>
    </w:pPr>
  </w:style>
  <w:style w:type="paragraph" w:customStyle="1" w:styleId="the-icons">
    <w:name w:val="the-icons"/>
    <w:basedOn w:val="Normal"/>
    <w:pPr>
      <w:spacing w:after="150"/>
    </w:pPr>
  </w:style>
  <w:style w:type="paragraph" w:customStyle="1" w:styleId="responsive-utilities-test">
    <w:name w:val="responsive-utilities-test"/>
    <w:basedOn w:val="Normal"/>
    <w:pPr>
      <w:spacing w:before="75" w:after="150"/>
    </w:pPr>
  </w:style>
  <w:style w:type="paragraph" w:customStyle="1" w:styleId="icon-giant">
    <w:name w:val="icon-giant"/>
    <w:basedOn w:val="Normal"/>
    <w:pPr>
      <w:spacing w:after="150"/>
      <w:textAlignment w:val="center"/>
    </w:pPr>
    <w:rPr>
      <w:sz w:val="48"/>
      <w:szCs w:val="48"/>
    </w:rPr>
  </w:style>
  <w:style w:type="paragraph" w:customStyle="1" w:styleId="icon-mega">
    <w:name w:val="icon-mega"/>
    <w:basedOn w:val="Normal"/>
    <w:pPr>
      <w:spacing w:after="150"/>
      <w:textAlignment w:val="center"/>
    </w:pPr>
    <w:rPr>
      <w:sz w:val="72"/>
      <w:szCs w:val="72"/>
    </w:rPr>
  </w:style>
  <w:style w:type="paragraph" w:customStyle="1" w:styleId="doc-list">
    <w:name w:val="doc-list"/>
    <w:basedOn w:val="Normal"/>
    <w:pPr>
      <w:spacing w:after="150"/>
    </w:pPr>
  </w:style>
  <w:style w:type="paragraph" w:customStyle="1" w:styleId="contactform">
    <w:name w:val="contactform"/>
    <w:basedOn w:val="Normal"/>
    <w:pPr>
      <w:spacing w:before="480" w:after="150"/>
    </w:pPr>
  </w:style>
  <w:style w:type="paragraph" w:customStyle="1" w:styleId="boardmemberlist">
    <w:name w:val="boardmemberlist"/>
    <w:basedOn w:val="Normal"/>
    <w:pPr>
      <w:spacing w:before="480" w:after="150"/>
    </w:pPr>
  </w:style>
  <w:style w:type="paragraph" w:customStyle="1" w:styleId="joblisting">
    <w:name w:val="joblisting"/>
    <w:basedOn w:val="Normal"/>
    <w:pPr>
      <w:pBdr>
        <w:top w:val="single" w:sz="6" w:space="12" w:color="333333"/>
        <w:left w:val="single" w:sz="6" w:space="12" w:color="333333"/>
        <w:bottom w:val="single" w:sz="6" w:space="12" w:color="333333"/>
        <w:right w:val="single" w:sz="6" w:space="12" w:color="333333"/>
      </w:pBd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span13">
    <w:name w:val="span13"/>
    <w:basedOn w:val="Normal"/>
    <w:pPr>
      <w:spacing w:after="150"/>
    </w:pPr>
  </w:style>
  <w:style w:type="paragraph" w:customStyle="1" w:styleId="span14">
    <w:name w:val="span14"/>
    <w:basedOn w:val="Normal"/>
    <w:pPr>
      <w:spacing w:after="150"/>
    </w:pPr>
  </w:style>
  <w:style w:type="paragraph" w:customStyle="1" w:styleId="span15">
    <w:name w:val="span15"/>
    <w:basedOn w:val="Normal"/>
    <w:pPr>
      <w:spacing w:after="150"/>
    </w:pPr>
  </w:style>
  <w:style w:type="paragraph" w:customStyle="1" w:styleId="span16">
    <w:name w:val="span16"/>
    <w:basedOn w:val="Normal"/>
    <w:pPr>
      <w:spacing w:after="150"/>
    </w:pPr>
  </w:style>
  <w:style w:type="paragraph" w:customStyle="1" w:styleId="span17">
    <w:name w:val="span17"/>
    <w:basedOn w:val="Normal"/>
    <w:pPr>
      <w:spacing w:after="150"/>
    </w:pPr>
  </w:style>
  <w:style w:type="paragraph" w:customStyle="1" w:styleId="span18">
    <w:name w:val="span18"/>
    <w:basedOn w:val="Normal"/>
    <w:pPr>
      <w:spacing w:after="150"/>
    </w:pPr>
  </w:style>
  <w:style w:type="paragraph" w:customStyle="1" w:styleId="span19">
    <w:name w:val="span19"/>
    <w:basedOn w:val="Normal"/>
    <w:pPr>
      <w:spacing w:after="150"/>
    </w:pPr>
  </w:style>
  <w:style w:type="paragraph" w:customStyle="1" w:styleId="span20">
    <w:name w:val="span20"/>
    <w:basedOn w:val="Normal"/>
    <w:pPr>
      <w:spacing w:after="150"/>
    </w:pPr>
  </w:style>
  <w:style w:type="paragraph" w:customStyle="1" w:styleId="span21">
    <w:name w:val="span21"/>
    <w:basedOn w:val="Normal"/>
    <w:pPr>
      <w:spacing w:after="150"/>
    </w:pPr>
  </w:style>
  <w:style w:type="paragraph" w:customStyle="1" w:styleId="span22">
    <w:name w:val="span22"/>
    <w:basedOn w:val="Normal"/>
    <w:pPr>
      <w:spacing w:after="150"/>
    </w:pPr>
  </w:style>
  <w:style w:type="paragraph" w:customStyle="1" w:styleId="span23">
    <w:name w:val="span23"/>
    <w:basedOn w:val="Normal"/>
    <w:pPr>
      <w:spacing w:after="150"/>
    </w:pPr>
  </w:style>
  <w:style w:type="paragraph" w:customStyle="1" w:styleId="span24">
    <w:name w:val="span24"/>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title">
    <w:name w:val="title"/>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date-padding">
    <w:name w:val="date-padding"/>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search-snippet-info">
    <w:name w:val="search-snippet-info"/>
    <w:basedOn w:val="Normal"/>
    <w:pPr>
      <w:spacing w:after="150"/>
    </w:pPr>
  </w:style>
  <w:style w:type="paragraph" w:customStyle="1" w:styleId="search-info">
    <w:name w:val="search-info"/>
    <w:basedOn w:val="Normal"/>
    <w:pPr>
      <w:spacing w:after="150"/>
    </w:pPr>
  </w:style>
  <w:style w:type="paragraph" w:customStyle="1" w:styleId="criterion">
    <w:name w:val="criterion"/>
    <w:basedOn w:val="Normal"/>
    <w:pPr>
      <w:spacing w:after="150"/>
    </w:pPr>
  </w:style>
  <w:style w:type="paragraph" w:customStyle="1" w:styleId="action">
    <w:name w:val="action"/>
    <w:basedOn w:val="Normal"/>
    <w:pPr>
      <w:spacing w:after="150"/>
    </w:pPr>
  </w:style>
  <w:style w:type="paragraph" w:customStyle="1" w:styleId="user-picture">
    <w:name w:val="user-pictur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add-on">
    <w:name w:val="add-on"/>
    <w:basedOn w:val="Normal"/>
    <w:pPr>
      <w:spacing w:after="150"/>
    </w:pPr>
  </w:style>
  <w:style w:type="paragraph" w:customStyle="1" w:styleId="active">
    <w:name w:val="active"/>
    <w:basedOn w:val="Normal"/>
    <w:pPr>
      <w:spacing w:after="150"/>
    </w:pPr>
  </w:style>
  <w:style w:type="paragraph" w:customStyle="1" w:styleId="control-label">
    <w:name w:val="control-label"/>
    <w:basedOn w:val="Normal"/>
    <w:pPr>
      <w:spacing w:after="150"/>
    </w:pPr>
  </w:style>
  <w:style w:type="paragraph" w:customStyle="1" w:styleId="controls">
    <w:name w:val="controls"/>
    <w:basedOn w:val="Normal"/>
    <w:pPr>
      <w:spacing w:after="150"/>
    </w:pPr>
  </w:style>
  <w:style w:type="paragraph" w:customStyle="1" w:styleId="divider">
    <w:name w:val="divider"/>
    <w:basedOn w:val="Normal"/>
    <w:pPr>
      <w:spacing w:after="150"/>
    </w:pPr>
  </w:style>
  <w:style w:type="paragraph" w:customStyle="1" w:styleId="brand">
    <w:name w:val="brand"/>
    <w:basedOn w:val="Normal"/>
    <w:pPr>
      <w:spacing w:after="150"/>
    </w:pPr>
  </w:style>
  <w:style w:type="paragraph" w:customStyle="1" w:styleId="divider-vertical">
    <w:name w:val="divider-vertical"/>
    <w:basedOn w:val="Normal"/>
    <w:pPr>
      <w:spacing w:after="150"/>
    </w:pPr>
  </w:style>
  <w:style w:type="paragraph" w:customStyle="1" w:styleId="search-query">
    <w:name w:val="search-query"/>
    <w:basedOn w:val="Normal"/>
    <w:pPr>
      <w:spacing w:after="150"/>
    </w:pPr>
  </w:style>
  <w:style w:type="paragraph" w:customStyle="1" w:styleId="btn-navbar">
    <w:name w:val="btn-navbar"/>
    <w:basedOn w:val="Normal"/>
    <w:pPr>
      <w:spacing w:after="150"/>
    </w:pPr>
  </w:style>
  <w:style w:type="paragraph" w:customStyle="1" w:styleId="caption">
    <w:name w:val="caption"/>
    <w:basedOn w:val="Normal"/>
    <w:pPr>
      <w:spacing w:after="150"/>
    </w:pPr>
  </w:style>
  <w:style w:type="paragraph" w:customStyle="1" w:styleId="bar-danger">
    <w:name w:val="bar-danger"/>
    <w:basedOn w:val="Normal"/>
    <w:pPr>
      <w:spacing w:after="150"/>
    </w:pPr>
  </w:style>
  <w:style w:type="paragraph" w:customStyle="1" w:styleId="bar-success">
    <w:name w:val="bar-success"/>
    <w:basedOn w:val="Normal"/>
    <w:pPr>
      <w:spacing w:after="150"/>
    </w:pPr>
  </w:style>
  <w:style w:type="paragraph" w:customStyle="1" w:styleId="bar-info">
    <w:name w:val="bar-info"/>
    <w:basedOn w:val="Normal"/>
    <w:pPr>
      <w:spacing w:after="150"/>
    </w:pPr>
  </w:style>
  <w:style w:type="paragraph" w:customStyle="1" w:styleId="bar-warning">
    <w:name w:val="bar-warning"/>
    <w:basedOn w:val="Normal"/>
    <w:pPr>
      <w:spacing w:after="150"/>
    </w:pPr>
  </w:style>
  <w:style w:type="paragraph" w:customStyle="1" w:styleId="accordion-toggle">
    <w:name w:val="accordion-toggle"/>
    <w:basedOn w:val="Normal"/>
    <w:pPr>
      <w:spacing w:after="150"/>
    </w:pPr>
  </w:style>
  <w:style w:type="paragraph" w:customStyle="1" w:styleId="item">
    <w:name w:val="item"/>
    <w:basedOn w:val="Normal"/>
    <w:pPr>
      <w:spacing w:after="150"/>
    </w:pPr>
  </w:style>
  <w:style w:type="paragraph" w:customStyle="1" w:styleId="next">
    <w:name w:val="next"/>
    <w:basedOn w:val="Normal"/>
    <w:pPr>
      <w:spacing w:after="150"/>
    </w:pPr>
  </w:style>
  <w:style w:type="paragraph" w:customStyle="1" w:styleId="prev">
    <w:name w:val="prev"/>
    <w:basedOn w:val="Normal"/>
    <w:pPr>
      <w:spacing w:after="150"/>
    </w:pPr>
  </w:style>
  <w:style w:type="paragraph" w:customStyle="1" w:styleId="bs-icon">
    <w:name w:val="bs-icon"/>
    <w:basedOn w:val="Normal"/>
    <w:pPr>
      <w:spacing w:after="150"/>
    </w:pPr>
  </w:style>
  <w:style w:type="paragraph" w:customStyle="1" w:styleId="small-bs-icon">
    <w:name w:val="small-bs-icon"/>
    <w:basedOn w:val="Normal"/>
    <w:pPr>
      <w:spacing w:after="150"/>
    </w:pPr>
  </w:style>
  <w:style w:type="paragraph" w:customStyle="1" w:styleId="mini-layout-body">
    <w:name w:val="mini-layout-body"/>
    <w:basedOn w:val="Normal"/>
    <w:pPr>
      <w:spacing w:after="150"/>
    </w:pPr>
  </w:style>
  <w:style w:type="paragraph" w:customStyle="1" w:styleId="popover-wrapper">
    <w:name w:val="popover-wrapper"/>
    <w:basedOn w:val="Normal"/>
    <w:pPr>
      <w:spacing w:after="150"/>
    </w:pPr>
  </w:style>
  <w:style w:type="paragraph" w:customStyle="1" w:styleId="popover-menu-wrapper">
    <w:name w:val="popover-menu-wrapper"/>
    <w:basedOn w:val="Normal"/>
    <w:pPr>
      <w:spacing w:after="150"/>
    </w:pPr>
  </w:style>
  <w:style w:type="paragraph" w:customStyle="1" w:styleId="toggle-all">
    <w:name w:val="toggle-all"/>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icon-bar">
    <w:name w:val="icon-bar"/>
    <w:basedOn w:val="Normal"/>
    <w:pPr>
      <w:spacing w:after="150"/>
    </w:pPr>
  </w:style>
  <w:style w:type="paragraph" w:customStyle="1" w:styleId="form-item-name">
    <w:name w:val="form-item-name"/>
    <w:basedOn w:val="Normal"/>
    <w:pPr>
      <w:spacing w:after="150"/>
    </w:pPr>
  </w:style>
  <w:style w:type="paragraph" w:customStyle="1" w:styleId="visible-phone">
    <w:name w:val="visible-phone"/>
    <w:basedOn w:val="Normal"/>
    <w:pPr>
      <w:spacing w:after="150"/>
    </w:pPr>
    <w:rPr>
      <w:vanish/>
    </w:rPr>
  </w:style>
  <w:style w:type="paragraph" w:customStyle="1" w:styleId="visible-tablet">
    <w:name w:val="visible-tablet"/>
    <w:basedOn w:val="Normal"/>
    <w:pPr>
      <w:spacing w:after="150"/>
    </w:pPr>
    <w:rPr>
      <w:vanish/>
    </w:rPr>
  </w:style>
  <w:style w:type="paragraph" w:customStyle="1" w:styleId="hidden-desktop">
    <w:name w:val="hidden-desktop"/>
    <w:basedOn w:val="Normal"/>
    <w:pPr>
      <w:spacing w:after="150"/>
    </w:pPr>
    <w:rPr>
      <w:vanish/>
    </w:rPr>
  </w:style>
  <w:style w:type="character" w:customStyle="1" w:styleId="summary">
    <w:name w:val="summary"/>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666666"/>
        <w:left w:val="single" w:sz="6" w:space="0" w:color="666666"/>
        <w:bottom w:val="single" w:sz="6" w:space="0" w:color="666666"/>
        <w:right w:val="single" w:sz="6" w:space="0" w:color="666666"/>
      </w:pBdr>
      <w:shd w:val="clear" w:color="auto" w:fill="0E90D2"/>
      <w:ind w:left="48" w:right="48"/>
      <w:jc w:val="center"/>
    </w:pPr>
    <w:rPr>
      <w:color w:val="FFFFFF"/>
      <w:sz w:val="18"/>
      <w:szCs w:val="18"/>
    </w:rPr>
  </w:style>
  <w:style w:type="paragraph" w:customStyle="1" w:styleId="filled1">
    <w:name w:val="filled1"/>
    <w:basedOn w:val="Normal"/>
    <w:pPr>
      <w:shd w:val="clear" w:color="auto" w:fill="0072B9"/>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error1">
    <w:name w:val="error1"/>
    <w:basedOn w:val="Normal"/>
    <w:pPr>
      <w:spacing w:after="150"/>
    </w:pPr>
    <w:rPr>
      <w:color w:val="333333"/>
    </w:rPr>
  </w:style>
  <w:style w:type="paragraph" w:customStyle="1" w:styleId="title1">
    <w:name w:val="title1"/>
    <w:basedOn w:val="Normal"/>
    <w:pPr>
      <w:spacing w:after="150"/>
    </w:pPr>
    <w:rPr>
      <w:b/>
      <w:bCs/>
    </w:rPr>
  </w:style>
  <w:style w:type="paragraph" w:customStyle="1" w:styleId="form-item1">
    <w:name w:val="form-item1"/>
    <w:basedOn w:val="Normal"/>
  </w:style>
  <w:style w:type="paragraph" w:customStyle="1" w:styleId="form-item2">
    <w:name w:val="form-item2"/>
    <w:basedOn w:val="Normal"/>
  </w:style>
  <w:style w:type="paragraph" w:customStyle="1" w:styleId="description1">
    <w:name w:val="description1"/>
    <w:basedOn w:val="Normal"/>
    <w:pPr>
      <w:spacing w:after="150"/>
    </w:pPr>
    <w:rPr>
      <w:sz w:val="20"/>
      <w:szCs w:val="20"/>
    </w:rPr>
  </w:style>
  <w:style w:type="paragraph" w:customStyle="1" w:styleId="form-item3">
    <w:name w:val="form-item3"/>
    <w:basedOn w:val="Normal"/>
    <w:pPr>
      <w:spacing w:before="96" w:after="96"/>
    </w:pPr>
  </w:style>
  <w:style w:type="paragraph" w:customStyle="1" w:styleId="form-item4">
    <w:name w:val="form-item4"/>
    <w:basedOn w:val="Normal"/>
    <w:pPr>
      <w:spacing w:before="96" w:after="96"/>
    </w:pPr>
  </w:style>
  <w:style w:type="paragraph" w:customStyle="1" w:styleId="description2">
    <w:name w:val="description2"/>
    <w:basedOn w:val="Normal"/>
    <w:pPr>
      <w:spacing w:after="150"/>
      <w:ind w:left="576"/>
    </w:pPr>
  </w:style>
  <w:style w:type="paragraph" w:customStyle="1" w:styleId="description3">
    <w:name w:val="description3"/>
    <w:basedOn w:val="Normal"/>
    <w:pPr>
      <w:spacing w:after="150"/>
      <w:ind w:left="576"/>
    </w:pPr>
  </w:style>
  <w:style w:type="paragraph" w:customStyle="1" w:styleId="pager1">
    <w:name w:val="pager1"/>
    <w:basedOn w:val="Normal"/>
    <w:pPr>
      <w:spacing w:before="300" w:after="300"/>
      <w:jc w:val="center"/>
    </w:pPr>
  </w:style>
  <w:style w:type="character" w:customStyle="1" w:styleId="summary1">
    <w:name w:val="summary1"/>
    <w:basedOn w:val="DefaultParagraphFont"/>
    <w:rPr>
      <w:color w:val="999999"/>
      <w:sz w:val="22"/>
      <w:szCs w:val="22"/>
    </w:rPr>
  </w:style>
  <w:style w:type="paragraph" w:customStyle="1" w:styleId="form-item5">
    <w:name w:val="form-item5"/>
    <w:basedOn w:val="Normal"/>
  </w:style>
  <w:style w:type="paragraph" w:customStyle="1" w:styleId="description4">
    <w:name w:val="description4"/>
    <w:basedOn w:val="Normal"/>
    <w:pPr>
      <w:spacing w:after="150"/>
    </w:pPr>
  </w:style>
  <w:style w:type="paragraph" w:customStyle="1" w:styleId="date-spacer1">
    <w:name w:val="date-spacer1"/>
    <w:basedOn w:val="Normal"/>
    <w:pPr>
      <w:spacing w:after="150"/>
      <w:ind w:left="-75"/>
    </w:pPr>
  </w:style>
  <w:style w:type="paragraph" w:customStyle="1" w:styleId="form-item6">
    <w:name w:val="form-item6"/>
    <w:basedOn w:val="Normal"/>
  </w:style>
  <w:style w:type="paragraph" w:customStyle="1" w:styleId="date-padding1">
    <w:name w:val="date-padding1"/>
    <w:basedOn w:val="Normal"/>
    <w:pPr>
      <w:spacing w:after="150"/>
    </w:pPr>
  </w:style>
  <w:style w:type="paragraph" w:customStyle="1" w:styleId="date-padding2">
    <w:name w:val="date-padding2"/>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title2">
    <w:name w:val="title2"/>
    <w:basedOn w:val="Normal"/>
    <w:pPr>
      <w:spacing w:after="150"/>
    </w:pPr>
    <w:rPr>
      <w:sz w:val="29"/>
      <w:szCs w:val="29"/>
    </w:rPr>
  </w:style>
  <w:style w:type="paragraph" w:customStyle="1" w:styleId="search-snippet-info1">
    <w:name w:val="search-snippet-info1"/>
    <w:basedOn w:val="Normal"/>
    <w:pPr>
      <w:spacing w:after="150"/>
    </w:pPr>
  </w:style>
  <w:style w:type="paragraph" w:customStyle="1" w:styleId="search-info1">
    <w:name w:val="search-info1"/>
    <w:basedOn w:val="Normal"/>
    <w:pPr>
      <w:spacing w:after="150"/>
    </w:pPr>
    <w:rPr>
      <w:sz w:val="20"/>
      <w:szCs w:val="20"/>
    </w:rPr>
  </w:style>
  <w:style w:type="paragraph" w:customStyle="1" w:styleId="criterion1">
    <w:name w:val="criterion1"/>
    <w:basedOn w:val="Normal"/>
    <w:pPr>
      <w:spacing w:after="150"/>
      <w:ind w:right="480"/>
    </w:pPr>
  </w:style>
  <w:style w:type="paragraph" w:customStyle="1" w:styleId="action1">
    <w:name w:val="action1"/>
    <w:basedOn w:val="Normal"/>
    <w:pPr>
      <w:spacing w:after="150"/>
    </w:pPr>
  </w:style>
  <w:style w:type="paragraph" w:customStyle="1" w:styleId="form-item7">
    <w:name w:val="form-item7"/>
    <w:basedOn w:val="Normal"/>
  </w:style>
  <w:style w:type="paragraph" w:customStyle="1" w:styleId="form-item8">
    <w:name w:val="form-item8"/>
    <w:basedOn w:val="Normal"/>
  </w:style>
  <w:style w:type="paragraph" w:customStyle="1" w:styleId="form-item-name1">
    <w:name w:val="form-item-name1"/>
    <w:basedOn w:val="Normal"/>
    <w:pPr>
      <w:spacing w:after="150"/>
      <w:ind w:right="240"/>
    </w:pPr>
  </w:style>
  <w:style w:type="paragraph" w:customStyle="1" w:styleId="user-picture1">
    <w:name w:val="user-picture1"/>
    <w:basedOn w:val="Normal"/>
    <w:pPr>
      <w:spacing w:after="240"/>
      <w:ind w:right="24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9">
    <w:name w:val="form-item9"/>
    <w:basedOn w:val="Normal"/>
  </w:style>
  <w:style w:type="paragraph" w:customStyle="1" w:styleId="form-submit2">
    <w:name w:val="form-submit2"/>
    <w:basedOn w:val="Normal"/>
  </w:style>
  <w:style w:type="paragraph" w:customStyle="1" w:styleId="container1">
    <w:name w:val="container1"/>
    <w:basedOn w:val="Normal"/>
    <w:pPr>
      <w:spacing w:after="150"/>
    </w:pPr>
  </w:style>
  <w:style w:type="paragraph" w:customStyle="1" w:styleId="container2">
    <w:name w:val="container2"/>
    <w:basedOn w:val="Normal"/>
    <w:pPr>
      <w:spacing w:after="150"/>
    </w:pPr>
  </w:style>
  <w:style w:type="paragraph" w:customStyle="1" w:styleId="container3">
    <w:name w:val="container3"/>
    <w:basedOn w:val="Normal"/>
    <w:pPr>
      <w:spacing w:after="150"/>
    </w:pPr>
  </w:style>
  <w:style w:type="paragraph" w:customStyle="1" w:styleId="span121">
    <w:name w:val="span121"/>
    <w:basedOn w:val="Normal"/>
    <w:pPr>
      <w:spacing w:after="150"/>
    </w:pPr>
  </w:style>
  <w:style w:type="paragraph" w:customStyle="1" w:styleId="span111">
    <w:name w:val="span111"/>
    <w:basedOn w:val="Normal"/>
    <w:pPr>
      <w:spacing w:after="150"/>
    </w:pPr>
  </w:style>
  <w:style w:type="paragraph" w:customStyle="1" w:styleId="span101">
    <w:name w:val="span101"/>
    <w:basedOn w:val="Normal"/>
    <w:pPr>
      <w:spacing w:after="150"/>
    </w:pPr>
  </w:style>
  <w:style w:type="paragraph" w:customStyle="1" w:styleId="span91">
    <w:name w:val="span91"/>
    <w:basedOn w:val="Normal"/>
    <w:pPr>
      <w:spacing w:after="150"/>
    </w:pPr>
  </w:style>
  <w:style w:type="paragraph" w:customStyle="1" w:styleId="span81">
    <w:name w:val="span81"/>
    <w:basedOn w:val="Normal"/>
    <w:pPr>
      <w:spacing w:after="150"/>
    </w:pPr>
  </w:style>
  <w:style w:type="paragraph" w:customStyle="1" w:styleId="span71">
    <w:name w:val="span71"/>
    <w:basedOn w:val="Normal"/>
    <w:pPr>
      <w:spacing w:after="150"/>
    </w:pPr>
  </w:style>
  <w:style w:type="paragraph" w:customStyle="1" w:styleId="span61">
    <w:name w:val="span61"/>
    <w:basedOn w:val="Normal"/>
    <w:pPr>
      <w:spacing w:after="150"/>
    </w:pPr>
  </w:style>
  <w:style w:type="paragraph" w:customStyle="1" w:styleId="span51">
    <w:name w:val="span51"/>
    <w:basedOn w:val="Normal"/>
    <w:pPr>
      <w:spacing w:after="150"/>
    </w:pPr>
  </w:style>
  <w:style w:type="paragraph" w:customStyle="1" w:styleId="span41">
    <w:name w:val="span41"/>
    <w:basedOn w:val="Normal"/>
    <w:pPr>
      <w:spacing w:after="150"/>
    </w:pPr>
  </w:style>
  <w:style w:type="paragraph" w:customStyle="1" w:styleId="span31">
    <w:name w:val="span31"/>
    <w:basedOn w:val="Normal"/>
    <w:pPr>
      <w:spacing w:after="150"/>
    </w:pPr>
  </w:style>
  <w:style w:type="paragraph" w:customStyle="1" w:styleId="span25">
    <w:name w:val="span25"/>
    <w:basedOn w:val="Normal"/>
    <w:pPr>
      <w:spacing w:after="150"/>
    </w:pPr>
  </w:style>
  <w:style w:type="paragraph" w:customStyle="1" w:styleId="span110">
    <w:name w:val="span110"/>
    <w:basedOn w:val="Normal"/>
    <w:pPr>
      <w:spacing w:after="150"/>
    </w:pPr>
  </w:style>
  <w:style w:type="paragraph" w:customStyle="1" w:styleId="offset121">
    <w:name w:val="offset121"/>
    <w:basedOn w:val="Normal"/>
    <w:pPr>
      <w:spacing w:after="150"/>
      <w:ind w:left="27429"/>
    </w:pPr>
  </w:style>
  <w:style w:type="paragraph" w:customStyle="1" w:styleId="offset111">
    <w:name w:val="offset111"/>
    <w:basedOn w:val="Normal"/>
    <w:pPr>
      <w:spacing w:after="150"/>
      <w:ind w:left="25128"/>
    </w:pPr>
  </w:style>
  <w:style w:type="paragraph" w:customStyle="1" w:styleId="offset101">
    <w:name w:val="offset101"/>
    <w:basedOn w:val="Normal"/>
    <w:pPr>
      <w:spacing w:after="150"/>
      <w:ind w:left="22948"/>
    </w:pPr>
  </w:style>
  <w:style w:type="paragraph" w:customStyle="1" w:styleId="offset91">
    <w:name w:val="offset91"/>
    <w:basedOn w:val="Normal"/>
    <w:pPr>
      <w:spacing w:after="150"/>
      <w:ind w:left="20647"/>
    </w:pPr>
  </w:style>
  <w:style w:type="paragraph" w:customStyle="1" w:styleId="offset81">
    <w:name w:val="offset81"/>
    <w:basedOn w:val="Normal"/>
    <w:pPr>
      <w:spacing w:after="150"/>
      <w:ind w:left="18468"/>
    </w:pPr>
  </w:style>
  <w:style w:type="paragraph" w:customStyle="1" w:styleId="offset71">
    <w:name w:val="offset71"/>
    <w:basedOn w:val="Normal"/>
    <w:pPr>
      <w:spacing w:after="150"/>
      <w:ind w:left="16166"/>
    </w:pPr>
  </w:style>
  <w:style w:type="paragraph" w:customStyle="1" w:styleId="offset61">
    <w:name w:val="offset61"/>
    <w:basedOn w:val="Normal"/>
    <w:pPr>
      <w:spacing w:after="150"/>
      <w:ind w:left="13987"/>
    </w:pPr>
  </w:style>
  <w:style w:type="paragraph" w:customStyle="1" w:styleId="offset51">
    <w:name w:val="offset51"/>
    <w:basedOn w:val="Normal"/>
    <w:pPr>
      <w:spacing w:after="150"/>
      <w:ind w:left="11685"/>
    </w:pPr>
  </w:style>
  <w:style w:type="paragraph" w:customStyle="1" w:styleId="offset41">
    <w:name w:val="offset41"/>
    <w:basedOn w:val="Normal"/>
    <w:pPr>
      <w:spacing w:after="150"/>
      <w:ind w:left="9506"/>
    </w:pPr>
  </w:style>
  <w:style w:type="paragraph" w:customStyle="1" w:styleId="offset31">
    <w:name w:val="offset31"/>
    <w:basedOn w:val="Normal"/>
    <w:pPr>
      <w:spacing w:after="150"/>
      <w:ind w:left="7204"/>
    </w:pPr>
  </w:style>
  <w:style w:type="paragraph" w:customStyle="1" w:styleId="offset21">
    <w:name w:val="offset21"/>
    <w:basedOn w:val="Normal"/>
    <w:pPr>
      <w:spacing w:after="150"/>
      <w:ind w:left="5025"/>
    </w:pPr>
  </w:style>
  <w:style w:type="paragraph" w:customStyle="1" w:styleId="offset13">
    <w:name w:val="offset13"/>
    <w:basedOn w:val="Normal"/>
    <w:pPr>
      <w:spacing w:after="150"/>
      <w:ind w:left="2724"/>
    </w:pPr>
  </w:style>
  <w:style w:type="paragraph" w:customStyle="1" w:styleId="uneditable-input1">
    <w:name w:val="uneditable-input1"/>
    <w:basedOn w:val="Normal"/>
    <w:pPr>
      <w:shd w:val="clear" w:color="auto" w:fill="FCFCFC"/>
      <w:textAlignment w:val="top"/>
    </w:pPr>
    <w:rPr>
      <w:color w:val="999999"/>
      <w:sz w:val="21"/>
      <w:szCs w:val="21"/>
    </w:rPr>
  </w:style>
  <w:style w:type="paragraph" w:customStyle="1" w:styleId="uneditable-input2">
    <w:name w:val="uneditable-input2"/>
    <w:basedOn w:val="Normal"/>
    <w:pPr>
      <w:shd w:val="clear" w:color="auto" w:fill="FCFCFC"/>
      <w:textAlignment w:val="top"/>
    </w:pPr>
    <w:rPr>
      <w:color w:val="999999"/>
      <w:sz w:val="21"/>
      <w:szCs w:val="21"/>
    </w:rPr>
  </w:style>
  <w:style w:type="paragraph" w:customStyle="1" w:styleId="add-on1">
    <w:name w:val="add-on1"/>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jc w:val="center"/>
      <w:textAlignment w:val="top"/>
    </w:pPr>
    <w:rPr>
      <w:sz w:val="21"/>
      <w:szCs w:val="21"/>
    </w:rPr>
  </w:style>
  <w:style w:type="paragraph" w:customStyle="1" w:styleId="add-on2">
    <w:name w:val="add-on2"/>
    <w:basedOn w:val="Normal"/>
    <w:pPr>
      <w:pBdr>
        <w:top w:val="single" w:sz="6" w:space="3" w:color="CCCCCC"/>
        <w:left w:val="single" w:sz="6" w:space="4" w:color="CCCCCC"/>
        <w:bottom w:val="single" w:sz="6" w:space="3" w:color="CCCCCC"/>
        <w:right w:val="single" w:sz="6" w:space="4" w:color="CCCCCC"/>
      </w:pBdr>
      <w:shd w:val="clear" w:color="auto" w:fill="EEEEEE"/>
      <w:spacing w:after="150" w:line="300" w:lineRule="atLeast"/>
      <w:ind w:left="-15" w:right="-15"/>
      <w:jc w:val="center"/>
      <w:textAlignment w:val="top"/>
    </w:pPr>
    <w:rPr>
      <w:sz w:val="21"/>
      <w:szCs w:val="21"/>
    </w:rPr>
  </w:style>
  <w:style w:type="paragraph" w:customStyle="1" w:styleId="btn1">
    <w:name w:val="btn1"/>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jc w:val="center"/>
      <w:textAlignment w:val="top"/>
    </w:pPr>
    <w:rPr>
      <w:color w:val="333333"/>
      <w:sz w:val="21"/>
      <w:szCs w:val="21"/>
    </w:rPr>
  </w:style>
  <w:style w:type="paragraph" w:customStyle="1" w:styleId="btn2">
    <w:name w:val="btn2"/>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ind w:left="-15" w:right="-15"/>
      <w:jc w:val="center"/>
      <w:textAlignment w:val="top"/>
    </w:pPr>
    <w:rPr>
      <w:color w:val="333333"/>
      <w:sz w:val="21"/>
      <w:szCs w:val="21"/>
    </w:rPr>
  </w:style>
  <w:style w:type="paragraph" w:customStyle="1" w:styleId="active1">
    <w:name w:val="active1"/>
    <w:basedOn w:val="Normal"/>
    <w:pPr>
      <w:shd w:val="clear" w:color="auto" w:fill="A9DBA9"/>
      <w:spacing w:after="150"/>
    </w:pPr>
  </w:style>
  <w:style w:type="paragraph" w:customStyle="1" w:styleId="active2">
    <w:name w:val="active2"/>
    <w:basedOn w:val="Normal"/>
    <w:pPr>
      <w:shd w:val="clear" w:color="auto" w:fill="A9DBA9"/>
      <w:spacing w:after="150"/>
    </w:pPr>
  </w:style>
  <w:style w:type="paragraph" w:customStyle="1" w:styleId="help-inline1">
    <w:name w:val="help-inline1"/>
    <w:basedOn w:val="Normal"/>
    <w:pPr>
      <w:textAlignment w:val="center"/>
    </w:pPr>
    <w:rPr>
      <w:color w:val="595959"/>
    </w:rPr>
  </w:style>
  <w:style w:type="paragraph" w:customStyle="1" w:styleId="uneditable-input3">
    <w:name w:val="uneditable-input3"/>
    <w:basedOn w:val="Normal"/>
    <w:pPr>
      <w:shd w:val="clear" w:color="auto" w:fill="FCFCFC"/>
      <w:textAlignment w:val="center"/>
    </w:pPr>
    <w:rPr>
      <w:color w:val="999999"/>
    </w:rPr>
  </w:style>
  <w:style w:type="paragraph" w:customStyle="1" w:styleId="input-prepend1">
    <w:name w:val="input-prepend1"/>
    <w:basedOn w:val="Normal"/>
    <w:pPr>
      <w:textAlignment w:val="center"/>
    </w:pPr>
    <w:rPr>
      <w:sz w:val="2"/>
      <w:szCs w:val="2"/>
    </w:rPr>
  </w:style>
  <w:style w:type="paragraph" w:customStyle="1" w:styleId="input-append1">
    <w:name w:val="input-append1"/>
    <w:basedOn w:val="Normal"/>
    <w:pPr>
      <w:textAlignment w:val="center"/>
    </w:pPr>
    <w:rPr>
      <w:sz w:val="2"/>
      <w:szCs w:val="2"/>
    </w:rPr>
  </w:style>
  <w:style w:type="paragraph" w:customStyle="1" w:styleId="help-inline2">
    <w:name w:val="help-inline2"/>
    <w:basedOn w:val="Normal"/>
    <w:pPr>
      <w:textAlignment w:val="center"/>
    </w:pPr>
    <w:rPr>
      <w:color w:val="595959"/>
    </w:rPr>
  </w:style>
  <w:style w:type="paragraph" w:customStyle="1" w:styleId="uneditable-input4">
    <w:name w:val="uneditable-input4"/>
    <w:basedOn w:val="Normal"/>
    <w:pPr>
      <w:shd w:val="clear" w:color="auto" w:fill="FCFCFC"/>
      <w:textAlignment w:val="center"/>
    </w:pPr>
    <w:rPr>
      <w:color w:val="999999"/>
    </w:rPr>
  </w:style>
  <w:style w:type="paragraph" w:customStyle="1" w:styleId="input-prepend2">
    <w:name w:val="input-prepend2"/>
    <w:basedOn w:val="Normal"/>
    <w:pPr>
      <w:textAlignment w:val="center"/>
    </w:pPr>
    <w:rPr>
      <w:sz w:val="2"/>
      <w:szCs w:val="2"/>
    </w:rPr>
  </w:style>
  <w:style w:type="paragraph" w:customStyle="1" w:styleId="input-append2">
    <w:name w:val="input-append2"/>
    <w:basedOn w:val="Normal"/>
    <w:pPr>
      <w:textAlignment w:val="center"/>
    </w:pPr>
    <w:rPr>
      <w:sz w:val="2"/>
      <w:szCs w:val="2"/>
    </w:rPr>
  </w:style>
  <w:style w:type="paragraph" w:customStyle="1" w:styleId="help-inline3">
    <w:name w:val="help-inline3"/>
    <w:basedOn w:val="Normal"/>
    <w:pPr>
      <w:textAlignment w:val="center"/>
    </w:pPr>
    <w:rPr>
      <w:color w:val="595959"/>
    </w:rPr>
  </w:style>
  <w:style w:type="paragraph" w:customStyle="1" w:styleId="uneditable-input5">
    <w:name w:val="uneditable-input5"/>
    <w:basedOn w:val="Normal"/>
    <w:pPr>
      <w:shd w:val="clear" w:color="auto" w:fill="FCFCFC"/>
      <w:textAlignment w:val="center"/>
    </w:pPr>
    <w:rPr>
      <w:color w:val="999999"/>
    </w:rPr>
  </w:style>
  <w:style w:type="paragraph" w:customStyle="1" w:styleId="input-prepend3">
    <w:name w:val="input-prepend3"/>
    <w:basedOn w:val="Normal"/>
    <w:pPr>
      <w:textAlignment w:val="center"/>
    </w:pPr>
    <w:rPr>
      <w:sz w:val="2"/>
      <w:szCs w:val="2"/>
    </w:rPr>
  </w:style>
  <w:style w:type="paragraph" w:customStyle="1" w:styleId="input-append3">
    <w:name w:val="input-append3"/>
    <w:basedOn w:val="Normal"/>
    <w:pPr>
      <w:textAlignment w:val="center"/>
    </w:pPr>
    <w:rPr>
      <w:sz w:val="2"/>
      <w:szCs w:val="2"/>
    </w:rPr>
  </w:style>
  <w:style w:type="paragraph" w:customStyle="1" w:styleId="hide1">
    <w:name w:val="hide1"/>
    <w:basedOn w:val="Normal"/>
    <w:pPr>
      <w:spacing w:after="150"/>
    </w:pPr>
    <w:rPr>
      <w:vanish/>
    </w:rPr>
  </w:style>
  <w:style w:type="paragraph" w:customStyle="1" w:styleId="hide2">
    <w:name w:val="hide2"/>
    <w:basedOn w:val="Normal"/>
    <w:pPr>
      <w:spacing w:after="150"/>
    </w:pPr>
    <w:rPr>
      <w:vanish/>
    </w:rPr>
  </w:style>
  <w:style w:type="paragraph" w:customStyle="1" w:styleId="hide3">
    <w:name w:val="hide3"/>
    <w:basedOn w:val="Normal"/>
    <w:pPr>
      <w:spacing w:after="150"/>
    </w:pPr>
    <w:rPr>
      <w:vanish/>
    </w:rPr>
  </w:style>
  <w:style w:type="paragraph" w:customStyle="1" w:styleId="radio1">
    <w:name w:val="radio1"/>
    <w:basedOn w:val="Normal"/>
    <w:pPr>
      <w:textAlignment w:val="center"/>
    </w:pPr>
  </w:style>
  <w:style w:type="paragraph" w:customStyle="1" w:styleId="checkbox1">
    <w:name w:val="checkbox1"/>
    <w:basedOn w:val="Normal"/>
    <w:pPr>
      <w:textAlignment w:val="center"/>
    </w:pPr>
  </w:style>
  <w:style w:type="paragraph" w:customStyle="1" w:styleId="radio2">
    <w:name w:val="radio2"/>
    <w:basedOn w:val="Normal"/>
    <w:pPr>
      <w:textAlignment w:val="center"/>
    </w:pPr>
  </w:style>
  <w:style w:type="paragraph" w:customStyle="1" w:styleId="checkbox2">
    <w:name w:val="checkbox2"/>
    <w:basedOn w:val="Normal"/>
    <w:pPr>
      <w:textAlignment w:val="center"/>
    </w:pPr>
  </w:style>
  <w:style w:type="paragraph" w:customStyle="1" w:styleId="control-group1">
    <w:name w:val="control-group1"/>
    <w:basedOn w:val="Normal"/>
    <w:pPr>
      <w:spacing w:after="300"/>
    </w:pPr>
  </w:style>
  <w:style w:type="paragraph" w:customStyle="1" w:styleId="control-label1">
    <w:name w:val="control-label1"/>
    <w:basedOn w:val="Normal"/>
    <w:pPr>
      <w:spacing w:after="150"/>
      <w:jc w:val="right"/>
    </w:pPr>
  </w:style>
  <w:style w:type="paragraph" w:customStyle="1" w:styleId="controls1">
    <w:name w:val="controls1"/>
    <w:basedOn w:val="Normal"/>
    <w:pPr>
      <w:spacing w:after="150"/>
      <w:ind w:left="2400"/>
    </w:pPr>
  </w:style>
  <w:style w:type="paragraph" w:customStyle="1" w:styleId="help-block1">
    <w:name w:val="help-block1"/>
    <w:basedOn w:val="Normal"/>
    <w:pPr>
      <w:spacing w:before="150"/>
    </w:pPr>
    <w:rPr>
      <w:color w:val="595959"/>
    </w:rPr>
  </w:style>
  <w:style w:type="paragraph" w:customStyle="1" w:styleId="form-actions1">
    <w:name w:val="form-actions1"/>
    <w:basedOn w:val="Normal"/>
    <w:pPr>
      <w:pBdr>
        <w:top w:val="single" w:sz="6" w:space="14" w:color="E5E5E5"/>
      </w:pBdr>
      <w:shd w:val="clear" w:color="auto" w:fill="F5F5F5"/>
      <w:spacing w:before="300" w:after="300"/>
    </w:pPr>
  </w:style>
  <w:style w:type="paragraph" w:customStyle="1" w:styleId="span112">
    <w:name w:val="span112"/>
    <w:basedOn w:val="Normal"/>
    <w:pPr>
      <w:spacing w:after="150"/>
    </w:pPr>
  </w:style>
  <w:style w:type="paragraph" w:customStyle="1" w:styleId="span26">
    <w:name w:val="span26"/>
    <w:basedOn w:val="Normal"/>
    <w:pPr>
      <w:spacing w:after="150"/>
    </w:pPr>
  </w:style>
  <w:style w:type="paragraph" w:customStyle="1" w:styleId="span32">
    <w:name w:val="span32"/>
    <w:basedOn w:val="Normal"/>
    <w:pPr>
      <w:spacing w:after="150"/>
    </w:pPr>
  </w:style>
  <w:style w:type="paragraph" w:customStyle="1" w:styleId="span42">
    <w:name w:val="span42"/>
    <w:basedOn w:val="Normal"/>
    <w:pPr>
      <w:spacing w:after="150"/>
    </w:pPr>
  </w:style>
  <w:style w:type="paragraph" w:customStyle="1" w:styleId="span52">
    <w:name w:val="span52"/>
    <w:basedOn w:val="Normal"/>
    <w:pPr>
      <w:spacing w:after="150"/>
    </w:pPr>
  </w:style>
  <w:style w:type="paragraph" w:customStyle="1" w:styleId="span62">
    <w:name w:val="span62"/>
    <w:basedOn w:val="Normal"/>
    <w:pPr>
      <w:spacing w:after="150"/>
    </w:pPr>
  </w:style>
  <w:style w:type="paragraph" w:customStyle="1" w:styleId="span72">
    <w:name w:val="span72"/>
    <w:basedOn w:val="Normal"/>
    <w:pPr>
      <w:spacing w:after="150"/>
    </w:pPr>
  </w:style>
  <w:style w:type="paragraph" w:customStyle="1" w:styleId="span82">
    <w:name w:val="span82"/>
    <w:basedOn w:val="Normal"/>
    <w:pPr>
      <w:spacing w:after="150"/>
    </w:pPr>
  </w:style>
  <w:style w:type="paragraph" w:customStyle="1" w:styleId="span92">
    <w:name w:val="span92"/>
    <w:basedOn w:val="Normal"/>
    <w:pPr>
      <w:spacing w:after="150"/>
    </w:pPr>
  </w:style>
  <w:style w:type="paragraph" w:customStyle="1" w:styleId="span102">
    <w:name w:val="span102"/>
    <w:basedOn w:val="Normal"/>
    <w:pPr>
      <w:spacing w:after="150"/>
    </w:pPr>
  </w:style>
  <w:style w:type="paragraph" w:customStyle="1" w:styleId="span113">
    <w:name w:val="span113"/>
    <w:basedOn w:val="Normal"/>
    <w:pPr>
      <w:spacing w:after="150"/>
    </w:pPr>
  </w:style>
  <w:style w:type="paragraph" w:customStyle="1" w:styleId="span122">
    <w:name w:val="span122"/>
    <w:basedOn w:val="Normal"/>
    <w:pPr>
      <w:spacing w:after="150"/>
    </w:pPr>
  </w:style>
  <w:style w:type="paragraph" w:customStyle="1" w:styleId="span131">
    <w:name w:val="span131"/>
    <w:basedOn w:val="Normal"/>
    <w:pPr>
      <w:spacing w:after="150"/>
    </w:pPr>
  </w:style>
  <w:style w:type="paragraph" w:customStyle="1" w:styleId="span141">
    <w:name w:val="span141"/>
    <w:basedOn w:val="Normal"/>
    <w:pPr>
      <w:spacing w:after="150"/>
    </w:pPr>
  </w:style>
  <w:style w:type="paragraph" w:customStyle="1" w:styleId="span151">
    <w:name w:val="span151"/>
    <w:basedOn w:val="Normal"/>
    <w:pPr>
      <w:spacing w:after="150"/>
    </w:pPr>
  </w:style>
  <w:style w:type="paragraph" w:customStyle="1" w:styleId="span161">
    <w:name w:val="span161"/>
    <w:basedOn w:val="Normal"/>
    <w:pPr>
      <w:spacing w:after="150"/>
    </w:pPr>
  </w:style>
  <w:style w:type="paragraph" w:customStyle="1" w:styleId="span171">
    <w:name w:val="span171"/>
    <w:basedOn w:val="Normal"/>
    <w:pPr>
      <w:spacing w:after="150"/>
    </w:pPr>
  </w:style>
  <w:style w:type="paragraph" w:customStyle="1" w:styleId="span181">
    <w:name w:val="span181"/>
    <w:basedOn w:val="Normal"/>
    <w:pPr>
      <w:spacing w:after="150"/>
    </w:pPr>
  </w:style>
  <w:style w:type="paragraph" w:customStyle="1" w:styleId="span191">
    <w:name w:val="span191"/>
    <w:basedOn w:val="Normal"/>
    <w:pPr>
      <w:spacing w:after="150"/>
    </w:pPr>
  </w:style>
  <w:style w:type="paragraph" w:customStyle="1" w:styleId="span201">
    <w:name w:val="span201"/>
    <w:basedOn w:val="Normal"/>
    <w:pPr>
      <w:spacing w:after="150"/>
    </w:pPr>
  </w:style>
  <w:style w:type="paragraph" w:customStyle="1" w:styleId="span211">
    <w:name w:val="span211"/>
    <w:basedOn w:val="Normal"/>
    <w:pPr>
      <w:spacing w:after="150"/>
    </w:pPr>
  </w:style>
  <w:style w:type="paragraph" w:customStyle="1" w:styleId="span221">
    <w:name w:val="span221"/>
    <w:basedOn w:val="Normal"/>
    <w:pPr>
      <w:spacing w:after="150"/>
    </w:pPr>
  </w:style>
  <w:style w:type="paragraph" w:customStyle="1" w:styleId="span231">
    <w:name w:val="span231"/>
    <w:basedOn w:val="Normal"/>
    <w:pPr>
      <w:spacing w:after="150"/>
    </w:pPr>
  </w:style>
  <w:style w:type="paragraph" w:customStyle="1" w:styleId="span241">
    <w:name w:val="span241"/>
    <w:basedOn w:val="Normal"/>
    <w:pPr>
      <w:spacing w:after="150"/>
    </w:pPr>
  </w:style>
  <w:style w:type="paragraph" w:customStyle="1" w:styleId="caret1">
    <w:name w:val="caret1"/>
    <w:basedOn w:val="Normal"/>
    <w:pPr>
      <w:pBdr>
        <w:top w:val="single" w:sz="24" w:space="0" w:color="000000"/>
      </w:pBdr>
      <w:spacing w:before="120" w:after="150"/>
      <w:ind w:left="30"/>
      <w:textAlignment w:val="top"/>
    </w:pPr>
  </w:style>
  <w:style w:type="paragraph" w:customStyle="1" w:styleId="divider1">
    <w:name w:val="divider1"/>
    <w:basedOn w:val="Normal"/>
    <w:pPr>
      <w:pBdr>
        <w:bottom w:val="single" w:sz="6" w:space="0" w:color="FFFFFF"/>
      </w:pBdr>
      <w:shd w:val="clear" w:color="auto" w:fill="E5E5E5"/>
      <w:spacing w:before="135" w:after="135"/>
      <w:ind w:left="15" w:right="15"/>
    </w:pPr>
  </w:style>
  <w:style w:type="paragraph" w:customStyle="1" w:styleId="caret2">
    <w:name w:val="caret2"/>
    <w:basedOn w:val="Normal"/>
    <w:pPr>
      <w:pBdr>
        <w:bottom w:val="single" w:sz="24" w:space="0" w:color="000000"/>
      </w:pBdr>
      <w:spacing w:after="150"/>
      <w:textAlignment w:val="top"/>
    </w:pPr>
  </w:style>
  <w:style w:type="paragraph" w:customStyle="1" w:styleId="caret3">
    <w:name w:val="caret3"/>
    <w:basedOn w:val="Normal"/>
    <w:pPr>
      <w:pBdr>
        <w:bottom w:val="single" w:sz="24" w:space="0" w:color="000000"/>
      </w:pBdr>
      <w:spacing w:before="120" w:after="150"/>
      <w:ind w:left="30"/>
      <w:textAlignment w:val="top"/>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r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spacing w:before="30"/>
    </w:pPr>
  </w:style>
  <w:style w:type="paragraph" w:customStyle="1" w:styleId="nav-header1">
    <w:name w:val="nav-header1"/>
    <w:basedOn w:val="Normal"/>
    <w:pPr>
      <w:spacing w:after="150" w:line="300" w:lineRule="atLeast"/>
    </w:pPr>
    <w:rPr>
      <w:b/>
      <w:bCs/>
      <w:caps/>
      <w:color w:val="999999"/>
      <w:sz w:val="17"/>
      <w:szCs w:val="17"/>
    </w:rPr>
  </w:style>
  <w:style w:type="paragraph" w:customStyle="1" w:styleId="caret4">
    <w:name w:val="caret4"/>
    <w:basedOn w:val="Normal"/>
    <w:pPr>
      <w:pBdr>
        <w:top w:val="single" w:sz="24" w:space="0" w:color="000000"/>
      </w:pBdr>
      <w:spacing w:before="120" w:after="150"/>
      <w:textAlignment w:val="top"/>
    </w:pPr>
  </w:style>
  <w:style w:type="paragraph" w:customStyle="1" w:styleId="caret5">
    <w:name w:val="caret5"/>
    <w:basedOn w:val="Normal"/>
    <w:pPr>
      <w:pBdr>
        <w:top w:val="single" w:sz="24" w:space="0" w:color="000000"/>
      </w:pBdr>
      <w:spacing w:before="90" w:after="150"/>
      <w:textAlignment w:val="top"/>
    </w:pPr>
  </w:style>
  <w:style w:type="paragraph" w:customStyle="1" w:styleId="caret6">
    <w:name w:val="caret6"/>
    <w:basedOn w:val="Normal"/>
    <w:pPr>
      <w:pBdr>
        <w:top w:val="single" w:sz="24" w:space="0" w:color="000000"/>
      </w:pBdr>
      <w:spacing w:before="90" w:after="150"/>
      <w:textAlignment w:val="top"/>
    </w:pPr>
  </w:style>
  <w:style w:type="paragraph" w:customStyle="1" w:styleId="caret7">
    <w:name w:val="caret7"/>
    <w:basedOn w:val="Normal"/>
    <w:pPr>
      <w:pBdr>
        <w:top w:val="single" w:sz="36" w:space="0" w:color="000000"/>
      </w:pBdr>
      <w:spacing w:before="90" w:after="150"/>
      <w:textAlignment w:val="top"/>
    </w:pPr>
  </w:style>
  <w:style w:type="paragraph" w:customStyle="1" w:styleId="caret8">
    <w:name w:val="caret8"/>
    <w:basedOn w:val="Normal"/>
    <w:pPr>
      <w:pBdr>
        <w:bottom w:val="single" w:sz="36" w:space="0" w:color="000000"/>
      </w:pBdr>
      <w:spacing w:before="90" w:after="150"/>
      <w:textAlignment w:val="top"/>
    </w:pPr>
  </w:style>
  <w:style w:type="paragraph" w:customStyle="1" w:styleId="caret9">
    <w:name w:val="caret9"/>
    <w:basedOn w:val="Normal"/>
    <w:pPr>
      <w:pBdr>
        <w:top w:val="single" w:sz="24" w:space="0" w:color="FFFFFF"/>
      </w:pBdr>
      <w:spacing w:after="150"/>
      <w:textAlignment w:val="top"/>
    </w:pPr>
  </w:style>
  <w:style w:type="paragraph" w:customStyle="1" w:styleId="caret10">
    <w:name w:val="caret10"/>
    <w:basedOn w:val="Normal"/>
    <w:pPr>
      <w:pBdr>
        <w:top w:val="single" w:sz="24" w:space="0" w:color="FFFFFF"/>
      </w:pBdr>
      <w:spacing w:after="150"/>
      <w:textAlignment w:val="top"/>
    </w:pPr>
  </w:style>
  <w:style w:type="paragraph" w:customStyle="1" w:styleId="caret11">
    <w:name w:val="caret11"/>
    <w:basedOn w:val="Normal"/>
    <w:pPr>
      <w:pBdr>
        <w:top w:val="single" w:sz="24" w:space="0" w:color="FFFFFF"/>
      </w:pBdr>
      <w:spacing w:after="150"/>
      <w:textAlignment w:val="top"/>
    </w:pPr>
  </w:style>
  <w:style w:type="paragraph" w:customStyle="1" w:styleId="caret12">
    <w:name w:val="caret12"/>
    <w:basedOn w:val="Normal"/>
    <w:pPr>
      <w:pBdr>
        <w:top w:val="single" w:sz="24" w:space="0" w:color="FFFFFF"/>
      </w:pBdr>
      <w:spacing w:after="150"/>
      <w:textAlignment w:val="top"/>
    </w:pPr>
  </w:style>
  <w:style w:type="paragraph" w:customStyle="1" w:styleId="caret13">
    <w:name w:val="caret13"/>
    <w:basedOn w:val="Normal"/>
    <w:pPr>
      <w:pBdr>
        <w:top w:val="single" w:sz="24" w:space="0" w:color="FFFFFF"/>
      </w:pBdr>
      <w:spacing w:after="150"/>
      <w:textAlignment w:val="top"/>
    </w:pPr>
  </w:style>
  <w:style w:type="paragraph" w:customStyle="1" w:styleId="caret14">
    <w:name w:val="caret14"/>
    <w:basedOn w:val="Normal"/>
    <w:pPr>
      <w:pBdr>
        <w:top w:val="single" w:sz="24" w:space="0" w:color="FFFFFF"/>
      </w:pBdr>
      <w:spacing w:after="150"/>
      <w:textAlignment w:val="top"/>
    </w:pPr>
  </w:style>
  <w:style w:type="paragraph" w:customStyle="1" w:styleId="btn3">
    <w:name w:val="btn3"/>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close1">
    <w:name w:val="close1"/>
    <w:basedOn w:val="Normal"/>
    <w:pPr>
      <w:spacing w:after="150" w:line="300" w:lineRule="atLeast"/>
    </w:pPr>
    <w:rPr>
      <w:b/>
      <w:bCs/>
      <w:color w:val="000000"/>
      <w:sz w:val="30"/>
      <w:szCs w:val="30"/>
    </w:rPr>
  </w:style>
  <w:style w:type="paragraph" w:customStyle="1" w:styleId="divider2">
    <w:name w:val="divider2"/>
    <w:basedOn w:val="Normal"/>
    <w:pPr>
      <w:pBdr>
        <w:bottom w:val="single" w:sz="6" w:space="0" w:color="FFFFFF"/>
      </w:pBdr>
      <w:shd w:val="clear" w:color="auto" w:fill="E5E5E5"/>
      <w:spacing w:before="135" w:after="135"/>
      <w:ind w:left="15" w:right="15"/>
    </w:pPr>
  </w:style>
  <w:style w:type="paragraph" w:customStyle="1" w:styleId="caret15">
    <w:name w:val="caret15"/>
    <w:basedOn w:val="Normal"/>
    <w:pPr>
      <w:pBdr>
        <w:top w:val="single" w:sz="24" w:space="0" w:color="0088CC"/>
      </w:pBdr>
      <w:spacing w:before="90" w:after="150"/>
      <w:textAlignment w:val="top"/>
    </w:pPr>
  </w:style>
  <w:style w:type="paragraph" w:customStyle="1" w:styleId="caret16">
    <w:name w:val="caret16"/>
    <w:basedOn w:val="Normal"/>
    <w:pPr>
      <w:pBdr>
        <w:top w:val="single" w:sz="24" w:space="0" w:color="005580"/>
      </w:pBdr>
      <w:spacing w:before="90" w:after="150"/>
      <w:textAlignment w:val="top"/>
    </w:pPr>
  </w:style>
  <w:style w:type="paragraph" w:customStyle="1" w:styleId="caret17">
    <w:name w:val="caret17"/>
    <w:basedOn w:val="Normal"/>
    <w:pPr>
      <w:pBdr>
        <w:top w:val="single" w:sz="24" w:space="0" w:color="000000"/>
      </w:pBdr>
      <w:spacing w:before="120" w:after="150"/>
      <w:textAlignment w:val="top"/>
    </w:pPr>
  </w:style>
  <w:style w:type="paragraph" w:customStyle="1" w:styleId="caret18">
    <w:name w:val="caret18"/>
    <w:basedOn w:val="Normal"/>
    <w:pPr>
      <w:pBdr>
        <w:top w:val="single" w:sz="24" w:space="0" w:color="FFFFFF"/>
      </w:pBdr>
      <w:spacing w:before="90" w:after="150"/>
      <w:textAlignment w:val="top"/>
    </w:pPr>
  </w:style>
  <w:style w:type="paragraph" w:customStyle="1" w:styleId="caret19">
    <w:name w:val="caret19"/>
    <w:basedOn w:val="Normal"/>
    <w:pPr>
      <w:pBdr>
        <w:top w:val="single" w:sz="24" w:space="0" w:color="555555"/>
      </w:pBdr>
      <w:spacing w:before="120" w:after="150"/>
      <w:textAlignment w:val="top"/>
    </w:pPr>
  </w:style>
  <w:style w:type="paragraph" w:customStyle="1" w:styleId="container4">
    <w:name w:val="container4"/>
    <w:basedOn w:val="Normal"/>
    <w:pPr>
      <w:spacing w:after="150"/>
    </w:pPr>
  </w:style>
  <w:style w:type="paragraph" w:customStyle="1" w:styleId="brand1">
    <w:name w:val="brand1"/>
    <w:basedOn w:val="Normal"/>
    <w:pPr>
      <w:spacing w:after="150"/>
      <w:ind w:left="-300"/>
    </w:pPr>
    <w:rPr>
      <w:color w:val="555555"/>
      <w:sz w:val="30"/>
      <w:szCs w:val="30"/>
    </w:rPr>
  </w:style>
  <w:style w:type="paragraph" w:customStyle="1" w:styleId="brand2">
    <w:name w:val="brand2"/>
    <w:basedOn w:val="Normal"/>
    <w:pPr>
      <w:spacing w:after="150"/>
      <w:ind w:left="-300"/>
    </w:pPr>
    <w:rPr>
      <w:color w:val="555555"/>
      <w:sz w:val="30"/>
      <w:szCs w:val="30"/>
    </w:rPr>
  </w:style>
  <w:style w:type="paragraph" w:customStyle="1" w:styleId="divider-vertical1">
    <w:name w:val="divider-vertical1"/>
    <w:basedOn w:val="Normal"/>
    <w:pPr>
      <w:pBdr>
        <w:left w:val="single" w:sz="6" w:space="0" w:color="F2F2F2"/>
        <w:right w:val="single" w:sz="6" w:space="0" w:color="FFFFFF"/>
      </w:pBdr>
      <w:ind w:left="135" w:right="135"/>
    </w:pPr>
  </w:style>
  <w:style w:type="paragraph" w:customStyle="1" w:styleId="btn4">
    <w:name w:val="btn4"/>
    <w:basedOn w:val="Normal"/>
    <w:pPr>
      <w:pBdr>
        <w:top w:val="single" w:sz="6" w:space="3" w:color="C5C5C5"/>
        <w:left w:val="single" w:sz="6" w:space="11" w:color="C5C5C5"/>
        <w:bottom w:val="single" w:sz="6" w:space="3" w:color="C5C5C5"/>
        <w:right w:val="single" w:sz="6" w:space="11" w:color="C5C5C5"/>
      </w:pBdr>
      <w:shd w:val="clear" w:color="auto" w:fill="F5F5F5"/>
      <w:spacing w:before="90" w:line="300" w:lineRule="atLeast"/>
      <w:jc w:val="center"/>
      <w:textAlignment w:val="center"/>
    </w:pPr>
    <w:rPr>
      <w:color w:val="333333"/>
      <w:sz w:val="21"/>
      <w:szCs w:val="21"/>
    </w:rPr>
  </w:style>
  <w:style w:type="paragraph" w:customStyle="1" w:styleId="btn-group1">
    <w:name w:val="btn-group1"/>
    <w:basedOn w:val="Normal"/>
    <w:pPr>
      <w:spacing w:before="90" w:after="150"/>
    </w:pPr>
    <w:rPr>
      <w:sz w:val="2"/>
      <w:szCs w:val="2"/>
    </w:rPr>
  </w:style>
  <w:style w:type="paragraph" w:customStyle="1" w:styleId="btn5">
    <w:name w:val="btn5"/>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radio3">
    <w:name w:val="radio3"/>
    <w:basedOn w:val="Normal"/>
    <w:pPr>
      <w:spacing w:before="75" w:after="150"/>
    </w:pPr>
  </w:style>
  <w:style w:type="paragraph" w:customStyle="1" w:styleId="checkbox3">
    <w:name w:val="checkbox3"/>
    <w:basedOn w:val="Normal"/>
    <w:pPr>
      <w:spacing w:before="75" w:after="150"/>
    </w:pPr>
  </w:style>
  <w:style w:type="paragraph" w:customStyle="1" w:styleId="btn6">
    <w:name w:val="btn6"/>
    <w:basedOn w:val="Normal"/>
    <w:pPr>
      <w:pBdr>
        <w:top w:val="single" w:sz="6" w:space="3" w:color="C5C5C5"/>
        <w:left w:val="single" w:sz="6" w:space="11" w:color="C5C5C5"/>
        <w:bottom w:val="single" w:sz="6" w:space="3" w:color="C5C5C5"/>
        <w:right w:val="single" w:sz="6" w:space="11" w:color="C5C5C5"/>
      </w:pBdr>
      <w:shd w:val="clear" w:color="auto" w:fill="F5F5F5"/>
      <w:spacing w:line="300" w:lineRule="atLeast"/>
      <w:jc w:val="center"/>
      <w:textAlignment w:val="center"/>
    </w:pPr>
    <w:rPr>
      <w:color w:val="333333"/>
      <w:sz w:val="21"/>
      <w:szCs w:val="21"/>
    </w:rPr>
  </w:style>
  <w:style w:type="paragraph" w:customStyle="1" w:styleId="input-append4">
    <w:name w:val="input-append4"/>
    <w:basedOn w:val="Normal"/>
    <w:pPr>
      <w:spacing w:before="90" w:after="75"/>
    </w:pPr>
    <w:rPr>
      <w:sz w:val="2"/>
      <w:szCs w:val="2"/>
    </w:rPr>
  </w:style>
  <w:style w:type="paragraph" w:customStyle="1" w:styleId="input-prepend4">
    <w:name w:val="input-prepend4"/>
    <w:basedOn w:val="Normal"/>
    <w:pPr>
      <w:spacing w:before="90" w:after="75"/>
    </w:pPr>
    <w:rPr>
      <w:sz w:val="2"/>
      <w:szCs w:val="2"/>
    </w:rPr>
  </w:style>
  <w:style w:type="paragraph" w:customStyle="1" w:styleId="search-query1">
    <w:name w:val="search-query1"/>
    <w:basedOn w:val="Normal"/>
    <w:rPr>
      <w:rFonts w:ascii="Helvetica" w:hAnsi="Helvetica" w:cs="Helvetica"/>
      <w:sz w:val="20"/>
      <w:szCs w:val="20"/>
    </w:rPr>
  </w:style>
  <w:style w:type="paragraph" w:customStyle="1" w:styleId="navbar-inner1">
    <w:name w:val="navbar-inner1"/>
    <w:basedOn w:val="Normal"/>
    <w:pPr>
      <w:shd w:val="clear" w:color="auto" w:fill="FAFAFA"/>
      <w:spacing w:after="150"/>
    </w:pPr>
  </w:style>
  <w:style w:type="paragraph" w:customStyle="1" w:styleId="navbar-inner2">
    <w:name w:val="navbar-inner2"/>
    <w:basedOn w:val="Normal"/>
    <w:pPr>
      <w:shd w:val="clear" w:color="auto" w:fill="FAFAFA"/>
      <w:spacing w:after="150"/>
    </w:pPr>
  </w:style>
  <w:style w:type="paragraph" w:customStyle="1" w:styleId="navbar-inner3">
    <w:name w:val="navbar-inner3"/>
    <w:basedOn w:val="Normal"/>
    <w:pPr>
      <w:shd w:val="clear" w:color="auto" w:fill="FAFAFA"/>
      <w:spacing w:after="150"/>
    </w:pPr>
  </w:style>
  <w:style w:type="paragraph" w:customStyle="1" w:styleId="nav1">
    <w:name w:val="nav1"/>
    <w:basedOn w:val="Normal"/>
    <w:pPr>
      <w:ind w:right="150"/>
    </w:pPr>
  </w:style>
  <w:style w:type="paragraph" w:customStyle="1" w:styleId="caret20">
    <w:name w:val="caret20"/>
    <w:basedOn w:val="Normal"/>
    <w:pPr>
      <w:pBdr>
        <w:top w:val="single" w:sz="24" w:space="0" w:color="0088CC"/>
      </w:pBdr>
      <w:spacing w:before="120" w:after="150"/>
      <w:textAlignment w:val="top"/>
    </w:pPr>
  </w:style>
  <w:style w:type="paragraph" w:customStyle="1" w:styleId="btn-navbar1">
    <w:name w:val="btn-navbar1"/>
    <w:basedOn w:val="Normal"/>
    <w:pPr>
      <w:shd w:val="clear" w:color="auto" w:fill="EDEDED"/>
      <w:spacing w:after="150"/>
      <w:ind w:left="75" w:right="75"/>
    </w:pPr>
    <w:rPr>
      <w:vanish/>
      <w:color w:val="FFFFFF"/>
    </w:rPr>
  </w:style>
  <w:style w:type="paragraph" w:customStyle="1" w:styleId="icon-bar1">
    <w:name w:val="icon-bar1"/>
    <w:basedOn w:val="Normal"/>
    <w:pPr>
      <w:shd w:val="clear" w:color="auto" w:fill="F5F5F5"/>
      <w:spacing w:after="150"/>
    </w:pPr>
  </w:style>
  <w:style w:type="paragraph" w:customStyle="1" w:styleId="navbar-inner4">
    <w:name w:val="navbar-inner4"/>
    <w:basedOn w:val="Normal"/>
    <w:pPr>
      <w:pBdr>
        <w:top w:val="single" w:sz="6" w:space="0" w:color="252525"/>
        <w:left w:val="single" w:sz="6" w:space="15" w:color="252525"/>
        <w:bottom w:val="single" w:sz="6" w:space="0" w:color="252525"/>
        <w:right w:val="single" w:sz="6" w:space="15" w:color="252525"/>
      </w:pBdr>
      <w:shd w:val="clear" w:color="auto" w:fill="1B1B1B"/>
      <w:spacing w:after="150"/>
    </w:pPr>
  </w:style>
  <w:style w:type="paragraph" w:customStyle="1" w:styleId="navbar-link1">
    <w:name w:val="navbar-link1"/>
    <w:basedOn w:val="Normal"/>
    <w:pPr>
      <w:spacing w:after="150"/>
    </w:pPr>
    <w:rPr>
      <w:color w:val="999999"/>
    </w:rPr>
  </w:style>
  <w:style w:type="paragraph" w:customStyle="1" w:styleId="navbar-link2">
    <w:name w:val="navbar-link2"/>
    <w:basedOn w:val="Normal"/>
    <w:pPr>
      <w:spacing w:after="150"/>
    </w:pPr>
    <w:rPr>
      <w:color w:val="FFFFFF"/>
    </w:rPr>
  </w:style>
  <w:style w:type="paragraph" w:customStyle="1" w:styleId="divider-vertical2">
    <w:name w:val="divider-vertical2"/>
    <w:basedOn w:val="Normal"/>
    <w:pPr>
      <w:spacing w:after="150"/>
    </w:pPr>
  </w:style>
  <w:style w:type="paragraph" w:customStyle="1" w:styleId="search-query2">
    <w:name w:val="search-query2"/>
    <w:basedOn w:val="Normal"/>
    <w:pPr>
      <w:shd w:val="clear" w:color="auto" w:fill="515151"/>
    </w:pPr>
    <w:rPr>
      <w:rFonts w:ascii="Helvetica" w:hAnsi="Helvetica" w:cs="Helvetica"/>
      <w:color w:val="FFFFFF"/>
      <w:sz w:val="20"/>
      <w:szCs w:val="20"/>
    </w:rPr>
  </w:style>
  <w:style w:type="paragraph" w:customStyle="1" w:styleId="btn-navbar2">
    <w:name w:val="btn-navbar2"/>
    <w:basedOn w:val="Normal"/>
    <w:pPr>
      <w:shd w:val="clear" w:color="auto" w:fill="0E0E0E"/>
      <w:spacing w:after="150"/>
    </w:pPr>
    <w:rPr>
      <w:color w:val="FFFFFF"/>
    </w:rPr>
  </w:style>
  <w:style w:type="paragraph" w:customStyle="1" w:styleId="divider3">
    <w:name w:val="divider3"/>
    <w:basedOn w:val="Normal"/>
    <w:pPr>
      <w:spacing w:after="150"/>
    </w:pPr>
    <w:rPr>
      <w:color w:val="CCCCCC"/>
    </w:rPr>
  </w:style>
  <w:style w:type="paragraph" w:customStyle="1" w:styleId="active3">
    <w:name w:val="active3"/>
    <w:basedOn w:val="Normal"/>
    <w:pPr>
      <w:spacing w:after="150"/>
    </w:pPr>
    <w:rPr>
      <w:color w:val="999999"/>
    </w:rPr>
  </w:style>
  <w:style w:type="paragraph" w:customStyle="1" w:styleId="close2">
    <w:name w:val="close2"/>
    <w:basedOn w:val="Normal"/>
    <w:pPr>
      <w:spacing w:before="30" w:after="150" w:line="300" w:lineRule="atLeast"/>
    </w:pPr>
    <w:rPr>
      <w:b/>
      <w:bCs/>
      <w:color w:val="000000"/>
      <w:sz w:val="30"/>
      <w:szCs w:val="30"/>
    </w:rPr>
  </w:style>
  <w:style w:type="paragraph" w:customStyle="1" w:styleId="thumbnails1">
    <w:name w:val="thumbnails1"/>
    <w:basedOn w:val="Normal"/>
    <w:pPr>
      <w:spacing w:after="150"/>
    </w:pPr>
  </w:style>
  <w:style w:type="paragraph" w:customStyle="1" w:styleId="caption1">
    <w:name w:val="caption1"/>
    <w:basedOn w:val="Normal"/>
    <w:pPr>
      <w:spacing w:after="150"/>
    </w:pPr>
    <w:rPr>
      <w:color w:val="555555"/>
    </w:rPr>
  </w:style>
  <w:style w:type="paragraph" w:customStyle="1" w:styleId="bar2">
    <w:name w:val="bar2"/>
    <w:basedOn w:val="Normal"/>
    <w:pPr>
      <w:shd w:val="clear" w:color="auto" w:fill="149BDF"/>
      <w:spacing w:after="150"/>
    </w:pPr>
  </w:style>
  <w:style w:type="paragraph" w:customStyle="1" w:styleId="bar3">
    <w:name w:val="bar3"/>
    <w:basedOn w:val="Normal"/>
    <w:pPr>
      <w:shd w:val="clear" w:color="auto" w:fill="DD514C"/>
      <w:spacing w:after="150"/>
    </w:pPr>
  </w:style>
  <w:style w:type="paragraph" w:customStyle="1" w:styleId="bar-danger1">
    <w:name w:val="bar-danger1"/>
    <w:basedOn w:val="Normal"/>
    <w:pPr>
      <w:shd w:val="clear" w:color="auto" w:fill="DD514C"/>
      <w:spacing w:after="150"/>
    </w:pPr>
  </w:style>
  <w:style w:type="paragraph" w:customStyle="1" w:styleId="bar4">
    <w:name w:val="bar4"/>
    <w:basedOn w:val="Normal"/>
    <w:pPr>
      <w:shd w:val="clear" w:color="auto" w:fill="5EB95E"/>
      <w:spacing w:after="150"/>
    </w:pPr>
  </w:style>
  <w:style w:type="paragraph" w:customStyle="1" w:styleId="bar-success1">
    <w:name w:val="bar-success1"/>
    <w:basedOn w:val="Normal"/>
    <w:pPr>
      <w:shd w:val="clear" w:color="auto" w:fill="5EB95E"/>
      <w:spacing w:after="150"/>
    </w:pPr>
  </w:style>
  <w:style w:type="paragraph" w:customStyle="1" w:styleId="bar5">
    <w:name w:val="bar5"/>
    <w:basedOn w:val="Normal"/>
    <w:pPr>
      <w:shd w:val="clear" w:color="auto" w:fill="4BB1CF"/>
      <w:spacing w:after="150"/>
    </w:pPr>
  </w:style>
  <w:style w:type="paragraph" w:customStyle="1" w:styleId="bar-info1">
    <w:name w:val="bar-info1"/>
    <w:basedOn w:val="Normal"/>
    <w:pPr>
      <w:shd w:val="clear" w:color="auto" w:fill="4BB1CF"/>
      <w:spacing w:after="150"/>
    </w:pPr>
  </w:style>
  <w:style w:type="paragraph" w:customStyle="1" w:styleId="bar6">
    <w:name w:val="bar6"/>
    <w:basedOn w:val="Normal"/>
    <w:pPr>
      <w:shd w:val="clear" w:color="auto" w:fill="FAA732"/>
      <w:spacing w:after="150"/>
    </w:pPr>
  </w:style>
  <w:style w:type="paragraph" w:customStyle="1" w:styleId="bar-warning1">
    <w:name w:val="bar-warning1"/>
    <w:basedOn w:val="Normal"/>
    <w:pPr>
      <w:shd w:val="clear" w:color="auto" w:fill="FAA732"/>
      <w:spacing w:after="150"/>
    </w:pPr>
  </w:style>
  <w:style w:type="paragraph" w:customStyle="1" w:styleId="accordion-toggle1">
    <w:name w:val="accordion-toggle1"/>
    <w:basedOn w:val="Normal"/>
    <w:pPr>
      <w:spacing w:after="150"/>
    </w:pPr>
  </w:style>
  <w:style w:type="paragraph" w:customStyle="1" w:styleId="item1">
    <w:name w:val="item1"/>
    <w:basedOn w:val="Normal"/>
    <w:pPr>
      <w:spacing w:after="150"/>
    </w:pPr>
    <w:rPr>
      <w:vanish/>
    </w:rPr>
  </w:style>
  <w:style w:type="paragraph" w:customStyle="1" w:styleId="active4">
    <w:name w:val="active4"/>
    <w:basedOn w:val="Normal"/>
    <w:pPr>
      <w:spacing w:after="150"/>
    </w:pPr>
  </w:style>
  <w:style w:type="paragraph" w:customStyle="1" w:styleId="next1">
    <w:name w:val="next1"/>
    <w:basedOn w:val="Normal"/>
    <w:pPr>
      <w:spacing w:after="150"/>
    </w:pPr>
  </w:style>
  <w:style w:type="paragraph" w:customStyle="1" w:styleId="prev1">
    <w:name w:val="prev1"/>
    <w:basedOn w:val="Normal"/>
    <w:pPr>
      <w:spacing w:after="150"/>
    </w:pPr>
  </w:style>
  <w:style w:type="paragraph" w:customStyle="1" w:styleId="brand3">
    <w:name w:val="brand3"/>
    <w:basedOn w:val="Normal"/>
    <w:pPr>
      <w:spacing w:after="150"/>
      <w:ind w:left="300"/>
    </w:pPr>
    <w:rPr>
      <w:b/>
      <w:bCs/>
      <w:color w:val="000000"/>
    </w:rPr>
  </w:style>
  <w:style w:type="paragraph" w:customStyle="1" w:styleId="brand4">
    <w:name w:val="brand4"/>
    <w:basedOn w:val="Normal"/>
    <w:pPr>
      <w:spacing w:after="150"/>
      <w:ind w:left="300"/>
    </w:pPr>
    <w:rPr>
      <w:b/>
      <w:bCs/>
      <w:color w:val="000000"/>
    </w:rPr>
  </w:style>
  <w:style w:type="paragraph" w:customStyle="1" w:styleId="btn-large1">
    <w:name w:val="btn-large1"/>
    <w:basedOn w:val="Normal"/>
    <w:pPr>
      <w:spacing w:after="270"/>
      <w:ind w:right="150"/>
    </w:pPr>
    <w:rPr>
      <w:sz w:val="30"/>
      <w:szCs w:val="30"/>
    </w:rPr>
  </w:style>
  <w:style w:type="paragraph" w:customStyle="1" w:styleId="nav2">
    <w:name w:val="nav2"/>
    <w:basedOn w:val="Normal"/>
  </w:style>
  <w:style w:type="paragraph" w:customStyle="1" w:styleId="row1">
    <w:name w:val="row1"/>
    <w:basedOn w:val="Normal"/>
    <w:pPr>
      <w:spacing w:after="135"/>
      <w:ind w:left="-300" w:right="150"/>
    </w:pPr>
  </w:style>
  <w:style w:type="paragraph" w:customStyle="1" w:styleId="bs-icon1">
    <w:name w:val="bs-icon1"/>
    <w:basedOn w:val="Normal"/>
    <w:pPr>
      <w:spacing w:before="105"/>
      <w:ind w:right="150"/>
    </w:pPr>
  </w:style>
  <w:style w:type="paragraph" w:customStyle="1" w:styleId="small-bs-icon1">
    <w:name w:val="small-bs-icon1"/>
    <w:basedOn w:val="Normal"/>
    <w:pPr>
      <w:spacing w:before="60"/>
      <w:ind w:right="75"/>
    </w:pPr>
  </w:style>
  <w:style w:type="paragraph" w:customStyle="1" w:styleId="show-grid1">
    <w:name w:val="show-grid1"/>
    <w:basedOn w:val="Normal"/>
  </w:style>
  <w:style w:type="paragraph" w:customStyle="1" w:styleId="mini-layout-body1">
    <w:name w:val="mini-layout-body1"/>
    <w:basedOn w:val="Normal"/>
    <w:pPr>
      <w:shd w:val="clear" w:color="auto" w:fill="DCEAF4"/>
    </w:pPr>
  </w:style>
  <w:style w:type="paragraph" w:customStyle="1" w:styleId="popover1">
    <w:name w:val="popover1"/>
    <w:basedOn w:val="Normal"/>
    <w:pPr>
      <w:pBdr>
        <w:top w:val="single" w:sz="6" w:space="1" w:color="CCCCCC"/>
        <w:left w:val="single" w:sz="6" w:space="1" w:color="CCCCCC"/>
        <w:bottom w:val="single" w:sz="6" w:space="1" w:color="CCCCCC"/>
        <w:right w:val="single" w:sz="6" w:space="1" w:color="CCCCCC"/>
      </w:pBdr>
      <w:shd w:val="clear" w:color="auto" w:fill="FFFFFF"/>
      <w:spacing w:after="150"/>
    </w:pPr>
  </w:style>
  <w:style w:type="paragraph" w:customStyle="1" w:styleId="popover-wrapper1">
    <w:name w:val="popover-wrapper1"/>
    <w:basedOn w:val="Normal"/>
    <w:pPr>
      <w:spacing w:after="150"/>
      <w:ind w:left="825"/>
    </w:pPr>
  </w:style>
  <w:style w:type="paragraph" w:customStyle="1" w:styleId="popover-menu-wrapper1">
    <w:name w:val="popover-menu-wrapper1"/>
    <w:basedOn w:val="Normal"/>
    <w:pPr>
      <w:spacing w:after="150"/>
    </w:pPr>
  </w:style>
  <w:style w:type="paragraph" w:customStyle="1" w:styleId="page-header1">
    <w:name w:val="page-header1"/>
    <w:basedOn w:val="Normal"/>
    <w:pPr>
      <w:pBdr>
        <w:bottom w:val="single" w:sz="6" w:space="7" w:color="EEEEEE"/>
      </w:pBdr>
      <w:spacing w:before="540" w:after="450"/>
    </w:pPr>
  </w:style>
  <w:style w:type="paragraph" w:customStyle="1" w:styleId="toggle-all1">
    <w:name w:val="toggle-all1"/>
    <w:basedOn w:val="Normal"/>
    <w:pPr>
      <w:spacing w:before="75" w:after="150"/>
    </w:pPr>
  </w:style>
  <w:style w:type="paragraph" w:customStyle="1" w:styleId="checkbox4">
    <w:name w:val="checkbox4"/>
    <w:basedOn w:val="Normal"/>
    <w:pPr>
      <w:shd w:val="clear" w:color="auto" w:fill="F9F9F9"/>
      <w:spacing w:after="150"/>
    </w:pPr>
    <w:rPr>
      <w:color w:val="555555"/>
    </w:rPr>
  </w:style>
  <w:style w:type="paragraph" w:customStyle="1" w:styleId="checkbox5">
    <w:name w:val="checkbox5"/>
    <w:basedOn w:val="Normal"/>
    <w:pPr>
      <w:shd w:val="clear" w:color="auto" w:fill="F5F5F5"/>
      <w:spacing w:after="150"/>
    </w:pPr>
    <w:rPr>
      <w:color w:val="333333"/>
    </w:rPr>
  </w:style>
  <w:style w:type="paragraph" w:customStyle="1" w:styleId="btn7">
    <w:name w:val="btn7"/>
    <w:basedOn w:val="Normal"/>
    <w:pPr>
      <w:pBdr>
        <w:top w:val="single" w:sz="6" w:space="3" w:color="C5C5C5"/>
        <w:left w:val="single" w:sz="6" w:space="11" w:color="C5C5C5"/>
        <w:bottom w:val="single" w:sz="6" w:space="3" w:color="C5C5C5"/>
        <w:right w:val="single" w:sz="6" w:space="11" w:color="C5C5C5"/>
      </w:pBdr>
      <w:shd w:val="clear" w:color="auto" w:fill="F5F5F5"/>
      <w:spacing w:after="405"/>
      <w:jc w:val="center"/>
      <w:textAlignment w:val="center"/>
    </w:pPr>
    <w:rPr>
      <w:color w:val="333333"/>
      <w:sz w:val="45"/>
      <w:szCs w:val="45"/>
    </w:rPr>
  </w:style>
  <w:style w:type="paragraph" w:customStyle="1" w:styleId="thumbnail1">
    <w:name w:val="thumbnail1"/>
    <w:basedOn w:val="Normal"/>
    <w:pPr>
      <w:pBdr>
        <w:top w:val="single" w:sz="6" w:space="3" w:color="DDDDDD"/>
        <w:left w:val="single" w:sz="6" w:space="3" w:color="DDDDDD"/>
        <w:bottom w:val="single" w:sz="6" w:space="3" w:color="DDDDDD"/>
        <w:right w:val="single" w:sz="6" w:space="3" w:color="DDDDDD"/>
      </w:pBdr>
      <w:shd w:val="clear" w:color="auto" w:fill="FFFFFF"/>
      <w:spacing w:after="135"/>
    </w:pPr>
  </w:style>
  <w:style w:type="paragraph" w:customStyle="1" w:styleId="span33">
    <w:name w:val="span33"/>
    <w:basedOn w:val="Normal"/>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126188">
      <w:marLeft w:val="0"/>
      <w:marRight w:val="0"/>
      <w:marTop w:val="0"/>
      <w:marBottom w:val="0"/>
      <w:divBdr>
        <w:top w:val="none" w:sz="0" w:space="0" w:color="auto"/>
        <w:left w:val="none" w:sz="0" w:space="0" w:color="auto"/>
        <w:bottom w:val="none" w:sz="0" w:space="0" w:color="auto"/>
        <w:right w:val="none" w:sz="0" w:space="0" w:color="auto"/>
      </w:divBdr>
      <w:divsChild>
        <w:div w:id="818807252">
          <w:marLeft w:val="0"/>
          <w:marRight w:val="0"/>
          <w:marTop w:val="0"/>
          <w:marBottom w:val="300"/>
          <w:divBdr>
            <w:top w:val="single" w:sz="6" w:space="14" w:color="E3E3E3"/>
            <w:left w:val="single" w:sz="6" w:space="14" w:color="E3E3E3"/>
            <w:bottom w:val="single" w:sz="6" w:space="14" w:color="E3E3E3"/>
            <w:right w:val="single" w:sz="6" w:space="14" w:color="E3E3E3"/>
          </w:divBdr>
        </w:div>
        <w:div w:id="1179612853">
          <w:marLeft w:val="0"/>
          <w:marRight w:val="0"/>
          <w:marTop w:val="0"/>
          <w:marBottom w:val="300"/>
          <w:divBdr>
            <w:top w:val="single" w:sz="6" w:space="14" w:color="E3E3E3"/>
            <w:left w:val="single" w:sz="6" w:space="14" w:color="E3E3E3"/>
            <w:bottom w:val="single" w:sz="6" w:space="14" w:color="E3E3E3"/>
            <w:right w:val="single" w:sz="6" w:space="14" w:color="E3E3E3"/>
          </w:divBdr>
        </w:div>
        <w:div w:id="172693444">
          <w:marLeft w:val="0"/>
          <w:marRight w:val="0"/>
          <w:marTop w:val="0"/>
          <w:marBottom w:val="300"/>
          <w:divBdr>
            <w:top w:val="single" w:sz="6" w:space="14" w:color="E3E3E3"/>
            <w:left w:val="single" w:sz="6" w:space="14" w:color="E3E3E3"/>
            <w:bottom w:val="single" w:sz="6" w:space="14" w:color="E3E3E3"/>
            <w:right w:val="single" w:sz="6" w:space="14" w:color="E3E3E3"/>
          </w:divBdr>
        </w:div>
        <w:div w:id="968246887">
          <w:marLeft w:val="0"/>
          <w:marRight w:val="0"/>
          <w:marTop w:val="0"/>
          <w:marBottom w:val="300"/>
          <w:divBdr>
            <w:top w:val="single" w:sz="6" w:space="6" w:color="FBEED5"/>
            <w:left w:val="single" w:sz="6" w:space="11" w:color="FBEED5"/>
            <w:bottom w:val="single" w:sz="6" w:space="6" w:color="FBEED5"/>
            <w:right w:val="single" w:sz="6" w:space="26" w:color="FBEED5"/>
          </w:divBdr>
        </w:div>
        <w:div w:id="1207571282">
          <w:marLeft w:val="0"/>
          <w:marRight w:val="0"/>
          <w:marTop w:val="0"/>
          <w:marBottom w:val="300"/>
          <w:divBdr>
            <w:top w:val="single" w:sz="6" w:space="6" w:color="FBEED5"/>
            <w:left w:val="single" w:sz="6" w:space="11" w:color="FBEED5"/>
            <w:bottom w:val="single" w:sz="6" w:space="6" w:color="FBEED5"/>
            <w:right w:val="single" w:sz="6" w:space="26" w:color="FBEED5"/>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image" Target="http://climatechangeauthority.gov.au/sites/all/themes/cca/img/background-circle-sm.png" TargetMode="Externa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10251</Words>
  <Characters>60368</Characters>
  <Application>Microsoft Office Word</Application>
  <DocSecurity>0</DocSecurity>
  <Lines>503</Lines>
  <Paragraphs>140</Paragraphs>
  <ScaleCrop>false</ScaleCrop>
  <HeadingPairs>
    <vt:vector size="2" baseType="variant">
      <vt:variant>
        <vt:lpstr>Title</vt:lpstr>
      </vt:variant>
      <vt:variant>
        <vt:i4>1</vt:i4>
      </vt:variant>
    </vt:vector>
  </HeadingPairs>
  <TitlesOfParts>
    <vt:vector size="1" baseType="lpstr">
      <vt:lpstr>CCA_TargetsAndProgressReportChapter3</vt:lpstr>
    </vt:vector>
  </TitlesOfParts>
  <Company/>
  <LinksUpToDate>false</LinksUpToDate>
  <CharactersWithSpaces>70479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CCA_TargetsAndProgressReportChapter3</dc:title>
  <dc:subject/>
  <dc:creator>rockwell</dc:creator>
  <cp:keywords/>
  <dc:description/>
  <cp:lastModifiedBy>rockwell</cp:lastModifiedBy>
  <cp:revision>2</cp:revision>
  <dcterms:created xsi:type="dcterms:W3CDTF">2014-03-04T06:51:00Z</dcterms:created>
  <dcterms:modified xsi:type="dcterms:W3CDTF">2014-03-04T06:51:00Z</dcterms:modified>
</cp:coreProperties>
</file>