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v:fill r:id="rId3" type="tile"/>
    </v:background>
  </w:background>
  <w:body>
    <w:p w:rsidR="00000000" w:rsidRDefault="004170B4">
      <w:pPr>
        <w:pStyle w:val="Heading1"/>
        <w:rPr>
          <w:rFonts w:eastAsia="Times New Roman"/>
          <w:color w:val="333333"/>
          <w:lang w:val="en"/>
        </w:rPr>
      </w:pPr>
      <w:r>
        <w:rPr>
          <w:rFonts w:eastAsia="Times New Roman"/>
          <w:color w:val="333333"/>
          <w:lang w:val="en"/>
        </w:rPr>
        <w:t>Appendix D Progress towards Australia’s emissions reduction goals</w:t>
      </w:r>
      <w:bookmarkStart w:id="0" w:name="_GoBack"/>
      <w:bookmarkEnd w:id="0"/>
    </w:p>
    <w:p w:rsidR="00000000" w:rsidRDefault="004170B4">
      <w:pPr>
        <w:pStyle w:val="NormalWeb"/>
        <w:shd w:val="clear" w:color="auto" w:fill="F5F5F5"/>
        <w:spacing w:line="300" w:lineRule="atLeast"/>
        <w:divId w:val="1313413373"/>
        <w:rPr>
          <w:rFonts w:ascii="Georgia" w:hAnsi="Georgia"/>
          <w:color w:val="333333"/>
          <w:lang w:val="en"/>
        </w:rPr>
      </w:pPr>
      <w:r>
        <w:rPr>
          <w:rFonts w:ascii="Georgia" w:hAnsi="Georgia"/>
          <w:color w:val="333333"/>
          <w:lang w:val="en"/>
        </w:rPr>
        <w:t xml:space="preserve">Australia faces a major task to meet the Authority’s recommended emissions reduction goals. Australia’s emissions are projected to rise, underpinned by population </w:t>
      </w:r>
      <w:r>
        <w:rPr>
          <w:rFonts w:ascii="Georgia" w:hAnsi="Georgia"/>
          <w:color w:val="333333"/>
          <w:lang w:val="en"/>
        </w:rPr>
        <w:t xml:space="preserve">and economic growth. Strong policies will be needed to turn this around and drive the transition to a lower emissions economy. </w:t>
      </w:r>
    </w:p>
    <w:p w:rsidR="00000000" w:rsidRDefault="004170B4">
      <w:pPr>
        <w:pStyle w:val="NormalWeb"/>
        <w:shd w:val="clear" w:color="auto" w:fill="F5F5F5"/>
        <w:spacing w:line="300" w:lineRule="atLeast"/>
        <w:divId w:val="1313413373"/>
        <w:rPr>
          <w:rFonts w:ascii="Georgia" w:hAnsi="Georgia"/>
          <w:color w:val="333333"/>
          <w:lang w:val="en"/>
        </w:rPr>
      </w:pPr>
      <w:r>
        <w:rPr>
          <w:rFonts w:ascii="Georgia" w:hAnsi="Georgia"/>
          <w:color w:val="333333"/>
          <w:lang w:val="en"/>
        </w:rPr>
        <w:t>Australia has significant emissions reduction opportunities in the domestic economy. A price incentive could drive substantial e</w:t>
      </w:r>
      <w:r>
        <w:rPr>
          <w:rFonts w:ascii="Georgia" w:hAnsi="Georgia"/>
          <w:color w:val="333333"/>
          <w:lang w:val="en"/>
        </w:rPr>
        <w:t>missions reductions, particularly in electricity generation, fugitive emissions and industrial processes. The minimum 5 per cent emissions reduction target could be achieved solely through domestic emissions reductions, provided a strong and effective suit</w:t>
      </w:r>
      <w:r>
        <w:rPr>
          <w:rFonts w:ascii="Georgia" w:hAnsi="Georgia"/>
          <w:color w:val="333333"/>
          <w:lang w:val="en"/>
        </w:rPr>
        <w:t>e of policies is in place. The Authority’s recommended 2020 target could be met by complementing domestic emissions reductions with international units. Depending on the policies implemented, the required reduction in emissions could be achieved for relati</w:t>
      </w:r>
      <w:r>
        <w:rPr>
          <w:rFonts w:ascii="Georgia" w:hAnsi="Georgia"/>
          <w:color w:val="333333"/>
          <w:lang w:val="en"/>
        </w:rPr>
        <w:t xml:space="preserve">vely small economic cost, and while maintaining economic growth and rising incomes. </w:t>
      </w:r>
    </w:p>
    <w:p w:rsidR="00000000" w:rsidRDefault="004170B4">
      <w:pPr>
        <w:pStyle w:val="NormalWeb"/>
        <w:shd w:val="clear" w:color="auto" w:fill="F5F5F5"/>
        <w:spacing w:line="300" w:lineRule="atLeast"/>
        <w:divId w:val="1313413373"/>
        <w:rPr>
          <w:rFonts w:ascii="Georgia" w:hAnsi="Georgia"/>
          <w:color w:val="333333"/>
          <w:lang w:val="en"/>
        </w:rPr>
      </w:pPr>
      <w:r>
        <w:rPr>
          <w:rFonts w:ascii="Georgia" w:hAnsi="Georgia"/>
          <w:color w:val="333333"/>
          <w:lang w:val="en"/>
        </w:rPr>
        <w:t>Cost-effective and complementary policies must be put in place now and sustained to support the development of a lower emissions economy in the decades beyond 2020. Most o</w:t>
      </w:r>
      <w:r>
        <w:rPr>
          <w:rFonts w:ascii="Georgia" w:hAnsi="Georgia"/>
          <w:color w:val="333333"/>
          <w:lang w:val="en"/>
        </w:rPr>
        <w:t xml:space="preserve">f Australia’s emissions come from long-lived equipment, buildings and vehicles, which will take time to change. In many cases, policies will not influence the majority of stock until 2030. </w:t>
      </w:r>
    </w:p>
    <w:p w:rsidR="00000000" w:rsidRDefault="004170B4">
      <w:pPr>
        <w:pStyle w:val="NormalWeb"/>
        <w:shd w:val="clear" w:color="auto" w:fill="F5F5F5"/>
        <w:spacing w:line="300" w:lineRule="atLeast"/>
        <w:divId w:val="1313413373"/>
        <w:rPr>
          <w:rFonts w:ascii="Georgia" w:hAnsi="Georgia"/>
          <w:color w:val="333333"/>
          <w:lang w:val="en"/>
        </w:rPr>
      </w:pPr>
      <w:r>
        <w:rPr>
          <w:rFonts w:ascii="Georgia" w:hAnsi="Georgia"/>
          <w:color w:val="333333"/>
          <w:lang w:val="en"/>
        </w:rPr>
        <w:t>The most important sector for potential emissions reductions is el</w:t>
      </w:r>
      <w:r>
        <w:rPr>
          <w:rFonts w:ascii="Georgia" w:hAnsi="Georgia"/>
          <w:color w:val="333333"/>
          <w:lang w:val="en"/>
        </w:rPr>
        <w:t xml:space="preserve">ectricity. It has the largest share of Australia’s emissions and its emissions are projected to grow strongly without price incentives or additional policies. In scenarios with a price incentive, however, the electricity sector is projected to account for </w:t>
      </w:r>
      <w:r>
        <w:rPr>
          <w:rFonts w:ascii="Georgia" w:hAnsi="Georgia"/>
          <w:color w:val="333333"/>
          <w:lang w:val="en"/>
        </w:rPr>
        <w:t>the largest share of emissions reductions. The RET is another important driver, as is action to increase the uptake of energy efficiency.</w:t>
      </w:r>
    </w:p>
    <w:p w:rsidR="00000000" w:rsidRDefault="004170B4">
      <w:pPr>
        <w:pStyle w:val="NormalWeb"/>
        <w:shd w:val="clear" w:color="auto" w:fill="F5F5F5"/>
        <w:spacing w:line="300" w:lineRule="atLeast"/>
        <w:divId w:val="1313413373"/>
        <w:rPr>
          <w:rFonts w:ascii="Georgia" w:hAnsi="Georgia"/>
          <w:color w:val="333333"/>
          <w:lang w:val="en"/>
        </w:rPr>
      </w:pPr>
      <w:r>
        <w:rPr>
          <w:rFonts w:ascii="Georgia" w:hAnsi="Georgia"/>
          <w:color w:val="333333"/>
          <w:lang w:val="en"/>
        </w:rPr>
        <w:t>Further emissions reductions are also available. Light vehicle efficiency standards have delivered cost-effective redu</w:t>
      </w:r>
      <w:r>
        <w:rPr>
          <w:rFonts w:ascii="Georgia" w:hAnsi="Georgia"/>
          <w:color w:val="333333"/>
          <w:lang w:val="en"/>
        </w:rPr>
        <w:t>ctions in other markets; their use in Australia warrants investigation. In the near term, targeted policies should be implemented to increase the uptake of energy efficiency more broadly. Depending on policy incentives, in the longer term the land sector c</w:t>
      </w:r>
      <w:r>
        <w:rPr>
          <w:rFonts w:ascii="Georgia" w:hAnsi="Georgia"/>
          <w:color w:val="333333"/>
          <w:lang w:val="en"/>
        </w:rPr>
        <w:t>ould also offer large emissions reductions.</w:t>
      </w:r>
    </w:p>
    <w:p w:rsidR="00000000" w:rsidRDefault="004170B4">
      <w:pPr>
        <w:pStyle w:val="Heading2"/>
        <w:rPr>
          <w:rFonts w:eastAsia="Times New Roman"/>
          <w:color w:val="333333"/>
          <w:lang w:val="en"/>
        </w:rPr>
      </w:pPr>
      <w:r>
        <w:rPr>
          <w:rFonts w:eastAsia="Times New Roman"/>
          <w:color w:val="333333"/>
          <w:lang w:val="en"/>
        </w:rPr>
        <w:t xml:space="preserve">Appendix D1 Evaluating progress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As outlined in Chapter 1, the Clean Energy Act requires the Authority to review Australia’s progress towards its medium- and long-term emissions reduction goals. Appendix D, toget</w:t>
      </w:r>
      <w:r>
        <w:rPr>
          <w:rFonts w:ascii="Georgia" w:hAnsi="Georgia"/>
          <w:color w:val="333333"/>
          <w:lang w:val="en"/>
        </w:rPr>
        <w:t xml:space="preserve">her with chapters 6, 11 and 12, fulfils this legislative requirement. </w:t>
      </w:r>
    </w:p>
    <w:p w:rsidR="00000000" w:rsidRDefault="004170B4">
      <w:pPr>
        <w:pStyle w:val="NormalWeb"/>
        <w:spacing w:line="300" w:lineRule="atLeast"/>
        <w:rPr>
          <w:rFonts w:ascii="Georgia" w:hAnsi="Georgia"/>
          <w:color w:val="333333"/>
          <w:lang w:val="en"/>
        </w:rPr>
      </w:pPr>
      <w:r>
        <w:rPr>
          <w:rFonts w:ascii="Georgia" w:hAnsi="Georgia"/>
          <w:color w:val="333333"/>
          <w:lang w:val="en"/>
        </w:rPr>
        <w:t>Appendix D1 sets out the purpose, scope and approach to the review of progress. Appendix D2 highlights the outlook for emissions from the Australian economy as a whole. Appendices D3–D1</w:t>
      </w:r>
      <w:r>
        <w:rPr>
          <w:rFonts w:ascii="Georgia" w:hAnsi="Georgia"/>
          <w:color w:val="333333"/>
          <w:lang w:val="en"/>
        </w:rPr>
        <w:t xml:space="preserve">0 outline the outlook for changes in emissions from each sector, expanding on the discussion in Chapter 11. </w:t>
      </w:r>
    </w:p>
    <w:p w:rsidR="00000000" w:rsidRDefault="004170B4">
      <w:pPr>
        <w:pStyle w:val="Heading3"/>
        <w:rPr>
          <w:rFonts w:eastAsia="Times New Roman"/>
          <w:color w:val="333333"/>
          <w:lang w:val="en"/>
        </w:rPr>
      </w:pPr>
      <w:r>
        <w:rPr>
          <w:rFonts w:eastAsia="Times New Roman"/>
          <w:color w:val="333333"/>
          <w:lang w:val="en"/>
        </w:rPr>
        <w:t>D1.1 Purpose and scope of the Review</w:t>
      </w:r>
    </w:p>
    <w:p w:rsidR="00000000" w:rsidRDefault="004170B4">
      <w:pPr>
        <w:pStyle w:val="NormalWeb"/>
        <w:spacing w:line="300" w:lineRule="atLeast"/>
        <w:rPr>
          <w:rFonts w:ascii="Georgia" w:hAnsi="Georgia"/>
          <w:color w:val="333333"/>
          <w:lang w:val="en"/>
        </w:rPr>
      </w:pPr>
      <w:r>
        <w:rPr>
          <w:rFonts w:ascii="Georgia" w:hAnsi="Georgia"/>
          <w:color w:val="333333"/>
          <w:lang w:val="en"/>
        </w:rPr>
        <w:t>To meet its emissions reduction goals, Australia has implemented a range of policy measures, as discussed in C</w:t>
      </w:r>
      <w:r>
        <w:rPr>
          <w:rFonts w:ascii="Georgia" w:hAnsi="Georgia"/>
          <w:color w:val="333333"/>
          <w:lang w:val="en"/>
        </w:rPr>
        <w:t xml:space="preserve">hapter 5. This Review assesses how Australia is tracking towards its emissions reduction goals, providing important feedback to government on changes taking place in the economy in response to these policy measures and other factors. </w:t>
      </w:r>
    </w:p>
    <w:p w:rsidR="00000000" w:rsidRDefault="004170B4">
      <w:pPr>
        <w:pStyle w:val="NormalWeb"/>
        <w:spacing w:line="300" w:lineRule="atLeast"/>
        <w:rPr>
          <w:rFonts w:ascii="Georgia" w:hAnsi="Georgia"/>
          <w:color w:val="333333"/>
          <w:lang w:val="en"/>
        </w:rPr>
      </w:pPr>
      <w:r>
        <w:rPr>
          <w:rFonts w:ascii="Georgia" w:hAnsi="Georgia"/>
          <w:color w:val="333333"/>
          <w:lang w:val="en"/>
        </w:rPr>
        <w:t>This Review focuses o</w:t>
      </w:r>
      <w:r>
        <w:rPr>
          <w:rFonts w:ascii="Georgia" w:hAnsi="Georgia"/>
          <w:color w:val="333333"/>
          <w:lang w:val="en"/>
        </w:rPr>
        <w:t>n the outlook for emissions across the economy under several scenarios and also considers the outlook for changes in emissions in different sectors. The approach is designed to assess if and how Australia might achieve its emissions reduction targets. Cons</w:t>
      </w:r>
      <w:r>
        <w:rPr>
          <w:rFonts w:ascii="Georgia" w:hAnsi="Georgia"/>
          <w:color w:val="333333"/>
          <w:lang w:val="en"/>
        </w:rPr>
        <w:t>idering the projected outcomes in each sector helps to identify opportunities to transition to a lower emissions economy, and determine the efficiency of policy measures and their impact on different sectors.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Authority has based its Review on the four </w:t>
      </w:r>
      <w:r>
        <w:rPr>
          <w:rFonts w:ascii="Georgia" w:hAnsi="Georgia"/>
          <w:color w:val="333333"/>
          <w:lang w:val="en"/>
        </w:rPr>
        <w:t>scenarios described in Chapter 10 and Appendix F (no price, low, medium and high scenarios). The Authority has also drawn on additional modelling, published material and expert input to provide a broader review of possible future outcomes.</w:t>
      </w:r>
    </w:p>
    <w:p w:rsidR="00000000" w:rsidRDefault="004170B4">
      <w:pPr>
        <w:pStyle w:val="Heading3"/>
        <w:rPr>
          <w:rFonts w:eastAsia="Times New Roman"/>
          <w:color w:val="333333"/>
          <w:lang w:val="en"/>
        </w:rPr>
      </w:pPr>
      <w:r>
        <w:rPr>
          <w:rFonts w:eastAsia="Times New Roman"/>
          <w:color w:val="333333"/>
          <w:lang w:val="en"/>
        </w:rPr>
        <w:t>D1.2 Stakeholder</w:t>
      </w:r>
      <w:r>
        <w:rPr>
          <w:rFonts w:eastAsia="Times New Roman"/>
          <w:color w:val="333333"/>
          <w:lang w:val="en"/>
        </w:rPr>
        <w:t xml:space="preserve"> views on the Authority’s Review</w:t>
      </w:r>
    </w:p>
    <w:p w:rsidR="00000000" w:rsidRDefault="004170B4">
      <w:pPr>
        <w:pStyle w:val="NormalWeb"/>
        <w:spacing w:line="300" w:lineRule="atLeast"/>
        <w:rPr>
          <w:rFonts w:ascii="Georgia" w:hAnsi="Georgia"/>
          <w:color w:val="333333"/>
          <w:lang w:val="en"/>
        </w:rPr>
      </w:pPr>
      <w:r>
        <w:rPr>
          <w:rFonts w:ascii="Georgia" w:hAnsi="Georgia"/>
          <w:color w:val="333333"/>
          <w:lang w:val="en"/>
        </w:rPr>
        <w:t>Some stakeholder submissions to the Issues Paper for this Review raised concerns that assessing progress by referring to developments in each sector may imply sector-specific emissions targets or development pathways. There</w:t>
      </w:r>
      <w:r>
        <w:rPr>
          <w:rFonts w:ascii="Georgia" w:hAnsi="Georgia"/>
          <w:color w:val="333333"/>
          <w:lang w:val="en"/>
        </w:rPr>
        <w:t xml:space="preserve"> were concerns such an approach could compromise Australia’s broad-based strategy to reducing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does not recommend binding sector-specific objectives or prescribe pathways, technologies or activities to reach Australia’s emissions re</w:t>
      </w:r>
      <w:r>
        <w:rPr>
          <w:rFonts w:ascii="Georgia" w:hAnsi="Georgia"/>
          <w:color w:val="333333"/>
          <w:lang w:val="en"/>
        </w:rPr>
        <w:t xml:space="preserve">duction goals. Rather, the Review </w:t>
      </w:r>
      <w:proofErr w:type="spellStart"/>
      <w:r>
        <w:rPr>
          <w:rFonts w:ascii="Georgia" w:hAnsi="Georgia"/>
          <w:color w:val="333333"/>
          <w:lang w:val="en"/>
        </w:rPr>
        <w:t>synthesises</w:t>
      </w:r>
      <w:proofErr w:type="spellEnd"/>
      <w:r>
        <w:rPr>
          <w:rFonts w:ascii="Georgia" w:hAnsi="Georgia"/>
          <w:color w:val="333333"/>
          <w:lang w:val="en"/>
        </w:rPr>
        <w:t xml:space="preserve"> information from multiple sources to better understand possible paths towards emissions reductions and the factors (‘contributors’) likely to lead to significant changes in emissions. The Authority’s analysis c</w:t>
      </w:r>
      <w:r>
        <w:rPr>
          <w:rFonts w:ascii="Georgia" w:hAnsi="Georgia"/>
          <w:color w:val="333333"/>
          <w:lang w:val="en"/>
        </w:rPr>
        <w:t>onsiders the likelihood and timing of potential outcomes. This can help identify if Australia is on track to meet its broader national emissions reduction goals, and how those goals may be met.</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Some stakeholders called for a focus on policy as a driver of </w:t>
      </w:r>
      <w:r>
        <w:rPr>
          <w:rFonts w:ascii="Georgia" w:hAnsi="Georgia"/>
          <w:color w:val="333333"/>
          <w:lang w:val="en"/>
        </w:rPr>
        <w:t>changes in emissions. The Authority has not estimated the change in emissions from any specific policy or legislation, though it has considered the potential of general policy options. The emissions reduction potential of specific policy is generally deter</w:t>
      </w:r>
      <w:r>
        <w:rPr>
          <w:rFonts w:ascii="Georgia" w:hAnsi="Georgia"/>
          <w:color w:val="333333"/>
          <w:lang w:val="en"/>
        </w:rPr>
        <w:t>mined as part of the process of developing or evaluating regulatory instruments. Instead, the Review seeks to identify drivers of change in emissions; across successive annual progress reviews this could identify policies with a significant effect on activ</w:t>
      </w:r>
      <w:r>
        <w:rPr>
          <w:rFonts w:ascii="Georgia" w:hAnsi="Georgia"/>
          <w:color w:val="333333"/>
          <w:lang w:val="en"/>
        </w:rPr>
        <w:t>ity and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Review does not explicitly assess the cost-effectiveness of policies, but does identify opportunities for changes in technology or </w:t>
      </w:r>
      <w:proofErr w:type="spellStart"/>
      <w:r>
        <w:rPr>
          <w:rFonts w:ascii="Georgia" w:hAnsi="Georgia"/>
          <w:color w:val="333333"/>
          <w:lang w:val="en"/>
        </w:rPr>
        <w:t>behaviour</w:t>
      </w:r>
      <w:proofErr w:type="spellEnd"/>
      <w:r>
        <w:rPr>
          <w:rFonts w:ascii="Georgia" w:hAnsi="Georgia"/>
          <w:color w:val="333333"/>
          <w:lang w:val="en"/>
        </w:rPr>
        <w:t xml:space="preserve"> to increase the uptake of cost-effective emissions reductions in future, and policy options </w:t>
      </w:r>
      <w:r>
        <w:rPr>
          <w:rFonts w:ascii="Georgia" w:hAnsi="Georgia"/>
          <w:color w:val="333333"/>
          <w:lang w:val="en"/>
        </w:rPr>
        <w:t>that warrant further investigation. The Authority focuses on the most substantive contributors and drivers of emissions outcomes. While policy is relevant, macroeconomic and other drivers are also important.</w:t>
      </w:r>
    </w:p>
    <w:p w:rsidR="00000000" w:rsidRDefault="004170B4">
      <w:pPr>
        <w:pStyle w:val="Heading3"/>
        <w:rPr>
          <w:rFonts w:eastAsia="Times New Roman"/>
          <w:color w:val="333333"/>
          <w:lang w:val="en"/>
        </w:rPr>
      </w:pPr>
      <w:r>
        <w:rPr>
          <w:rFonts w:eastAsia="Times New Roman"/>
          <w:color w:val="333333"/>
          <w:lang w:val="en"/>
        </w:rPr>
        <w:t xml:space="preserve">D1.3 Framework for </w:t>
      </w:r>
      <w:proofErr w:type="spellStart"/>
      <w:r>
        <w:rPr>
          <w:rFonts w:eastAsia="Times New Roman"/>
          <w:color w:val="333333"/>
          <w:lang w:val="en"/>
        </w:rPr>
        <w:t>analysing</w:t>
      </w:r>
      <w:proofErr w:type="spellEnd"/>
      <w:r>
        <w:rPr>
          <w:rFonts w:eastAsia="Times New Roman"/>
          <w:color w:val="333333"/>
          <w:lang w:val="en"/>
        </w:rPr>
        <w:t xml:space="preserve"> progress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w:t>
      </w:r>
      <w:r>
        <w:rPr>
          <w:rFonts w:ascii="Georgia" w:hAnsi="Georgia"/>
          <w:color w:val="333333"/>
          <w:lang w:val="en"/>
        </w:rPr>
        <w:t>ity’s analytic framework for assessing progress considers:</w:t>
      </w:r>
    </w:p>
    <w:p w:rsidR="00000000" w:rsidRDefault="004170B4" w:rsidP="004170B4">
      <w:pPr>
        <w:numPr>
          <w:ilvl w:val="0"/>
          <w:numId w:val="1"/>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Australia’s domestic emissions levels and emissions intensity, recent trends and projections </w:t>
      </w:r>
    </w:p>
    <w:p w:rsidR="00000000" w:rsidRDefault="004170B4" w:rsidP="004170B4">
      <w:pPr>
        <w:numPr>
          <w:ilvl w:val="0"/>
          <w:numId w:val="1"/>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historical</w:t>
      </w:r>
      <w:proofErr w:type="gramEnd"/>
      <w:r>
        <w:rPr>
          <w:rFonts w:ascii="Georgia" w:eastAsia="Times New Roman" w:hAnsi="Georgia"/>
          <w:color w:val="333333"/>
          <w:lang w:val="en"/>
        </w:rPr>
        <w:t xml:space="preserve"> and projected </w:t>
      </w:r>
      <w:proofErr w:type="spellStart"/>
      <w:r>
        <w:rPr>
          <w:rFonts w:ascii="Georgia" w:eastAsia="Times New Roman" w:hAnsi="Georgia"/>
          <w:color w:val="333333"/>
          <w:lang w:val="en"/>
        </w:rPr>
        <w:t>sectoral</w:t>
      </w:r>
      <w:proofErr w:type="spellEnd"/>
      <w:r>
        <w:rPr>
          <w:rFonts w:ascii="Georgia" w:eastAsia="Times New Roman" w:hAnsi="Georgia"/>
          <w:color w:val="333333"/>
          <w:lang w:val="en"/>
        </w:rPr>
        <w:t xml:space="preserve"> emissions outcomes, the key contributors to those outcomes, and the u</w:t>
      </w:r>
      <w:r>
        <w:rPr>
          <w:rFonts w:ascii="Georgia" w:eastAsia="Times New Roman" w:hAnsi="Georgia"/>
          <w:color w:val="333333"/>
          <w:lang w:val="en"/>
        </w:rPr>
        <w:t>nderlying economic, policy and technological drivers.</w:t>
      </w:r>
    </w:p>
    <w:p w:rsidR="00000000" w:rsidRDefault="004170B4">
      <w:pPr>
        <w:pStyle w:val="Heading3"/>
        <w:rPr>
          <w:rFonts w:eastAsia="Times New Roman"/>
          <w:color w:val="333333"/>
          <w:lang w:val="en"/>
        </w:rPr>
      </w:pPr>
      <w:r>
        <w:rPr>
          <w:rFonts w:eastAsia="Times New Roman"/>
          <w:color w:val="333333"/>
          <w:lang w:val="en"/>
        </w:rPr>
        <w:t>D1.4 Considering activity and supply intensity</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In this Review, emissions are disaggregated into activity levels and emissions intensity to give a more comprehensive picture of Australia’s progress. For </w:t>
      </w:r>
      <w:r>
        <w:rPr>
          <w:rFonts w:ascii="Georgia" w:hAnsi="Georgia"/>
          <w:color w:val="333333"/>
          <w:lang w:val="en"/>
        </w:rPr>
        <w:t xml:space="preserve">example, emissions in the electricity sector are affected by both the amount of electricity generated (the activity level) and the emissions intensity of generation.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It is important to highlight the extent to </w:t>
      </w:r>
      <w:r>
        <w:rPr>
          <w:rFonts w:ascii="Georgia" w:hAnsi="Georgia"/>
          <w:color w:val="333333"/>
          <w:lang w:val="en"/>
        </w:rPr>
        <w:t>which emissions levels, both historical and projected, reflect changing levels of activity compared with the emissions intensity of that activity. This distinction helps illustrate the projected strong growth in activity for most parts of the economy. It i</w:t>
      </w:r>
      <w:r>
        <w:rPr>
          <w:rFonts w:ascii="Georgia" w:hAnsi="Georgia"/>
          <w:color w:val="333333"/>
          <w:lang w:val="en"/>
        </w:rPr>
        <w:t>s also useful in informing policy, since different policy instruments often focus on either decreasing emissions intensity, or changing demand or activity.</w:t>
      </w:r>
    </w:p>
    <w:p w:rsidR="00000000" w:rsidRDefault="004170B4">
      <w:pPr>
        <w:pStyle w:val="Heading3"/>
        <w:rPr>
          <w:rFonts w:eastAsia="Times New Roman"/>
          <w:color w:val="333333"/>
          <w:lang w:val="en"/>
        </w:rPr>
      </w:pPr>
      <w:r>
        <w:rPr>
          <w:rFonts w:eastAsia="Times New Roman"/>
          <w:color w:val="333333"/>
          <w:lang w:val="en"/>
        </w:rPr>
        <w:t xml:space="preserve">D1.5 </w:t>
      </w:r>
      <w:proofErr w:type="gramStart"/>
      <w:r>
        <w:rPr>
          <w:rFonts w:eastAsia="Times New Roman"/>
          <w:color w:val="333333"/>
          <w:lang w:val="en"/>
        </w:rPr>
        <w:t>Reviewing</w:t>
      </w:r>
      <w:proofErr w:type="gramEnd"/>
      <w:r>
        <w:rPr>
          <w:rFonts w:eastAsia="Times New Roman"/>
          <w:color w:val="333333"/>
          <w:lang w:val="en"/>
        </w:rPr>
        <w:t xml:space="preserve"> progress economy-wide and by sector</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economy-wide analysis considers the relative </w:t>
      </w:r>
      <w:r>
        <w:rPr>
          <w:rFonts w:ascii="Georgia" w:hAnsi="Georgia"/>
          <w:color w:val="333333"/>
          <w:lang w:val="en"/>
        </w:rPr>
        <w:t xml:space="preserve">contribution of different sectors to changes in domestic emissions, based on taking up emissions reduction opportunities to a certain marginal cost.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The </w:t>
      </w:r>
      <w:proofErr w:type="spellStart"/>
      <w:r>
        <w:rPr>
          <w:rFonts w:ascii="Georgia" w:hAnsi="Georgia"/>
          <w:color w:val="333333"/>
          <w:lang w:val="en"/>
        </w:rPr>
        <w:t>sectoral</w:t>
      </w:r>
      <w:proofErr w:type="spellEnd"/>
      <w:r>
        <w:rPr>
          <w:rFonts w:ascii="Georgia" w:hAnsi="Georgia"/>
          <w:color w:val="333333"/>
          <w:lang w:val="en"/>
        </w:rPr>
        <w:t xml:space="preserve"> analysis of progress (appendices D3–D10) identifies potential emissions outcomes in absolute </w:t>
      </w:r>
      <w:r>
        <w:rPr>
          <w:rFonts w:ascii="Georgia" w:hAnsi="Georgia"/>
          <w:color w:val="333333"/>
          <w:lang w:val="en"/>
        </w:rPr>
        <w:t xml:space="preserve">terms and in terms of activity levels and emissions intensity. </w:t>
      </w:r>
      <w:proofErr w:type="spellStart"/>
      <w:r>
        <w:rPr>
          <w:rFonts w:ascii="Georgia" w:hAnsi="Georgia"/>
          <w:color w:val="333333"/>
          <w:lang w:val="en"/>
        </w:rPr>
        <w:t>Sectoral</w:t>
      </w:r>
      <w:proofErr w:type="spellEnd"/>
      <w:r>
        <w:rPr>
          <w:rFonts w:ascii="Georgia" w:hAnsi="Georgia"/>
          <w:color w:val="333333"/>
          <w:lang w:val="en"/>
        </w:rPr>
        <w:t xml:space="preserve"> analyses are designed to, over time:</w:t>
      </w:r>
    </w:p>
    <w:p w:rsidR="00000000" w:rsidRDefault="004170B4" w:rsidP="004170B4">
      <w:pPr>
        <w:numPr>
          <w:ilvl w:val="0"/>
          <w:numId w:val="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identify the greatest contributors to changes in sector emissions, including those that affect levels of activity and the emissions intensity of th</w:t>
      </w:r>
      <w:r>
        <w:rPr>
          <w:rFonts w:ascii="Georgia" w:eastAsia="Times New Roman" w:hAnsi="Georgia"/>
          <w:color w:val="333333"/>
          <w:lang w:val="en"/>
        </w:rPr>
        <w:t>e sector’s activity</w:t>
      </w:r>
    </w:p>
    <w:p w:rsidR="00000000" w:rsidRDefault="004170B4" w:rsidP="004170B4">
      <w:pPr>
        <w:numPr>
          <w:ilvl w:val="0"/>
          <w:numId w:val="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track the main contributors to projected emissions outcomes and the drivers that underpin them</w:t>
      </w:r>
    </w:p>
    <w:p w:rsidR="00000000" w:rsidRDefault="004170B4" w:rsidP="004170B4">
      <w:pPr>
        <w:numPr>
          <w:ilvl w:val="0"/>
          <w:numId w:val="2"/>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allow</w:t>
      </w:r>
      <w:proofErr w:type="gramEnd"/>
      <w:r>
        <w:rPr>
          <w:rFonts w:ascii="Georgia" w:eastAsia="Times New Roman" w:hAnsi="Georgia"/>
          <w:color w:val="333333"/>
          <w:lang w:val="en"/>
        </w:rPr>
        <w:t xml:space="preserve"> comparison between modelled and </w:t>
      </w:r>
      <w:proofErr w:type="spellStart"/>
      <w:r>
        <w:rPr>
          <w:rFonts w:ascii="Georgia" w:eastAsia="Times New Roman" w:hAnsi="Georgia"/>
          <w:color w:val="333333"/>
          <w:lang w:val="en"/>
        </w:rPr>
        <w:t>realised</w:t>
      </w:r>
      <w:proofErr w:type="spellEnd"/>
      <w:r>
        <w:rPr>
          <w:rFonts w:ascii="Georgia" w:eastAsia="Times New Roman" w:hAnsi="Georgia"/>
          <w:color w:val="333333"/>
          <w:lang w:val="en"/>
        </w:rPr>
        <w:t xml:space="preserve"> </w:t>
      </w:r>
      <w:proofErr w:type="spellStart"/>
      <w:r>
        <w:rPr>
          <w:rFonts w:ascii="Georgia" w:eastAsia="Times New Roman" w:hAnsi="Georgia"/>
          <w:color w:val="333333"/>
          <w:lang w:val="en"/>
        </w:rPr>
        <w:t>sectoral</w:t>
      </w:r>
      <w:proofErr w:type="spellEnd"/>
      <w:r>
        <w:rPr>
          <w:rFonts w:ascii="Georgia" w:eastAsia="Times New Roman" w:hAnsi="Georgia"/>
          <w:color w:val="333333"/>
          <w:lang w:val="en"/>
        </w:rPr>
        <w:t xml:space="preserve"> outcomes, helping to anticipate when contributors or drivers will persist, subside or</w:t>
      </w:r>
      <w:r>
        <w:rPr>
          <w:rFonts w:ascii="Georgia" w:eastAsia="Times New Roman" w:hAnsi="Georgia"/>
          <w:color w:val="333333"/>
          <w:lang w:val="en"/>
        </w:rPr>
        <w:t xml:space="preserve"> recur.</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Authority has adopted the same approach to define sectors and </w:t>
      </w:r>
      <w:proofErr w:type="spellStart"/>
      <w:r>
        <w:rPr>
          <w:rFonts w:ascii="Georgia" w:hAnsi="Georgia"/>
          <w:color w:val="333333"/>
          <w:lang w:val="en"/>
        </w:rPr>
        <w:t>organise</w:t>
      </w:r>
      <w:proofErr w:type="spellEnd"/>
      <w:r>
        <w:rPr>
          <w:rFonts w:ascii="Georgia" w:hAnsi="Georgia"/>
          <w:color w:val="333333"/>
          <w:lang w:val="en"/>
        </w:rPr>
        <w:t xml:space="preserve"> its sector-level reporting as is used in Australia’s National Greenhouse Gas Inventory—electricity generation, transport, direct combustion, fugitives, industrial processes,</w:t>
      </w:r>
      <w:r>
        <w:rPr>
          <w:rFonts w:ascii="Georgia" w:hAnsi="Georgia"/>
          <w:color w:val="333333"/>
          <w:lang w:val="en"/>
        </w:rPr>
        <w:t xml:space="preserve"> agriculture, LULUCF and waste.</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also uses complementary analysis of emissions attributed to end-use categories, such as buildings, where it provides additional information or helps consider opportunities for, or barriers to, cost-effective em</w:t>
      </w:r>
      <w:r>
        <w:rPr>
          <w:rFonts w:ascii="Georgia" w:hAnsi="Georgia"/>
          <w:color w:val="333333"/>
          <w:lang w:val="en"/>
        </w:rPr>
        <w:t xml:space="preserve">issions reductions. </w:t>
      </w:r>
    </w:p>
    <w:p w:rsidR="00000000" w:rsidRDefault="004170B4">
      <w:pPr>
        <w:pStyle w:val="Heading3"/>
        <w:rPr>
          <w:rFonts w:eastAsia="Times New Roman"/>
          <w:color w:val="333333"/>
          <w:lang w:val="en"/>
        </w:rPr>
      </w:pPr>
      <w:r>
        <w:rPr>
          <w:rFonts w:eastAsia="Times New Roman"/>
          <w:color w:val="333333"/>
          <w:lang w:val="en"/>
        </w:rPr>
        <w:t xml:space="preserve">D1.6 </w:t>
      </w:r>
      <w:proofErr w:type="gramStart"/>
      <w:r>
        <w:rPr>
          <w:rFonts w:eastAsia="Times New Roman"/>
          <w:color w:val="333333"/>
          <w:lang w:val="en"/>
        </w:rPr>
        <w:t>Assessing</w:t>
      </w:r>
      <w:proofErr w:type="gramEnd"/>
      <w:r>
        <w:rPr>
          <w:rFonts w:eastAsia="Times New Roman"/>
          <w:color w:val="333333"/>
          <w:lang w:val="en"/>
        </w:rPr>
        <w:t xml:space="preserve"> emissions changes against a fixed baseline</w:t>
      </w:r>
    </w:p>
    <w:p w:rsidR="00000000" w:rsidRDefault="004170B4">
      <w:pPr>
        <w:pStyle w:val="NormalWeb"/>
        <w:spacing w:line="300" w:lineRule="atLeast"/>
        <w:rPr>
          <w:rFonts w:ascii="Georgia" w:hAnsi="Georgia"/>
          <w:color w:val="333333"/>
          <w:lang w:val="en"/>
        </w:rPr>
      </w:pPr>
      <w:r>
        <w:rPr>
          <w:rFonts w:ascii="Georgia" w:hAnsi="Georgia"/>
          <w:color w:val="333333"/>
          <w:lang w:val="en"/>
        </w:rPr>
        <w:t>This appendix does not focus on emissions reduction relative to a concept of BAU (or ‘no price’ scenario). BAU projections depend on the broader economic and policy context at a</w:t>
      </w:r>
      <w:r>
        <w:rPr>
          <w:rFonts w:ascii="Georgia" w:hAnsi="Georgia"/>
          <w:color w:val="333333"/>
          <w:lang w:val="en"/>
        </w:rPr>
        <w:t xml:space="preserve"> point in time and, as such, fail to provide a stable and robust basis for tracking progress towards fixed long-term targets. Instead, the Authority uses 2000 as the base year against which to assess changes in emissions. This approach:</w:t>
      </w:r>
    </w:p>
    <w:p w:rsidR="00000000" w:rsidRDefault="004170B4" w:rsidP="004170B4">
      <w:pPr>
        <w:numPr>
          <w:ilvl w:val="0"/>
          <w:numId w:val="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is consistent with </w:t>
      </w:r>
      <w:r>
        <w:rPr>
          <w:rFonts w:ascii="Georgia" w:eastAsia="Times New Roman" w:hAnsi="Georgia"/>
          <w:color w:val="333333"/>
          <w:lang w:val="en"/>
        </w:rPr>
        <w:t>the expression of Australia’s emissions reduction targets</w:t>
      </w:r>
    </w:p>
    <w:p w:rsidR="00000000" w:rsidRDefault="004170B4" w:rsidP="004170B4">
      <w:pPr>
        <w:numPr>
          <w:ilvl w:val="0"/>
          <w:numId w:val="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avoids the use of a BAU reference, supporting longer term comparison of Australia’s progress that remains relevant as the economic conditions and legislative framework change over time</w:t>
      </w:r>
    </w:p>
    <w:p w:rsidR="00000000" w:rsidRDefault="004170B4" w:rsidP="004170B4">
      <w:pPr>
        <w:numPr>
          <w:ilvl w:val="0"/>
          <w:numId w:val="3"/>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is</w:t>
      </w:r>
      <w:proofErr w:type="gramEnd"/>
      <w:r>
        <w:rPr>
          <w:rFonts w:ascii="Georgia" w:eastAsia="Times New Roman" w:hAnsi="Georgia"/>
          <w:color w:val="333333"/>
          <w:lang w:val="en"/>
        </w:rPr>
        <w:t xml:space="preserve"> easily reb</w:t>
      </w:r>
      <w:r>
        <w:rPr>
          <w:rFonts w:ascii="Georgia" w:eastAsia="Times New Roman" w:hAnsi="Georgia"/>
          <w:color w:val="333333"/>
          <w:lang w:val="en"/>
        </w:rPr>
        <w:t>ased to alternative reference years, if required.</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total emissions in 2000 were 586 Mt CO</w:t>
      </w:r>
      <w:r>
        <w:rPr>
          <w:rFonts w:ascii="Georgia" w:hAnsi="Georgia"/>
          <w:color w:val="333333"/>
          <w:sz w:val="18"/>
          <w:szCs w:val="18"/>
          <w:vertAlign w:val="subscript"/>
          <w:lang w:val="en"/>
        </w:rPr>
        <w:t>2</w:t>
      </w:r>
      <w:r>
        <w:rPr>
          <w:rFonts w:ascii="Georgia" w:hAnsi="Georgia"/>
          <w:color w:val="333333"/>
          <w:lang w:val="en"/>
        </w:rPr>
        <w:t xml:space="preserve">-e. </w:t>
      </w:r>
    </w:p>
    <w:p w:rsidR="00000000" w:rsidRDefault="004170B4">
      <w:pPr>
        <w:pStyle w:val="NormalWeb"/>
        <w:spacing w:line="300" w:lineRule="atLeast"/>
        <w:rPr>
          <w:rFonts w:ascii="Georgia" w:hAnsi="Georgia"/>
          <w:color w:val="333333"/>
          <w:lang w:val="en"/>
        </w:rPr>
      </w:pPr>
      <w:r>
        <w:rPr>
          <w:rFonts w:ascii="Georgia" w:hAnsi="Georgia"/>
          <w:color w:val="333333"/>
          <w:lang w:val="en"/>
        </w:rPr>
        <w:t>In contrast to Appendix D, Chapter 11 most often compares emissions projections relative to a counterfactual ‘no price’ scenario.</w:t>
      </w:r>
    </w:p>
    <w:p w:rsidR="00000000" w:rsidRDefault="004170B4">
      <w:pPr>
        <w:pStyle w:val="Heading3"/>
        <w:rPr>
          <w:rFonts w:eastAsia="Times New Roman"/>
          <w:color w:val="333333"/>
          <w:lang w:val="en"/>
        </w:rPr>
      </w:pPr>
      <w:r>
        <w:rPr>
          <w:rFonts w:eastAsia="Times New Roman"/>
          <w:color w:val="333333"/>
          <w:lang w:val="en"/>
        </w:rPr>
        <w:t xml:space="preserve">D1.7 </w:t>
      </w:r>
      <w:proofErr w:type="spellStart"/>
      <w:proofErr w:type="gramStart"/>
      <w:r>
        <w:rPr>
          <w:rFonts w:eastAsia="Times New Roman"/>
          <w:color w:val="333333"/>
          <w:lang w:val="en"/>
        </w:rPr>
        <w:t>Synthesising</w:t>
      </w:r>
      <w:proofErr w:type="spellEnd"/>
      <w:proofErr w:type="gramEnd"/>
      <w:r>
        <w:rPr>
          <w:rFonts w:eastAsia="Times New Roman"/>
          <w:color w:val="333333"/>
          <w:lang w:val="en"/>
        </w:rPr>
        <w:t xml:space="preserve"> da</w:t>
      </w:r>
      <w:r>
        <w:rPr>
          <w:rFonts w:eastAsia="Times New Roman"/>
          <w:color w:val="333333"/>
          <w:lang w:val="en"/>
        </w:rPr>
        <w:t>ta sources and quantifying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This Review uses historical and projected emissions for the period 1990–2030 from Treasury and DIICCSRTE modelling (2013). In that report: </w:t>
      </w:r>
    </w:p>
    <w:p w:rsidR="00000000" w:rsidRDefault="004170B4" w:rsidP="004170B4">
      <w:pPr>
        <w:numPr>
          <w:ilvl w:val="0"/>
          <w:numId w:val="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lastRenderedPageBreak/>
        <w:t>the data incorporates National Greenhouse Gas Inventory data for the 2010–11 in</w:t>
      </w:r>
      <w:r>
        <w:rPr>
          <w:rFonts w:ascii="Georgia" w:eastAsia="Times New Roman" w:hAnsi="Georgia"/>
          <w:color w:val="333333"/>
          <w:lang w:val="en"/>
        </w:rPr>
        <w:t xml:space="preserve">ventory year and preliminary emissions estimates for 2011–12 and 2012–13 </w:t>
      </w:r>
    </w:p>
    <w:p w:rsidR="00000000" w:rsidRDefault="004170B4" w:rsidP="004170B4">
      <w:pPr>
        <w:numPr>
          <w:ilvl w:val="0"/>
          <w:numId w:val="4"/>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emissions</w:t>
      </w:r>
      <w:proofErr w:type="gramEnd"/>
      <w:r>
        <w:rPr>
          <w:rFonts w:ascii="Georgia" w:eastAsia="Times New Roman" w:hAnsi="Georgia"/>
          <w:color w:val="333333"/>
          <w:lang w:val="en"/>
        </w:rPr>
        <w:t xml:space="preserve"> for 2012 are based on preliminary inventory data and modelled estimates available at the time Treasury and DIICCSRTE modelling was undertaken (March 2013). They do not refl</w:t>
      </w:r>
      <w:r>
        <w:rPr>
          <w:rFonts w:ascii="Georgia" w:eastAsia="Times New Roman" w:hAnsi="Georgia"/>
          <w:color w:val="333333"/>
          <w:lang w:val="en"/>
        </w:rPr>
        <w:t>ect 2012 or 2013 emissions reported in the June 2013 Quarterly Update of Australia’s National Greenhouse Gas Inventory, released in December 2013. The June 2013 Quarterly Update is the source of Australia’s estimated carryover from the first commitment per</w:t>
      </w:r>
      <w:r>
        <w:rPr>
          <w:rFonts w:ascii="Georgia" w:eastAsia="Times New Roman" w:hAnsi="Georgia"/>
          <w:color w:val="333333"/>
          <w:lang w:val="en"/>
        </w:rPr>
        <w:t>iod of the Kyoto Protocol. Revisions incorporated in the June 2013 Quarterly Update revise estimated 2012 emissions, but have almost no effect on the rate of growth in emissions between 2011–12 and 2012–13</w:t>
      </w:r>
    </w:p>
    <w:p w:rsidR="00000000" w:rsidRDefault="004170B4" w:rsidP="004170B4">
      <w:pPr>
        <w:numPr>
          <w:ilvl w:val="0"/>
          <w:numId w:val="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the data for emissions for the period 2013–2030 ar</w:t>
      </w:r>
      <w:r>
        <w:rPr>
          <w:rFonts w:ascii="Georgia" w:eastAsia="Times New Roman" w:hAnsi="Georgia"/>
          <w:color w:val="333333"/>
          <w:lang w:val="en"/>
        </w:rPr>
        <w:t xml:space="preserve">e modelled estimates (see Appendix C) </w:t>
      </w:r>
    </w:p>
    <w:p w:rsidR="00000000" w:rsidRDefault="004170B4" w:rsidP="004170B4">
      <w:pPr>
        <w:numPr>
          <w:ilvl w:val="0"/>
          <w:numId w:val="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historical emissions for the LULUCF sector for the period 1990–2012 are based on an estimate of emissions consistent with the new accounting rules (Article 3.4) agreed for the second commitment period of the Kyoto Pro</w:t>
      </w:r>
      <w:r>
        <w:rPr>
          <w:rFonts w:ascii="Georgia" w:eastAsia="Times New Roman" w:hAnsi="Georgia"/>
          <w:color w:val="333333"/>
          <w:lang w:val="en"/>
        </w:rPr>
        <w:t xml:space="preserve">tocol </w:t>
      </w:r>
    </w:p>
    <w:p w:rsidR="00000000" w:rsidRDefault="004170B4" w:rsidP="004170B4">
      <w:pPr>
        <w:numPr>
          <w:ilvl w:val="0"/>
          <w:numId w:val="4"/>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all</w:t>
      </w:r>
      <w:proofErr w:type="gramEnd"/>
      <w:r>
        <w:rPr>
          <w:rFonts w:ascii="Georgia" w:eastAsia="Times New Roman" w:hAnsi="Georgia"/>
          <w:color w:val="333333"/>
          <w:lang w:val="en"/>
        </w:rPr>
        <w:t xml:space="preserve"> emissions data has been converted to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using global warming potentials from the IPCC Fourth Assessment Report. Historical emissions for LULUCF for the period 1990 to 2012 have been adjusted to be consistent with the new accounting rules agre</w:t>
      </w:r>
      <w:r>
        <w:rPr>
          <w:rFonts w:ascii="Georgia" w:eastAsia="Times New Roman" w:hAnsi="Georgia"/>
          <w:color w:val="333333"/>
          <w:lang w:val="en"/>
        </w:rPr>
        <w:t>ed for the second commitment period of the Kyoto Protocol. This means historical and projected emissions data throughout the report is directly comparable.</w:t>
      </w:r>
    </w:p>
    <w:p w:rsidR="00000000" w:rsidRDefault="004170B4">
      <w:pPr>
        <w:pStyle w:val="NormalWeb"/>
        <w:spacing w:line="300" w:lineRule="atLeast"/>
        <w:rPr>
          <w:rFonts w:ascii="Georgia" w:hAnsi="Georgia"/>
          <w:color w:val="333333"/>
          <w:lang w:val="en"/>
        </w:rPr>
      </w:pPr>
      <w:r>
        <w:rPr>
          <w:rFonts w:ascii="Georgia" w:hAnsi="Georgia"/>
          <w:color w:val="333333"/>
          <w:lang w:val="en"/>
        </w:rPr>
        <w:t>All data in this report is for the financial year ending 30 </w:t>
      </w:r>
      <w:r>
        <w:rPr>
          <w:rFonts w:ascii="Georgia" w:hAnsi="Georgia"/>
          <w:color w:val="333333"/>
          <w:lang w:val="en"/>
        </w:rPr>
        <w:t>June unless otherwise indicated. For example, data reported for 2013 is for the financial year 2012–13. All dollar amounts (prices and costs) reported in this appendix are 2012 Australian dollars, unless otherwise stated.</w:t>
      </w:r>
    </w:p>
    <w:p w:rsidR="00000000" w:rsidRDefault="004170B4">
      <w:pPr>
        <w:pStyle w:val="NormalWeb"/>
        <w:spacing w:line="300" w:lineRule="atLeast"/>
        <w:rPr>
          <w:rFonts w:ascii="Georgia" w:hAnsi="Georgia"/>
          <w:color w:val="333333"/>
          <w:lang w:val="en"/>
        </w:rPr>
      </w:pPr>
      <w:r>
        <w:rPr>
          <w:rFonts w:ascii="Georgia" w:hAnsi="Georgia"/>
          <w:color w:val="333333"/>
          <w:lang w:val="en"/>
        </w:rPr>
        <w:t>In December 2013, the National Gre</w:t>
      </w:r>
      <w:r>
        <w:rPr>
          <w:rFonts w:ascii="Georgia" w:hAnsi="Georgia"/>
          <w:color w:val="333333"/>
          <w:lang w:val="en"/>
        </w:rPr>
        <w:t>enhouse Gas Inventory was updated for the 2012–13 year, with refinements to earlier years’ emissions levels. For consistency with the modelled scenarios, Appendix D retains the historical emissions data on which the Treasury and DIICCSRTE modelling is base</w:t>
      </w:r>
      <w:r>
        <w:rPr>
          <w:rFonts w:ascii="Georgia" w:hAnsi="Georgia"/>
          <w:color w:val="333333"/>
          <w:lang w:val="en"/>
        </w:rPr>
        <w:t>d.</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Modelling from the Treasury and DIICCSRTE has formed the core data set </w:t>
      </w:r>
      <w:proofErr w:type="spellStart"/>
      <w:r>
        <w:rPr>
          <w:rFonts w:ascii="Georgia" w:hAnsi="Georgia"/>
          <w:color w:val="333333"/>
          <w:lang w:val="en"/>
        </w:rPr>
        <w:t>analysed</w:t>
      </w:r>
      <w:proofErr w:type="spellEnd"/>
      <w:r>
        <w:rPr>
          <w:rFonts w:ascii="Georgia" w:hAnsi="Georgia"/>
          <w:color w:val="333333"/>
          <w:lang w:val="en"/>
        </w:rPr>
        <w:t xml:space="preserve"> in this Review, including four core scenarios—one without a carbon price, and three different price levels (Box D.1). The electricity, transport and agriculture sectors were</w:t>
      </w:r>
      <w:r>
        <w:rPr>
          <w:rFonts w:ascii="Georgia" w:hAnsi="Georgia"/>
          <w:color w:val="333333"/>
          <w:lang w:val="en"/>
        </w:rPr>
        <w:t xml:space="preserve"> modelled separately in greater detail, and scenarios and sensitivities from these models are also included.</w:t>
      </w:r>
    </w:p>
    <w:p w:rsidR="00000000" w:rsidRDefault="004170B4">
      <w:pPr>
        <w:pStyle w:val="Heading2"/>
        <w:shd w:val="clear" w:color="auto" w:fill="F5F5F5"/>
        <w:divId w:val="481308838"/>
        <w:rPr>
          <w:rFonts w:eastAsia="Times New Roman"/>
          <w:color w:val="333333"/>
          <w:lang w:val="en"/>
        </w:rPr>
      </w:pPr>
      <w:r>
        <w:rPr>
          <w:rFonts w:eastAsia="Times New Roman"/>
          <w:color w:val="333333"/>
          <w:lang w:val="en"/>
        </w:rPr>
        <w:t>Box D.1: Modelling scenarios used to track emissions progress</w:t>
      </w:r>
    </w:p>
    <w:p w:rsidR="00000000" w:rsidRDefault="004170B4">
      <w:pPr>
        <w:pStyle w:val="NormalWeb"/>
        <w:shd w:val="clear" w:color="auto" w:fill="F5F5F5"/>
        <w:spacing w:line="300" w:lineRule="atLeast"/>
        <w:divId w:val="481308838"/>
        <w:rPr>
          <w:rFonts w:ascii="Georgia" w:hAnsi="Georgia"/>
          <w:color w:val="333333"/>
          <w:lang w:val="en"/>
        </w:rPr>
      </w:pPr>
      <w:r>
        <w:rPr>
          <w:rStyle w:val="Strong"/>
          <w:rFonts w:ascii="Georgia" w:hAnsi="Georgia"/>
          <w:color w:val="333333"/>
          <w:lang w:val="en"/>
        </w:rPr>
        <w:t>No price scenario</w:t>
      </w:r>
      <w:r>
        <w:rPr>
          <w:rFonts w:ascii="Georgia" w:hAnsi="Georgia"/>
          <w:color w:val="333333"/>
          <w:lang w:val="en"/>
        </w:rPr>
        <w:t>—assumes there is no carbon price and no CFI. This scenario includes</w:t>
      </w:r>
      <w:r>
        <w:rPr>
          <w:rFonts w:ascii="Georgia" w:hAnsi="Georgia"/>
          <w:color w:val="333333"/>
          <w:lang w:val="en"/>
        </w:rPr>
        <w:t xml:space="preserve"> emissions reductions from pre-existing measures such as energy efficiency measures and the RET.</w:t>
      </w:r>
    </w:p>
    <w:p w:rsidR="00000000" w:rsidRDefault="004170B4">
      <w:pPr>
        <w:pStyle w:val="NormalWeb"/>
        <w:shd w:val="clear" w:color="auto" w:fill="F5F5F5"/>
        <w:spacing w:line="300" w:lineRule="atLeast"/>
        <w:divId w:val="481308838"/>
        <w:rPr>
          <w:rFonts w:ascii="Georgia" w:hAnsi="Georgia"/>
          <w:color w:val="333333"/>
          <w:lang w:val="en"/>
        </w:rPr>
      </w:pPr>
      <w:r>
        <w:rPr>
          <w:rStyle w:val="Strong"/>
          <w:rFonts w:ascii="Georgia" w:hAnsi="Georgia"/>
          <w:color w:val="333333"/>
          <w:lang w:val="en"/>
        </w:rPr>
        <w:lastRenderedPageBreak/>
        <w:t>Low scenario</w:t>
      </w:r>
      <w:r>
        <w:rPr>
          <w:rFonts w:ascii="Georgia" w:hAnsi="Georgia"/>
          <w:color w:val="333333"/>
          <w:lang w:val="en"/>
        </w:rPr>
        <w:t xml:space="preserve">—additionally assumes the carbon price and CFI are in place. The carbon price is fixed for two years, then moves to a flexible price. The flexible </w:t>
      </w:r>
      <w:r>
        <w:rPr>
          <w:rFonts w:ascii="Georgia" w:hAnsi="Georgia"/>
          <w:color w:val="333333"/>
          <w:lang w:val="en"/>
        </w:rPr>
        <w:t>price begins at $5.49/t CO</w:t>
      </w:r>
      <w:r>
        <w:rPr>
          <w:rFonts w:ascii="Georgia" w:hAnsi="Georgia"/>
          <w:color w:val="333333"/>
          <w:sz w:val="18"/>
          <w:szCs w:val="18"/>
          <w:vertAlign w:val="subscript"/>
          <w:lang w:val="en"/>
        </w:rPr>
        <w:t>2</w:t>
      </w:r>
      <w:r>
        <w:rPr>
          <w:rFonts w:ascii="Georgia" w:hAnsi="Georgia"/>
          <w:color w:val="333333"/>
          <w:lang w:val="en"/>
        </w:rPr>
        <w:t xml:space="preserve">-e in 2015, and grows at 4 per cent per year in real terms to reach $6.31 in 2020. The price then follows a linear transition to $54.48 in 2030. </w:t>
      </w:r>
    </w:p>
    <w:p w:rsidR="00000000" w:rsidRDefault="004170B4">
      <w:pPr>
        <w:pStyle w:val="NormalWeb"/>
        <w:shd w:val="clear" w:color="auto" w:fill="F5F5F5"/>
        <w:spacing w:line="300" w:lineRule="atLeast"/>
        <w:divId w:val="481308838"/>
        <w:rPr>
          <w:rFonts w:ascii="Georgia" w:hAnsi="Georgia"/>
          <w:color w:val="333333"/>
          <w:lang w:val="en"/>
        </w:rPr>
      </w:pPr>
      <w:r>
        <w:rPr>
          <w:rStyle w:val="Strong"/>
          <w:rFonts w:ascii="Georgia" w:hAnsi="Georgia"/>
          <w:color w:val="333333"/>
          <w:lang w:val="en"/>
        </w:rPr>
        <w:t>Medium scenario</w:t>
      </w:r>
      <w:r>
        <w:rPr>
          <w:rFonts w:ascii="Georgia" w:hAnsi="Georgia"/>
          <w:color w:val="333333"/>
          <w:lang w:val="en"/>
        </w:rPr>
        <w:t>—assumes the fixed price for two years, then a flexible price beginn</w:t>
      </w:r>
      <w:r>
        <w:rPr>
          <w:rFonts w:ascii="Georgia" w:hAnsi="Georgia"/>
          <w:color w:val="333333"/>
          <w:lang w:val="en"/>
        </w:rPr>
        <w:t>ing at $5.49/t CO</w:t>
      </w:r>
      <w:r>
        <w:rPr>
          <w:rFonts w:ascii="Georgia" w:hAnsi="Georgia"/>
          <w:color w:val="333333"/>
          <w:sz w:val="18"/>
          <w:szCs w:val="18"/>
          <w:vertAlign w:val="subscript"/>
          <w:lang w:val="en"/>
        </w:rPr>
        <w:t>2</w:t>
      </w:r>
      <w:r>
        <w:rPr>
          <w:rFonts w:ascii="Georgia" w:hAnsi="Georgia"/>
          <w:color w:val="333333"/>
          <w:lang w:val="en"/>
        </w:rPr>
        <w:t>-e in 2015, and following a linear transition to $30.14 in 2020. From 2021, the price follows the international price from the medium global action scenario, which grows at 4 per cent per year in real terms in US dollars.</w:t>
      </w:r>
    </w:p>
    <w:p w:rsidR="00000000" w:rsidRDefault="004170B4">
      <w:pPr>
        <w:pStyle w:val="NormalWeb"/>
        <w:shd w:val="clear" w:color="auto" w:fill="F5F5F5"/>
        <w:spacing w:line="300" w:lineRule="atLeast"/>
        <w:divId w:val="481308838"/>
        <w:rPr>
          <w:rFonts w:ascii="Georgia" w:hAnsi="Georgia"/>
          <w:color w:val="333333"/>
          <w:lang w:val="en"/>
        </w:rPr>
      </w:pPr>
      <w:r>
        <w:rPr>
          <w:rStyle w:val="Strong"/>
          <w:rFonts w:ascii="Georgia" w:hAnsi="Georgia"/>
          <w:color w:val="333333"/>
          <w:lang w:val="en"/>
        </w:rPr>
        <w:t>High scenario</w:t>
      </w:r>
      <w:r>
        <w:rPr>
          <w:rFonts w:ascii="Georgia" w:hAnsi="Georgia"/>
          <w:color w:val="333333"/>
          <w:lang w:val="en"/>
        </w:rPr>
        <w:t>—as</w:t>
      </w:r>
      <w:r>
        <w:rPr>
          <w:rFonts w:ascii="Georgia" w:hAnsi="Georgia"/>
          <w:color w:val="333333"/>
          <w:lang w:val="en"/>
        </w:rPr>
        <w:t>sumes the fixed price for two years, then a flexible price beginning at $5.49/t CO</w:t>
      </w:r>
      <w:r>
        <w:rPr>
          <w:rFonts w:ascii="Georgia" w:hAnsi="Georgia"/>
          <w:color w:val="333333"/>
          <w:sz w:val="18"/>
          <w:szCs w:val="18"/>
          <w:vertAlign w:val="subscript"/>
          <w:lang w:val="en"/>
        </w:rPr>
        <w:t>2</w:t>
      </w:r>
      <w:r>
        <w:rPr>
          <w:rFonts w:ascii="Georgia" w:hAnsi="Georgia"/>
          <w:color w:val="333333"/>
          <w:lang w:val="en"/>
        </w:rPr>
        <w:t xml:space="preserve">-e in 2015, and following a linear transition to $73.44 in 2020. From 2021, the price follows the international price from the ambitious global action scenario, which grows </w:t>
      </w:r>
      <w:r>
        <w:rPr>
          <w:rFonts w:ascii="Georgia" w:hAnsi="Georgia"/>
          <w:color w:val="333333"/>
          <w:lang w:val="en"/>
        </w:rPr>
        <w:t>at 4 per cent per year in real terms in US dollars.</w:t>
      </w:r>
    </w:p>
    <w:p w:rsidR="00000000" w:rsidRDefault="004170B4">
      <w:pPr>
        <w:pStyle w:val="NormalWeb"/>
        <w:shd w:val="clear" w:color="auto" w:fill="F5F5F5"/>
        <w:spacing w:line="300" w:lineRule="atLeast"/>
        <w:divId w:val="481308838"/>
        <w:rPr>
          <w:rFonts w:ascii="Georgia" w:hAnsi="Georgia"/>
          <w:color w:val="333333"/>
          <w:lang w:val="en"/>
        </w:rPr>
      </w:pPr>
      <w:r>
        <w:rPr>
          <w:rFonts w:ascii="Georgia" w:hAnsi="Georgia"/>
          <w:color w:val="333333"/>
          <w:lang w:val="en"/>
        </w:rPr>
        <w:t>The effective carbon price faced by liable entities is lower than the modelled price in the low, medium and high scenarios. Kyoto units such as CERs currently trade at prices well below the prices used in</w:t>
      </w:r>
      <w:r>
        <w:rPr>
          <w:rFonts w:ascii="Georgia" w:hAnsi="Georgia"/>
          <w:color w:val="333333"/>
          <w:lang w:val="en"/>
        </w:rPr>
        <w:t xml:space="preserve"> these scenarios and the modelling assumes there is a price difference between CERs and ACUs for the period to 2020. The effective carbon price faced by liable entities is a weighted average of the ACU and CER price, with weights reflecting the CER sub-lim</w:t>
      </w:r>
      <w:r>
        <w:rPr>
          <w:rFonts w:ascii="Georgia" w:hAnsi="Georgia"/>
          <w:color w:val="333333"/>
          <w:lang w:val="en"/>
        </w:rPr>
        <w:t>it (12.5 per cent of their liability).</w:t>
      </w:r>
    </w:p>
    <w:p w:rsidR="00000000" w:rsidRDefault="004170B4">
      <w:pPr>
        <w:pStyle w:val="NormalWeb"/>
        <w:shd w:val="clear" w:color="auto" w:fill="F5F5F5"/>
        <w:spacing w:line="300" w:lineRule="atLeast"/>
        <w:divId w:val="481308838"/>
        <w:rPr>
          <w:rFonts w:ascii="Georgia" w:hAnsi="Georgia"/>
          <w:color w:val="333333"/>
          <w:lang w:val="en"/>
        </w:rPr>
      </w:pPr>
      <w:r>
        <w:rPr>
          <w:rFonts w:ascii="Georgia" w:hAnsi="Georgia"/>
          <w:color w:val="333333"/>
          <w:lang w:val="en"/>
        </w:rPr>
        <w:t xml:space="preserve">Chapter 10 of this Review and Table 3.1 of the Treasury and DIICCSRTE (2013) modelling report provide further details of the scenario assumptions.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It is useful to consider uncertainty when assessing possible future o</w:t>
      </w:r>
      <w:r>
        <w:rPr>
          <w:rFonts w:ascii="Georgia" w:hAnsi="Georgia"/>
          <w:color w:val="333333"/>
          <w:lang w:val="en"/>
        </w:rPr>
        <w:t>utcomes. Among other things, Australia’s emissions may be higher or lower as a result of changes in the level of global action on climate change, the Australian legislative framework, economic growth, demographic factors and technology costs. The Review no</w:t>
      </w:r>
      <w:r>
        <w:rPr>
          <w:rFonts w:ascii="Georgia" w:hAnsi="Georgia"/>
          <w:color w:val="333333"/>
          <w:lang w:val="en"/>
        </w:rPr>
        <w:t>tes opportunities, risks and barriers to delivering emissions reductions projected in recent modelling and analysis. The Authority considers the four scenarios described earlier, alongside sensitivity analyses and alternative projections, to explore some i</w:t>
      </w:r>
      <w:r>
        <w:rPr>
          <w:rFonts w:ascii="Georgia" w:hAnsi="Georgia"/>
          <w:color w:val="333333"/>
          <w:lang w:val="en"/>
        </w:rPr>
        <w:t>mportant variables.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acknowledges that modelling presents possible future outcomes based on a particular set of assumptions. This analysis has also drawn on additional published sources and expert input to supplement modelling results and give</w:t>
      </w:r>
      <w:r>
        <w:rPr>
          <w:rFonts w:ascii="Georgia" w:hAnsi="Georgia"/>
          <w:color w:val="333333"/>
          <w:lang w:val="en"/>
        </w:rPr>
        <w:t xml:space="preserve"> a broader picture of potential futures. Appendix D explores opportunities for greater emissions reductions than those projected, as well as risks and barriers to </w:t>
      </w:r>
      <w:proofErr w:type="spellStart"/>
      <w:r>
        <w:rPr>
          <w:rFonts w:ascii="Georgia" w:hAnsi="Georgia"/>
          <w:color w:val="333333"/>
          <w:lang w:val="en"/>
        </w:rPr>
        <w:t>realising</w:t>
      </w:r>
      <w:proofErr w:type="spellEnd"/>
      <w:r>
        <w:rPr>
          <w:rFonts w:ascii="Georgia" w:hAnsi="Georgia"/>
          <w:color w:val="333333"/>
          <w:lang w:val="en"/>
        </w:rPr>
        <w:t xml:space="preserve"> the emissions outcomes projected by the modelling.</w:t>
      </w:r>
    </w:p>
    <w:p w:rsidR="00000000" w:rsidRDefault="004170B4">
      <w:pPr>
        <w:pStyle w:val="NormalWeb"/>
        <w:spacing w:line="300" w:lineRule="atLeast"/>
        <w:rPr>
          <w:rFonts w:ascii="Georgia" w:hAnsi="Georgia"/>
          <w:color w:val="333333"/>
          <w:lang w:val="en"/>
        </w:rPr>
      </w:pPr>
      <w:r>
        <w:rPr>
          <w:rFonts w:ascii="Georgia" w:hAnsi="Georgia"/>
          <w:color w:val="333333"/>
          <w:lang w:val="en"/>
        </w:rPr>
        <w:t>This Review provides a more deta</w:t>
      </w:r>
      <w:r>
        <w:rPr>
          <w:rFonts w:ascii="Georgia" w:hAnsi="Georgia"/>
          <w:color w:val="333333"/>
          <w:lang w:val="en"/>
        </w:rPr>
        <w:t xml:space="preserve">iled assessment of the outlook for the electricity and transport sectors than for other parts of the economy. In subsequent progress reviews, similarly detailed consideration of emissions from other sectors could be </w:t>
      </w:r>
      <w:r>
        <w:rPr>
          <w:rFonts w:ascii="Georgia" w:hAnsi="Georgia"/>
          <w:color w:val="333333"/>
          <w:lang w:val="en"/>
        </w:rPr>
        <w:lastRenderedPageBreak/>
        <w:t>undertaken, over time building an econom</w:t>
      </w:r>
      <w:r>
        <w:rPr>
          <w:rFonts w:ascii="Georgia" w:hAnsi="Georgia"/>
          <w:color w:val="333333"/>
          <w:lang w:val="en"/>
        </w:rPr>
        <w:t>y-wide picture of possible paths for reductions in emissions.</w:t>
      </w:r>
    </w:p>
    <w:p w:rsidR="00000000" w:rsidRDefault="004170B4">
      <w:pPr>
        <w:pStyle w:val="Heading3"/>
        <w:rPr>
          <w:rFonts w:eastAsia="Times New Roman"/>
          <w:color w:val="333333"/>
          <w:lang w:val="en"/>
        </w:rPr>
      </w:pPr>
      <w:r>
        <w:rPr>
          <w:rFonts w:eastAsia="Times New Roman"/>
          <w:color w:val="333333"/>
          <w:lang w:val="en"/>
        </w:rPr>
        <w:t xml:space="preserve">D1.8 Selecting contributors and drivers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Authority analyses progress in terms of contributors and drivers. </w:t>
      </w:r>
    </w:p>
    <w:p w:rsidR="00000000" w:rsidRDefault="004170B4">
      <w:pPr>
        <w:pStyle w:val="Heading4"/>
        <w:rPr>
          <w:rFonts w:eastAsia="Times New Roman"/>
          <w:color w:val="333333"/>
          <w:lang w:val="en"/>
        </w:rPr>
      </w:pPr>
      <w:r>
        <w:rPr>
          <w:rFonts w:eastAsia="Times New Roman"/>
          <w:color w:val="333333"/>
          <w:lang w:val="en"/>
        </w:rPr>
        <w:t>D1.8.1 Contributors</w:t>
      </w:r>
    </w:p>
    <w:p w:rsidR="00000000" w:rsidRDefault="004170B4">
      <w:pPr>
        <w:pStyle w:val="NormalWeb"/>
        <w:spacing w:line="300" w:lineRule="atLeast"/>
        <w:rPr>
          <w:rFonts w:ascii="Georgia" w:hAnsi="Georgia"/>
          <w:color w:val="333333"/>
          <w:lang w:val="en"/>
        </w:rPr>
      </w:pPr>
      <w:r>
        <w:rPr>
          <w:rFonts w:ascii="Georgia" w:hAnsi="Georgia"/>
          <w:color w:val="333333"/>
          <w:lang w:val="en"/>
        </w:rPr>
        <w:t>Contributors are changes that directly affect the emissions ou</w:t>
      </w:r>
      <w:r>
        <w:rPr>
          <w:rFonts w:ascii="Georgia" w:hAnsi="Georgia"/>
          <w:color w:val="333333"/>
          <w:lang w:val="en"/>
        </w:rPr>
        <w:t xml:space="preserve">tcomes. They may include factors that affect emissions intensity, such as changes in process, fuels or technology. Generally, a sector’s activity level will be a contributor to its emissions outcomes.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has focused on contributors to emissions</w:t>
      </w:r>
      <w:r>
        <w:rPr>
          <w:rFonts w:ascii="Georgia" w:hAnsi="Georgia"/>
          <w:color w:val="333333"/>
          <w:lang w:val="en"/>
        </w:rPr>
        <w:t xml:space="preserve"> outcomes that are:</w:t>
      </w:r>
    </w:p>
    <w:p w:rsidR="00000000" w:rsidRDefault="004170B4" w:rsidP="004170B4">
      <w:pPr>
        <w:numPr>
          <w:ilvl w:val="0"/>
          <w:numId w:val="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projected to deliver a significant proportion of Australia’s changes in emissions by 2050, whether at a point in time or in aggregate (nominally over 5 per cent of domestic emissions changes) </w:t>
      </w:r>
    </w:p>
    <w:p w:rsidR="00000000" w:rsidRDefault="004170B4" w:rsidP="004170B4">
      <w:pPr>
        <w:numPr>
          <w:ilvl w:val="0"/>
          <w:numId w:val="5"/>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among</w:t>
      </w:r>
      <w:proofErr w:type="gramEnd"/>
      <w:r>
        <w:rPr>
          <w:rFonts w:ascii="Georgia" w:eastAsia="Times New Roman" w:hAnsi="Georgia"/>
          <w:color w:val="333333"/>
          <w:lang w:val="en"/>
        </w:rPr>
        <w:t xml:space="preserve"> the top few contributors to emissions</w:t>
      </w:r>
      <w:r>
        <w:rPr>
          <w:rFonts w:ascii="Georgia" w:eastAsia="Times New Roman" w:hAnsi="Georgia"/>
          <w:color w:val="333333"/>
          <w:lang w:val="en"/>
        </w:rPr>
        <w:t xml:space="preserve"> reductions, at a point in time or in aggregate, in a sector.</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has also examined other contributors that:</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could be deployed broadly across the sector under plausible conditions</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are likely to lock in emissions reductions (or increases)</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have </w:t>
      </w:r>
      <w:r>
        <w:rPr>
          <w:rFonts w:ascii="Georgia" w:eastAsia="Times New Roman" w:hAnsi="Georgia"/>
          <w:color w:val="333333"/>
          <w:lang w:val="en"/>
        </w:rPr>
        <w:t>a relatively long lead time for deployment</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offer low-cost emissions reductions</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offer significant co-benefits (or disadvantages) outside of their potential emissions impacts</w:t>
      </w:r>
    </w:p>
    <w:p w:rsidR="00000000" w:rsidRDefault="004170B4" w:rsidP="004170B4">
      <w:pPr>
        <w:numPr>
          <w:ilvl w:val="0"/>
          <w:numId w:val="6"/>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are</w:t>
      </w:r>
      <w:proofErr w:type="gramEnd"/>
      <w:r>
        <w:rPr>
          <w:rFonts w:ascii="Georgia" w:eastAsia="Times New Roman" w:hAnsi="Georgia"/>
          <w:color w:val="333333"/>
          <w:lang w:val="en"/>
        </w:rPr>
        <w:t xml:space="preserve"> explicitly identified by sector experts for other reasons.</w:t>
      </w:r>
    </w:p>
    <w:p w:rsidR="00000000" w:rsidRDefault="004170B4">
      <w:pPr>
        <w:pStyle w:val="Heading4"/>
        <w:rPr>
          <w:rFonts w:eastAsia="Times New Roman"/>
          <w:color w:val="333333"/>
          <w:lang w:val="en"/>
        </w:rPr>
      </w:pPr>
      <w:r>
        <w:rPr>
          <w:rFonts w:eastAsia="Times New Roman"/>
          <w:color w:val="333333"/>
          <w:lang w:val="en"/>
        </w:rPr>
        <w:t>D1.8.2</w:t>
      </w:r>
      <w:r>
        <w:rPr>
          <w:rFonts w:eastAsia="Times New Roman"/>
          <w:color w:val="333333"/>
          <w:lang w:val="en"/>
        </w:rPr>
        <w:tab/>
        <w:t>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Drive</w:t>
      </w:r>
      <w:r>
        <w:rPr>
          <w:rFonts w:ascii="Georgia" w:hAnsi="Georgia"/>
          <w:color w:val="333333"/>
          <w:lang w:val="en"/>
        </w:rPr>
        <w:t xml:space="preserve">rs are the underlying factors that promote or impede contributors, but do not directly affect emissions outcomes. Drivers may include factors such the rate of growth in GNI, relative technology costs, population growth or policy.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underlying drivers ar</w:t>
      </w:r>
      <w:r>
        <w:rPr>
          <w:rFonts w:ascii="Georgia" w:hAnsi="Georgia"/>
          <w:color w:val="333333"/>
          <w:lang w:val="en"/>
        </w:rPr>
        <w:t>e identified to give a sense of the risks, uncertainties, barriers and opportunities to domestic emissions reduction and, therefore, Australia’s progress in meeting its emissions reduction goals.</w:t>
      </w:r>
    </w:p>
    <w:p w:rsidR="00000000" w:rsidRDefault="004170B4">
      <w:pPr>
        <w:pStyle w:val="Heading4"/>
        <w:rPr>
          <w:rFonts w:eastAsia="Times New Roman"/>
          <w:color w:val="333333"/>
          <w:lang w:val="en"/>
        </w:rPr>
      </w:pPr>
      <w:r>
        <w:rPr>
          <w:rFonts w:eastAsia="Times New Roman"/>
          <w:color w:val="333333"/>
          <w:lang w:val="en"/>
        </w:rPr>
        <w:t>D1.8.3</w:t>
      </w:r>
      <w:r>
        <w:rPr>
          <w:rFonts w:eastAsia="Times New Roman"/>
          <w:color w:val="333333"/>
          <w:lang w:val="en"/>
        </w:rPr>
        <w:tab/>
        <w:t>Illustrating progress</w:t>
      </w:r>
    </w:p>
    <w:p w:rsidR="00000000" w:rsidRDefault="004170B4">
      <w:pPr>
        <w:pStyle w:val="NormalWeb"/>
        <w:spacing w:line="300" w:lineRule="atLeast"/>
        <w:rPr>
          <w:rFonts w:ascii="Georgia" w:hAnsi="Georgia"/>
          <w:color w:val="333333"/>
          <w:lang w:val="en"/>
        </w:rPr>
      </w:pPr>
      <w:r>
        <w:rPr>
          <w:rFonts w:ascii="Georgia" w:hAnsi="Georgia"/>
          <w:color w:val="333333"/>
          <w:lang w:val="en"/>
        </w:rPr>
        <w:t>Appendix D introduces two style</w:t>
      </w:r>
      <w:r>
        <w:rPr>
          <w:rFonts w:ascii="Georgia" w:hAnsi="Georgia"/>
          <w:color w:val="333333"/>
          <w:lang w:val="en"/>
        </w:rPr>
        <w:t>s of charts to help describe Australia’s progress towards its emissions reduction goals.</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Australia’s emissions are, for the most part, </w:t>
      </w:r>
      <w:proofErr w:type="spellStart"/>
      <w:r>
        <w:rPr>
          <w:rFonts w:ascii="Georgia" w:hAnsi="Georgia"/>
          <w:color w:val="333333"/>
          <w:lang w:val="en"/>
        </w:rPr>
        <w:t>characterised</w:t>
      </w:r>
      <w:proofErr w:type="spellEnd"/>
      <w:r>
        <w:rPr>
          <w:rFonts w:ascii="Georgia" w:hAnsi="Georgia"/>
          <w:color w:val="333333"/>
          <w:lang w:val="en"/>
        </w:rPr>
        <w:t xml:space="preserve"> by decreases in emissions intensity offsetting increasing activity. The first chart (Figure D.1) shows chan</w:t>
      </w:r>
      <w:r>
        <w:rPr>
          <w:rFonts w:ascii="Georgia" w:hAnsi="Georgia"/>
          <w:color w:val="333333"/>
          <w:lang w:val="en"/>
        </w:rPr>
        <w:t>ges in emissions intensity against demand-side activity. This highlights whether increasing activity or decreasing supply intensity have the greatest effect on absolute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horizontal axis represents total activity levels in the relevant sector.</w:t>
      </w:r>
      <w:r>
        <w:rPr>
          <w:rFonts w:ascii="Georgia" w:hAnsi="Georgia"/>
          <w:color w:val="333333"/>
          <w:lang w:val="en"/>
        </w:rPr>
        <w:t xml:space="preserve"> Depending on the sector, activity may be, for example, electricity generated, energy combusted or </w:t>
      </w:r>
      <w:proofErr w:type="spellStart"/>
      <w:r>
        <w:rPr>
          <w:rFonts w:ascii="Georgia" w:hAnsi="Georgia"/>
          <w:color w:val="333333"/>
          <w:lang w:val="en"/>
        </w:rPr>
        <w:t>kilometres</w:t>
      </w:r>
      <w:proofErr w:type="spellEnd"/>
      <w:r>
        <w:rPr>
          <w:rFonts w:ascii="Georgia" w:hAnsi="Georgia"/>
          <w:color w:val="333333"/>
          <w:lang w:val="en"/>
        </w:rPr>
        <w:t xml:space="preserve"> travelled. The vertical axis represents the emissions per unit of activity. It is a measure of emissions intensity in the relevant sector. Curved </w:t>
      </w:r>
      <w:proofErr w:type="spellStart"/>
      <w:r>
        <w:rPr>
          <w:rFonts w:ascii="Georgia" w:hAnsi="Georgia"/>
          <w:color w:val="333333"/>
          <w:lang w:val="en"/>
        </w:rPr>
        <w:t>isolines</w:t>
      </w:r>
      <w:proofErr w:type="spellEnd"/>
      <w:r>
        <w:rPr>
          <w:rFonts w:ascii="Georgia" w:hAnsi="Georgia"/>
          <w:color w:val="333333"/>
          <w:lang w:val="en"/>
        </w:rPr>
        <w:t xml:space="preserve"> represent absolute emissions levels. The plot(s) on the chart are presented to show the historical and projected changes in activity, emissions intensity and absolute emissions. Date labels indicate the progression of emissions outcomes over time.</w:t>
      </w:r>
    </w:p>
    <w:p w:rsidR="00000000" w:rsidRDefault="004170B4">
      <w:pPr>
        <w:pStyle w:val="Heading2"/>
        <w:rPr>
          <w:rFonts w:eastAsia="Times New Roman"/>
          <w:color w:val="333333"/>
          <w:lang w:val="en"/>
        </w:rPr>
      </w:pPr>
      <w:r>
        <w:rPr>
          <w:rFonts w:eastAsia="Times New Roman"/>
          <w:color w:val="333333"/>
          <w:lang w:val="en"/>
        </w:rPr>
        <w:t>Figure D.1: Examples of trends in emissions intensity and activity</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707380" cy="2196465"/>
            <wp:effectExtent l="0" t="0" r="0" b="0"/>
            <wp:docPr id="1" name="Picture 1" descr="Figure D.1 is an example of figures showing trends in emissions intensity and activity. &#10;The horizontal axis represents total activity levels in the relevant sector. Depending on the sector activity may be, for example, electricity generated, energy combusted or kilometres travelled. The vertical axis represents the emissions per unit of activity. It is a measure of emissions intensity in the relevant sector. The plot(s) on the chart are presented to show the historical and projected changes in activity, emissions intensity and absolute emissions. Date labels indicate the progression of emissions outcomes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D.1 is an example of figures showing trends in emissions intensity and activity. &#10;The horizontal axis represents total activity levels in the relevant sector. Depending on the sector activity may be, for example, electricity generated, energy combusted or kilometres travelled. The vertical axis represents the emissions per unit of activity. It is a measure of emissions intensity in the relevant sector. The plot(s) on the chart are presented to show the historical and projected changes in activity, emissions intensity and absolute emissions. Date labels indicate the progression of emissions outcomes over time.&#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380" cy="219646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D.1 shows four plot examples:</w:t>
      </w:r>
    </w:p>
    <w:p w:rsidR="00000000" w:rsidRDefault="004170B4" w:rsidP="004170B4">
      <w:pPr>
        <w:numPr>
          <w:ilvl w:val="0"/>
          <w:numId w:val="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Plot A shows a trend of increasing emissions intensity and activity, with </w:t>
      </w:r>
      <w:r>
        <w:rPr>
          <w:rFonts w:ascii="Georgia" w:eastAsia="Times New Roman" w:hAnsi="Georgia"/>
          <w:color w:val="333333"/>
          <w:lang w:val="en"/>
        </w:rPr>
        <w:t>corresponding increasing absolute emissions levels.</w:t>
      </w:r>
    </w:p>
    <w:p w:rsidR="00000000" w:rsidRDefault="004170B4" w:rsidP="004170B4">
      <w:pPr>
        <w:numPr>
          <w:ilvl w:val="0"/>
          <w:numId w:val="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Plot B shows a trend of stable emissions intensity coupled with activity growth, leading to increasing levels of absolute emissions.</w:t>
      </w:r>
    </w:p>
    <w:p w:rsidR="00000000" w:rsidRDefault="004170B4" w:rsidP="004170B4">
      <w:pPr>
        <w:numPr>
          <w:ilvl w:val="0"/>
          <w:numId w:val="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Plot C shows a trend of falling emissions intensity balancing increasin</w:t>
      </w:r>
      <w:r>
        <w:rPr>
          <w:rFonts w:ascii="Georgia" w:eastAsia="Times New Roman" w:hAnsi="Georgia"/>
          <w:color w:val="333333"/>
          <w:lang w:val="en"/>
        </w:rPr>
        <w:t xml:space="preserve">g activity levels, leading to stable absolute emissions (following the emissions </w:t>
      </w:r>
      <w:proofErr w:type="spellStart"/>
      <w:r>
        <w:rPr>
          <w:rFonts w:ascii="Georgia" w:eastAsia="Times New Roman" w:hAnsi="Georgia"/>
          <w:color w:val="333333"/>
          <w:lang w:val="en"/>
        </w:rPr>
        <w:t>isoline</w:t>
      </w:r>
      <w:proofErr w:type="spellEnd"/>
      <w:r>
        <w:rPr>
          <w:rFonts w:ascii="Georgia" w:eastAsia="Times New Roman" w:hAnsi="Georgia"/>
          <w:color w:val="333333"/>
          <w:lang w:val="en"/>
        </w:rPr>
        <w:t>).</w:t>
      </w:r>
    </w:p>
    <w:p w:rsidR="00000000" w:rsidRDefault="004170B4" w:rsidP="004170B4">
      <w:pPr>
        <w:numPr>
          <w:ilvl w:val="0"/>
          <w:numId w:val="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Plot D shows a trend of falling emissions intensity against stable activity levels, leading to a reduction in absolute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second chart (Figure D.2) </w:t>
      </w:r>
      <w:proofErr w:type="spellStart"/>
      <w:r>
        <w:rPr>
          <w:rFonts w:ascii="Georgia" w:hAnsi="Georgia"/>
          <w:color w:val="333333"/>
          <w:lang w:val="en"/>
        </w:rPr>
        <w:t>summa</w:t>
      </w:r>
      <w:r>
        <w:rPr>
          <w:rFonts w:ascii="Georgia" w:hAnsi="Georgia"/>
          <w:color w:val="333333"/>
          <w:lang w:val="en"/>
        </w:rPr>
        <w:t>rises</w:t>
      </w:r>
      <w:proofErr w:type="spellEnd"/>
      <w:r>
        <w:rPr>
          <w:rFonts w:ascii="Georgia" w:hAnsi="Georgia"/>
          <w:color w:val="333333"/>
          <w:lang w:val="en"/>
        </w:rPr>
        <w:t xml:space="preserve"> projected emissions outcomes for a given year and the contributors to changes in emissions outcomes, relative to 2000 emissions levels.</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Read from left to right, the bars represent the increasing level of price incentive, from the no price scenario to</w:t>
      </w:r>
      <w:r>
        <w:rPr>
          <w:rFonts w:ascii="Georgia" w:hAnsi="Georgia"/>
          <w:color w:val="333333"/>
          <w:lang w:val="en"/>
        </w:rPr>
        <w:t xml:space="preserve"> the high scenario, for a given sector. </w:t>
      </w:r>
    </w:p>
    <w:p w:rsidR="00000000" w:rsidRDefault="004170B4">
      <w:pPr>
        <w:pStyle w:val="NormalWeb"/>
        <w:spacing w:line="300" w:lineRule="atLeast"/>
        <w:rPr>
          <w:rFonts w:ascii="Georgia" w:hAnsi="Georgia"/>
          <w:color w:val="333333"/>
          <w:lang w:val="en"/>
        </w:rPr>
      </w:pPr>
      <w:r>
        <w:rPr>
          <w:rFonts w:ascii="Georgia" w:hAnsi="Georgia"/>
          <w:color w:val="333333"/>
          <w:lang w:val="en"/>
        </w:rPr>
        <w:t>Each bar is divided into the main contributors to changes in emissions, whether increasing or decreasing emissions, compared to 2000 levels. These contributors may represent changes in activity levels, supply intens</w:t>
      </w:r>
      <w:r>
        <w:rPr>
          <w:rFonts w:ascii="Georgia" w:hAnsi="Georgia"/>
          <w:color w:val="333333"/>
          <w:lang w:val="en"/>
        </w:rPr>
        <w:t>ity, or the net contribution of a particular subsector or other area of interest.</w:t>
      </w:r>
    </w:p>
    <w:p w:rsidR="00000000" w:rsidRDefault="004170B4">
      <w:pPr>
        <w:pStyle w:val="NormalWeb"/>
        <w:spacing w:line="300" w:lineRule="atLeast"/>
        <w:rPr>
          <w:rFonts w:ascii="Georgia" w:hAnsi="Georgia"/>
          <w:color w:val="333333"/>
          <w:lang w:val="en"/>
        </w:rPr>
      </w:pPr>
      <w:r>
        <w:rPr>
          <w:rFonts w:ascii="Georgia" w:hAnsi="Georgia"/>
          <w:color w:val="333333"/>
          <w:lang w:val="en"/>
        </w:rPr>
        <w:t>The net change in emissions—that is, the sum of all the contributors—is represented by the red circles.</w:t>
      </w:r>
    </w:p>
    <w:p w:rsidR="00000000" w:rsidRDefault="004170B4">
      <w:pPr>
        <w:pStyle w:val="Heading2"/>
        <w:rPr>
          <w:rFonts w:eastAsia="Times New Roman"/>
          <w:color w:val="333333"/>
          <w:lang w:val="en"/>
        </w:rPr>
      </w:pPr>
      <w:r>
        <w:rPr>
          <w:rFonts w:eastAsia="Times New Roman"/>
          <w:color w:val="333333"/>
          <w:lang w:val="en"/>
        </w:rPr>
        <w:t xml:space="preserve">Figure D.2: Examples of trends in emissions intensity and </w:t>
      </w:r>
      <w:r>
        <w:rPr>
          <w:rFonts w:eastAsia="Times New Roman"/>
          <w:color w:val="333333"/>
          <w:lang w:val="en"/>
        </w:rPr>
        <w:t>activity,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728335" cy="2837815"/>
            <wp:effectExtent l="0" t="0" r="0" b="0"/>
            <wp:docPr id="2" name="Picture 2" descr="Figure D.2 is an example of figures showing trends in emissions intensity and activity. &#10;Read from left to right, the bars represent the increasing level of price incentive, from the ‘no price’ scenario to the ‘high’ scenario, for a given sector. &#10;Each bar is divided into the main contributors to changes in emissions, whether increasing or decreasing emissions, compared to 2000 levels. These contributors may represent changes in activity levels, supply intensity, or the net contribution of a particular subsector or other area of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D.2 is an example of figures showing trends in emissions intensity and activity. &#10;Read from left to right, the bars represent the increasing level of price incentive, from the ‘no price’ scenario to the ‘high’ scenario, for a given sector. &#10;Each bar is divided into the main contributors to changes in emissions, whether increasing or decreasing emissions, compared to 2000 levels. These contributors may represent changes in activity levels, supply intensity, or the net contribution of a particular subsector or other area of inte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335" cy="283781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w:t>
      </w:r>
    </w:p>
    <w:p w:rsidR="00000000" w:rsidRDefault="004170B4">
      <w:pPr>
        <w:pStyle w:val="Heading2"/>
        <w:rPr>
          <w:rFonts w:eastAsia="Times New Roman"/>
          <w:color w:val="333333"/>
          <w:lang w:val="en"/>
        </w:rPr>
      </w:pPr>
      <w:r>
        <w:rPr>
          <w:rFonts w:eastAsia="Times New Roman"/>
          <w:color w:val="333333"/>
          <w:lang w:val="en"/>
        </w:rPr>
        <w:t>Appendix D2 Whole-of-economy</w:t>
      </w:r>
    </w:p>
    <w:p w:rsidR="00000000" w:rsidRDefault="004170B4">
      <w:pPr>
        <w:pStyle w:val="Heading3"/>
        <w:rPr>
          <w:rFonts w:eastAsia="Times New Roman"/>
          <w:color w:val="333333"/>
          <w:lang w:val="en"/>
        </w:rPr>
      </w:pPr>
      <w:r>
        <w:rPr>
          <w:rFonts w:eastAsia="Times New Roman"/>
          <w:color w:val="333333"/>
          <w:lang w:val="en"/>
        </w:rPr>
        <w:t xml:space="preserve">D2.1 Indicators for the Australian economy </w:t>
      </w:r>
    </w:p>
    <w:p w:rsidR="00000000" w:rsidRDefault="004170B4">
      <w:pPr>
        <w:pStyle w:val="NormalWeb"/>
        <w:spacing w:line="300" w:lineRule="atLeast"/>
        <w:rPr>
          <w:rFonts w:ascii="Georgia" w:hAnsi="Georgia"/>
          <w:color w:val="333333"/>
          <w:lang w:val="en"/>
        </w:rPr>
      </w:pPr>
      <w:r>
        <w:rPr>
          <w:rFonts w:ascii="Georgia" w:hAnsi="Georgia"/>
          <w:color w:val="333333"/>
          <w:lang w:val="en"/>
        </w:rPr>
        <w:t>As described in Chapter 6, Australia’s domestic emissions have been relatively stable since 2000, despite significant populatio</w:t>
      </w:r>
      <w:r>
        <w:rPr>
          <w:rFonts w:ascii="Georgia" w:hAnsi="Georgia"/>
          <w:color w:val="333333"/>
          <w:lang w:val="en"/>
        </w:rPr>
        <w:t>n and economic growth.</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Since 2000, Australia’s emissions have increased by 2.5 per cent, driven by increases in emissions across most sectors. Emissions reductions from LULUCF have offset most of the increase from the remainder of the economy.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The Treasur</w:t>
      </w:r>
      <w:r>
        <w:rPr>
          <w:rFonts w:ascii="Georgia" w:hAnsi="Georgia"/>
          <w:color w:val="333333"/>
          <w:lang w:val="en"/>
        </w:rPr>
        <w:t>y and DIICCSRTE modelling projects that between 2000 and 2020 emissions could rise by 17 per cent in the no price scenario and fall by 6 per cent under the high scenario. The gap widens over time—by 2030, emissions could rise by 37 per cent in the no price</w:t>
      </w:r>
      <w:r>
        <w:rPr>
          <w:rFonts w:ascii="Georgia" w:hAnsi="Georgia"/>
          <w:color w:val="333333"/>
          <w:lang w:val="en"/>
        </w:rPr>
        <w:t xml:space="preserve"> scenario and fall by 21 per cent under the high scenario (see Figure D.3). The modelling indicates that the electricity sector will account for the largest emissions reduction of any sector in the low, medium and high scenarios, followed by the fugitives </w:t>
      </w:r>
      <w:r>
        <w:rPr>
          <w:rFonts w:ascii="Georgia" w:hAnsi="Georgia"/>
          <w:color w:val="333333"/>
          <w:lang w:val="en"/>
        </w:rPr>
        <w:t xml:space="preserve">sectors. </w:t>
      </w:r>
    </w:p>
    <w:p w:rsidR="00000000" w:rsidRDefault="004170B4">
      <w:pPr>
        <w:pStyle w:val="Heading2"/>
        <w:rPr>
          <w:rFonts w:eastAsia="Times New Roman"/>
          <w:color w:val="333333"/>
          <w:lang w:val="en"/>
        </w:rPr>
      </w:pPr>
      <w:r>
        <w:rPr>
          <w:rFonts w:eastAsia="Times New Roman"/>
          <w:color w:val="333333"/>
          <w:lang w:val="en"/>
        </w:rPr>
        <w:t>Figure D.3: Australia’s emissions,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780405" cy="2449195"/>
            <wp:effectExtent l="0" t="0" r="0" b="8255"/>
            <wp:docPr id="3" name="Picture 3" descr="Figure D.3 shows Australia’s historical and projected domestic emissions between 1990 and 2030 and sectoral contributions to emissions reductions opportunities under the low, medium and high scenarios in 2030. &#10;The line graph shows that Australia’s emissions in 1990 and 2012 were approximately 600 megatonnes of carbon dioxide equivalent. &#10;Figure D3 shows Australia’s projected emissions in 2020 increasing to 685 megatonnes of carbon dioxide equivalent in the no price scenario, 651 in the low scenario, 620 in the medium scenario and decreasing the 551 in the high scenario&#10;Figure D3 shows Australia’s projected emissions in 2030 increasing to 801 megatonnes of carbon dioxide equivalent in the no price scenario, 672 in the low scenario, 644 in the medium scenario and decreasing to 465 in the high scenario.&#10;The bar chart shows sectoral contributions to emissions reductions in the low, medium and high scenarios. In each scenario the largest emissions reductions come from electricity generation. Transport, fugitive and industrial process emissions fol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D.3 shows Australia’s historical and projected domestic emissions between 1990 and 2030 and sectoral contributions to emissions reductions opportunities under the low, medium and high scenarios in 2030. &#10;The line graph shows that Australia’s emissions in 1990 and 2012 were approximately 600 megatonnes of carbon dioxide equivalent. &#10;Figure D3 shows Australia’s projected emissions in 2020 increasing to 685 megatonnes of carbon dioxide equivalent in the no price scenario, 651 in the low scenario, 620 in the medium scenario and decreasing the 551 in the high scenario&#10;Figure D3 shows Australia’s projected emissions in 2030 increasing to 801 megatonnes of carbon dioxide equivalent in the no price scenario, 672 in the low scenario, 644 in the medium scenario and decreasing to 465 in the high scenario.&#10;The bar chart shows sectoral contributions to emissions reductions in the low, medium and high scenarios. In each scenario the largest emissions reductions come from electricity generation. Transport, fugitive and industrial process emissions follow.&#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44919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Emissions intensity of the economy, as indicated by the ratio of domestic emissions to GDP, has reduced 2</w:t>
      </w:r>
      <w:r>
        <w:rPr>
          <w:rFonts w:ascii="Georgia" w:hAnsi="Georgia"/>
          <w:color w:val="333333"/>
          <w:lang w:val="en"/>
        </w:rPr>
        <w:t>8 per cent since 2000 and is projected by the Treasury and DIICCSRTE, under all scenarios, to decline to 2030 (figures D.4 and D.5)</w:t>
      </w:r>
    </w:p>
    <w:p w:rsidR="00000000" w:rsidRDefault="004170B4">
      <w:pPr>
        <w:pStyle w:val="Heading2"/>
        <w:rPr>
          <w:rFonts w:eastAsia="Times New Roman"/>
          <w:color w:val="333333"/>
          <w:lang w:val="en"/>
        </w:rPr>
      </w:pPr>
      <w:r>
        <w:rPr>
          <w:rFonts w:eastAsia="Times New Roman"/>
          <w:color w:val="333333"/>
          <w:lang w:val="en"/>
        </w:rPr>
        <w:t>Figure D.4: Australia’s GDP per person, emissions per person and emissions intensity, 2000–2030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759450" cy="2133600"/>
            <wp:effectExtent l="0" t="0" r="0" b="0"/>
            <wp:docPr id="4" name="Picture 4" descr="Figure D.4 shows Australia’s historical and projected GDP per person, emissions per person and emissions intensity between 2000 and 2030, as a percentage of 2000 levels in the no price and high scenarios. &#10;Australia’s emissions per person and emissions intensity were 86 and 72 per cent of 2000 levels between 2000 and 2012 respectively, while GDP rose to 119 per cent of 2000 levels over the same period. Projected GDP per capita is 154 and 150 per cent of 2000 emissions in 2030 in the no price and high scenarios, respectively. Emissions per capita is projected to be 86 and 50 per cent of 2000 emissions in 2030 in the no price and high scenarios, respectively. Australia’s GDP per person is projected to be 56 and 33 per cent of 2000 emissions in the 2030 in the no price and high scenario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4 shows Australia’s historical and projected GDP per person, emissions per person and emissions intensity between 2000 and 2030, as a percentage of 2000 levels in the no price and high scenarios. &#10;Australia’s emissions per person and emissions intensity were 86 and 72 per cent of 2000 levels between 2000 and 2012 respectively, while GDP rose to 119 per cent of 2000 levels over the same period. Projected GDP per capita is 154 and 150 per cent of 2000 emissions in 2030 in the no price and high scenarios, respectively. Emissions per capita is projected to be 86 and 50 per cent of 2000 emissions in 2030 in the no price and high scenarios, respectively. Australia’s GDP per person is projected to be 56 and 33 per cent of 2000 emissions in the 2030 in the no price and high scenarios, respective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13360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w:t>
      </w:r>
      <w:r>
        <w:rPr>
          <w:rFonts w:ascii="Georgia" w:hAnsi="Georgia"/>
          <w:color w:val="333333"/>
          <w:lang w:val="en"/>
        </w:rPr>
        <w:t>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Similarly, the level of emissions per person has fallen by almost 15 per cent since 2000 and is projected to continue to decline in the low, medium and high scenarios; or, in the no price </w:t>
      </w:r>
      <w:r>
        <w:rPr>
          <w:rFonts w:ascii="Georgia" w:hAnsi="Georgia"/>
          <w:color w:val="333333"/>
          <w:lang w:val="en"/>
        </w:rPr>
        <w:t xml:space="preserve">scenario, to remain relatively stable (figures D.4 and D.6). In contrast, as shown in Figure D.4, GDP per person has grown since 2000 and is projected to continue to grow in all scenarios. </w:t>
      </w:r>
    </w:p>
    <w:p w:rsidR="00000000" w:rsidRDefault="004170B4">
      <w:pPr>
        <w:pStyle w:val="NormalWeb"/>
        <w:spacing w:line="300" w:lineRule="atLeast"/>
        <w:rPr>
          <w:rFonts w:ascii="Georgia" w:hAnsi="Georgia"/>
          <w:color w:val="333333"/>
          <w:lang w:val="en"/>
        </w:rPr>
      </w:pPr>
      <w:r>
        <w:rPr>
          <w:rFonts w:ascii="Georgia" w:hAnsi="Georgia"/>
          <w:color w:val="333333"/>
          <w:lang w:val="en"/>
        </w:rPr>
        <w:t>Strong global action on climate change and a broad-based price inc</w:t>
      </w:r>
      <w:r>
        <w:rPr>
          <w:rFonts w:ascii="Georgia" w:hAnsi="Georgia"/>
          <w:color w:val="333333"/>
          <w:lang w:val="en"/>
        </w:rPr>
        <w:t>entive for emissions reductions in Australia could have a relatively limited effect on GDP, depending on the policies implemented. From 2012 to 2030, the Treasury and DIICCSRTE’s modelling projects that the economy will grow by between about 65 per cent un</w:t>
      </w:r>
      <w:r>
        <w:rPr>
          <w:rFonts w:ascii="Georgia" w:hAnsi="Georgia"/>
          <w:color w:val="333333"/>
          <w:lang w:val="en"/>
        </w:rPr>
        <w:t>der a high scenario and 70 per cent under a no price scenario. In contrast, a strong price incentive for emissions reductions could have a substantial impact on the outlook for Australia’s emissions. Under the no price scenario, Australia’s emissions are p</w:t>
      </w:r>
      <w:r>
        <w:rPr>
          <w:rFonts w:ascii="Georgia" w:hAnsi="Georgia"/>
          <w:color w:val="333333"/>
          <w:lang w:val="en"/>
        </w:rPr>
        <w:t>rojected to rise by as much as 33 per cent relative to 2012 levels. Under the high scenario, however, emissions are projected to fall by about 23 per cent from 2012 to 2030.</w:t>
      </w:r>
    </w:p>
    <w:p w:rsidR="00000000" w:rsidRDefault="004170B4">
      <w:pPr>
        <w:pStyle w:val="NormalWeb"/>
        <w:spacing w:line="300" w:lineRule="atLeast"/>
        <w:rPr>
          <w:rFonts w:ascii="Georgia" w:hAnsi="Georgia"/>
          <w:color w:val="333333"/>
          <w:lang w:val="en"/>
        </w:rPr>
      </w:pPr>
      <w:r>
        <w:rPr>
          <w:rFonts w:ascii="Georgia" w:hAnsi="Georgia"/>
          <w:color w:val="333333"/>
          <w:lang w:val="en"/>
        </w:rPr>
        <w:t>Despite this, under the no price, low and medium scenarios it is projected that do</w:t>
      </w:r>
      <w:r>
        <w:rPr>
          <w:rFonts w:ascii="Georgia" w:hAnsi="Georgia"/>
          <w:color w:val="333333"/>
          <w:lang w:val="en"/>
        </w:rPr>
        <w:t xml:space="preserve">mestic emissions reductions will be insufficient for Australia to meet its 2020 target. The high scenario gets closest to cumulative emissions reductions consistent with Australia’s 2020 minimum 5 per cent emissions reduction commitment. </w:t>
      </w:r>
    </w:p>
    <w:p w:rsidR="00000000" w:rsidRDefault="004170B4">
      <w:pPr>
        <w:pStyle w:val="Heading2"/>
        <w:rPr>
          <w:rFonts w:eastAsia="Times New Roman"/>
          <w:color w:val="333333"/>
          <w:lang w:val="en"/>
        </w:rPr>
      </w:pPr>
      <w:r>
        <w:rPr>
          <w:rFonts w:eastAsia="Times New Roman"/>
          <w:color w:val="333333"/>
          <w:lang w:val="en"/>
        </w:rPr>
        <w:t>Figure D.5: Austr</w:t>
      </w:r>
      <w:r>
        <w:rPr>
          <w:rFonts w:eastAsia="Times New Roman"/>
          <w:color w:val="333333"/>
          <w:lang w:val="en"/>
        </w:rPr>
        <w:t>alia’s emissions intensity—emissions per unit GDP ($2012), 2000–2030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738495" cy="2175510"/>
            <wp:effectExtent l="0" t="0" r="0" b="0"/>
            <wp:docPr id="5" name="Picture 5" descr="Figure D.5 shows Australia’s historical and projected emissions intensity per unit of GDP between 2000 and 2030 in each scenario. &#10;Australia’s emissions intensity per unit of GDP fell between 2000 and 2012 and is predicted to continue falling across all scenarios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D.5 shows Australia’s historical and projected emissions intensity per unit of GDP between 2000 and 2030 in each scenario. &#10;Australia’s emissions intensity per unit of GDP fell between 2000 and 2012 and is predicted to continue falling across all scenarios to 20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495" cy="21755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Figure D.6: Australia’s emissions intensity—emissions and population, 2000–2030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738495" cy="2239010"/>
            <wp:effectExtent l="0" t="0" r="0" b="8890"/>
            <wp:docPr id="6" name="Picture 6" descr="Figure D.6 shows Australia’s historical and projected emissions intensity per person between 2000 and 2030 in each scenario. &#10;Australia’s emissions intensity per person fell between 2000 and 2012 and is projected to continue to decline to 2030 in all scenarios, except the no price scenario (which is projected to remain relatively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D.6 shows Australia’s historical and projected emissions intensity per person between 2000 and 2030 in each scenario. &#10;Australia’s emissions intensity per person fell between 2000 and 2012 and is projected to continue to decline to 2030 in all scenarios, except the no price scenario (which is projected to remain relatively stead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495" cy="22390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 calculations using results from Treasury and DIICCSRTE 2013</w:t>
      </w:r>
    </w:p>
    <w:p w:rsidR="00000000" w:rsidRDefault="004170B4">
      <w:pPr>
        <w:pStyle w:val="Heading3"/>
        <w:rPr>
          <w:rFonts w:eastAsia="Times New Roman"/>
          <w:color w:val="333333"/>
          <w:lang w:val="en"/>
        </w:rPr>
      </w:pPr>
      <w:r>
        <w:rPr>
          <w:rFonts w:eastAsia="Times New Roman"/>
          <w:color w:val="333333"/>
          <w:lang w:val="en"/>
        </w:rPr>
        <w:t xml:space="preserve">D2.2 Overview of </w:t>
      </w:r>
      <w:proofErr w:type="spellStart"/>
      <w:r>
        <w:rPr>
          <w:rFonts w:eastAsia="Times New Roman"/>
          <w:color w:val="333333"/>
          <w:lang w:val="en"/>
        </w:rPr>
        <w:t>sectoral</w:t>
      </w:r>
      <w:proofErr w:type="spellEnd"/>
      <w:r>
        <w:rPr>
          <w:rFonts w:eastAsia="Times New Roman"/>
          <w:color w:val="333333"/>
          <w:lang w:val="en"/>
        </w:rPr>
        <w:t xml:space="preserve"> progress</w:t>
      </w:r>
    </w:p>
    <w:p w:rsidR="00000000" w:rsidRDefault="004170B4">
      <w:pPr>
        <w:pStyle w:val="NormalWeb"/>
        <w:spacing w:line="300" w:lineRule="atLeast"/>
        <w:rPr>
          <w:rFonts w:ascii="Georgia" w:hAnsi="Georgia"/>
          <w:color w:val="333333"/>
          <w:lang w:val="en"/>
        </w:rPr>
      </w:pPr>
      <w:r>
        <w:rPr>
          <w:rFonts w:ascii="Georgia" w:hAnsi="Georgia"/>
          <w:color w:val="333333"/>
          <w:lang w:val="en"/>
        </w:rPr>
        <w:t>Electricity generation and direct combustion emissions are projected to continue to account for about half of Australia’s total emission</w:t>
      </w:r>
      <w:r>
        <w:rPr>
          <w:rFonts w:ascii="Georgia" w:hAnsi="Georgia"/>
          <w:color w:val="333333"/>
          <w:lang w:val="en"/>
        </w:rPr>
        <w:t xml:space="preserve">s over the period to 2030. Transport, fugitive and agricultural emissions are forecast to make up the majority of the remaining emissions.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The projected growth in direct combustion, fugitive and agricultural emissions is projected to offset reductions in </w:t>
      </w:r>
      <w:r>
        <w:rPr>
          <w:rFonts w:ascii="Georgia" w:hAnsi="Georgia"/>
          <w:color w:val="333333"/>
          <w:lang w:val="en"/>
        </w:rPr>
        <w:t xml:space="preserve">waste, industrial process and electricity emissions over the period to 2030 in all except the high scenario. </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D.7 shows that an emissions reduction of about 134 Mt CO</w:t>
      </w:r>
      <w:r>
        <w:rPr>
          <w:rFonts w:ascii="Georgia" w:hAnsi="Georgia"/>
          <w:color w:val="333333"/>
          <w:sz w:val="18"/>
          <w:szCs w:val="18"/>
          <w:vertAlign w:val="subscript"/>
          <w:lang w:val="en"/>
        </w:rPr>
        <w:t>2</w:t>
      </w:r>
      <w:r>
        <w:rPr>
          <w:rFonts w:ascii="Georgia" w:hAnsi="Georgia"/>
          <w:color w:val="333333"/>
          <w:lang w:val="en"/>
        </w:rPr>
        <w:t>-e could be achieved in 2020 under the high scenario compared to the no price scen</w:t>
      </w:r>
      <w:r>
        <w:rPr>
          <w:rFonts w:ascii="Georgia" w:hAnsi="Georgia"/>
          <w:color w:val="333333"/>
          <w:lang w:val="en"/>
        </w:rPr>
        <w:t>ario, which is broadly consistent with the minimum reduction required to deliver the unconditional 5 per cent target.</w:t>
      </w:r>
    </w:p>
    <w:p w:rsidR="00000000" w:rsidRDefault="004170B4">
      <w:pPr>
        <w:pStyle w:val="Heading2"/>
        <w:rPr>
          <w:rFonts w:eastAsia="Times New Roman"/>
          <w:color w:val="333333"/>
          <w:lang w:val="en"/>
        </w:rPr>
      </w:pPr>
      <w:r>
        <w:rPr>
          <w:rFonts w:eastAsia="Times New Roman"/>
          <w:color w:val="333333"/>
          <w:lang w:val="en"/>
        </w:rPr>
        <w:t>Figure D.7: Changes in Australia’s emissions—no price and high scenarios, 2012–2030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707380" cy="4057015"/>
            <wp:effectExtent l="0" t="0" r="0" b="0"/>
            <wp:docPr id="7" name="Picture 7" descr="Figure D.7 shows changes in Australia’s projected emissions by sector in the no price and high scenarios between 2012 and 2030. &#10;Emissions in the high scenario are projected to decrease by 49 megatonnes of carbon dioxide equivalent between 2012 and 2020, with the largest decrease in emissions coming from electricity generation and the largest increase from direct combustion emissions. In the no price scenario, emissions are projected to increase by 84 megatonnes of carbon dioxide equivalent between 2012 and 2020, with emissions increasing in all sectors, particularly direct combustion and fugitive emissions. In the high scenario emissions are projected to decrease by 75 megatonnes of carbon dioxide equivalent between 2021 and 2030, with the largest decrease coming from electricity generation amid increasing agriculture and direct combustion emissions. In the no price scenario emissions are projected to increase by 104 megatonnes of carbon dioxide equivalent between 2021 and 2030, with the largest increase coming from electricity gener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D.7 shows changes in Australia’s projected emissions by sector in the no price and high scenarios between 2012 and 2030. &#10;Emissions in the high scenario are projected to decrease by 49 megatonnes of carbon dioxide equivalent between 2012 and 2020, with the largest decrease in emissions coming from electricity generation and the largest increase from direct combustion emissions. In the no price scenario, emissions are projected to increase by 84 megatonnes of carbon dioxide equivalent between 2012 and 2020, with emissions increasing in all sectors, particularly direct combustion and fugitive emissions. In the high scenario emissions are projected to decrease by 75 megatonnes of carbon dioxide equivalent between 2021 and 2030, with the largest decrease coming from electricity generation amid increasing agriculture and direct combustion emissions. In the no price scenario emissions are projected to increase by 104 megatonnes of carbon dioxide equivalent between 2021 and 2030, with the largest increase coming from electricity generation.&#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7380" cy="405701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 xml:space="preserve">Climate </w:t>
      </w:r>
      <w:r>
        <w:rPr>
          <w:rFonts w:ascii="Georgia" w:hAnsi="Georgia"/>
          <w:color w:val="333333"/>
          <w:lang w:val="en"/>
        </w:rPr>
        <w:t>Change Authority calculations using results from Treasury and DIICCSRTE 2013</w:t>
      </w:r>
    </w:p>
    <w:p w:rsidR="00000000" w:rsidRDefault="004170B4">
      <w:pPr>
        <w:pStyle w:val="Heading3"/>
        <w:rPr>
          <w:rFonts w:eastAsia="Times New Roman"/>
          <w:color w:val="333333"/>
          <w:lang w:val="en"/>
        </w:rPr>
      </w:pPr>
      <w:r>
        <w:rPr>
          <w:rFonts w:eastAsia="Times New Roman"/>
          <w:color w:val="333333"/>
          <w:lang w:val="en"/>
        </w:rPr>
        <w:t xml:space="preserve">D2.3 </w:t>
      </w:r>
      <w:proofErr w:type="spellStart"/>
      <w:r>
        <w:rPr>
          <w:rFonts w:eastAsia="Times New Roman"/>
          <w:color w:val="333333"/>
          <w:lang w:val="en"/>
        </w:rPr>
        <w:t>Sectoral</w:t>
      </w:r>
      <w:proofErr w:type="spellEnd"/>
      <w:r>
        <w:rPr>
          <w:rFonts w:eastAsia="Times New Roman"/>
          <w:color w:val="333333"/>
          <w:lang w:val="en"/>
        </w:rPr>
        <w:t xml:space="preserve"> contributions to emissions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State and Commonwealth regulation has been a major driver of emissions reductions. An 85 per cent reduction in LULUCF emissions, largely </w:t>
      </w:r>
      <w:r>
        <w:rPr>
          <w:rFonts w:ascii="Georgia" w:hAnsi="Georgia"/>
          <w:color w:val="333333"/>
          <w:lang w:val="en"/>
        </w:rPr>
        <w:t xml:space="preserve">due to economic conditions and regulatory restrictions on land clearing, was a key reason why </w:t>
      </w:r>
      <w:r>
        <w:rPr>
          <w:rFonts w:ascii="Georgia" w:hAnsi="Georgia"/>
          <w:color w:val="333333"/>
          <w:lang w:val="en"/>
        </w:rPr>
        <w:lastRenderedPageBreak/>
        <w:t xml:space="preserve">Australia’s whole-of-economy emissions were relatively flat between 1990 and 2012. The Treasury and DIICCSRTE modelling does not project similar improvements for </w:t>
      </w:r>
      <w:r>
        <w:rPr>
          <w:rFonts w:ascii="Georgia" w:hAnsi="Georgia"/>
          <w:color w:val="333333"/>
          <w:lang w:val="en"/>
        </w:rPr>
        <w:t>this sector in future.</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Electricity is the most significant </w:t>
      </w:r>
      <w:proofErr w:type="spellStart"/>
      <w:r>
        <w:rPr>
          <w:rFonts w:ascii="Georgia" w:hAnsi="Georgia"/>
          <w:color w:val="333333"/>
          <w:lang w:val="en"/>
        </w:rPr>
        <w:t>sectoral</w:t>
      </w:r>
      <w:proofErr w:type="spellEnd"/>
      <w:r>
        <w:rPr>
          <w:rFonts w:ascii="Georgia" w:hAnsi="Georgia"/>
          <w:color w:val="333333"/>
          <w:lang w:val="en"/>
        </w:rPr>
        <w:t xml:space="preserve"> contributor to emissions. Emissions from electricity generation grew quickly until 2009, when they started to decline. Since then, reduced demand for grid-connected electricity, combined w</w:t>
      </w:r>
      <w:r>
        <w:rPr>
          <w:rFonts w:ascii="Georgia" w:hAnsi="Georgia"/>
          <w:color w:val="333333"/>
          <w:lang w:val="en"/>
        </w:rPr>
        <w:t xml:space="preserve">ith lower emissions generation, has driven down emissions.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Under the low, medium and high scenarios, reductions in Australia’s emissions intensity between 2012 and 2030 are more distributed across the economy than in the past. These </w:t>
      </w:r>
      <w:proofErr w:type="spellStart"/>
      <w:r>
        <w:rPr>
          <w:rFonts w:ascii="Georgia" w:hAnsi="Georgia"/>
          <w:color w:val="333333"/>
          <w:lang w:val="en"/>
        </w:rPr>
        <w:t>sectoral</w:t>
      </w:r>
      <w:proofErr w:type="spellEnd"/>
      <w:r>
        <w:rPr>
          <w:rFonts w:ascii="Georgia" w:hAnsi="Georgia"/>
          <w:color w:val="333333"/>
          <w:lang w:val="en"/>
        </w:rPr>
        <w:t xml:space="preserve"> changes are s</w:t>
      </w:r>
      <w:r>
        <w:rPr>
          <w:rFonts w:ascii="Georgia" w:hAnsi="Georgia"/>
          <w:color w:val="333333"/>
          <w:lang w:val="en"/>
        </w:rPr>
        <w:t>hown in Figure D.8.</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Electricity</w:t>
      </w:r>
      <w:r>
        <w:rPr>
          <w:rFonts w:ascii="Georgia" w:eastAsia="Times New Roman" w:hAnsi="Georgia"/>
          <w:color w:val="333333"/>
          <w:lang w:val="en"/>
        </w:rPr>
        <w:t>—emissions under the high scenario are projected to decline to 2030, driven by lower demand growth, energy efficiency and a shift towards lower emissions intensity generation. The outlook under the low scenario and no price s</w:t>
      </w:r>
      <w:r>
        <w:rPr>
          <w:rFonts w:ascii="Georgia" w:eastAsia="Times New Roman" w:hAnsi="Georgia"/>
          <w:color w:val="333333"/>
          <w:lang w:val="en"/>
        </w:rPr>
        <w:t>cenario is for emissions to rise by between 5 and 23 per cent between 2012 and 2030.</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Transport</w:t>
      </w:r>
      <w:r>
        <w:rPr>
          <w:rFonts w:ascii="Georgia" w:eastAsia="Times New Roman" w:hAnsi="Georgia"/>
          <w:color w:val="333333"/>
          <w:lang w:val="en"/>
        </w:rPr>
        <w:t>—demand is expected to continue to grow, driven by strong growth in road freight and domestic aviation. Modest growth is projected in light passenger vehicle emis</w:t>
      </w:r>
      <w:r>
        <w:rPr>
          <w:rFonts w:ascii="Georgia" w:eastAsia="Times New Roman" w:hAnsi="Georgia"/>
          <w:color w:val="333333"/>
          <w:lang w:val="en"/>
        </w:rPr>
        <w:t xml:space="preserve">sions, which are the largest contributor to transport emissions. Increasing use of low-emissions fuels and vehicle efficiency improvements are projected to partially offset activity increases to 2030. </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Direct combustion and fugitive emissions</w:t>
      </w:r>
      <w:r>
        <w:rPr>
          <w:rFonts w:ascii="Georgia" w:eastAsia="Times New Roman" w:hAnsi="Georgia"/>
          <w:color w:val="333333"/>
          <w:lang w:val="en"/>
        </w:rPr>
        <w:t xml:space="preserve">—projected to </w:t>
      </w:r>
      <w:r>
        <w:rPr>
          <w:rFonts w:ascii="Georgia" w:eastAsia="Times New Roman" w:hAnsi="Georgia"/>
          <w:color w:val="333333"/>
          <w:lang w:val="en"/>
        </w:rPr>
        <w:t>increase to 2030, particularly because of greater gas production driven by foreign demand for Australian LNG and coal. Growth in these sectors could drive most of the net growth in domestic emissions to 2030 under the low scenario; more than offset the net</w:t>
      </w:r>
      <w:r>
        <w:rPr>
          <w:rFonts w:ascii="Georgia" w:eastAsia="Times New Roman" w:hAnsi="Georgia"/>
          <w:color w:val="333333"/>
          <w:lang w:val="en"/>
        </w:rPr>
        <w:t xml:space="preserve"> reductions from the rest of the economy under the medium scenario; or significantly offset the net emissions reduction under the high scenario.</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Industrial processes</w:t>
      </w:r>
      <w:r>
        <w:rPr>
          <w:rFonts w:ascii="Georgia" w:eastAsia="Times New Roman" w:hAnsi="Georgia"/>
          <w:color w:val="333333"/>
          <w:lang w:val="en"/>
        </w:rPr>
        <w:t>—under the low, medium and high scenarios, industrial process emissions are projected to fa</w:t>
      </w:r>
      <w:r>
        <w:rPr>
          <w:rFonts w:ascii="Georgia" w:eastAsia="Times New Roman" w:hAnsi="Georgia"/>
          <w:color w:val="333333"/>
          <w:lang w:val="en"/>
        </w:rPr>
        <w:t>ll by between 25 and 66 per cent from 2012 to 2030, largely due to the deployment of nitrous oxide conversion catalysts, which improve emissions intensity. Under the no price scenario, industrial process emissions are projected to rise by about 40 per cent</w:t>
      </w:r>
      <w:r>
        <w:rPr>
          <w:rFonts w:ascii="Georgia" w:eastAsia="Times New Roman" w:hAnsi="Georgia"/>
          <w:color w:val="333333"/>
          <w:lang w:val="en"/>
        </w:rPr>
        <w:t xml:space="preserve"> above 2012 levels by 2030.</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Agriculture and LULUCF</w:t>
      </w:r>
      <w:r>
        <w:rPr>
          <w:rFonts w:ascii="Georgia" w:eastAsia="Times New Roman" w:hAnsi="Georgia"/>
          <w:color w:val="333333"/>
          <w:lang w:val="en"/>
        </w:rPr>
        <w:t>—increasing export demand for Australian agricultural commodities is projected to drive an increase in emissions from agriculture. Projected emissions from LULUCF depend on the level of incentive for emissi</w:t>
      </w:r>
      <w:r>
        <w:rPr>
          <w:rFonts w:ascii="Georgia" w:eastAsia="Times New Roman" w:hAnsi="Georgia"/>
          <w:color w:val="333333"/>
          <w:lang w:val="en"/>
        </w:rPr>
        <w:t xml:space="preserve">ons reductions. </w:t>
      </w:r>
    </w:p>
    <w:p w:rsidR="00000000" w:rsidRDefault="004170B4" w:rsidP="004170B4">
      <w:pPr>
        <w:numPr>
          <w:ilvl w:val="0"/>
          <w:numId w:val="8"/>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Waste</w:t>
      </w:r>
      <w:r>
        <w:rPr>
          <w:rFonts w:ascii="Georgia" w:eastAsia="Times New Roman" w:hAnsi="Georgia"/>
          <w:color w:val="333333"/>
          <w:lang w:val="en"/>
        </w:rPr>
        <w:t xml:space="preserve">—emissions, in all scenarios, are projected to fall through improved waste management; specifically, landfill gas capture and combustion (whether flared or used to generate electricity). </w:t>
      </w:r>
    </w:p>
    <w:p w:rsidR="00000000" w:rsidRDefault="004170B4">
      <w:pPr>
        <w:pStyle w:val="Heading2"/>
        <w:rPr>
          <w:rFonts w:eastAsia="Times New Roman"/>
          <w:color w:val="333333"/>
          <w:lang w:val="en"/>
        </w:rPr>
      </w:pPr>
      <w:r>
        <w:rPr>
          <w:rFonts w:eastAsia="Times New Roman"/>
          <w:color w:val="333333"/>
          <w:lang w:val="en"/>
        </w:rPr>
        <w:lastRenderedPageBreak/>
        <w:t xml:space="preserve">Figure D.8: Australia’s domestic emissions by </w:t>
      </w:r>
      <w:r>
        <w:rPr>
          <w:rFonts w:eastAsia="Times New Roman"/>
          <w:color w:val="333333"/>
          <w:lang w:val="en"/>
        </w:rPr>
        <w:t>sector,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17565" cy="2595880"/>
            <wp:effectExtent l="0" t="0" r="0" b="0"/>
            <wp:docPr id="8" name="Picture 8" descr="Figure D.8 shows Australia’s historical and projected emissions by sector between 1990 and 2030.&#10;Australia’s emissions between 1990 and 2012 remained relatively steady, with a decrease in LULUCF and an increase in electricity generation emissions. &#10;In 2020, emissions are expected to be around 700 megatonnes of carbon dioxide equivalent in the no price scenario, 650 in the low scenario, 620 in the medium scenario and 550 in the high scenario. In each scenario electricity generation is projected to account for the largest share of Australia’s emissions, followed by direct combustion and fugitive emissions.&#10;In 2030, emissions are expected to be around 800 megatonnes of carbon dioxide equivalent in the no price scenario, 670 in the low scenario, 644 in the medium scenario and 465 in the high scenario. Electricity generation is projected to account for the largest share of Australia’s emissions in each scenario, except the high scenario where agriculture and direct combustion emissions are around equal larg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D.8 shows Australia’s historical and projected emissions by sector between 1990 and 2030.&#10;Australia’s emissions between 1990 and 2012 remained relatively steady, with a decrease in LULUCF and an increase in electricity generation emissions. &#10;In 2020, emissions are expected to be around 700 megatonnes of carbon dioxide equivalent in the no price scenario, 650 in the low scenario, 620 in the medium scenario and 550 in the high scenario. In each scenario electricity generation is projected to account for the largest share of Australia’s emissions, followed by direct combustion and fugitive emissions.&#10;In 2030, emissions are expected to be around 800 megatonnes of carbon dioxide equivalent in the no price scenario, 670 in the low scenario, 644 in the medium scenario and 465 in the high scenario. Electricity generation is projected to account for the largest share of Australia’s emissions in each scenario, except the high scenario where agriculture and direct combustion emissions are around equal larges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7565" cy="259588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Appendix D3 Electricity</w:t>
      </w:r>
    </w:p>
    <w:p w:rsidR="00000000" w:rsidRDefault="004170B4">
      <w:pPr>
        <w:pStyle w:val="Heading3"/>
        <w:rPr>
          <w:rFonts w:eastAsia="Times New Roman"/>
          <w:color w:val="333333"/>
          <w:lang w:val="en"/>
        </w:rPr>
      </w:pPr>
      <w:r>
        <w:rPr>
          <w:rFonts w:eastAsia="Times New Roman"/>
          <w:color w:val="333333"/>
          <w:lang w:val="en"/>
        </w:rPr>
        <w:t>D3.1 Electricity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Generating electricity using fossil fuels, </w:t>
      </w:r>
      <w:r>
        <w:rPr>
          <w:rFonts w:ascii="Georgia" w:hAnsi="Georgia"/>
          <w:color w:val="333333"/>
          <w:lang w:val="en"/>
        </w:rPr>
        <w:t xml:space="preserve">such as coal, natural gas and liquid fuels, results in greenhouse gas emissions. This section examines electricity generation supplying electricity grids; for example, the NEM, and electricity generation for private use (‘off-grid’). </w:t>
      </w:r>
    </w:p>
    <w:p w:rsidR="00000000" w:rsidRDefault="004170B4">
      <w:pPr>
        <w:pStyle w:val="NormalWeb"/>
        <w:spacing w:line="300" w:lineRule="atLeast"/>
        <w:rPr>
          <w:rFonts w:ascii="Georgia" w:hAnsi="Georgia"/>
          <w:color w:val="333333"/>
          <w:lang w:val="en"/>
        </w:rPr>
      </w:pPr>
      <w:r>
        <w:rPr>
          <w:rFonts w:ascii="Georgia" w:hAnsi="Georgia"/>
          <w:color w:val="333333"/>
          <w:lang w:val="en"/>
        </w:rPr>
        <w:t>Electricity generatio</w:t>
      </w:r>
      <w:r>
        <w:rPr>
          <w:rFonts w:ascii="Georgia" w:hAnsi="Georgia"/>
          <w:color w:val="333333"/>
          <w:lang w:val="en"/>
        </w:rPr>
        <w:t xml:space="preserve">n produced 33 per cent of national emissions in 2012—the largest </w:t>
      </w:r>
      <w:proofErr w:type="spellStart"/>
      <w:r>
        <w:rPr>
          <w:rFonts w:ascii="Georgia" w:hAnsi="Georgia"/>
          <w:color w:val="333333"/>
          <w:lang w:val="en"/>
        </w:rPr>
        <w:t>sectoral</w:t>
      </w:r>
      <w:proofErr w:type="spellEnd"/>
      <w:r>
        <w:rPr>
          <w:rFonts w:ascii="Georgia" w:hAnsi="Georgia"/>
          <w:color w:val="333333"/>
          <w:lang w:val="en"/>
        </w:rPr>
        <w:t xml:space="preserve"> share (Figure D.9). Electricity generation is projected to remain the largest </w:t>
      </w:r>
      <w:proofErr w:type="spellStart"/>
      <w:r>
        <w:rPr>
          <w:rFonts w:ascii="Georgia" w:hAnsi="Georgia"/>
          <w:color w:val="333333"/>
          <w:lang w:val="en"/>
        </w:rPr>
        <w:t>sectoral</w:t>
      </w:r>
      <w:proofErr w:type="spellEnd"/>
      <w:r>
        <w:rPr>
          <w:rFonts w:ascii="Georgia" w:hAnsi="Georgia"/>
          <w:color w:val="333333"/>
          <w:lang w:val="en"/>
        </w:rPr>
        <w:t xml:space="preserve"> emitter until at least 2030, except in the high scenario. It is also projected to be the larges</w:t>
      </w:r>
      <w:r>
        <w:rPr>
          <w:rFonts w:ascii="Georgia" w:hAnsi="Georgia"/>
          <w:color w:val="333333"/>
          <w:lang w:val="en"/>
        </w:rPr>
        <w:t xml:space="preserve">t </w:t>
      </w:r>
      <w:proofErr w:type="spellStart"/>
      <w:r>
        <w:rPr>
          <w:rFonts w:ascii="Georgia" w:hAnsi="Georgia"/>
          <w:color w:val="333333"/>
          <w:lang w:val="en"/>
        </w:rPr>
        <w:t>sectoral</w:t>
      </w:r>
      <w:proofErr w:type="spellEnd"/>
      <w:r>
        <w:rPr>
          <w:rFonts w:ascii="Georgia" w:hAnsi="Georgia"/>
          <w:color w:val="333333"/>
          <w:lang w:val="en"/>
        </w:rPr>
        <w:t xml:space="preserve"> contributor to emissions reductions in the low, medium and high scenarios.</w:t>
      </w:r>
    </w:p>
    <w:p w:rsidR="00000000" w:rsidRDefault="004170B4">
      <w:pPr>
        <w:pStyle w:val="Heading2"/>
        <w:rPr>
          <w:rFonts w:eastAsia="Times New Roman"/>
          <w:color w:val="333333"/>
          <w:lang w:val="en"/>
        </w:rPr>
      </w:pPr>
      <w:r>
        <w:rPr>
          <w:rFonts w:eastAsia="Times New Roman"/>
          <w:color w:val="333333"/>
          <w:lang w:val="en"/>
        </w:rPr>
        <w:t xml:space="preserve">Figure D.9: Electricity generation sector share of Australia’s emissions, selected years, 1990–2030 </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522220"/>
            <wp:effectExtent l="0" t="0" r="0" b="0"/>
            <wp:docPr id="9" name="Picture 9" descr="Figure D.9 shows the historical and projected share of electricity generation emissions between 1990 and 2030. &#10;Electricity generation emissions increased from 130 to 198 megatonnes of carbon dioxide equivalent in 1990 and 2012 respectively. In 2020, electricity generation emissions are projected to be 201 megatonnes of carbon dioxide equivalent in the no price scenario, 192 in the low scenario, 185 in the medium scenario and 142 megatonnes of carbon dioxide equivalent in the high scenario. &#10;In 2030, electricity generation emissions are projected to be 243 megatonnes of carbon dioxide equivalent in the no price scenario, 207 in the low scenario, 192 in the medium scenario and 70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D.9 shows the historical and projected share of electricity generation emissions between 1990 and 2030. &#10;Electricity generation emissions increased from 130 to 198 megatonnes of carbon dioxide equivalent in 1990 and 2012 respectively. In 2020, electricity generation emissions are projected to be 201 megatonnes of carbon dioxide equivalent in the no price scenario, 192 in the low scenario, 185 in the medium scenario and 142 megatonnes of carbon dioxide equivalent in the high scenario. &#10;In 2030, electricity generation emissions are projected to be 243 megatonnes of carbon dioxide equivalent in the no price scenario, 207 in the low scenario, 192 in the medium scenario and 70 in the high scenario.&#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770" cy="252222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 calculations using results from T</w:t>
      </w:r>
      <w:r>
        <w:rPr>
          <w:rFonts w:ascii="Georgia" w:hAnsi="Georgia"/>
          <w:color w:val="333333"/>
          <w:lang w:val="en"/>
        </w:rPr>
        <w: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After decades of growth, levels of electricity generation have been relatively stable since 2008. Since then, emissions have declined by an average of almost 1 per cent each year to 2012. The Australian Energy Market Operator (AE</w:t>
      </w:r>
      <w:r>
        <w:rPr>
          <w:rFonts w:ascii="Georgia" w:hAnsi="Georgia"/>
          <w:color w:val="333333"/>
          <w:lang w:val="en"/>
        </w:rPr>
        <w:t xml:space="preserve">MO 2013a) and Treasury and DIICCSRTE (2013) project that electricity demand will start growing again to 2020 and continue to rise after that (Figure D.10). </w:t>
      </w:r>
    </w:p>
    <w:p w:rsidR="00000000" w:rsidRDefault="004170B4">
      <w:pPr>
        <w:pStyle w:val="NormalWeb"/>
        <w:spacing w:line="300" w:lineRule="atLeast"/>
        <w:rPr>
          <w:rFonts w:ascii="Georgia" w:hAnsi="Georgia"/>
          <w:color w:val="333333"/>
          <w:lang w:val="en"/>
        </w:rPr>
      </w:pPr>
      <w:r>
        <w:rPr>
          <w:rFonts w:ascii="Georgia" w:hAnsi="Georgia"/>
          <w:color w:val="333333"/>
          <w:lang w:val="en"/>
        </w:rPr>
        <w:t>Along with lower demand, the recent emissions decline was also due to a marked downturn in emission</w:t>
      </w:r>
      <w:r>
        <w:rPr>
          <w:rFonts w:ascii="Georgia" w:hAnsi="Georgia"/>
          <w:color w:val="333333"/>
          <w:lang w:val="en"/>
        </w:rPr>
        <w:t>s intensity of electricity supply (BREE 2013b; Treasury and DIICCSRTE 2013). ACIL Allen Consulting (2013) projects that this trend may continue in the low, medium and high scenarios, but could stall from 2020 in the no price scenario (Figure D.11).</w:t>
      </w:r>
    </w:p>
    <w:p w:rsidR="00000000" w:rsidRDefault="004170B4">
      <w:pPr>
        <w:pStyle w:val="Heading2"/>
        <w:rPr>
          <w:rFonts w:eastAsia="Times New Roman"/>
          <w:color w:val="333333"/>
          <w:lang w:val="en"/>
        </w:rPr>
      </w:pPr>
      <w:r>
        <w:rPr>
          <w:rFonts w:eastAsia="Times New Roman"/>
          <w:color w:val="333333"/>
          <w:lang w:val="en"/>
        </w:rPr>
        <w:t xml:space="preserve">Figure </w:t>
      </w:r>
      <w:r>
        <w:rPr>
          <w:rFonts w:eastAsia="Times New Roman"/>
          <w:color w:val="333333"/>
          <w:lang w:val="en"/>
        </w:rPr>
        <w:t>D.10: Electricity generation activity and emissions intensity of electricity supply—modelled range, 1990–2050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186305"/>
            <wp:effectExtent l="0" t="0" r="0" b="4445"/>
            <wp:docPr id="10" name="Picture 10" descr="Figure D.10 shows historical and projected electricity generation activity and the emissions intensity of electricity supply between 1990 and 2050. &#10;Between 1990 and 2012 activity rose from 155 to 248 terawatt hours and is projected to increase to between 378 and 492 terawatt hours in 2050. Between 1990 and 2012 the emissions intensity of electricity supply stayed around 0.8 tonnes of carbon dioxide equivalent per megawatt hour and is projected to improve to between 0.1 and 0.7 tonnes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D.10 shows historical and projected electricity generation activity and the emissions intensity of electricity supply between 1990 and 2050. &#10;Between 1990 and 2012 activity rose from 155 to 248 terawatt hours and is projected to increase to between 378 and 492 terawatt hours in 2050. Between 1990 and 2012 the emissions intensity of electricity supply stayed around 0.8 tonnes of carbon dioxide equivalent per megawatt hour and is projected to improve to between 0.1 and 0.7 tonnes in 20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770" cy="218630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Upper and lower line bounds illustrate range of modelled outcomes. Electricity generation activity is ‘as generated’.</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w:t>
      </w:r>
      <w:r>
        <w:rPr>
          <w:rFonts w:ascii="Georgia" w:hAnsi="Georgia"/>
          <w:color w:val="333333"/>
          <w:lang w:val="en"/>
        </w:rPr>
        <w:t>Climate Change Authority calculations using BREE 2013b and results from Treasury and DIICCSRTE 2013</w:t>
      </w:r>
    </w:p>
    <w:p w:rsidR="00000000" w:rsidRDefault="004170B4">
      <w:pPr>
        <w:pStyle w:val="Heading2"/>
        <w:rPr>
          <w:rFonts w:eastAsia="Times New Roman"/>
          <w:color w:val="333333"/>
          <w:lang w:val="en"/>
        </w:rPr>
      </w:pPr>
      <w:r>
        <w:rPr>
          <w:rFonts w:eastAsia="Times New Roman"/>
          <w:color w:val="333333"/>
          <w:lang w:val="en"/>
        </w:rPr>
        <w:t xml:space="preserve">Figure D.11: Electricity generation activity and emissions intensity—four scenarios, 1990–2050 </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896610" cy="2774950"/>
            <wp:effectExtent l="0" t="0" r="0" b="6350"/>
            <wp:docPr id="11" name="Picture 11" descr="Figure D.11 shows historical and projected electricity generation activity and the emissions intensity of electricity supply across four scenarios between 1990 and 2050. &#10;Between 1990 and 2012 activity increased while the emissions intensity of the electricity supply remained relatively steady. Activity is projected to continue increasing to 2050 across all scenarios while the emissions intensity of electricity supply is projected to continue decreasing to 2050 in all scenarios except the no price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D.11 shows historical and projected electricity generation activity and the emissions intensity of electricity supply across four scenarios between 1990 and 2050. &#10;Between 1990 and 2012 activity increased while the emissions intensity of the electricity supply remained relatively steady. Activity is projected to continue increasing to 2050 across all scenarios while the emissions intensity of electricity supply is projected to continue decreasing to 2050 in all scenarios except the no price scenar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6610" cy="277495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Electricity generation activity is ‘as generated’. </w:t>
      </w:r>
      <w:r>
        <w:rPr>
          <w:rFonts w:ascii="Georgia" w:hAnsi="Georgia"/>
          <w:color w:val="333333"/>
          <w:lang w:val="en"/>
        </w:rPr>
        <w:br/>
      </w:r>
      <w:r>
        <w:rPr>
          <w:rStyle w:val="Strong"/>
          <w:rFonts w:ascii="Georgia" w:hAnsi="Georgia"/>
          <w:color w:val="333333"/>
          <w:lang w:val="en"/>
        </w:rPr>
        <w:t xml:space="preserve">Sources: </w:t>
      </w:r>
      <w:r>
        <w:rPr>
          <w:rFonts w:ascii="Georgia" w:hAnsi="Georgia"/>
          <w:color w:val="333333"/>
          <w:lang w:val="en"/>
        </w:rPr>
        <w:t>ACIL Allen Consulting 2013; BREE 2013b;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This section describes the most substantive contributors to and drivers of the emissions outcomes projected for the elect</w:t>
      </w:r>
      <w:r>
        <w:rPr>
          <w:rFonts w:ascii="Georgia" w:hAnsi="Georgia"/>
          <w:color w:val="333333"/>
          <w:lang w:val="en"/>
        </w:rPr>
        <w:t xml:space="preserve">ricity sector. Results of the four scenarios </w:t>
      </w:r>
      <w:r>
        <w:rPr>
          <w:rFonts w:ascii="Georgia" w:hAnsi="Georgia"/>
          <w:color w:val="333333"/>
          <w:lang w:val="en"/>
        </w:rPr>
        <w:lastRenderedPageBreak/>
        <w:t>are presented, as modelled by the Treasury and DIICCSRTE 2013. Appendix D3 focuses on grid-connected electricity, which accounted for about 96 per cent of total electricity generation in 2011–12; off-grid electr</w:t>
      </w:r>
      <w:r>
        <w:rPr>
          <w:rFonts w:ascii="Georgia" w:hAnsi="Georgia"/>
          <w:color w:val="333333"/>
          <w:lang w:val="en"/>
        </w:rPr>
        <w:t xml:space="preserve">icity generation is </w:t>
      </w:r>
      <w:proofErr w:type="spellStart"/>
      <w:r>
        <w:rPr>
          <w:rFonts w:ascii="Georgia" w:hAnsi="Georgia"/>
          <w:color w:val="333333"/>
          <w:lang w:val="en"/>
        </w:rPr>
        <w:t>analysed</w:t>
      </w:r>
      <w:proofErr w:type="spellEnd"/>
      <w:r>
        <w:rPr>
          <w:rFonts w:ascii="Georgia" w:hAnsi="Georgia"/>
          <w:color w:val="333333"/>
          <w:lang w:val="en"/>
        </w:rPr>
        <w:t xml:space="preserve"> specifically where relevant (ACIL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D.12 shows significant growth in electricity sector emissions in the no price scenario, rising to 14 per cent above 2000 levels in 2020, and almost 40 per cent ab</w:t>
      </w:r>
      <w:r>
        <w:rPr>
          <w:rFonts w:ascii="Georgia" w:hAnsi="Georgia"/>
          <w:color w:val="333333"/>
          <w:lang w:val="en"/>
        </w:rPr>
        <w:t xml:space="preserve">ove 2000 levels in 2030. </w:t>
      </w:r>
    </w:p>
    <w:p w:rsidR="00000000" w:rsidRDefault="004170B4">
      <w:pPr>
        <w:pStyle w:val="NormalWeb"/>
        <w:spacing w:line="300" w:lineRule="atLeast"/>
        <w:rPr>
          <w:rFonts w:ascii="Georgia" w:hAnsi="Georgia"/>
          <w:color w:val="333333"/>
          <w:lang w:val="en"/>
        </w:rPr>
      </w:pPr>
      <w:r>
        <w:rPr>
          <w:rFonts w:ascii="Georgia" w:hAnsi="Georgia"/>
          <w:color w:val="333333"/>
          <w:lang w:val="en"/>
        </w:rPr>
        <w:t>Targeted policy could substantially reduce the sector’s emissions. The Treasury and DIICCSRTE modelling suggests that higher electricity demand could be offset by a lower emissions intensity of supply in the low, medium and high s</w:t>
      </w:r>
      <w:r>
        <w:rPr>
          <w:rFonts w:ascii="Georgia" w:hAnsi="Georgia"/>
          <w:color w:val="333333"/>
          <w:lang w:val="en"/>
        </w:rPr>
        <w:t>cenarios, thus reducing electricity sector emissions (figures D.10 and D.11). If a price incentive is in place, the modelling projects that:</w:t>
      </w:r>
    </w:p>
    <w:p w:rsidR="00000000" w:rsidRDefault="004170B4" w:rsidP="004170B4">
      <w:pPr>
        <w:numPr>
          <w:ilvl w:val="0"/>
          <w:numId w:val="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In 2020, Australia’s electricity sector emissions are reduced from their 2012 levels (198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to between 142 </w:t>
      </w:r>
      <w:r>
        <w:rPr>
          <w:rFonts w:ascii="Georgia" w:eastAsia="Times New Roman" w:hAnsi="Georgia"/>
          <w:color w:val="333333"/>
          <w:lang w:val="en"/>
        </w:rPr>
        <w:t>and 192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-e (high and low scenarios, respectively). For the low and medium scenarios, this is a moderate increase on 2000 emissions levels, but for the high scenario it is a 19 per cent reduction. </w:t>
      </w:r>
    </w:p>
    <w:p w:rsidR="00000000" w:rsidRDefault="004170B4" w:rsidP="004170B4">
      <w:pPr>
        <w:numPr>
          <w:ilvl w:val="0"/>
          <w:numId w:val="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In 2030, electricity sector emissions trends are heav</w:t>
      </w:r>
      <w:r>
        <w:rPr>
          <w:rFonts w:ascii="Georgia" w:eastAsia="Times New Roman" w:hAnsi="Georgia"/>
          <w:color w:val="333333"/>
          <w:lang w:val="en"/>
        </w:rPr>
        <w:t>ily dependent on policy drivers. Emissions could rise to between 192 and 207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in 2030 (medium and low scenarios, respectively) or fall under the high scenario to 70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-e in 2030 (60 per cent below 2000 levels). </w:t>
      </w:r>
    </w:p>
    <w:p w:rsidR="00000000" w:rsidRDefault="004170B4" w:rsidP="004170B4">
      <w:pPr>
        <w:numPr>
          <w:ilvl w:val="0"/>
          <w:numId w:val="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In 2050, the low and medium scen</w:t>
      </w:r>
      <w:r>
        <w:rPr>
          <w:rFonts w:ascii="Georgia" w:eastAsia="Times New Roman" w:hAnsi="Georgia"/>
          <w:color w:val="333333"/>
          <w:lang w:val="en"/>
        </w:rPr>
        <w:t>arios see emissions fall to about 110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(37 per cent below 2000 levels) and to as low as 34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under the high scenario (81 per cent below 2000 levels).</w:t>
      </w:r>
    </w:p>
    <w:p w:rsidR="00000000" w:rsidRDefault="004170B4">
      <w:pPr>
        <w:pStyle w:val="NormalWeb"/>
        <w:spacing w:line="300" w:lineRule="atLeast"/>
        <w:rPr>
          <w:rFonts w:ascii="Georgia" w:hAnsi="Georgia"/>
          <w:color w:val="333333"/>
          <w:lang w:val="en"/>
        </w:rPr>
      </w:pPr>
      <w:r>
        <w:rPr>
          <w:rFonts w:ascii="Georgia" w:hAnsi="Georgia"/>
          <w:color w:val="333333"/>
          <w:lang w:val="en"/>
        </w:rPr>
        <w:t>Changes in electricity generation activity and the emissions intensity of supply are both i</w:t>
      </w:r>
      <w:r>
        <w:rPr>
          <w:rFonts w:ascii="Georgia" w:hAnsi="Georgia"/>
          <w:color w:val="333333"/>
          <w:lang w:val="en"/>
        </w:rPr>
        <w:t>mportant to delivering emissions reductions, although, in the near to medium term, reduction in supply intensity is projected to be the bigger factor. The Treasury and DIICCSRTE modelling projects that, in the medium scenario, the share of electricity emis</w:t>
      </w:r>
      <w:r>
        <w:rPr>
          <w:rFonts w:ascii="Georgia" w:hAnsi="Georgia"/>
          <w:color w:val="333333"/>
          <w:lang w:val="en"/>
        </w:rPr>
        <w:t xml:space="preserve">sions reductions due to reduced demand is 36 per cent in 2020 and 40 per cent in 2030. </w:t>
      </w:r>
    </w:p>
    <w:p w:rsidR="00000000" w:rsidRDefault="004170B4">
      <w:pPr>
        <w:pStyle w:val="Heading2"/>
        <w:rPr>
          <w:rFonts w:eastAsia="Times New Roman"/>
          <w:color w:val="333333"/>
          <w:lang w:val="en"/>
        </w:rPr>
      </w:pPr>
      <w:r>
        <w:rPr>
          <w:rFonts w:eastAsia="Times New Roman"/>
          <w:color w:val="333333"/>
          <w:lang w:val="en"/>
        </w:rPr>
        <w:t xml:space="preserve">Figure D.12: Contributors to electricity emissions, selected years, 1990–2050, and to change in emissions relative to 2000 levels </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4750435"/>
            <wp:effectExtent l="0" t="0" r="0" b="0"/>
            <wp:docPr id="12" name="Picture 12" descr="Figure D.12 shows the historical and projected contributors to Australia’s electricity sector emissions between 1990 and 2050. &#10;From 1990 to 2012, electricity sector emissions increased from 130 to 198 megatonnes of carbon dioxide equivalent. Electricity sector emissions are projected to be between 34 and 331 megatonnes of carbon dioxide equivalent in 2050. Between 1990 and 2012 black coal contributed over half of Australia’s electricity sector emissions and this is projected to remain so across all scenarios to 2050, except the high scenario. &#10;Relative to 2000, electricity demand was the main contributor to Australia’s lower emissions in 1990 and increased emissions in 2012. Increased electricity demand is projected to continue contributing to Australia’s emissions across all scenarios to 2050, except the high scenario. At the same time adoption of renewable technologies, such as solar, are projected to make a net negative contribution to electricity sector emissions across all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D.12 shows the historical and projected contributors to Australia’s electricity sector emissions between 1990 and 2050. &#10;From 1990 to 2012, electricity sector emissions increased from 130 to 198 megatonnes of carbon dioxide equivalent. Electricity sector emissions are projected to be between 34 and 331 megatonnes of carbon dioxide equivalent in 2050. Between 1990 and 2012 black coal contributed over half of Australia’s electricity sector emissions and this is projected to remain so across all scenarios to 2050, except the high scenario. &#10;Relative to 2000, electricity demand was the main contributor to Australia’s lower emissions in 1990 and increased emissions in 2012. Increased electricity demand is projected to continue contributing to Australia’s emissions across all scenarios to 2050, except the high scenario. At the same time adoption of renewable technologies, such as solar, are projected to make a net negative contribution to electricity sector emissions across all scenar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475043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 c</w:t>
      </w:r>
      <w:r>
        <w:rPr>
          <w:rFonts w:ascii="Georgia" w:hAnsi="Georgia"/>
          <w:color w:val="333333"/>
          <w:lang w:val="en"/>
        </w:rPr>
        <w:t>alculations using results from Treasury and DIICCSRTE 2013</w:t>
      </w:r>
    </w:p>
    <w:p w:rsidR="00000000" w:rsidRDefault="004170B4">
      <w:pPr>
        <w:pStyle w:val="Heading4"/>
        <w:rPr>
          <w:rFonts w:eastAsia="Times New Roman"/>
          <w:color w:val="333333"/>
          <w:lang w:val="en"/>
        </w:rPr>
      </w:pPr>
      <w:r>
        <w:rPr>
          <w:rFonts w:eastAsia="Times New Roman"/>
          <w:color w:val="333333"/>
          <w:lang w:val="en"/>
        </w:rPr>
        <w:t>D3.1.1 Overview of changes in electricity generation emissions intensity</w:t>
      </w:r>
    </w:p>
    <w:p w:rsidR="00000000" w:rsidRDefault="004170B4">
      <w:pPr>
        <w:pStyle w:val="NormalWeb"/>
        <w:spacing w:line="300" w:lineRule="atLeast"/>
        <w:rPr>
          <w:rFonts w:ascii="Georgia" w:hAnsi="Georgia"/>
          <w:color w:val="333333"/>
          <w:lang w:val="en"/>
        </w:rPr>
      </w:pPr>
      <w:r>
        <w:rPr>
          <w:rFonts w:ascii="Georgia" w:hAnsi="Georgia"/>
          <w:color w:val="333333"/>
          <w:lang w:val="en"/>
        </w:rPr>
        <w:t>Emissions intensity of electricity generation declined by about 7 per cent between 2000 and 2012 with further improvement ex</w:t>
      </w:r>
      <w:r>
        <w:rPr>
          <w:rFonts w:ascii="Georgia" w:hAnsi="Georgia"/>
          <w:color w:val="333333"/>
          <w:lang w:val="en"/>
        </w:rPr>
        <w:t>pected in all modelled scenarios. The Treasury and DIICCSRTE projects that, in a no price scenario, the improvement is relatively modest; emissions intensity is about 16 per cent lower than 2000 levels in 2020—primarily as a result of renewables and driven</w:t>
      </w:r>
      <w:r>
        <w:rPr>
          <w:rFonts w:ascii="Georgia" w:hAnsi="Georgia"/>
          <w:color w:val="333333"/>
          <w:lang w:val="en"/>
        </w:rPr>
        <w:t xml:space="preserve"> by the RET—but is likely to change little after that.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With incentives in place to reduce emissions, changes in the electricity supply mix could reduce the emissions intensity of supply by up to a third in 2020 and by almost 90 per cent by 2050, compared </w:t>
      </w:r>
      <w:r>
        <w:rPr>
          <w:rFonts w:ascii="Georgia" w:hAnsi="Georgia"/>
          <w:color w:val="333333"/>
          <w:lang w:val="en"/>
        </w:rPr>
        <w:t>to 2000 levels (Table D.1).</w:t>
      </w:r>
    </w:p>
    <w:p w:rsidR="00000000" w:rsidRDefault="004170B4">
      <w:pPr>
        <w:pStyle w:val="Heading2"/>
        <w:rPr>
          <w:rFonts w:eastAsia="Times New Roman"/>
          <w:color w:val="333333"/>
          <w:lang w:val="en"/>
        </w:rPr>
      </w:pPr>
      <w:r>
        <w:rPr>
          <w:rFonts w:eastAsia="Times New Roman"/>
          <w:color w:val="333333"/>
          <w:lang w:val="en"/>
        </w:rPr>
        <w:lastRenderedPageBreak/>
        <w:t>Table D.1: Emissions intensity of Australia’s electricity supply, 2000–2050</w:t>
      </w:r>
    </w:p>
    <w:tbl>
      <w:tblPr>
        <w:tblW w:w="5000" w:type="pct"/>
        <w:tblCellSpacing w:w="15" w:type="dxa"/>
        <w:tblLook w:val="04A0" w:firstRow="1" w:lastRow="0" w:firstColumn="1" w:lastColumn="0" w:noHBand="0" w:noVBand="1"/>
      </w:tblPr>
      <w:tblGrid>
        <w:gridCol w:w="1232"/>
        <w:gridCol w:w="1331"/>
        <w:gridCol w:w="1326"/>
        <w:gridCol w:w="1241"/>
        <w:gridCol w:w="972"/>
        <w:gridCol w:w="971"/>
        <w:gridCol w:w="975"/>
        <w:gridCol w:w="979"/>
      </w:tblGrid>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w:t>
            </w:r>
          </w:p>
        </w:tc>
        <w:tc>
          <w:tcPr>
            <w:tcW w:w="0" w:type="auto"/>
            <w:gridSpan w:val="3"/>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Historical emissions intensity</w:t>
            </w:r>
            <w:r>
              <w:rPr>
                <w:rFonts w:ascii="Georgia" w:hAnsi="Georgia"/>
                <w:b/>
                <w:bCs/>
                <w:color w:val="333333"/>
              </w:rPr>
              <w:br/>
            </w:r>
            <w:r>
              <w:rPr>
                <w:rStyle w:val="Strong"/>
                <w:rFonts w:ascii="Georgia" w:hAnsi="Georgia"/>
                <w:color w:val="333333"/>
              </w:rPr>
              <w:t>(t CO</w:t>
            </w:r>
            <w:r>
              <w:rPr>
                <w:rFonts w:ascii="Georgia" w:hAnsi="Georgia"/>
                <w:color w:val="333333"/>
                <w:sz w:val="18"/>
                <w:szCs w:val="18"/>
                <w:vertAlign w:val="subscript"/>
              </w:rPr>
              <w:t>2</w:t>
            </w:r>
            <w:r>
              <w:rPr>
                <w:rStyle w:val="Strong"/>
                <w:rFonts w:ascii="Georgia" w:hAnsi="Georgia"/>
                <w:color w:val="333333"/>
              </w:rPr>
              <w:t>-e/</w:t>
            </w:r>
            <w:proofErr w:type="spellStart"/>
            <w:r>
              <w:rPr>
                <w:rStyle w:val="Strong"/>
                <w:rFonts w:ascii="Georgia" w:hAnsi="Georgia"/>
                <w:color w:val="333333"/>
              </w:rPr>
              <w:t>MWh</w:t>
            </w:r>
            <w:proofErr w:type="spellEnd"/>
            <w:r>
              <w:rPr>
                <w:rStyle w:val="Strong"/>
                <w:rFonts w:ascii="Georgia" w:hAnsi="Georgia"/>
                <w:color w:val="333333"/>
              </w:rPr>
              <w:t>)</w:t>
            </w:r>
          </w:p>
        </w:tc>
        <w:tc>
          <w:tcPr>
            <w:tcW w:w="0" w:type="auto"/>
            <w:gridSpan w:val="4"/>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Projected emissions intensity</w:t>
            </w:r>
            <w:r>
              <w:rPr>
                <w:rFonts w:ascii="Georgia" w:hAnsi="Georgia"/>
                <w:b/>
                <w:bCs/>
                <w:color w:val="333333"/>
              </w:rPr>
              <w:br/>
            </w:r>
            <w:r>
              <w:rPr>
                <w:rStyle w:val="Strong"/>
                <w:rFonts w:ascii="Georgia" w:hAnsi="Georgia"/>
                <w:color w:val="333333"/>
              </w:rPr>
              <w:t>(t CO</w:t>
            </w:r>
            <w:r>
              <w:rPr>
                <w:rFonts w:ascii="Georgia" w:hAnsi="Georgia"/>
                <w:color w:val="333333"/>
                <w:sz w:val="18"/>
                <w:szCs w:val="18"/>
                <w:vertAlign w:val="subscript"/>
              </w:rPr>
              <w:t>2</w:t>
            </w:r>
            <w:r>
              <w:rPr>
                <w:rStyle w:val="Strong"/>
                <w:rFonts w:ascii="Georgia" w:hAnsi="Georgia"/>
                <w:color w:val="333333"/>
              </w:rPr>
              <w:t>-e/</w:t>
            </w:r>
            <w:proofErr w:type="spellStart"/>
            <w:r>
              <w:rPr>
                <w:rStyle w:val="Strong"/>
                <w:rFonts w:ascii="Georgia" w:hAnsi="Georgia"/>
                <w:color w:val="333333"/>
              </w:rPr>
              <w:t>MWh</w:t>
            </w:r>
            <w:proofErr w:type="spellEnd"/>
            <w:r>
              <w:rPr>
                <w:rStyle w:val="Strong"/>
                <w:rFonts w:ascii="Georgia" w:hAnsi="Georgia"/>
                <w:color w:val="333333"/>
              </w:rPr>
              <w:t>)</w:t>
            </w:r>
          </w:p>
        </w:tc>
      </w:tr>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Scenario</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2008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2020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2030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2040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2050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 price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0.84</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0.84</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0.78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0.70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Low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0.70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0.66</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0.48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0.28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Medium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0.62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0.47</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0.26</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High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0.56</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0.25</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0.10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0.09</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Calculation based on electricity generation ‘as generated’.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 xml:space="preserve">Historical: </w:t>
      </w:r>
      <w:r>
        <w:rPr>
          <w:rFonts w:ascii="Georgia" w:hAnsi="Georgia"/>
          <w:color w:val="333333"/>
          <w:lang w:val="en"/>
        </w:rPr>
        <w:t>BREE 2013b, Table O; DCCEE 2012 Projections: Climate Change Authority based on Treasury and DIICCSRTE 2013 data and 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D.12 shows several contributors to a lower emissions intensity electricity supply, particularly:</w:t>
      </w:r>
    </w:p>
    <w:p w:rsidR="00000000" w:rsidRDefault="004170B4" w:rsidP="004170B4">
      <w:pPr>
        <w:numPr>
          <w:ilvl w:val="0"/>
          <w:numId w:val="10"/>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Declining</w:t>
      </w:r>
      <w:r>
        <w:rPr>
          <w:rFonts w:ascii="Georgia" w:eastAsia="Times New Roman" w:hAnsi="Georgia"/>
          <w:color w:val="333333"/>
          <w:lang w:val="en"/>
        </w:rPr>
        <w:t xml:space="preserve"> conventional coal-fired generation, which could reduce emissions by between 2 and 56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in 2020, relative to 2000 levels. Emissions from coal-fired generation are projected to be higher in 2030 than in 2000, except under the high scenario where they</w:t>
      </w:r>
      <w:r>
        <w:rPr>
          <w:rFonts w:ascii="Georgia" w:eastAsia="Times New Roman" w:hAnsi="Georgia"/>
          <w:color w:val="333333"/>
          <w:lang w:val="en"/>
        </w:rPr>
        <w:t xml:space="preserve"> could be almost 130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lower.</w:t>
      </w:r>
    </w:p>
    <w:p w:rsidR="00000000" w:rsidRDefault="004170B4" w:rsidP="004170B4">
      <w:pPr>
        <w:numPr>
          <w:ilvl w:val="0"/>
          <w:numId w:val="10"/>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Increasing wind and solar generation share, which could contribute to an emissions reduction of about 30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in 2020, relative to 2000. Projections suggest that in 2030 increasing wind and solar generation could re</w:t>
      </w:r>
      <w:r>
        <w:rPr>
          <w:rFonts w:ascii="Georgia" w:eastAsia="Times New Roman" w:hAnsi="Georgia"/>
          <w:color w:val="333333"/>
          <w:lang w:val="en"/>
        </w:rPr>
        <w:t>duce emissions by between 39 and 51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-e (in no price and high scenarios, respectively), relative to 2000. </w:t>
      </w:r>
    </w:p>
    <w:p w:rsidR="00000000" w:rsidRDefault="004170B4">
      <w:pPr>
        <w:pStyle w:val="NormalWeb"/>
        <w:spacing w:line="300" w:lineRule="atLeast"/>
        <w:rPr>
          <w:rFonts w:ascii="Georgia" w:hAnsi="Georgia"/>
          <w:color w:val="333333"/>
          <w:lang w:val="en"/>
        </w:rPr>
      </w:pPr>
      <w:r>
        <w:rPr>
          <w:rFonts w:ascii="Georgia" w:hAnsi="Georgia"/>
          <w:color w:val="333333"/>
          <w:lang w:val="en"/>
        </w:rPr>
        <w:t>CCS and geothermal generation could also contribute significantly in later decades, with an incentive in place, though timing of their deploymen</w:t>
      </w:r>
      <w:r>
        <w:rPr>
          <w:rFonts w:ascii="Georgia" w:hAnsi="Georgia"/>
          <w:color w:val="333333"/>
          <w:lang w:val="en"/>
        </w:rPr>
        <w:t xml:space="preserve">t remains uncertain. Table D.3 provides further detail of the potential fuel mixes that could lower the emissions intensity of electricity.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deployment and diffusion of electricity generation technologies will depend on a range of drivers. Exchange rat</w:t>
      </w:r>
      <w:r>
        <w:rPr>
          <w:rFonts w:ascii="Georgia" w:hAnsi="Georgia"/>
          <w:color w:val="333333"/>
          <w:lang w:val="en"/>
        </w:rPr>
        <w:t xml:space="preserve">es, technological advances, climate change mitigation policy and electricity prices will affect the relative cost of technologies and the point at which each option becomes economically viable. Until 2020, the mandatory RET </w:t>
      </w:r>
      <w:r>
        <w:rPr>
          <w:rFonts w:ascii="Georgia" w:hAnsi="Georgia"/>
          <w:color w:val="333333"/>
          <w:lang w:val="en"/>
        </w:rPr>
        <w:lastRenderedPageBreak/>
        <w:t>is likely to drive steady deploy</w:t>
      </w:r>
      <w:r>
        <w:rPr>
          <w:rFonts w:ascii="Georgia" w:hAnsi="Georgia"/>
          <w:color w:val="333333"/>
          <w:lang w:val="en"/>
        </w:rPr>
        <w:t xml:space="preserve">ment of renewables, such as wind. Sections D3.3 and D3.4 discuss the opportunities and barriers to </w:t>
      </w:r>
      <w:proofErr w:type="spellStart"/>
      <w:r>
        <w:rPr>
          <w:rFonts w:ascii="Georgia" w:hAnsi="Georgia"/>
          <w:color w:val="333333"/>
          <w:lang w:val="en"/>
        </w:rPr>
        <w:t>realising</w:t>
      </w:r>
      <w:proofErr w:type="spellEnd"/>
      <w:r>
        <w:rPr>
          <w:rFonts w:ascii="Georgia" w:hAnsi="Georgia"/>
          <w:color w:val="333333"/>
          <w:lang w:val="en"/>
        </w:rPr>
        <w:t xml:space="preserve"> the potential changes in emissions intensity. </w:t>
      </w:r>
    </w:p>
    <w:p w:rsidR="00000000" w:rsidRDefault="004170B4">
      <w:pPr>
        <w:pStyle w:val="Heading4"/>
        <w:rPr>
          <w:rFonts w:eastAsia="Times New Roman"/>
          <w:color w:val="333333"/>
          <w:lang w:val="en"/>
        </w:rPr>
      </w:pPr>
      <w:r>
        <w:rPr>
          <w:rFonts w:eastAsia="Times New Roman"/>
          <w:color w:val="333333"/>
          <w:lang w:val="en"/>
        </w:rPr>
        <w:t>D3.1.2 Overview of changes in electricity demand</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Since 2008, growth in electricity </w:t>
      </w:r>
      <w:r>
        <w:rPr>
          <w:rFonts w:ascii="Georgia" w:hAnsi="Georgia"/>
          <w:color w:val="333333"/>
          <w:lang w:val="en"/>
        </w:rPr>
        <w:t xml:space="preserve">generation has slowed (Table D.2). Macroeconomic drivers, weaker global financial conditions and a rising Australian dollar have underpinned softening demand in the industrial sector, with the closure of the Kurri Kurri </w:t>
      </w:r>
      <w:proofErr w:type="spellStart"/>
      <w:r>
        <w:rPr>
          <w:rFonts w:ascii="Georgia" w:hAnsi="Georgia"/>
          <w:color w:val="333333"/>
          <w:lang w:val="en"/>
        </w:rPr>
        <w:t>aluminium</w:t>
      </w:r>
      <w:proofErr w:type="spellEnd"/>
      <w:r>
        <w:rPr>
          <w:rFonts w:ascii="Georgia" w:hAnsi="Georgia"/>
          <w:color w:val="333333"/>
          <w:lang w:val="en"/>
        </w:rPr>
        <w:t xml:space="preserve"> smelter in 2012 being one </w:t>
      </w:r>
      <w:r>
        <w:rPr>
          <w:rFonts w:ascii="Georgia" w:hAnsi="Georgia"/>
          <w:color w:val="333333"/>
          <w:lang w:val="en"/>
        </w:rPr>
        <w:t>example (AEMO 2013a). Future industrial sector demand for electricity is likely to rise with strong projected growth in activity, but continuation of current energy efficiency improvements could offset growth to some extent (</w:t>
      </w:r>
      <w:proofErr w:type="spellStart"/>
      <w:r>
        <w:rPr>
          <w:rFonts w:ascii="Georgia" w:hAnsi="Georgia"/>
          <w:color w:val="333333"/>
          <w:lang w:val="en"/>
        </w:rPr>
        <w:t>ClimateWorks</w:t>
      </w:r>
      <w:proofErr w:type="spellEnd"/>
      <w:r>
        <w:rPr>
          <w:rFonts w:ascii="Georgia" w:hAnsi="Georgia"/>
          <w:color w:val="333333"/>
          <w:lang w:val="en"/>
        </w:rPr>
        <w:t xml:space="preserve"> 2013c). The consid</w:t>
      </w:r>
      <w:r>
        <w:rPr>
          <w:rFonts w:ascii="Georgia" w:hAnsi="Georgia"/>
          <w:color w:val="333333"/>
          <w:lang w:val="en"/>
        </w:rPr>
        <w:t>erable uncertainty in electricity demand forecasts is discussed further in Section D3.5.2.</w:t>
      </w:r>
    </w:p>
    <w:p w:rsidR="00000000" w:rsidRDefault="004170B4">
      <w:pPr>
        <w:pStyle w:val="NormalWeb"/>
        <w:spacing w:line="300" w:lineRule="atLeast"/>
        <w:rPr>
          <w:rFonts w:ascii="Georgia" w:hAnsi="Georgia"/>
          <w:color w:val="333333"/>
          <w:lang w:val="en"/>
        </w:rPr>
      </w:pPr>
      <w:r>
        <w:rPr>
          <w:rFonts w:ascii="Georgia" w:hAnsi="Georgia"/>
          <w:color w:val="333333"/>
          <w:lang w:val="en"/>
        </w:rPr>
        <w:t>Changes in electricity demand are driven, in part, by rising incomes and population, which have historically resulted in increased use of electrical appliances. Over</w:t>
      </w:r>
      <w:r>
        <w:rPr>
          <w:rFonts w:ascii="Georgia" w:hAnsi="Georgia"/>
          <w:color w:val="333333"/>
          <w:lang w:val="en"/>
        </w:rPr>
        <w:t xml:space="preserve"> the last two decades, the increased emissions that might be expected from the uptake of new appliances, such as IT and entertainment equipment, have been counteracted by improved efficiency in buildings and appliances. </w:t>
      </w:r>
    </w:p>
    <w:p w:rsidR="00000000" w:rsidRDefault="004170B4">
      <w:pPr>
        <w:pStyle w:val="NormalWeb"/>
        <w:spacing w:line="300" w:lineRule="atLeast"/>
        <w:rPr>
          <w:rFonts w:ascii="Georgia" w:hAnsi="Georgia"/>
          <w:color w:val="333333"/>
          <w:lang w:val="en"/>
        </w:rPr>
      </w:pPr>
      <w:r>
        <w:rPr>
          <w:rFonts w:ascii="Georgia" w:hAnsi="Georgia"/>
          <w:color w:val="333333"/>
          <w:lang w:val="en"/>
        </w:rPr>
        <w:t>Efficiency improvements have been d</w:t>
      </w:r>
      <w:r>
        <w:rPr>
          <w:rFonts w:ascii="Georgia" w:hAnsi="Georgia"/>
          <w:color w:val="333333"/>
          <w:lang w:val="en"/>
        </w:rPr>
        <w:t>riven primarily by policy intervention at various levels of government, particularly minimum energy performance standards for appliances implemented from 1999 and changes to the Building Code of Australia for residential buildings. Uptake of small-scale so</w:t>
      </w:r>
      <w:r>
        <w:rPr>
          <w:rFonts w:ascii="Georgia" w:hAnsi="Georgia"/>
          <w:color w:val="333333"/>
          <w:lang w:val="en"/>
        </w:rPr>
        <w:t xml:space="preserve">lar PV has also reduced demand for grid-connected electricity (AEMO 2013a). </w:t>
      </w:r>
    </w:p>
    <w:p w:rsidR="00000000" w:rsidRDefault="004170B4">
      <w:pPr>
        <w:pStyle w:val="NormalWeb"/>
        <w:spacing w:line="300" w:lineRule="atLeast"/>
        <w:rPr>
          <w:rFonts w:ascii="Georgia" w:hAnsi="Georgia"/>
          <w:color w:val="333333"/>
          <w:lang w:val="en"/>
        </w:rPr>
      </w:pPr>
      <w:r>
        <w:rPr>
          <w:rFonts w:ascii="Georgia" w:hAnsi="Georgia"/>
          <w:color w:val="333333"/>
          <w:lang w:val="en"/>
        </w:rPr>
        <w:t>Recently, substantial rises in electricity prices—growth of almost 60 per cent in residential prices from 2008 to 2012—have contributed to reduced growth in demand (Saddler 2013).</w:t>
      </w:r>
      <w:r>
        <w:rPr>
          <w:rFonts w:ascii="Georgia" w:hAnsi="Georgia"/>
          <w:color w:val="333333"/>
          <w:lang w:val="en"/>
        </w:rPr>
        <w:t xml:space="preserve"> This driver, however, could moderate within a few years (AEMC 2013). </w:t>
      </w:r>
    </w:p>
    <w:p w:rsidR="00000000" w:rsidRDefault="004170B4">
      <w:pPr>
        <w:pStyle w:val="Heading2"/>
        <w:rPr>
          <w:rFonts w:eastAsia="Times New Roman"/>
          <w:color w:val="333333"/>
          <w:lang w:val="en"/>
        </w:rPr>
      </w:pPr>
      <w:r>
        <w:rPr>
          <w:rFonts w:eastAsia="Times New Roman"/>
          <w:color w:val="333333"/>
          <w:lang w:val="en"/>
        </w:rPr>
        <w:t>Table D.2: Australia’s electricity generation, 2000–2050</w:t>
      </w:r>
    </w:p>
    <w:tbl>
      <w:tblPr>
        <w:tblW w:w="5000" w:type="pct"/>
        <w:tblCellSpacing w:w="15" w:type="dxa"/>
        <w:tblLook w:val="04A0" w:firstRow="1" w:lastRow="0" w:firstColumn="1" w:lastColumn="0" w:noHBand="0" w:noVBand="1"/>
      </w:tblPr>
      <w:tblGrid>
        <w:gridCol w:w="1232"/>
        <w:gridCol w:w="1254"/>
        <w:gridCol w:w="1249"/>
        <w:gridCol w:w="1169"/>
        <w:gridCol w:w="1029"/>
        <w:gridCol w:w="1028"/>
        <w:gridCol w:w="1031"/>
        <w:gridCol w:w="1035"/>
      </w:tblGrid>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w:t>
            </w:r>
          </w:p>
        </w:tc>
        <w:tc>
          <w:tcPr>
            <w:tcW w:w="0" w:type="auto"/>
            <w:gridSpan w:val="3"/>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Historical electricity generation (</w:t>
            </w:r>
            <w:proofErr w:type="spellStart"/>
            <w:r>
              <w:rPr>
                <w:rStyle w:val="Strong"/>
                <w:rFonts w:ascii="Georgia" w:hAnsi="Georgia"/>
                <w:color w:val="333333"/>
              </w:rPr>
              <w:t>TWh</w:t>
            </w:r>
            <w:proofErr w:type="spellEnd"/>
            <w:r>
              <w:rPr>
                <w:rStyle w:val="Strong"/>
                <w:rFonts w:ascii="Georgia" w:hAnsi="Georgia"/>
                <w:color w:val="333333"/>
              </w:rPr>
              <w:t>)</w:t>
            </w:r>
          </w:p>
        </w:tc>
        <w:tc>
          <w:tcPr>
            <w:tcW w:w="0" w:type="auto"/>
            <w:gridSpan w:val="4"/>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Projected electricity generation (</w:t>
            </w:r>
            <w:proofErr w:type="spellStart"/>
            <w:r>
              <w:rPr>
                <w:rStyle w:val="Strong"/>
                <w:rFonts w:ascii="Georgia" w:hAnsi="Georgia"/>
                <w:color w:val="333333"/>
              </w:rPr>
              <w:t>TWh</w:t>
            </w:r>
            <w:proofErr w:type="spellEnd"/>
            <w:r>
              <w:rPr>
                <w:rStyle w:val="Strong"/>
                <w:rFonts w:ascii="Georgia" w:hAnsi="Georgia"/>
                <w:color w:val="333333"/>
              </w:rPr>
              <w:t>)</w:t>
            </w:r>
          </w:p>
        </w:tc>
      </w:tr>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Scenario</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2008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2020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2030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2040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2050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 price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210 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243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254 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287</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351</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422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493</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Low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210 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243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254 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275</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344</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398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Medium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210 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243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254 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269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346</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401</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lastRenderedPageBreak/>
              <w:t xml:space="preserve">High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210 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243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254 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282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329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378</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Electricity generation is ‘as generated’.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 xml:space="preserve">Historical: </w:t>
      </w:r>
      <w:r>
        <w:rPr>
          <w:rFonts w:ascii="Georgia" w:hAnsi="Georgia"/>
          <w:color w:val="333333"/>
          <w:lang w:val="en"/>
        </w:rPr>
        <w:t>BREE 2013b, Table O Projections based on 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DIICCSRTE’s modelling projects that Australia’s electricity generation will remain steady or rise to 2020 and rise more quickly to 2030, in all scenarios. The effect of th</w:t>
      </w:r>
      <w:r>
        <w:rPr>
          <w:rFonts w:ascii="Georgia" w:hAnsi="Georgia"/>
          <w:color w:val="333333"/>
          <w:lang w:val="en"/>
        </w:rPr>
        <w:t>e price incentive on projected generation is evident. Electricity generation is about 6 per cent lower in 2020 under the high scenario than the medium scenario. By 2050, electricity generation could be between 80 and 89 per cent higher than in 2000, depend</w:t>
      </w:r>
      <w:r>
        <w:rPr>
          <w:rFonts w:ascii="Georgia" w:hAnsi="Georgia"/>
          <w:color w:val="333333"/>
          <w:lang w:val="en"/>
        </w:rPr>
        <w:t>ing on the level of the price incentive (high and low scenarios, respectively).</w:t>
      </w:r>
    </w:p>
    <w:p w:rsidR="00000000" w:rsidRDefault="004170B4">
      <w:pPr>
        <w:pStyle w:val="NormalWeb"/>
        <w:spacing w:line="300" w:lineRule="atLeast"/>
        <w:rPr>
          <w:rFonts w:ascii="Georgia" w:hAnsi="Georgia"/>
          <w:color w:val="333333"/>
          <w:lang w:val="en"/>
        </w:rPr>
      </w:pPr>
      <w:r>
        <w:rPr>
          <w:rFonts w:ascii="Georgia" w:hAnsi="Georgia"/>
          <w:color w:val="333333"/>
          <w:lang w:val="en"/>
        </w:rPr>
        <w:t>Some of the major contributors expected to reduce future emissions, through changing demand in the residential and commercial sectors, have long lead times due to the slow repl</w:t>
      </w:r>
      <w:r>
        <w:rPr>
          <w:rFonts w:ascii="Georgia" w:hAnsi="Georgia"/>
          <w:color w:val="333333"/>
          <w:lang w:val="en"/>
        </w:rPr>
        <w:t>acement rate of buildings and appliances. These include:</w:t>
      </w:r>
    </w:p>
    <w:p w:rsidR="00000000" w:rsidRDefault="004170B4" w:rsidP="004170B4">
      <w:pPr>
        <w:numPr>
          <w:ilvl w:val="0"/>
          <w:numId w:val="11"/>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improvements in building efficiency, which could reduce emissions, relative to 2000 levels, by about 12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in 2020 and more in later years as stock turns over</w:t>
      </w:r>
    </w:p>
    <w:p w:rsidR="00000000" w:rsidRDefault="004170B4" w:rsidP="004170B4">
      <w:pPr>
        <w:numPr>
          <w:ilvl w:val="0"/>
          <w:numId w:val="11"/>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improvements in the efficiency of </w:t>
      </w:r>
      <w:r>
        <w:rPr>
          <w:rFonts w:ascii="Georgia" w:eastAsia="Times New Roman" w:hAnsi="Georgia"/>
          <w:color w:val="333333"/>
          <w:lang w:val="en"/>
        </w:rPr>
        <w:t>electrical appliances, which could reduce emissions, relative to 2000 levels, by about 20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-e in 2020 and more in later years (DCCEE 2010b, p. 23).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Section D3.3 discusses further the </w:t>
      </w:r>
      <w:r>
        <w:rPr>
          <w:rFonts w:ascii="Georgia" w:hAnsi="Georgia"/>
          <w:color w:val="333333"/>
          <w:lang w:val="en"/>
        </w:rPr>
        <w:t>opportunities and barriers to the uptake of cost-effective emissions reductions through changing electricity demand and reducing the level of total generation.</w:t>
      </w:r>
    </w:p>
    <w:p w:rsidR="00000000" w:rsidRDefault="004170B4">
      <w:pPr>
        <w:pStyle w:val="Heading3"/>
        <w:rPr>
          <w:rFonts w:eastAsia="Times New Roman"/>
          <w:color w:val="333333"/>
          <w:lang w:val="en"/>
        </w:rPr>
      </w:pPr>
      <w:r>
        <w:rPr>
          <w:rFonts w:eastAsia="Times New Roman"/>
          <w:color w:val="333333"/>
          <w:lang w:val="en"/>
        </w:rPr>
        <w:t>D3.2 Emissions intensity of electricity supply</w:t>
      </w:r>
    </w:p>
    <w:p w:rsidR="00000000" w:rsidRDefault="004170B4">
      <w:pPr>
        <w:pStyle w:val="Heading4"/>
        <w:rPr>
          <w:rFonts w:eastAsia="Times New Roman"/>
          <w:color w:val="333333"/>
          <w:lang w:val="en"/>
        </w:rPr>
      </w:pPr>
      <w:r>
        <w:rPr>
          <w:rFonts w:eastAsia="Times New Roman"/>
          <w:color w:val="333333"/>
          <w:lang w:val="en"/>
        </w:rPr>
        <w:t>D3.2.1 Emissions intensity outcomes in an interna</w:t>
      </w:r>
      <w:r>
        <w:rPr>
          <w:rFonts w:eastAsia="Times New Roman"/>
          <w:color w:val="333333"/>
          <w:lang w:val="en"/>
        </w:rPr>
        <w:t>tional context</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emissions intensity of electricity is among the highest in the developed world. It is about four times the intensity of New Zealand and Canada; almost double the intensity of Germany, the UK and Japan; and considerably higher tha</w:t>
      </w:r>
      <w:r>
        <w:rPr>
          <w:rFonts w:ascii="Georgia" w:hAnsi="Georgia"/>
          <w:color w:val="333333"/>
          <w:lang w:val="en"/>
        </w:rPr>
        <w:t xml:space="preserve">n that of the US. Since 2007, Australia’s electricity supply emissions intensity has exceeded China’s (IEA 2013b).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Table D.1 </w:t>
      </w:r>
      <w:proofErr w:type="spellStart"/>
      <w:r>
        <w:rPr>
          <w:rFonts w:ascii="Georgia" w:hAnsi="Georgia"/>
          <w:color w:val="333333"/>
          <w:lang w:val="en"/>
        </w:rPr>
        <w:t>summarises</w:t>
      </w:r>
      <w:proofErr w:type="spellEnd"/>
      <w:r>
        <w:rPr>
          <w:rFonts w:ascii="Georgia" w:hAnsi="Georgia"/>
          <w:color w:val="333333"/>
          <w:lang w:val="en"/>
        </w:rPr>
        <w:t xml:space="preserve"> projections for Australia’s emissions intensity, which, in all scenarios, reflect some improvement on current and histo</w:t>
      </w:r>
      <w:r>
        <w:rPr>
          <w:rFonts w:ascii="Georgia" w:hAnsi="Georgia"/>
          <w:color w:val="333333"/>
          <w:lang w:val="en"/>
        </w:rPr>
        <w:t xml:space="preserve">rical levels. Despite these projected improvements, in all except the high scenario Australia’s emissions intensity is likely to remain above that of China, the US and the world average in 2035 (IEA 2012a; Treasury and DIICCSRTE 2013). </w:t>
      </w:r>
    </w:p>
    <w:p w:rsidR="00000000" w:rsidRDefault="004170B4">
      <w:pPr>
        <w:pStyle w:val="Heading4"/>
        <w:rPr>
          <w:rFonts w:eastAsia="Times New Roman"/>
          <w:color w:val="333333"/>
          <w:lang w:val="en"/>
        </w:rPr>
      </w:pPr>
      <w:r>
        <w:rPr>
          <w:rFonts w:eastAsia="Times New Roman"/>
          <w:color w:val="333333"/>
          <w:lang w:val="en"/>
        </w:rPr>
        <w:t>D3.2.2 Contributors</w:t>
      </w:r>
      <w:r>
        <w:rPr>
          <w:rFonts w:eastAsia="Times New Roman"/>
          <w:color w:val="333333"/>
          <w:lang w:val="en"/>
        </w:rPr>
        <w:t xml:space="preserve"> to emissions intensity of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With incentives in place, a range of projections suggest that Australia’s electricity supply will become less emissions-intensive as conventional fossil fuel-fired generation loses share to low- and zero-emissions sour</w:t>
      </w:r>
      <w:r>
        <w:rPr>
          <w:rFonts w:ascii="Georgia" w:hAnsi="Georgia"/>
          <w:color w:val="333333"/>
          <w:lang w:val="en"/>
        </w:rPr>
        <w:t xml:space="preserve">ces. Several technologies could contribute directly to a lower emissions intensity of supply. Changes in the shares of conventional coal-fired generation and renewables could be particularly significant (Figure D.12). </w:t>
      </w:r>
    </w:p>
    <w:p w:rsidR="00000000" w:rsidRDefault="004170B4">
      <w:pPr>
        <w:pStyle w:val="NormalWeb"/>
        <w:spacing w:line="300" w:lineRule="atLeast"/>
        <w:rPr>
          <w:rFonts w:ascii="Georgia" w:hAnsi="Georgia"/>
          <w:color w:val="333333"/>
          <w:lang w:val="en"/>
        </w:rPr>
      </w:pPr>
      <w:r>
        <w:rPr>
          <w:rFonts w:ascii="Georgia" w:hAnsi="Georgia"/>
          <w:color w:val="333333"/>
          <w:lang w:val="en"/>
        </w:rPr>
        <w:t>This is illustrated in ACIL Allen Con</w:t>
      </w:r>
      <w:r>
        <w:rPr>
          <w:rFonts w:ascii="Georgia" w:hAnsi="Georgia"/>
          <w:color w:val="333333"/>
          <w:lang w:val="en"/>
        </w:rPr>
        <w:t>sulting’s outlook for Australia’s electricity supply in Figure D.14. The projected generation mix is affected significantly by the level of the price incentive. The high scenario projects a substantial increase in the share of generation from renewables an</w:t>
      </w:r>
      <w:r>
        <w:rPr>
          <w:rFonts w:ascii="Georgia" w:hAnsi="Georgia"/>
          <w:color w:val="333333"/>
          <w:lang w:val="en"/>
        </w:rPr>
        <w:t>d a fall in the share of coal-fired generation. Coal with CCS is also deployed by 2030, bringing the emissions intensity of generation down by over 60 per cent compared to the no price scenario, to 0.25 t CO</w:t>
      </w:r>
      <w:r>
        <w:rPr>
          <w:rFonts w:ascii="Georgia" w:hAnsi="Georgia"/>
          <w:color w:val="333333"/>
          <w:sz w:val="18"/>
          <w:szCs w:val="18"/>
          <w:vertAlign w:val="subscript"/>
          <w:lang w:val="en"/>
        </w:rPr>
        <w:t>2</w:t>
      </w:r>
      <w:r>
        <w:rPr>
          <w:rFonts w:ascii="Georgia" w:hAnsi="Georgia"/>
          <w:color w:val="333333"/>
          <w:lang w:val="en"/>
        </w:rPr>
        <w:t>-e/</w:t>
      </w:r>
      <w:proofErr w:type="spellStart"/>
      <w:r>
        <w:rPr>
          <w:rFonts w:ascii="Georgia" w:hAnsi="Georgia"/>
          <w:color w:val="333333"/>
          <w:lang w:val="en"/>
        </w:rPr>
        <w:t>MWh</w:t>
      </w:r>
      <w:proofErr w:type="spellEnd"/>
      <w:r>
        <w:rPr>
          <w:rFonts w:ascii="Georgia" w:hAnsi="Georgia"/>
          <w:color w:val="333333"/>
          <w:lang w:val="en"/>
        </w:rPr>
        <w:t xml:space="preserve">. By contrast, the low scenario projects </w:t>
      </w:r>
      <w:r>
        <w:rPr>
          <w:rFonts w:ascii="Georgia" w:hAnsi="Georgia"/>
          <w:color w:val="333333"/>
          <w:lang w:val="en"/>
        </w:rPr>
        <w:t>relatively modest changes to the supply mix, with emissions intensity of generation projected to be 0.66 t CO</w:t>
      </w:r>
      <w:r>
        <w:rPr>
          <w:rFonts w:ascii="Georgia" w:hAnsi="Georgia"/>
          <w:color w:val="333333"/>
          <w:sz w:val="18"/>
          <w:szCs w:val="18"/>
          <w:vertAlign w:val="subscript"/>
          <w:lang w:val="en"/>
        </w:rPr>
        <w:t>2</w:t>
      </w:r>
      <w:r>
        <w:rPr>
          <w:rFonts w:ascii="Georgia" w:hAnsi="Georgia"/>
          <w:color w:val="333333"/>
          <w:lang w:val="en"/>
        </w:rPr>
        <w:t>-e/</w:t>
      </w:r>
      <w:proofErr w:type="spellStart"/>
      <w:r>
        <w:rPr>
          <w:rFonts w:ascii="Georgia" w:hAnsi="Georgia"/>
          <w:color w:val="333333"/>
          <w:lang w:val="en"/>
        </w:rPr>
        <w:t>MWh</w:t>
      </w:r>
      <w:proofErr w:type="spellEnd"/>
      <w:r>
        <w:rPr>
          <w:rFonts w:ascii="Georgia" w:hAnsi="Georgia"/>
          <w:color w:val="333333"/>
          <w:lang w:val="en"/>
        </w:rPr>
        <w:t xml:space="preserve"> in 2030. The growth in renewable generation, driven primarily by the RET to 2020, is important in all scenarios, even in the no price scena</w:t>
      </w:r>
      <w:r>
        <w:rPr>
          <w:rFonts w:ascii="Georgia" w:hAnsi="Georgia"/>
          <w:color w:val="333333"/>
          <w:lang w:val="en"/>
        </w:rPr>
        <w:t>rio, where the generation mix is otherwise projected to be little changed.</w:t>
      </w:r>
    </w:p>
    <w:p w:rsidR="00000000" w:rsidRDefault="004170B4">
      <w:pPr>
        <w:pStyle w:val="Heading2"/>
        <w:rPr>
          <w:rFonts w:eastAsia="Times New Roman"/>
          <w:color w:val="333333"/>
          <w:lang w:val="en"/>
        </w:rPr>
      </w:pPr>
      <w:r>
        <w:rPr>
          <w:rFonts w:eastAsia="Times New Roman"/>
          <w:color w:val="333333"/>
          <w:lang w:val="en"/>
        </w:rPr>
        <w:t>Figure D.13: Share of electricity generation by fuel type, 2012–2050 </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7872095"/>
            <wp:effectExtent l="0" t="0" r="0" b="0"/>
            <wp:docPr id="13" name="Picture 13" descr="Figure D.13 shows the share of electricity generation by fuel type between 2012 and 2050, under the no price, medium price and high price scenarios.&#10;The main difference is that in the medium and high scenarios have a more diverse energy mix, with much more generation from low- and zero-emissions sources, including renewable energy and carbon capture and storage. In the no price scenario, black coal contributes over half of electricity generation in 2050, around 20 per cent in 2050 in the medium scenario and its contribution falls to around zero in the mid-2030s in the high scenario. In the medium and high scenarios, the largest contributor to electricity generation is solar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D.13 shows the share of electricity generation by fuel type between 2012 and 2050, under the no price, medium price and high price scenarios.&#10;The main difference is that in the medium and high scenarios have a more diverse energy mix, with much more generation from low- and zero-emissions sources, including renewable energy and carbon capture and storage. In the no price scenario, black coal contributes over half of electricity generation in 2050, around 20 per cent in 2050 in the medium scenario and its contribution falls to around zero in the mid-2030s in the high scenario. In the medium and high scenarios, the largest contributor to electricity generation is solar in 2050.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6770" cy="787209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Based on electricity generation ‘as generated’.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Uncertainties abou</w:t>
      </w:r>
      <w:r>
        <w:rPr>
          <w:rFonts w:ascii="Georgia" w:hAnsi="Georgia"/>
          <w:color w:val="333333"/>
          <w:lang w:val="en"/>
        </w:rPr>
        <w:t>t the timing and magnitude of declines in emissions-intensive electricity generation and growth in low-emissions generation give rise to a range of potential electricity supply mixes for Australia. Table D.3 presents the projected range of generation share</w:t>
      </w:r>
      <w:r>
        <w:rPr>
          <w:rFonts w:ascii="Georgia" w:hAnsi="Georgia"/>
          <w:color w:val="333333"/>
          <w:lang w:val="en"/>
        </w:rPr>
        <w:t>s between the no price and high scenarios.</w:t>
      </w:r>
    </w:p>
    <w:p w:rsidR="00000000" w:rsidRDefault="004170B4">
      <w:pPr>
        <w:pStyle w:val="Heading2"/>
        <w:rPr>
          <w:rFonts w:eastAsia="Times New Roman"/>
          <w:color w:val="333333"/>
          <w:lang w:val="en"/>
        </w:rPr>
      </w:pPr>
      <w:r>
        <w:rPr>
          <w:rFonts w:eastAsia="Times New Roman"/>
          <w:color w:val="333333"/>
          <w:lang w:val="en"/>
        </w:rPr>
        <w:t>Table D.3: Share of electricity generation for selected fuels and technologies, 2000–2030 (no price to high scenario)</w:t>
      </w:r>
    </w:p>
    <w:tbl>
      <w:tblPr>
        <w:tblW w:w="5000" w:type="pct"/>
        <w:tblCellSpacing w:w="15" w:type="dxa"/>
        <w:tblLook w:val="04A0" w:firstRow="1" w:lastRow="0" w:firstColumn="1" w:lastColumn="0" w:noHBand="0" w:noVBand="1"/>
      </w:tblPr>
      <w:tblGrid>
        <w:gridCol w:w="2423"/>
        <w:gridCol w:w="1411"/>
        <w:gridCol w:w="1307"/>
        <w:gridCol w:w="1307"/>
        <w:gridCol w:w="2579"/>
      </w:tblGrid>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w:t>
            </w:r>
          </w:p>
        </w:tc>
        <w:tc>
          <w:tcPr>
            <w:tcW w:w="0" w:type="auto"/>
            <w:gridSpan w:val="2"/>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Historical</w:t>
            </w:r>
          </w:p>
        </w:tc>
        <w:tc>
          <w:tcPr>
            <w:tcW w:w="0" w:type="auto"/>
            <w:gridSpan w:val="2"/>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Projected</w:t>
            </w:r>
          </w:p>
        </w:tc>
      </w:tr>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Fuel type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2020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Emphasis"/>
                <w:rFonts w:ascii="Georgia" w:hAnsi="Georgia"/>
                <w:color w:val="333333"/>
              </w:rPr>
              <w:t>2030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Coal (conventional)</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71%</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48–67%</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9–70%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Natural gas (conventional)</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15%</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9–25%</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8–14%</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Coal and gas with CCS</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Not available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Not available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Not available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Up to 7%</w:t>
            </w:r>
          </w:p>
          <w:p w:rsidR="00000000" w:rsidRDefault="004170B4">
            <w:pPr>
              <w:pStyle w:val="NormalWeb"/>
              <w:spacing w:line="300" w:lineRule="atLeast"/>
              <w:rPr>
                <w:rFonts w:ascii="Georgia" w:hAnsi="Georgia"/>
                <w:color w:val="333333"/>
              </w:rPr>
            </w:pPr>
            <w:r>
              <w:rPr>
                <w:rFonts w:ascii="Georgia" w:hAnsi="Georgia"/>
                <w:color w:val="333333"/>
              </w:rPr>
              <w:t>Potentially deployed as early as 2030 but as late as mid 2040s</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All renewable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11%</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21–24%</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21–69%</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Solar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Negligible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6–14%</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Wind</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Negligible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11–12%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9–20%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Geothermal</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Not available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Not available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Not available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Up to 28%</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Results are based on shares of generation ‘as generated’ for four modelled scenarios with various levels of price incentive, as described in Chapter </w:t>
      </w:r>
      <w:r>
        <w:rPr>
          <w:rFonts w:ascii="Georgia" w:hAnsi="Georgia"/>
          <w:color w:val="333333"/>
          <w:lang w:val="en"/>
        </w:rPr>
        <w:t>9. All scenarios include the RET as legislated. ‘All renewables’ includes hydro, wind, geothermal, biomass, solar PV and solar thermal. Solar water heating is not included.</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Off-grid electricity generation, which is genera</w:t>
      </w:r>
      <w:r>
        <w:rPr>
          <w:rFonts w:ascii="Georgia" w:hAnsi="Georgia"/>
          <w:color w:val="333333"/>
          <w:lang w:val="en"/>
        </w:rPr>
        <w:t>lly in regional and remote areas, has a different supply mix. Its emissions intensity is currently lower than for Australia’s as a whole. In 2012, almost 80 per cent of off-grid generation was produced using gas, reflecting the high proportion of energy an</w:t>
      </w:r>
      <w:r>
        <w:rPr>
          <w:rFonts w:ascii="Georgia" w:hAnsi="Georgia"/>
          <w:color w:val="333333"/>
          <w:lang w:val="en"/>
        </w:rPr>
        <w:t xml:space="preserve">d resource operations located in areas </w:t>
      </w:r>
      <w:r>
        <w:rPr>
          <w:rFonts w:ascii="Georgia" w:hAnsi="Georgia"/>
          <w:color w:val="333333"/>
          <w:lang w:val="en"/>
        </w:rPr>
        <w:lastRenderedPageBreak/>
        <w:t>supplied by gas pipelines (BREE 2013c). Indications are that gas generation will continue to dominate off-grid electricity generation (ACIL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Compared with the national average of almost 10 per c</w:t>
      </w:r>
      <w:r>
        <w:rPr>
          <w:rFonts w:ascii="Georgia" w:hAnsi="Georgia"/>
          <w:color w:val="333333"/>
          <w:lang w:val="en"/>
        </w:rPr>
        <w:t>ent, the share of renewables in off-grid generation was as little as 2 per cent, with the greatest share in the southern states. In Tasmania, New South Wales, Victoria and the Australian Capital Territory, renewables account for 27 per cent of off-grid gen</w:t>
      </w:r>
      <w:r>
        <w:rPr>
          <w:rFonts w:ascii="Georgia" w:hAnsi="Georgia"/>
          <w:color w:val="333333"/>
          <w:lang w:val="en"/>
        </w:rPr>
        <w:t xml:space="preserve">eration (BREE 2013c, p. 19). </w:t>
      </w:r>
    </w:p>
    <w:p w:rsidR="00000000" w:rsidRDefault="004170B4">
      <w:pPr>
        <w:pStyle w:val="Heading4"/>
        <w:rPr>
          <w:rFonts w:eastAsia="Times New Roman"/>
          <w:color w:val="333333"/>
          <w:lang w:val="en"/>
        </w:rPr>
      </w:pPr>
      <w:r>
        <w:rPr>
          <w:rFonts w:eastAsia="Times New Roman"/>
          <w:color w:val="333333"/>
          <w:lang w:val="en"/>
        </w:rPr>
        <w:t>D3.2.3 Drivers of emissions intensity of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Several drivers will influence the deployment and diffusion of technologies that determine the emissions intensity </w:t>
      </w:r>
      <w:r>
        <w:rPr>
          <w:rFonts w:ascii="Georgia" w:hAnsi="Georgia"/>
          <w:color w:val="333333"/>
          <w:lang w:val="en"/>
        </w:rPr>
        <w:t>of electricity supply. The primary determinant of the supply mix—and how quickly emissions-intensive generators decline and low-emissions generators grow—will be the relative cost of generation from different sources. Coal currently dominates Australia’s e</w:t>
      </w:r>
      <w:r>
        <w:rPr>
          <w:rFonts w:ascii="Georgia" w:hAnsi="Georgia"/>
          <w:color w:val="333333"/>
          <w:lang w:val="en"/>
        </w:rPr>
        <w:t>lectricity supply because it has the lowest marginal costs of operation.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Multiple drivers change the business cases of electricity generation projects. Modelling suggests that policy is a critical influence. The presence of a price incentive for emissions </w:t>
      </w:r>
      <w:r>
        <w:rPr>
          <w:rFonts w:ascii="Georgia" w:hAnsi="Georgia"/>
          <w:color w:val="333333"/>
          <w:lang w:val="en"/>
        </w:rPr>
        <w:t>reduction, and the level of that incentive, can make different sources more or less competitive. This is evident from the greater share of low-emissions generation in scenarios with a higher price incentive. The effect of the RET, which provides an additio</w:t>
      </w:r>
      <w:r>
        <w:rPr>
          <w:rFonts w:ascii="Georgia" w:hAnsi="Georgia"/>
          <w:color w:val="333333"/>
          <w:lang w:val="en"/>
        </w:rPr>
        <w:t>nal revenue stream to support the deployment of renewable sources, is also apparent to the 2020s. If the RET was reduced or not met, the emissions intensity of generation would be higher than that projected here.</w:t>
      </w:r>
    </w:p>
    <w:p w:rsidR="00000000" w:rsidRDefault="004170B4">
      <w:pPr>
        <w:pStyle w:val="NormalWeb"/>
        <w:spacing w:line="300" w:lineRule="atLeast"/>
        <w:rPr>
          <w:rFonts w:ascii="Georgia" w:hAnsi="Georgia"/>
          <w:color w:val="333333"/>
          <w:lang w:val="en"/>
        </w:rPr>
      </w:pPr>
      <w:r>
        <w:rPr>
          <w:rFonts w:ascii="Georgia" w:hAnsi="Georgia"/>
          <w:color w:val="333333"/>
          <w:lang w:val="en"/>
        </w:rPr>
        <w:t>Other drivers include exchange rates, commo</w:t>
      </w:r>
      <w:r>
        <w:rPr>
          <w:rFonts w:ascii="Georgia" w:hAnsi="Georgia"/>
          <w:color w:val="333333"/>
          <w:lang w:val="en"/>
        </w:rPr>
        <w:t xml:space="preserve">dity prices, interest rates, and rates of deployment and learning. In the near term, the </w:t>
      </w:r>
      <w:proofErr w:type="spellStart"/>
      <w:r>
        <w:rPr>
          <w:rFonts w:ascii="Georgia" w:hAnsi="Georgia"/>
          <w:color w:val="333333"/>
          <w:lang w:val="en"/>
        </w:rPr>
        <w:t>levelised</w:t>
      </w:r>
      <w:proofErr w:type="spellEnd"/>
      <w:r>
        <w:rPr>
          <w:rFonts w:ascii="Georgia" w:hAnsi="Georgia"/>
          <w:color w:val="333333"/>
          <w:lang w:val="en"/>
        </w:rPr>
        <w:t xml:space="preserve"> cost of electricity (LCOE) from different technologies will also be driven by fuel costs and the value of RET certificates. Given uncertainties about these m</w:t>
      </w:r>
      <w:r>
        <w:rPr>
          <w:rFonts w:ascii="Georgia" w:hAnsi="Georgia"/>
          <w:color w:val="333333"/>
          <w:lang w:val="en"/>
        </w:rPr>
        <w:t xml:space="preserve">any drivers, there is a range of estimates about costs of future generation. Figure D.14 reflects one view from the Bureau of Resource and Energy Economics (BREE 2012). In its 2013 </w:t>
      </w:r>
      <w:r>
        <w:rPr>
          <w:rStyle w:val="Emphasis"/>
          <w:rFonts w:ascii="Georgia" w:hAnsi="Georgia"/>
          <w:color w:val="333333"/>
          <w:lang w:val="en"/>
        </w:rPr>
        <w:t>AETA Update</w:t>
      </w:r>
      <w:r>
        <w:rPr>
          <w:rFonts w:ascii="Georgia" w:hAnsi="Georgia"/>
          <w:color w:val="333333"/>
          <w:lang w:val="en"/>
        </w:rPr>
        <w:t>, BREE revises down its estimates for LCOE for renewable generat</w:t>
      </w:r>
      <w:r>
        <w:rPr>
          <w:rFonts w:ascii="Georgia" w:hAnsi="Georgia"/>
          <w:color w:val="333333"/>
          <w:lang w:val="en"/>
        </w:rPr>
        <w:t xml:space="preserve">ion, particularly post-2030. The projected improvement in cost is especially significant for solar thermal, even without a price incentive (BREE 2013d, p. 62). </w:t>
      </w:r>
    </w:p>
    <w:p w:rsidR="00000000" w:rsidRDefault="004170B4">
      <w:pPr>
        <w:pStyle w:val="Heading2"/>
        <w:rPr>
          <w:rFonts w:eastAsia="Times New Roman"/>
          <w:color w:val="333333"/>
          <w:lang w:val="en"/>
        </w:rPr>
      </w:pPr>
      <w:r>
        <w:rPr>
          <w:rFonts w:eastAsia="Times New Roman"/>
          <w:color w:val="333333"/>
          <w:lang w:val="en"/>
        </w:rPr>
        <w:t>Figure D.14: Projected cost of selected generation technologies (with a carbon price), in 2020,</w:t>
      </w:r>
      <w:r>
        <w:rPr>
          <w:rFonts w:eastAsia="Times New Roman"/>
          <w:color w:val="333333"/>
          <w:lang w:val="en"/>
        </w:rPr>
        <w:t xml:space="preserve"> 2030 and 2040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364740"/>
            <wp:effectExtent l="0" t="0" r="0" b="0"/>
            <wp:docPr id="14" name="Picture 14" descr="Figure D.14 shows the projected levelised cost of electricity of selected electricity generation technologies (with a carbon price) in 2020, 2030 and 2040. &#10;In 2020 and 2030 solar thermal has the highest levelised cost of electricity and in 2040 shares the approximate highest price with brown coal. In 2020 and 2030 wind has the lowest levelised cost of electricity and shares the approximate lowest price in 2040 with solar PV. Forecast wholesale prices for the national electricity market, per megawatt hour, are projected to be below the levelised cost of electricity for most technolo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D.14 shows the projected levelised cost of electricity of selected electricity generation technologies (with a carbon price) in 2020, 2030 and 2040. &#10;In 2020 and 2030 solar thermal has the highest levelised cost of electricity and in 2040 shares the approximate highest price with brown coal. In 2020 and 2030 wind has the lowest levelised cost of electricity and shares the approximate lowest price in 2040 with solar PV. Forecast wholesale prices for the national electricity market, per megawatt hour, are projected to be below the levelised cost of electricity for most technologies.&#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770" cy="236474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Notes: </w:t>
      </w:r>
      <w:r>
        <w:rPr>
          <w:rFonts w:ascii="Georgia" w:hAnsi="Georgia"/>
          <w:color w:val="333333"/>
          <w:lang w:val="en"/>
        </w:rPr>
        <w:t xml:space="preserve">Assumes a price incentive around the levels in the Treasury and DIICCSRTE’s 2013 medium scenario. Solar thermal is compact linear Fresnel reflector (CLFR) without storage; solar PV is fixed (no tracking). Brown coal prices are for </w:t>
      </w:r>
      <w:r>
        <w:rPr>
          <w:rFonts w:ascii="Georgia" w:hAnsi="Georgia"/>
          <w:color w:val="333333"/>
          <w:lang w:val="en"/>
        </w:rPr>
        <w:t xml:space="preserve">Vic.; black coal, gas, wind and solar are for NSW; geothermal is in SA.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ACIL Allen Consulting 2013 medium scenario (‘central scenario’) (for NEM prices); BREE 2012 (for LCOE)</w:t>
      </w:r>
    </w:p>
    <w:p w:rsidR="00000000" w:rsidRDefault="004170B4">
      <w:pPr>
        <w:pStyle w:val="NormalWeb"/>
        <w:spacing w:line="300" w:lineRule="atLeast"/>
        <w:rPr>
          <w:rFonts w:ascii="Georgia" w:hAnsi="Georgia"/>
          <w:color w:val="333333"/>
          <w:lang w:val="en"/>
        </w:rPr>
      </w:pPr>
      <w:r>
        <w:rPr>
          <w:rFonts w:ascii="Georgia" w:hAnsi="Georgia"/>
          <w:color w:val="333333"/>
          <w:lang w:val="en"/>
        </w:rPr>
        <w:t>To at least 2020, relatively stable demand for grid-connected electricit</w:t>
      </w:r>
      <w:r>
        <w:rPr>
          <w:rFonts w:ascii="Georgia" w:hAnsi="Georgia"/>
          <w:color w:val="333333"/>
          <w:lang w:val="en"/>
        </w:rPr>
        <w:t xml:space="preserve">y makes it unlikely that there will be significant investment in electricity generation, except in response to policy drivers such as the RET (AEMO 2013g). During this period, existing generators, which have already </w:t>
      </w:r>
      <w:proofErr w:type="spellStart"/>
      <w:r>
        <w:rPr>
          <w:rFonts w:ascii="Georgia" w:hAnsi="Georgia"/>
          <w:color w:val="333333"/>
          <w:lang w:val="en"/>
        </w:rPr>
        <w:t>amortised</w:t>
      </w:r>
      <w:proofErr w:type="spellEnd"/>
      <w:r>
        <w:rPr>
          <w:rFonts w:ascii="Georgia" w:hAnsi="Georgia"/>
          <w:color w:val="333333"/>
          <w:lang w:val="en"/>
        </w:rPr>
        <w:t xml:space="preserve"> their initial capital investme</w:t>
      </w:r>
      <w:r>
        <w:rPr>
          <w:rFonts w:ascii="Georgia" w:hAnsi="Georgia"/>
          <w:color w:val="333333"/>
          <w:lang w:val="en"/>
        </w:rPr>
        <w:t>nt, will be likely to continue to operate. This means that the risk of ‘lock-in’ of new high-emissions generation is relatively low for the next 10 years.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Longer term, as economic activity grows and electricity demand rises, new generation will be needed. </w:t>
      </w:r>
      <w:r>
        <w:rPr>
          <w:rFonts w:ascii="Georgia" w:hAnsi="Georgia"/>
          <w:color w:val="333333"/>
          <w:lang w:val="en"/>
        </w:rPr>
        <w:t>Capital and regulatory hurdles aside, lower cost generation sources will be taken up more quickly and deployed more widely. Given the long operating life of electricity generators, future fleet investment choices are likely to influence Australia’s emissio</w:t>
      </w:r>
      <w:r>
        <w:rPr>
          <w:rFonts w:ascii="Georgia" w:hAnsi="Georgia"/>
          <w:color w:val="333333"/>
          <w:lang w:val="en"/>
        </w:rPr>
        <w:t xml:space="preserve">ns for decades. Investment plans of major energy sector players, however, suggest building new emissions-intensive coal-fired plants is unlikely (see, for example, AGL 2013, pp. 37–8). </w:t>
      </w:r>
    </w:p>
    <w:p w:rsidR="00000000" w:rsidRDefault="004170B4">
      <w:pPr>
        <w:pStyle w:val="NormalWeb"/>
        <w:spacing w:line="300" w:lineRule="atLeast"/>
        <w:rPr>
          <w:rFonts w:ascii="Georgia" w:hAnsi="Georgia"/>
          <w:color w:val="333333"/>
          <w:lang w:val="en"/>
        </w:rPr>
      </w:pPr>
      <w:r>
        <w:rPr>
          <w:rFonts w:ascii="Georgia" w:hAnsi="Georgia"/>
          <w:color w:val="333333"/>
          <w:lang w:val="en"/>
        </w:rPr>
        <w:t>When the drivers that affect technology costs change, so do the projec</w:t>
      </w:r>
      <w:r>
        <w:rPr>
          <w:rFonts w:ascii="Georgia" w:hAnsi="Georgia"/>
          <w:color w:val="333333"/>
          <w:lang w:val="en"/>
        </w:rPr>
        <w:t>ted electricity generation mix and projected emissions, as shown in Table D.4. Findings of ACIL Allen Consulting’s (2013) modelling sensitivities include:</w:t>
      </w:r>
    </w:p>
    <w:p w:rsidR="00000000" w:rsidRDefault="004170B4" w:rsidP="004170B4">
      <w:pPr>
        <w:numPr>
          <w:ilvl w:val="0"/>
          <w:numId w:val="1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 higher price incentive will see greater emissions reductions. The share of coal will fall more quic</w:t>
      </w:r>
      <w:r>
        <w:rPr>
          <w:rFonts w:ascii="Georgia" w:eastAsia="Times New Roman" w:hAnsi="Georgia"/>
          <w:color w:val="333333"/>
          <w:lang w:val="en"/>
        </w:rPr>
        <w:t>kly and coal-fired plants retire sooner, and the share of low-emissions electricity generation, including renewables and CCS, could be larger.</w:t>
      </w:r>
    </w:p>
    <w:p w:rsidR="00000000" w:rsidRDefault="004170B4" w:rsidP="004170B4">
      <w:pPr>
        <w:numPr>
          <w:ilvl w:val="0"/>
          <w:numId w:val="1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 higher price for gas, oil and coal will have an uncertain effect on emissions, depending on the relative prices</w:t>
      </w:r>
      <w:r>
        <w:rPr>
          <w:rFonts w:ascii="Georgia" w:eastAsia="Times New Roman" w:hAnsi="Georgia"/>
          <w:color w:val="333333"/>
          <w:lang w:val="en"/>
        </w:rPr>
        <w:t xml:space="preserve"> for these fuels at different times. Since fuel prices usually comprise a greater share of generation costs for gas-fired </w:t>
      </w:r>
      <w:r>
        <w:rPr>
          <w:rFonts w:ascii="Georgia" w:eastAsia="Times New Roman" w:hAnsi="Georgia"/>
          <w:color w:val="333333"/>
          <w:lang w:val="en"/>
        </w:rPr>
        <w:lastRenderedPageBreak/>
        <w:t>generators than coal-fired generators, higher fuel prices may disadvantage gas over coal. Higher fuel prices would also disadvantage f</w:t>
      </w:r>
      <w:r>
        <w:rPr>
          <w:rFonts w:ascii="Georgia" w:eastAsia="Times New Roman" w:hAnsi="Georgia"/>
          <w:color w:val="333333"/>
          <w:lang w:val="en"/>
        </w:rPr>
        <w:t>ossil-fuelled generators over renewables by the late 2020s, leading to a fall in emissions.</w:t>
      </w:r>
    </w:p>
    <w:p w:rsidR="00000000" w:rsidRDefault="004170B4" w:rsidP="004170B4">
      <w:pPr>
        <w:numPr>
          <w:ilvl w:val="0"/>
          <w:numId w:val="1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Faster cost reductions for solar PV would lead to its greater deployment, probably at the expense of coal, with corresponding falls in emissions for at least two de</w:t>
      </w:r>
      <w:r>
        <w:rPr>
          <w:rFonts w:ascii="Georgia" w:eastAsia="Times New Roman" w:hAnsi="Georgia"/>
          <w:color w:val="333333"/>
          <w:lang w:val="en"/>
        </w:rPr>
        <w:t xml:space="preserve">cades. </w:t>
      </w:r>
    </w:p>
    <w:p w:rsidR="00000000" w:rsidRDefault="004170B4">
      <w:pPr>
        <w:pStyle w:val="Heading2"/>
        <w:rPr>
          <w:rFonts w:eastAsia="Times New Roman"/>
          <w:color w:val="333333"/>
          <w:lang w:val="en"/>
        </w:rPr>
      </w:pPr>
      <w:r>
        <w:rPr>
          <w:rFonts w:eastAsia="Times New Roman"/>
          <w:color w:val="333333"/>
          <w:lang w:val="en"/>
        </w:rPr>
        <w:t>Table D.4: Effect of sensitivities on generation share and emissions, relative to medium scenario, in 2030</w:t>
      </w:r>
    </w:p>
    <w:tbl>
      <w:tblPr>
        <w:tblW w:w="5150" w:type="pct"/>
        <w:tblCellMar>
          <w:top w:w="6" w:type="dxa"/>
          <w:left w:w="6" w:type="dxa"/>
          <w:bottom w:w="6" w:type="dxa"/>
          <w:right w:w="6" w:type="dxa"/>
        </w:tblCellMar>
        <w:tblLook w:val="04A0" w:firstRow="1" w:lastRow="0" w:firstColumn="1" w:lastColumn="0" w:noHBand="0" w:noVBand="1"/>
      </w:tblPr>
      <w:tblGrid>
        <w:gridCol w:w="1498"/>
        <w:gridCol w:w="920"/>
        <w:gridCol w:w="899"/>
        <w:gridCol w:w="2063"/>
        <w:gridCol w:w="2063"/>
        <w:gridCol w:w="1070"/>
        <w:gridCol w:w="1514"/>
      </w:tblGrid>
      <w:tr w:rsidR="00000000">
        <w:trPr>
          <w:tblHeader/>
        </w:trPr>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Wind</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Solar</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Gas (conventional)</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Coal (conventional)</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Coal (CCS)*</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xml:space="preserve">Emissions </w:t>
            </w:r>
          </w:p>
        </w:tc>
      </w:tr>
      <w:tr w:rsidR="00000000">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Higher incentives for emissions reduction (‘high scenario’)</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r>
      <w:tr w:rsidR="00000000">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Higher fuel price (gas, coal, oil)</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 / </w:t>
            </w:r>
            <w:r>
              <w:rPr>
                <w:color w:val="333333"/>
              </w:rPr>
              <w:t>↓</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 / </w:t>
            </w:r>
            <w:r>
              <w:rPr>
                <w:color w:val="333333"/>
              </w:rPr>
              <w:t>↓</w:t>
            </w:r>
          </w:p>
        </w:tc>
      </w:tr>
      <w:tr w:rsidR="00000000">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Geothermal and CCS unavailable</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r>
      <w:tr w:rsidR="00000000">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Faster learning rates or lower costs for solar PV</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r>
      <w:tr w:rsidR="00000000">
        <w:tc>
          <w:tcPr>
            <w:tcW w:w="75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Higher electricity demand </w:t>
            </w:r>
          </w:p>
        </w:tc>
        <w:tc>
          <w:tcPr>
            <w:tcW w:w="53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480"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728"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681"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color w:val="333333"/>
              </w:rPr>
              <w:t>↑</w:t>
            </w:r>
          </w:p>
        </w:tc>
        <w:tc>
          <w:tcPr>
            <w:tcW w:w="833"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w:t>
            </w:r>
          </w:p>
        </w:tc>
        <w:tc>
          <w:tcPr>
            <w:tcW w:w="985" w:type="pct"/>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 / </w:t>
            </w:r>
            <w:r>
              <w:rPr>
                <w:color w:val="333333"/>
              </w:rPr>
              <w:t>↑</w:t>
            </w:r>
          </w:p>
        </w:tc>
      </w:tr>
    </w:tbl>
    <w:p w:rsidR="00000000" w:rsidRDefault="004170B4">
      <w:pPr>
        <w:pStyle w:val="NormalWeb"/>
        <w:spacing w:line="300" w:lineRule="atLeast"/>
        <w:rPr>
          <w:rFonts w:ascii="Georgia" w:hAnsi="Georgia"/>
          <w:color w:val="333333"/>
          <w:lang w:val="en"/>
        </w:rPr>
      </w:pPr>
      <w:r>
        <w:rPr>
          <w:rFonts w:ascii="Georgia" w:hAnsi="Georgia"/>
          <w:color w:val="333333"/>
          <w:lang w:val="en"/>
        </w:rPr>
        <w:t>*Geothermal and CCS are not projected to be deployed at a significant rate by 2030 in the medium scenario, nor under any sensitivity except the high scenario.</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Changes are relative to projected generation in the medium scenario.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ACIL Allen Co</w:t>
      </w:r>
      <w:r>
        <w:rPr>
          <w:rFonts w:ascii="Georgia" w:hAnsi="Georgia"/>
          <w:color w:val="333333"/>
          <w:lang w:val="en"/>
        </w:rPr>
        <w:t>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Another determinant of investment is the stability of policy and the amount of information available to investors in electricity generation assets. Clear and stable incentives for emissions reductions are important. Uncertainty could lead to </w:t>
      </w:r>
      <w:r>
        <w:rPr>
          <w:rFonts w:ascii="Georgia" w:hAnsi="Georgia"/>
          <w:color w:val="333333"/>
          <w:lang w:val="en"/>
        </w:rPr>
        <w:t>suboptimal investment in an electricity supply mix over the long term (Investment Reference Group 2011). Recent analysis estimates that, by 2050, uncertainty about carbon pricing after 2020 could result in Australian wholesale electricity prices 17 per cen</w:t>
      </w:r>
      <w:r>
        <w:rPr>
          <w:rFonts w:ascii="Georgia" w:hAnsi="Georgia"/>
          <w:color w:val="333333"/>
          <w:lang w:val="en"/>
        </w:rPr>
        <w:t xml:space="preserve">t higher than they would be in an environment of policy certainty (CSIRO 2013, pp. 40, 52). </w:t>
      </w:r>
    </w:p>
    <w:p w:rsidR="00000000" w:rsidRDefault="004170B4">
      <w:pPr>
        <w:pStyle w:val="NormalWeb"/>
        <w:spacing w:line="300" w:lineRule="atLeast"/>
        <w:rPr>
          <w:rFonts w:ascii="Georgia" w:hAnsi="Georgia"/>
          <w:color w:val="333333"/>
          <w:lang w:val="en"/>
        </w:rPr>
      </w:pPr>
      <w:r>
        <w:rPr>
          <w:rFonts w:ascii="Georgia" w:hAnsi="Georgia"/>
          <w:color w:val="333333"/>
          <w:lang w:val="en"/>
        </w:rPr>
        <w:t>Investor confidence could be increased by publishing more information on the pipeline for grid-connected electricity generation assets. This data could also assist</w:t>
      </w:r>
      <w:r>
        <w:rPr>
          <w:rFonts w:ascii="Georgia" w:hAnsi="Georgia"/>
          <w:color w:val="333333"/>
          <w:lang w:val="en"/>
        </w:rPr>
        <w:t xml:space="preserve"> policy-makers. One way to do this may be through a rule change that allows AEMO and transmission companies to disclose connection applications from generation proponents, to avoid the risk of its public list of generation committed for construction being </w:t>
      </w:r>
      <w:r>
        <w:rPr>
          <w:rFonts w:ascii="Georgia" w:hAnsi="Georgia"/>
          <w:color w:val="333333"/>
          <w:lang w:val="en"/>
        </w:rPr>
        <w:t>out of date or incomplete.</w:t>
      </w:r>
    </w:p>
    <w:p w:rsidR="00000000" w:rsidRDefault="004170B4">
      <w:pPr>
        <w:pStyle w:val="Heading3"/>
        <w:rPr>
          <w:rFonts w:eastAsia="Times New Roman"/>
          <w:color w:val="333333"/>
          <w:lang w:val="en"/>
        </w:rPr>
      </w:pPr>
      <w:r>
        <w:rPr>
          <w:rFonts w:eastAsia="Times New Roman"/>
          <w:color w:val="333333"/>
          <w:lang w:val="en"/>
        </w:rPr>
        <w:t>D3.3 Emissions reduction opportunities from existing generation</w:t>
      </w:r>
    </w:p>
    <w:p w:rsidR="00000000" w:rsidRDefault="004170B4">
      <w:pPr>
        <w:pStyle w:val="Heading4"/>
        <w:rPr>
          <w:rFonts w:eastAsia="Times New Roman"/>
          <w:color w:val="333333"/>
          <w:lang w:val="en"/>
        </w:rPr>
      </w:pPr>
      <w:r>
        <w:rPr>
          <w:rFonts w:eastAsia="Times New Roman"/>
          <w:color w:val="333333"/>
          <w:lang w:val="en"/>
        </w:rPr>
        <w:t>D3.3.1 Fossil-fuelled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To at least 2020, existing and committed electricity supply is expected to be adequate to meet demand in the NEM (AEMO 2013b). This,</w:t>
      </w:r>
      <w:r>
        <w:rPr>
          <w:rFonts w:ascii="Georgia" w:hAnsi="Georgia"/>
          <w:color w:val="333333"/>
          <w:lang w:val="en"/>
        </w:rPr>
        <w:t xml:space="preserve"> combined with uncertainty in policy and fuel prices, is likely to lead to only incremental or small-scale change in the electricity sector. </w:t>
      </w:r>
    </w:p>
    <w:p w:rsidR="00000000" w:rsidRDefault="004170B4">
      <w:pPr>
        <w:pStyle w:val="NormalWeb"/>
        <w:spacing w:line="300" w:lineRule="atLeast"/>
        <w:rPr>
          <w:rFonts w:ascii="Georgia" w:hAnsi="Georgia"/>
          <w:color w:val="333333"/>
          <w:lang w:val="en"/>
        </w:rPr>
      </w:pPr>
      <w:r>
        <w:rPr>
          <w:rFonts w:ascii="Georgia" w:hAnsi="Georgia"/>
          <w:color w:val="333333"/>
          <w:lang w:val="en"/>
        </w:rPr>
        <w:t>In the near term, the main opportunities to reduce the emissions intensity of the existing generation fleet may re</w:t>
      </w:r>
      <w:r>
        <w:rPr>
          <w:rFonts w:ascii="Georgia" w:hAnsi="Georgia"/>
          <w:color w:val="333333"/>
          <w:lang w:val="en"/>
        </w:rPr>
        <w:t>late to:</w:t>
      </w:r>
    </w:p>
    <w:p w:rsidR="00000000" w:rsidRDefault="004170B4" w:rsidP="004170B4">
      <w:pPr>
        <w:numPr>
          <w:ilvl w:val="0"/>
          <w:numId w:val="1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reducing output</w:t>
      </w:r>
    </w:p>
    <w:p w:rsidR="00000000" w:rsidRDefault="004170B4" w:rsidP="004170B4">
      <w:pPr>
        <w:numPr>
          <w:ilvl w:val="0"/>
          <w:numId w:val="1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retrofitting</w:t>
      </w:r>
    </w:p>
    <w:p w:rsidR="00000000" w:rsidRDefault="004170B4" w:rsidP="004170B4">
      <w:pPr>
        <w:numPr>
          <w:ilvl w:val="0"/>
          <w:numId w:val="13"/>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fuel</w:t>
      </w:r>
      <w:proofErr w:type="gramEnd"/>
      <w:r>
        <w:rPr>
          <w:rFonts w:ascii="Georgia" w:eastAsia="Times New Roman" w:hAnsi="Georgia"/>
          <w:color w:val="333333"/>
          <w:lang w:val="en"/>
        </w:rPr>
        <w:t xml:space="preserve"> prices. </w:t>
      </w:r>
    </w:p>
    <w:p w:rsidR="00000000" w:rsidRDefault="004170B4">
      <w:pPr>
        <w:pStyle w:val="Heading5"/>
        <w:rPr>
          <w:rFonts w:eastAsia="Times New Roman"/>
          <w:color w:val="333333"/>
          <w:lang w:val="en"/>
        </w:rPr>
      </w:pPr>
      <w:r>
        <w:rPr>
          <w:rFonts w:eastAsia="Times New Roman"/>
          <w:color w:val="333333"/>
          <w:lang w:val="en"/>
        </w:rPr>
        <w:t>Reducing output</w:t>
      </w:r>
    </w:p>
    <w:p w:rsidR="00000000" w:rsidRDefault="004170B4">
      <w:pPr>
        <w:pStyle w:val="NormalWeb"/>
        <w:spacing w:line="300" w:lineRule="atLeast"/>
        <w:rPr>
          <w:rFonts w:ascii="Georgia" w:hAnsi="Georgia"/>
          <w:color w:val="333333"/>
          <w:lang w:val="en"/>
        </w:rPr>
      </w:pPr>
      <w:r>
        <w:rPr>
          <w:rFonts w:ascii="Georgia" w:hAnsi="Georgia"/>
          <w:color w:val="333333"/>
          <w:lang w:val="en"/>
        </w:rPr>
        <w:t>The recent trend in coal-fired generation has been for plants to reduce output rather than retire. Since 2009, over 2,000 MW of coal-fired generation has been mothballed and coal-fired ass</w:t>
      </w:r>
      <w:r>
        <w:rPr>
          <w:rFonts w:ascii="Georgia" w:hAnsi="Georgia"/>
          <w:color w:val="333333"/>
          <w:lang w:val="en"/>
        </w:rPr>
        <w:t xml:space="preserve">et </w:t>
      </w:r>
      <w:proofErr w:type="spellStart"/>
      <w:r>
        <w:rPr>
          <w:rFonts w:ascii="Georgia" w:hAnsi="Georgia"/>
          <w:color w:val="333333"/>
          <w:lang w:val="en"/>
        </w:rPr>
        <w:t>utilisation</w:t>
      </w:r>
      <w:proofErr w:type="spellEnd"/>
      <w:r>
        <w:rPr>
          <w:rFonts w:ascii="Georgia" w:hAnsi="Georgia"/>
          <w:color w:val="333333"/>
          <w:lang w:val="en"/>
        </w:rPr>
        <w:t xml:space="preserve"> was down, with black coal falling from 86 to 79 per cent between 2007 and 2013 (</w:t>
      </w:r>
      <w:proofErr w:type="spellStart"/>
      <w:r>
        <w:rPr>
          <w:rFonts w:ascii="Georgia" w:hAnsi="Georgia"/>
          <w:color w:val="333333"/>
          <w:lang w:val="en"/>
        </w:rPr>
        <w:t>ClimateWorks</w:t>
      </w:r>
      <w:proofErr w:type="spellEnd"/>
      <w:r>
        <w:rPr>
          <w:rFonts w:ascii="Georgia" w:hAnsi="Georgia"/>
          <w:color w:val="333333"/>
          <w:lang w:val="en"/>
        </w:rPr>
        <w:t> 2013b, p. 25). Some black coal-fired plants are operating as low as 30–45 per cent of capacity (Pitt &amp; Sherry 2013). If stable demand and policy unc</w:t>
      </w:r>
      <w:r>
        <w:rPr>
          <w:rFonts w:ascii="Georgia" w:hAnsi="Georgia"/>
          <w:color w:val="333333"/>
          <w:lang w:val="en"/>
        </w:rPr>
        <w:t>ertainty delay investment in large new sources of supply, this pattern may continue until the early 2020s. AEMO estimates that between 3,100 and 3,700 MW—or up to 12 per cent—of coal-fired capacity connected to the NEM may be removed by 2020 in scenarios w</w:t>
      </w:r>
      <w:r>
        <w:rPr>
          <w:rFonts w:ascii="Georgia" w:hAnsi="Georgia"/>
          <w:color w:val="333333"/>
          <w:lang w:val="en"/>
        </w:rPr>
        <w:t>ithout or with a carbon price (2013g, p. </w:t>
      </w:r>
      <w:proofErr w:type="gramStart"/>
      <w:r>
        <w:rPr>
          <w:rFonts w:ascii="Georgia" w:hAnsi="Georgia"/>
          <w:color w:val="333333"/>
          <w:lang w:val="en"/>
        </w:rPr>
        <w:t>iv</w:t>
      </w:r>
      <w:proofErr w:type="gramEnd"/>
      <w:r>
        <w:rPr>
          <w:rFonts w:ascii="Georgia" w:hAnsi="Georgia"/>
          <w:color w:val="333333"/>
          <w:lang w:val="en"/>
        </w:rPr>
        <w:t>).</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It is possible that some generators would change business models to run plants as intermediary generation, or operate during summer when wholesale prices are generally higher, rather than close completely (CCA </w:t>
      </w:r>
      <w:r>
        <w:rPr>
          <w:rFonts w:ascii="Georgia" w:hAnsi="Georgia"/>
          <w:color w:val="333333"/>
          <w:lang w:val="en"/>
        </w:rPr>
        <w:t xml:space="preserve">2013). A wide range of modelling studies suggest this is possible, with conventional coal projected to remain in Australia’s electricity supply mix for decades, even if a price incentive to reduce emissions exists. </w:t>
      </w:r>
    </w:p>
    <w:p w:rsidR="00000000" w:rsidRDefault="004170B4">
      <w:pPr>
        <w:pStyle w:val="NormalWeb"/>
        <w:spacing w:line="300" w:lineRule="atLeast"/>
        <w:rPr>
          <w:rFonts w:ascii="Georgia" w:hAnsi="Georgia"/>
          <w:color w:val="333333"/>
          <w:lang w:val="en"/>
        </w:rPr>
      </w:pPr>
      <w:r>
        <w:rPr>
          <w:rFonts w:ascii="Georgia" w:hAnsi="Georgia"/>
          <w:color w:val="333333"/>
          <w:lang w:val="en"/>
        </w:rPr>
        <w:t>Exit costs could present a barrier to re</w:t>
      </w:r>
      <w:r>
        <w:rPr>
          <w:rFonts w:ascii="Georgia" w:hAnsi="Georgia"/>
          <w:color w:val="333333"/>
          <w:lang w:val="en"/>
        </w:rPr>
        <w:t xml:space="preserve">tiring existing fossil fuel plant. Clean-up and remediation requirements, which take effect upon closure, could cost hundreds of millions of dollars, improving the case for operating for longer, even at reduced output (AECOM 2012; </w:t>
      </w:r>
      <w:proofErr w:type="spellStart"/>
      <w:r>
        <w:rPr>
          <w:rFonts w:ascii="Georgia" w:hAnsi="Georgia"/>
          <w:color w:val="333333"/>
          <w:lang w:val="en"/>
        </w:rPr>
        <w:t>Colomer</w:t>
      </w:r>
      <w:proofErr w:type="spellEnd"/>
      <w:r>
        <w:rPr>
          <w:rFonts w:ascii="Georgia" w:hAnsi="Georgia"/>
          <w:color w:val="333333"/>
          <w:lang w:val="en"/>
        </w:rPr>
        <w:t xml:space="preserve"> 2012).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There is </w:t>
      </w:r>
      <w:r>
        <w:rPr>
          <w:rFonts w:ascii="Georgia" w:hAnsi="Georgia"/>
          <w:color w:val="333333"/>
          <w:lang w:val="en"/>
        </w:rPr>
        <w:t>a consistent outlook, across a range of modelling studies, that when a price incentive for emissions reduction exists, coal-fired generation falls. ACIL Allen Consulting (2013) suggests that the share of generation from conventional coal could fall from 71</w:t>
      </w:r>
      <w:r>
        <w:rPr>
          <w:rFonts w:ascii="Georgia" w:hAnsi="Georgia"/>
          <w:color w:val="333333"/>
          <w:lang w:val="en"/>
        </w:rPr>
        <w:t> per cent now to as low as 48 per cent in 2020 and 9 per cent in 2030 (Table D.3). Timing is uncertain, but ACIL Allen Consulting (2013) projects the fall will occur in the late 2030s for black coal and as soon as the early 2020s for brown coal, in the low</w:t>
      </w:r>
      <w:r>
        <w:rPr>
          <w:rFonts w:ascii="Georgia" w:hAnsi="Georgia"/>
          <w:color w:val="333333"/>
          <w:lang w:val="en"/>
        </w:rPr>
        <w:t xml:space="preserve"> and medium scenarios. Under a high scenario, coal-fired generation would fall earlier and more sharply. In contrast, without a price incentive, ACIL Allen Consulting (2013) projects coal could continue to be about 70 per cent of generation in 2030. Some a</w:t>
      </w:r>
      <w:r>
        <w:rPr>
          <w:rFonts w:ascii="Georgia" w:hAnsi="Georgia"/>
          <w:color w:val="333333"/>
          <w:lang w:val="en"/>
        </w:rPr>
        <w:t>nalysts suggest that, without price incentives, existing coal-fired generators (particularly brown coal) could gain market share, partly at the expense of gas-fired generators, which face rising fuel costs (</w:t>
      </w:r>
      <w:proofErr w:type="spellStart"/>
      <w:r>
        <w:rPr>
          <w:rFonts w:ascii="Georgia" w:hAnsi="Georgia"/>
          <w:color w:val="333333"/>
          <w:lang w:val="en"/>
        </w:rPr>
        <w:t>RepuTex</w:t>
      </w:r>
      <w:proofErr w:type="spellEnd"/>
      <w:r>
        <w:rPr>
          <w:rFonts w:ascii="Georgia" w:hAnsi="Georgia"/>
          <w:color w:val="333333"/>
          <w:lang w:val="en"/>
        </w:rPr>
        <w:t xml:space="preserve"> 2013).</w:t>
      </w:r>
    </w:p>
    <w:p w:rsidR="00000000" w:rsidRDefault="004170B4">
      <w:pPr>
        <w:pStyle w:val="Heading5"/>
        <w:rPr>
          <w:rFonts w:eastAsia="Times New Roman"/>
          <w:color w:val="333333"/>
          <w:lang w:val="en"/>
        </w:rPr>
      </w:pPr>
      <w:r>
        <w:rPr>
          <w:rFonts w:eastAsia="Times New Roman"/>
          <w:color w:val="333333"/>
          <w:lang w:val="en"/>
        </w:rPr>
        <w:t>Retrofitting</w:t>
      </w:r>
    </w:p>
    <w:p w:rsidR="00000000" w:rsidRDefault="004170B4">
      <w:pPr>
        <w:pStyle w:val="NormalWeb"/>
        <w:spacing w:line="300" w:lineRule="atLeast"/>
        <w:rPr>
          <w:rFonts w:ascii="Georgia" w:hAnsi="Georgia"/>
          <w:color w:val="333333"/>
          <w:lang w:val="en"/>
        </w:rPr>
      </w:pPr>
      <w:r>
        <w:rPr>
          <w:rFonts w:ascii="Georgia" w:hAnsi="Georgia"/>
          <w:color w:val="333333"/>
          <w:lang w:val="en"/>
        </w:rPr>
        <w:t>Some fossil fuel gene</w:t>
      </w:r>
      <w:r>
        <w:rPr>
          <w:rFonts w:ascii="Georgia" w:hAnsi="Georgia"/>
          <w:color w:val="333333"/>
          <w:lang w:val="en"/>
        </w:rPr>
        <w:t xml:space="preserve">rators may also be retrofitted to operate with lower emissions intensity. Several Australian coal-fired generators have indicated plans to upgrade turbines, modify boiler operation and investigate coal-drying technologies to improve thermal efficiency and </w:t>
      </w:r>
      <w:r>
        <w:rPr>
          <w:rFonts w:ascii="Georgia" w:hAnsi="Georgia"/>
          <w:color w:val="333333"/>
          <w:lang w:val="en"/>
        </w:rPr>
        <w:t xml:space="preserve">reduce emissions (DRET 2013). </w:t>
      </w:r>
    </w:p>
    <w:p w:rsidR="00000000" w:rsidRDefault="004170B4">
      <w:pPr>
        <w:pStyle w:val="NormalWeb"/>
        <w:spacing w:line="300" w:lineRule="atLeast"/>
        <w:rPr>
          <w:rFonts w:ascii="Georgia" w:hAnsi="Georgia"/>
          <w:color w:val="333333"/>
          <w:lang w:val="en"/>
        </w:rPr>
      </w:pPr>
      <w:r>
        <w:rPr>
          <w:rFonts w:ascii="Georgia" w:hAnsi="Georgia"/>
          <w:color w:val="333333"/>
          <w:lang w:val="en"/>
        </w:rPr>
        <w:t>Retrofitting low-efficiency coal-fired units to operate with high-efficiency, low-emissions coal technologies is another option. This is likely to be relatively costly, but the IEA suggests it could be considered on a case-by</w:t>
      </w:r>
      <w:r>
        <w:rPr>
          <w:rFonts w:ascii="Georgia" w:hAnsi="Georgia"/>
          <w:color w:val="333333"/>
          <w:lang w:val="en"/>
        </w:rPr>
        <w:t>-case basis and could potentially reduce the emissions intensity of coal-fired generation to 0.67–0.88 t CO</w:t>
      </w:r>
      <w:r>
        <w:rPr>
          <w:rFonts w:ascii="Georgia" w:hAnsi="Georgia"/>
          <w:color w:val="333333"/>
          <w:sz w:val="18"/>
          <w:szCs w:val="18"/>
          <w:vertAlign w:val="subscript"/>
          <w:lang w:val="en"/>
        </w:rPr>
        <w:t>2</w:t>
      </w:r>
      <w:r>
        <w:rPr>
          <w:rFonts w:ascii="Georgia" w:hAnsi="Georgia"/>
          <w:color w:val="333333"/>
          <w:lang w:val="en"/>
        </w:rPr>
        <w:t>/</w:t>
      </w:r>
      <w:proofErr w:type="spellStart"/>
      <w:r>
        <w:rPr>
          <w:rFonts w:ascii="Georgia" w:hAnsi="Georgia"/>
          <w:color w:val="333333"/>
          <w:lang w:val="en"/>
        </w:rPr>
        <w:t>MWh</w:t>
      </w:r>
      <w:proofErr w:type="spellEnd"/>
      <w:r>
        <w:rPr>
          <w:rFonts w:ascii="Georgia" w:hAnsi="Georgia"/>
          <w:color w:val="333333"/>
          <w:lang w:val="en"/>
        </w:rPr>
        <w:t xml:space="preserve"> (IEA 2012d, p. 15). </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also appears to be significant potential to retrofit existing fossil fuel plants with hybrid technologies. Co-firing</w:t>
      </w:r>
      <w:r>
        <w:rPr>
          <w:rFonts w:ascii="Georgia" w:hAnsi="Georgia"/>
          <w:color w:val="333333"/>
          <w:lang w:val="en"/>
        </w:rPr>
        <w:t xml:space="preserve"> with lower emissions fuels not only cuts emissions but also overcomes traditional barriers to renewable energy, including land availability, capital and transmission costs. An early step has already been taken by the 2,000 MW black coal Liddell Power Stat</w:t>
      </w:r>
      <w:r>
        <w:rPr>
          <w:rFonts w:ascii="Georgia" w:hAnsi="Georgia"/>
          <w:color w:val="333333"/>
          <w:lang w:val="en"/>
        </w:rPr>
        <w:t>ion, which has installed an 18 MW solar thermal array to heat water to create steam, thus reducing the need to burn coal for that purpose, cutting emissions by approximately 5,000 </w:t>
      </w:r>
      <w:proofErr w:type="spellStart"/>
      <w:r>
        <w:rPr>
          <w:rFonts w:ascii="Georgia" w:hAnsi="Georgia"/>
          <w:color w:val="333333"/>
          <w:lang w:val="en"/>
        </w:rPr>
        <w:t>tonnes</w:t>
      </w:r>
      <w:proofErr w:type="spellEnd"/>
      <w:r>
        <w:rPr>
          <w:rFonts w:ascii="Georgia" w:hAnsi="Georgia"/>
          <w:color w:val="333333"/>
          <w:lang w:val="en"/>
        </w:rPr>
        <w:t xml:space="preserve"> each year (</w:t>
      </w:r>
      <w:proofErr w:type="spellStart"/>
      <w:r>
        <w:rPr>
          <w:rFonts w:ascii="Georgia" w:hAnsi="Georgia"/>
          <w:color w:val="333333"/>
          <w:lang w:val="en"/>
        </w:rPr>
        <w:t>EcoGeneration</w:t>
      </w:r>
      <w:proofErr w:type="spellEnd"/>
      <w:r>
        <w:rPr>
          <w:rFonts w:ascii="Georgia" w:hAnsi="Georgia"/>
          <w:color w:val="333333"/>
          <w:lang w:val="en"/>
        </w:rPr>
        <w:t xml:space="preserve"> 2013). In addition, Liddell can co-fire coal</w:t>
      </w:r>
      <w:r>
        <w:rPr>
          <w:rFonts w:ascii="Georgia" w:hAnsi="Georgia"/>
          <w:color w:val="333333"/>
          <w:lang w:val="en"/>
        </w:rPr>
        <w:t xml:space="preserve"> with biomass and </w:t>
      </w:r>
      <w:r>
        <w:rPr>
          <w:rFonts w:ascii="Georgia" w:hAnsi="Georgia"/>
          <w:color w:val="333333"/>
          <w:lang w:val="en"/>
        </w:rPr>
        <w:lastRenderedPageBreak/>
        <w:t>recycled oil (Macquarie Generation 2012). In their Clean Energy Investment Plans submitted to the Commonwealth Government, other generators, including Loy Yang, indicate that they are investigating the potential for co-firing (DRET 2013).</w:t>
      </w:r>
      <w:r>
        <w:rPr>
          <w:rFonts w:ascii="Georgia" w:hAnsi="Georgia"/>
          <w:color w:val="333333"/>
          <w:lang w:val="en"/>
        </w:rPr>
        <w:t xml:space="preserve"> </w:t>
      </w:r>
    </w:p>
    <w:p w:rsidR="00000000" w:rsidRDefault="004170B4">
      <w:pPr>
        <w:pStyle w:val="Heading5"/>
        <w:rPr>
          <w:rFonts w:eastAsia="Times New Roman"/>
          <w:color w:val="333333"/>
          <w:lang w:val="en"/>
        </w:rPr>
      </w:pPr>
      <w:r>
        <w:rPr>
          <w:rFonts w:eastAsia="Times New Roman"/>
          <w:color w:val="333333"/>
          <w:lang w:val="en"/>
        </w:rPr>
        <w:t>Fuel prices</w:t>
      </w:r>
    </w:p>
    <w:p w:rsidR="00000000" w:rsidRDefault="004170B4">
      <w:pPr>
        <w:pStyle w:val="NormalWeb"/>
        <w:spacing w:line="300" w:lineRule="atLeast"/>
        <w:rPr>
          <w:rFonts w:ascii="Georgia" w:hAnsi="Georgia"/>
          <w:color w:val="333333"/>
          <w:lang w:val="en"/>
        </w:rPr>
      </w:pPr>
      <w:r>
        <w:rPr>
          <w:rFonts w:ascii="Georgia" w:hAnsi="Georgia"/>
          <w:color w:val="333333"/>
          <w:lang w:val="en"/>
        </w:rPr>
        <w:t>For existing fossil fuel generation technologies, fuel prices are a major determinant of cost and will affect how coal- and gas-fired generation contribute to Australia’s supply mix. As Australia’s gas production booms and eastern Australia p</w:t>
      </w:r>
      <w:r>
        <w:rPr>
          <w:rFonts w:ascii="Georgia" w:hAnsi="Georgia"/>
          <w:color w:val="333333"/>
          <w:lang w:val="en"/>
        </w:rPr>
        <w:t>repares to export LNG for the first time, gas price rises are anticipated, though the timing and precise levels are uncertain (Wood and Carter 2013). In some scenarios, even with a price incentive in place, the Treasury and DIICCSRTE modelling suggests tha</w:t>
      </w:r>
      <w:r>
        <w:rPr>
          <w:rFonts w:ascii="Georgia" w:hAnsi="Georgia"/>
          <w:color w:val="333333"/>
          <w:lang w:val="en"/>
        </w:rPr>
        <w:t>t projected increases in gas prices could make existing gas power plants more costly than coal-fired power. Modelling of a high gas price suggests the share of base-load gas generation could fall below its current share and below its projected share in 202</w:t>
      </w:r>
      <w:r>
        <w:rPr>
          <w:rFonts w:ascii="Georgia" w:hAnsi="Georgia"/>
          <w:color w:val="333333"/>
          <w:lang w:val="en"/>
        </w:rPr>
        <w:t>0 or 2030 in the medium scenario. This trend could also occur if coal prices fell, as observed in the UK during 2012 (</w:t>
      </w:r>
      <w:proofErr w:type="spellStart"/>
      <w:r>
        <w:rPr>
          <w:rFonts w:ascii="Georgia" w:hAnsi="Georgia"/>
          <w:color w:val="333333"/>
          <w:lang w:val="en"/>
        </w:rPr>
        <w:t>Kerai</w:t>
      </w:r>
      <w:proofErr w:type="spellEnd"/>
      <w:r>
        <w:rPr>
          <w:rFonts w:ascii="Georgia" w:hAnsi="Georgia"/>
          <w:color w:val="333333"/>
          <w:lang w:val="en"/>
        </w:rPr>
        <w:t xml:space="preserve"> 2013).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Overseas, lower cost gas is increasing its share in electricity generation by displacing coal, and reducing emissions as a </w:t>
      </w:r>
      <w:r>
        <w:rPr>
          <w:rFonts w:ascii="Georgia" w:hAnsi="Georgia"/>
          <w:color w:val="333333"/>
          <w:lang w:val="en"/>
        </w:rPr>
        <w:t>result. In the US, increasing generation from natural gas contributed to a decline in emissions from electricity generation of 4.6 per cent in 2011 compared to the previous year (US EPA 2013). Australia’s gas prices are considerably higher—and likely to ri</w:t>
      </w:r>
      <w:r>
        <w:rPr>
          <w:rFonts w:ascii="Georgia" w:hAnsi="Georgia"/>
          <w:color w:val="333333"/>
          <w:lang w:val="en"/>
        </w:rPr>
        <w:t>se more in coming years—making this change in supply mix less likely. AEMO, for example, does not foresee an increase on current levels of gas use in Australia’s eastern states until about 2030 (AEMO 2013f).</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Major electricity sector players report that it </w:t>
      </w:r>
      <w:r>
        <w:rPr>
          <w:rFonts w:ascii="Georgia" w:hAnsi="Georgia"/>
          <w:color w:val="333333"/>
          <w:lang w:val="en"/>
        </w:rPr>
        <w:t xml:space="preserve">may not be economical to build a large new grid-connected gas-fired power plant for the foreseeable future (CCA 2013). This is reflected in AEMO’s </w:t>
      </w:r>
      <w:r>
        <w:rPr>
          <w:rStyle w:val="Emphasis"/>
          <w:rFonts w:ascii="Georgia" w:hAnsi="Georgia"/>
          <w:color w:val="333333"/>
          <w:lang w:val="en"/>
        </w:rPr>
        <w:t>Gas Statement of Opportunities</w:t>
      </w:r>
      <w:r>
        <w:rPr>
          <w:rFonts w:ascii="Georgia" w:hAnsi="Georgia"/>
          <w:color w:val="333333"/>
          <w:lang w:val="en"/>
        </w:rPr>
        <w:t>, which suggests the use of gas in electricity generation will fall significant</w:t>
      </w:r>
      <w:r>
        <w:rPr>
          <w:rFonts w:ascii="Georgia" w:hAnsi="Georgia"/>
          <w:color w:val="333333"/>
          <w:lang w:val="en"/>
        </w:rPr>
        <w:t>ly over the next few years, as gas prices rise (AEMO 2013f).</w:t>
      </w:r>
    </w:p>
    <w:p w:rsidR="00000000" w:rsidRDefault="004170B4">
      <w:pPr>
        <w:pStyle w:val="NormalWeb"/>
        <w:spacing w:line="300" w:lineRule="atLeast"/>
        <w:rPr>
          <w:rFonts w:ascii="Georgia" w:hAnsi="Georgia"/>
          <w:color w:val="333333"/>
          <w:lang w:val="en"/>
        </w:rPr>
      </w:pPr>
      <w:r>
        <w:rPr>
          <w:rFonts w:ascii="Georgia" w:hAnsi="Georgia"/>
          <w:color w:val="333333"/>
          <w:lang w:val="en"/>
        </w:rPr>
        <w:t>The economic viability of new coal-fired generation facilities may be undermined by difficulty in obtaining low-cost finance, if the international trend of withdrawing finance to coal-fired gener</w:t>
      </w:r>
      <w:r>
        <w:rPr>
          <w:rFonts w:ascii="Georgia" w:hAnsi="Georgia"/>
          <w:color w:val="333333"/>
          <w:lang w:val="en"/>
        </w:rPr>
        <w:t xml:space="preserve">ators extends to Australia. In </w:t>
      </w:r>
      <w:proofErr w:type="spellStart"/>
      <w:r>
        <w:rPr>
          <w:rFonts w:ascii="Georgia" w:hAnsi="Georgia"/>
          <w:color w:val="333333"/>
          <w:lang w:val="en"/>
        </w:rPr>
        <w:t>mid 2013</w:t>
      </w:r>
      <w:proofErr w:type="spellEnd"/>
      <w:r>
        <w:rPr>
          <w:rFonts w:ascii="Georgia" w:hAnsi="Georgia"/>
          <w:color w:val="333333"/>
          <w:lang w:val="en"/>
        </w:rPr>
        <w:t>, the US Export-Import Bank, the World Bank and European Investment Bank, which together provided more than $10 billion for coal projects in the last five years, announced they would withdraw from financing convention</w:t>
      </w:r>
      <w:r>
        <w:rPr>
          <w:rFonts w:ascii="Georgia" w:hAnsi="Georgia"/>
          <w:color w:val="333333"/>
          <w:lang w:val="en"/>
        </w:rPr>
        <w:t>al coal (</w:t>
      </w:r>
      <w:proofErr w:type="spellStart"/>
      <w:r>
        <w:rPr>
          <w:rFonts w:ascii="Georgia" w:hAnsi="Georgia"/>
          <w:color w:val="333333"/>
          <w:lang w:val="en"/>
        </w:rPr>
        <w:t>Drajem</w:t>
      </w:r>
      <w:proofErr w:type="spellEnd"/>
      <w:r>
        <w:rPr>
          <w:rFonts w:ascii="Georgia" w:hAnsi="Georgia"/>
          <w:color w:val="333333"/>
          <w:lang w:val="en"/>
        </w:rPr>
        <w:t xml:space="preserve"> 2013). </w:t>
      </w:r>
    </w:p>
    <w:p w:rsidR="00000000" w:rsidRDefault="004170B4">
      <w:pPr>
        <w:pStyle w:val="Heading4"/>
        <w:rPr>
          <w:rFonts w:eastAsia="Times New Roman"/>
          <w:color w:val="333333"/>
          <w:lang w:val="en"/>
        </w:rPr>
      </w:pPr>
      <w:r>
        <w:rPr>
          <w:rFonts w:eastAsia="Times New Roman"/>
          <w:color w:val="333333"/>
          <w:lang w:val="en"/>
        </w:rPr>
        <w:t>D3.3.2 Generation from renewable energy</w:t>
      </w:r>
    </w:p>
    <w:p w:rsidR="00000000" w:rsidRDefault="004170B4">
      <w:pPr>
        <w:pStyle w:val="NormalWeb"/>
        <w:spacing w:line="300" w:lineRule="atLeast"/>
        <w:rPr>
          <w:rFonts w:ascii="Georgia" w:hAnsi="Georgia"/>
          <w:color w:val="333333"/>
          <w:lang w:val="en"/>
        </w:rPr>
      </w:pPr>
      <w:r>
        <w:rPr>
          <w:rFonts w:ascii="Georgia" w:hAnsi="Georgia"/>
          <w:color w:val="333333"/>
          <w:lang w:val="en"/>
        </w:rPr>
        <w:t>ACIL Allen Consulting (2013) projects significant amounts of renewable generation under a range of scenarios (see Table D.3). The RET drives the deployment of renewable energy to 2020 in all s</w:t>
      </w:r>
      <w:r>
        <w:rPr>
          <w:rFonts w:ascii="Georgia" w:hAnsi="Georgia"/>
          <w:color w:val="333333"/>
          <w:lang w:val="en"/>
        </w:rPr>
        <w:t>cenarios, including the no price scenario. The addition of a carbon price in the low, medium and high scenarios results in significantly more renewable generation. Figure D.13 shows that after 2020 the increase in renewables is projected to be much greater</w:t>
      </w:r>
      <w:r>
        <w:rPr>
          <w:rFonts w:ascii="Georgia" w:hAnsi="Georgia"/>
          <w:color w:val="333333"/>
          <w:lang w:val="en"/>
        </w:rPr>
        <w:t xml:space="preserve"> with a higher price incentive.</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Wind is likely to increase its share of the supply mix in the near term. To 2020, wind is expected to provide about 84 per cent of new generation capacity, largely reflecting the impact of the RET (AEMO 2013g). In late 2012,</w:t>
      </w:r>
      <w:r>
        <w:rPr>
          <w:rFonts w:ascii="Georgia" w:hAnsi="Georgia"/>
          <w:color w:val="333333"/>
          <w:lang w:val="en"/>
        </w:rPr>
        <w:t xml:space="preserve"> 65 per cent of the 3,000 MW of planned installed electricity capacity at an advanced stage of development was wind (BREE 2013a). </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solar resource is one of the best in the world and theoretically capable of generating enough electricity to meet</w:t>
      </w:r>
      <w:r>
        <w:rPr>
          <w:rFonts w:ascii="Georgia" w:hAnsi="Georgia"/>
          <w:color w:val="333333"/>
          <w:lang w:val="en"/>
        </w:rPr>
        <w:t xml:space="preserve"> its demand (Geoscience Australia and ABARES 2010). Solar PV systems might offer consumers financial savings by reducing consumption of grid-connected electricity. The value of solar PV is likely to be greatest for users with an electricity demand profile </w:t>
      </w:r>
      <w:r>
        <w:rPr>
          <w:rFonts w:ascii="Georgia" w:hAnsi="Georgia"/>
          <w:color w:val="333333"/>
          <w:lang w:val="en"/>
        </w:rPr>
        <w:t xml:space="preserve">that matches system output, such as commercial premises (Wood et al. 2012). Solar PV’s low reliance on water makes it viable even in dry and remote locations, and in a future with potential disruption to water supply (see Box D.2). </w:t>
      </w:r>
    </w:p>
    <w:p w:rsidR="00000000" w:rsidRDefault="004170B4">
      <w:pPr>
        <w:pStyle w:val="Heading2"/>
        <w:shd w:val="clear" w:color="auto" w:fill="F5F5F5"/>
        <w:divId w:val="2127189087"/>
        <w:rPr>
          <w:rFonts w:eastAsia="Times New Roman"/>
          <w:color w:val="333333"/>
          <w:lang w:val="en"/>
        </w:rPr>
      </w:pPr>
      <w:r>
        <w:rPr>
          <w:rFonts w:eastAsia="Times New Roman"/>
          <w:color w:val="333333"/>
          <w:lang w:val="en"/>
        </w:rPr>
        <w:t>Box D.2: Climate change</w:t>
      </w:r>
      <w:r>
        <w:rPr>
          <w:rFonts w:eastAsia="Times New Roman"/>
          <w:color w:val="333333"/>
          <w:lang w:val="en"/>
        </w:rPr>
        <w:t xml:space="preserve"> effects on electricity supply</w:t>
      </w:r>
    </w:p>
    <w:p w:rsidR="00000000" w:rsidRDefault="004170B4">
      <w:pPr>
        <w:pStyle w:val="NormalWeb"/>
        <w:shd w:val="clear" w:color="auto" w:fill="F5F5F5"/>
        <w:spacing w:line="300" w:lineRule="atLeast"/>
        <w:divId w:val="2127189087"/>
        <w:rPr>
          <w:rFonts w:ascii="Georgia" w:hAnsi="Georgia"/>
          <w:color w:val="333333"/>
          <w:lang w:val="en"/>
        </w:rPr>
      </w:pPr>
      <w:r>
        <w:rPr>
          <w:rFonts w:ascii="Georgia" w:hAnsi="Georgia"/>
          <w:color w:val="333333"/>
          <w:lang w:val="en"/>
        </w:rPr>
        <w:t>Climate change will affect future opportunities to change the electricity supply mix and reduce emissions. Its impacts, particularly water shortages and extreme weather, affect electricity demand, generation and transportatio</w:t>
      </w:r>
      <w:r>
        <w:rPr>
          <w:rFonts w:ascii="Georgia" w:hAnsi="Georgia"/>
          <w:color w:val="333333"/>
          <w:lang w:val="en"/>
        </w:rPr>
        <w:t>n (Foster et al. 2013; Senate Environment and Communications References Committee 2013). Sources of generation that use large amounts of water, including coal-fired and nuclear power, geothermal and bioenergy, will be disadvantaged in a context of water sh</w:t>
      </w:r>
      <w:r>
        <w:rPr>
          <w:rFonts w:ascii="Georgia" w:hAnsi="Georgia"/>
          <w:color w:val="333333"/>
          <w:lang w:val="en"/>
        </w:rPr>
        <w:t>ortages (IEA 2013c).</w:t>
      </w:r>
    </w:p>
    <w:p w:rsidR="00000000" w:rsidRDefault="004170B4">
      <w:pPr>
        <w:pStyle w:val="NormalWeb"/>
        <w:shd w:val="clear" w:color="auto" w:fill="F5F5F5"/>
        <w:spacing w:line="300" w:lineRule="atLeast"/>
        <w:divId w:val="2127189087"/>
        <w:rPr>
          <w:rFonts w:ascii="Georgia" w:hAnsi="Georgia"/>
          <w:color w:val="333333"/>
          <w:lang w:val="en"/>
        </w:rPr>
      </w:pPr>
      <w:r>
        <w:rPr>
          <w:rFonts w:ascii="Georgia" w:hAnsi="Georgia"/>
          <w:color w:val="333333"/>
          <w:lang w:val="en"/>
        </w:rPr>
        <w:t>Over the last decade, Australian electricity supply has been disrupted by floods and bushfires. The output of hydroelectric and coal-fired generators, which use large amounts of water for steam production and cooling, have been reduced</w:t>
      </w:r>
      <w:r>
        <w:rPr>
          <w:rFonts w:ascii="Georgia" w:hAnsi="Georgia"/>
          <w:color w:val="333333"/>
          <w:lang w:val="en"/>
        </w:rPr>
        <w:t xml:space="preserve"> and could fall again with drought. With water shortages and more extreme climate events expected (see Chapter 2), the extraction of coal and unconventional gas, generation from certain sources, and the transmission and distribution of electricity could be</w:t>
      </w:r>
      <w:r>
        <w:rPr>
          <w:rFonts w:ascii="Georgia" w:hAnsi="Georgia"/>
          <w:color w:val="333333"/>
          <w:lang w:val="en"/>
        </w:rPr>
        <w:t xml:space="preserve"> disrupted more often (IEA 2013c; US DoE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Solar generation is projected to play a large role in Australia’s future generation mix, particularly in scenarios with a price incentive to reduce emissions. The medium scenario suggests that solar generatio</w:t>
      </w:r>
      <w:r>
        <w:rPr>
          <w:rFonts w:ascii="Georgia" w:hAnsi="Georgia"/>
          <w:color w:val="333333"/>
          <w:lang w:val="en"/>
        </w:rPr>
        <w:t xml:space="preserve">n could increase its share from about 3 per cent in 2020 to about 20 per cent in 2040 and 25 per cent in 2050. Most of the expected growth is large-scale generation. </w:t>
      </w:r>
    </w:p>
    <w:p w:rsidR="00000000" w:rsidRDefault="004170B4">
      <w:pPr>
        <w:pStyle w:val="NormalWeb"/>
        <w:spacing w:line="300" w:lineRule="atLeast"/>
        <w:rPr>
          <w:rFonts w:ascii="Georgia" w:hAnsi="Georgia"/>
          <w:color w:val="333333"/>
          <w:lang w:val="en"/>
        </w:rPr>
      </w:pPr>
      <w:r>
        <w:rPr>
          <w:rFonts w:ascii="Georgia" w:hAnsi="Georgia"/>
          <w:color w:val="333333"/>
          <w:lang w:val="en"/>
        </w:rPr>
        <w:t>If costs continue to fall, solar PV could become increasingly cost-competitive with conve</w:t>
      </w:r>
      <w:r>
        <w:rPr>
          <w:rFonts w:ascii="Georgia" w:hAnsi="Georgia"/>
          <w:color w:val="333333"/>
          <w:lang w:val="en"/>
        </w:rPr>
        <w:t xml:space="preserve">ntional sources of generation. ACIL Allen Consulting (2013) modelled a sensitivity that reduced the costs, per annum, of large-scale solar PV by 10 per cent to 2020 and 5 per cent to 2030. The results showed that solar PV could generate almost </w:t>
      </w:r>
      <w:r>
        <w:rPr>
          <w:rFonts w:ascii="Georgia" w:hAnsi="Georgia"/>
          <w:color w:val="333333"/>
          <w:lang w:val="en"/>
        </w:rPr>
        <w:lastRenderedPageBreak/>
        <w:t>six times as</w:t>
      </w:r>
      <w:r>
        <w:rPr>
          <w:rFonts w:ascii="Georgia" w:hAnsi="Georgia"/>
          <w:color w:val="333333"/>
          <w:lang w:val="en"/>
        </w:rPr>
        <w:t xml:space="preserve"> much electricity in 2020 and 35 times as much in 2030, when compared to 2012. </w:t>
      </w:r>
    </w:p>
    <w:p w:rsidR="00000000" w:rsidRDefault="004170B4">
      <w:pPr>
        <w:pStyle w:val="Heading3"/>
        <w:rPr>
          <w:rFonts w:eastAsia="Times New Roman"/>
          <w:color w:val="333333"/>
          <w:lang w:val="en"/>
        </w:rPr>
      </w:pPr>
      <w:r>
        <w:rPr>
          <w:rFonts w:eastAsia="Times New Roman"/>
          <w:color w:val="333333"/>
          <w:lang w:val="en"/>
        </w:rPr>
        <w:t xml:space="preserve">D3.4 </w:t>
      </w:r>
      <w:proofErr w:type="gramStart"/>
      <w:r>
        <w:rPr>
          <w:rFonts w:eastAsia="Times New Roman"/>
          <w:color w:val="333333"/>
          <w:lang w:val="en"/>
        </w:rPr>
        <w:t>Reducing</w:t>
      </w:r>
      <w:proofErr w:type="gramEnd"/>
      <w:r>
        <w:rPr>
          <w:rFonts w:eastAsia="Times New Roman"/>
          <w:color w:val="333333"/>
          <w:lang w:val="en"/>
        </w:rPr>
        <w:t xml:space="preserve"> emissions with emerging generation and storage options</w:t>
      </w:r>
    </w:p>
    <w:p w:rsidR="00000000" w:rsidRDefault="004170B4">
      <w:pPr>
        <w:pStyle w:val="NormalWeb"/>
        <w:spacing w:line="300" w:lineRule="atLeast"/>
        <w:rPr>
          <w:rFonts w:ascii="Georgia" w:hAnsi="Georgia"/>
          <w:color w:val="333333"/>
          <w:lang w:val="en"/>
        </w:rPr>
      </w:pPr>
      <w:r>
        <w:rPr>
          <w:rFonts w:ascii="Georgia" w:hAnsi="Georgia"/>
          <w:color w:val="333333"/>
          <w:lang w:val="en"/>
        </w:rPr>
        <w:t>Current excess generation capacity, combined with uncertainty about emissions reduction policy and fuel cos</w:t>
      </w:r>
      <w:r>
        <w:rPr>
          <w:rFonts w:ascii="Georgia" w:hAnsi="Georgia"/>
          <w:color w:val="333333"/>
          <w:lang w:val="en"/>
        </w:rPr>
        <w:t xml:space="preserve">ts, makes it unlikely that new electricity generation technologies will emerge in Australia, at scale, before at least 2020. </w:t>
      </w:r>
    </w:p>
    <w:p w:rsidR="00000000" w:rsidRDefault="004170B4">
      <w:pPr>
        <w:pStyle w:val="NormalWeb"/>
        <w:spacing w:line="300" w:lineRule="atLeast"/>
        <w:rPr>
          <w:rFonts w:ascii="Georgia" w:hAnsi="Georgia"/>
          <w:color w:val="333333"/>
          <w:lang w:val="en"/>
        </w:rPr>
      </w:pPr>
      <w:r>
        <w:rPr>
          <w:rFonts w:ascii="Georgia" w:hAnsi="Georgia"/>
          <w:color w:val="333333"/>
          <w:lang w:val="en"/>
        </w:rPr>
        <w:t>Large uncertainties remain about the timing, costs and viability of new low-emissions sources of electricity generation, particula</w:t>
      </w:r>
      <w:r>
        <w:rPr>
          <w:rFonts w:ascii="Georgia" w:hAnsi="Georgia"/>
          <w:color w:val="333333"/>
          <w:lang w:val="en"/>
        </w:rPr>
        <w:t>rly CCS and geothermal. Previous modelling suggested a greater role for these technologies (for example, SKM-MMA 2011 and ROAM 2011). In contrast, ACIL Allen Consulting (2013) suggests that in the low or medium scenarios, neither CCS nor geothermal will co</w:t>
      </w:r>
      <w:r>
        <w:rPr>
          <w:rFonts w:ascii="Georgia" w:hAnsi="Georgia"/>
          <w:color w:val="333333"/>
          <w:lang w:val="en"/>
        </w:rPr>
        <w:t xml:space="preserve">ntribute a significant share of generation until about 2040. The high scenario suggests, however, that geothermal and CCS may emerge as early as 2017 and 2030, respectively.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technology and business models necessary to widely deploy electric storage ar</w:t>
      </w:r>
      <w:r>
        <w:rPr>
          <w:rFonts w:ascii="Georgia" w:hAnsi="Georgia"/>
          <w:color w:val="333333"/>
          <w:lang w:val="en"/>
        </w:rPr>
        <w:t>e changing rapidly, making cost and uptake highly uncertain.</w:t>
      </w:r>
    </w:p>
    <w:p w:rsidR="00000000" w:rsidRDefault="004170B4">
      <w:pPr>
        <w:pStyle w:val="Heading4"/>
        <w:rPr>
          <w:rFonts w:eastAsia="Times New Roman"/>
          <w:color w:val="333333"/>
          <w:lang w:val="en"/>
        </w:rPr>
      </w:pPr>
      <w:r>
        <w:rPr>
          <w:rFonts w:eastAsia="Times New Roman"/>
          <w:color w:val="333333"/>
          <w:lang w:val="en"/>
        </w:rPr>
        <w:t>D3.4.1 Carbon capture and storage for coal- and gas-fired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CCS is not yet operating at a large scal</w:t>
      </w:r>
      <w:r>
        <w:rPr>
          <w:rFonts w:ascii="Georgia" w:hAnsi="Georgia"/>
          <w:color w:val="333333"/>
          <w:lang w:val="en"/>
        </w:rPr>
        <w:t>e</w:t>
      </w:r>
      <w:hyperlink w:anchor="footnote-179189-1" w:history="1">
        <w:r>
          <w:rPr>
            <w:rStyle w:val="Hyperlink"/>
            <w:rFonts w:ascii="Georgia" w:hAnsi="Georgia"/>
            <w:sz w:val="18"/>
            <w:szCs w:val="18"/>
            <w:vertAlign w:val="superscript"/>
            <w:lang w:val="en"/>
          </w:rPr>
          <w:t>1</w:t>
        </w:r>
      </w:hyperlink>
      <w:r>
        <w:rPr>
          <w:rFonts w:ascii="Georgia" w:hAnsi="Georgia"/>
          <w:color w:val="333333"/>
          <w:lang w:val="en"/>
        </w:rPr>
        <w:t xml:space="preserve"> for electricity </w:t>
      </w:r>
      <w:r>
        <w:rPr>
          <w:rFonts w:ascii="Georgia" w:hAnsi="Georgia"/>
          <w:color w:val="333333"/>
          <w:lang w:val="en"/>
        </w:rPr>
        <w:t>generation anywhere in the world, though it has been deployed in the gas processing and industrial sectors (see appendices D6 and D7). The gradual progress in developing large-scale projects is evident in the Global Carbon Capture and Storage Institute’s s</w:t>
      </w:r>
      <w:r>
        <w:rPr>
          <w:rFonts w:ascii="Georgia" w:hAnsi="Georgia"/>
          <w:color w:val="333333"/>
          <w:lang w:val="en"/>
        </w:rPr>
        <w:t>tatus reports. Between 2010 and 2013, the number of operational projects did not change and the total CO</w:t>
      </w:r>
      <w:r>
        <w:rPr>
          <w:rFonts w:ascii="Georgia" w:hAnsi="Georgia"/>
          <w:color w:val="333333"/>
          <w:sz w:val="18"/>
          <w:szCs w:val="18"/>
          <w:vertAlign w:val="subscript"/>
          <w:lang w:val="en"/>
        </w:rPr>
        <w:t>2</w:t>
      </w:r>
      <w:r>
        <w:rPr>
          <w:rFonts w:ascii="Georgia" w:hAnsi="Georgia"/>
          <w:color w:val="333333"/>
          <w:lang w:val="en"/>
        </w:rPr>
        <w:t xml:space="preserve"> capture capacity of all identified large-scale integrated projects fell (2013c, p. 2). In 2013, the IEA warned that current efforts to develop CCS are</w:t>
      </w:r>
      <w:r>
        <w:rPr>
          <w:rFonts w:ascii="Georgia" w:hAnsi="Georgia"/>
          <w:color w:val="333333"/>
          <w:lang w:val="en"/>
        </w:rPr>
        <w:t xml:space="preserve"> ‘insufficient’ and called for ‘urgent action … to accelerate its deployment’ (2013a, pp. 1, 10). The IEA suggests that multiple demonstration projects, each sequestering about 0.8 Mt CO</w:t>
      </w:r>
      <w:r>
        <w:rPr>
          <w:rFonts w:ascii="Georgia" w:hAnsi="Georgia"/>
          <w:color w:val="333333"/>
          <w:sz w:val="18"/>
          <w:szCs w:val="18"/>
          <w:vertAlign w:val="subscript"/>
          <w:lang w:val="en"/>
        </w:rPr>
        <w:t>2</w:t>
      </w:r>
      <w:r>
        <w:rPr>
          <w:rFonts w:ascii="Georgia" w:hAnsi="Georgia"/>
          <w:color w:val="333333"/>
          <w:lang w:val="en"/>
        </w:rPr>
        <w:t>-e annually, are needed this decade if CCS is to fulfil its emissions</w:t>
      </w:r>
      <w:r>
        <w:rPr>
          <w:rFonts w:ascii="Georgia" w:hAnsi="Georgia"/>
          <w:color w:val="333333"/>
          <w:lang w:val="en"/>
        </w:rPr>
        <w:t xml:space="preserve"> reduction potential, consistent with limiting average global temperature increases to 2 degrees (2013a, p. 9).</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two key challenges to the widespread deployment of CCS for electricity generation. The first is financial—the significant cost to buil</w:t>
      </w:r>
      <w:r>
        <w:rPr>
          <w:rFonts w:ascii="Georgia" w:hAnsi="Georgia"/>
          <w:color w:val="333333"/>
          <w:lang w:val="en"/>
        </w:rPr>
        <w:t>d and operate the technology at a large scale (IEA and GCCSI 2012). The minimum cost for a large-scale CCS plant in Australia will likely be several billion dollars (GCCSI 2013d). The financial barrier may be overcome if an additional revenue stream is ava</w:t>
      </w:r>
      <w:r>
        <w:rPr>
          <w:rFonts w:ascii="Georgia" w:hAnsi="Georgia"/>
          <w:color w:val="333333"/>
          <w:lang w:val="en"/>
        </w:rPr>
        <w:t xml:space="preserve">ilable to offset costs of the project, such as enhanced oil recovery (EOR) or a commercial application in other production processes, or if public or policy support is available (GCCSI 2013b).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The second key challenge is the integration of technological c</w:t>
      </w:r>
      <w:r>
        <w:rPr>
          <w:rFonts w:ascii="Georgia" w:hAnsi="Georgia"/>
          <w:color w:val="333333"/>
          <w:lang w:val="en"/>
        </w:rPr>
        <w:t xml:space="preserve">omponents at scale (IEA and GCCSI 2012). The logistical, practical and commercial challenges are likely to be overcome as experience grows, and CCS projects already illustrate this.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is broad consensus that CCS technology will be first commercially d</w:t>
      </w:r>
      <w:r>
        <w:rPr>
          <w:rFonts w:ascii="Georgia" w:hAnsi="Georgia"/>
          <w:color w:val="333333"/>
          <w:lang w:val="en"/>
        </w:rPr>
        <w:t>eployed overseas and Australia will be a ‘technology taker’. International developments are likely to set the timing of commercial CCS deployment in Australia. In particular:</w:t>
      </w:r>
    </w:p>
    <w:p w:rsidR="00000000" w:rsidRDefault="004170B4" w:rsidP="004170B4">
      <w:pPr>
        <w:numPr>
          <w:ilvl w:val="0"/>
          <w:numId w:val="14"/>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China</w:t>
      </w:r>
      <w:r>
        <w:rPr>
          <w:rFonts w:ascii="Georgia" w:eastAsia="Times New Roman" w:hAnsi="Georgia"/>
          <w:color w:val="333333"/>
          <w:lang w:val="en"/>
        </w:rPr>
        <w:t xml:space="preserve">—in many of its significant strategic development and scientific documents, </w:t>
      </w:r>
      <w:r>
        <w:rPr>
          <w:rFonts w:ascii="Georgia" w:eastAsia="Times New Roman" w:hAnsi="Georgia"/>
          <w:color w:val="333333"/>
          <w:lang w:val="en"/>
        </w:rPr>
        <w:t>the Chinese Government has expressed strong support for deployment of CCS. China is the only global region where the number of large-scale integrated CCS projects increased between 2011 and 2013, many of them driven by state-owned energy companies (GCCSI 2</w:t>
      </w:r>
      <w:r>
        <w:rPr>
          <w:rFonts w:ascii="Georgia" w:eastAsia="Times New Roman" w:hAnsi="Georgia"/>
          <w:color w:val="333333"/>
          <w:lang w:val="en"/>
        </w:rPr>
        <w:t xml:space="preserve">013a, 2013c). </w:t>
      </w:r>
    </w:p>
    <w:p w:rsidR="00000000" w:rsidRDefault="004170B4" w:rsidP="004170B4">
      <w:pPr>
        <w:numPr>
          <w:ilvl w:val="0"/>
          <w:numId w:val="14"/>
        </w:numPr>
        <w:spacing w:after="100" w:afterAutospacing="1" w:line="300" w:lineRule="atLeast"/>
        <w:ind w:left="375"/>
        <w:rPr>
          <w:rFonts w:ascii="Georgia" w:eastAsia="Times New Roman" w:hAnsi="Georgia"/>
          <w:color w:val="333333"/>
          <w:lang w:val="en"/>
        </w:rPr>
      </w:pPr>
      <w:r>
        <w:rPr>
          <w:rStyle w:val="Strong"/>
          <w:rFonts w:ascii="Georgia" w:eastAsia="Times New Roman" w:hAnsi="Georgia"/>
          <w:color w:val="333333"/>
          <w:lang w:val="en"/>
        </w:rPr>
        <w:t>North America</w:t>
      </w:r>
      <w:r>
        <w:rPr>
          <w:rFonts w:ascii="Georgia" w:eastAsia="Times New Roman" w:hAnsi="Georgia"/>
          <w:color w:val="333333"/>
          <w:lang w:val="en"/>
        </w:rPr>
        <w:t>—about 70 per cent of the world’s active large-scale integrated CCS projects are here. Canada’s Boundary Dam and Mississippi Power’s Kemper County projects are expected to operate from early 2014 (GCCSI 2013c; BNEF 2013). Succes</w:t>
      </w:r>
      <w:r>
        <w:rPr>
          <w:rFonts w:ascii="Georgia" w:eastAsia="Times New Roman" w:hAnsi="Georgia"/>
          <w:color w:val="333333"/>
          <w:lang w:val="en"/>
        </w:rPr>
        <w:t xml:space="preserve">s with these projects would be an important milestone towards the </w:t>
      </w:r>
      <w:proofErr w:type="spellStart"/>
      <w:r>
        <w:rPr>
          <w:rFonts w:ascii="Georgia" w:eastAsia="Times New Roman" w:hAnsi="Georgia"/>
          <w:color w:val="333333"/>
          <w:lang w:val="en"/>
        </w:rPr>
        <w:t>commercialisation</w:t>
      </w:r>
      <w:proofErr w:type="spellEnd"/>
      <w:r>
        <w:rPr>
          <w:rFonts w:ascii="Georgia" w:eastAsia="Times New Roman" w:hAnsi="Georgia"/>
          <w:color w:val="333333"/>
          <w:lang w:val="en"/>
        </w:rPr>
        <w:t xml:space="preserve"> of CCS and cost reductions. North America has particular potential because of its high level of committed public support, the commercial opportunities for EOR and an existi</w:t>
      </w:r>
      <w:r>
        <w:rPr>
          <w:rFonts w:ascii="Georgia" w:eastAsia="Times New Roman" w:hAnsi="Georgia"/>
          <w:color w:val="333333"/>
          <w:lang w:val="en"/>
        </w:rPr>
        <w:t>ng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 pipeline, which together lower costs and commercial risk (</w:t>
      </w:r>
      <w:proofErr w:type="spellStart"/>
      <w:r>
        <w:rPr>
          <w:rFonts w:ascii="Georgia" w:eastAsia="Times New Roman" w:hAnsi="Georgia"/>
          <w:color w:val="333333"/>
          <w:lang w:val="en"/>
        </w:rPr>
        <w:t>Abellera</w:t>
      </w:r>
      <w:proofErr w:type="spellEnd"/>
      <w:r>
        <w:rPr>
          <w:rFonts w:ascii="Georgia" w:eastAsia="Times New Roman" w:hAnsi="Georgia"/>
          <w:color w:val="333333"/>
          <w:lang w:val="en"/>
        </w:rPr>
        <w:t xml:space="preserve"> 2012). New emissions intensity regulations for power plants could provide further incentives. </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 with its unique geology, cannot rely on international developments to facili</w:t>
      </w:r>
      <w:r>
        <w:rPr>
          <w:rFonts w:ascii="Georgia" w:hAnsi="Georgia"/>
          <w:color w:val="333333"/>
          <w:lang w:val="en"/>
        </w:rPr>
        <w:t xml:space="preserve">tate storage, however, and will need local expertise. </w:t>
      </w:r>
    </w:p>
    <w:p w:rsidR="00000000" w:rsidRDefault="004170B4">
      <w:pPr>
        <w:pStyle w:val="Heading4"/>
        <w:rPr>
          <w:rFonts w:eastAsia="Times New Roman"/>
          <w:color w:val="333333"/>
          <w:lang w:val="en"/>
        </w:rPr>
      </w:pPr>
      <w:r>
        <w:rPr>
          <w:rFonts w:eastAsia="Times New Roman"/>
          <w:color w:val="333333"/>
          <w:lang w:val="en"/>
        </w:rPr>
        <w:t>D3.4.2 Geothermal energy</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Australia’s geothermal resource is relatively deep and it is uncertain how and when energy can be extracted </w:t>
      </w:r>
      <w:r>
        <w:rPr>
          <w:rFonts w:ascii="Georgia" w:hAnsi="Georgia"/>
          <w:color w:val="333333"/>
          <w:lang w:val="en"/>
        </w:rPr>
        <w:t>reliably, at reasonable cost. Expert estimates of the date of commercial deployment of geothermal energy have been repeatedly revised back. AEMO (2013g) recently suggested commercial geothermal energy developments would not appear in the NEM until after th</w:t>
      </w:r>
      <w:r>
        <w:rPr>
          <w:rFonts w:ascii="Georgia" w:hAnsi="Georgia"/>
          <w:color w:val="333333"/>
          <w:lang w:val="en"/>
        </w:rPr>
        <w:t xml:space="preserve">e late 2030s.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development of Australia’s geothermal energy remains at the exploration and demonstration stage; the most developed project is the 1 </w:t>
      </w:r>
      <w:proofErr w:type="spellStart"/>
      <w:r>
        <w:rPr>
          <w:rFonts w:ascii="Georgia" w:hAnsi="Georgia"/>
          <w:color w:val="333333"/>
          <w:lang w:val="en"/>
        </w:rPr>
        <w:t>MWe</w:t>
      </w:r>
      <w:proofErr w:type="spellEnd"/>
      <w:r>
        <w:rPr>
          <w:rFonts w:ascii="Georgia" w:hAnsi="Georgia"/>
          <w:color w:val="333333"/>
          <w:lang w:val="en"/>
        </w:rPr>
        <w:t xml:space="preserve"> Habanero Pilot Plant in South Australia, which produced Australia’s first Enhanced Geothermal System</w:t>
      </w:r>
      <w:r>
        <w:rPr>
          <w:rFonts w:ascii="Georgia" w:hAnsi="Georgia"/>
          <w:color w:val="333333"/>
          <w:lang w:val="en"/>
        </w:rPr>
        <w:t>s (EGS) generated power during a 160-day trial in 2013. Engineering challenges remain for Australia’s geothermal energy, including repeatedly creating heat reservoirs, improving drilling practices and equipment, and enhancing flow rates (Wood et al. 2012).</w:t>
      </w:r>
      <w:r>
        <w:rPr>
          <w:rFonts w:ascii="Georgia" w:hAnsi="Georgia"/>
          <w:color w:val="333333"/>
          <w:lang w:val="en"/>
        </w:rPr>
        <w:t xml:space="preserve"> </w:t>
      </w:r>
    </w:p>
    <w:p w:rsidR="00000000" w:rsidRDefault="004170B4">
      <w:pPr>
        <w:pStyle w:val="NormalWeb"/>
        <w:spacing w:line="300" w:lineRule="atLeast"/>
        <w:rPr>
          <w:rFonts w:ascii="Georgia" w:hAnsi="Georgia"/>
          <w:color w:val="333333"/>
          <w:lang w:val="en"/>
        </w:rPr>
      </w:pPr>
      <w:r>
        <w:rPr>
          <w:rFonts w:ascii="Georgia" w:hAnsi="Georgia"/>
          <w:color w:val="333333"/>
          <w:lang w:val="en"/>
        </w:rPr>
        <w:t>A major barrier for the development of geothermal generation is the capital outlay needed to trial technology at a large scale. Present estimates suggest a 100 MW hot sedimentary aquifer (HSA) geothermal plant could cost about $700 million (BREE 2012, p.</w:t>
      </w:r>
      <w:r>
        <w:rPr>
          <w:rFonts w:ascii="Georgia" w:hAnsi="Georgia"/>
          <w:color w:val="333333"/>
          <w:lang w:val="en"/>
        </w:rPr>
        <w:t xml:space="preserve"> 54). Government funding has played a central role to date. ARENA has committed funding towards demonstration of larger power stations which, if taken </w:t>
      </w:r>
      <w:r>
        <w:rPr>
          <w:rFonts w:ascii="Georgia" w:hAnsi="Georgia"/>
          <w:color w:val="333333"/>
          <w:lang w:val="en"/>
        </w:rPr>
        <w:lastRenderedPageBreak/>
        <w:t>up, could provide an opportunity to better understand project costs and the ability to overcome engineeri</w:t>
      </w:r>
      <w:r>
        <w:rPr>
          <w:rFonts w:ascii="Georgia" w:hAnsi="Georgia"/>
          <w:color w:val="333333"/>
          <w:lang w:val="en"/>
        </w:rPr>
        <w:t xml:space="preserve">ng challenges at scale. </w:t>
      </w:r>
    </w:p>
    <w:p w:rsidR="00000000" w:rsidRDefault="004170B4">
      <w:pPr>
        <w:pStyle w:val="Heading4"/>
        <w:rPr>
          <w:rFonts w:eastAsia="Times New Roman"/>
          <w:color w:val="333333"/>
          <w:lang w:val="en"/>
        </w:rPr>
      </w:pPr>
      <w:r>
        <w:rPr>
          <w:rFonts w:eastAsia="Times New Roman"/>
          <w:color w:val="333333"/>
          <w:lang w:val="en"/>
        </w:rPr>
        <w:t>D3.4.3 Nuclear fission</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Under different circumstances, nuclear fission could play a role in a low-emissions electricity supply mix, as it does overseas. This is apparent in analyses, such as the CSIRO </w:t>
      </w:r>
      <w:proofErr w:type="spellStart"/>
      <w:r>
        <w:rPr>
          <w:rFonts w:ascii="Georgia" w:hAnsi="Georgia"/>
          <w:color w:val="333333"/>
          <w:lang w:val="en"/>
        </w:rPr>
        <w:t>eFutures</w:t>
      </w:r>
      <w:proofErr w:type="spellEnd"/>
      <w:r>
        <w:rPr>
          <w:rFonts w:ascii="Georgia" w:hAnsi="Georgia"/>
          <w:color w:val="333333"/>
          <w:lang w:val="en"/>
        </w:rPr>
        <w:t xml:space="preserve">, in a scenario with a </w:t>
      </w:r>
      <w:r>
        <w:rPr>
          <w:rFonts w:ascii="Georgia" w:hAnsi="Georgia"/>
          <w:color w:val="333333"/>
          <w:lang w:val="en"/>
        </w:rPr>
        <w:t xml:space="preserve">moderate emissions reduction incentive. Even if nuclear power was </w:t>
      </w:r>
      <w:proofErr w:type="spellStart"/>
      <w:r>
        <w:rPr>
          <w:rFonts w:ascii="Georgia" w:hAnsi="Georgia"/>
          <w:color w:val="333333"/>
          <w:lang w:val="en"/>
        </w:rPr>
        <w:t>legalised</w:t>
      </w:r>
      <w:proofErr w:type="spellEnd"/>
      <w:r>
        <w:rPr>
          <w:rFonts w:ascii="Georgia" w:hAnsi="Georgia"/>
          <w:color w:val="333333"/>
          <w:lang w:val="en"/>
        </w:rPr>
        <w:t xml:space="preserve"> in Australia, a range of barriers to its deployment remain for large-scale projects (Commonwealth of Australia 2006). These include:</w:t>
      </w:r>
    </w:p>
    <w:p w:rsidR="00000000" w:rsidRDefault="004170B4" w:rsidP="004170B4">
      <w:pPr>
        <w:numPr>
          <w:ilvl w:val="0"/>
          <w:numId w:val="1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Regulatory and planning requirements—in 2012, W</w:t>
      </w:r>
      <w:r>
        <w:rPr>
          <w:rFonts w:ascii="Georgia" w:eastAsia="Times New Roman" w:hAnsi="Georgia"/>
          <w:color w:val="333333"/>
          <w:lang w:val="en"/>
        </w:rPr>
        <w:t>ood et al. concluded that ‘the lead time to deploy a nuclear power plant in Australia is between 15 and 20 years’ because of the need to create legal and regulatory frameworks, and because of time necessary for planning and construction (p. 71). BREE recen</w:t>
      </w:r>
      <w:r>
        <w:rPr>
          <w:rFonts w:ascii="Georgia" w:eastAsia="Times New Roman" w:hAnsi="Georgia"/>
          <w:color w:val="333333"/>
          <w:lang w:val="en"/>
        </w:rPr>
        <w:t>tly estimated that nuclear energy could not be constructed in Australia until 2020 at the earliest (2013d).</w:t>
      </w:r>
    </w:p>
    <w:p w:rsidR="00000000" w:rsidRDefault="004170B4" w:rsidP="004170B4">
      <w:pPr>
        <w:numPr>
          <w:ilvl w:val="0"/>
          <w:numId w:val="1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Community opinion—it seems that public support would be essential for nuclear power to be viable, though public acceptance remains uncertain and has</w:t>
      </w:r>
      <w:r>
        <w:rPr>
          <w:rFonts w:ascii="Georgia" w:eastAsia="Times New Roman" w:hAnsi="Georgia"/>
          <w:color w:val="333333"/>
          <w:lang w:val="en"/>
        </w:rPr>
        <w:t xml:space="preserve"> historically been hostile to the domestic development of nuclear energy (National Academies Forum 2010). </w:t>
      </w:r>
    </w:p>
    <w:p w:rsidR="00000000" w:rsidRDefault="004170B4" w:rsidP="004170B4">
      <w:pPr>
        <w:numPr>
          <w:ilvl w:val="0"/>
          <w:numId w:val="1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Workforce availability—Australia lacks personnel with the knowledge and capability to plan, construct and operate nuclear power generation. There is </w:t>
      </w:r>
      <w:r>
        <w:rPr>
          <w:rFonts w:ascii="Georgia" w:eastAsia="Times New Roman" w:hAnsi="Georgia"/>
          <w:color w:val="333333"/>
          <w:lang w:val="en"/>
        </w:rPr>
        <w:t xml:space="preserve">also a looming global shortage of these skills (Commonwealth of Australia 2006; OECD 2012). </w:t>
      </w:r>
    </w:p>
    <w:p w:rsidR="00000000" w:rsidRDefault="004170B4">
      <w:pPr>
        <w:pStyle w:val="NormalWeb"/>
        <w:spacing w:line="300" w:lineRule="atLeast"/>
        <w:rPr>
          <w:rFonts w:ascii="Georgia" w:hAnsi="Georgia"/>
          <w:color w:val="333333"/>
          <w:lang w:val="en"/>
        </w:rPr>
      </w:pPr>
      <w:r>
        <w:rPr>
          <w:rFonts w:ascii="Georgia" w:hAnsi="Georgia"/>
          <w:color w:val="333333"/>
          <w:lang w:val="en"/>
        </w:rPr>
        <w:t>Nuclear project costs for Australia are uncertain and vary widely, but high costs appear a barrier to deployment in the near term. Recent estimates for developed c</w:t>
      </w:r>
      <w:r>
        <w:rPr>
          <w:rFonts w:ascii="Georgia" w:hAnsi="Georgia"/>
          <w:color w:val="333333"/>
          <w:lang w:val="en"/>
        </w:rPr>
        <w:t>ountry nuclear energy projects range from $3–6 million per megawatt (overnight cost, in Wood et al. 2012, p. 711). These costs are high compared to other existing sources of generation. Like geothermal and CCS, nuclear power is capital-intensive and may be</w:t>
      </w:r>
      <w:r>
        <w:rPr>
          <w:rFonts w:ascii="Georgia" w:hAnsi="Georgia"/>
          <w:color w:val="333333"/>
          <w:lang w:val="en"/>
        </w:rPr>
        <w:t xml:space="preserve"> difficult for the private sector to finance (Citigroup Global Markets 2009). A report prepared for the Prime Minister in 2006 concluded that to be competitive with existing generation, nuclear power would require a carbon price (Commonwealth of Australia,</w:t>
      </w:r>
      <w:r>
        <w:rPr>
          <w:rFonts w:ascii="Georgia" w:hAnsi="Georgia"/>
          <w:color w:val="333333"/>
          <w:lang w:val="en"/>
        </w:rPr>
        <w:t xml:space="preserve"> p. 6). BREE’s </w:t>
      </w:r>
      <w:r>
        <w:rPr>
          <w:rStyle w:val="Emphasis"/>
          <w:rFonts w:ascii="Georgia" w:hAnsi="Georgia"/>
          <w:color w:val="333333"/>
          <w:lang w:val="en"/>
        </w:rPr>
        <w:t xml:space="preserve">2013 AETA Model Update </w:t>
      </w:r>
      <w:r>
        <w:rPr>
          <w:rFonts w:ascii="Georgia" w:hAnsi="Georgia"/>
          <w:color w:val="333333"/>
          <w:lang w:val="en"/>
        </w:rPr>
        <w:t>suggested capital costs of nuclear had risen further since its previous estimates (BREE 2012).</w:t>
      </w:r>
    </w:p>
    <w:p w:rsidR="00000000" w:rsidRDefault="004170B4">
      <w:pPr>
        <w:pStyle w:val="NormalWeb"/>
        <w:spacing w:line="300" w:lineRule="atLeast"/>
        <w:rPr>
          <w:rFonts w:ascii="Georgia" w:hAnsi="Georgia"/>
          <w:color w:val="333333"/>
          <w:lang w:val="en"/>
        </w:rPr>
      </w:pPr>
      <w:r>
        <w:rPr>
          <w:rFonts w:ascii="Georgia" w:hAnsi="Georgia"/>
          <w:color w:val="333333"/>
          <w:lang w:val="en"/>
        </w:rPr>
        <w:t>At present, it seems doubtful that planning and capital requirements for nuclear power could be overcome soon enough for it</w:t>
      </w:r>
      <w:r>
        <w:rPr>
          <w:rFonts w:ascii="Georgia" w:hAnsi="Georgia"/>
          <w:color w:val="333333"/>
          <w:lang w:val="en"/>
        </w:rPr>
        <w:t xml:space="preserve"> to compete with other low-emissions technologies for which costs are falling, such as solar thermal with storage. If small modular reactors become commercially viable in the short term, however, they could offer a less costly form of nuclear technology th</w:t>
      </w:r>
      <w:r>
        <w:rPr>
          <w:rFonts w:ascii="Georgia" w:hAnsi="Georgia"/>
          <w:color w:val="333333"/>
          <w:lang w:val="en"/>
        </w:rPr>
        <w:t>an large-scale plant (BREE 2012). Modular reactors also reduce construction timeframes and could allow for more flexible deployment, including in remote locations.</w:t>
      </w:r>
    </w:p>
    <w:p w:rsidR="00000000" w:rsidRDefault="004170B4">
      <w:pPr>
        <w:pStyle w:val="Heading4"/>
        <w:rPr>
          <w:rFonts w:eastAsia="Times New Roman"/>
          <w:color w:val="333333"/>
          <w:lang w:val="en"/>
        </w:rPr>
      </w:pPr>
      <w:r>
        <w:rPr>
          <w:rFonts w:eastAsia="Times New Roman"/>
          <w:color w:val="333333"/>
          <w:lang w:val="en"/>
        </w:rPr>
        <w:t>D3.4.4 Electric storage and changes to the electricity grid</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Modular storage lends itself wel</w:t>
      </w:r>
      <w:r>
        <w:rPr>
          <w:rFonts w:ascii="Georgia" w:hAnsi="Georgia"/>
          <w:color w:val="333333"/>
          <w:lang w:val="en"/>
        </w:rPr>
        <w:t>l to supporting the generally modest changes expected in Australia’s electricity supply and demand over the next decade. Storage options include batteries (such as those in electric cars) and compressed air. Affordable storage could dramatically improve th</w:t>
      </w:r>
      <w:r>
        <w:rPr>
          <w:rFonts w:ascii="Georgia" w:hAnsi="Georgia"/>
          <w:color w:val="333333"/>
          <w:lang w:val="en"/>
        </w:rPr>
        <w:t>e economic viability of renewables with variable generation, particularly off-grid (</w:t>
      </w:r>
      <w:proofErr w:type="spellStart"/>
      <w:r>
        <w:rPr>
          <w:rFonts w:ascii="Georgia" w:hAnsi="Georgia"/>
          <w:color w:val="333333"/>
          <w:lang w:val="en"/>
        </w:rPr>
        <w:t>Marchment</w:t>
      </w:r>
      <w:proofErr w:type="spellEnd"/>
      <w:r>
        <w:rPr>
          <w:rFonts w:ascii="Georgia" w:hAnsi="Georgia"/>
          <w:color w:val="333333"/>
          <w:lang w:val="en"/>
        </w:rPr>
        <w:t xml:space="preserve"> Hill Consulting 2012). CSIRO analysis suggests that the availability of storage as a backup technology could contribute up to an additional 10 per cent to renewab</w:t>
      </w:r>
      <w:r>
        <w:rPr>
          <w:rFonts w:ascii="Georgia" w:hAnsi="Georgia"/>
          <w:color w:val="333333"/>
          <w:lang w:val="en"/>
        </w:rPr>
        <w:t>le share and about 20 Mt CO</w:t>
      </w:r>
      <w:r>
        <w:rPr>
          <w:rFonts w:ascii="Georgia" w:hAnsi="Georgia"/>
          <w:color w:val="333333"/>
          <w:sz w:val="18"/>
          <w:szCs w:val="18"/>
          <w:vertAlign w:val="subscript"/>
          <w:lang w:val="en"/>
        </w:rPr>
        <w:t>2</w:t>
      </w:r>
      <w:r>
        <w:rPr>
          <w:rFonts w:ascii="Georgia" w:hAnsi="Georgia"/>
          <w:color w:val="333333"/>
          <w:lang w:val="en"/>
        </w:rPr>
        <w:t xml:space="preserve">-e emissions reductions in 2050 (Graham, Brinsmead and </w:t>
      </w:r>
      <w:proofErr w:type="spellStart"/>
      <w:r>
        <w:rPr>
          <w:rFonts w:ascii="Georgia" w:hAnsi="Georgia"/>
          <w:color w:val="333333"/>
          <w:lang w:val="en"/>
        </w:rPr>
        <w:t>Marendy</w:t>
      </w:r>
      <w:proofErr w:type="spellEnd"/>
      <w:r>
        <w:rPr>
          <w:rFonts w:ascii="Georgia" w:hAnsi="Georgia"/>
          <w:color w:val="333333"/>
          <w:lang w:val="en"/>
        </w:rPr>
        <w:t xml:space="preserve"> 2013, p. 17).</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Storage has been used successfully at scale, such as in Australia’s Smart Grid, Smart City project, but remains relatively costly. A recent EPRI study </w:t>
      </w:r>
      <w:r>
        <w:rPr>
          <w:rFonts w:ascii="Georgia" w:hAnsi="Georgia"/>
          <w:color w:val="333333"/>
          <w:lang w:val="en"/>
        </w:rPr>
        <w:t xml:space="preserve">suggested break-even capital costs of energy storage of between $1,000 and $4,000 per kilowatt (2013, p. v). As with other emerging technologies, overseas developments are relevant to Australia. If California’s target for up to 1.3 GW of storage is </w:t>
      </w:r>
      <w:proofErr w:type="spellStart"/>
      <w:r>
        <w:rPr>
          <w:rFonts w:ascii="Georgia" w:hAnsi="Georgia"/>
          <w:color w:val="333333"/>
          <w:lang w:val="en"/>
        </w:rPr>
        <w:t>realise</w:t>
      </w:r>
      <w:r>
        <w:rPr>
          <w:rFonts w:ascii="Georgia" w:hAnsi="Georgia"/>
          <w:color w:val="333333"/>
          <w:lang w:val="en"/>
        </w:rPr>
        <w:t>d</w:t>
      </w:r>
      <w:proofErr w:type="spellEnd"/>
      <w:r>
        <w:rPr>
          <w:rFonts w:ascii="Georgia" w:hAnsi="Georgia"/>
          <w:color w:val="333333"/>
          <w:lang w:val="en"/>
        </w:rPr>
        <w:t xml:space="preserve"> by 2020, cost improvements are likely to occur (</w:t>
      </w:r>
      <w:proofErr w:type="spellStart"/>
      <w:r>
        <w:rPr>
          <w:rFonts w:ascii="Georgia" w:hAnsi="Georgia"/>
          <w:color w:val="333333"/>
          <w:lang w:val="en"/>
        </w:rPr>
        <w:t>Reddall</w:t>
      </w:r>
      <w:proofErr w:type="spellEnd"/>
      <w:r>
        <w:rPr>
          <w:rFonts w:ascii="Georgia" w:hAnsi="Georgia"/>
          <w:color w:val="333333"/>
          <w:lang w:val="en"/>
        </w:rPr>
        <w:t xml:space="preserve"> and Groom 2013). Government support in Germany and Japan is also accelerating deployment of small-scale and large-scale electric storage, respectively (Parkinson 2013b, 2013c). The CSIRO (2013) esti</w:t>
      </w:r>
      <w:r>
        <w:rPr>
          <w:rFonts w:ascii="Georgia" w:hAnsi="Georgia"/>
          <w:color w:val="333333"/>
          <w:lang w:val="en"/>
        </w:rPr>
        <w:t>mates that battery costs may halve by 2030, leading to electric storage becoming more widespread. The Authority agrees with the CSIRO’s suggestion that BREE’s Australian Energy Technology Assessment should track developments in small-scale generation and s</w:t>
      </w:r>
      <w:r>
        <w:rPr>
          <w:rFonts w:ascii="Georgia" w:hAnsi="Georgia"/>
          <w:color w:val="333333"/>
          <w:lang w:val="en"/>
        </w:rPr>
        <w:t>torage technologies.</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 can learn from successful overseas business models. In New Zealand, for example, electricity distribution network businesses are deploying and operating solar PV and battery storage systems, with leasing arrangements (Parkins</w:t>
      </w:r>
      <w:r>
        <w:rPr>
          <w:rFonts w:ascii="Georgia" w:hAnsi="Georgia"/>
          <w:color w:val="333333"/>
          <w:lang w:val="en"/>
        </w:rPr>
        <w:t>on 2013a). Their recent emergence in Australia may increase further uptake of PV, particularly in the commercial sector (Photon Energy 2013). Such business models may help overcome capital hurdles to cost-effective investment. Changes to energy market regu</w:t>
      </w:r>
      <w:r>
        <w:rPr>
          <w:rFonts w:ascii="Georgia" w:hAnsi="Georgia"/>
          <w:color w:val="333333"/>
          <w:lang w:val="en"/>
        </w:rPr>
        <w:t xml:space="preserve">lation in Australia could encourage distribution businesses to invest in storage when cost-effective (see Table D.5).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analysis of electricity sector in this Review is based on modelling and other sources that assume a broad continuation of the existin</w:t>
      </w:r>
      <w:r>
        <w:rPr>
          <w:rFonts w:ascii="Georgia" w:hAnsi="Georgia"/>
          <w:color w:val="333333"/>
          <w:lang w:val="en"/>
        </w:rPr>
        <w:t xml:space="preserve">g </w:t>
      </w:r>
      <w:proofErr w:type="spellStart"/>
      <w:r>
        <w:rPr>
          <w:rFonts w:ascii="Georgia" w:hAnsi="Georgia"/>
          <w:color w:val="333333"/>
          <w:lang w:val="en"/>
        </w:rPr>
        <w:t>centralised</w:t>
      </w:r>
      <w:proofErr w:type="spellEnd"/>
      <w:r>
        <w:rPr>
          <w:rFonts w:ascii="Georgia" w:hAnsi="Georgia"/>
          <w:color w:val="333333"/>
          <w:lang w:val="en"/>
        </w:rPr>
        <w:t xml:space="preserve"> structure of Australia’s electricity supply. As small-scale and renewable generation increase and costs of electric storage fall, closer examination of a smarter and more </w:t>
      </w:r>
      <w:proofErr w:type="spellStart"/>
      <w:r>
        <w:rPr>
          <w:rFonts w:ascii="Georgia" w:hAnsi="Georgia"/>
          <w:color w:val="333333"/>
          <w:lang w:val="en"/>
        </w:rPr>
        <w:t>decentralised</w:t>
      </w:r>
      <w:proofErr w:type="spellEnd"/>
      <w:r>
        <w:rPr>
          <w:rFonts w:ascii="Georgia" w:hAnsi="Georgia"/>
          <w:color w:val="333333"/>
          <w:lang w:val="en"/>
        </w:rPr>
        <w:t xml:space="preserve"> energy system is warranted. The CSIRO’s Future Grid Forum</w:t>
      </w:r>
      <w:r>
        <w:rPr>
          <w:rFonts w:ascii="Georgia" w:hAnsi="Georgia"/>
          <w:color w:val="333333"/>
          <w:lang w:val="en"/>
        </w:rPr>
        <w:t xml:space="preserve"> provides one such analysis. Across its four scenarios, it projects:</w:t>
      </w:r>
    </w:p>
    <w:p w:rsidR="00000000" w:rsidRDefault="004170B4" w:rsidP="004170B4">
      <w:pPr>
        <w:numPr>
          <w:ilvl w:val="0"/>
          <w:numId w:val="1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declines in grid-connected electricity generation from about 2040, with on-site generation to provide between 18 and 45 per cent of generation by 2050</w:t>
      </w:r>
    </w:p>
    <w:p w:rsidR="00000000" w:rsidRDefault="004170B4" w:rsidP="004170B4">
      <w:pPr>
        <w:numPr>
          <w:ilvl w:val="0"/>
          <w:numId w:val="16"/>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decreasing</w:t>
      </w:r>
      <w:proofErr w:type="gramEnd"/>
      <w:r>
        <w:rPr>
          <w:rFonts w:ascii="Georgia" w:eastAsia="Times New Roman" w:hAnsi="Georgia"/>
          <w:color w:val="333333"/>
          <w:lang w:val="en"/>
        </w:rPr>
        <w:t xml:space="preserve"> electricity sector emissi</w:t>
      </w:r>
      <w:r>
        <w:rPr>
          <w:rFonts w:ascii="Georgia" w:eastAsia="Times New Roman" w:hAnsi="Georgia"/>
          <w:color w:val="333333"/>
          <w:lang w:val="en"/>
        </w:rPr>
        <w:t xml:space="preserve">ons to 55–89 per cent below 2000 levels by 2050 (CSIRO 2013, p. 15). </w:t>
      </w:r>
    </w:p>
    <w:p w:rsidR="00000000" w:rsidRDefault="004170B4">
      <w:pPr>
        <w:pStyle w:val="Heading2"/>
        <w:shd w:val="clear" w:color="auto" w:fill="F5F5F5"/>
        <w:divId w:val="513034498"/>
        <w:rPr>
          <w:rFonts w:eastAsia="Times New Roman"/>
          <w:color w:val="333333"/>
          <w:lang w:val="en"/>
        </w:rPr>
      </w:pPr>
      <w:r>
        <w:rPr>
          <w:rFonts w:eastAsia="Times New Roman"/>
          <w:color w:val="333333"/>
          <w:lang w:val="en"/>
        </w:rPr>
        <w:t>Box D.3: A zero-emissions supply mix?</w:t>
      </w:r>
    </w:p>
    <w:p w:rsidR="00000000" w:rsidRDefault="004170B4">
      <w:pPr>
        <w:pStyle w:val="NormalWeb"/>
        <w:shd w:val="clear" w:color="auto" w:fill="F5F5F5"/>
        <w:spacing w:line="300" w:lineRule="atLeast"/>
        <w:divId w:val="513034498"/>
        <w:rPr>
          <w:rFonts w:ascii="Georgia" w:hAnsi="Georgia"/>
          <w:color w:val="333333"/>
          <w:lang w:val="en"/>
        </w:rPr>
      </w:pPr>
      <w:r>
        <w:rPr>
          <w:rFonts w:ascii="Georgia" w:hAnsi="Georgia"/>
          <w:color w:val="333333"/>
          <w:lang w:val="en"/>
        </w:rPr>
        <w:lastRenderedPageBreak/>
        <w:t>Modelling by the Treasury and DIICCSRTE illustrates a potential supply mix where the electricity sector (and other sectors) responds to emissions re</w:t>
      </w:r>
      <w:r>
        <w:rPr>
          <w:rFonts w:ascii="Georgia" w:hAnsi="Georgia"/>
          <w:color w:val="333333"/>
          <w:lang w:val="en"/>
        </w:rPr>
        <w:t>duction incentives, at lowest cost and within existing policy parameters. Other studies consider a possible zero-emissions electricity supply mix. For example, AEMO published an exploratory study of a 100 per cent renewables mix, which suggested that there</w:t>
      </w:r>
      <w:r>
        <w:rPr>
          <w:rFonts w:ascii="Georgia" w:hAnsi="Georgia"/>
          <w:color w:val="333333"/>
          <w:lang w:val="en"/>
        </w:rPr>
        <w:t xml:space="preserve"> are no technical barriers to such an outcome by 2050. That scenario could be possible without any electrical storage, though it could require ‘generation with a nameplate capacity of over twice the maximum customer demand’ or a large contribution from bio</w:t>
      </w:r>
      <w:r>
        <w:rPr>
          <w:rFonts w:ascii="Georgia" w:hAnsi="Georgia"/>
          <w:color w:val="333333"/>
          <w:lang w:val="en"/>
        </w:rPr>
        <w:t>fuel, which faces considerable barriers (AEMO 2013c, p. 4).</w:t>
      </w:r>
    </w:p>
    <w:p w:rsidR="00000000" w:rsidRDefault="004170B4">
      <w:pPr>
        <w:pStyle w:val="NormalWeb"/>
        <w:shd w:val="clear" w:color="auto" w:fill="F5F5F5"/>
        <w:spacing w:line="300" w:lineRule="atLeast"/>
        <w:divId w:val="513034498"/>
        <w:rPr>
          <w:rFonts w:ascii="Georgia" w:hAnsi="Georgia"/>
          <w:color w:val="333333"/>
          <w:lang w:val="en"/>
        </w:rPr>
      </w:pPr>
      <w:r>
        <w:rPr>
          <w:rFonts w:ascii="Georgia" w:hAnsi="Georgia"/>
          <w:color w:val="333333"/>
          <w:lang w:val="en"/>
        </w:rPr>
        <w:t xml:space="preserve">With growing deployment of renewables, there is evidence that a generation mix dominated by renewable energy is technically possible. King Island, for example, produces 65 per cent of electricity </w:t>
      </w:r>
      <w:r>
        <w:rPr>
          <w:rFonts w:ascii="Georgia" w:hAnsi="Georgia"/>
          <w:color w:val="333333"/>
          <w:lang w:val="en"/>
        </w:rPr>
        <w:t>consumed from renewables, primarily wind. It plans to move towards 100 per cent, combining this generation with solar, biodiesel, battery storage and smart grid technologies (Guevara-Stone 2013). Other studies of high penetration of intermittent renewables</w:t>
      </w:r>
      <w:r>
        <w:rPr>
          <w:rFonts w:ascii="Georgia" w:hAnsi="Georgia"/>
          <w:color w:val="333333"/>
          <w:lang w:val="en"/>
        </w:rPr>
        <w:t>, such as solar PV, have found that solutions to grid integration issues, such as new system invertors or electric storage, are available—though at a cost (</w:t>
      </w:r>
      <w:proofErr w:type="spellStart"/>
      <w:r>
        <w:rPr>
          <w:rFonts w:ascii="Georgia" w:hAnsi="Georgia"/>
          <w:color w:val="333333"/>
          <w:lang w:val="en"/>
        </w:rPr>
        <w:t>Brundlinger</w:t>
      </w:r>
      <w:proofErr w:type="spellEnd"/>
      <w:r>
        <w:rPr>
          <w:rFonts w:ascii="Georgia" w:hAnsi="Georgia"/>
          <w:color w:val="333333"/>
          <w:lang w:val="en"/>
        </w:rPr>
        <w:t xml:space="preserve"> et al. 2010; Energy Networks Association 2011). Storage that is integrated into large-sc</w:t>
      </w:r>
      <w:r>
        <w:rPr>
          <w:rFonts w:ascii="Georgia" w:hAnsi="Georgia"/>
          <w:color w:val="333333"/>
          <w:lang w:val="en"/>
        </w:rPr>
        <w:t xml:space="preserve">ale renewables generation, such as solar thermal, is also available. </w:t>
      </w:r>
    </w:p>
    <w:p w:rsidR="00000000" w:rsidRDefault="004170B4">
      <w:pPr>
        <w:pStyle w:val="Heading3"/>
        <w:rPr>
          <w:rFonts w:eastAsia="Times New Roman"/>
          <w:color w:val="333333"/>
          <w:lang w:val="en"/>
        </w:rPr>
      </w:pPr>
      <w:r>
        <w:rPr>
          <w:rFonts w:eastAsia="Times New Roman"/>
          <w:color w:val="333333"/>
          <w:lang w:val="en"/>
        </w:rPr>
        <w:t xml:space="preserve">D3.5 Electricity demand </w:t>
      </w:r>
    </w:p>
    <w:p w:rsidR="00000000" w:rsidRDefault="004170B4">
      <w:pPr>
        <w:pStyle w:val="Heading4"/>
        <w:rPr>
          <w:rFonts w:eastAsia="Times New Roman"/>
          <w:color w:val="333333"/>
          <w:lang w:val="en"/>
        </w:rPr>
      </w:pPr>
      <w:r>
        <w:rPr>
          <w:rFonts w:eastAsia="Times New Roman"/>
          <w:color w:val="333333"/>
          <w:lang w:val="en"/>
        </w:rPr>
        <w:t xml:space="preserve">D3.5.1 Activity emissions outcomes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Activity throughout the economy will affect the levels of electricity demand and the level of emissions. Historically, </w:t>
      </w:r>
      <w:r>
        <w:rPr>
          <w:rFonts w:ascii="Georgia" w:hAnsi="Georgia"/>
          <w:color w:val="333333"/>
          <w:lang w:val="en"/>
        </w:rPr>
        <w:t xml:space="preserve">growth in electricity sector emissions has increased as a result of strong growth in electricity demand (thus increasing total generation levels). From 1990 until a few years ago, Australia’s rate of increase in electricity generation was higher than most </w:t>
      </w:r>
      <w:r>
        <w:rPr>
          <w:rFonts w:ascii="Georgia" w:hAnsi="Georgia"/>
          <w:color w:val="333333"/>
          <w:lang w:val="en"/>
        </w:rPr>
        <w:t>developed countries and well above the OECD average (IEA 2013b, p. 107). In 2011, Australia’s annual electricity consumption, per person, was about 11 </w:t>
      </w:r>
      <w:proofErr w:type="spellStart"/>
      <w:r>
        <w:rPr>
          <w:rFonts w:ascii="Georgia" w:hAnsi="Georgia"/>
          <w:color w:val="333333"/>
          <w:lang w:val="en"/>
        </w:rPr>
        <w:t>MWh</w:t>
      </w:r>
      <w:proofErr w:type="spellEnd"/>
      <w:r>
        <w:rPr>
          <w:rFonts w:ascii="Georgia" w:hAnsi="Georgia"/>
          <w:color w:val="333333"/>
          <w:lang w:val="en"/>
        </w:rPr>
        <w:t>, above the OECD average of 8 </w:t>
      </w:r>
      <w:proofErr w:type="spellStart"/>
      <w:r>
        <w:rPr>
          <w:rFonts w:ascii="Georgia" w:hAnsi="Georgia"/>
          <w:color w:val="333333"/>
          <w:lang w:val="en"/>
        </w:rPr>
        <w:t>MWh</w:t>
      </w:r>
      <w:proofErr w:type="spellEnd"/>
      <w:r>
        <w:rPr>
          <w:rFonts w:ascii="Georgia" w:hAnsi="Georgia"/>
          <w:color w:val="333333"/>
          <w:lang w:val="en"/>
        </w:rPr>
        <w:t xml:space="preserve">—though lower than the electricity-intensive economies of Canada and </w:t>
      </w:r>
      <w:r>
        <w:rPr>
          <w:rFonts w:ascii="Georgia" w:hAnsi="Georgia"/>
          <w:color w:val="333333"/>
          <w:lang w:val="en"/>
        </w:rPr>
        <w:t>the US (IEA 2012b, pp. 70, 74).</w:t>
      </w:r>
    </w:p>
    <w:p w:rsidR="00000000" w:rsidRDefault="004170B4">
      <w:pPr>
        <w:pStyle w:val="NormalWeb"/>
        <w:spacing w:line="300" w:lineRule="atLeast"/>
        <w:rPr>
          <w:rFonts w:ascii="Georgia" w:hAnsi="Georgia"/>
          <w:color w:val="333333"/>
          <w:lang w:val="en"/>
        </w:rPr>
      </w:pPr>
      <w:r>
        <w:rPr>
          <w:rFonts w:ascii="Georgia" w:hAnsi="Georgia"/>
          <w:color w:val="333333"/>
          <w:lang w:val="en"/>
        </w:rPr>
        <w:t>The short-term outlook is for Australia’s growth in electricity demand to increase (driven largely by the Queensland resource sector), as illustrated for the NEM in Figure D.15. Many electricity industry stakeholders suggest</w:t>
      </w:r>
      <w:r>
        <w:rPr>
          <w:rFonts w:ascii="Georgia" w:hAnsi="Georgia"/>
          <w:color w:val="333333"/>
          <w:lang w:val="en"/>
        </w:rPr>
        <w:t xml:space="preserve"> that, based on their observations of drivers of electricity demand, the low-demand scenario from AEMO is more likely than its medium-demand scenario, and even this may be an overestimate (CCA 2013). AEMO recently revised its short-term forecasts for NEM d</w:t>
      </w:r>
      <w:r>
        <w:rPr>
          <w:rFonts w:ascii="Georgia" w:hAnsi="Georgia"/>
          <w:color w:val="333333"/>
          <w:lang w:val="en"/>
        </w:rPr>
        <w:t xml:space="preserve">emand downwards (AEMO 2013e). Electricity demand is projected to remain stable or fall between 2012 and 2020 with a strong emissions reduction incentive in the Treasury and DIICCSRTE’s high scenario.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Even though overall electricity demand is projected to </w:t>
      </w:r>
      <w:r>
        <w:rPr>
          <w:rFonts w:ascii="Georgia" w:hAnsi="Georgia"/>
          <w:color w:val="333333"/>
          <w:lang w:val="en"/>
        </w:rPr>
        <w:t>grow, per person electricity consumption is projected to fall to about 9.8 </w:t>
      </w:r>
      <w:proofErr w:type="spellStart"/>
      <w:r>
        <w:rPr>
          <w:rFonts w:ascii="Georgia" w:hAnsi="Georgia"/>
          <w:color w:val="333333"/>
          <w:lang w:val="en"/>
        </w:rPr>
        <w:t>MWh</w:t>
      </w:r>
      <w:proofErr w:type="spellEnd"/>
      <w:r>
        <w:rPr>
          <w:rFonts w:ascii="Georgia" w:hAnsi="Georgia"/>
          <w:color w:val="333333"/>
          <w:lang w:val="en"/>
        </w:rPr>
        <w:t xml:space="preserve"> in 2030 in the medium scenario. By contrast to NEM and total Australian electricity demand, it is likely that off-grid electricity generation will grow more rapidly, as it has i</w:t>
      </w:r>
      <w:r>
        <w:rPr>
          <w:rFonts w:ascii="Georgia" w:hAnsi="Georgia"/>
          <w:color w:val="333333"/>
          <w:lang w:val="en"/>
        </w:rPr>
        <w:t xml:space="preserve">n recent years, driven largely by an increasing number of remote resource projects. </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D.15 reinforces the fact that changes in electricity generation activity are affected by the level of incentive to reduce emissions. Resulting decreases in demand c</w:t>
      </w:r>
      <w:r>
        <w:rPr>
          <w:rFonts w:ascii="Georgia" w:hAnsi="Georgia"/>
          <w:color w:val="333333"/>
          <w:lang w:val="en"/>
        </w:rPr>
        <w:t>ould provide significant emissions reductions.</w:t>
      </w:r>
    </w:p>
    <w:p w:rsidR="00000000" w:rsidRDefault="004170B4">
      <w:pPr>
        <w:pStyle w:val="Heading2"/>
        <w:rPr>
          <w:rFonts w:eastAsia="Times New Roman"/>
          <w:color w:val="333333"/>
          <w:lang w:val="en"/>
        </w:rPr>
      </w:pPr>
      <w:r>
        <w:rPr>
          <w:rFonts w:eastAsia="Times New Roman"/>
          <w:color w:val="333333"/>
          <w:lang w:val="en"/>
        </w:rPr>
        <w:t>Figure D.15: Projected change in NEM demand and per person electricity consumption, 2013–2030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643880" cy="2543810"/>
            <wp:effectExtent l="0" t="0" r="0" b="8890"/>
            <wp:docPr id="15" name="Picture 15" descr="&#10;Figure D.15 shows the projected change in electricity demand in the National Electricity Market and per person electricity consumption between 2013 and 2030 across different scenarios. &#10;In 2013, electricity demand is projected to be between around 177,000 and 189,000 gigawatt hours, increasing to between around 194,000 to 224,000 gigawatt hours in 2030. In Treasury’s high scenario, electricity demand could decrease in 2020 (to around 180,000 gigawatt hours) before rising again in 2030. Demand per person in the medium scenario is projected to stay between 8 and 9 megawatt hours per person between 2013 and 2030, but projected to fall over that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Figure D.15 shows the projected change in electricity demand in the National Electricity Market and per person electricity consumption between 2013 and 2030 across different scenarios. &#10;In 2013, electricity demand is projected to be between around 177,000 and 189,000 gigawatt hours, increasing to between around 194,000 to 224,000 gigawatt hours in 2030. In Treasury’s high scenario, electricity demand could decrease in 2020 (to around 180,000 gigawatt hours) before rising again in 2030. Demand per person in the medium scenario is projected to stay between 8 and 9 megawatt hours per person between 2013 and 2030, but projected to fall over that period.&#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3880" cy="25438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Note:</w:t>
      </w:r>
      <w:r>
        <w:rPr>
          <w:rFonts w:ascii="Georgia" w:hAnsi="Georgia"/>
          <w:color w:val="333333"/>
          <w:lang w:val="en"/>
        </w:rPr>
        <w:t xml:space="preserve"> Based on sent out generation for NEM only (which accounts for about 86% of total domestic demand), ACIL Allen Consulting 2013, for 2011–12. </w:t>
      </w:r>
      <w:r>
        <w:rPr>
          <w:rStyle w:val="Strong"/>
          <w:rFonts w:ascii="Georgia" w:hAnsi="Georgia"/>
          <w:color w:val="333333"/>
          <w:lang w:val="en"/>
        </w:rPr>
        <w:t>Sources:</w:t>
      </w:r>
      <w:r>
        <w:rPr>
          <w:rFonts w:ascii="Georgia" w:hAnsi="Georgia"/>
          <w:color w:val="333333"/>
          <w:lang w:val="en"/>
        </w:rPr>
        <w:t xml:space="preserve"> AEMO 2013a; Climate Change A</w:t>
      </w:r>
      <w:r>
        <w:rPr>
          <w:rFonts w:ascii="Georgia" w:hAnsi="Georgia"/>
          <w:color w:val="333333"/>
          <w:lang w:val="en"/>
        </w:rPr>
        <w:t>uthority calculations using results from Treasury and DIICCSRTE 2013 and the medium scenario from ACIL Allen Consulting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Recently, there has been heightened uncertainty in electricity demand projections, as actual consumption continues to deviate from </w:t>
      </w:r>
      <w:r>
        <w:rPr>
          <w:rFonts w:ascii="Georgia" w:hAnsi="Georgia"/>
          <w:color w:val="333333"/>
          <w:lang w:val="en"/>
        </w:rPr>
        <w:t>long-term trends. Several downward revisions to demand projections in recent years illustrate this in the NEM (AEMO 2013a, 2013e). If electricity demand is even lower than projected, it will reduce the size of Australia’s emissions reduction task, all else</w:t>
      </w:r>
      <w:r>
        <w:rPr>
          <w:rFonts w:ascii="Georgia" w:hAnsi="Georgia"/>
          <w:color w:val="333333"/>
          <w:lang w:val="en"/>
        </w:rPr>
        <w:t xml:space="preserve"> being equal. Some plausible scenarios for lower electricity demand from households, commercial buildings and industry could keep electricity demand at 2012–13 levels in 2020 and deliver up to 23 Mt CO</w:t>
      </w:r>
      <w:r>
        <w:rPr>
          <w:rFonts w:ascii="Georgia" w:hAnsi="Georgia"/>
          <w:color w:val="333333"/>
          <w:sz w:val="18"/>
          <w:szCs w:val="18"/>
          <w:vertAlign w:val="subscript"/>
          <w:lang w:val="en"/>
        </w:rPr>
        <w:t>2</w:t>
      </w:r>
      <w:r>
        <w:rPr>
          <w:rFonts w:ascii="Georgia" w:hAnsi="Georgia"/>
          <w:color w:val="333333"/>
          <w:lang w:val="en"/>
        </w:rPr>
        <w:t>-e emissions reductions in 2019–20 (</w:t>
      </w:r>
      <w:proofErr w:type="spellStart"/>
      <w:r>
        <w:rPr>
          <w:rFonts w:ascii="Georgia" w:hAnsi="Georgia"/>
          <w:color w:val="333333"/>
          <w:lang w:val="en"/>
        </w:rPr>
        <w:t>ClimateWorks</w:t>
      </w:r>
      <w:proofErr w:type="spellEnd"/>
      <w:r>
        <w:rPr>
          <w:rFonts w:ascii="Georgia" w:hAnsi="Georgia"/>
          <w:color w:val="333333"/>
          <w:lang w:val="en"/>
        </w:rPr>
        <w:t xml:space="preserve"> 2013c</w:t>
      </w:r>
      <w:r>
        <w:rPr>
          <w:rFonts w:ascii="Georgia" w:hAnsi="Georgia"/>
          <w:color w:val="333333"/>
          <w:lang w:val="en"/>
        </w:rPr>
        <w:t xml:space="preserve">, pp. 3, 10). </w:t>
      </w:r>
    </w:p>
    <w:p w:rsidR="00000000" w:rsidRDefault="004170B4">
      <w:pPr>
        <w:pStyle w:val="Heading4"/>
        <w:rPr>
          <w:rFonts w:eastAsia="Times New Roman"/>
          <w:color w:val="333333"/>
          <w:lang w:val="en"/>
        </w:rPr>
      </w:pPr>
      <w:r>
        <w:rPr>
          <w:rFonts w:eastAsia="Times New Roman"/>
          <w:color w:val="333333"/>
          <w:lang w:val="en"/>
        </w:rPr>
        <w:t xml:space="preserve">D3.5.2 Contributors and drivers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Electricity demand is the function of a long list of drivers. Near-term influences on electricity demand are as diverse as the time of year, weather, use of electrical appliances and personal income. Longer t</w:t>
      </w:r>
      <w:r>
        <w:rPr>
          <w:rFonts w:ascii="Georgia" w:hAnsi="Georgia"/>
          <w:color w:val="333333"/>
          <w:lang w:val="en"/>
        </w:rPr>
        <w:t xml:space="preserve">erm drivers include population growth composition and geographic distribution, electricity prices, economic growth, interest rates and exchange rates, climate change impacts, renewal of building stock, and commercial and industrial activity (Yates and </w:t>
      </w:r>
      <w:proofErr w:type="spellStart"/>
      <w:r>
        <w:rPr>
          <w:rFonts w:ascii="Georgia" w:hAnsi="Georgia"/>
          <w:color w:val="333333"/>
          <w:lang w:val="en"/>
        </w:rPr>
        <w:t>Mend</w:t>
      </w:r>
      <w:r>
        <w:rPr>
          <w:rFonts w:ascii="Georgia" w:hAnsi="Georgia"/>
          <w:color w:val="333333"/>
          <w:lang w:val="en"/>
        </w:rPr>
        <w:t>is</w:t>
      </w:r>
      <w:proofErr w:type="spellEnd"/>
      <w:r>
        <w:rPr>
          <w:rFonts w:ascii="Georgia" w:hAnsi="Georgia"/>
          <w:color w:val="333333"/>
          <w:lang w:val="en"/>
        </w:rPr>
        <w:t xml:space="preserve"> 2009).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Policies, including energy performance standards, have significantly reduced electricity demand. Some </w:t>
      </w:r>
      <w:proofErr w:type="spellStart"/>
      <w:r>
        <w:rPr>
          <w:rFonts w:ascii="Georgia" w:hAnsi="Georgia"/>
          <w:color w:val="333333"/>
          <w:lang w:val="en"/>
        </w:rPr>
        <w:t>analyses</w:t>
      </w:r>
      <w:proofErr w:type="spellEnd"/>
      <w:r>
        <w:rPr>
          <w:rFonts w:ascii="Georgia" w:hAnsi="Georgia"/>
          <w:color w:val="333333"/>
          <w:lang w:val="en"/>
        </w:rPr>
        <w:t xml:space="preserve"> suggest energy efficiency policies have been responsible for more than a third of electricity demand reduction in the NEM between 2006</w:t>
      </w:r>
      <w:r>
        <w:rPr>
          <w:rFonts w:ascii="Georgia" w:hAnsi="Georgia"/>
          <w:color w:val="333333"/>
          <w:lang w:val="en"/>
        </w:rPr>
        <w:t xml:space="preserve"> and 2013 (see, for example, Saddler 2013). Such policies can continue to reduce demand and electricity sector emissions. Because it can be years or decades before equipment and buildings are turned over, future emissions reductions achieved through reduce</w:t>
      </w:r>
      <w:r>
        <w:rPr>
          <w:rFonts w:ascii="Georgia" w:hAnsi="Georgia"/>
          <w:color w:val="333333"/>
          <w:lang w:val="en"/>
        </w:rPr>
        <w:t>d energy demand will be influenced by the policies and standards put in place in the near term.</w:t>
      </w:r>
    </w:p>
    <w:p w:rsidR="00000000" w:rsidRDefault="004170B4">
      <w:pPr>
        <w:pStyle w:val="Heading5"/>
        <w:rPr>
          <w:rFonts w:eastAsia="Times New Roman"/>
          <w:color w:val="333333"/>
          <w:lang w:val="en"/>
        </w:rPr>
      </w:pPr>
      <w:r>
        <w:rPr>
          <w:rFonts w:eastAsia="Times New Roman"/>
          <w:color w:val="333333"/>
          <w:lang w:val="en"/>
        </w:rPr>
        <w:t>Industrial demand</w:t>
      </w:r>
    </w:p>
    <w:p w:rsidR="00000000" w:rsidRDefault="004170B4">
      <w:pPr>
        <w:pStyle w:val="NormalWeb"/>
        <w:spacing w:line="300" w:lineRule="atLeast"/>
        <w:rPr>
          <w:rFonts w:ascii="Georgia" w:hAnsi="Georgia"/>
          <w:color w:val="333333"/>
          <w:lang w:val="en"/>
        </w:rPr>
      </w:pPr>
      <w:r>
        <w:rPr>
          <w:rFonts w:ascii="Georgia" w:hAnsi="Georgia"/>
          <w:color w:val="333333"/>
          <w:lang w:val="en"/>
        </w:rPr>
        <w:t>In the medium scenario, the Treasury and DIICCSRTE (2013) projects stable or modestly increasing industrial electricity demand due to:</w:t>
      </w:r>
    </w:p>
    <w:p w:rsidR="00000000" w:rsidRDefault="004170B4" w:rsidP="004170B4">
      <w:pPr>
        <w:numPr>
          <w:ilvl w:val="0"/>
          <w:numId w:val="1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new act</w:t>
      </w:r>
      <w:r>
        <w:rPr>
          <w:rFonts w:ascii="Georgia" w:eastAsia="Times New Roman" w:hAnsi="Georgia"/>
          <w:color w:val="333333"/>
          <w:lang w:val="en"/>
        </w:rPr>
        <w:t>ivity in major LNG projects in Queensland, coming online from 2014 to 2016</w:t>
      </w:r>
    </w:p>
    <w:p w:rsidR="00000000" w:rsidRDefault="004170B4" w:rsidP="004170B4">
      <w:pPr>
        <w:numPr>
          <w:ilvl w:val="0"/>
          <w:numId w:val="1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declining activity in energy-intensive manufacturing, particularly </w:t>
      </w:r>
      <w:proofErr w:type="spellStart"/>
      <w:r>
        <w:rPr>
          <w:rFonts w:ascii="Georgia" w:eastAsia="Times New Roman" w:hAnsi="Georgia"/>
          <w:color w:val="333333"/>
          <w:lang w:val="en"/>
        </w:rPr>
        <w:t>aluminium</w:t>
      </w:r>
      <w:proofErr w:type="spellEnd"/>
      <w:r>
        <w:rPr>
          <w:rFonts w:ascii="Georgia" w:eastAsia="Times New Roman" w:hAnsi="Georgia"/>
          <w:color w:val="333333"/>
          <w:lang w:val="en"/>
        </w:rPr>
        <w:t xml:space="preserve"> production, as existing contracts for relatively low-priced electricity end </w:t>
      </w:r>
    </w:p>
    <w:p w:rsidR="00000000" w:rsidRDefault="004170B4" w:rsidP="004170B4">
      <w:pPr>
        <w:numPr>
          <w:ilvl w:val="0"/>
          <w:numId w:val="1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potential reductions in dem</w:t>
      </w:r>
      <w:r>
        <w:rPr>
          <w:rFonts w:ascii="Georgia" w:eastAsia="Times New Roman" w:hAnsi="Georgia"/>
          <w:color w:val="333333"/>
          <w:lang w:val="en"/>
        </w:rPr>
        <w:t>and through improvements to processes and technologies</w:t>
      </w:r>
    </w:p>
    <w:p w:rsidR="00000000" w:rsidRDefault="004170B4" w:rsidP="004170B4">
      <w:pPr>
        <w:numPr>
          <w:ilvl w:val="0"/>
          <w:numId w:val="17"/>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additional</w:t>
      </w:r>
      <w:proofErr w:type="gramEnd"/>
      <w:r>
        <w:rPr>
          <w:rFonts w:ascii="Georgia" w:eastAsia="Times New Roman" w:hAnsi="Georgia"/>
          <w:color w:val="333333"/>
          <w:lang w:val="en"/>
        </w:rPr>
        <w:t xml:space="preserve"> changes in the composition of the economy, which will see some electricity-intensive industries contract and others expand. </w:t>
      </w:r>
    </w:p>
    <w:p w:rsidR="00000000" w:rsidRDefault="004170B4">
      <w:pPr>
        <w:pStyle w:val="NormalWeb"/>
        <w:spacing w:line="300" w:lineRule="atLeast"/>
        <w:rPr>
          <w:rFonts w:ascii="Georgia" w:hAnsi="Georgia"/>
          <w:color w:val="333333"/>
          <w:lang w:val="en"/>
        </w:rPr>
      </w:pPr>
      <w:r>
        <w:rPr>
          <w:rFonts w:ascii="Georgia" w:hAnsi="Georgia"/>
          <w:color w:val="333333"/>
          <w:lang w:val="en"/>
        </w:rPr>
        <w:t>Industrial activity will be driven by several underlying factors,</w:t>
      </w:r>
      <w:r>
        <w:rPr>
          <w:rFonts w:ascii="Georgia" w:hAnsi="Georgia"/>
          <w:color w:val="333333"/>
          <w:lang w:val="en"/>
        </w:rPr>
        <w:t xml:space="preserve"> including commodity prices, exchange rates, fuel prices, management processes and the age of infrastructure.</w:t>
      </w:r>
    </w:p>
    <w:p w:rsidR="00000000" w:rsidRDefault="004170B4">
      <w:pPr>
        <w:pStyle w:val="NormalWeb"/>
        <w:spacing w:line="300" w:lineRule="atLeast"/>
        <w:rPr>
          <w:rFonts w:ascii="Georgia" w:hAnsi="Georgia"/>
          <w:color w:val="333333"/>
          <w:lang w:val="en"/>
        </w:rPr>
      </w:pPr>
      <w:r>
        <w:rPr>
          <w:rFonts w:ascii="Georgia" w:hAnsi="Georgia"/>
          <w:color w:val="333333"/>
          <w:lang w:val="en"/>
        </w:rPr>
        <w:t>Energy efficiency among large industrial users has increased significantly in recent years and saved users hundreds of millions of dollars. This h</w:t>
      </w:r>
      <w:r>
        <w:rPr>
          <w:rFonts w:ascii="Georgia" w:hAnsi="Georgia"/>
          <w:color w:val="333333"/>
          <w:lang w:val="en"/>
        </w:rPr>
        <w:t>as been, in part, driven by the Commonwealth Government’s Energy Efficiency Opportunities Program (Department of Industry 2013). It is possible that continued efficiency improvements will reduce industrial electricity use and associated emissions. If the i</w:t>
      </w:r>
      <w:r>
        <w:rPr>
          <w:rFonts w:ascii="Georgia" w:hAnsi="Georgia"/>
          <w:color w:val="333333"/>
          <w:lang w:val="en"/>
        </w:rPr>
        <w:t xml:space="preserve">mprovements in industrial energy efficiency since 2007–08 are maintained, </w:t>
      </w:r>
      <w:proofErr w:type="spellStart"/>
      <w:r>
        <w:rPr>
          <w:rFonts w:ascii="Georgia" w:hAnsi="Georgia"/>
          <w:color w:val="333333"/>
          <w:lang w:val="en"/>
        </w:rPr>
        <w:t>ClimateWorks</w:t>
      </w:r>
      <w:proofErr w:type="spellEnd"/>
      <w:r>
        <w:rPr>
          <w:rFonts w:ascii="Georgia" w:hAnsi="Georgia"/>
          <w:color w:val="333333"/>
          <w:lang w:val="en"/>
        </w:rPr>
        <w:t xml:space="preserve"> estimates that it could reduce electricity sector emissions by about 6 Mt CO</w:t>
      </w:r>
      <w:r>
        <w:rPr>
          <w:rFonts w:ascii="Georgia" w:hAnsi="Georgia"/>
          <w:color w:val="333333"/>
          <w:sz w:val="18"/>
          <w:szCs w:val="18"/>
          <w:vertAlign w:val="subscript"/>
          <w:lang w:val="en"/>
        </w:rPr>
        <w:t>2</w:t>
      </w:r>
      <w:r>
        <w:rPr>
          <w:rFonts w:ascii="Georgia" w:hAnsi="Georgia"/>
          <w:color w:val="333333"/>
          <w:lang w:val="en"/>
        </w:rPr>
        <w:t xml:space="preserve">-e between 2012 and 2020 (2013c, pp. 6, 13). </w:t>
      </w:r>
    </w:p>
    <w:p w:rsidR="00000000" w:rsidRDefault="004170B4">
      <w:pPr>
        <w:pStyle w:val="NormalWeb"/>
        <w:spacing w:line="300" w:lineRule="atLeast"/>
        <w:rPr>
          <w:rFonts w:ascii="Georgia" w:hAnsi="Georgia"/>
          <w:color w:val="333333"/>
          <w:lang w:val="en"/>
        </w:rPr>
      </w:pPr>
      <w:r>
        <w:rPr>
          <w:rFonts w:ascii="Georgia" w:hAnsi="Georgia"/>
          <w:color w:val="333333"/>
          <w:lang w:val="en"/>
        </w:rPr>
        <w:t>A sizeable portion of industrial electricity d</w:t>
      </w:r>
      <w:r>
        <w:rPr>
          <w:rFonts w:ascii="Georgia" w:hAnsi="Georgia"/>
          <w:color w:val="333333"/>
          <w:lang w:val="en"/>
        </w:rPr>
        <w:t xml:space="preserve">emand is not connected to major electricity grids. BREE reports that the resources and energy sectors, for example, consume off-grid electricity equivalent to about 5 per cent of total national electricity </w:t>
      </w:r>
      <w:r>
        <w:rPr>
          <w:rFonts w:ascii="Georgia" w:hAnsi="Georgia"/>
          <w:color w:val="333333"/>
          <w:lang w:val="en"/>
        </w:rPr>
        <w:lastRenderedPageBreak/>
        <w:t>demand (2013c, p. 7). A shift towards off-grid ele</w:t>
      </w:r>
      <w:r>
        <w:rPr>
          <w:rFonts w:ascii="Georgia" w:hAnsi="Georgia"/>
          <w:color w:val="333333"/>
          <w:lang w:val="en"/>
        </w:rPr>
        <w:t>ctricity generation has been recently observed and some expect this to continue (</w:t>
      </w:r>
      <w:proofErr w:type="spellStart"/>
      <w:r>
        <w:rPr>
          <w:rFonts w:ascii="Georgia" w:hAnsi="Georgia"/>
          <w:color w:val="333333"/>
          <w:lang w:val="en"/>
        </w:rPr>
        <w:t>ClimateWorks</w:t>
      </w:r>
      <w:proofErr w:type="spellEnd"/>
      <w:r>
        <w:rPr>
          <w:rFonts w:ascii="Georgia" w:hAnsi="Georgia"/>
          <w:color w:val="333333"/>
          <w:lang w:val="en"/>
        </w:rPr>
        <w:t xml:space="preserve"> 2013c). </w:t>
      </w:r>
    </w:p>
    <w:p w:rsidR="00000000" w:rsidRDefault="004170B4">
      <w:pPr>
        <w:pStyle w:val="Heading5"/>
        <w:rPr>
          <w:rFonts w:eastAsia="Times New Roman"/>
          <w:color w:val="333333"/>
          <w:lang w:val="en"/>
        </w:rPr>
      </w:pPr>
      <w:r>
        <w:rPr>
          <w:rFonts w:eastAsia="Times New Roman"/>
          <w:color w:val="333333"/>
          <w:lang w:val="en"/>
        </w:rPr>
        <w:t>Residential and commercial demand</w:t>
      </w:r>
    </w:p>
    <w:p w:rsidR="00000000" w:rsidRDefault="004170B4">
      <w:pPr>
        <w:pStyle w:val="NormalWeb"/>
        <w:spacing w:line="300" w:lineRule="atLeast"/>
        <w:rPr>
          <w:rFonts w:ascii="Georgia" w:hAnsi="Georgia"/>
          <w:color w:val="333333"/>
          <w:lang w:val="en"/>
        </w:rPr>
      </w:pPr>
      <w:r>
        <w:rPr>
          <w:rFonts w:ascii="Georgia" w:hAnsi="Georgia"/>
          <w:color w:val="333333"/>
          <w:lang w:val="en"/>
        </w:rPr>
        <w:t>Since 2008, electricity demand has been flat, despite economic and population growth. Recently, residential, commercial</w:t>
      </w:r>
      <w:r>
        <w:rPr>
          <w:rFonts w:ascii="Georgia" w:hAnsi="Georgia"/>
          <w:color w:val="333333"/>
          <w:lang w:val="en"/>
        </w:rPr>
        <w:t xml:space="preserve"> and light-industrial demand for grid-connected electricity has fallen, contributing to emissions reduction. As described in Chapter 6, this has been driven by energy efficiency policy interventions, an increase in household solar PV generation and energy </w:t>
      </w:r>
      <w:r>
        <w:rPr>
          <w:rFonts w:ascii="Georgia" w:hAnsi="Georgia"/>
          <w:color w:val="333333"/>
          <w:lang w:val="en"/>
        </w:rPr>
        <w:t xml:space="preserve">conservation </w:t>
      </w:r>
      <w:proofErr w:type="spellStart"/>
      <w:r>
        <w:rPr>
          <w:rFonts w:ascii="Georgia" w:hAnsi="Georgia"/>
          <w:color w:val="333333"/>
          <w:lang w:val="en"/>
        </w:rPr>
        <w:t>behaviour</w:t>
      </w:r>
      <w:proofErr w:type="spellEnd"/>
      <w:r>
        <w:rPr>
          <w:rFonts w:ascii="Georgia" w:hAnsi="Georgia"/>
          <w:color w:val="333333"/>
          <w:lang w:val="en"/>
        </w:rPr>
        <w:t xml:space="preserve"> in response to higher electricity prices (AEMO 2013a; DCCEE 2012; Saddler 2013). While projected growth in population and GNI will put upwards pressure on future electricity consumption, other drivers will dampen demand. Though it is</w:t>
      </w:r>
      <w:r>
        <w:rPr>
          <w:rFonts w:ascii="Georgia" w:hAnsi="Georgia"/>
          <w:color w:val="333333"/>
          <w:lang w:val="en"/>
        </w:rPr>
        <w:t xml:space="preserve"> possible the rebound effect could increase demand to some extent, policy and consumer </w:t>
      </w:r>
      <w:proofErr w:type="spellStart"/>
      <w:r>
        <w:rPr>
          <w:rFonts w:ascii="Georgia" w:hAnsi="Georgia"/>
          <w:color w:val="333333"/>
          <w:lang w:val="en"/>
        </w:rPr>
        <w:t>behaviour</w:t>
      </w:r>
      <w:proofErr w:type="spellEnd"/>
      <w:r>
        <w:rPr>
          <w:rFonts w:ascii="Georgia" w:hAnsi="Georgia"/>
          <w:color w:val="333333"/>
          <w:lang w:val="en"/>
        </w:rPr>
        <w:t xml:space="preserve"> make it possible that residential and commercial demand, per person, may have peaked for the foreseeable future.</w:t>
      </w:r>
    </w:p>
    <w:p w:rsidR="00000000" w:rsidRDefault="004170B4">
      <w:pPr>
        <w:pStyle w:val="NormalWeb"/>
        <w:spacing w:line="300" w:lineRule="atLeast"/>
        <w:rPr>
          <w:rFonts w:ascii="Georgia" w:hAnsi="Georgia"/>
          <w:color w:val="333333"/>
          <w:lang w:val="en"/>
        </w:rPr>
      </w:pPr>
      <w:r>
        <w:rPr>
          <w:rFonts w:ascii="Georgia" w:hAnsi="Georgia"/>
          <w:color w:val="333333"/>
          <w:lang w:val="en"/>
        </w:rPr>
        <w:t>Energy performance standards for buildings and</w:t>
      </w:r>
      <w:r>
        <w:rPr>
          <w:rFonts w:ascii="Georgia" w:hAnsi="Georgia"/>
          <w:color w:val="333333"/>
          <w:lang w:val="en"/>
        </w:rPr>
        <w:t xml:space="preserve"> electrical appliances are becoming more stringent and are steadily expanding to cover new products, delivering energy savings, corresponding emissions reductions and cost savings. At the same time, those that been in place for many years are having a noti</w:t>
      </w:r>
      <w:r>
        <w:rPr>
          <w:rFonts w:ascii="Georgia" w:hAnsi="Georgia"/>
          <w:color w:val="333333"/>
          <w:lang w:val="en"/>
        </w:rPr>
        <w:t>ceable impact over time as the stock of appliances and buildings is turned over and the most inefficient, energy-intensive stock is phased out (Saddler 2013). AEMO reports that, in 2029–30, minimum energy performance standards for electrical appliances cou</w:t>
      </w:r>
      <w:r>
        <w:rPr>
          <w:rFonts w:ascii="Georgia" w:hAnsi="Georgia"/>
          <w:color w:val="333333"/>
          <w:lang w:val="en"/>
        </w:rPr>
        <w:t>ld save about 42 </w:t>
      </w:r>
      <w:proofErr w:type="spellStart"/>
      <w:r>
        <w:rPr>
          <w:rFonts w:ascii="Georgia" w:hAnsi="Georgia"/>
          <w:color w:val="333333"/>
          <w:lang w:val="en"/>
        </w:rPr>
        <w:t>TWh</w:t>
      </w:r>
      <w:proofErr w:type="spellEnd"/>
      <w:r>
        <w:rPr>
          <w:rFonts w:ascii="Georgia" w:hAnsi="Georgia"/>
          <w:color w:val="333333"/>
          <w:lang w:val="en"/>
        </w:rPr>
        <w:t xml:space="preserve"> and building-related energy efficiency measures could save about 16 </w:t>
      </w:r>
      <w:proofErr w:type="spellStart"/>
      <w:r>
        <w:rPr>
          <w:rFonts w:ascii="Georgia" w:hAnsi="Georgia"/>
          <w:color w:val="333333"/>
          <w:lang w:val="en"/>
        </w:rPr>
        <w:t>TWh</w:t>
      </w:r>
      <w:proofErr w:type="spellEnd"/>
      <w:r>
        <w:rPr>
          <w:rFonts w:ascii="Georgia" w:hAnsi="Georgia"/>
          <w:color w:val="333333"/>
          <w:lang w:val="en"/>
        </w:rPr>
        <w:t xml:space="preserve"> electricity (AEMO 2013d, pp. 5–46). The impact could be increased by improving the monitoring and enforcement of building and appliance standards to ensure that th</w:t>
      </w:r>
      <w:r>
        <w:rPr>
          <w:rFonts w:ascii="Georgia" w:hAnsi="Georgia"/>
          <w:color w:val="333333"/>
          <w:lang w:val="en"/>
        </w:rPr>
        <w:t xml:space="preserve">ey deliver intended energy saving outcomes (DCCEE 2010a). </w:t>
      </w:r>
    </w:p>
    <w:p w:rsidR="00000000" w:rsidRDefault="004170B4">
      <w:pPr>
        <w:pStyle w:val="NormalWeb"/>
        <w:spacing w:line="300" w:lineRule="atLeast"/>
        <w:rPr>
          <w:rFonts w:ascii="Georgia" w:hAnsi="Georgia"/>
          <w:color w:val="333333"/>
          <w:lang w:val="en"/>
        </w:rPr>
      </w:pPr>
      <w:r>
        <w:rPr>
          <w:rFonts w:ascii="Georgia" w:hAnsi="Georgia"/>
          <w:color w:val="333333"/>
          <w:lang w:val="en"/>
        </w:rPr>
        <w:t>Driven by standards but also changing preferences, consumers are beginning to move towards less energy-intensive appliances. Large energy savings can come from technology-switching, such as replaci</w:t>
      </w:r>
      <w:r>
        <w:rPr>
          <w:rFonts w:ascii="Georgia" w:hAnsi="Georgia"/>
          <w:color w:val="333333"/>
          <w:lang w:val="en"/>
        </w:rPr>
        <w:t xml:space="preserve">ng plasma with LCD and LED televisions; incandescent with fluorescent and LED lighting; conventional electric-resistive water heaters with solar and heat pump systems; and desktop computers with laptops and tablets. </w:t>
      </w:r>
    </w:p>
    <w:p w:rsidR="00000000" w:rsidRDefault="004170B4">
      <w:pPr>
        <w:pStyle w:val="NormalWeb"/>
        <w:spacing w:line="300" w:lineRule="atLeast"/>
        <w:rPr>
          <w:rFonts w:ascii="Georgia" w:hAnsi="Georgia"/>
          <w:color w:val="333333"/>
          <w:lang w:val="en"/>
        </w:rPr>
      </w:pPr>
      <w:r>
        <w:rPr>
          <w:rFonts w:ascii="Georgia" w:hAnsi="Georgia"/>
          <w:color w:val="333333"/>
          <w:lang w:val="en"/>
        </w:rPr>
        <w:t>Consumers could further reduce or shift</w:t>
      </w:r>
      <w:r>
        <w:rPr>
          <w:rFonts w:ascii="Georgia" w:hAnsi="Georgia"/>
          <w:color w:val="333333"/>
          <w:lang w:val="en"/>
        </w:rPr>
        <w:t xml:space="preserve"> time of demand if governments and regulators make available the information, price incentives and technology discussed in D3.5.3. </w:t>
      </w:r>
    </w:p>
    <w:p w:rsidR="00000000" w:rsidRDefault="004170B4">
      <w:pPr>
        <w:pStyle w:val="Heading5"/>
        <w:rPr>
          <w:rFonts w:eastAsia="Times New Roman"/>
          <w:color w:val="333333"/>
          <w:lang w:val="en"/>
        </w:rPr>
      </w:pPr>
      <w:r>
        <w:rPr>
          <w:rFonts w:eastAsia="Times New Roman"/>
          <w:color w:val="333333"/>
          <w:lang w:val="en"/>
        </w:rPr>
        <w:t>Potential new sources of electricity demand</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There could be emerging sources of </w:t>
      </w:r>
      <w:r>
        <w:rPr>
          <w:rFonts w:ascii="Georgia" w:hAnsi="Georgia"/>
          <w:color w:val="333333"/>
          <w:lang w:val="en"/>
        </w:rPr>
        <w:t xml:space="preserve">electricity demand from activities that currently use other sources of energy. The uptake of electric vehicles in road transport, already underway, may appreciably increase grid electricity demand from about the </w:t>
      </w:r>
      <w:proofErr w:type="spellStart"/>
      <w:r>
        <w:rPr>
          <w:rFonts w:ascii="Georgia" w:hAnsi="Georgia"/>
          <w:color w:val="333333"/>
          <w:lang w:val="en"/>
        </w:rPr>
        <w:t>mid 2020s</w:t>
      </w:r>
      <w:proofErr w:type="spellEnd"/>
      <w:r>
        <w:rPr>
          <w:rFonts w:ascii="Georgia" w:hAnsi="Georgia"/>
          <w:color w:val="333333"/>
          <w:lang w:val="en"/>
        </w:rPr>
        <w:t>. Under the high scenario, where th</w:t>
      </w:r>
      <w:r>
        <w:rPr>
          <w:rFonts w:ascii="Georgia" w:hAnsi="Georgia"/>
          <w:color w:val="333333"/>
          <w:lang w:val="en"/>
        </w:rPr>
        <w:t xml:space="preserve">ere is a stronger incentive for electric vehicles, electricity consumed for transport in 2050 could be almost double that </w:t>
      </w:r>
      <w:r>
        <w:rPr>
          <w:rFonts w:ascii="Georgia" w:hAnsi="Georgia"/>
          <w:color w:val="333333"/>
          <w:lang w:val="en"/>
        </w:rPr>
        <w:lastRenderedPageBreak/>
        <w:t>under all other scenarios (Treasury and DIICCSRTE 2013). Similarly, a shift from gas turbines and motors to electric motors in industr</w:t>
      </w:r>
      <w:r>
        <w:rPr>
          <w:rFonts w:ascii="Georgia" w:hAnsi="Georgia"/>
          <w:color w:val="333333"/>
          <w:lang w:val="en"/>
        </w:rPr>
        <w:t>y could increase electricity demand. This could see activity and emissions shift from the transport and direct combustion sectors, respectively, to the electricity sector. The relative prices of fuels—petrol, diesel, gas and coal, and electricity—are likel</w:t>
      </w:r>
      <w:r>
        <w:rPr>
          <w:rFonts w:ascii="Georgia" w:hAnsi="Georgia"/>
          <w:color w:val="333333"/>
          <w:lang w:val="en"/>
        </w:rPr>
        <w:t>y to affect the rate and timing of these shifts. A gas to electricity shift could also be triggered by a possible gas supply shortfall in some locations, as early as 2018–19, and rising gas prices (AEMO 2013f). It is possible that desalination will also pr</w:t>
      </w:r>
      <w:r>
        <w:rPr>
          <w:rFonts w:ascii="Georgia" w:hAnsi="Georgia"/>
          <w:color w:val="333333"/>
          <w:lang w:val="en"/>
        </w:rPr>
        <w:t>esent a new source of electricity demand, particularly in a future where water is likely to be scarcer (Foster et al. 2013).</w:t>
      </w:r>
    </w:p>
    <w:p w:rsidR="00000000" w:rsidRDefault="004170B4">
      <w:pPr>
        <w:pStyle w:val="Heading4"/>
        <w:rPr>
          <w:rFonts w:eastAsia="Times New Roman"/>
          <w:color w:val="333333"/>
          <w:lang w:val="en"/>
        </w:rPr>
      </w:pPr>
      <w:r>
        <w:rPr>
          <w:rFonts w:eastAsia="Times New Roman"/>
          <w:color w:val="333333"/>
          <w:lang w:val="en"/>
        </w:rPr>
        <w:t xml:space="preserve">D3.5.3 Further opportunities for cost-effective emissions reduction </w:t>
      </w:r>
    </w:p>
    <w:p w:rsidR="00000000" w:rsidRDefault="004170B4">
      <w:pPr>
        <w:pStyle w:val="NormalWeb"/>
        <w:spacing w:line="300" w:lineRule="atLeast"/>
        <w:rPr>
          <w:rFonts w:ascii="Georgia" w:hAnsi="Georgia"/>
          <w:color w:val="333333"/>
          <w:lang w:val="en"/>
        </w:rPr>
      </w:pPr>
      <w:r>
        <w:rPr>
          <w:rFonts w:ascii="Georgia" w:hAnsi="Georgia"/>
          <w:color w:val="333333"/>
          <w:lang w:val="en"/>
        </w:rPr>
        <w:t>Changing energy demand could offer some of the cheapest opport</w:t>
      </w:r>
      <w:r>
        <w:rPr>
          <w:rFonts w:ascii="Georgia" w:hAnsi="Georgia"/>
          <w:color w:val="333333"/>
          <w:lang w:val="en"/>
        </w:rPr>
        <w:t>unities for reducing electricity sector emissions (</w:t>
      </w:r>
      <w:proofErr w:type="spellStart"/>
      <w:r>
        <w:rPr>
          <w:rFonts w:ascii="Georgia" w:hAnsi="Georgia"/>
          <w:color w:val="333333"/>
          <w:lang w:val="en"/>
        </w:rPr>
        <w:t>ClimateWorks</w:t>
      </w:r>
      <w:proofErr w:type="spellEnd"/>
      <w:r>
        <w:rPr>
          <w:rFonts w:ascii="Georgia" w:hAnsi="Georgia"/>
          <w:color w:val="333333"/>
          <w:lang w:val="en"/>
        </w:rPr>
        <w:t xml:space="preserve"> 2013a; </w:t>
      </w:r>
      <w:proofErr w:type="spellStart"/>
      <w:r>
        <w:rPr>
          <w:rFonts w:ascii="Georgia" w:hAnsi="Georgia"/>
          <w:color w:val="333333"/>
          <w:lang w:val="en"/>
        </w:rPr>
        <w:t>Garnaut</w:t>
      </w:r>
      <w:proofErr w:type="spellEnd"/>
      <w:r>
        <w:rPr>
          <w:rFonts w:ascii="Georgia" w:hAnsi="Georgia"/>
          <w:color w:val="333333"/>
          <w:lang w:val="en"/>
        </w:rPr>
        <w:t xml:space="preserve"> 2008; Prime Minister’s Task Group on Energy Efficiency 2010). It can be quick to implement, particularly using existing technologies and practices, and savings can be significan</w:t>
      </w:r>
      <w:r>
        <w:rPr>
          <w:rFonts w:ascii="Georgia" w:hAnsi="Georgia"/>
          <w:color w:val="333333"/>
          <w:lang w:val="en"/>
        </w:rPr>
        <w:t>t and provide rapid returns on investment (UNEP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The opportunity to reduce emissions from lowering electricity demand is particularly important in the short term. The IEA’s modelling offers a perspective on the global potential—it projects that energ</w:t>
      </w:r>
      <w:r>
        <w:rPr>
          <w:rFonts w:ascii="Georgia" w:hAnsi="Georgia"/>
          <w:color w:val="333333"/>
          <w:lang w:val="en"/>
        </w:rPr>
        <w:t>y efficiency measures, through improved lighting and appliances, could provide about 40 per cent of estimated global emissions reductions in 202</w:t>
      </w:r>
      <w:r>
        <w:rPr>
          <w:rFonts w:ascii="Georgia" w:hAnsi="Georgia"/>
          <w:color w:val="333333"/>
          <w:lang w:val="en"/>
        </w:rPr>
        <w:t>0</w:t>
      </w:r>
      <w:hyperlink w:anchor="footnote-179189-2" w:history="1">
        <w:r>
          <w:rPr>
            <w:rStyle w:val="Hyperlink"/>
            <w:rFonts w:ascii="Georgia" w:hAnsi="Georgia"/>
            <w:sz w:val="18"/>
            <w:szCs w:val="18"/>
            <w:vertAlign w:val="superscript"/>
            <w:lang w:val="en"/>
          </w:rPr>
          <w:t>2</w:t>
        </w:r>
      </w:hyperlink>
      <w:r>
        <w:rPr>
          <w:rFonts w:ascii="Georgia" w:hAnsi="Georgia"/>
          <w:color w:val="333333"/>
          <w:lang w:val="en"/>
        </w:rPr>
        <w:t xml:space="preserve"> (2013c, p. 54). </w:t>
      </w:r>
      <w:r>
        <w:rPr>
          <w:rFonts w:ascii="Georgia" w:hAnsi="Georgia"/>
          <w:color w:val="333333"/>
          <w:lang w:val="en"/>
        </w:rPr>
        <w:t>This is reinforced by UNEP, which points out that improved energy efficiency is one of the characteristics common to scenarios that allow the world to meet a 1.5 or 2 degree target (2013, p. xiii).</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 modelling framework does not re</w:t>
      </w:r>
      <w:r>
        <w:rPr>
          <w:rFonts w:ascii="Georgia" w:hAnsi="Georgia"/>
          <w:color w:val="333333"/>
          <w:lang w:val="en"/>
        </w:rPr>
        <w:t xml:space="preserve">flect all the opportunities to reduce electricity demand. International experience and other analyses show that there are </w:t>
      </w:r>
      <w:proofErr w:type="spellStart"/>
      <w:r>
        <w:rPr>
          <w:rFonts w:ascii="Georgia" w:hAnsi="Georgia"/>
          <w:color w:val="333333"/>
          <w:lang w:val="en"/>
        </w:rPr>
        <w:t>unrealised</w:t>
      </w:r>
      <w:proofErr w:type="spellEnd"/>
      <w:r>
        <w:rPr>
          <w:rFonts w:ascii="Georgia" w:hAnsi="Georgia"/>
          <w:color w:val="333333"/>
          <w:lang w:val="en"/>
        </w:rPr>
        <w:t xml:space="preserve"> opportunities to lower electricity sector emissions by reducing electricity demand through energy efficiency. Compared to c</w:t>
      </w:r>
      <w:r>
        <w:rPr>
          <w:rFonts w:ascii="Georgia" w:hAnsi="Georgia"/>
          <w:color w:val="333333"/>
          <w:lang w:val="en"/>
        </w:rPr>
        <w:t>ountries with similar GDP per capita and human development index rankings, Australia lags on energy efficiency and productivity. The IEA reported that, in both 2009 and 2011, Australia has been behind other countries including the US, the UK, Japan and Can</w:t>
      </w:r>
      <w:r>
        <w:rPr>
          <w:rFonts w:ascii="Georgia" w:hAnsi="Georgia"/>
          <w:color w:val="333333"/>
          <w:lang w:val="en"/>
        </w:rPr>
        <w:t>ada in implementing applicable IEA recommendations (IEA 2012c, p. 478). Though Australia performs comparatively well on lighting, appliance and equipment improvements, the IEA noted that buildings offer a particular opportunity for improvement (2012c, p. 1</w:t>
      </w:r>
      <w:r>
        <w:rPr>
          <w:rFonts w:ascii="Georgia" w:hAnsi="Georgia"/>
          <w:color w:val="333333"/>
          <w:lang w:val="en"/>
        </w:rPr>
        <w:t>,223). Box D.4 discusses this potential.</w:t>
      </w:r>
    </w:p>
    <w:p w:rsidR="00000000" w:rsidRDefault="004170B4">
      <w:pPr>
        <w:pStyle w:val="Heading2"/>
        <w:shd w:val="clear" w:color="auto" w:fill="F5F5F5"/>
        <w:divId w:val="2141527839"/>
        <w:rPr>
          <w:rFonts w:eastAsia="Times New Roman"/>
          <w:color w:val="333333"/>
          <w:lang w:val="en"/>
        </w:rPr>
      </w:pPr>
      <w:r>
        <w:rPr>
          <w:rFonts w:eastAsia="Times New Roman"/>
          <w:color w:val="333333"/>
          <w:lang w:val="en"/>
        </w:rPr>
        <w:t xml:space="preserve">Box D.4: Emissions reduction opportunities in buildings </w:t>
      </w:r>
    </w:p>
    <w:p w:rsidR="00000000" w:rsidRDefault="004170B4">
      <w:pPr>
        <w:pStyle w:val="NormalWeb"/>
        <w:shd w:val="clear" w:color="auto" w:fill="F5F5F5"/>
        <w:spacing w:line="300" w:lineRule="atLeast"/>
        <w:divId w:val="2141527839"/>
        <w:rPr>
          <w:rFonts w:ascii="Georgia" w:hAnsi="Georgia"/>
          <w:color w:val="333333"/>
          <w:lang w:val="en"/>
        </w:rPr>
      </w:pPr>
      <w:r>
        <w:rPr>
          <w:rFonts w:ascii="Georgia" w:hAnsi="Georgia"/>
          <w:color w:val="333333"/>
          <w:lang w:val="en"/>
        </w:rPr>
        <w:t>About 18 per cent of Australia’s emissions are accounted for by buildings’ use of grid-supplied electricity. Slightly more than half are attributable to resid</w:t>
      </w:r>
      <w:r>
        <w:rPr>
          <w:rFonts w:ascii="Georgia" w:hAnsi="Georgia"/>
          <w:color w:val="333333"/>
          <w:lang w:val="en"/>
        </w:rPr>
        <w:t>ential buildings, and the rest to commercial premises (</w:t>
      </w:r>
      <w:proofErr w:type="spellStart"/>
      <w:r>
        <w:rPr>
          <w:rFonts w:ascii="Georgia" w:hAnsi="Georgia"/>
          <w:color w:val="333333"/>
          <w:lang w:val="en"/>
        </w:rPr>
        <w:t>ClimateWorks</w:t>
      </w:r>
      <w:proofErr w:type="spellEnd"/>
      <w:r>
        <w:rPr>
          <w:rFonts w:ascii="Georgia" w:hAnsi="Georgia"/>
          <w:color w:val="333333"/>
          <w:lang w:val="en"/>
        </w:rPr>
        <w:t xml:space="preserve"> 2013c, p. 12).</w:t>
      </w:r>
    </w:p>
    <w:p w:rsidR="00000000" w:rsidRDefault="004170B4">
      <w:pPr>
        <w:pStyle w:val="NormalWeb"/>
        <w:shd w:val="clear" w:color="auto" w:fill="F5F5F5"/>
        <w:spacing w:line="300" w:lineRule="atLeast"/>
        <w:divId w:val="2141527839"/>
        <w:rPr>
          <w:rFonts w:ascii="Georgia" w:hAnsi="Georgia"/>
          <w:color w:val="333333"/>
          <w:lang w:val="en"/>
        </w:rPr>
      </w:pPr>
      <w:r>
        <w:rPr>
          <w:rFonts w:ascii="Georgia" w:hAnsi="Georgia"/>
          <w:color w:val="333333"/>
          <w:lang w:val="en"/>
        </w:rPr>
        <w:lastRenderedPageBreak/>
        <w:t>Building-related emissions can be reduced by improving the thermal performance of the building envelope, increasing the efficiency of equipment and appliances, and increasin</w:t>
      </w:r>
      <w:r>
        <w:rPr>
          <w:rFonts w:ascii="Georgia" w:hAnsi="Georgia"/>
          <w:color w:val="333333"/>
          <w:lang w:val="en"/>
        </w:rPr>
        <w:t>g generation of energy on-site from renewables (such as solar PV) or gas:</w:t>
      </w:r>
    </w:p>
    <w:p w:rsidR="00000000" w:rsidRDefault="004170B4" w:rsidP="004170B4">
      <w:pPr>
        <w:numPr>
          <w:ilvl w:val="0"/>
          <w:numId w:val="18"/>
        </w:numPr>
        <w:shd w:val="clear" w:color="auto" w:fill="F5F5F5"/>
        <w:spacing w:after="100" w:afterAutospacing="1" w:line="300" w:lineRule="atLeast"/>
        <w:ind w:left="375"/>
        <w:divId w:val="2141527839"/>
        <w:rPr>
          <w:rFonts w:ascii="Georgia" w:eastAsia="Times New Roman" w:hAnsi="Georgia"/>
          <w:color w:val="333333"/>
          <w:lang w:val="en"/>
        </w:rPr>
      </w:pPr>
      <w:r>
        <w:rPr>
          <w:rFonts w:ascii="Georgia" w:eastAsia="Times New Roman" w:hAnsi="Georgia"/>
          <w:color w:val="333333"/>
          <w:lang w:val="en"/>
        </w:rPr>
        <w:t>Improving building efficiency could reduce emissions, relative to 2000 levels, by 12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 xml:space="preserve">-e in 2020. </w:t>
      </w:r>
    </w:p>
    <w:p w:rsidR="00000000" w:rsidRDefault="004170B4" w:rsidP="004170B4">
      <w:pPr>
        <w:numPr>
          <w:ilvl w:val="0"/>
          <w:numId w:val="18"/>
        </w:numPr>
        <w:shd w:val="clear" w:color="auto" w:fill="F5F5F5"/>
        <w:spacing w:after="100" w:afterAutospacing="1" w:line="300" w:lineRule="atLeast"/>
        <w:ind w:left="375"/>
        <w:divId w:val="2141527839"/>
        <w:rPr>
          <w:rFonts w:ascii="Georgia" w:eastAsia="Times New Roman" w:hAnsi="Georgia"/>
          <w:color w:val="333333"/>
          <w:lang w:val="en"/>
        </w:rPr>
      </w:pPr>
      <w:r>
        <w:rPr>
          <w:rFonts w:ascii="Georgia" w:eastAsia="Times New Roman" w:hAnsi="Georgia"/>
          <w:color w:val="333333"/>
          <w:lang w:val="en"/>
        </w:rPr>
        <w:t>Improving the efficiency of electrical appliances could reduce emissions, rela</w:t>
      </w:r>
      <w:r>
        <w:rPr>
          <w:rFonts w:ascii="Georgia" w:eastAsia="Times New Roman" w:hAnsi="Georgia"/>
          <w:color w:val="333333"/>
          <w:lang w:val="en"/>
        </w:rPr>
        <w:t>tive to 2000 levels, by 20 Mt CO</w:t>
      </w:r>
      <w:r>
        <w:rPr>
          <w:rFonts w:ascii="Georgia" w:eastAsia="Times New Roman" w:hAnsi="Georgia"/>
          <w:color w:val="333333"/>
          <w:sz w:val="18"/>
          <w:szCs w:val="18"/>
          <w:vertAlign w:val="subscript"/>
          <w:lang w:val="en"/>
        </w:rPr>
        <w:t>2</w:t>
      </w:r>
      <w:r>
        <w:rPr>
          <w:rFonts w:ascii="Georgia" w:eastAsia="Times New Roman" w:hAnsi="Georgia"/>
          <w:color w:val="333333"/>
          <w:lang w:val="en"/>
        </w:rPr>
        <w:t>-e. The greatest savings are likely to come from water heaters; lighting; heating, ventilation and air conditioning (HVAC) systems; motors and other electrical equipment (</w:t>
      </w:r>
      <w:proofErr w:type="spellStart"/>
      <w:r>
        <w:rPr>
          <w:rFonts w:ascii="Georgia" w:eastAsia="Times New Roman" w:hAnsi="Georgia"/>
          <w:color w:val="333333"/>
          <w:lang w:val="en"/>
        </w:rPr>
        <w:t>ClimateWorks</w:t>
      </w:r>
      <w:proofErr w:type="spellEnd"/>
      <w:r>
        <w:rPr>
          <w:rFonts w:ascii="Georgia" w:eastAsia="Times New Roman" w:hAnsi="Georgia"/>
          <w:color w:val="333333"/>
          <w:lang w:val="en"/>
        </w:rPr>
        <w:t xml:space="preserve"> 2013c; </w:t>
      </w:r>
      <w:proofErr w:type="spellStart"/>
      <w:r>
        <w:rPr>
          <w:rFonts w:ascii="Georgia" w:eastAsia="Times New Roman" w:hAnsi="Georgia"/>
          <w:color w:val="333333"/>
          <w:lang w:val="en"/>
        </w:rPr>
        <w:t>Wilkenfeld</w:t>
      </w:r>
      <w:proofErr w:type="spellEnd"/>
      <w:r>
        <w:rPr>
          <w:rFonts w:ascii="Georgia" w:eastAsia="Times New Roman" w:hAnsi="Georgia"/>
          <w:color w:val="333333"/>
          <w:lang w:val="en"/>
        </w:rPr>
        <w:t xml:space="preserve"> 2009).</w:t>
      </w:r>
    </w:p>
    <w:p w:rsidR="00000000" w:rsidRDefault="004170B4">
      <w:pPr>
        <w:pStyle w:val="NormalWeb"/>
        <w:shd w:val="clear" w:color="auto" w:fill="F5F5F5"/>
        <w:spacing w:line="300" w:lineRule="atLeast"/>
        <w:divId w:val="2141527839"/>
        <w:rPr>
          <w:rFonts w:ascii="Georgia" w:hAnsi="Georgia"/>
          <w:color w:val="333333"/>
          <w:lang w:val="en"/>
        </w:rPr>
      </w:pPr>
      <w:r>
        <w:rPr>
          <w:rFonts w:ascii="Georgia" w:hAnsi="Georgia"/>
          <w:color w:val="333333"/>
          <w:lang w:val="en"/>
        </w:rPr>
        <w:t xml:space="preserve">Many of these </w:t>
      </w:r>
      <w:r>
        <w:rPr>
          <w:rFonts w:ascii="Georgia" w:hAnsi="Georgia"/>
          <w:color w:val="333333"/>
          <w:lang w:val="en"/>
        </w:rPr>
        <w:t xml:space="preserve">opportunities are likely to be low cost or have a positive net present value (Beyond Zero Emissions 2013; </w:t>
      </w:r>
      <w:proofErr w:type="spellStart"/>
      <w:r>
        <w:rPr>
          <w:rFonts w:ascii="Georgia" w:hAnsi="Georgia"/>
          <w:color w:val="333333"/>
          <w:lang w:val="en"/>
        </w:rPr>
        <w:t>ClimateWorks</w:t>
      </w:r>
      <w:proofErr w:type="spellEnd"/>
      <w:r>
        <w:rPr>
          <w:rFonts w:ascii="Georgia" w:hAnsi="Georgia"/>
          <w:color w:val="333333"/>
          <w:lang w:val="en"/>
        </w:rPr>
        <w:t xml:space="preserve"> 2010, 2013c; IEA 2012b, 2013c).</w:t>
      </w:r>
    </w:p>
    <w:p w:rsidR="00000000" w:rsidRDefault="004170B4">
      <w:pPr>
        <w:pStyle w:val="NormalWeb"/>
        <w:shd w:val="clear" w:color="auto" w:fill="F5F5F5"/>
        <w:spacing w:line="300" w:lineRule="atLeast"/>
        <w:divId w:val="2141527839"/>
        <w:rPr>
          <w:rFonts w:ascii="Georgia" w:hAnsi="Georgia"/>
          <w:color w:val="333333"/>
          <w:lang w:val="en"/>
        </w:rPr>
      </w:pPr>
      <w:r>
        <w:rPr>
          <w:rFonts w:ascii="Georgia" w:hAnsi="Georgia"/>
          <w:color w:val="333333"/>
          <w:lang w:val="en"/>
        </w:rPr>
        <w:t>The average life of commercial building stock is 50 years; residential properties are around double that.</w:t>
      </w:r>
      <w:r>
        <w:rPr>
          <w:rFonts w:ascii="Georgia" w:hAnsi="Georgia"/>
          <w:color w:val="333333"/>
          <w:lang w:val="en"/>
        </w:rPr>
        <w:t xml:space="preserve"> Many of the decisions that impact energy use, and emissions, are either locked in at construction or become more expensive to change (Climate Policy Initiative 2013b). Whether significant emissions reductions opportunities from buildings are </w:t>
      </w:r>
      <w:proofErr w:type="spellStart"/>
      <w:r>
        <w:rPr>
          <w:rFonts w:ascii="Georgia" w:hAnsi="Georgia"/>
          <w:color w:val="333333"/>
          <w:lang w:val="en"/>
        </w:rPr>
        <w:t>realised</w:t>
      </w:r>
      <w:proofErr w:type="spellEnd"/>
      <w:r>
        <w:rPr>
          <w:rFonts w:ascii="Georgia" w:hAnsi="Georgia"/>
          <w:color w:val="333333"/>
          <w:lang w:val="en"/>
        </w:rPr>
        <w:t xml:space="preserve"> betw</w:t>
      </w:r>
      <w:r>
        <w:rPr>
          <w:rFonts w:ascii="Georgia" w:hAnsi="Georgia"/>
          <w:color w:val="333333"/>
          <w:lang w:val="en"/>
        </w:rPr>
        <w:t>een 2020 and 2030 will depend on the policies and standards already in place and put in place this decade.</w:t>
      </w:r>
    </w:p>
    <w:p w:rsidR="00000000" w:rsidRDefault="004170B4">
      <w:pPr>
        <w:pStyle w:val="NormalWeb"/>
        <w:spacing w:line="300" w:lineRule="atLeast"/>
        <w:rPr>
          <w:rFonts w:ascii="Georgia" w:hAnsi="Georgia"/>
          <w:color w:val="333333"/>
          <w:lang w:val="en"/>
        </w:rPr>
      </w:pPr>
      <w:r>
        <w:rPr>
          <w:rFonts w:ascii="Georgia" w:hAnsi="Georgia"/>
          <w:color w:val="333333"/>
          <w:lang w:val="en"/>
        </w:rPr>
        <w:t>Energy efficiency could deliver economic benefits, as highlighted by the IEA (2013c) and others, by avoiding costs for fuel extraction, transport, ge</w:t>
      </w:r>
      <w:r>
        <w:rPr>
          <w:rFonts w:ascii="Georgia" w:hAnsi="Georgia"/>
          <w:color w:val="333333"/>
          <w:lang w:val="en"/>
        </w:rPr>
        <w:t>neration and transmission. For Australia as a whole, an extra 1 per cent annual improvement in energy efficiency to 2030 could generate an additional $26 billion in GDP (The Climate Institute 2013, p. 7). Reduced demand can lead to lower electricity prices</w:t>
      </w:r>
      <w:r>
        <w:rPr>
          <w:rFonts w:ascii="Georgia" w:hAnsi="Georgia"/>
          <w:color w:val="333333"/>
          <w:lang w:val="en"/>
        </w:rPr>
        <w:t xml:space="preserve"> and substantial financial benefits for consumers. Savings can particularly benefit low-income consumers, who are more likely to have energy-intensive appliances or homes, and renters who have an interest in low-running costs but are subject to the applian</w:t>
      </w:r>
      <w:r>
        <w:rPr>
          <w:rFonts w:ascii="Georgia" w:hAnsi="Georgia"/>
          <w:color w:val="333333"/>
          <w:lang w:val="en"/>
        </w:rPr>
        <w:t xml:space="preserve">ce and building choices of landlords, who have an interest in lowering capital expenditure. </w:t>
      </w:r>
    </w:p>
    <w:p w:rsidR="00000000" w:rsidRDefault="004170B4">
      <w:pPr>
        <w:pStyle w:val="NormalWeb"/>
        <w:spacing w:line="300" w:lineRule="atLeast"/>
        <w:rPr>
          <w:rFonts w:ascii="Georgia" w:hAnsi="Georgia"/>
          <w:color w:val="333333"/>
          <w:lang w:val="en"/>
        </w:rPr>
      </w:pPr>
      <w:r>
        <w:rPr>
          <w:rFonts w:ascii="Georgia" w:hAnsi="Georgia"/>
          <w:color w:val="333333"/>
          <w:lang w:val="en"/>
        </w:rPr>
        <w:t>Economic benefits can also come from demand management—where consumers’ consumption is constrained or shifted to a different time, particularly when demand is at i</w:t>
      </w:r>
      <w:r>
        <w:rPr>
          <w:rFonts w:ascii="Georgia" w:hAnsi="Georgia"/>
          <w:color w:val="333333"/>
          <w:lang w:val="en"/>
        </w:rPr>
        <w:t>ts peak. Sometimes it can also improve service quality by reducing pressure on the electricity distribution grid. The Productivity Commission (2013, p. 21) estimated that critical peak pricing and other benefits from rolling out smart meters could save som</w:t>
      </w:r>
      <w:r>
        <w:rPr>
          <w:rFonts w:ascii="Georgia" w:hAnsi="Georgia"/>
          <w:color w:val="333333"/>
          <w:lang w:val="en"/>
        </w:rPr>
        <w:t>e households $100–$200 a year. The AEMC (2012) estimated that reducing peak demand growth could cut total system expenditure by between $4.3 and $11.8 billion over the next decade. If demand is simply shifted, the impact on emissions is uncertain, but over</w:t>
      </w:r>
      <w:r>
        <w:rPr>
          <w:rFonts w:ascii="Georgia" w:hAnsi="Georgia"/>
          <w:color w:val="333333"/>
          <w:lang w:val="en"/>
        </w:rPr>
        <w:t>all reductions could lower electricity sector emissions.</w:t>
      </w:r>
    </w:p>
    <w:p w:rsidR="00000000" w:rsidRDefault="004170B4">
      <w:pPr>
        <w:pStyle w:val="Heading4"/>
        <w:rPr>
          <w:rFonts w:eastAsia="Times New Roman"/>
          <w:color w:val="333333"/>
          <w:lang w:val="en"/>
        </w:rPr>
      </w:pPr>
      <w:r>
        <w:rPr>
          <w:rFonts w:eastAsia="Times New Roman"/>
          <w:color w:val="333333"/>
          <w:lang w:val="en"/>
        </w:rPr>
        <w:t xml:space="preserve">D3.5.4 Challenges—and potential solutions—to more efficient electricity demand </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lastRenderedPageBreak/>
        <w:t>ClimateWorks</w:t>
      </w:r>
      <w:proofErr w:type="spellEnd"/>
      <w:r>
        <w:rPr>
          <w:rFonts w:ascii="Georgia" w:hAnsi="Georgia"/>
          <w:color w:val="333333"/>
          <w:lang w:val="en"/>
        </w:rPr>
        <w:t xml:space="preserve"> analysis suggests that many of the cost-effective reductions in Australia’s electricity demand may remain </w:t>
      </w:r>
      <w:r>
        <w:rPr>
          <w:rFonts w:ascii="Georgia" w:hAnsi="Georgia"/>
          <w:color w:val="333333"/>
          <w:lang w:val="en"/>
        </w:rPr>
        <w:t>untapped. Their projections suggest 29 Mt CO</w:t>
      </w:r>
      <w:r>
        <w:rPr>
          <w:rFonts w:ascii="Georgia" w:hAnsi="Georgia"/>
          <w:color w:val="333333"/>
          <w:sz w:val="18"/>
          <w:szCs w:val="18"/>
          <w:vertAlign w:val="subscript"/>
          <w:lang w:val="en"/>
        </w:rPr>
        <w:t>2</w:t>
      </w:r>
      <w:r>
        <w:rPr>
          <w:rFonts w:ascii="Georgia" w:hAnsi="Georgia"/>
          <w:color w:val="333333"/>
          <w:lang w:val="en"/>
        </w:rPr>
        <w:t>-e of emissions reductions in 2020 and millions of dollars in annual financial savings could be forgone in the buildings sector alone (</w:t>
      </w:r>
      <w:proofErr w:type="spellStart"/>
      <w:r>
        <w:rPr>
          <w:rFonts w:ascii="Georgia" w:hAnsi="Georgia"/>
          <w:color w:val="333333"/>
          <w:lang w:val="en"/>
        </w:rPr>
        <w:t>ClimateWorks</w:t>
      </w:r>
      <w:proofErr w:type="spellEnd"/>
      <w:r>
        <w:rPr>
          <w:rFonts w:ascii="Georgia" w:hAnsi="Georgia"/>
          <w:color w:val="333333"/>
          <w:lang w:val="en"/>
        </w:rPr>
        <w:t xml:space="preserve"> 2013a, p. 51; 2013c, p. 14).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There is a range of </w:t>
      </w:r>
      <w:proofErr w:type="spellStart"/>
      <w:r>
        <w:rPr>
          <w:rFonts w:ascii="Georgia" w:hAnsi="Georgia"/>
          <w:color w:val="333333"/>
          <w:lang w:val="en"/>
        </w:rPr>
        <w:t>recognised</w:t>
      </w:r>
      <w:proofErr w:type="spellEnd"/>
      <w:r>
        <w:rPr>
          <w:rFonts w:ascii="Georgia" w:hAnsi="Georgia"/>
          <w:color w:val="333333"/>
          <w:lang w:val="en"/>
        </w:rPr>
        <w:t xml:space="preserve"> b</w:t>
      </w:r>
      <w:r>
        <w:rPr>
          <w:rFonts w:ascii="Georgia" w:hAnsi="Georgia"/>
          <w:color w:val="333333"/>
          <w:lang w:val="en"/>
        </w:rPr>
        <w:t xml:space="preserve">arriers to the take-up of cost-effective reductions in electricity demand, identified by the Productivity Commission (2005), </w:t>
      </w:r>
      <w:proofErr w:type="spellStart"/>
      <w:r>
        <w:rPr>
          <w:rFonts w:ascii="Georgia" w:hAnsi="Georgia"/>
          <w:color w:val="333333"/>
          <w:lang w:val="en"/>
        </w:rPr>
        <w:t>Garnaut</w:t>
      </w:r>
      <w:proofErr w:type="spellEnd"/>
      <w:r>
        <w:rPr>
          <w:rFonts w:ascii="Georgia" w:hAnsi="Georgia"/>
          <w:color w:val="333333"/>
          <w:lang w:val="en"/>
        </w:rPr>
        <w:t xml:space="preserve"> (2008) and others. Recent analyses, including the Australian Energy Market Commission’s 2012 </w:t>
      </w:r>
      <w:r>
        <w:rPr>
          <w:rStyle w:val="Emphasis"/>
          <w:rFonts w:ascii="Georgia" w:hAnsi="Georgia"/>
          <w:color w:val="333333"/>
          <w:lang w:val="en"/>
        </w:rPr>
        <w:t>Power of Choice</w:t>
      </w:r>
      <w:r>
        <w:rPr>
          <w:rFonts w:ascii="Georgia" w:hAnsi="Georgia"/>
          <w:color w:val="333333"/>
          <w:lang w:val="en"/>
        </w:rPr>
        <w:t xml:space="preserve"> review, have f</w:t>
      </w:r>
      <w:r>
        <w:rPr>
          <w:rFonts w:ascii="Georgia" w:hAnsi="Georgia"/>
          <w:color w:val="333333"/>
          <w:lang w:val="en"/>
        </w:rPr>
        <w:t>ound that many barriers remain. Barriers and their potential solutions are shown in Table D.5.</w:t>
      </w:r>
    </w:p>
    <w:p w:rsidR="00000000" w:rsidRDefault="004170B4">
      <w:pPr>
        <w:pStyle w:val="Heading2"/>
        <w:rPr>
          <w:rFonts w:eastAsia="Times New Roman"/>
          <w:color w:val="333333"/>
          <w:lang w:val="en"/>
        </w:rPr>
      </w:pPr>
      <w:r>
        <w:rPr>
          <w:rFonts w:eastAsia="Times New Roman"/>
          <w:color w:val="333333"/>
          <w:lang w:val="en"/>
        </w:rPr>
        <w:t>Table D.5: Major barriers to energy efficiency and demand management with potential solutions</w:t>
      </w:r>
    </w:p>
    <w:tbl>
      <w:tblPr>
        <w:tblW w:w="5000" w:type="pct"/>
        <w:tblCellSpacing w:w="15" w:type="dxa"/>
        <w:tblLook w:val="04A0" w:firstRow="1" w:lastRow="0" w:firstColumn="1" w:lastColumn="0" w:noHBand="0" w:noVBand="1"/>
      </w:tblPr>
      <w:tblGrid>
        <w:gridCol w:w="4194"/>
        <w:gridCol w:w="4833"/>
      </w:tblGrid>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Barriers to energy efficiency and demand management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Potential solut</w:t>
            </w:r>
            <w:r>
              <w:rPr>
                <w:rStyle w:val="Strong"/>
                <w:rFonts w:ascii="Georgia" w:hAnsi="Georgia"/>
                <w:color w:val="333333"/>
              </w:rPr>
              <w:t>ions</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Lack of detailed information on electricity consumption</w:t>
            </w:r>
          </w:p>
          <w:p w:rsidR="00000000" w:rsidRDefault="004170B4">
            <w:pPr>
              <w:pStyle w:val="NormalWeb"/>
              <w:spacing w:line="300" w:lineRule="atLeast"/>
              <w:rPr>
                <w:rFonts w:ascii="Georgia" w:hAnsi="Georgia"/>
                <w:color w:val="333333"/>
              </w:rPr>
            </w:pPr>
            <w:r>
              <w:rPr>
                <w:rFonts w:ascii="Georgia" w:hAnsi="Georgia"/>
                <w:color w:val="333333"/>
              </w:rPr>
              <w:t>Lack of data on the time and location of electricity use:</w:t>
            </w:r>
          </w:p>
          <w:p w:rsidR="00000000" w:rsidRDefault="004170B4" w:rsidP="004170B4">
            <w:pPr>
              <w:numPr>
                <w:ilvl w:val="0"/>
                <w:numId w:val="19"/>
              </w:numPr>
              <w:spacing w:after="100" w:afterAutospacing="1" w:line="300" w:lineRule="atLeast"/>
              <w:ind w:left="375"/>
              <w:rPr>
                <w:rFonts w:ascii="Georgia" w:eastAsia="Times New Roman" w:hAnsi="Georgia"/>
                <w:color w:val="333333"/>
              </w:rPr>
            </w:pPr>
            <w:r>
              <w:rPr>
                <w:rFonts w:ascii="Georgia" w:eastAsia="Times New Roman" w:hAnsi="Georgia"/>
                <w:color w:val="333333"/>
              </w:rPr>
              <w:t xml:space="preserve">limits consumers’ understanding of the relationship between electricity use and costs, and the </w:t>
            </w:r>
            <w:r>
              <w:rPr>
                <w:rFonts w:ascii="Georgia" w:eastAsia="Times New Roman" w:hAnsi="Georgia"/>
                <w:color w:val="333333"/>
              </w:rPr>
              <w:t>potential benefits of reducing or changing their use</w:t>
            </w:r>
          </w:p>
          <w:p w:rsidR="00000000" w:rsidRDefault="004170B4" w:rsidP="004170B4">
            <w:pPr>
              <w:numPr>
                <w:ilvl w:val="0"/>
                <w:numId w:val="19"/>
              </w:numPr>
              <w:spacing w:after="100" w:afterAutospacing="1" w:line="300" w:lineRule="atLeast"/>
              <w:ind w:left="375"/>
              <w:rPr>
                <w:rFonts w:ascii="Georgia" w:eastAsia="Times New Roman" w:hAnsi="Georgia"/>
                <w:color w:val="333333"/>
              </w:rPr>
            </w:pPr>
            <w:r>
              <w:rPr>
                <w:rFonts w:ascii="Georgia" w:eastAsia="Times New Roman" w:hAnsi="Georgia"/>
                <w:color w:val="333333"/>
              </w:rPr>
              <w:t>constrains effective policy design</w:t>
            </w:r>
          </w:p>
          <w:p w:rsidR="00000000" w:rsidRDefault="004170B4" w:rsidP="004170B4">
            <w:pPr>
              <w:numPr>
                <w:ilvl w:val="0"/>
                <w:numId w:val="19"/>
              </w:numPr>
              <w:spacing w:after="100" w:afterAutospacing="1" w:line="300" w:lineRule="atLeast"/>
              <w:ind w:left="375"/>
              <w:rPr>
                <w:rFonts w:ascii="Georgia" w:eastAsia="Times New Roman" w:hAnsi="Georgia"/>
                <w:color w:val="333333"/>
              </w:rPr>
            </w:pPr>
            <w:r>
              <w:rPr>
                <w:rFonts w:ascii="Georgia" w:eastAsia="Times New Roman" w:hAnsi="Georgia"/>
                <w:color w:val="333333"/>
              </w:rPr>
              <w:t xml:space="preserve">makes it difficult for proponents of demand-side management to identify and communicate potential paybacks from specific demand-side investments </w:t>
            </w:r>
          </w:p>
          <w:p w:rsidR="00000000" w:rsidRDefault="004170B4" w:rsidP="004170B4">
            <w:pPr>
              <w:numPr>
                <w:ilvl w:val="0"/>
                <w:numId w:val="19"/>
              </w:numPr>
              <w:spacing w:after="100" w:afterAutospacing="1" w:line="300" w:lineRule="atLeast"/>
              <w:ind w:left="375"/>
              <w:rPr>
                <w:rFonts w:ascii="Georgia" w:eastAsia="Times New Roman" w:hAnsi="Georgia"/>
                <w:color w:val="333333"/>
              </w:rPr>
            </w:pPr>
            <w:proofErr w:type="gramStart"/>
            <w:r>
              <w:rPr>
                <w:rFonts w:ascii="Georgia" w:eastAsia="Times New Roman" w:hAnsi="Georgia"/>
                <w:color w:val="333333"/>
              </w:rPr>
              <w:t>impedes</w:t>
            </w:r>
            <w:proofErr w:type="gramEnd"/>
            <w:r>
              <w:rPr>
                <w:rFonts w:ascii="Georgia" w:eastAsia="Times New Roman" w:hAnsi="Georgia"/>
                <w:color w:val="333333"/>
              </w:rPr>
              <w:t xml:space="preserve"> efficient deci</w:t>
            </w:r>
            <w:r>
              <w:rPr>
                <w:rFonts w:ascii="Georgia" w:eastAsia="Times New Roman" w:hAnsi="Georgia"/>
                <w:color w:val="333333"/>
              </w:rPr>
              <w:t>sion-making of electricity market participants.</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Install interval meters to collect data on the location and time of use of electricity. To support their efficient deployment:</w:t>
            </w:r>
          </w:p>
          <w:p w:rsidR="00000000" w:rsidRDefault="004170B4" w:rsidP="004170B4">
            <w:pPr>
              <w:numPr>
                <w:ilvl w:val="0"/>
                <w:numId w:val="20"/>
              </w:numPr>
              <w:spacing w:after="100" w:afterAutospacing="1" w:line="300" w:lineRule="atLeast"/>
              <w:ind w:left="375"/>
              <w:rPr>
                <w:rFonts w:ascii="Georgia" w:eastAsia="Times New Roman" w:hAnsi="Georgia"/>
                <w:color w:val="333333"/>
              </w:rPr>
            </w:pPr>
            <w:r>
              <w:rPr>
                <w:rFonts w:ascii="Georgia" w:eastAsia="Times New Roman" w:hAnsi="Georgia"/>
                <w:color w:val="333333"/>
              </w:rPr>
              <w:t>apply a minimum standard for smart meters</w:t>
            </w:r>
          </w:p>
          <w:p w:rsidR="00000000" w:rsidRDefault="004170B4" w:rsidP="004170B4">
            <w:pPr>
              <w:numPr>
                <w:ilvl w:val="0"/>
                <w:numId w:val="20"/>
              </w:numPr>
              <w:spacing w:after="100" w:afterAutospacing="1" w:line="300" w:lineRule="atLeast"/>
              <w:ind w:left="375"/>
              <w:rPr>
                <w:rFonts w:ascii="Georgia" w:eastAsia="Times New Roman" w:hAnsi="Georgia"/>
                <w:color w:val="333333"/>
              </w:rPr>
            </w:pPr>
            <w:proofErr w:type="gramStart"/>
            <w:r>
              <w:rPr>
                <w:rFonts w:ascii="Georgia" w:eastAsia="Times New Roman" w:hAnsi="Georgia"/>
                <w:color w:val="333333"/>
              </w:rPr>
              <w:t>proceed</w:t>
            </w:r>
            <w:proofErr w:type="gramEnd"/>
            <w:r>
              <w:rPr>
                <w:rFonts w:ascii="Georgia" w:eastAsia="Times New Roman" w:hAnsi="Georgia"/>
                <w:color w:val="333333"/>
              </w:rPr>
              <w:t xml:space="preserve"> with the rollout in defined sit</w:t>
            </w:r>
            <w:r>
              <w:rPr>
                <w:rFonts w:ascii="Georgia" w:eastAsia="Times New Roman" w:hAnsi="Georgia"/>
                <w:color w:val="333333"/>
              </w:rPr>
              <w:t>uations, such as new connections or replacements.</w:t>
            </w:r>
          </w:p>
          <w:p w:rsidR="00000000" w:rsidRDefault="004170B4">
            <w:pPr>
              <w:pStyle w:val="NormalWeb"/>
              <w:spacing w:line="300" w:lineRule="atLeast"/>
              <w:rPr>
                <w:rFonts w:ascii="Georgia" w:hAnsi="Georgia"/>
                <w:color w:val="333333"/>
              </w:rPr>
            </w:pPr>
            <w:r>
              <w:rPr>
                <w:rFonts w:ascii="Georgia" w:hAnsi="Georgia"/>
                <w:color w:val="333333"/>
              </w:rPr>
              <w:t>Make detailed electricity consumption data more readily available:</w:t>
            </w:r>
          </w:p>
          <w:p w:rsidR="00000000" w:rsidRDefault="004170B4" w:rsidP="004170B4">
            <w:pPr>
              <w:numPr>
                <w:ilvl w:val="0"/>
                <w:numId w:val="21"/>
              </w:numPr>
              <w:spacing w:after="100" w:afterAutospacing="1" w:line="300" w:lineRule="atLeast"/>
              <w:ind w:left="375"/>
              <w:rPr>
                <w:rFonts w:ascii="Georgia" w:eastAsia="Times New Roman" w:hAnsi="Georgia"/>
                <w:color w:val="333333"/>
              </w:rPr>
            </w:pPr>
            <w:r>
              <w:rPr>
                <w:rFonts w:ascii="Georgia" w:eastAsia="Times New Roman" w:hAnsi="Georgia"/>
                <w:color w:val="333333"/>
              </w:rPr>
              <w:t xml:space="preserve">Give consumers access to their load profile data, including to share with third parties. Amend the National Electricity Rules as suggested </w:t>
            </w:r>
            <w:r>
              <w:rPr>
                <w:rFonts w:ascii="Georgia" w:eastAsia="Times New Roman" w:hAnsi="Georgia"/>
                <w:color w:val="333333"/>
              </w:rPr>
              <w:t xml:space="preserve">by AEMC (2012, p. 57) to make this process easy and timely. </w:t>
            </w:r>
          </w:p>
          <w:p w:rsidR="00000000" w:rsidRDefault="004170B4" w:rsidP="004170B4">
            <w:pPr>
              <w:numPr>
                <w:ilvl w:val="0"/>
                <w:numId w:val="21"/>
              </w:numPr>
              <w:spacing w:after="100" w:afterAutospacing="1" w:line="300" w:lineRule="atLeast"/>
              <w:ind w:left="375"/>
              <w:rPr>
                <w:rFonts w:ascii="Georgia" w:eastAsia="Times New Roman" w:hAnsi="Georgia"/>
                <w:color w:val="333333"/>
              </w:rPr>
            </w:pPr>
            <w:r>
              <w:rPr>
                <w:rFonts w:ascii="Georgia" w:eastAsia="Times New Roman" w:hAnsi="Georgia"/>
                <w:color w:val="333333"/>
              </w:rPr>
              <w:t>Distribution network businesses to provide historical electricity load data at substation level upon request, for a reasonable cost (as being considered by AEMC).</w:t>
            </w:r>
          </w:p>
          <w:p w:rsidR="00000000" w:rsidRDefault="004170B4" w:rsidP="004170B4">
            <w:pPr>
              <w:numPr>
                <w:ilvl w:val="0"/>
                <w:numId w:val="21"/>
              </w:numPr>
              <w:spacing w:after="100" w:afterAutospacing="1" w:line="300" w:lineRule="atLeast"/>
              <w:ind w:left="375"/>
              <w:rPr>
                <w:rFonts w:ascii="Georgia" w:eastAsia="Times New Roman" w:hAnsi="Georgia"/>
                <w:color w:val="333333"/>
              </w:rPr>
            </w:pPr>
            <w:r>
              <w:rPr>
                <w:rFonts w:ascii="Georgia" w:eastAsia="Times New Roman" w:hAnsi="Georgia"/>
                <w:color w:val="333333"/>
              </w:rPr>
              <w:lastRenderedPageBreak/>
              <w:t>Undertake a cost-benefit analysi</w:t>
            </w:r>
            <w:r>
              <w:rPr>
                <w:rFonts w:ascii="Georgia" w:eastAsia="Times New Roman" w:hAnsi="Georgia"/>
                <w:color w:val="333333"/>
              </w:rPr>
              <w:t xml:space="preserve">s of a potential new market information role for AEMO in aggregating consumer data from electricity retailers and distributors, as considered by AEMC 2012. </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lastRenderedPageBreak/>
              <w:t>Electricity prices are inflexible and do not reflect costs of supply</w:t>
            </w:r>
          </w:p>
          <w:p w:rsidR="00000000" w:rsidRDefault="004170B4">
            <w:pPr>
              <w:pStyle w:val="NormalWeb"/>
              <w:spacing w:line="300" w:lineRule="atLeast"/>
              <w:rPr>
                <w:rFonts w:ascii="Georgia" w:hAnsi="Georgia"/>
                <w:color w:val="333333"/>
              </w:rPr>
            </w:pPr>
            <w:r>
              <w:rPr>
                <w:rFonts w:ascii="Georgia" w:hAnsi="Georgia"/>
                <w:color w:val="333333"/>
              </w:rPr>
              <w:t>Most consumers do not pay electricity prices that accurately reflect the cost of supply at the time of use. Also, pricing does not reflect costs of supplying electricity to a particular location. Current ‘average’ network pricing can encourage higher consu</w:t>
            </w:r>
            <w:r>
              <w:rPr>
                <w:rFonts w:ascii="Georgia" w:hAnsi="Georgia"/>
                <w:color w:val="333333"/>
              </w:rPr>
              <w:t xml:space="preserve">mption at peak times and increase electricity bills over the long term.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Deploy interval meters to facilitate efficient network pricing.</w:t>
            </w:r>
          </w:p>
          <w:p w:rsidR="00000000" w:rsidRDefault="004170B4">
            <w:pPr>
              <w:pStyle w:val="NormalWeb"/>
              <w:spacing w:line="300" w:lineRule="atLeast"/>
              <w:rPr>
                <w:rFonts w:ascii="Georgia" w:hAnsi="Georgia"/>
                <w:color w:val="333333"/>
              </w:rPr>
            </w:pPr>
            <w:r>
              <w:rPr>
                <w:rFonts w:ascii="Georgia" w:hAnsi="Georgia"/>
                <w:color w:val="333333"/>
              </w:rPr>
              <w:t xml:space="preserve">Accelerate assessments of retail competition, as agreed by the Council of Australian Governments, to allow the removal </w:t>
            </w:r>
            <w:r>
              <w:rPr>
                <w:rFonts w:ascii="Georgia" w:hAnsi="Georgia"/>
                <w:color w:val="333333"/>
              </w:rPr>
              <w:t xml:space="preserve">of retail price caps where effective retail competition exists (Standing Council on Energy and Resources 2012). This has already occurred in Victoria and South Australia. </w:t>
            </w:r>
          </w:p>
          <w:p w:rsidR="00000000" w:rsidRDefault="004170B4">
            <w:pPr>
              <w:pStyle w:val="NormalWeb"/>
              <w:spacing w:line="300" w:lineRule="atLeast"/>
              <w:rPr>
                <w:rFonts w:ascii="Georgia" w:hAnsi="Georgia"/>
                <w:color w:val="333333"/>
              </w:rPr>
            </w:pPr>
            <w:r>
              <w:rPr>
                <w:rFonts w:ascii="Georgia" w:hAnsi="Georgia"/>
                <w:color w:val="333333"/>
              </w:rPr>
              <w:t>Adopt critical peak pricing, as recommended by the PC (2013, p. 335). Phase in flexi</w:t>
            </w:r>
            <w:r>
              <w:rPr>
                <w:rFonts w:ascii="Georgia" w:hAnsi="Georgia"/>
                <w:color w:val="333333"/>
              </w:rPr>
              <w:t>ble and efficient pricing more broadly, including a distribution network usage charge that varies by time of day. Allow consumers to opt in to cost-reflective tariffs as recommended by the AEMC (PC 2013, p. 427).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Split or perverse incentives for investing</w:t>
            </w:r>
            <w:r>
              <w:rPr>
                <w:rStyle w:val="Strong"/>
                <w:rFonts w:ascii="Georgia" w:hAnsi="Georgia"/>
                <w:color w:val="333333"/>
              </w:rPr>
              <w:t xml:space="preserve"> in energy efficiency or demand management</w:t>
            </w:r>
          </w:p>
          <w:p w:rsidR="00000000" w:rsidRDefault="004170B4">
            <w:pPr>
              <w:pStyle w:val="NormalWeb"/>
              <w:spacing w:line="300" w:lineRule="atLeast"/>
              <w:rPr>
                <w:rFonts w:ascii="Georgia" w:hAnsi="Georgia"/>
                <w:color w:val="333333"/>
              </w:rPr>
            </w:pPr>
            <w:r>
              <w:rPr>
                <w:rFonts w:ascii="Georgia" w:hAnsi="Georgia"/>
                <w:color w:val="333333"/>
              </w:rPr>
              <w:t>The benefits of saving energy are not fully captured by any one party, so building owners, consumers, electricity retailers and distributors do not have sufficient motivation to invest in energy efficiency.</w:t>
            </w:r>
          </w:p>
          <w:p w:rsidR="00000000" w:rsidRDefault="004170B4">
            <w:pPr>
              <w:pStyle w:val="NormalWeb"/>
              <w:spacing w:line="300" w:lineRule="atLeast"/>
              <w:rPr>
                <w:rFonts w:ascii="Georgia" w:hAnsi="Georgia"/>
                <w:color w:val="333333"/>
              </w:rPr>
            </w:pPr>
            <w:r>
              <w:rPr>
                <w:rFonts w:ascii="Georgia" w:hAnsi="Georgia"/>
                <w:color w:val="333333"/>
              </w:rPr>
              <w:t> </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Intr</w:t>
            </w:r>
            <w:r>
              <w:rPr>
                <w:rFonts w:ascii="Georgia" w:hAnsi="Georgia"/>
                <w:color w:val="333333"/>
              </w:rPr>
              <w:t xml:space="preserve">oduce a measure, such as the demand response mechanism proposed by AEMC, to pay consumers or third parties for demand reductions via the wholesale electricity market (AEMC 2012, pp. 115–6). </w:t>
            </w:r>
          </w:p>
          <w:p w:rsidR="00000000" w:rsidRDefault="004170B4">
            <w:pPr>
              <w:pStyle w:val="NormalWeb"/>
              <w:spacing w:line="300" w:lineRule="atLeast"/>
              <w:rPr>
                <w:rFonts w:ascii="Georgia" w:hAnsi="Georgia"/>
                <w:color w:val="333333"/>
              </w:rPr>
            </w:pPr>
            <w:r>
              <w:rPr>
                <w:rFonts w:ascii="Georgia" w:hAnsi="Georgia"/>
                <w:color w:val="333333"/>
              </w:rPr>
              <w:t xml:space="preserve">Regulatory reform to encourage distribution businesses to invest </w:t>
            </w:r>
            <w:r>
              <w:rPr>
                <w:rFonts w:ascii="Georgia" w:hAnsi="Georgia"/>
                <w:color w:val="333333"/>
              </w:rPr>
              <w:t>in demand-side options currently includes:</w:t>
            </w:r>
          </w:p>
          <w:p w:rsidR="00000000" w:rsidRDefault="004170B4" w:rsidP="004170B4">
            <w:pPr>
              <w:numPr>
                <w:ilvl w:val="0"/>
                <w:numId w:val="22"/>
              </w:numPr>
              <w:spacing w:after="100" w:afterAutospacing="1" w:line="300" w:lineRule="atLeast"/>
              <w:ind w:left="375"/>
              <w:rPr>
                <w:rFonts w:ascii="Georgia" w:eastAsia="Times New Roman" w:hAnsi="Georgia"/>
                <w:color w:val="333333"/>
              </w:rPr>
            </w:pPr>
            <w:r>
              <w:rPr>
                <w:rFonts w:ascii="Georgia" w:eastAsia="Times New Roman" w:hAnsi="Georgia"/>
                <w:color w:val="333333"/>
              </w:rPr>
              <w:t xml:space="preserve">the 1 January 2013 introduction of the Regulatory Investment Test (RITD) </w:t>
            </w:r>
            <w:r>
              <w:rPr>
                <w:rFonts w:ascii="Georgia" w:eastAsia="Times New Roman" w:hAnsi="Georgia"/>
                <w:color w:val="333333"/>
              </w:rPr>
              <w:lastRenderedPageBreak/>
              <w:t>that requires distribution businesses to consider and assess all credible demand-side options (above a $5 million threshold) before choosing</w:t>
            </w:r>
            <w:r>
              <w:rPr>
                <w:rFonts w:ascii="Georgia" w:eastAsia="Times New Roman" w:hAnsi="Georgia"/>
                <w:color w:val="333333"/>
              </w:rPr>
              <w:t xml:space="preserve"> the best investment option to meet their network’s needs </w:t>
            </w:r>
          </w:p>
          <w:p w:rsidR="00000000" w:rsidRDefault="004170B4" w:rsidP="004170B4">
            <w:pPr>
              <w:numPr>
                <w:ilvl w:val="0"/>
                <w:numId w:val="22"/>
              </w:numPr>
              <w:spacing w:after="100" w:afterAutospacing="1" w:line="300" w:lineRule="atLeast"/>
              <w:ind w:left="375"/>
              <w:rPr>
                <w:rFonts w:ascii="Georgia" w:eastAsia="Times New Roman" w:hAnsi="Georgia"/>
                <w:color w:val="333333"/>
              </w:rPr>
            </w:pPr>
            <w:r>
              <w:rPr>
                <w:rFonts w:ascii="Georgia" w:eastAsia="Times New Roman" w:hAnsi="Georgia"/>
                <w:color w:val="333333"/>
              </w:rPr>
              <w:t xml:space="preserve">the introduction of Standing Council on Energy and Resources-agreed recommendations arising from AEMC’s 2012 </w:t>
            </w:r>
            <w:r>
              <w:rPr>
                <w:rStyle w:val="Emphasis"/>
                <w:rFonts w:ascii="Georgia" w:eastAsia="Times New Roman" w:hAnsi="Georgia"/>
                <w:color w:val="333333"/>
              </w:rPr>
              <w:t xml:space="preserve">Power of Choice </w:t>
            </w:r>
            <w:r>
              <w:rPr>
                <w:rFonts w:ascii="Georgia" w:eastAsia="Times New Roman" w:hAnsi="Georgia"/>
                <w:color w:val="333333"/>
              </w:rPr>
              <w:t xml:space="preserve">review, </w:t>
            </w:r>
            <w:r>
              <w:rPr>
                <w:rFonts w:ascii="Georgia" w:eastAsia="Times New Roman" w:hAnsi="Georgia"/>
                <w:color w:val="333333"/>
              </w:rPr>
              <w:t>specifically around incentives for distribution businesses to undertake demand management projects</w:t>
            </w:r>
          </w:p>
          <w:p w:rsidR="00000000" w:rsidRDefault="004170B4" w:rsidP="004170B4">
            <w:pPr>
              <w:numPr>
                <w:ilvl w:val="0"/>
                <w:numId w:val="22"/>
              </w:numPr>
              <w:spacing w:after="100" w:afterAutospacing="1" w:line="300" w:lineRule="atLeast"/>
              <w:ind w:left="375"/>
              <w:rPr>
                <w:rFonts w:ascii="Georgia" w:eastAsia="Times New Roman" w:hAnsi="Georgia"/>
                <w:color w:val="333333"/>
              </w:rPr>
            </w:pPr>
            <w:proofErr w:type="gramStart"/>
            <w:r>
              <w:rPr>
                <w:rFonts w:ascii="Georgia" w:eastAsia="Times New Roman" w:hAnsi="Georgia"/>
                <w:color w:val="333333"/>
              </w:rPr>
              <w:t>the</w:t>
            </w:r>
            <w:proofErr w:type="gramEnd"/>
            <w:r>
              <w:rPr>
                <w:rFonts w:ascii="Georgia" w:eastAsia="Times New Roman" w:hAnsi="Georgia"/>
                <w:color w:val="333333"/>
              </w:rPr>
              <w:t xml:space="preserve"> introduction of incentives for non-network and network solutions to be considered on a level field. </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lastRenderedPageBreak/>
        <w:t>Sources:</w:t>
      </w:r>
      <w:r>
        <w:rPr>
          <w:rFonts w:ascii="Georgia" w:hAnsi="Georgia"/>
          <w:color w:val="333333"/>
          <w:lang w:val="en"/>
        </w:rPr>
        <w:t xml:space="preserve"> Barriers identified in AEMC 2012; Dunstan,</w:t>
      </w:r>
      <w:r>
        <w:rPr>
          <w:rFonts w:ascii="Georgia" w:hAnsi="Georgia"/>
          <w:color w:val="333333"/>
          <w:lang w:val="en"/>
        </w:rPr>
        <w:t xml:space="preserve"> Sharpe and </w:t>
      </w:r>
      <w:proofErr w:type="spellStart"/>
      <w:r>
        <w:rPr>
          <w:rFonts w:ascii="Georgia" w:hAnsi="Georgia"/>
          <w:color w:val="333333"/>
          <w:lang w:val="en"/>
        </w:rPr>
        <w:t>Downes</w:t>
      </w:r>
      <w:proofErr w:type="spellEnd"/>
      <w:r>
        <w:rPr>
          <w:rFonts w:ascii="Georgia" w:hAnsi="Georgia"/>
          <w:color w:val="333333"/>
          <w:lang w:val="en"/>
        </w:rPr>
        <w:t xml:space="preserve"> 2013; </w:t>
      </w:r>
      <w:proofErr w:type="spellStart"/>
      <w:r>
        <w:rPr>
          <w:rFonts w:ascii="Georgia" w:hAnsi="Georgia"/>
          <w:color w:val="333333"/>
          <w:lang w:val="en"/>
        </w:rPr>
        <w:t>Garnaut</w:t>
      </w:r>
      <w:proofErr w:type="spellEnd"/>
      <w:r>
        <w:rPr>
          <w:rFonts w:ascii="Georgia" w:hAnsi="Georgia"/>
          <w:color w:val="333333"/>
          <w:lang w:val="en"/>
        </w:rPr>
        <w:t xml:space="preserve"> 2008; PC 2005 and 2013; Prime Minister’s Task Group on Energy Efficiency 2010</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is considerable consensus about the solutions set out in Table D.5, but implementation has not yet occurred. Despite the in-principle commi</w:t>
      </w:r>
      <w:r>
        <w:rPr>
          <w:rFonts w:ascii="Georgia" w:hAnsi="Georgia"/>
          <w:color w:val="333333"/>
          <w:lang w:val="en"/>
        </w:rPr>
        <w:t>tment by the Council of Australian Governments (COAG) to remove retail price caps, roll out interval meters nationally and introduce more cost-reflective pricing, progress has been slow. Without these core actions, consumers cannot make the best choices ab</w:t>
      </w:r>
      <w:r>
        <w:rPr>
          <w:rFonts w:ascii="Georgia" w:hAnsi="Georgia"/>
          <w:color w:val="333333"/>
          <w:lang w:val="en"/>
        </w:rPr>
        <w:t xml:space="preserve">out how they use electricity and manage spending, and third parties are constrained in identifying investments in energy efficiency and demand management with the greatest benefits. </w:t>
      </w:r>
    </w:p>
    <w:p w:rsidR="00000000" w:rsidRDefault="004170B4">
      <w:pPr>
        <w:pStyle w:val="NormalWeb"/>
        <w:spacing w:line="300" w:lineRule="atLeast"/>
        <w:rPr>
          <w:rFonts w:ascii="Georgia" w:hAnsi="Georgia"/>
          <w:color w:val="333333"/>
          <w:lang w:val="en"/>
        </w:rPr>
      </w:pPr>
      <w:r>
        <w:rPr>
          <w:rFonts w:ascii="Georgia" w:hAnsi="Georgia"/>
          <w:color w:val="333333"/>
          <w:lang w:val="en"/>
        </w:rPr>
        <w:t>In the near term, the Authority supports additional action that will help</w:t>
      </w:r>
      <w:r>
        <w:rPr>
          <w:rFonts w:ascii="Georgia" w:hAnsi="Georgia"/>
          <w:color w:val="333333"/>
          <w:lang w:val="en"/>
        </w:rPr>
        <w:t xml:space="preserve"> increase the uptake of energy efficiency opportunities by consumers, suppliers and energy service companies. Building and equipment choices lock in higher or lower emissions for many years; as stock is renewed, it is important that it is replaced with eff</w:t>
      </w:r>
      <w:r>
        <w:rPr>
          <w:rFonts w:ascii="Georgia" w:hAnsi="Georgia"/>
          <w:color w:val="333333"/>
          <w:lang w:val="en"/>
        </w:rPr>
        <w:t xml:space="preserve">icient options to capture the available emissions reduction opportunities. </w:t>
      </w:r>
    </w:p>
    <w:p w:rsidR="00000000" w:rsidRDefault="004170B4">
      <w:pPr>
        <w:pStyle w:val="NormalWeb"/>
        <w:spacing w:line="300" w:lineRule="atLeast"/>
        <w:rPr>
          <w:rFonts w:ascii="Georgia" w:hAnsi="Georgia"/>
          <w:color w:val="333333"/>
          <w:lang w:val="en"/>
        </w:rPr>
      </w:pPr>
      <w:r>
        <w:rPr>
          <w:rFonts w:ascii="Georgia" w:hAnsi="Georgia"/>
          <w:color w:val="333333"/>
          <w:lang w:val="en"/>
        </w:rPr>
        <w:t>In addition, priorities could include initiatives that have been identified in previous reviews, including:</w:t>
      </w:r>
    </w:p>
    <w:p w:rsidR="00000000" w:rsidRDefault="004170B4" w:rsidP="004170B4">
      <w:pPr>
        <w:numPr>
          <w:ilvl w:val="0"/>
          <w:numId w:val="2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lastRenderedPageBreak/>
        <w:t>collecting and publishing more detailed electricity consumption data, pa</w:t>
      </w:r>
      <w:r>
        <w:rPr>
          <w:rFonts w:ascii="Georgia" w:eastAsia="Times New Roman" w:hAnsi="Georgia"/>
          <w:color w:val="333333"/>
          <w:lang w:val="en"/>
        </w:rPr>
        <w:t>rticularly related to end use within buildings, where there are positive net benefits for consumers</w:t>
      </w:r>
    </w:p>
    <w:p w:rsidR="00000000" w:rsidRDefault="004170B4" w:rsidP="004170B4">
      <w:pPr>
        <w:numPr>
          <w:ilvl w:val="0"/>
          <w:numId w:val="2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completing retail competition reviews and removing retail price regulation where effective retail competition exists </w:t>
      </w:r>
    </w:p>
    <w:p w:rsidR="00000000" w:rsidRDefault="004170B4" w:rsidP="004170B4">
      <w:pPr>
        <w:numPr>
          <w:ilvl w:val="0"/>
          <w:numId w:val="2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the Australian Energy Regulator implem</w:t>
      </w:r>
      <w:r>
        <w:rPr>
          <w:rFonts w:ascii="Georgia" w:eastAsia="Times New Roman" w:hAnsi="Georgia"/>
          <w:color w:val="333333"/>
          <w:lang w:val="en"/>
        </w:rPr>
        <w:t xml:space="preserve">enting standard regulatory arrangements for interval meters </w:t>
      </w:r>
    </w:p>
    <w:p w:rsidR="00000000" w:rsidRDefault="004170B4" w:rsidP="004170B4">
      <w:pPr>
        <w:numPr>
          <w:ilvl w:val="0"/>
          <w:numId w:val="2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proceeding with the rollout of interval meters for new connections and replacements</w:t>
      </w:r>
    </w:p>
    <w:p w:rsidR="00000000" w:rsidRDefault="004170B4" w:rsidP="004170B4">
      <w:pPr>
        <w:numPr>
          <w:ilvl w:val="0"/>
          <w:numId w:val="23"/>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where</w:t>
      </w:r>
      <w:proofErr w:type="gramEnd"/>
      <w:r>
        <w:rPr>
          <w:rFonts w:ascii="Georgia" w:eastAsia="Times New Roman" w:hAnsi="Georgia"/>
          <w:color w:val="333333"/>
          <w:lang w:val="en"/>
        </w:rPr>
        <w:t xml:space="preserve"> possible, accelerating the response time </w:t>
      </w:r>
      <w:r>
        <w:rPr>
          <w:rFonts w:ascii="Georgia" w:eastAsia="Times New Roman" w:hAnsi="Georgia"/>
          <w:color w:val="333333"/>
          <w:lang w:val="en"/>
        </w:rPr>
        <w:t>of AEMC to rule change requests arising from independent reviews, including the SCER and PC.</w:t>
      </w:r>
    </w:p>
    <w:p w:rsidR="00000000" w:rsidRDefault="004170B4">
      <w:pPr>
        <w:pStyle w:val="Heading3"/>
        <w:rPr>
          <w:rFonts w:eastAsia="Times New Roman"/>
          <w:color w:val="333333"/>
          <w:lang w:val="en"/>
        </w:rPr>
      </w:pPr>
      <w:r>
        <w:rPr>
          <w:rFonts w:eastAsia="Times New Roman"/>
          <w:color w:val="333333"/>
          <w:lang w:val="en"/>
        </w:rPr>
        <w:t xml:space="preserve">D3.6 Challenges to tracking progress in the electricity sector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considers that the best common measure of electricity activity is electricity ‘sent o</w:t>
      </w:r>
      <w:r>
        <w:rPr>
          <w:rFonts w:ascii="Georgia" w:hAnsi="Georgia"/>
          <w:color w:val="333333"/>
          <w:lang w:val="en"/>
        </w:rPr>
        <w:t>ut’, but historical data (to 1990) is not available on this basis in a disaggregated, rigorous form. In order to compare historical and projected activity data, the Authority has used electricity ‘as generated’. ‘Sent out’ electricity leaves the power stat</w:t>
      </w:r>
      <w:r>
        <w:rPr>
          <w:rFonts w:ascii="Georgia" w:hAnsi="Georgia"/>
          <w:color w:val="333333"/>
          <w:lang w:val="en"/>
        </w:rPr>
        <w:t xml:space="preserve">ion, ‘as generated’ includes electricity consumed by the power station itself in its own operations.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major drivers of reduced electricity demand are known but their relative contribution to changing demand is unclear. More detailed, consistent time se</w:t>
      </w:r>
      <w:r>
        <w:rPr>
          <w:rFonts w:ascii="Georgia" w:hAnsi="Georgia"/>
          <w:color w:val="333333"/>
          <w:lang w:val="en"/>
        </w:rPr>
        <w:t xml:space="preserve">ries information on end-use electricity consumption could help these drivers be better understood, allowing for improved demand projections and more effective policy design. </w:t>
      </w:r>
    </w:p>
    <w:p w:rsidR="00000000" w:rsidRDefault="004170B4">
      <w:pPr>
        <w:pStyle w:val="NormalWeb"/>
        <w:spacing w:line="300" w:lineRule="atLeast"/>
        <w:rPr>
          <w:rFonts w:ascii="Georgia" w:hAnsi="Georgia"/>
          <w:color w:val="333333"/>
          <w:lang w:val="en"/>
        </w:rPr>
      </w:pPr>
      <w:r>
        <w:rPr>
          <w:rFonts w:ascii="Georgia" w:hAnsi="Georgia"/>
          <w:color w:val="333333"/>
          <w:lang w:val="en"/>
        </w:rPr>
        <w:t>Information gaps also make it difficult to track progress in off-grid electricity</w:t>
      </w:r>
      <w:r>
        <w:rPr>
          <w:rFonts w:ascii="Georgia" w:hAnsi="Georgia"/>
          <w:color w:val="333333"/>
          <w:lang w:val="en"/>
        </w:rPr>
        <w:t xml:space="preserve"> generation. Off-grid electricity accounts for about 6 per cent of Australia’s electricity generation, and is mainly consumed by the mining and manufacturing sectors (ABS 2012). The level and mix of off-grid generation is a source of uncertainty because gr</w:t>
      </w:r>
      <w:r>
        <w:rPr>
          <w:rFonts w:ascii="Georgia" w:hAnsi="Georgia"/>
          <w:color w:val="333333"/>
          <w:lang w:val="en"/>
        </w:rPr>
        <w:t xml:space="preserve">anular data is not collected routinely or systematically. </w:t>
      </w:r>
    </w:p>
    <w:p w:rsidR="00000000" w:rsidRDefault="004170B4">
      <w:pPr>
        <w:pStyle w:val="NormalWeb"/>
        <w:spacing w:line="300" w:lineRule="atLeast"/>
        <w:rPr>
          <w:rFonts w:ascii="Georgia" w:hAnsi="Georgia"/>
          <w:color w:val="333333"/>
          <w:lang w:val="en"/>
        </w:rPr>
      </w:pPr>
      <w:r>
        <w:rPr>
          <w:rFonts w:ascii="Georgia" w:hAnsi="Georgia"/>
          <w:color w:val="333333"/>
          <w:lang w:val="en"/>
        </w:rPr>
        <w:t>BREE’s inaugural report (2013c) on regional and remote electricity is a welcome source of new information. BREE ‘intends to report on the demand and supply of electricity in off-grid Australia on a</w:t>
      </w:r>
      <w:r>
        <w:rPr>
          <w:rFonts w:ascii="Georgia" w:hAnsi="Georgia"/>
          <w:color w:val="333333"/>
          <w:lang w:val="en"/>
        </w:rPr>
        <w:t xml:space="preserve"> regular basis’ (2013c, p. 40). The Authority endorses this plan. Detailed reporting of off-grid generation will inform policy, planning and private investment. It could also aid planning for the potential implications of a shift from gas, which is current</w:t>
      </w:r>
      <w:r>
        <w:rPr>
          <w:rFonts w:ascii="Georgia" w:hAnsi="Georgia"/>
          <w:color w:val="333333"/>
          <w:lang w:val="en"/>
        </w:rPr>
        <w:t xml:space="preserve">ly the dominant fuel, and identify opportunities to deploy lower emissions generation over time (ACIL Allen Consulting 2013; ABS 2012). </w:t>
      </w:r>
    </w:p>
    <w:p w:rsidR="00000000" w:rsidRDefault="004170B4">
      <w:pPr>
        <w:pStyle w:val="Heading2"/>
        <w:rPr>
          <w:rFonts w:eastAsia="Times New Roman"/>
          <w:color w:val="333333"/>
          <w:lang w:val="en"/>
        </w:rPr>
      </w:pPr>
      <w:r>
        <w:rPr>
          <w:rFonts w:eastAsia="Times New Roman"/>
          <w:color w:val="333333"/>
          <w:lang w:val="en"/>
        </w:rPr>
        <w:t xml:space="preserve">Appendix D4 Transport </w:t>
      </w:r>
    </w:p>
    <w:p w:rsidR="00000000" w:rsidRDefault="004170B4">
      <w:pPr>
        <w:pStyle w:val="Heading3"/>
        <w:rPr>
          <w:rFonts w:eastAsia="Times New Roman"/>
          <w:color w:val="333333"/>
          <w:lang w:val="en"/>
        </w:rPr>
      </w:pPr>
      <w:r>
        <w:rPr>
          <w:rFonts w:eastAsia="Times New Roman"/>
          <w:color w:val="333333"/>
          <w:lang w:val="en"/>
        </w:rPr>
        <w:lastRenderedPageBreak/>
        <w:t>D4.1 Transport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Transport greenhouse gas emissions are produced by vehicles co</w:t>
      </w:r>
      <w:r>
        <w:rPr>
          <w:rFonts w:ascii="Georgia" w:hAnsi="Georgia"/>
          <w:color w:val="333333"/>
          <w:lang w:val="en"/>
        </w:rPr>
        <w:t>mbusting fuels to move people and freight. Australia’s transport emissions are reported across four modes—road, rail, domestic aviation and domestic shipping. International aviation and shipping emissions are excluded from Australia’s national inventory. E</w:t>
      </w:r>
      <w:r>
        <w:rPr>
          <w:rFonts w:ascii="Georgia" w:hAnsi="Georgia"/>
          <w:color w:val="333333"/>
          <w:lang w:val="en"/>
        </w:rPr>
        <w:t>missions associated with producing and refining liquid and gaseous fuels, as well as generating electricity, are attributed to stationary energy and fugitives sectors.</w:t>
      </w:r>
    </w:p>
    <w:p w:rsidR="00000000" w:rsidRDefault="004170B4">
      <w:pPr>
        <w:pStyle w:val="NormalWeb"/>
        <w:spacing w:line="300" w:lineRule="atLeast"/>
        <w:rPr>
          <w:rFonts w:ascii="Georgia" w:hAnsi="Georgia"/>
          <w:color w:val="333333"/>
          <w:lang w:val="en"/>
        </w:rPr>
      </w:pPr>
      <w:r>
        <w:rPr>
          <w:rFonts w:ascii="Georgia" w:hAnsi="Georgia"/>
          <w:color w:val="333333"/>
          <w:lang w:val="en"/>
        </w:rPr>
        <w:t>Transport accounted for 91 Mt CO</w:t>
      </w:r>
      <w:r>
        <w:rPr>
          <w:rFonts w:ascii="Georgia" w:hAnsi="Georgia"/>
          <w:color w:val="333333"/>
          <w:sz w:val="18"/>
          <w:szCs w:val="18"/>
          <w:vertAlign w:val="subscript"/>
          <w:lang w:val="en"/>
        </w:rPr>
        <w:t>2</w:t>
      </w:r>
      <w:r>
        <w:rPr>
          <w:rFonts w:ascii="Georgia" w:hAnsi="Georgia"/>
          <w:color w:val="333333"/>
          <w:lang w:val="en"/>
        </w:rPr>
        <w:t>-e (15 per cent) of Australia’s emissions in 2012. Unde</w:t>
      </w:r>
      <w:r>
        <w:rPr>
          <w:rFonts w:ascii="Georgia" w:hAnsi="Georgia"/>
          <w:color w:val="333333"/>
          <w:lang w:val="en"/>
        </w:rPr>
        <w:t>r the medium scenario, transport is projected to account for a similar proportion of total emissions in 2020, reducing to 14 per cent in 2030, as shown in Figure D.16.</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per capita transport emissions are higher than those of most other countries</w:t>
      </w:r>
      <w:r>
        <w:rPr>
          <w:rFonts w:ascii="Georgia" w:hAnsi="Georgia"/>
          <w:color w:val="333333"/>
          <w:lang w:val="en"/>
        </w:rPr>
        <w:t xml:space="preserve"> (IEA 2013a, p. 106). Australia’s urban form, low population density and long intercity distances make it heavily reliant on road transport and domestic aviation. To the extent that these factors are fixed, most of the Australian population and business wi</w:t>
      </w:r>
      <w:r>
        <w:rPr>
          <w:rFonts w:ascii="Georgia" w:hAnsi="Georgia"/>
          <w:color w:val="333333"/>
          <w:lang w:val="en"/>
        </w:rPr>
        <w:t xml:space="preserve">ll continue to depend on these transport modes. </w:t>
      </w:r>
    </w:p>
    <w:p w:rsidR="00000000" w:rsidRDefault="004170B4">
      <w:pPr>
        <w:pStyle w:val="Heading2"/>
        <w:rPr>
          <w:rFonts w:eastAsia="Times New Roman"/>
          <w:color w:val="333333"/>
          <w:lang w:val="en"/>
        </w:rPr>
      </w:pPr>
      <w:r>
        <w:rPr>
          <w:rFonts w:eastAsia="Times New Roman"/>
          <w:color w:val="333333"/>
          <w:lang w:val="en"/>
        </w:rPr>
        <w:t>Figure D.16: Transport share of Australia’s emissions,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470150"/>
            <wp:effectExtent l="0" t="0" r="0" b="0"/>
            <wp:docPr id="16" name="Picture 16" descr="Figure D.16 shows the historical and projected share of transport emissions between 1990 and 2030. Transport emissions increase from 62 megatonnes of carbon dioxide equivalent in 1990 to 91 megatonnes of carbon dioxide equivalent in 2012. In 2020, transport emissions are projected to be 99 megatonnes of carbon dioxide equivalent in the no price scenario, 96 megatonnes of carbon dioxide equivalent in the low scenario, 94 megatonnes of carbon dioxide equivalent in the medium scenario and 92 megatonnes of carbon dioxide equivalent in the high scenario. &#10;In 2030, transport emissions are projected to be 106 megatonnes of carbon dioxide equivalent in the no price scenario, 99 megatonnes of carbon dioxide equivalent in the low scenario, 91 megatonnes of carbon dioxide equivalent in the medium scenario and 83 megatonnes of carbon dioxide equivalent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D.16 shows the historical and projected share of transport emissions between 1990 and 2030. Transport emissions increase from 62 megatonnes of carbon dioxide equivalent in 1990 to 91 megatonnes of carbon dioxide equivalent in 2012. In 2020, transport emissions are projected to be 99 megatonnes of carbon dioxide equivalent in the no price scenario, 96 megatonnes of carbon dioxide equivalent in the low scenario, 94 megatonnes of carbon dioxide equivalent in the medium scenario and 92 megatonnes of carbon dioxide equivalent in the high scenario. &#10;In 2030, transport emissions are projected to be 106 megatonnes of carbon dioxide equivalent in the no price scenario, 99 megatonnes of carbon dioxide equivalent in the low scenario, 91 megatonnes of carbon dioxide equivalent in the medium scenario and 83 megatonnes of carbon dioxide equivalent in the high scenario.&#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770" cy="247015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w:t>
      </w:r>
      <w:r>
        <w:rPr>
          <w:rFonts w:ascii="Georgia" w:hAnsi="Georgia"/>
          <w:color w:val="333333"/>
          <w:lang w:val="en"/>
        </w:rPr>
        <w:t xml:space="preserve"> results from Treasury and DIICCSRTE 2013</w:t>
      </w:r>
    </w:p>
    <w:p w:rsidR="00000000" w:rsidRDefault="004170B4">
      <w:pPr>
        <w:pStyle w:val="Heading2"/>
        <w:rPr>
          <w:rFonts w:eastAsia="Times New Roman"/>
          <w:color w:val="333333"/>
          <w:lang w:val="en"/>
        </w:rPr>
      </w:pPr>
      <w:r>
        <w:rPr>
          <w:rFonts w:eastAsia="Times New Roman"/>
          <w:color w:val="333333"/>
          <w:lang w:val="en"/>
        </w:rPr>
        <w:lastRenderedPageBreak/>
        <w:t>Figure D.17: Passenger road transport activity and emissions intensity—modelled range, 1990–2050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270125"/>
            <wp:effectExtent l="0" t="0" r="0" b="0"/>
            <wp:docPr id="17" name="Picture 17" descr="Figure D.17 shows historical and projected passenger road transport activity and emissions intensity between 1990 and 2050. &#10;Between 1990 and 2012 passenger road transport activity increased from 123 to 175 billion vehicle kilometres travelled and this is projected to increase to around 290 billion vehicle kilometres travelled in 2050. Between 1990 and 2012 the emissions intensity of passenger road transport decreased from 287 to 255 grams of carbon dioxide equivalent per vehicle kilometre travelled and this is projected to decrease to between 107 and 157 grams of carbon dioxide equivalent per vehicle kilometre travelled in 2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D.17 shows historical and projected passenger road transport activity and emissions intensity between 1990 and 2050. &#10;Between 1990 and 2012 passenger road transport activity increased from 123 to 175 billion vehicle kilometres travelled and this is projected to increase to around 290 billion vehicle kilometres travelled in 2050. Between 1990 and 2012 the emissions intensity of passenger road transport decreased from 287 to 255 grams of carbon dioxide equivalent per vehicle kilometre travelled and this is projected to decrease to between 107 and 157 grams of carbon dioxide equivalent per vehicle kilometre travelled in 205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6770" cy="227012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Note:</w:t>
      </w:r>
      <w:r>
        <w:rPr>
          <w:rFonts w:ascii="Georgia" w:hAnsi="Georgia"/>
          <w:color w:val="333333"/>
          <w:lang w:val="en"/>
        </w:rPr>
        <w:t xml:space="preserve"> Upper </w:t>
      </w:r>
      <w:r>
        <w:rPr>
          <w:rFonts w:ascii="Georgia" w:hAnsi="Georgia"/>
          <w:color w:val="333333"/>
          <w:lang w:val="en"/>
        </w:rPr>
        <w:t xml:space="preserve">and lower line bounds illustrate range of modelled outcomes. </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 and Reedman and Graham 2013a </w:t>
      </w:r>
    </w:p>
    <w:p w:rsidR="00000000" w:rsidRDefault="004170B4">
      <w:pPr>
        <w:pStyle w:val="Heading2"/>
        <w:rPr>
          <w:rFonts w:eastAsia="Times New Roman"/>
          <w:color w:val="333333"/>
          <w:lang w:val="en"/>
        </w:rPr>
      </w:pPr>
      <w:r>
        <w:rPr>
          <w:rFonts w:eastAsia="Times New Roman"/>
          <w:color w:val="333333"/>
          <w:lang w:val="en"/>
        </w:rPr>
        <w:t>Figure D.18: Passenger road transport activity and emissions intensity—</w:t>
      </w:r>
      <w:r>
        <w:rPr>
          <w:rFonts w:eastAsia="Times New Roman"/>
          <w:color w:val="333333"/>
          <w:lang w:val="en"/>
        </w:rPr>
        <w:t>four scenarios, 1990–2050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591810" cy="2480310"/>
            <wp:effectExtent l="0" t="0" r="8890" b="0"/>
            <wp:docPr id="18" name="Picture 18" descr="Figure D.18 shows historical and projected passenger road transport activity and emissions intensity across four scenarios between 1990 and 2050. &#10;Between 1990 and 2012 activity increased and emissions intensity decreased over the same period. Activity is projected to continue increasing to 2050 across all scenarios while emissions intensity is projected to continue falling across all scenarios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D.18 shows historical and projected passenger road transport activity and emissions intensity across four scenarios between 1990 and 2050. &#10;Between 1990 and 2012 activity increased and emissions intensity decreased over the same period. Activity is projected to continue increasing to 2050 across all scenarios while emissions intensity is projected to continue falling across all scenarios over the same period.&#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810" cy="24803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 and Reedman and Graham 2013a</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In all scenarios modelled by the </w:t>
      </w:r>
      <w:r>
        <w:rPr>
          <w:rFonts w:ascii="Georgia" w:hAnsi="Georgia"/>
          <w:color w:val="333333"/>
          <w:lang w:val="en"/>
        </w:rPr>
        <w:t xml:space="preserve">Treasury and DIICCSRTE (2013), considerable growth in road and aviation activity is projected. Passenger road transport activity is expected to increase substantially from about 179 billion to 290 billion vehicle </w:t>
      </w:r>
      <w:proofErr w:type="spellStart"/>
      <w:r>
        <w:rPr>
          <w:rFonts w:ascii="Georgia" w:hAnsi="Georgia"/>
          <w:color w:val="333333"/>
          <w:lang w:val="en"/>
        </w:rPr>
        <w:t>kilometres</w:t>
      </w:r>
      <w:proofErr w:type="spellEnd"/>
      <w:r>
        <w:rPr>
          <w:rFonts w:ascii="Georgia" w:hAnsi="Georgia"/>
          <w:color w:val="333333"/>
          <w:lang w:val="en"/>
        </w:rPr>
        <w:t xml:space="preserve"> between now and 2050 (Figure D.1</w:t>
      </w:r>
      <w:r>
        <w:rPr>
          <w:rFonts w:ascii="Georgia" w:hAnsi="Georgia"/>
          <w:color w:val="333333"/>
          <w:lang w:val="en"/>
        </w:rPr>
        <w:t>7).</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Under scenarios with a price incentive, the emissions intensity of passenger road transport is projected to decline significantly between now and 2030, and eventually </w:t>
      </w:r>
      <w:proofErr w:type="spellStart"/>
      <w:r>
        <w:rPr>
          <w:rFonts w:ascii="Georgia" w:hAnsi="Georgia"/>
          <w:color w:val="333333"/>
          <w:lang w:val="en"/>
        </w:rPr>
        <w:t>stabilise</w:t>
      </w:r>
      <w:proofErr w:type="spellEnd"/>
      <w:r>
        <w:rPr>
          <w:rFonts w:ascii="Georgia" w:hAnsi="Georgia"/>
          <w:color w:val="333333"/>
          <w:lang w:val="en"/>
        </w:rPr>
        <w:t xml:space="preserve"> between 2040 and 2050, as shown in Figure D.18. </w:t>
      </w:r>
    </w:p>
    <w:p w:rsidR="00000000" w:rsidRDefault="004170B4">
      <w:pPr>
        <w:pStyle w:val="NormalWeb"/>
        <w:spacing w:line="300" w:lineRule="atLeast"/>
        <w:rPr>
          <w:rFonts w:ascii="Georgia" w:hAnsi="Georgia"/>
          <w:color w:val="333333"/>
          <w:lang w:val="en"/>
        </w:rPr>
      </w:pPr>
      <w:r>
        <w:rPr>
          <w:rFonts w:ascii="Georgia" w:hAnsi="Georgia"/>
          <w:color w:val="333333"/>
          <w:lang w:val="en"/>
        </w:rPr>
        <w:t>Beyond 2035, however, emis</w:t>
      </w:r>
      <w:r>
        <w:rPr>
          <w:rFonts w:ascii="Georgia" w:hAnsi="Georgia"/>
          <w:color w:val="333333"/>
          <w:lang w:val="en"/>
        </w:rPr>
        <w:t>sions intensity improvements are not expected to offset growth in the transport task, resulting in growing transport emissions. Continuing growth in activity is estimated to drive up transport emissions to between 97 and 127 Mt CO</w:t>
      </w:r>
      <w:r>
        <w:rPr>
          <w:rFonts w:ascii="Georgia" w:hAnsi="Georgia"/>
          <w:color w:val="333333"/>
          <w:sz w:val="18"/>
          <w:szCs w:val="18"/>
          <w:vertAlign w:val="subscript"/>
          <w:lang w:val="en"/>
        </w:rPr>
        <w:t>2</w:t>
      </w:r>
      <w:r>
        <w:rPr>
          <w:rFonts w:ascii="Georgia" w:hAnsi="Georgia"/>
          <w:color w:val="333333"/>
          <w:lang w:val="en"/>
        </w:rPr>
        <w:t xml:space="preserve">-e in 2050, as presented </w:t>
      </w:r>
      <w:r>
        <w:rPr>
          <w:rFonts w:ascii="Georgia" w:hAnsi="Georgia"/>
          <w:color w:val="333333"/>
          <w:lang w:val="en"/>
        </w:rPr>
        <w:t>in Figure D.19. This is higher than the 2000 level of 75 Mt CO</w:t>
      </w:r>
      <w:r>
        <w:rPr>
          <w:rFonts w:ascii="Georgia" w:hAnsi="Georgia"/>
          <w:color w:val="333333"/>
          <w:sz w:val="18"/>
          <w:szCs w:val="18"/>
          <w:vertAlign w:val="subscript"/>
          <w:lang w:val="en"/>
        </w:rPr>
        <w:t>2</w:t>
      </w:r>
      <w:r>
        <w:rPr>
          <w:rFonts w:ascii="Georgia" w:hAnsi="Georgia"/>
          <w:color w:val="333333"/>
          <w:lang w:val="en"/>
        </w:rPr>
        <w:t>-e in all scenarios.</w:t>
      </w:r>
    </w:p>
    <w:p w:rsidR="00000000" w:rsidRDefault="004170B4">
      <w:pPr>
        <w:pStyle w:val="Heading3"/>
        <w:rPr>
          <w:rFonts w:eastAsia="Times New Roman"/>
          <w:color w:val="333333"/>
          <w:lang w:val="en"/>
        </w:rPr>
      </w:pPr>
      <w:r>
        <w:rPr>
          <w:rFonts w:eastAsia="Times New Roman"/>
          <w:color w:val="333333"/>
          <w:lang w:val="en"/>
        </w:rPr>
        <w:t>D4.2 Transport emissions outcomes, contributors and drivers</w:t>
      </w:r>
    </w:p>
    <w:p w:rsidR="00000000" w:rsidRDefault="004170B4">
      <w:pPr>
        <w:pStyle w:val="Heading2"/>
        <w:rPr>
          <w:rFonts w:eastAsia="Times New Roman"/>
          <w:color w:val="333333"/>
          <w:lang w:val="en"/>
        </w:rPr>
      </w:pPr>
      <w:r>
        <w:rPr>
          <w:rFonts w:eastAsia="Times New Roman"/>
          <w:color w:val="333333"/>
          <w:lang w:val="en"/>
        </w:rPr>
        <w:t>Figure D.19: Contributors to transport emissions, selected years, 1990–2050, and to change in emissions relative</w:t>
      </w:r>
      <w:r>
        <w:rPr>
          <w:rFonts w:eastAsia="Times New Roman"/>
          <w:color w:val="333333"/>
          <w:lang w:val="en"/>
        </w:rPr>
        <w:t xml:space="preser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896610" cy="4740275"/>
            <wp:effectExtent l="0" t="0" r="8890" b="3175"/>
            <wp:docPr id="19" name="Picture 19" descr="Figure D.19 shows the historical and projected contributors to Australia’s transport emissions between 1990 and 2050. &#10;From 1990 to 2012, transport emissions increased from 62 to 91 megatonnes of carbon dioxide equivalent. Transport emissions are projected to be between 98 and 128 megatonnes of carbon dioxide equivalent in 2050. Between 1990 and 2012 cars contributed between around 50 to 60 per cent of Australia’s transport emissions. This contribution is projected to be around 45 per cent in 2020 and 2030 and between 30 to 36 per cent in 2050. &#10;Relative to 2000, changes in road passenger and freight demand were the main contributors to Australia’s lower emissions in 1990 and increased emissions in 2012. Increased road passenger and freight demand are projected to be the main contributors to Australia’s transport emissions across all scenarios to 2050. At the same time increased road passenger vehicle efficiency is projected to make the largest net negative contribution to transport emissions across all scenar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D.19 shows the historical and projected contributors to Australia’s transport emissions between 1990 and 2050. &#10;From 1990 to 2012, transport emissions increased from 62 to 91 megatonnes of carbon dioxide equivalent. Transport emissions are projected to be between 98 and 128 megatonnes of carbon dioxide equivalent in 2050. Between 1990 and 2012 cars contributed between around 50 to 60 per cent of Australia’s transport emissions. This contribution is projected to be around 45 per cent in 2020 and 2030 and between 30 to 36 per cent in 2050. &#10;Relative to 2000, changes in road passenger and freight demand were the main contributors to Australia’s lower emissions in 1990 and increased emissions in 2012. Increased road passenger and freight demand are projected to be the main contributors to Australia’s transport emissions across all scenarios to 2050. At the same time increased road passenger vehicle efficiency is projected to make the largest net negative contribution to transport emissions across all scenarios.&#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6610" cy="474027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Source: </w:t>
      </w:r>
      <w:r>
        <w:rPr>
          <w:rFonts w:ascii="Georgia" w:hAnsi="Georgia"/>
          <w:color w:val="333333"/>
          <w:lang w:val="en"/>
        </w:rPr>
        <w:t>Climate Change Authority calculations using results from Treasury and DIICCSRTE 2013 and Reedman and Graham 2013a</w:t>
      </w:r>
    </w:p>
    <w:p w:rsidR="00000000" w:rsidRDefault="004170B4">
      <w:pPr>
        <w:pStyle w:val="NormalWeb"/>
        <w:spacing w:line="300" w:lineRule="atLeast"/>
        <w:rPr>
          <w:rFonts w:ascii="Georgia" w:hAnsi="Georgia"/>
          <w:color w:val="333333"/>
          <w:lang w:val="en"/>
        </w:rPr>
      </w:pPr>
      <w:r>
        <w:rPr>
          <w:rFonts w:ascii="Georgia" w:hAnsi="Georgia"/>
          <w:color w:val="333333"/>
          <w:lang w:val="en"/>
        </w:rPr>
        <w:t>Demand for transport is driven by population growth, economic</w:t>
      </w:r>
      <w:r>
        <w:rPr>
          <w:rFonts w:ascii="Georgia" w:hAnsi="Georgia"/>
          <w:color w:val="333333"/>
          <w:lang w:val="en"/>
        </w:rPr>
        <w:t xml:space="preserve"> activity and costs associated with travel (DCCEE 2012, p. 25). </w:t>
      </w:r>
    </w:p>
    <w:p w:rsidR="00000000" w:rsidRDefault="004170B4">
      <w:pPr>
        <w:pStyle w:val="NormalWeb"/>
        <w:spacing w:line="300" w:lineRule="atLeast"/>
        <w:rPr>
          <w:rFonts w:ascii="Georgia" w:hAnsi="Georgia"/>
          <w:color w:val="333333"/>
          <w:lang w:val="en"/>
        </w:rPr>
      </w:pPr>
      <w:r>
        <w:rPr>
          <w:rFonts w:ascii="Georgia" w:hAnsi="Georgia"/>
          <w:color w:val="333333"/>
          <w:lang w:val="en"/>
        </w:rPr>
        <w:t>Road transport accounted for 77 Mt CO</w:t>
      </w:r>
      <w:r>
        <w:rPr>
          <w:rFonts w:ascii="Georgia" w:hAnsi="Georgia"/>
          <w:color w:val="333333"/>
          <w:sz w:val="18"/>
          <w:szCs w:val="18"/>
          <w:vertAlign w:val="subscript"/>
          <w:lang w:val="en"/>
        </w:rPr>
        <w:t>2</w:t>
      </w:r>
      <w:r>
        <w:rPr>
          <w:rFonts w:ascii="Georgia" w:hAnsi="Georgia"/>
          <w:color w:val="333333"/>
          <w:lang w:val="en"/>
        </w:rPr>
        <w:t>-e (84 per cent) of all transport emissions in 2012. This includes light vehicles (motorcycles, cars and light commercial vehicles) and heavy vehicles (r</w:t>
      </w:r>
      <w:r>
        <w:rPr>
          <w:rFonts w:ascii="Georgia" w:hAnsi="Georgia"/>
          <w:color w:val="333333"/>
          <w:lang w:val="en"/>
        </w:rPr>
        <w:t>igid and articulated trucks and buses). Light vehicles accounted for 57 Mt CO</w:t>
      </w:r>
      <w:r>
        <w:rPr>
          <w:rFonts w:ascii="Georgia" w:hAnsi="Georgia"/>
          <w:color w:val="333333"/>
          <w:sz w:val="18"/>
          <w:szCs w:val="18"/>
          <w:vertAlign w:val="subscript"/>
          <w:lang w:val="en"/>
        </w:rPr>
        <w:t>2</w:t>
      </w:r>
      <w:r>
        <w:rPr>
          <w:rFonts w:ascii="Georgia" w:hAnsi="Georgia"/>
          <w:color w:val="333333"/>
          <w:lang w:val="en"/>
        </w:rPr>
        <w:t>-e (63 per cent) of total transport emissions and 10 per cent of Australia’s economy-wide emissions. Passenger vehicles accounted for most of the transport task and, as a consequ</w:t>
      </w:r>
      <w:r>
        <w:rPr>
          <w:rFonts w:ascii="Georgia" w:hAnsi="Georgia"/>
          <w:color w:val="333333"/>
          <w:lang w:val="en"/>
        </w:rPr>
        <w:t xml:space="preserve">ence, are the largest contributor to emissions, as represented in Figure D.20. Australia’s per capita light vehicle ownership and use is </w:t>
      </w:r>
      <w:proofErr w:type="spellStart"/>
      <w:r>
        <w:rPr>
          <w:rFonts w:ascii="Georgia" w:hAnsi="Georgia"/>
          <w:color w:val="333333"/>
          <w:lang w:val="en"/>
        </w:rPr>
        <w:t>stabilising</w:t>
      </w:r>
      <w:proofErr w:type="spellEnd"/>
      <w:r>
        <w:rPr>
          <w:rFonts w:ascii="Georgia" w:hAnsi="Georgia"/>
          <w:color w:val="333333"/>
          <w:lang w:val="en"/>
        </w:rPr>
        <w:t xml:space="preserve">, making population growth a dominant driver for future growth in passenger road transport. </w:t>
      </w:r>
    </w:p>
    <w:p w:rsidR="00000000" w:rsidRDefault="004170B4">
      <w:pPr>
        <w:pStyle w:val="NormalWeb"/>
        <w:spacing w:line="300" w:lineRule="atLeast"/>
        <w:rPr>
          <w:rFonts w:ascii="Georgia" w:hAnsi="Georgia"/>
          <w:color w:val="333333"/>
          <w:lang w:val="en"/>
        </w:rPr>
      </w:pPr>
      <w:r>
        <w:rPr>
          <w:rFonts w:ascii="Georgia" w:hAnsi="Georgia"/>
          <w:color w:val="333333"/>
          <w:lang w:val="en"/>
        </w:rPr>
        <w:t>Road freight is</w:t>
      </w:r>
      <w:r>
        <w:rPr>
          <w:rFonts w:ascii="Georgia" w:hAnsi="Georgia"/>
          <w:color w:val="333333"/>
          <w:lang w:val="en"/>
        </w:rPr>
        <w:t xml:space="preserve"> the second-largest contributor to emissions. It includes a diverse range of activities, such as freight hauled between cities by large articulated trucks, transport of goods between retail and distribution </w:t>
      </w:r>
      <w:proofErr w:type="spellStart"/>
      <w:r>
        <w:rPr>
          <w:rFonts w:ascii="Georgia" w:hAnsi="Georgia"/>
          <w:color w:val="333333"/>
          <w:lang w:val="en"/>
        </w:rPr>
        <w:t>centres</w:t>
      </w:r>
      <w:proofErr w:type="spellEnd"/>
      <w:r>
        <w:rPr>
          <w:rFonts w:ascii="Georgia" w:hAnsi="Georgia"/>
          <w:color w:val="333333"/>
          <w:lang w:val="en"/>
        </w:rPr>
        <w:t xml:space="preserve">, and point-to-point courier </w:t>
      </w:r>
      <w:r>
        <w:rPr>
          <w:rFonts w:ascii="Georgia" w:hAnsi="Georgia"/>
          <w:color w:val="333333"/>
          <w:lang w:val="en"/>
        </w:rPr>
        <w:lastRenderedPageBreak/>
        <w:t>movements. Th</w:t>
      </w:r>
      <w:r>
        <w:rPr>
          <w:rFonts w:ascii="Georgia" w:hAnsi="Georgia"/>
          <w:color w:val="333333"/>
          <w:lang w:val="en"/>
        </w:rPr>
        <w:t xml:space="preserve">e road freight task is growing quickly—between 2001 and 2009, it grew by 37 per cent, from 139 billion </w:t>
      </w:r>
      <w:proofErr w:type="spellStart"/>
      <w:r>
        <w:rPr>
          <w:rFonts w:ascii="Georgia" w:hAnsi="Georgia"/>
          <w:color w:val="333333"/>
          <w:lang w:val="en"/>
        </w:rPr>
        <w:t>tonne-kilometres</w:t>
      </w:r>
      <w:proofErr w:type="spellEnd"/>
      <w:r>
        <w:rPr>
          <w:rFonts w:ascii="Georgia" w:hAnsi="Georgia"/>
          <w:color w:val="333333"/>
          <w:lang w:val="en"/>
        </w:rPr>
        <w:t xml:space="preserve"> to 191 billion </w:t>
      </w:r>
      <w:proofErr w:type="spellStart"/>
      <w:r>
        <w:rPr>
          <w:rFonts w:ascii="Georgia" w:hAnsi="Georgia"/>
          <w:color w:val="333333"/>
          <w:lang w:val="en"/>
        </w:rPr>
        <w:t>tonne-kilometres</w:t>
      </w:r>
      <w:proofErr w:type="spellEnd"/>
      <w:r>
        <w:rPr>
          <w:rFonts w:ascii="Georgia" w:hAnsi="Georgia"/>
          <w:color w:val="333333"/>
          <w:lang w:val="en"/>
        </w:rPr>
        <w:t xml:space="preserve"> (BITRE 2012, p. 49), driven by increased wealth and economic activity. </w:t>
      </w:r>
    </w:p>
    <w:p w:rsidR="00000000" w:rsidRDefault="004170B4">
      <w:pPr>
        <w:pStyle w:val="NormalWeb"/>
        <w:spacing w:line="300" w:lineRule="atLeast"/>
        <w:rPr>
          <w:rFonts w:ascii="Georgia" w:hAnsi="Georgia"/>
          <w:color w:val="333333"/>
          <w:lang w:val="en"/>
        </w:rPr>
      </w:pPr>
      <w:r>
        <w:rPr>
          <w:rFonts w:ascii="Georgia" w:hAnsi="Georgia"/>
          <w:color w:val="333333"/>
          <w:lang w:val="en"/>
        </w:rPr>
        <w:t>Domestic aviation activity, domi</w:t>
      </w:r>
      <w:r>
        <w:rPr>
          <w:rFonts w:ascii="Georgia" w:hAnsi="Georgia"/>
          <w:color w:val="333333"/>
          <w:lang w:val="en"/>
        </w:rPr>
        <w:t>nated by passenger transport, increased by 80 per cent between 2001 and 2011 (BITRE 2012, p. 89) and is projected to approximately double from 2011 levels by 2030 (DCCEE 2012, p. 15). This strong growth in domestic aviation has been largely driven by broad</w:t>
      </w:r>
      <w:r>
        <w:rPr>
          <w:rFonts w:ascii="Georgia" w:hAnsi="Georgia"/>
          <w:color w:val="333333"/>
          <w:lang w:val="en"/>
        </w:rPr>
        <w:t>er economic growth and increasing passenger preference for air travel over road or rail. Most classes of air travel have become more affordable—real costs of business, restricted economy and discount airfares have fallen, while real median and average inco</w:t>
      </w:r>
      <w:r>
        <w:rPr>
          <w:rFonts w:ascii="Georgia" w:hAnsi="Georgia"/>
          <w:color w:val="333333"/>
          <w:lang w:val="en"/>
        </w:rPr>
        <w:t>mes have increased (BITRE 2013 and PC 2013, p. 60). Domestic aviation accounts for more than half of non-road transport emissions (8 Mt CO</w:t>
      </w:r>
      <w:r>
        <w:rPr>
          <w:rFonts w:ascii="Georgia" w:hAnsi="Georgia"/>
          <w:color w:val="333333"/>
          <w:sz w:val="18"/>
          <w:szCs w:val="18"/>
          <w:vertAlign w:val="subscript"/>
          <w:lang w:val="en"/>
        </w:rPr>
        <w:t>2</w:t>
      </w:r>
      <w:r>
        <w:rPr>
          <w:rFonts w:ascii="Georgia" w:hAnsi="Georgia"/>
          <w:color w:val="333333"/>
          <w:lang w:val="en"/>
        </w:rPr>
        <w:t>-e) and emissions from rail and domestic shipping each account for about 3 Mt CO</w:t>
      </w:r>
      <w:r>
        <w:rPr>
          <w:rFonts w:ascii="Georgia" w:hAnsi="Georgia"/>
          <w:color w:val="333333"/>
          <w:sz w:val="18"/>
          <w:szCs w:val="18"/>
          <w:vertAlign w:val="subscript"/>
          <w:lang w:val="en"/>
        </w:rPr>
        <w:t>2</w:t>
      </w:r>
      <w:r>
        <w:rPr>
          <w:rFonts w:ascii="Georgia" w:hAnsi="Georgia"/>
          <w:color w:val="333333"/>
          <w:lang w:val="en"/>
        </w:rPr>
        <w:t>-e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In</w:t>
      </w:r>
      <w:r>
        <w:rPr>
          <w:rFonts w:ascii="Georgia" w:hAnsi="Georgia"/>
          <w:color w:val="333333"/>
          <w:lang w:val="en"/>
        </w:rPr>
        <w:t xml:space="preserve"> the Treasury and DIICCSRTE (2013) modelling, price incentives apply to only a minority of transport emissions, including those from heavy on-road vehicles from 2014–15. Incentives for light vehicle emissions reduction are not modelled. Emissions from ligh</w:t>
      </w:r>
      <w:r>
        <w:rPr>
          <w:rFonts w:ascii="Georgia" w:hAnsi="Georgia"/>
          <w:color w:val="333333"/>
          <w:lang w:val="en"/>
        </w:rPr>
        <w:t>t vehicles are, however, influenced by the incentives applied to other subsectors, which may lead to spillovers of technology improvements and use of lower emissions fuels.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largest modelled contributors to emissions reduction in transport relate to veh</w:t>
      </w:r>
      <w:r>
        <w:rPr>
          <w:rFonts w:ascii="Georgia" w:hAnsi="Georgia"/>
          <w:color w:val="333333"/>
          <w:lang w:val="en"/>
        </w:rPr>
        <w:t xml:space="preserve">icle efficiency improvements, vehicle electrification and the uptake of low-emission fuels, including sustainable biofuels, in road passenger and freight. These are reflected in Figure D.19. </w:t>
      </w:r>
    </w:p>
    <w:p w:rsidR="00000000" w:rsidRDefault="004170B4">
      <w:pPr>
        <w:pStyle w:val="NormalWeb"/>
        <w:spacing w:line="300" w:lineRule="atLeast"/>
        <w:rPr>
          <w:rFonts w:ascii="Georgia" w:hAnsi="Georgia"/>
          <w:color w:val="333333"/>
          <w:lang w:val="en"/>
        </w:rPr>
      </w:pPr>
      <w:r>
        <w:rPr>
          <w:rFonts w:ascii="Georgia" w:hAnsi="Georgia"/>
          <w:color w:val="333333"/>
          <w:lang w:val="en"/>
        </w:rPr>
        <w:t>Vehicle emissions intensity, expressed in grams of CO</w:t>
      </w:r>
      <w:r>
        <w:rPr>
          <w:rFonts w:ascii="Georgia" w:hAnsi="Georgia"/>
          <w:color w:val="333333"/>
          <w:sz w:val="18"/>
          <w:szCs w:val="18"/>
          <w:vertAlign w:val="subscript"/>
          <w:lang w:val="en"/>
        </w:rPr>
        <w:t>2</w:t>
      </w:r>
      <w:r>
        <w:rPr>
          <w:rFonts w:ascii="Georgia" w:hAnsi="Georgia"/>
          <w:color w:val="333333"/>
          <w:lang w:val="en"/>
        </w:rPr>
        <w:t xml:space="preserve"> per </w:t>
      </w:r>
      <w:proofErr w:type="spellStart"/>
      <w:r>
        <w:rPr>
          <w:rFonts w:ascii="Georgia" w:hAnsi="Georgia"/>
          <w:color w:val="333333"/>
          <w:lang w:val="en"/>
        </w:rPr>
        <w:t>kilom</w:t>
      </w:r>
      <w:r>
        <w:rPr>
          <w:rFonts w:ascii="Georgia" w:hAnsi="Georgia"/>
          <w:color w:val="333333"/>
          <w:lang w:val="en"/>
        </w:rPr>
        <w:t>etre</w:t>
      </w:r>
      <w:proofErr w:type="spellEnd"/>
      <w:r>
        <w:rPr>
          <w:rFonts w:ascii="Georgia" w:hAnsi="Georgia"/>
          <w:color w:val="333333"/>
          <w:lang w:val="en"/>
        </w:rPr>
        <w:t xml:space="preserve"> (g CO</w:t>
      </w:r>
      <w:r>
        <w:rPr>
          <w:rFonts w:ascii="Georgia" w:hAnsi="Georgia"/>
          <w:color w:val="333333"/>
          <w:sz w:val="18"/>
          <w:szCs w:val="18"/>
          <w:vertAlign w:val="subscript"/>
          <w:lang w:val="en"/>
        </w:rPr>
        <w:t>2</w:t>
      </w:r>
      <w:r>
        <w:rPr>
          <w:rFonts w:ascii="Georgia" w:hAnsi="Georgia"/>
          <w:color w:val="333333"/>
          <w:lang w:val="en"/>
        </w:rPr>
        <w:t>/km), serves as a robust proxy for vehicle efficiency across conventional fuel types. The emissions intensity of new light road vehicles (including light commercial vehicles) sold in Australia has improved by 21 per cent from 252 g CO</w:t>
      </w:r>
      <w:r>
        <w:rPr>
          <w:rFonts w:ascii="Georgia" w:hAnsi="Georgia"/>
          <w:color w:val="333333"/>
          <w:sz w:val="18"/>
          <w:szCs w:val="18"/>
          <w:vertAlign w:val="subscript"/>
          <w:lang w:val="en"/>
        </w:rPr>
        <w:t>2</w:t>
      </w:r>
      <w:r>
        <w:rPr>
          <w:rFonts w:ascii="Georgia" w:hAnsi="Georgia"/>
          <w:color w:val="333333"/>
          <w:lang w:val="en"/>
        </w:rPr>
        <w:t>/km in 2002 to 199 g CO</w:t>
      </w:r>
      <w:r>
        <w:rPr>
          <w:rFonts w:ascii="Georgia" w:hAnsi="Georgia"/>
          <w:color w:val="333333"/>
          <w:sz w:val="18"/>
          <w:szCs w:val="18"/>
          <w:vertAlign w:val="subscript"/>
          <w:lang w:val="en"/>
        </w:rPr>
        <w:t>2</w:t>
      </w:r>
      <w:r>
        <w:rPr>
          <w:rFonts w:ascii="Georgia" w:hAnsi="Georgia"/>
          <w:color w:val="333333"/>
          <w:lang w:val="en"/>
        </w:rPr>
        <w:t>/km in 2012 (NTC 2013, p. 5). This has been driven by technology advances and consumer preferences. Continued improvement is projected to reduce the transport emissions intensity of new vehicles to 2050 in all scenarios.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project</w:t>
      </w:r>
      <w:r>
        <w:rPr>
          <w:rFonts w:ascii="Georgia" w:hAnsi="Georgia"/>
          <w:color w:val="333333"/>
          <w:lang w:val="en"/>
        </w:rPr>
        <w:t>ed uptake of electric road vehicles, already underway but expected primarily after 2020, also contributes to the reduction of transport emissions. The emissions attributable to electric vehicles will depend on the source of the electricity, so net emission</w:t>
      </w:r>
      <w:r>
        <w:rPr>
          <w:rFonts w:ascii="Georgia" w:hAnsi="Georgia"/>
          <w:color w:val="333333"/>
          <w:lang w:val="en"/>
        </w:rPr>
        <w:t>s reduction from vehicle electrification will depend on the emissions intensity of the electricity supply (</w:t>
      </w:r>
      <w:proofErr w:type="spellStart"/>
      <w:r>
        <w:rPr>
          <w:rFonts w:ascii="Georgia" w:hAnsi="Georgia"/>
          <w:color w:val="333333"/>
          <w:lang w:val="en"/>
        </w:rPr>
        <w:t>Garnaut</w:t>
      </w:r>
      <w:proofErr w:type="spellEnd"/>
      <w:r>
        <w:rPr>
          <w:rFonts w:ascii="Georgia" w:hAnsi="Georgia"/>
          <w:color w:val="333333"/>
          <w:lang w:val="en"/>
        </w:rPr>
        <w:t xml:space="preserve"> 2008, p. 519). In 2050, electric road vehicles are projected to deliver a transport sector emissions reduction of between 2 Mt CO</w:t>
      </w:r>
      <w:r>
        <w:rPr>
          <w:rFonts w:ascii="Georgia" w:hAnsi="Georgia"/>
          <w:color w:val="333333"/>
          <w:sz w:val="18"/>
          <w:szCs w:val="18"/>
          <w:vertAlign w:val="subscript"/>
          <w:lang w:val="en"/>
        </w:rPr>
        <w:t>2</w:t>
      </w:r>
      <w:r>
        <w:rPr>
          <w:rFonts w:ascii="Georgia" w:hAnsi="Georgia"/>
          <w:color w:val="333333"/>
          <w:lang w:val="en"/>
        </w:rPr>
        <w:t>-e and 6 Mt</w:t>
      </w:r>
      <w:r>
        <w:rPr>
          <w:rFonts w:ascii="Georgia" w:hAnsi="Georgia"/>
          <w:color w:val="333333"/>
          <w:lang w:val="en"/>
        </w:rPr>
        <w:t> CO</w:t>
      </w:r>
      <w:r>
        <w:rPr>
          <w:rFonts w:ascii="Georgia" w:hAnsi="Georgia"/>
          <w:color w:val="333333"/>
          <w:sz w:val="18"/>
          <w:szCs w:val="18"/>
          <w:vertAlign w:val="subscript"/>
          <w:lang w:val="en"/>
        </w:rPr>
        <w:t>2</w:t>
      </w:r>
      <w:r>
        <w:rPr>
          <w:rFonts w:ascii="Georgia" w:hAnsi="Georgia"/>
          <w:color w:val="333333"/>
          <w:lang w:val="en"/>
        </w:rPr>
        <w:t>-e per annum under the low and high scenarios, respectively, compared to the no price scenario.</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broad adoption of lower emission fuels, notably sustainable biofuels, could reduce transport emissions. Under the low and high scenarios, respectively, </w:t>
      </w:r>
      <w:r>
        <w:rPr>
          <w:rFonts w:ascii="Georgia" w:hAnsi="Georgia"/>
          <w:color w:val="333333"/>
          <w:lang w:val="en"/>
        </w:rPr>
        <w:t xml:space="preserve">biofuels </w:t>
      </w:r>
      <w:r>
        <w:rPr>
          <w:rFonts w:ascii="Georgia" w:hAnsi="Georgia"/>
          <w:color w:val="333333"/>
          <w:lang w:val="en"/>
        </w:rPr>
        <w:lastRenderedPageBreak/>
        <w:t>are projected to provide 10–20 per cent of Australia’s road transport fuel needs by 2030, resulting in an emissions reduction of between 2 and 8 Mt CO</w:t>
      </w:r>
      <w:r>
        <w:rPr>
          <w:rFonts w:ascii="Georgia" w:hAnsi="Georgia"/>
          <w:color w:val="333333"/>
          <w:sz w:val="18"/>
          <w:szCs w:val="18"/>
          <w:vertAlign w:val="subscript"/>
          <w:lang w:val="en"/>
        </w:rPr>
        <w:t>2</w:t>
      </w:r>
      <w:r>
        <w:rPr>
          <w:rFonts w:ascii="Georgia" w:hAnsi="Georgia"/>
          <w:color w:val="333333"/>
          <w:lang w:val="en"/>
        </w:rPr>
        <w:t>-e per annum over 2000 levels, compared to the no price scenario.</w:t>
      </w:r>
    </w:p>
    <w:p w:rsidR="00000000" w:rsidRDefault="004170B4">
      <w:pPr>
        <w:pStyle w:val="Heading3"/>
        <w:rPr>
          <w:rFonts w:eastAsia="Times New Roman"/>
          <w:color w:val="333333"/>
          <w:lang w:val="en"/>
        </w:rPr>
      </w:pPr>
      <w:r>
        <w:rPr>
          <w:rFonts w:eastAsia="Times New Roman"/>
          <w:color w:val="333333"/>
          <w:lang w:val="en"/>
        </w:rPr>
        <w:t>D4.3 Progress in transport emi</w:t>
      </w:r>
      <w:r>
        <w:rPr>
          <w:rFonts w:eastAsia="Times New Roman"/>
          <w:color w:val="333333"/>
          <w:lang w:val="en"/>
        </w:rPr>
        <w:t>ssions reduction</w:t>
      </w:r>
    </w:p>
    <w:p w:rsidR="00000000" w:rsidRDefault="004170B4">
      <w:pPr>
        <w:pStyle w:val="NormalWeb"/>
        <w:spacing w:line="300" w:lineRule="atLeast"/>
        <w:rPr>
          <w:rFonts w:ascii="Georgia" w:hAnsi="Georgia"/>
          <w:color w:val="333333"/>
          <w:lang w:val="en"/>
        </w:rPr>
      </w:pPr>
      <w:r>
        <w:rPr>
          <w:rFonts w:ascii="Georgia" w:hAnsi="Georgia"/>
          <w:color w:val="333333"/>
          <w:lang w:val="en"/>
        </w:rPr>
        <w:t>Broadly, transport emissions can be reduced in three ways:</w:t>
      </w:r>
    </w:p>
    <w:p w:rsidR="00000000" w:rsidRDefault="004170B4" w:rsidP="004170B4">
      <w:pPr>
        <w:numPr>
          <w:ilvl w:val="0"/>
          <w:numId w:val="2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increasing the efficiency of vehicles, through engine and vehicle technology improvements and take-up of alternative drivetrains in the case of road vehicles</w:t>
      </w:r>
    </w:p>
    <w:p w:rsidR="00000000" w:rsidRDefault="004170B4" w:rsidP="004170B4">
      <w:pPr>
        <w:numPr>
          <w:ilvl w:val="0"/>
          <w:numId w:val="2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reducing emissions int</w:t>
      </w:r>
      <w:r>
        <w:rPr>
          <w:rFonts w:ascii="Georgia" w:eastAsia="Times New Roman" w:hAnsi="Georgia"/>
          <w:color w:val="333333"/>
          <w:lang w:val="en"/>
        </w:rPr>
        <w:t>ensity of fuels, through low-emissions alternatives to conventional fuels such as sustainable biofuels and natural gas</w:t>
      </w:r>
    </w:p>
    <w:p w:rsidR="00000000" w:rsidRDefault="004170B4" w:rsidP="004170B4">
      <w:pPr>
        <w:numPr>
          <w:ilvl w:val="0"/>
          <w:numId w:val="24"/>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making demand management more efficient through mode shift—from road freight to rail or shipping, and from private vehicles to public and</w:t>
      </w:r>
      <w:r>
        <w:rPr>
          <w:rFonts w:ascii="Georgia" w:eastAsia="Times New Roman" w:hAnsi="Georgia"/>
          <w:color w:val="333333"/>
          <w:lang w:val="en"/>
        </w:rPr>
        <w:t xml:space="preserve"> active transport—as well as improved urban planning, transport infrastructure, traffic management and intelligent transport systems.</w:t>
      </w:r>
    </w:p>
    <w:p w:rsidR="00000000" w:rsidRDefault="004170B4">
      <w:pPr>
        <w:pStyle w:val="Heading4"/>
        <w:rPr>
          <w:rFonts w:eastAsia="Times New Roman"/>
          <w:color w:val="333333"/>
          <w:lang w:val="en"/>
        </w:rPr>
      </w:pPr>
      <w:r>
        <w:rPr>
          <w:rFonts w:eastAsia="Times New Roman"/>
          <w:color w:val="333333"/>
          <w:lang w:val="en"/>
        </w:rPr>
        <w:t xml:space="preserve">D4.3.1 </w:t>
      </w:r>
      <w:proofErr w:type="gramStart"/>
      <w:r>
        <w:rPr>
          <w:rFonts w:eastAsia="Times New Roman"/>
          <w:color w:val="333333"/>
          <w:lang w:val="en"/>
        </w:rPr>
        <w:t>Increasing</w:t>
      </w:r>
      <w:proofErr w:type="gramEnd"/>
      <w:r>
        <w:rPr>
          <w:rFonts w:eastAsia="Times New Roman"/>
          <w:color w:val="333333"/>
          <w:lang w:val="en"/>
        </w:rPr>
        <w:t xml:space="preserve"> the efficiency of vehicles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CSIRO modelling suggests light vehicle efficiency improvements could offe</w:t>
      </w:r>
      <w:r>
        <w:rPr>
          <w:rFonts w:ascii="Georgia" w:hAnsi="Georgia"/>
          <w:color w:val="333333"/>
          <w:lang w:val="en"/>
        </w:rPr>
        <w:t>r approximately 18–19 Mt CO</w:t>
      </w:r>
      <w:r>
        <w:rPr>
          <w:rFonts w:ascii="Georgia" w:hAnsi="Georgia"/>
          <w:color w:val="333333"/>
          <w:sz w:val="18"/>
          <w:szCs w:val="18"/>
          <w:vertAlign w:val="subscript"/>
          <w:lang w:val="en"/>
        </w:rPr>
        <w:t>2</w:t>
      </w:r>
      <w:r>
        <w:rPr>
          <w:rFonts w:ascii="Georgia" w:hAnsi="Georgia"/>
          <w:color w:val="333333"/>
          <w:lang w:val="en"/>
        </w:rPr>
        <w:t>-e of emissions reductions per year by 2050 (Graham et al. 2012b, pp. 40–2). Light vehicle efficiency improvements are expected under a BAU setting, as consumer preferences are influenced by factors such as fuel prices. Improvem</w:t>
      </w:r>
      <w:r>
        <w:rPr>
          <w:rFonts w:ascii="Georgia" w:hAnsi="Georgia"/>
          <w:color w:val="333333"/>
          <w:lang w:val="en"/>
        </w:rPr>
        <w:t>ents can also be significantly increased by regulations on vehicle carbon dioxide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fewer opportunities to reduce heavy vehicle emissions. Projections suggest that, compared to current practice, there is potential to reduce emissions thr</w:t>
      </w:r>
      <w:r>
        <w:rPr>
          <w:rFonts w:ascii="Georgia" w:hAnsi="Georgia"/>
          <w:color w:val="333333"/>
          <w:lang w:val="en"/>
        </w:rPr>
        <w:t>ough efficiency gains by up to 5 Mt CO</w:t>
      </w:r>
      <w:r>
        <w:rPr>
          <w:rFonts w:ascii="Georgia" w:hAnsi="Georgia"/>
          <w:color w:val="333333"/>
          <w:sz w:val="18"/>
          <w:szCs w:val="18"/>
          <w:vertAlign w:val="subscript"/>
          <w:lang w:val="en"/>
        </w:rPr>
        <w:t>2</w:t>
      </w:r>
      <w:r>
        <w:rPr>
          <w:rFonts w:ascii="Georgia" w:hAnsi="Georgia"/>
          <w:color w:val="333333"/>
          <w:lang w:val="en"/>
        </w:rPr>
        <w:t xml:space="preserve">-e per year by 2050 (Graham et al. 2012b, p. 45). Adoption of low-rolling resistance </w:t>
      </w:r>
      <w:proofErr w:type="spellStart"/>
      <w:r>
        <w:rPr>
          <w:rFonts w:ascii="Georgia" w:hAnsi="Georgia"/>
          <w:color w:val="333333"/>
          <w:lang w:val="en"/>
        </w:rPr>
        <w:t>tyres</w:t>
      </w:r>
      <w:proofErr w:type="spellEnd"/>
      <w:r>
        <w:rPr>
          <w:rFonts w:ascii="Georgia" w:hAnsi="Georgia"/>
          <w:color w:val="333333"/>
          <w:lang w:val="en"/>
        </w:rPr>
        <w:t xml:space="preserve"> and regenerative braking systems may offer another 2 Mt CO</w:t>
      </w:r>
      <w:r>
        <w:rPr>
          <w:rFonts w:ascii="Georgia" w:hAnsi="Georgia"/>
          <w:color w:val="333333"/>
          <w:sz w:val="18"/>
          <w:szCs w:val="18"/>
          <w:vertAlign w:val="subscript"/>
          <w:lang w:val="en"/>
        </w:rPr>
        <w:t>2</w:t>
      </w:r>
      <w:r>
        <w:rPr>
          <w:rFonts w:ascii="Georgia" w:hAnsi="Georgia"/>
          <w:color w:val="333333"/>
          <w:lang w:val="en"/>
        </w:rPr>
        <w:t xml:space="preserve">-e of cost-effective emissions reductions per year by 2050 (Graham </w:t>
      </w:r>
      <w:r>
        <w:rPr>
          <w:rFonts w:ascii="Georgia" w:hAnsi="Georgia"/>
          <w:color w:val="333333"/>
          <w:lang w:val="en"/>
        </w:rPr>
        <w:t>et al. 2012b, p. 46).</w:t>
      </w:r>
    </w:p>
    <w:p w:rsidR="00000000" w:rsidRDefault="004170B4">
      <w:pPr>
        <w:pStyle w:val="NormalWeb"/>
        <w:spacing w:line="300" w:lineRule="atLeast"/>
        <w:rPr>
          <w:rFonts w:ascii="Georgia" w:hAnsi="Georgia"/>
          <w:color w:val="333333"/>
          <w:lang w:val="en"/>
        </w:rPr>
      </w:pPr>
      <w:r>
        <w:rPr>
          <w:rFonts w:ascii="Georgia" w:hAnsi="Georgia"/>
          <w:color w:val="333333"/>
          <w:lang w:val="en"/>
        </w:rPr>
        <w:t>Given the long lifetimes of ships, locomotives and aircraft, there are also fewer opportunities to improve energy efficiency through stock turnover of these vehicles. The largest emissions reduction opportunities for non-road vehicles</w:t>
      </w:r>
      <w:r>
        <w:rPr>
          <w:rFonts w:ascii="Georgia" w:hAnsi="Georgia"/>
          <w:color w:val="333333"/>
          <w:lang w:val="en"/>
        </w:rPr>
        <w:t>, compared to current practice, are through technology advances such as engine efficiency and vessel weight, which could reduce transport emissions by about 7 Mt CO</w:t>
      </w:r>
      <w:r>
        <w:rPr>
          <w:rFonts w:ascii="Georgia" w:hAnsi="Georgia"/>
          <w:color w:val="333333"/>
          <w:sz w:val="18"/>
          <w:szCs w:val="18"/>
          <w:vertAlign w:val="subscript"/>
          <w:lang w:val="en"/>
        </w:rPr>
        <w:t>2</w:t>
      </w:r>
      <w:r>
        <w:rPr>
          <w:rFonts w:ascii="Georgia" w:hAnsi="Georgia"/>
          <w:color w:val="333333"/>
          <w:lang w:val="en"/>
        </w:rPr>
        <w:t>-e per year by 2050 (Graham et al. 2012b, pp. 49, 52 and 54).</w:t>
      </w:r>
    </w:p>
    <w:p w:rsidR="00000000" w:rsidRDefault="004170B4">
      <w:pPr>
        <w:pStyle w:val="NormalWeb"/>
        <w:spacing w:line="300" w:lineRule="atLeast"/>
        <w:rPr>
          <w:rFonts w:ascii="Georgia" w:hAnsi="Georgia"/>
          <w:color w:val="333333"/>
          <w:lang w:val="en"/>
        </w:rPr>
      </w:pPr>
      <w:r>
        <w:rPr>
          <w:rFonts w:ascii="Georgia" w:hAnsi="Georgia"/>
          <w:color w:val="333333"/>
          <w:lang w:val="en"/>
        </w:rPr>
        <w:t>By way of comparison, domesti</w:t>
      </w:r>
      <w:r>
        <w:rPr>
          <w:rFonts w:ascii="Georgia" w:hAnsi="Georgia"/>
          <w:color w:val="333333"/>
          <w:lang w:val="en"/>
        </w:rPr>
        <w:t>c aviation and shipping emissions were about 8 Mt CO</w:t>
      </w:r>
      <w:r>
        <w:rPr>
          <w:rFonts w:ascii="Georgia" w:hAnsi="Georgia"/>
          <w:color w:val="333333"/>
          <w:sz w:val="18"/>
          <w:szCs w:val="18"/>
          <w:vertAlign w:val="subscript"/>
          <w:lang w:val="en"/>
        </w:rPr>
        <w:t>2</w:t>
      </w:r>
      <w:r>
        <w:rPr>
          <w:rFonts w:ascii="Georgia" w:hAnsi="Georgia"/>
          <w:color w:val="333333"/>
          <w:lang w:val="en"/>
        </w:rPr>
        <w:t>-e and 3 Mt CO</w:t>
      </w:r>
      <w:r>
        <w:rPr>
          <w:rFonts w:ascii="Georgia" w:hAnsi="Georgia"/>
          <w:color w:val="333333"/>
          <w:sz w:val="18"/>
          <w:szCs w:val="18"/>
          <w:vertAlign w:val="subscript"/>
          <w:lang w:val="en"/>
        </w:rPr>
        <w:t>2</w:t>
      </w:r>
      <w:r>
        <w:rPr>
          <w:rFonts w:ascii="Georgia" w:hAnsi="Georgia"/>
          <w:color w:val="333333"/>
          <w:lang w:val="en"/>
        </w:rPr>
        <w:t>-e, respectively, in 2012.</w:t>
      </w:r>
    </w:p>
    <w:p w:rsidR="00000000" w:rsidRDefault="004170B4">
      <w:pPr>
        <w:pStyle w:val="Heading5"/>
        <w:rPr>
          <w:rFonts w:eastAsia="Times New Roman"/>
          <w:color w:val="333333"/>
          <w:lang w:val="en"/>
        </w:rPr>
      </w:pPr>
      <w:r>
        <w:rPr>
          <w:rFonts w:eastAsia="Times New Roman"/>
          <w:color w:val="333333"/>
          <w:lang w:val="en"/>
        </w:rPr>
        <w:t>Vehicle electrification</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Road vehicle electrification, combined with a </w:t>
      </w:r>
      <w:proofErr w:type="spellStart"/>
      <w:r>
        <w:rPr>
          <w:rFonts w:ascii="Georgia" w:hAnsi="Georgia"/>
          <w:color w:val="333333"/>
          <w:lang w:val="en"/>
        </w:rPr>
        <w:t>decarbonised</w:t>
      </w:r>
      <w:proofErr w:type="spellEnd"/>
      <w:r>
        <w:rPr>
          <w:rFonts w:ascii="Georgia" w:hAnsi="Georgia"/>
          <w:color w:val="333333"/>
          <w:lang w:val="en"/>
        </w:rPr>
        <w:t xml:space="preserve"> electricity sector, offers substantial emissions reduction potential. Vehicles</w:t>
      </w:r>
      <w:r>
        <w:rPr>
          <w:rFonts w:ascii="Georgia" w:hAnsi="Georgia"/>
          <w:color w:val="333333"/>
          <w:lang w:val="en"/>
        </w:rPr>
        <w:t xml:space="preserve"> need not be fully electric—there are various degrees of electrification, such as stand-alone hybrid electric vehicles (HEVs) and plug-in hybrid electric vehicles (PHEVs).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emissions of purely electric vehicles (EVs) and PHEVs—when operating in full ele</w:t>
      </w:r>
      <w:r>
        <w:rPr>
          <w:rFonts w:ascii="Georgia" w:hAnsi="Georgia"/>
          <w:color w:val="333333"/>
          <w:lang w:val="en"/>
        </w:rPr>
        <w:t>ctric mode—are represented in the electricity sector rather than transport. Their fuel cycle emissions intensity compared to internal combustion engine vehicles (ICEVs) and HEVs depends on the emissions intensity of the electricity grid and relative vehicl</w:t>
      </w:r>
      <w:r>
        <w:rPr>
          <w:rFonts w:ascii="Georgia" w:hAnsi="Georgia"/>
          <w:color w:val="333333"/>
          <w:lang w:val="en"/>
        </w:rPr>
        <w:t>e efficiencies. Typical mass-produced EVs are more than twice as energy efficient as ICEVs.</w:t>
      </w:r>
    </w:p>
    <w:p w:rsidR="00000000" w:rsidRDefault="004170B4">
      <w:pPr>
        <w:pStyle w:val="NormalWeb"/>
        <w:spacing w:line="300" w:lineRule="atLeast"/>
        <w:rPr>
          <w:rFonts w:ascii="Georgia" w:hAnsi="Georgia"/>
          <w:color w:val="333333"/>
          <w:lang w:val="en"/>
        </w:rPr>
      </w:pPr>
      <w:r>
        <w:rPr>
          <w:rFonts w:ascii="Georgia" w:hAnsi="Georgia"/>
          <w:color w:val="333333"/>
          <w:lang w:val="en"/>
        </w:rPr>
        <w:t>With a low-emissions electricity supply, the electrification of light and heavy vehicles could offer emissions reductions of between 23 and 25 Mt CO</w:t>
      </w:r>
      <w:r>
        <w:rPr>
          <w:rFonts w:ascii="Georgia" w:hAnsi="Georgia"/>
          <w:color w:val="333333"/>
          <w:sz w:val="18"/>
          <w:szCs w:val="18"/>
          <w:vertAlign w:val="subscript"/>
          <w:lang w:val="en"/>
        </w:rPr>
        <w:t>2</w:t>
      </w:r>
      <w:r>
        <w:rPr>
          <w:rFonts w:ascii="Georgia" w:hAnsi="Georgia"/>
          <w:color w:val="333333"/>
          <w:lang w:val="en"/>
        </w:rPr>
        <w:t>-e in 2050 (Gra</w:t>
      </w:r>
      <w:r>
        <w:rPr>
          <w:rFonts w:ascii="Georgia" w:hAnsi="Georgia"/>
          <w:color w:val="333333"/>
          <w:lang w:val="en"/>
        </w:rPr>
        <w:t>ham et al. 2012b, pp. 40, 47). One of the current barriers to the take-up of EVs is their high up-front cost compared with ICEVs and HEVs (although operating costs are much lower). Given assumed technology improvements and cost reductions, the cost of owni</w:t>
      </w:r>
      <w:r>
        <w:rPr>
          <w:rFonts w:ascii="Georgia" w:hAnsi="Georgia"/>
          <w:color w:val="333333"/>
          <w:lang w:val="en"/>
        </w:rPr>
        <w:t>ng an EV could reach parity with an ICEV by the late 2020s (Graham et al. 2012a, p. 25).</w:t>
      </w:r>
    </w:p>
    <w:p w:rsidR="00000000" w:rsidRDefault="004170B4">
      <w:pPr>
        <w:pStyle w:val="Heading5"/>
        <w:rPr>
          <w:rFonts w:eastAsia="Times New Roman"/>
          <w:color w:val="333333"/>
          <w:lang w:val="en"/>
        </w:rPr>
      </w:pPr>
      <w:r>
        <w:rPr>
          <w:rFonts w:eastAsia="Times New Roman"/>
          <w:color w:val="333333"/>
          <w:lang w:val="en"/>
        </w:rPr>
        <w:t>Fleet-average emissions standards for light vehicles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Despite recent improvements, Australia has </w:t>
      </w:r>
      <w:r>
        <w:rPr>
          <w:rFonts w:ascii="Georgia" w:hAnsi="Georgia"/>
          <w:color w:val="333333"/>
          <w:lang w:val="en"/>
        </w:rPr>
        <w:t>not made the same gains as other auto markets in light vehicle fuel efficiency and CO</w:t>
      </w:r>
      <w:r>
        <w:rPr>
          <w:rFonts w:ascii="Georgia" w:hAnsi="Georgia"/>
          <w:color w:val="333333"/>
          <w:sz w:val="18"/>
          <w:szCs w:val="18"/>
          <w:vertAlign w:val="subscript"/>
          <w:lang w:val="en"/>
        </w:rPr>
        <w:t>2</w:t>
      </w:r>
      <w:r>
        <w:rPr>
          <w:rFonts w:ascii="Georgia" w:hAnsi="Georgia"/>
          <w:color w:val="333333"/>
          <w:lang w:val="en"/>
        </w:rPr>
        <w:t xml:space="preserve"> emissions. At 190 g CO</w:t>
      </w:r>
      <w:r>
        <w:rPr>
          <w:rFonts w:ascii="Georgia" w:hAnsi="Georgia"/>
          <w:color w:val="333333"/>
          <w:sz w:val="18"/>
          <w:szCs w:val="18"/>
          <w:vertAlign w:val="subscript"/>
          <w:lang w:val="en"/>
        </w:rPr>
        <w:t>2</w:t>
      </w:r>
      <w:r>
        <w:rPr>
          <w:rFonts w:ascii="Georgia" w:hAnsi="Georgia"/>
          <w:color w:val="333333"/>
          <w:lang w:val="en"/>
        </w:rPr>
        <w:t xml:space="preserve">/km, on average, light passenger vehicles sold in Australia in 2012 were 44 per cent more emissions-intensive than those sold in the same year in </w:t>
      </w:r>
      <w:r>
        <w:rPr>
          <w:rFonts w:ascii="Georgia" w:hAnsi="Georgia"/>
          <w:color w:val="333333"/>
          <w:lang w:val="en"/>
        </w:rPr>
        <w:t>the EU, which averaged 132 g CO</w:t>
      </w:r>
      <w:r>
        <w:rPr>
          <w:rFonts w:ascii="Georgia" w:hAnsi="Georgia"/>
          <w:color w:val="333333"/>
          <w:sz w:val="18"/>
          <w:szCs w:val="18"/>
          <w:vertAlign w:val="subscript"/>
          <w:lang w:val="en"/>
        </w:rPr>
        <w:t>2</w:t>
      </w:r>
      <w:r>
        <w:rPr>
          <w:rFonts w:ascii="Georgia" w:hAnsi="Georgia"/>
          <w:color w:val="333333"/>
          <w:lang w:val="en"/>
        </w:rPr>
        <w:t xml:space="preserve">/km (NTC 2013, p. 24; European Environment Agency 2013, p. 3). </w:t>
      </w:r>
    </w:p>
    <w:p w:rsidR="00000000" w:rsidRDefault="004170B4">
      <w:pPr>
        <w:pStyle w:val="NormalWeb"/>
        <w:spacing w:line="300" w:lineRule="atLeast"/>
        <w:rPr>
          <w:rFonts w:ascii="Georgia" w:hAnsi="Georgia"/>
          <w:color w:val="333333"/>
          <w:lang w:val="en"/>
        </w:rPr>
      </w:pPr>
      <w:r>
        <w:rPr>
          <w:rFonts w:ascii="Georgia" w:hAnsi="Georgia"/>
          <w:color w:val="333333"/>
          <w:lang w:val="en"/>
        </w:rPr>
        <w:t>Adoption of standards on vehicle fuel efficiency and CO</w:t>
      </w:r>
      <w:r>
        <w:rPr>
          <w:rFonts w:ascii="Georgia" w:hAnsi="Georgia"/>
          <w:color w:val="333333"/>
          <w:sz w:val="18"/>
          <w:szCs w:val="18"/>
          <w:vertAlign w:val="subscript"/>
          <w:lang w:val="en"/>
        </w:rPr>
        <w:t>2</w:t>
      </w:r>
      <w:r>
        <w:rPr>
          <w:rFonts w:ascii="Georgia" w:hAnsi="Georgia"/>
          <w:color w:val="333333"/>
          <w:lang w:val="en"/>
        </w:rPr>
        <w:t xml:space="preserve"> emissions has led to improvements in vehicle efficiency worldwide. Regulations and targets intended to </w:t>
      </w:r>
      <w:r>
        <w:rPr>
          <w:rFonts w:ascii="Georgia" w:hAnsi="Georgia"/>
          <w:color w:val="333333"/>
          <w:lang w:val="en"/>
        </w:rPr>
        <w:t>significantly improve on BAU outcomes are in place or being established in major markets such as the EU, the US, Canada, China, Japan and South Korea. About three-quarters of light passenger vehicles sold in the world today are subject to regulated CO</w:t>
      </w:r>
      <w:r>
        <w:rPr>
          <w:rFonts w:ascii="Georgia" w:hAnsi="Georgia"/>
          <w:color w:val="333333"/>
          <w:sz w:val="18"/>
          <w:szCs w:val="18"/>
          <w:vertAlign w:val="subscript"/>
          <w:lang w:val="en"/>
        </w:rPr>
        <w:t>2</w:t>
      </w:r>
      <w:r>
        <w:rPr>
          <w:rFonts w:ascii="Georgia" w:hAnsi="Georgia"/>
          <w:color w:val="333333"/>
          <w:lang w:val="en"/>
        </w:rPr>
        <w:t xml:space="preserve"> emi</w:t>
      </w:r>
      <w:r>
        <w:rPr>
          <w:rFonts w:ascii="Georgia" w:hAnsi="Georgia"/>
          <w:color w:val="333333"/>
          <w:lang w:val="en"/>
        </w:rPr>
        <w:t>ssions standards or, equivalently, fuel economy standards (see Figure 11.10 in Chapter 11).</w:t>
      </w:r>
    </w:p>
    <w:p w:rsidR="00000000" w:rsidRDefault="004170B4">
      <w:pPr>
        <w:pStyle w:val="NormalWeb"/>
        <w:spacing w:line="300" w:lineRule="atLeast"/>
        <w:rPr>
          <w:rFonts w:ascii="Georgia" w:hAnsi="Georgia"/>
          <w:color w:val="333333"/>
          <w:lang w:val="en"/>
        </w:rPr>
      </w:pPr>
      <w:r>
        <w:rPr>
          <w:rFonts w:ascii="Georgia" w:hAnsi="Georgia"/>
          <w:color w:val="333333"/>
          <w:lang w:val="en"/>
        </w:rPr>
        <w:t>The EU has several policies to reduce CO</w:t>
      </w:r>
      <w:r>
        <w:rPr>
          <w:rFonts w:ascii="Georgia" w:hAnsi="Georgia"/>
          <w:color w:val="333333"/>
          <w:sz w:val="18"/>
          <w:szCs w:val="18"/>
          <w:vertAlign w:val="subscript"/>
          <w:lang w:val="en"/>
        </w:rPr>
        <w:t>2</w:t>
      </w:r>
      <w:r>
        <w:rPr>
          <w:rFonts w:ascii="Georgia" w:hAnsi="Georgia"/>
          <w:color w:val="333333"/>
          <w:lang w:val="en"/>
        </w:rPr>
        <w:t xml:space="preserve"> emissions from new vehicles, including a fleet-average target of 95 g CO</w:t>
      </w:r>
      <w:r>
        <w:rPr>
          <w:rFonts w:ascii="Georgia" w:hAnsi="Georgia"/>
          <w:color w:val="333333"/>
          <w:sz w:val="18"/>
          <w:szCs w:val="18"/>
          <w:vertAlign w:val="subscript"/>
          <w:lang w:val="en"/>
        </w:rPr>
        <w:t>2</w:t>
      </w:r>
      <w:r>
        <w:rPr>
          <w:rFonts w:ascii="Georgia" w:hAnsi="Georgia"/>
          <w:color w:val="333333"/>
          <w:lang w:val="en"/>
        </w:rPr>
        <w:t>/km for new light passenger vehicles by 2020, and</w:t>
      </w:r>
      <w:r>
        <w:rPr>
          <w:rFonts w:ascii="Georgia" w:hAnsi="Georgia"/>
          <w:color w:val="333333"/>
          <w:lang w:val="en"/>
        </w:rPr>
        <w:t xml:space="preserve"> is considering a target of 73 g CO</w:t>
      </w:r>
      <w:r>
        <w:rPr>
          <w:rFonts w:ascii="Georgia" w:hAnsi="Georgia"/>
          <w:color w:val="333333"/>
          <w:sz w:val="18"/>
          <w:szCs w:val="18"/>
          <w:vertAlign w:val="subscript"/>
          <w:lang w:val="en"/>
        </w:rPr>
        <w:t>2</w:t>
      </w:r>
      <w:r>
        <w:rPr>
          <w:rFonts w:ascii="Georgia" w:hAnsi="Georgia"/>
          <w:color w:val="333333"/>
          <w:lang w:val="en"/>
        </w:rPr>
        <w:t>/km by 2025 (European Commission 2013). The implied reduction rates under these targets are about 4 per cent per year between now and 2020, and about 5 per cent per year between 2020 and 2025.</w:t>
      </w:r>
    </w:p>
    <w:p w:rsidR="00000000" w:rsidRDefault="004170B4">
      <w:pPr>
        <w:pStyle w:val="NormalWeb"/>
        <w:spacing w:line="300" w:lineRule="atLeast"/>
        <w:rPr>
          <w:rFonts w:ascii="Georgia" w:hAnsi="Georgia"/>
          <w:color w:val="333333"/>
          <w:lang w:val="en"/>
        </w:rPr>
      </w:pPr>
      <w:r>
        <w:rPr>
          <w:rFonts w:ascii="Georgia" w:hAnsi="Georgia"/>
          <w:color w:val="333333"/>
          <w:lang w:val="en"/>
        </w:rPr>
        <w:t>The US has implemented stan</w:t>
      </w:r>
      <w:r>
        <w:rPr>
          <w:rFonts w:ascii="Georgia" w:hAnsi="Georgia"/>
          <w:color w:val="333333"/>
          <w:lang w:val="en"/>
        </w:rPr>
        <w:t>dards targeting the fuel economy of light vehicles, with equivalen</w:t>
      </w:r>
      <w:r>
        <w:rPr>
          <w:rFonts w:ascii="Georgia" w:hAnsi="Georgia"/>
          <w:color w:val="333333"/>
          <w:lang w:val="en"/>
        </w:rPr>
        <w:t>t</w:t>
      </w:r>
      <w:hyperlink w:anchor="footnote-179189-3" w:history="1">
        <w:r>
          <w:rPr>
            <w:rStyle w:val="Hyperlink"/>
            <w:rFonts w:ascii="Georgia" w:hAnsi="Georgia"/>
            <w:sz w:val="18"/>
            <w:szCs w:val="18"/>
            <w:vertAlign w:val="superscript"/>
            <w:lang w:val="en"/>
          </w:rPr>
          <w:t>3</w:t>
        </w:r>
      </w:hyperlink>
      <w:r>
        <w:rPr>
          <w:rFonts w:ascii="Georgia" w:hAnsi="Georgia"/>
          <w:color w:val="333333"/>
          <w:lang w:val="en"/>
        </w:rPr>
        <w:t xml:space="preserve"> average CO</w:t>
      </w:r>
      <w:r>
        <w:rPr>
          <w:rFonts w:ascii="Georgia" w:hAnsi="Georgia"/>
          <w:color w:val="333333"/>
          <w:sz w:val="18"/>
          <w:szCs w:val="18"/>
          <w:vertAlign w:val="subscript"/>
          <w:lang w:val="en"/>
        </w:rPr>
        <w:t>2</w:t>
      </w:r>
      <w:r>
        <w:rPr>
          <w:rFonts w:ascii="Georgia" w:hAnsi="Georgia"/>
          <w:color w:val="333333"/>
          <w:lang w:val="en"/>
        </w:rPr>
        <w:t xml:space="preserve"> intensity targets of 139 g CO</w:t>
      </w:r>
      <w:r>
        <w:rPr>
          <w:rFonts w:ascii="Georgia" w:hAnsi="Georgia"/>
          <w:color w:val="333333"/>
          <w:sz w:val="18"/>
          <w:szCs w:val="18"/>
          <w:vertAlign w:val="subscript"/>
          <w:lang w:val="en"/>
        </w:rPr>
        <w:t>2</w:t>
      </w:r>
      <w:r>
        <w:rPr>
          <w:rFonts w:ascii="Georgia" w:hAnsi="Georgia"/>
          <w:color w:val="333333"/>
          <w:lang w:val="en"/>
        </w:rPr>
        <w:t>/km by 2020 and 109 g CO</w:t>
      </w:r>
      <w:r>
        <w:rPr>
          <w:rFonts w:ascii="Georgia" w:hAnsi="Georgia"/>
          <w:color w:val="333333"/>
          <w:sz w:val="18"/>
          <w:szCs w:val="18"/>
          <w:vertAlign w:val="subscript"/>
          <w:lang w:val="en"/>
        </w:rPr>
        <w:t>2</w:t>
      </w:r>
      <w:r>
        <w:rPr>
          <w:rFonts w:ascii="Georgia" w:hAnsi="Georgia"/>
          <w:color w:val="333333"/>
          <w:lang w:val="en"/>
        </w:rPr>
        <w:t xml:space="preserve">/km by 2025. The implied reduction rates </w:t>
      </w:r>
      <w:r>
        <w:rPr>
          <w:rFonts w:ascii="Georgia" w:hAnsi="Georgia"/>
          <w:color w:val="333333"/>
          <w:lang w:val="en"/>
        </w:rPr>
        <w:t>under these targets are about 5 per cent per year between now and 2025.</w:t>
      </w:r>
    </w:p>
    <w:p w:rsidR="00000000" w:rsidRDefault="004170B4">
      <w:pPr>
        <w:pStyle w:val="Heading2"/>
        <w:rPr>
          <w:rFonts w:eastAsia="Times New Roman"/>
          <w:color w:val="333333"/>
          <w:lang w:val="en"/>
        </w:rPr>
      </w:pPr>
      <w:r>
        <w:rPr>
          <w:rFonts w:eastAsia="Times New Roman"/>
          <w:color w:val="333333"/>
          <w:lang w:val="en"/>
        </w:rPr>
        <w:lastRenderedPageBreak/>
        <w:t>Figure D.20: Comparison of passenger vehicle CO</w:t>
      </w:r>
      <w:r>
        <w:rPr>
          <w:rFonts w:eastAsia="Times New Roman"/>
          <w:color w:val="333333"/>
          <w:sz w:val="23"/>
          <w:szCs w:val="23"/>
          <w:vertAlign w:val="subscript"/>
          <w:lang w:val="en"/>
        </w:rPr>
        <w:t>2</w:t>
      </w:r>
      <w:r>
        <w:rPr>
          <w:rFonts w:eastAsia="Times New Roman"/>
          <w:color w:val="333333"/>
          <w:lang w:val="en"/>
        </w:rPr>
        <w:t xml:space="preserve"> emission rate projections, 2000–2025</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3426460"/>
            <wp:effectExtent l="0" t="0" r="0" b="0"/>
            <wp:docPr id="20" name="Picture 20" descr="Figure D.20 shows a historical and projected comparison of light vehicle CO2 emission rates between 2000 and 2025. &#10;Based on historical improvement rates, Australia’s light vehicle CO2 emissions in 2020 are projected to be 153 grams of carbon dioxide equivalent per kilometre travelled, the highest of the countries referenced. The lowest is the EU at 95 grams of carbon dioxide equivalent per kilometre travel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D.20 shows a historical and projected comparison of light vehicle CO2 emission rates between 2000 and 2025. &#10;Based on historical improvement rates, Australia’s light vehicle CO2 emissions in 2020 are projected to be 153 grams of carbon dioxide equivalent per kilometre travelled, the highest of the countries referenced. The lowest is the EU at 95 grams of carbon dioxide equivalent per kilometre travelled.&#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6770" cy="342646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Adapted from IC</w:t>
      </w:r>
      <w:r>
        <w:rPr>
          <w:rFonts w:ascii="Georgia" w:hAnsi="Georgia"/>
          <w:color w:val="333333"/>
          <w:lang w:val="en"/>
        </w:rPr>
        <w:t>CT 2013 and NTC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 has previously considered adopting fleet-average CO</w:t>
      </w:r>
      <w:r>
        <w:rPr>
          <w:rFonts w:ascii="Georgia" w:hAnsi="Georgia"/>
          <w:color w:val="333333"/>
          <w:sz w:val="18"/>
          <w:szCs w:val="18"/>
          <w:vertAlign w:val="subscript"/>
          <w:lang w:val="en"/>
        </w:rPr>
        <w:t>2</w:t>
      </w:r>
      <w:r>
        <w:rPr>
          <w:rFonts w:ascii="Georgia" w:hAnsi="Georgia"/>
          <w:color w:val="333333"/>
          <w:lang w:val="en"/>
        </w:rPr>
        <w:t xml:space="preserve"> emissions standards, and has regulations that require manufacturers and importers to display the fuel consumption and CO</w:t>
      </w:r>
      <w:r>
        <w:rPr>
          <w:rFonts w:ascii="Georgia" w:hAnsi="Georgia"/>
          <w:color w:val="333333"/>
          <w:sz w:val="18"/>
          <w:szCs w:val="18"/>
          <w:vertAlign w:val="subscript"/>
          <w:lang w:val="en"/>
        </w:rPr>
        <w:t>2</w:t>
      </w:r>
      <w:r>
        <w:rPr>
          <w:rFonts w:ascii="Georgia" w:hAnsi="Georgia"/>
          <w:color w:val="333333"/>
          <w:lang w:val="en"/>
        </w:rPr>
        <w:t xml:space="preserve"> emissions of new vehicles for sale (DIT 2011). As </w:t>
      </w:r>
      <w:r>
        <w:rPr>
          <w:rFonts w:ascii="Georgia" w:hAnsi="Georgia"/>
          <w:color w:val="333333"/>
          <w:lang w:val="en"/>
        </w:rPr>
        <w:t>discussed in Chapter 11, the Authority recommends that the Commonwealth Government investigates implementing fleet-average CO</w:t>
      </w:r>
      <w:r>
        <w:rPr>
          <w:rFonts w:ascii="Georgia" w:hAnsi="Georgia"/>
          <w:color w:val="333333"/>
          <w:sz w:val="18"/>
          <w:szCs w:val="18"/>
          <w:vertAlign w:val="subscript"/>
          <w:lang w:val="en"/>
        </w:rPr>
        <w:t>2</w:t>
      </w:r>
      <w:r>
        <w:rPr>
          <w:rFonts w:ascii="Georgia" w:hAnsi="Georgia"/>
          <w:color w:val="333333"/>
          <w:lang w:val="en"/>
        </w:rPr>
        <w:t xml:space="preserve"> emissions standards for Australia.</w:t>
      </w:r>
    </w:p>
    <w:p w:rsidR="00000000" w:rsidRDefault="004170B4">
      <w:pPr>
        <w:pStyle w:val="NormalWeb"/>
        <w:spacing w:line="300" w:lineRule="atLeast"/>
        <w:rPr>
          <w:rFonts w:ascii="Georgia" w:hAnsi="Georgia"/>
          <w:color w:val="333333"/>
          <w:lang w:val="en"/>
        </w:rPr>
      </w:pPr>
      <w:r>
        <w:rPr>
          <w:rFonts w:ascii="Georgia" w:hAnsi="Georgia"/>
          <w:color w:val="333333"/>
          <w:lang w:val="en"/>
        </w:rPr>
        <w:t>Although most light vehicles sold in Australia are imported from countries with fuel efficienc</w:t>
      </w:r>
      <w:r>
        <w:rPr>
          <w:rFonts w:ascii="Georgia" w:hAnsi="Georgia"/>
          <w:color w:val="333333"/>
          <w:lang w:val="en"/>
        </w:rPr>
        <w:t>y standards, there is a risk that Australia will not receive the full benefit of those standards. The most fuel-efficient vehicles and model variants are typically allocated to markets with mandatory standards (DIT 2011, p. 8). If Australia pursued a simil</w:t>
      </w:r>
      <w:r>
        <w:rPr>
          <w:rFonts w:ascii="Georgia" w:hAnsi="Georgia"/>
          <w:color w:val="333333"/>
          <w:lang w:val="en"/>
        </w:rPr>
        <w:t>ar rate of improvement in its fleet-average emissions as that required by the EU 2020 target, new light passenger vehicles sold in Australia in 2020 would be about 20 per cent more efficient than those sold today. Adopting a target comparable to the EU’s (</w:t>
      </w:r>
      <w:r>
        <w:rPr>
          <w:rFonts w:ascii="Georgia" w:hAnsi="Georgia"/>
          <w:color w:val="333333"/>
          <w:lang w:val="en"/>
        </w:rPr>
        <w:t>95 g CO</w:t>
      </w:r>
      <w:r>
        <w:rPr>
          <w:rFonts w:ascii="Georgia" w:hAnsi="Georgia"/>
          <w:color w:val="333333"/>
          <w:sz w:val="18"/>
          <w:szCs w:val="18"/>
          <w:vertAlign w:val="subscript"/>
          <w:lang w:val="en"/>
        </w:rPr>
        <w:t>2</w:t>
      </w:r>
      <w:r>
        <w:rPr>
          <w:rFonts w:ascii="Georgia" w:hAnsi="Georgia"/>
          <w:color w:val="333333"/>
          <w:lang w:val="en"/>
        </w:rPr>
        <w:t>/km by 2020) could reduce the emissions intensity of new light passenger vehicles, on average, to about half of today’s level.</w:t>
      </w:r>
    </w:p>
    <w:p w:rsidR="00000000" w:rsidRDefault="004170B4">
      <w:pPr>
        <w:pStyle w:val="Heading2"/>
        <w:shd w:val="clear" w:color="auto" w:fill="F5F5F5"/>
        <w:divId w:val="2123375725"/>
        <w:rPr>
          <w:rFonts w:eastAsia="Times New Roman"/>
          <w:color w:val="333333"/>
          <w:lang w:val="en"/>
        </w:rPr>
      </w:pPr>
      <w:r>
        <w:rPr>
          <w:rFonts w:eastAsia="Times New Roman"/>
          <w:color w:val="333333"/>
          <w:lang w:val="en"/>
        </w:rPr>
        <w:t>Box D.5: How do fleet-average emissions standards work?</w:t>
      </w:r>
    </w:p>
    <w:p w:rsidR="00000000" w:rsidRDefault="004170B4">
      <w:pPr>
        <w:pStyle w:val="NormalWeb"/>
        <w:shd w:val="clear" w:color="auto" w:fill="F5F5F5"/>
        <w:spacing w:line="300" w:lineRule="atLeast"/>
        <w:divId w:val="2123375725"/>
        <w:rPr>
          <w:rFonts w:ascii="Georgia" w:hAnsi="Georgia"/>
          <w:color w:val="333333"/>
          <w:lang w:val="en"/>
        </w:rPr>
      </w:pPr>
      <w:r>
        <w:rPr>
          <w:rFonts w:ascii="Georgia" w:hAnsi="Georgia"/>
          <w:color w:val="333333"/>
          <w:lang w:val="en"/>
        </w:rPr>
        <w:lastRenderedPageBreak/>
        <w:t>A single fleet-wide target, based on vehicle CO</w:t>
      </w:r>
      <w:r>
        <w:rPr>
          <w:rFonts w:ascii="Georgia" w:hAnsi="Georgia"/>
          <w:color w:val="333333"/>
          <w:sz w:val="18"/>
          <w:szCs w:val="18"/>
          <w:vertAlign w:val="subscript"/>
          <w:lang w:val="en"/>
        </w:rPr>
        <w:t>2</w:t>
      </w:r>
      <w:r>
        <w:rPr>
          <w:rFonts w:ascii="Georgia" w:hAnsi="Georgia"/>
          <w:color w:val="333333"/>
          <w:lang w:val="en"/>
        </w:rPr>
        <w:t xml:space="preserve"> emissions intens</w:t>
      </w:r>
      <w:r>
        <w:rPr>
          <w:rFonts w:ascii="Georgia" w:hAnsi="Georgia"/>
          <w:color w:val="333333"/>
          <w:lang w:val="en"/>
        </w:rPr>
        <w:t xml:space="preserve">ity, is applied across all new light vehicle sales for a given year. Targets are tightened over time and are designed to drive greater vehicle efficiency improvements than would have occurred under BAU. </w:t>
      </w:r>
    </w:p>
    <w:p w:rsidR="00000000" w:rsidRDefault="004170B4">
      <w:pPr>
        <w:pStyle w:val="NormalWeb"/>
        <w:shd w:val="clear" w:color="auto" w:fill="F5F5F5"/>
        <w:spacing w:line="300" w:lineRule="atLeast"/>
        <w:divId w:val="2123375725"/>
        <w:rPr>
          <w:rFonts w:ascii="Georgia" w:hAnsi="Georgia"/>
          <w:color w:val="333333"/>
          <w:lang w:val="en"/>
        </w:rPr>
      </w:pPr>
      <w:r>
        <w:rPr>
          <w:rFonts w:ascii="Georgia" w:hAnsi="Georgia"/>
          <w:color w:val="333333"/>
          <w:lang w:val="en"/>
        </w:rPr>
        <w:t>The target for individual suppliers is determined ac</w:t>
      </w:r>
      <w:r>
        <w:rPr>
          <w:rFonts w:ascii="Georgia" w:hAnsi="Georgia"/>
          <w:color w:val="333333"/>
          <w:lang w:val="en"/>
        </w:rPr>
        <w:t>cording to a mathematical relationship between CO</w:t>
      </w:r>
      <w:r>
        <w:rPr>
          <w:rFonts w:ascii="Georgia" w:hAnsi="Georgia"/>
          <w:color w:val="333333"/>
          <w:sz w:val="18"/>
          <w:szCs w:val="18"/>
          <w:vertAlign w:val="subscript"/>
          <w:lang w:val="en"/>
        </w:rPr>
        <w:t>2</w:t>
      </w:r>
      <w:r>
        <w:rPr>
          <w:rFonts w:ascii="Georgia" w:hAnsi="Georgia"/>
          <w:color w:val="333333"/>
          <w:lang w:val="en"/>
        </w:rPr>
        <w:t xml:space="preserve"> emissions and a particular vehicle attribute (usually mass or size). Suppliers can market models above or below the fleet target value applicable to a particular vehicle, as long as the average emissions i</w:t>
      </w:r>
      <w:r>
        <w:rPr>
          <w:rFonts w:ascii="Georgia" w:hAnsi="Georgia"/>
          <w:color w:val="333333"/>
          <w:lang w:val="en"/>
        </w:rPr>
        <w:t xml:space="preserve">ntensity of all their models sold in a given year meets their target as determined by the mathematical relationship. This approach provides flexibility for suppliers and enables them to choose the most cost-effective technologies to achieve their targets. </w:t>
      </w:r>
    </w:p>
    <w:p w:rsidR="00000000" w:rsidRDefault="004170B4">
      <w:pPr>
        <w:pStyle w:val="NormalWeb"/>
        <w:shd w:val="clear" w:color="auto" w:fill="F5F5F5"/>
        <w:spacing w:line="300" w:lineRule="atLeast"/>
        <w:divId w:val="2123375725"/>
        <w:rPr>
          <w:rFonts w:ascii="Georgia" w:hAnsi="Georgia"/>
          <w:color w:val="333333"/>
          <w:lang w:val="en"/>
        </w:rPr>
      </w:pPr>
      <w:r>
        <w:rPr>
          <w:rFonts w:ascii="Georgia" w:hAnsi="Georgia"/>
          <w:color w:val="333333"/>
          <w:lang w:val="en"/>
        </w:rPr>
        <w:t>A flat target that imposes the same limit on all suppliers is simpler in design but likely to lead to inequities given the different sectors of the market that the various suppliers occupy. Attribute-based standards provide a more equitable distribution o</w:t>
      </w:r>
      <w:r>
        <w:rPr>
          <w:rFonts w:ascii="Georgia" w:hAnsi="Georgia"/>
          <w:color w:val="333333"/>
          <w:lang w:val="en"/>
        </w:rPr>
        <w:t xml:space="preserve">f responsibility while still achieving the desired emissions reductions from the fleet overall. Attribute-based targets mean that fleet-average emissions standards do not drive the phase-out of large vehicles if there is a market demand for such vehicles; </w:t>
      </w:r>
      <w:r>
        <w:rPr>
          <w:rFonts w:ascii="Georgia" w:hAnsi="Georgia"/>
          <w:color w:val="333333"/>
          <w:lang w:val="en"/>
        </w:rPr>
        <w:t>rather, it places pressure on suppliers to improve the efficiency of their vehicles. Attribute-based targets are applied in other vehicle markets; in the US, standards are set according to average vehicle size (footprint), while in the EU standards are bas</w:t>
      </w:r>
      <w:r>
        <w:rPr>
          <w:rFonts w:ascii="Georgia" w:hAnsi="Georgia"/>
          <w:color w:val="333333"/>
          <w:lang w:val="en"/>
        </w:rPr>
        <w:t xml:space="preserve">ed on average vehicle mass.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Authority commissioned the CSIRO to model the emissions reduction potential of Australia adopting fleet-average CO</w:t>
      </w:r>
      <w:r>
        <w:rPr>
          <w:rFonts w:ascii="Georgia" w:hAnsi="Georgia"/>
          <w:color w:val="333333"/>
          <w:sz w:val="18"/>
          <w:szCs w:val="18"/>
          <w:vertAlign w:val="subscript"/>
          <w:lang w:val="en"/>
        </w:rPr>
        <w:t>2</w:t>
      </w:r>
      <w:r>
        <w:rPr>
          <w:rFonts w:ascii="Georgia" w:hAnsi="Georgia"/>
          <w:color w:val="333333"/>
          <w:lang w:val="en"/>
        </w:rPr>
        <w:t xml:space="preserve"> emissions standards that drive a rate of efficiency improvement comparable to other markets. Improvement ov</w:t>
      </w:r>
      <w:r>
        <w:rPr>
          <w:rFonts w:ascii="Georgia" w:hAnsi="Georgia"/>
          <w:color w:val="333333"/>
          <w:lang w:val="en"/>
        </w:rPr>
        <w:t xml:space="preserve">er the last decade has been about 2.3 per cent per year on average (NTC 2013, p. 5). The CSIRO modelled lenient, medium and stringent standards, reflected by annual improvement rates of 3.5, 5 and 6.5 per cent respectively.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CSIRO modelling showed that</w:t>
      </w:r>
      <w:r>
        <w:rPr>
          <w:rFonts w:ascii="Georgia" w:hAnsi="Georgia"/>
          <w:color w:val="333333"/>
          <w:lang w:val="en"/>
        </w:rPr>
        <w:t>, by 2030, up to 14 Mt CO</w:t>
      </w:r>
      <w:r>
        <w:rPr>
          <w:rFonts w:ascii="Georgia" w:hAnsi="Georgia"/>
          <w:color w:val="333333"/>
          <w:sz w:val="18"/>
          <w:szCs w:val="18"/>
          <w:vertAlign w:val="subscript"/>
          <w:lang w:val="en"/>
        </w:rPr>
        <w:t>2</w:t>
      </w:r>
      <w:r>
        <w:rPr>
          <w:rFonts w:ascii="Georgia" w:hAnsi="Georgia"/>
          <w:color w:val="333333"/>
          <w:lang w:val="en"/>
        </w:rPr>
        <w:t>-e per annum (13 per cent of total transport emissions in that year) could be avoided using fleet-average CO</w:t>
      </w:r>
      <w:r>
        <w:rPr>
          <w:rFonts w:ascii="Georgia" w:hAnsi="Georgia"/>
          <w:color w:val="333333"/>
          <w:sz w:val="18"/>
          <w:szCs w:val="18"/>
          <w:vertAlign w:val="subscript"/>
          <w:lang w:val="en"/>
        </w:rPr>
        <w:t>2</w:t>
      </w:r>
      <w:r>
        <w:rPr>
          <w:rFonts w:ascii="Georgia" w:hAnsi="Georgia"/>
          <w:color w:val="333333"/>
          <w:lang w:val="en"/>
        </w:rPr>
        <w:t xml:space="preserve"> emission standards introduced in 2018. For the entire modelled period (from now until 2050), introducing relatively leni</w:t>
      </w:r>
      <w:r>
        <w:rPr>
          <w:rFonts w:ascii="Georgia" w:hAnsi="Georgia"/>
          <w:color w:val="333333"/>
          <w:lang w:val="en"/>
        </w:rPr>
        <w:t xml:space="preserve">ent standards in 2018 was projected to achieve greater emissions reductions than introducing stringent standards in 2025, </w:t>
      </w:r>
      <w:proofErr w:type="spellStart"/>
      <w:r>
        <w:rPr>
          <w:rFonts w:ascii="Georgia" w:hAnsi="Georgia"/>
          <w:color w:val="333333"/>
          <w:lang w:val="en"/>
        </w:rPr>
        <w:t>emphasising</w:t>
      </w:r>
      <w:proofErr w:type="spellEnd"/>
      <w:r>
        <w:rPr>
          <w:rFonts w:ascii="Georgia" w:hAnsi="Georgia"/>
          <w:color w:val="333333"/>
          <w:lang w:val="en"/>
        </w:rPr>
        <w:t xml:space="preserve"> the importance and value of early action in transitioning Australia’s light vehicle fleet to lower emissions vehicles. Fig</w:t>
      </w:r>
      <w:r>
        <w:rPr>
          <w:rFonts w:ascii="Georgia" w:hAnsi="Georgia"/>
          <w:color w:val="333333"/>
          <w:lang w:val="en"/>
        </w:rPr>
        <w:t>ure D.21 shows the cumulative emissions reductions available.</w:t>
      </w:r>
    </w:p>
    <w:p w:rsidR="00000000" w:rsidRDefault="004170B4">
      <w:pPr>
        <w:pStyle w:val="Heading2"/>
        <w:rPr>
          <w:rFonts w:eastAsia="Times New Roman"/>
          <w:color w:val="333333"/>
          <w:lang w:val="en"/>
        </w:rPr>
      </w:pPr>
      <w:r>
        <w:rPr>
          <w:rFonts w:eastAsia="Times New Roman"/>
          <w:color w:val="333333"/>
          <w:lang w:val="en"/>
        </w:rPr>
        <w:t>Figure D.21: Cumulative light vehicle emissions reductions with CO</w:t>
      </w:r>
      <w:r>
        <w:rPr>
          <w:rFonts w:eastAsia="Times New Roman"/>
          <w:color w:val="333333"/>
          <w:sz w:val="23"/>
          <w:szCs w:val="23"/>
          <w:vertAlign w:val="subscript"/>
          <w:lang w:val="en"/>
        </w:rPr>
        <w:t>2</w:t>
      </w:r>
      <w:r>
        <w:rPr>
          <w:rFonts w:eastAsia="Times New Roman"/>
          <w:color w:val="333333"/>
          <w:lang w:val="en"/>
        </w:rPr>
        <w:t xml:space="preserve"> emissions standards, compared to BAU projections, 2030–2050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3121660"/>
            <wp:effectExtent l="0" t="0" r="0" b="0"/>
            <wp:docPr id="21" name="Picture 21" descr="Figure D.21 shows cumulative light vehicle emissions reductions with carbon dioxide emissions standards, under six scenarios, in 2030, 2040 and 2050.&#10;The scenarios represent lenient, medium or stringent improvement rates of standards that begin in 2018 or 2025. A lenient standard starting in 2018 will achieve more emissions reductions than a stringent standard starting in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D.21 shows cumulative light vehicle emissions reductions with carbon dioxide emissions standards, under six scenarios, in 2030, 2040 and 2050.&#10;The scenarios represent lenient, medium or stringent improvement rates of standards that begin in 2018 or 2025. A lenient standard starting in 2018 will achieve more emissions reductions than a stringent standard starting in 2025.&#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6770" cy="312166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 and Reedman and Graham 2013b</w:t>
      </w:r>
    </w:p>
    <w:p w:rsidR="00000000" w:rsidRDefault="004170B4">
      <w:pPr>
        <w:pStyle w:val="NormalWeb"/>
        <w:spacing w:line="300" w:lineRule="atLeast"/>
        <w:rPr>
          <w:rFonts w:ascii="Georgia" w:hAnsi="Georgia"/>
          <w:color w:val="333333"/>
          <w:lang w:val="en"/>
        </w:rPr>
      </w:pPr>
      <w:r>
        <w:rPr>
          <w:rFonts w:ascii="Georgia" w:hAnsi="Georgia"/>
          <w:color w:val="333333"/>
          <w:lang w:val="en"/>
        </w:rPr>
        <w:t>CO</w:t>
      </w:r>
      <w:r>
        <w:rPr>
          <w:rFonts w:ascii="Georgia" w:hAnsi="Georgia"/>
          <w:color w:val="333333"/>
          <w:sz w:val="18"/>
          <w:szCs w:val="18"/>
          <w:vertAlign w:val="subscript"/>
          <w:lang w:val="en"/>
        </w:rPr>
        <w:t>2</w:t>
      </w:r>
      <w:r>
        <w:rPr>
          <w:rFonts w:ascii="Georgia" w:hAnsi="Georgia"/>
          <w:color w:val="333333"/>
          <w:lang w:val="en"/>
        </w:rPr>
        <w:t xml:space="preserve"> emissions standards could offer net benefits to vehicle owners, as well as public benefits in reducing emissions. </w:t>
      </w:r>
      <w:r>
        <w:rPr>
          <w:rFonts w:ascii="Georgia" w:hAnsi="Georgia"/>
          <w:color w:val="333333"/>
          <w:lang w:val="en"/>
        </w:rPr>
        <w:t>Mandatory CO</w:t>
      </w:r>
      <w:r>
        <w:rPr>
          <w:rFonts w:ascii="Georgia" w:hAnsi="Georgia"/>
          <w:color w:val="333333"/>
          <w:sz w:val="18"/>
          <w:szCs w:val="18"/>
          <w:vertAlign w:val="subscript"/>
          <w:lang w:val="en"/>
        </w:rPr>
        <w:t>2</w:t>
      </w:r>
      <w:r>
        <w:rPr>
          <w:rFonts w:ascii="Georgia" w:hAnsi="Georgia"/>
          <w:color w:val="333333"/>
          <w:lang w:val="en"/>
        </w:rPr>
        <w:t xml:space="preserve"> emissions standards are considered one of the most cost-effective strategies to reduce transport emissions (DIT 2011, p. 3).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impact of emissions standards on vehicle costs in Australia will generally be determined by global vehicle marke</w:t>
      </w:r>
      <w:r>
        <w:rPr>
          <w:rFonts w:ascii="Georgia" w:hAnsi="Georgia"/>
          <w:color w:val="333333"/>
          <w:lang w:val="en"/>
        </w:rPr>
        <w:t>ts (Reedman and Graham 2013b, p. 5). As a result, international evidence provides some useful insights for Australia. The Authority considers, based on analysis done in other markets, the overall private cost of vehicle emissions standards for Australia at</w:t>
      </w:r>
      <w:r>
        <w:rPr>
          <w:rFonts w:ascii="Georgia" w:hAnsi="Georgia"/>
          <w:color w:val="333333"/>
          <w:lang w:val="en"/>
        </w:rPr>
        <w:t xml:space="preserve"> levels comparable to international action may be negative (that is, delivering net savings)—even after higher vehicle purchase costs are taken into account.</w:t>
      </w:r>
    </w:p>
    <w:p w:rsidR="00000000" w:rsidRDefault="004170B4">
      <w:pPr>
        <w:pStyle w:val="NormalWeb"/>
        <w:spacing w:line="300" w:lineRule="atLeast"/>
        <w:rPr>
          <w:rFonts w:ascii="Georgia" w:hAnsi="Georgia"/>
          <w:color w:val="333333"/>
          <w:lang w:val="en"/>
        </w:rPr>
      </w:pPr>
      <w:r>
        <w:rPr>
          <w:rFonts w:ascii="Georgia" w:hAnsi="Georgia"/>
          <w:color w:val="333333"/>
          <w:lang w:val="en"/>
        </w:rPr>
        <w:t>In Europe, for example, under a 2020 target of 95g CO</w:t>
      </w:r>
      <w:r>
        <w:rPr>
          <w:rFonts w:ascii="Georgia" w:hAnsi="Georgia"/>
          <w:color w:val="333333"/>
          <w:sz w:val="18"/>
          <w:szCs w:val="18"/>
          <w:vertAlign w:val="subscript"/>
          <w:lang w:val="en"/>
        </w:rPr>
        <w:t>2</w:t>
      </w:r>
      <w:r>
        <w:rPr>
          <w:rFonts w:ascii="Georgia" w:hAnsi="Georgia"/>
          <w:color w:val="333333"/>
          <w:lang w:val="en"/>
        </w:rPr>
        <w:t xml:space="preserve">/km by 2020, the real purchase price of the </w:t>
      </w:r>
      <w:r>
        <w:rPr>
          <w:rFonts w:ascii="Georgia" w:hAnsi="Georgia"/>
          <w:color w:val="333333"/>
          <w:lang w:val="en"/>
        </w:rPr>
        <w:t>average car is projected to be €1,100 more. Real fuel costs for the average car, however, will be about €400 less per year (Cambridge Econometrics and Ricardo-AEA 2013, p. 3). In the US, the National Highway Traffic Safety Administration (NHTSA) projects t</w:t>
      </w:r>
      <w:r>
        <w:rPr>
          <w:rFonts w:ascii="Georgia" w:hAnsi="Georgia"/>
          <w:color w:val="333333"/>
          <w:lang w:val="en"/>
        </w:rPr>
        <w:t>he latest Corporate Average Fuel Economy (CAFE) standards will deliver average net benefits of about US$3,400 (for cars) and US$4,700 (for light trucks) for vehicles manufactured in 2025 (NHTSA 2012, p. 978). These estimates do not take into account the so</w:t>
      </w:r>
      <w:r>
        <w:rPr>
          <w:rFonts w:ascii="Georgia" w:hAnsi="Georgia"/>
          <w:color w:val="333333"/>
          <w:lang w:val="en"/>
        </w:rPr>
        <w:t>cial benefits arising from the reduction in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Fuel and operating savings, however, are specific to each market. According to CSIRO modelling of standards for Australia, a saving of 4 cents per </w:t>
      </w:r>
      <w:proofErr w:type="spellStart"/>
      <w:r>
        <w:rPr>
          <w:rFonts w:ascii="Georgia" w:hAnsi="Georgia"/>
          <w:color w:val="333333"/>
          <w:lang w:val="en"/>
        </w:rPr>
        <w:t>kilometre</w:t>
      </w:r>
      <w:proofErr w:type="spellEnd"/>
      <w:r>
        <w:rPr>
          <w:rFonts w:ascii="Georgia" w:hAnsi="Georgia"/>
          <w:color w:val="333333"/>
          <w:lang w:val="en"/>
        </w:rPr>
        <w:t xml:space="preserve"> is </w:t>
      </w:r>
      <w:r>
        <w:rPr>
          <w:rFonts w:ascii="Georgia" w:hAnsi="Georgia"/>
          <w:color w:val="333333"/>
          <w:lang w:val="en"/>
        </w:rPr>
        <w:lastRenderedPageBreak/>
        <w:t>projected by the time the majority of the</w:t>
      </w:r>
      <w:r>
        <w:rPr>
          <w:rFonts w:ascii="Georgia" w:hAnsi="Georgia"/>
          <w:color w:val="333333"/>
          <w:lang w:val="en"/>
        </w:rPr>
        <w:t xml:space="preserve"> fleet has been subjected to CO</w:t>
      </w:r>
      <w:r>
        <w:rPr>
          <w:rFonts w:ascii="Georgia" w:hAnsi="Georgia"/>
          <w:color w:val="333333"/>
          <w:sz w:val="18"/>
          <w:szCs w:val="18"/>
          <w:vertAlign w:val="subscript"/>
          <w:lang w:val="en"/>
        </w:rPr>
        <w:t>2</w:t>
      </w:r>
      <w:r>
        <w:rPr>
          <w:rFonts w:ascii="Georgia" w:hAnsi="Georgia"/>
          <w:color w:val="333333"/>
          <w:lang w:val="en"/>
        </w:rPr>
        <w:t xml:space="preserve"> standards (after 2035). At about 15,000 km per year travel—typical for Australia—the annual savings are close to $600. This suggests CO</w:t>
      </w:r>
      <w:r>
        <w:rPr>
          <w:rFonts w:ascii="Georgia" w:hAnsi="Georgia"/>
          <w:color w:val="333333"/>
          <w:sz w:val="18"/>
          <w:szCs w:val="18"/>
          <w:vertAlign w:val="subscript"/>
          <w:lang w:val="en"/>
        </w:rPr>
        <w:t>2</w:t>
      </w:r>
      <w:r>
        <w:rPr>
          <w:rFonts w:ascii="Georgia" w:hAnsi="Georgia"/>
          <w:color w:val="333333"/>
          <w:lang w:val="en"/>
        </w:rPr>
        <w:t xml:space="preserve"> standards in Australia could give consumers a private return on investment comparable </w:t>
      </w:r>
      <w:r>
        <w:rPr>
          <w:rFonts w:ascii="Georgia" w:hAnsi="Georgia"/>
          <w:color w:val="333333"/>
          <w:lang w:val="en"/>
        </w:rPr>
        <w:t>to that in the US or EU.</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t>ClimateWorks</w:t>
      </w:r>
      <w:proofErr w:type="spellEnd"/>
      <w:r>
        <w:rPr>
          <w:rFonts w:ascii="Georgia" w:hAnsi="Georgia"/>
          <w:color w:val="333333"/>
          <w:lang w:val="en"/>
        </w:rPr>
        <w:t xml:space="preserve"> (2010, p. 78) suggests that, in Australia to 2020, a standard of 140 g CO</w:t>
      </w:r>
      <w:r>
        <w:rPr>
          <w:rFonts w:ascii="Georgia" w:hAnsi="Georgia"/>
          <w:color w:val="333333"/>
          <w:sz w:val="18"/>
          <w:szCs w:val="18"/>
          <w:vertAlign w:val="subscript"/>
          <w:lang w:val="en"/>
        </w:rPr>
        <w:t>2</w:t>
      </w:r>
      <w:r>
        <w:rPr>
          <w:rFonts w:ascii="Georgia" w:hAnsi="Georgia"/>
          <w:color w:val="333333"/>
          <w:lang w:val="en"/>
        </w:rPr>
        <w:t xml:space="preserve">/km could deliver societal savings of up to $74 per </w:t>
      </w:r>
      <w:proofErr w:type="spellStart"/>
      <w:r>
        <w:rPr>
          <w:rFonts w:ascii="Georgia" w:hAnsi="Georgia"/>
          <w:color w:val="333333"/>
          <w:lang w:val="en"/>
        </w:rPr>
        <w:t>tonne</w:t>
      </w:r>
      <w:proofErr w:type="spellEnd"/>
      <w:r>
        <w:rPr>
          <w:rFonts w:ascii="Georgia" w:hAnsi="Georgia"/>
          <w:color w:val="333333"/>
          <w:lang w:val="en"/>
        </w:rPr>
        <w:t xml:space="preserve"> of CO</w:t>
      </w:r>
      <w:r>
        <w:rPr>
          <w:rFonts w:ascii="Georgia" w:hAnsi="Georgia"/>
          <w:color w:val="333333"/>
          <w:sz w:val="18"/>
          <w:szCs w:val="18"/>
          <w:vertAlign w:val="subscript"/>
          <w:lang w:val="en"/>
        </w:rPr>
        <w:t>2</w:t>
      </w:r>
      <w:r>
        <w:rPr>
          <w:rFonts w:ascii="Georgia" w:hAnsi="Georgia"/>
          <w:color w:val="333333"/>
          <w:lang w:val="en"/>
        </w:rPr>
        <w:t xml:space="preserve"> avoided, and achieve annual emissions reductions of 5.5 Mt CO</w:t>
      </w:r>
      <w:r>
        <w:rPr>
          <w:rFonts w:ascii="Georgia" w:hAnsi="Georgia"/>
          <w:color w:val="333333"/>
          <w:sz w:val="18"/>
          <w:szCs w:val="18"/>
          <w:vertAlign w:val="subscript"/>
          <w:lang w:val="en"/>
        </w:rPr>
        <w:t>2</w:t>
      </w:r>
      <w:r>
        <w:rPr>
          <w:rFonts w:ascii="Georgia" w:hAnsi="Georgia"/>
          <w:color w:val="333333"/>
          <w:lang w:val="en"/>
        </w:rPr>
        <w:t>, with benefits t</w:t>
      </w:r>
      <w:r>
        <w:rPr>
          <w:rFonts w:ascii="Georgia" w:hAnsi="Georgia"/>
          <w:color w:val="333333"/>
          <w:lang w:val="en"/>
        </w:rPr>
        <w:t xml:space="preserve">o the economy of about $400 million. The potential savings increase to $85 per </w:t>
      </w:r>
      <w:proofErr w:type="spellStart"/>
      <w:r>
        <w:rPr>
          <w:rFonts w:ascii="Georgia" w:hAnsi="Georgia"/>
          <w:color w:val="333333"/>
          <w:lang w:val="en"/>
        </w:rPr>
        <w:t>tonne</w:t>
      </w:r>
      <w:proofErr w:type="spellEnd"/>
      <w:r>
        <w:rPr>
          <w:rFonts w:ascii="Georgia" w:hAnsi="Georgia"/>
          <w:color w:val="333333"/>
          <w:lang w:val="en"/>
        </w:rPr>
        <w:t xml:space="preserve"> of CO</w:t>
      </w:r>
      <w:r>
        <w:rPr>
          <w:rFonts w:ascii="Georgia" w:hAnsi="Georgia"/>
          <w:color w:val="333333"/>
          <w:sz w:val="18"/>
          <w:szCs w:val="18"/>
          <w:vertAlign w:val="subscript"/>
          <w:lang w:val="en"/>
        </w:rPr>
        <w:t>2</w:t>
      </w:r>
      <w:r>
        <w:rPr>
          <w:rFonts w:ascii="Georgia" w:hAnsi="Georgia"/>
          <w:color w:val="333333"/>
          <w:lang w:val="en"/>
        </w:rPr>
        <w:t xml:space="preserve"> for a standard of 120 g CO</w:t>
      </w:r>
      <w:r>
        <w:rPr>
          <w:rFonts w:ascii="Georgia" w:hAnsi="Georgia"/>
          <w:color w:val="333333"/>
          <w:sz w:val="18"/>
          <w:szCs w:val="18"/>
          <w:vertAlign w:val="subscript"/>
          <w:lang w:val="en"/>
        </w:rPr>
        <w:t>2</w:t>
      </w:r>
      <w:r>
        <w:rPr>
          <w:rFonts w:ascii="Georgia" w:hAnsi="Georgia"/>
          <w:color w:val="333333"/>
          <w:lang w:val="en"/>
        </w:rPr>
        <w:t>/km, which could deliver emissions reductions of 6.3 Mt CO</w:t>
      </w:r>
      <w:r>
        <w:rPr>
          <w:rFonts w:ascii="Georgia" w:hAnsi="Georgia"/>
          <w:color w:val="333333"/>
          <w:sz w:val="18"/>
          <w:szCs w:val="18"/>
          <w:vertAlign w:val="subscript"/>
          <w:lang w:val="en"/>
        </w:rPr>
        <w:t>2</w:t>
      </w:r>
      <w:r>
        <w:rPr>
          <w:rFonts w:ascii="Georgia" w:hAnsi="Georgia"/>
          <w:color w:val="333333"/>
          <w:lang w:val="en"/>
        </w:rPr>
        <w:t xml:space="preserve"> and economic benefits of about $535 million. </w:t>
      </w:r>
    </w:p>
    <w:p w:rsidR="00000000" w:rsidRDefault="004170B4">
      <w:pPr>
        <w:pStyle w:val="NormalWeb"/>
        <w:spacing w:line="300" w:lineRule="atLeast"/>
        <w:rPr>
          <w:rFonts w:ascii="Georgia" w:hAnsi="Georgia"/>
          <w:color w:val="333333"/>
          <w:lang w:val="en"/>
        </w:rPr>
      </w:pPr>
      <w:r>
        <w:rPr>
          <w:rFonts w:ascii="Georgia" w:hAnsi="Georgia"/>
          <w:color w:val="333333"/>
          <w:lang w:val="en"/>
        </w:rPr>
        <w:t>Standards could have substantia</w:t>
      </w:r>
      <w:r>
        <w:rPr>
          <w:rFonts w:ascii="Georgia" w:hAnsi="Georgia"/>
          <w:color w:val="333333"/>
          <w:lang w:val="en"/>
        </w:rPr>
        <w:t xml:space="preserve">l complementary benefits: </w:t>
      </w:r>
    </w:p>
    <w:p w:rsidR="00000000" w:rsidRDefault="004170B4" w:rsidP="004170B4">
      <w:pPr>
        <w:numPr>
          <w:ilvl w:val="0"/>
          <w:numId w:val="2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Reduced fuel consumption will lower costs and increase transport productivity. CSIRO modelling projects that under a lenient standard starting in 2018, about 161 PJ less transport energy, of all types, will be required in 2030 an</w:t>
      </w:r>
      <w:r>
        <w:rPr>
          <w:rFonts w:ascii="Georgia" w:eastAsia="Times New Roman" w:hAnsi="Georgia"/>
          <w:color w:val="333333"/>
          <w:lang w:val="en"/>
        </w:rPr>
        <w:t>d about 275 PJ less in 2050. Petroleum consumption alone will be reduced by about 170 PJ per annum by 2050, which decreases Australia’s projected petroleum needs in 2050 by about 5 per cent (BREE 2012, p. 46).</w:t>
      </w:r>
    </w:p>
    <w:p w:rsidR="00000000" w:rsidRDefault="004170B4" w:rsidP="004170B4">
      <w:pPr>
        <w:numPr>
          <w:ilvl w:val="0"/>
          <w:numId w:val="25"/>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Standards </w:t>
      </w:r>
      <w:r>
        <w:rPr>
          <w:rFonts w:ascii="Georgia" w:eastAsia="Times New Roman" w:hAnsi="Georgia"/>
          <w:color w:val="333333"/>
          <w:lang w:val="en"/>
        </w:rPr>
        <w:t>are projected to bring alternative drivetrains, such as plug-in electric vehicles, to Australian roads more quickly, with associated health and amenity benefits from reduced noise and air pollution. CSIRO modelling projects that under a medium standard sta</w:t>
      </w:r>
      <w:r>
        <w:rPr>
          <w:rFonts w:ascii="Georgia" w:eastAsia="Times New Roman" w:hAnsi="Georgia"/>
          <w:color w:val="333333"/>
          <w:lang w:val="en"/>
        </w:rPr>
        <w:t>rting in 2018, over one-quarter of all light vehicle travel will be undertaken by alternative drivetrain vehicles by the early 2040s, compared to about 7 per cent without standards.</w:t>
      </w:r>
    </w:p>
    <w:p w:rsidR="00000000" w:rsidRDefault="004170B4">
      <w:pPr>
        <w:pStyle w:val="NormalWeb"/>
        <w:spacing w:line="300" w:lineRule="atLeast"/>
        <w:rPr>
          <w:rFonts w:ascii="Georgia" w:hAnsi="Georgia"/>
          <w:color w:val="333333"/>
          <w:lang w:val="en"/>
        </w:rPr>
      </w:pPr>
      <w:r>
        <w:rPr>
          <w:rFonts w:ascii="Georgia" w:hAnsi="Georgia"/>
          <w:color w:val="333333"/>
          <w:lang w:val="en"/>
        </w:rPr>
        <w:t>Implementing CO</w:t>
      </w:r>
      <w:r>
        <w:rPr>
          <w:rFonts w:ascii="Georgia" w:hAnsi="Georgia"/>
          <w:color w:val="333333"/>
          <w:sz w:val="18"/>
          <w:szCs w:val="18"/>
          <w:vertAlign w:val="subscript"/>
          <w:lang w:val="en"/>
        </w:rPr>
        <w:t>2</w:t>
      </w:r>
      <w:r>
        <w:rPr>
          <w:rFonts w:ascii="Georgia" w:hAnsi="Georgia"/>
          <w:color w:val="333333"/>
          <w:lang w:val="en"/>
        </w:rPr>
        <w:t xml:space="preserve"> standards in Australia may be done at relatively low admi</w:t>
      </w:r>
      <w:r>
        <w:rPr>
          <w:rFonts w:ascii="Georgia" w:hAnsi="Georgia"/>
          <w:color w:val="333333"/>
          <w:lang w:val="en"/>
        </w:rPr>
        <w:t>nistrative cost. It may require new legislation but is not expected to introduce additional vehicle testing relative to current requirements.</w:t>
      </w:r>
    </w:p>
    <w:p w:rsidR="00000000" w:rsidRDefault="004170B4">
      <w:pPr>
        <w:pStyle w:val="Heading4"/>
        <w:rPr>
          <w:rFonts w:eastAsia="Times New Roman"/>
          <w:color w:val="333333"/>
          <w:lang w:val="en"/>
        </w:rPr>
      </w:pPr>
      <w:r>
        <w:rPr>
          <w:rFonts w:eastAsia="Times New Roman"/>
          <w:color w:val="333333"/>
          <w:lang w:val="en"/>
        </w:rPr>
        <w:t>D4.3.2 Reduced emissions intensity of fuels</w:t>
      </w:r>
    </w:p>
    <w:p w:rsidR="00000000" w:rsidRDefault="004170B4">
      <w:pPr>
        <w:pStyle w:val="NormalWeb"/>
        <w:spacing w:line="300" w:lineRule="atLeast"/>
        <w:rPr>
          <w:rFonts w:ascii="Georgia" w:hAnsi="Georgia"/>
          <w:color w:val="333333"/>
          <w:lang w:val="en"/>
        </w:rPr>
      </w:pPr>
      <w:r>
        <w:rPr>
          <w:rFonts w:ascii="Georgia" w:hAnsi="Georgia"/>
          <w:color w:val="333333"/>
          <w:lang w:val="en"/>
        </w:rPr>
        <w:t>Oil is the main energy source for transport (IEA 2013b, p. 572). Alter</w:t>
      </w:r>
      <w:r>
        <w:rPr>
          <w:rFonts w:ascii="Georgia" w:hAnsi="Georgia"/>
          <w:color w:val="333333"/>
          <w:lang w:val="en"/>
        </w:rPr>
        <w:t>native transport fuels with potentially lower emissions intensity are both available and in development, including liquid biofuels and gaseous fuels. Synthetic fuel alternatives are also in development or are available overseas, including coal-to-liquid, g</w:t>
      </w:r>
      <w:r>
        <w:rPr>
          <w:rFonts w:ascii="Georgia" w:hAnsi="Georgia"/>
          <w:color w:val="333333"/>
          <w:lang w:val="en"/>
        </w:rPr>
        <w:t>as-to-liquid and shale oil-to-liquid, most of which could have higher emissions intensity than conventional fuels.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growth of a low-emission fuels market depends on the cost and availability of these fuels as alternatives. Some modelled scenarios projec</w:t>
      </w:r>
      <w:r>
        <w:rPr>
          <w:rFonts w:ascii="Georgia" w:hAnsi="Georgia"/>
          <w:color w:val="333333"/>
          <w:lang w:val="en"/>
        </w:rPr>
        <w:t>t a significant increase in biofuel use; however, there is a risk that future oil prices and biofuel supply constraints could prompt Australia to exploit fuels that have higher lifecycle emissions, in order to meet its transport fuel needs. Improving vehic</w:t>
      </w:r>
      <w:r>
        <w:rPr>
          <w:rFonts w:ascii="Georgia" w:hAnsi="Georgia"/>
          <w:color w:val="333333"/>
          <w:lang w:val="en"/>
        </w:rPr>
        <w:t>le efficiency and electrification of transport mitigates this risk.</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Natural gas may increase its share of the transport fuels mix; however, it is likely to depend on the relative pricing of natural gas to alternatives. Liquefied petroleum gas is not projec</w:t>
      </w:r>
      <w:r>
        <w:rPr>
          <w:rFonts w:ascii="Georgia" w:hAnsi="Georgia"/>
          <w:color w:val="333333"/>
          <w:lang w:val="en"/>
        </w:rPr>
        <w:t>ted to gain significant future additional market share for road vehicles or locomotives; however, future prices of alternatives may change this outlook.</w:t>
      </w:r>
    </w:p>
    <w:p w:rsidR="00000000" w:rsidRDefault="004170B4">
      <w:pPr>
        <w:pStyle w:val="Heading5"/>
        <w:rPr>
          <w:rFonts w:eastAsia="Times New Roman"/>
          <w:color w:val="333333"/>
          <w:lang w:val="en"/>
        </w:rPr>
      </w:pPr>
      <w:r>
        <w:rPr>
          <w:rFonts w:eastAsia="Times New Roman"/>
          <w:color w:val="333333"/>
          <w:lang w:val="en"/>
        </w:rPr>
        <w:t>Biofuels</w:t>
      </w:r>
    </w:p>
    <w:p w:rsidR="00000000" w:rsidRDefault="004170B4">
      <w:pPr>
        <w:pStyle w:val="NormalWeb"/>
        <w:spacing w:line="300" w:lineRule="atLeast"/>
        <w:rPr>
          <w:rFonts w:ascii="Georgia" w:hAnsi="Georgia"/>
          <w:color w:val="333333"/>
          <w:lang w:val="en"/>
        </w:rPr>
      </w:pPr>
      <w:r>
        <w:rPr>
          <w:rFonts w:ascii="Georgia" w:hAnsi="Georgia"/>
          <w:color w:val="333333"/>
          <w:lang w:val="en"/>
        </w:rPr>
        <w:t>Biofuels are considered zero-carbon under international accounting standards but, depending on</w:t>
      </w:r>
      <w:r>
        <w:rPr>
          <w:rFonts w:ascii="Georgia" w:hAnsi="Georgia"/>
          <w:color w:val="333333"/>
          <w:lang w:val="en"/>
        </w:rPr>
        <w:t xml:space="preserve"> the feedstock, the upstream emissions associated with producing biofuels can be higher than for fossil fuels (PC 2011, p. 7). In Australia, however, even after lifecycle process emissions are taken into account, biofuels are lower in emissions intensity t</w:t>
      </w:r>
      <w:r>
        <w:rPr>
          <w:rFonts w:ascii="Georgia" w:hAnsi="Georgia"/>
          <w:color w:val="333333"/>
          <w:lang w:val="en"/>
        </w:rPr>
        <w:t>han fossil-derived fuels (Figure D.22).</w:t>
      </w:r>
    </w:p>
    <w:p w:rsidR="00000000" w:rsidRDefault="004170B4">
      <w:pPr>
        <w:pStyle w:val="Heading2"/>
        <w:rPr>
          <w:rFonts w:eastAsia="Times New Roman"/>
          <w:color w:val="333333"/>
          <w:lang w:val="en"/>
        </w:rPr>
      </w:pPr>
      <w:r>
        <w:rPr>
          <w:rFonts w:eastAsia="Times New Roman"/>
          <w:color w:val="333333"/>
          <w:lang w:val="en"/>
        </w:rPr>
        <w:t>Figure D.22: Upstream and downstream emissions of diesel fuels</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17565" cy="2932430"/>
            <wp:effectExtent l="0" t="0" r="0" b="0"/>
            <wp:docPr id="22" name="Picture 22" descr="Figure D.22 shows life-cycle emissions (downstream and upstream) for diesel fuels produced from fossil oil, canola oil, tallow and used cooking oil.&#10;It is more emissions intensive to produce biodiesel from canola oil than to produce conventional diesel, but the biodiesel has zero tailpipe emissions and overall has a lower life-cycle emissions than conventional dies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D.22 shows life-cycle emissions (downstream and upstream) for diesel fuels produced from fossil oil, canola oil, tallow and used cooking oil.&#10;It is more emissions intensive to produce biodiesel from canola oil than to produce conventional diesel, but the biodiesel has zero tailpipe emissions and overall has a lower life-cycle emissions than conventional diesel.&#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7565" cy="293243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Representative of a truck consuming 10 </w:t>
      </w:r>
      <w:r>
        <w:rPr>
          <w:rFonts w:ascii="Georgia" w:hAnsi="Georgia"/>
          <w:color w:val="333333"/>
          <w:lang w:val="en"/>
        </w:rPr>
        <w:t>MJ/km of fuel energy (Beer et al. 2007, p. 50).</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Adapted from Beer et al. 2007, p. 92</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potential of biofuels may be limited by the availability of appropriate feedstock. First-generation or conventional biofuels are produced from grain-based </w:t>
      </w:r>
      <w:proofErr w:type="spellStart"/>
      <w:r>
        <w:rPr>
          <w:rFonts w:ascii="Georgia" w:hAnsi="Georgia"/>
          <w:color w:val="333333"/>
          <w:lang w:val="en"/>
        </w:rPr>
        <w:t>feed</w:t>
      </w:r>
      <w:r>
        <w:rPr>
          <w:rFonts w:ascii="Georgia" w:hAnsi="Georgia"/>
          <w:color w:val="333333"/>
          <w:lang w:val="en"/>
        </w:rPr>
        <w:t>stocks</w:t>
      </w:r>
      <w:proofErr w:type="spellEnd"/>
      <w:r>
        <w:rPr>
          <w:rFonts w:ascii="Georgia" w:hAnsi="Georgia"/>
          <w:color w:val="333333"/>
          <w:lang w:val="en"/>
        </w:rPr>
        <w:t>. Second-generation biofuels (including Australian biofuels) are produced from waste materials and co-products of food production, reducing the potential for food displacement or other unsustainable environmental outcomes. A newer second-generation b</w:t>
      </w:r>
      <w:r>
        <w:rPr>
          <w:rFonts w:ascii="Georgia" w:hAnsi="Georgia"/>
          <w:color w:val="333333"/>
          <w:lang w:val="en"/>
        </w:rPr>
        <w:t>iofuel—algal biofuel—produced from algae that can be grown in water bodies such as waste streams or the ocean, has the potential to be a sustainable alternative to conventional diesel. Algal biofuel is currently in the research and development stage and no</w:t>
      </w:r>
      <w:r>
        <w:rPr>
          <w:rFonts w:ascii="Georgia" w:hAnsi="Georgia"/>
          <w:color w:val="333333"/>
          <w:lang w:val="en"/>
        </w:rPr>
        <w:t xml:space="preserve">t yet commercially available (CSIRO 2013). Increased use </w:t>
      </w:r>
      <w:r>
        <w:rPr>
          <w:rFonts w:ascii="Georgia" w:hAnsi="Georgia"/>
          <w:color w:val="333333"/>
          <w:lang w:val="en"/>
        </w:rPr>
        <w:lastRenderedPageBreak/>
        <w:t xml:space="preserve">of biofuels may diminish the emissions reduction potential of improved vehicle efficiency; however, this effect is limited by the availability of appropriate feedstock. Ultimately, both biofuels and </w:t>
      </w:r>
      <w:r>
        <w:rPr>
          <w:rFonts w:ascii="Georgia" w:hAnsi="Georgia"/>
          <w:color w:val="333333"/>
          <w:lang w:val="en"/>
        </w:rPr>
        <w:t>efficient vehicles could help reduce Australia’s emissions and its reliance on petroleum imports.</w:t>
      </w:r>
    </w:p>
    <w:p w:rsidR="00000000" w:rsidRDefault="004170B4">
      <w:pPr>
        <w:pStyle w:val="NormalWeb"/>
        <w:spacing w:line="300" w:lineRule="atLeast"/>
        <w:rPr>
          <w:rFonts w:ascii="Georgia" w:hAnsi="Georgia"/>
          <w:color w:val="333333"/>
          <w:lang w:val="en"/>
        </w:rPr>
      </w:pPr>
      <w:r>
        <w:rPr>
          <w:rFonts w:ascii="Georgia" w:hAnsi="Georgia"/>
          <w:color w:val="333333"/>
          <w:lang w:val="en"/>
        </w:rPr>
        <w:t>With a price incentive, adopting sustainable biofuels for road transport could reduce annual emissions by up to 3 Mt CO</w:t>
      </w:r>
      <w:r>
        <w:rPr>
          <w:rFonts w:ascii="Georgia" w:hAnsi="Georgia"/>
          <w:color w:val="333333"/>
          <w:sz w:val="18"/>
          <w:szCs w:val="18"/>
          <w:vertAlign w:val="subscript"/>
          <w:lang w:val="en"/>
        </w:rPr>
        <w:t>2</w:t>
      </w:r>
      <w:r>
        <w:rPr>
          <w:rFonts w:ascii="Georgia" w:hAnsi="Georgia"/>
          <w:color w:val="333333"/>
          <w:lang w:val="en"/>
        </w:rPr>
        <w:t>-e per year by 2050. Increased biofuel</w:t>
      </w:r>
      <w:r>
        <w:rPr>
          <w:rFonts w:ascii="Georgia" w:hAnsi="Georgia"/>
          <w:color w:val="333333"/>
          <w:lang w:val="en"/>
        </w:rPr>
        <w:t xml:space="preserve"> use could diminish the potential for emissions reductions from vehicle electrification and vice versa.</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For rail and domestic shipping, the use of biofuels could offer the largest emissions reduction opportunity, </w:t>
      </w:r>
      <w:proofErr w:type="spellStart"/>
      <w:r>
        <w:rPr>
          <w:rFonts w:ascii="Georgia" w:hAnsi="Georgia"/>
          <w:color w:val="333333"/>
          <w:lang w:val="en"/>
        </w:rPr>
        <w:t>totalling</w:t>
      </w:r>
      <w:proofErr w:type="spellEnd"/>
      <w:r>
        <w:rPr>
          <w:rFonts w:ascii="Georgia" w:hAnsi="Georgia"/>
          <w:color w:val="333333"/>
          <w:lang w:val="en"/>
        </w:rPr>
        <w:t xml:space="preserve"> 2–4 Mt CO</w:t>
      </w:r>
      <w:r>
        <w:rPr>
          <w:rFonts w:ascii="Georgia" w:hAnsi="Georgia"/>
          <w:color w:val="333333"/>
          <w:sz w:val="18"/>
          <w:szCs w:val="18"/>
          <w:vertAlign w:val="subscript"/>
          <w:lang w:val="en"/>
        </w:rPr>
        <w:t>2</w:t>
      </w:r>
      <w:r>
        <w:rPr>
          <w:rFonts w:ascii="Georgia" w:hAnsi="Georgia"/>
          <w:color w:val="333333"/>
          <w:lang w:val="en"/>
        </w:rPr>
        <w:t>-e per year by 2050 (Gr</w:t>
      </w:r>
      <w:r>
        <w:rPr>
          <w:rFonts w:ascii="Georgia" w:hAnsi="Georgia"/>
          <w:color w:val="333333"/>
          <w:lang w:val="en"/>
        </w:rPr>
        <w:t>aham et al. 2012b, pp. 53, 55). This is also the case for domestic aviation, where biofuels have the potential to reduce emissions by 6 Mt CO</w:t>
      </w:r>
      <w:r>
        <w:rPr>
          <w:rFonts w:ascii="Georgia" w:hAnsi="Georgia"/>
          <w:color w:val="333333"/>
          <w:sz w:val="18"/>
          <w:szCs w:val="18"/>
          <w:vertAlign w:val="subscript"/>
          <w:lang w:val="en"/>
        </w:rPr>
        <w:t>2</w:t>
      </w:r>
      <w:r>
        <w:rPr>
          <w:rFonts w:ascii="Georgia" w:hAnsi="Georgia"/>
          <w:color w:val="333333"/>
          <w:lang w:val="en"/>
        </w:rPr>
        <w:t xml:space="preserve">-e in 2050 (Graham et al. 2012b, p. 50). </w:t>
      </w:r>
    </w:p>
    <w:p w:rsidR="00000000" w:rsidRDefault="004170B4">
      <w:pPr>
        <w:pStyle w:val="NormalWeb"/>
        <w:spacing w:line="300" w:lineRule="atLeast"/>
        <w:rPr>
          <w:rFonts w:ascii="Georgia" w:hAnsi="Georgia"/>
          <w:color w:val="333333"/>
          <w:lang w:val="en"/>
        </w:rPr>
      </w:pPr>
      <w:r>
        <w:rPr>
          <w:rFonts w:ascii="Georgia" w:hAnsi="Georgia"/>
          <w:color w:val="333333"/>
          <w:lang w:val="en"/>
        </w:rPr>
        <w:t>Current supply of feedstock in Australia is not expected to be enough to</w:t>
      </w:r>
      <w:r>
        <w:rPr>
          <w:rFonts w:ascii="Georgia" w:hAnsi="Georgia"/>
          <w:color w:val="333333"/>
          <w:lang w:val="en"/>
        </w:rPr>
        <w:t xml:space="preserve"> meet substantial increases in demand (Wild 2011), and other potential sources may be </w:t>
      </w:r>
      <w:proofErr w:type="spellStart"/>
      <w:r>
        <w:rPr>
          <w:rFonts w:ascii="Georgia" w:hAnsi="Georgia"/>
          <w:color w:val="333333"/>
          <w:lang w:val="en"/>
        </w:rPr>
        <w:t>favoured</w:t>
      </w:r>
      <w:proofErr w:type="spellEnd"/>
      <w:r>
        <w:rPr>
          <w:rFonts w:ascii="Georgia" w:hAnsi="Georgia"/>
          <w:color w:val="333333"/>
          <w:lang w:val="en"/>
        </w:rPr>
        <w:t xml:space="preserve"> to supply a growing market for biofuels.</w:t>
      </w:r>
    </w:p>
    <w:p w:rsidR="00000000" w:rsidRDefault="004170B4">
      <w:pPr>
        <w:pStyle w:val="NormalWeb"/>
        <w:spacing w:line="300" w:lineRule="atLeast"/>
        <w:rPr>
          <w:rFonts w:ascii="Georgia" w:hAnsi="Georgia"/>
          <w:color w:val="333333"/>
          <w:lang w:val="en"/>
        </w:rPr>
      </w:pPr>
      <w:r>
        <w:rPr>
          <w:rFonts w:ascii="Georgia" w:hAnsi="Georgia"/>
          <w:color w:val="333333"/>
          <w:lang w:val="en"/>
        </w:rPr>
        <w:t>Regulatory drivers, such as New South Wales’s biofuel mandates, can support increased biofuel use, but may not guarantee</w:t>
      </w:r>
      <w:r>
        <w:rPr>
          <w:rFonts w:ascii="Georgia" w:hAnsi="Georgia"/>
          <w:color w:val="333333"/>
          <w:lang w:val="en"/>
        </w:rPr>
        <w:t xml:space="preserve"> the biofuel is produced sustainably. </w:t>
      </w:r>
    </w:p>
    <w:p w:rsidR="00000000" w:rsidRDefault="004170B4">
      <w:pPr>
        <w:pStyle w:val="Heading4"/>
        <w:rPr>
          <w:rFonts w:eastAsia="Times New Roman"/>
          <w:color w:val="333333"/>
          <w:lang w:val="en"/>
        </w:rPr>
      </w:pPr>
      <w:r>
        <w:rPr>
          <w:rFonts w:eastAsia="Times New Roman"/>
          <w:color w:val="333333"/>
          <w:lang w:val="en"/>
        </w:rPr>
        <w:t>D4.3.3 More efficient demand management and mode shifts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There is potential for emissions reductions through mode shifts from road freight to rail and shipping. Based on international research, rail and shipping offer </w:t>
      </w:r>
      <w:r>
        <w:rPr>
          <w:rFonts w:ascii="Georgia" w:hAnsi="Georgia"/>
          <w:color w:val="333333"/>
          <w:lang w:val="en"/>
        </w:rPr>
        <w:t>lower emissions intensity transport, at an average of 23 g CO</w:t>
      </w:r>
      <w:r>
        <w:rPr>
          <w:rFonts w:ascii="Georgia" w:hAnsi="Georgia"/>
          <w:color w:val="333333"/>
          <w:sz w:val="18"/>
          <w:szCs w:val="18"/>
          <w:vertAlign w:val="subscript"/>
          <w:lang w:val="en"/>
        </w:rPr>
        <w:t>2</w:t>
      </w:r>
      <w:r>
        <w:rPr>
          <w:rFonts w:ascii="Georgia" w:hAnsi="Georgia"/>
          <w:color w:val="333333"/>
          <w:lang w:val="en"/>
        </w:rPr>
        <w:t xml:space="preserve"> per </w:t>
      </w:r>
      <w:proofErr w:type="spellStart"/>
      <w:r>
        <w:rPr>
          <w:rFonts w:ascii="Georgia" w:hAnsi="Georgia"/>
          <w:color w:val="333333"/>
          <w:lang w:val="en"/>
        </w:rPr>
        <w:t>tonne</w:t>
      </w:r>
      <w:proofErr w:type="spellEnd"/>
      <w:r>
        <w:rPr>
          <w:rFonts w:ascii="Georgia" w:hAnsi="Georgia"/>
          <w:color w:val="333333"/>
          <w:lang w:val="en"/>
        </w:rPr>
        <w:t>-km and 5–13 g CO</w:t>
      </w:r>
      <w:r>
        <w:rPr>
          <w:rFonts w:ascii="Georgia" w:hAnsi="Georgia"/>
          <w:color w:val="333333"/>
          <w:sz w:val="18"/>
          <w:szCs w:val="18"/>
          <w:vertAlign w:val="subscript"/>
          <w:lang w:val="en"/>
        </w:rPr>
        <w:t>2</w:t>
      </w:r>
      <w:r>
        <w:rPr>
          <w:rFonts w:ascii="Georgia" w:hAnsi="Georgia"/>
          <w:color w:val="333333"/>
          <w:lang w:val="en"/>
        </w:rPr>
        <w:t xml:space="preserve"> per </w:t>
      </w:r>
      <w:proofErr w:type="spellStart"/>
      <w:r>
        <w:rPr>
          <w:rFonts w:ascii="Georgia" w:hAnsi="Georgia"/>
          <w:color w:val="333333"/>
          <w:lang w:val="en"/>
        </w:rPr>
        <w:t>tonne</w:t>
      </w:r>
      <w:proofErr w:type="spellEnd"/>
      <w:r>
        <w:rPr>
          <w:rFonts w:ascii="Georgia" w:hAnsi="Georgia"/>
          <w:color w:val="333333"/>
          <w:lang w:val="en"/>
        </w:rPr>
        <w:t>-km, respectively. By comparison, road freight averages 120 g CO</w:t>
      </w:r>
      <w:r>
        <w:rPr>
          <w:rFonts w:ascii="Georgia" w:hAnsi="Georgia"/>
          <w:color w:val="333333"/>
          <w:sz w:val="18"/>
          <w:szCs w:val="18"/>
          <w:vertAlign w:val="subscript"/>
          <w:lang w:val="en"/>
        </w:rPr>
        <w:t>2</w:t>
      </w:r>
      <w:r>
        <w:rPr>
          <w:rFonts w:ascii="Georgia" w:hAnsi="Georgia"/>
          <w:color w:val="333333"/>
          <w:lang w:val="en"/>
        </w:rPr>
        <w:t xml:space="preserve"> per </w:t>
      </w:r>
      <w:proofErr w:type="spellStart"/>
      <w:r>
        <w:rPr>
          <w:rFonts w:ascii="Georgia" w:hAnsi="Georgia"/>
          <w:color w:val="333333"/>
          <w:lang w:val="en"/>
        </w:rPr>
        <w:t>tonne</w:t>
      </w:r>
      <w:proofErr w:type="spellEnd"/>
      <w:r>
        <w:rPr>
          <w:rFonts w:ascii="Georgia" w:hAnsi="Georgia"/>
          <w:color w:val="333333"/>
          <w:lang w:val="en"/>
        </w:rPr>
        <w:t>-km (</w:t>
      </w:r>
      <w:proofErr w:type="spellStart"/>
      <w:r>
        <w:rPr>
          <w:rFonts w:ascii="Georgia" w:hAnsi="Georgia"/>
          <w:color w:val="333333"/>
          <w:lang w:val="en"/>
        </w:rPr>
        <w:t>Cristea</w:t>
      </w:r>
      <w:proofErr w:type="spellEnd"/>
      <w:r>
        <w:rPr>
          <w:rFonts w:ascii="Georgia" w:hAnsi="Georgia"/>
          <w:color w:val="333333"/>
          <w:lang w:val="en"/>
        </w:rPr>
        <w:t xml:space="preserve"> et al. 2011, p. 38). Coupled with improved freight logistics, mode s</w:t>
      </w:r>
      <w:r>
        <w:rPr>
          <w:rFonts w:ascii="Georgia" w:hAnsi="Georgia"/>
          <w:color w:val="333333"/>
          <w:lang w:val="en"/>
        </w:rPr>
        <w:t>hift could reduce freight emissions by up to 5 Mt CO</w:t>
      </w:r>
      <w:r>
        <w:rPr>
          <w:rFonts w:ascii="Georgia" w:hAnsi="Georgia"/>
          <w:color w:val="333333"/>
          <w:sz w:val="18"/>
          <w:szCs w:val="18"/>
          <w:vertAlign w:val="subscript"/>
          <w:lang w:val="en"/>
        </w:rPr>
        <w:t>2</w:t>
      </w:r>
      <w:r>
        <w:rPr>
          <w:rFonts w:ascii="Georgia" w:hAnsi="Georgia"/>
          <w:color w:val="333333"/>
          <w:lang w:val="en"/>
        </w:rPr>
        <w:t>-e per year by 2050 (Graham et al. 2012b, p. 82).</w:t>
      </w:r>
    </w:p>
    <w:p w:rsidR="00000000" w:rsidRDefault="004170B4">
      <w:pPr>
        <w:pStyle w:val="NormalWeb"/>
        <w:spacing w:line="300" w:lineRule="atLeast"/>
        <w:rPr>
          <w:rFonts w:ascii="Georgia" w:hAnsi="Georgia"/>
          <w:color w:val="333333"/>
          <w:lang w:val="en"/>
        </w:rPr>
      </w:pPr>
      <w:r>
        <w:rPr>
          <w:rFonts w:ascii="Georgia" w:hAnsi="Georgia"/>
          <w:color w:val="333333"/>
          <w:lang w:val="en"/>
        </w:rPr>
        <w:t>Rail is the primary mode to move bulk freight, such as coal and iron ore. It plays less of a role in moving other freight, where its share, compared with</w:t>
      </w:r>
      <w:r>
        <w:rPr>
          <w:rFonts w:ascii="Georgia" w:hAnsi="Georgia"/>
          <w:color w:val="333333"/>
          <w:lang w:val="en"/>
        </w:rPr>
        <w:t xml:space="preserve"> long-haul road vehicles, is less than 10 per cent in the two largest corridors—between Sydney and Melbourne, and Sydney and Brisbane (BITRE 2009, p. 6). Investment in road infrastructure has brought more time-efficient and cost-effective road freight alon</w:t>
      </w:r>
      <w:r>
        <w:rPr>
          <w:rFonts w:ascii="Georgia" w:hAnsi="Georgia"/>
          <w:color w:val="333333"/>
          <w:lang w:val="en"/>
        </w:rPr>
        <w:t>g these commercial routes. Rail becomes cost-competitive with road over distances longer than 1,000 </w:t>
      </w:r>
      <w:proofErr w:type="spellStart"/>
      <w:r>
        <w:rPr>
          <w:rFonts w:ascii="Georgia" w:hAnsi="Georgia"/>
          <w:color w:val="333333"/>
          <w:lang w:val="en"/>
        </w:rPr>
        <w:t>kilometres</w:t>
      </w:r>
      <w:proofErr w:type="spellEnd"/>
      <w:r>
        <w:rPr>
          <w:rFonts w:ascii="Georgia" w:hAnsi="Georgia"/>
          <w:color w:val="333333"/>
          <w:lang w:val="en"/>
        </w:rPr>
        <w:t>, but transit time increases at a higher rate than for road freight (BITRE 2009, p. 8). Investment in rail infrastructure along these corridors co</w:t>
      </w:r>
      <w:r>
        <w:rPr>
          <w:rFonts w:ascii="Georgia" w:hAnsi="Georgia"/>
          <w:color w:val="333333"/>
          <w:lang w:val="en"/>
        </w:rPr>
        <w:t>uld reduce transit time and costs, and improve rail’s share of freight transport. However, there are long timeframes for investment and payback, which are a barrier to a broader uptake of rail freight transport.</w:t>
      </w:r>
    </w:p>
    <w:p w:rsidR="00000000" w:rsidRDefault="004170B4">
      <w:pPr>
        <w:pStyle w:val="NormalWeb"/>
        <w:spacing w:line="300" w:lineRule="atLeast"/>
        <w:rPr>
          <w:rFonts w:ascii="Georgia" w:hAnsi="Georgia"/>
          <w:color w:val="333333"/>
          <w:lang w:val="en"/>
        </w:rPr>
      </w:pPr>
      <w:r>
        <w:rPr>
          <w:rFonts w:ascii="Georgia" w:hAnsi="Georgia"/>
          <w:color w:val="333333"/>
          <w:lang w:val="en"/>
        </w:rPr>
        <w:t>Passenger mode shift from private vehicles t</w:t>
      </w:r>
      <w:r>
        <w:rPr>
          <w:rFonts w:ascii="Georgia" w:hAnsi="Georgia"/>
          <w:color w:val="333333"/>
          <w:lang w:val="en"/>
        </w:rPr>
        <w:t xml:space="preserve">o public and active transport also offers emissions reduction opportunities, with options ranging from increased use of public transport infrastructure to measures that encourage cycling and walking. It is </w:t>
      </w:r>
      <w:r>
        <w:rPr>
          <w:rFonts w:ascii="Georgia" w:hAnsi="Georgia"/>
          <w:color w:val="333333"/>
          <w:lang w:val="en"/>
        </w:rPr>
        <w:lastRenderedPageBreak/>
        <w:t>estimated that switching from private car to other</w:t>
      </w:r>
      <w:r>
        <w:rPr>
          <w:rFonts w:ascii="Georgia" w:hAnsi="Georgia"/>
          <w:color w:val="333333"/>
          <w:lang w:val="en"/>
        </w:rPr>
        <w:t xml:space="preserve"> transport modes could offer emissions reductions of up to 7 Mt CO</w:t>
      </w:r>
      <w:r>
        <w:rPr>
          <w:rFonts w:ascii="Georgia" w:hAnsi="Georgia"/>
          <w:color w:val="333333"/>
          <w:sz w:val="18"/>
          <w:szCs w:val="18"/>
          <w:vertAlign w:val="subscript"/>
          <w:lang w:val="en"/>
        </w:rPr>
        <w:t>2</w:t>
      </w:r>
      <w:r>
        <w:rPr>
          <w:rFonts w:ascii="Georgia" w:hAnsi="Georgia"/>
          <w:color w:val="333333"/>
          <w:lang w:val="en"/>
        </w:rPr>
        <w:t>-e per year by 2050 (Graham et al. 2012b, pp. 69, 70, 72).</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cities are more sparsely populated than most cities of the world (DIT 2013, p. 112), which presents a challenge to bro</w:t>
      </w:r>
      <w:r>
        <w:rPr>
          <w:rFonts w:ascii="Georgia" w:hAnsi="Georgia"/>
          <w:color w:val="333333"/>
          <w:lang w:val="en"/>
        </w:rPr>
        <w:t xml:space="preserve">ader use of public and active transport. The potential for passenger mode shift is difficult to quantify—users’ mode selection depends on the alternative transport options available and, potentially, policies and programs that influence travel </w:t>
      </w:r>
      <w:proofErr w:type="spellStart"/>
      <w:r>
        <w:rPr>
          <w:rFonts w:ascii="Georgia" w:hAnsi="Georgia"/>
          <w:color w:val="333333"/>
          <w:lang w:val="en"/>
        </w:rPr>
        <w:t>behaviour</w:t>
      </w:r>
      <w:proofErr w:type="spellEnd"/>
      <w:r>
        <w:rPr>
          <w:rFonts w:ascii="Georgia" w:hAnsi="Georgia"/>
          <w:color w:val="333333"/>
          <w:lang w:val="en"/>
        </w:rPr>
        <w:t xml:space="preserve"> ch</w:t>
      </w:r>
      <w:r>
        <w:rPr>
          <w:rFonts w:ascii="Georgia" w:hAnsi="Georgia"/>
          <w:color w:val="333333"/>
          <w:lang w:val="en"/>
        </w:rPr>
        <w:t xml:space="preserve">ange.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Emissions reductions could also be achieved through intelligent transport systems (ITS). </w:t>
      </w:r>
      <w:proofErr w:type="gramStart"/>
      <w:r>
        <w:rPr>
          <w:rFonts w:ascii="Georgia" w:hAnsi="Georgia"/>
          <w:color w:val="333333"/>
          <w:lang w:val="en"/>
        </w:rPr>
        <w:t>ITS comprise</w:t>
      </w:r>
      <w:proofErr w:type="gramEnd"/>
      <w:r>
        <w:rPr>
          <w:rFonts w:ascii="Georgia" w:hAnsi="Georgia"/>
          <w:color w:val="333333"/>
          <w:lang w:val="en"/>
        </w:rPr>
        <w:t xml:space="preserve"> a range of information and communications technologies that can be applied to </w:t>
      </w:r>
      <w:proofErr w:type="spellStart"/>
      <w:r>
        <w:rPr>
          <w:rFonts w:ascii="Georgia" w:hAnsi="Georgia"/>
          <w:color w:val="333333"/>
          <w:lang w:val="en"/>
        </w:rPr>
        <w:t>optimise</w:t>
      </w:r>
      <w:proofErr w:type="spellEnd"/>
      <w:r>
        <w:rPr>
          <w:rFonts w:ascii="Georgia" w:hAnsi="Georgia"/>
          <w:color w:val="333333"/>
          <w:lang w:val="en"/>
        </w:rPr>
        <w:t xml:space="preserve"> travel patterns, including traffic management. It is estimat</w:t>
      </w:r>
      <w:r>
        <w:rPr>
          <w:rFonts w:ascii="Georgia" w:hAnsi="Georgia"/>
          <w:color w:val="333333"/>
          <w:lang w:val="en"/>
        </w:rPr>
        <w:t>ed that, if adopted, intelligent traffic management could reduce emissions by about 3 Mt CO</w:t>
      </w:r>
      <w:r>
        <w:rPr>
          <w:rFonts w:ascii="Georgia" w:hAnsi="Georgia"/>
          <w:color w:val="333333"/>
          <w:sz w:val="18"/>
          <w:szCs w:val="18"/>
          <w:vertAlign w:val="subscript"/>
          <w:lang w:val="en"/>
        </w:rPr>
        <w:t>2</w:t>
      </w:r>
      <w:r>
        <w:rPr>
          <w:rFonts w:ascii="Georgia" w:hAnsi="Georgia"/>
          <w:color w:val="333333"/>
          <w:lang w:val="en"/>
        </w:rPr>
        <w:t xml:space="preserve">-e per year by 2050 (Graham et al. 2012b, p. 80). </w:t>
      </w:r>
      <w:proofErr w:type="spellStart"/>
      <w:r>
        <w:rPr>
          <w:rFonts w:ascii="Georgia" w:hAnsi="Georgia"/>
          <w:color w:val="333333"/>
          <w:lang w:val="en"/>
        </w:rPr>
        <w:t>Austroads</w:t>
      </w:r>
      <w:proofErr w:type="spellEnd"/>
      <w:r>
        <w:rPr>
          <w:rFonts w:ascii="Georgia" w:hAnsi="Georgia"/>
          <w:color w:val="333333"/>
          <w:lang w:val="en"/>
        </w:rPr>
        <w:t>, the association of Australian and New Zealand traffic authorities, is developing an ITS architecture to</w:t>
      </w:r>
      <w:r>
        <w:rPr>
          <w:rFonts w:ascii="Georgia" w:hAnsi="Georgia"/>
          <w:color w:val="333333"/>
          <w:lang w:val="en"/>
        </w:rPr>
        <w:t xml:space="preserve"> facilitate consistent and interoperable ITS delivery. The project, which is scheduled to be completed in 2016, will establish the regulatory and operational framework for ITS in Australia (</w:t>
      </w:r>
      <w:proofErr w:type="spellStart"/>
      <w:r>
        <w:rPr>
          <w:rFonts w:ascii="Georgia" w:hAnsi="Georgia"/>
          <w:color w:val="333333"/>
          <w:lang w:val="en"/>
        </w:rPr>
        <w:t>Austroads</w:t>
      </w:r>
      <w:proofErr w:type="spellEnd"/>
      <w:r>
        <w:rPr>
          <w:rFonts w:ascii="Georgia" w:hAnsi="Georgia"/>
          <w:color w:val="333333"/>
          <w:lang w:val="en"/>
        </w:rPr>
        <w:t xml:space="preserve"> 2013).</w:t>
      </w:r>
    </w:p>
    <w:p w:rsidR="00000000" w:rsidRDefault="004170B4">
      <w:pPr>
        <w:pStyle w:val="Heading2"/>
        <w:rPr>
          <w:rFonts w:eastAsia="Times New Roman"/>
          <w:color w:val="333333"/>
          <w:lang w:val="en"/>
        </w:rPr>
      </w:pPr>
      <w:r>
        <w:rPr>
          <w:rFonts w:eastAsia="Times New Roman"/>
          <w:color w:val="333333"/>
          <w:lang w:val="en"/>
        </w:rPr>
        <w:t xml:space="preserve">Appendix D5 Direct combustion </w:t>
      </w:r>
    </w:p>
    <w:p w:rsidR="00000000" w:rsidRDefault="004170B4">
      <w:pPr>
        <w:pStyle w:val="Heading3"/>
        <w:rPr>
          <w:rFonts w:eastAsia="Times New Roman"/>
          <w:color w:val="333333"/>
          <w:lang w:val="en"/>
        </w:rPr>
      </w:pPr>
      <w:r>
        <w:rPr>
          <w:rFonts w:eastAsia="Times New Roman"/>
          <w:color w:val="333333"/>
          <w:lang w:val="en"/>
        </w:rPr>
        <w:t>D5.1 Direct combus</w:t>
      </w:r>
      <w:r>
        <w:rPr>
          <w:rFonts w:eastAsia="Times New Roman"/>
          <w:color w:val="333333"/>
          <w:lang w:val="en"/>
        </w:rPr>
        <w:t>tion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Direct combustion is burning fuels for stationary energy purposes, such as generating heat, steam or pressure. It excludes fuels combusted for electricity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direct combustion emissions were 75 Mt CO</w:t>
      </w:r>
      <w:r>
        <w:rPr>
          <w:rFonts w:ascii="Georgia" w:hAnsi="Georgia"/>
          <w:color w:val="333333"/>
          <w:sz w:val="18"/>
          <w:szCs w:val="18"/>
          <w:vertAlign w:val="subscript"/>
          <w:lang w:val="en"/>
        </w:rPr>
        <w:t>2</w:t>
      </w:r>
      <w:r>
        <w:rPr>
          <w:rFonts w:ascii="Georgia" w:hAnsi="Georgia"/>
          <w:color w:val="333333"/>
          <w:lang w:val="en"/>
        </w:rPr>
        <w:t xml:space="preserve">-e in 2000 </w:t>
      </w:r>
      <w:r>
        <w:rPr>
          <w:rFonts w:ascii="Georgia" w:hAnsi="Georgia"/>
          <w:color w:val="333333"/>
          <w:lang w:val="en"/>
        </w:rPr>
        <w:t>and 95 Mt CO</w:t>
      </w:r>
      <w:r>
        <w:rPr>
          <w:rFonts w:ascii="Georgia" w:hAnsi="Georgia"/>
          <w:color w:val="333333"/>
          <w:sz w:val="18"/>
          <w:szCs w:val="18"/>
          <w:vertAlign w:val="subscript"/>
          <w:lang w:val="en"/>
        </w:rPr>
        <w:t>2</w:t>
      </w:r>
      <w:r>
        <w:rPr>
          <w:rFonts w:ascii="Georgia" w:hAnsi="Georgia"/>
          <w:color w:val="333333"/>
          <w:lang w:val="en"/>
        </w:rPr>
        <w:t xml:space="preserve">-e in 2012. This represented 13 per cent and 16 per cent of total Australian emissions in 2000 and 2012.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oil and gas industries, metal manufacturing and households are large contributors to direct combustion </w:t>
      </w:r>
      <w:r>
        <w:rPr>
          <w:rFonts w:ascii="Georgia" w:hAnsi="Georgia"/>
          <w:color w:val="333333"/>
          <w:lang w:val="en"/>
        </w:rPr>
        <w:t xml:space="preserve">emissions. The balance of emissions can be attributed to other industrial and commercial use. </w:t>
      </w:r>
    </w:p>
    <w:p w:rsidR="00000000" w:rsidRDefault="004170B4">
      <w:pPr>
        <w:pStyle w:val="Heading2"/>
        <w:rPr>
          <w:rFonts w:eastAsia="Times New Roman"/>
          <w:color w:val="333333"/>
          <w:lang w:val="en"/>
        </w:rPr>
      </w:pPr>
      <w:r>
        <w:rPr>
          <w:rFonts w:eastAsia="Times New Roman"/>
          <w:color w:val="333333"/>
          <w:lang w:val="en"/>
        </w:rPr>
        <w:t>Figure D.23: Direct combustion share of Australia’s emissions,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449195"/>
            <wp:effectExtent l="0" t="0" r="0" b="8255"/>
            <wp:docPr id="23" name="Picture 23" descr="Figure D.23 shows the historical and projected share of direct combustion emissions between 1990 and 2030. &#10;Direct combustion emissions increase from 66 megatonnes of carbon dioxide equivalent in 1990 to 95 megatonnes of carbon dioxide equivalent in 2012. In 2020, direct combustion emissions are projected to be 119 megatonnes of carbon dioxide equivalent in the no price scenario, 118 megatonnes of carbon dioxide equivalent in the low scenario, 116 megatonnes of carbon dioxide equivalent in the medium scenario and 112 megatonnes of carbon dioxide equivalent in the high scenario. &#10;In 2030, direct combustion emissions are projected to be 134 megatonnes of carbon dioxide equivalent in the no price scenario, 126 megatonnes of carbon dioxide equivalent in the low scenario, 125 megatonnes of carbon dioxide equivalent in the medium scenario and 118 megatonnes of carbon dioxide equivalent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D.23 shows the historical and projected share of direct combustion emissions between 1990 and 2030. &#10;Direct combustion emissions increase from 66 megatonnes of carbon dioxide equivalent in 1990 to 95 megatonnes of carbon dioxide equivalent in 2012. In 2020, direct combustion emissions are projected to be 119 megatonnes of carbon dioxide equivalent in the no price scenario, 118 megatonnes of carbon dioxide equivalent in the low scenario, 116 megatonnes of carbon dioxide equivalent in the medium scenario and 112 megatonnes of carbon dioxide equivalent in the high scenario. &#10;In 2030, direct combustion emissions are projected to be 134 megatonnes of carbon dioxide equivalent in the no price scenario, 126 megatonnes of carbon dioxide equivalent in the low scenario, 125 megatonnes of carbon dioxide equivalent in the medium scenario and 118 megatonnes of carbon dioxide equivalent in the high scenario.&#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6770" cy="244919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Australia’s rapidly expanding LNG industry is expected to be the main contributor to direct combustion emissions growth, particularly in the next few years. By </w:t>
      </w:r>
      <w:r>
        <w:rPr>
          <w:rFonts w:ascii="Georgia" w:hAnsi="Georgia"/>
          <w:color w:val="333333"/>
          <w:lang w:val="en"/>
        </w:rPr>
        <w:t>2020, direct combustion emissions are projected to be 49–59 per cent higher than 2000 levels, and 57–79 per cent higher by 2030 (Figure D.23).</w:t>
      </w:r>
    </w:p>
    <w:p w:rsidR="00000000" w:rsidRDefault="004170B4">
      <w:pPr>
        <w:pStyle w:val="NormalWeb"/>
        <w:spacing w:line="300" w:lineRule="atLeast"/>
        <w:rPr>
          <w:rFonts w:ascii="Georgia" w:hAnsi="Georgia"/>
          <w:color w:val="333333"/>
          <w:lang w:val="en"/>
        </w:rPr>
      </w:pPr>
      <w:r>
        <w:rPr>
          <w:rFonts w:ascii="Georgia" w:hAnsi="Georgia"/>
          <w:color w:val="333333"/>
          <w:lang w:val="en"/>
        </w:rPr>
        <w:t>From 2012 to 2030, direct combustion is projected to be responsible for the largest absolute increase in emission</w:t>
      </w:r>
      <w:r>
        <w:rPr>
          <w:rFonts w:ascii="Georgia" w:hAnsi="Georgia"/>
          <w:color w:val="333333"/>
          <w:lang w:val="en"/>
        </w:rPr>
        <w:t>s in any sector of the Australian economy—driven primarily by LNG production—except under the no price scenario.</w:t>
      </w:r>
    </w:p>
    <w:p w:rsidR="00000000" w:rsidRDefault="004170B4">
      <w:pPr>
        <w:pStyle w:val="NormalWeb"/>
        <w:spacing w:line="300" w:lineRule="atLeast"/>
        <w:rPr>
          <w:rFonts w:ascii="Georgia" w:hAnsi="Georgia"/>
          <w:color w:val="333333"/>
          <w:lang w:val="en"/>
        </w:rPr>
      </w:pPr>
      <w:r>
        <w:rPr>
          <w:rFonts w:ascii="Georgia" w:hAnsi="Georgia"/>
          <w:color w:val="333333"/>
          <w:lang w:val="en"/>
        </w:rPr>
        <w:t>Emissions levels are closely correlated with the total energy content of fuel combusted. Direct combustion emissions intensity improved moderat</w:t>
      </w:r>
      <w:r>
        <w:rPr>
          <w:rFonts w:ascii="Georgia" w:hAnsi="Georgia"/>
          <w:color w:val="333333"/>
          <w:lang w:val="en"/>
        </w:rPr>
        <w:t>ely between 2000 and 2012; a trend projected to continue across all scenarios to 2030 (figures D.24 and D.25), as natural gas takes an increasing share of the total primary energy mix.</w:t>
      </w:r>
    </w:p>
    <w:p w:rsidR="00000000" w:rsidRDefault="004170B4">
      <w:pPr>
        <w:pStyle w:val="Heading2"/>
        <w:rPr>
          <w:rFonts w:eastAsia="Times New Roman"/>
          <w:color w:val="333333"/>
          <w:lang w:val="en"/>
        </w:rPr>
      </w:pPr>
      <w:r>
        <w:rPr>
          <w:rFonts w:eastAsia="Times New Roman"/>
          <w:color w:val="333333"/>
          <w:lang w:val="en"/>
        </w:rPr>
        <w:t>Figure D.24: Direct combustion activity and emissions intensity, 1990–2</w:t>
      </w:r>
      <w:r>
        <w:rPr>
          <w:rFonts w:eastAsia="Times New Roman"/>
          <w:color w:val="333333"/>
          <w:lang w:val="en"/>
        </w:rPr>
        <w:t>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343785"/>
            <wp:effectExtent l="0" t="0" r="0" b="0"/>
            <wp:docPr id="24" name="Picture 24" descr="Figure D.24 shows historical and projected direct combustion activity and emissions intensity between 1990 and 2030. &#10;Between 1990 and 2012 direct combustion activity increased from 849 to 1 412 gigajoules and this is projected to increase to around 1,867 to 2,122 gigajoules in 2030. Between 1990 and 2012 direct combustion emissions intensity decreased from 77 to 67 kilograms of carbon dioxide equivalent per gigajoule and this is projected to decrease to around 63 kilograms of carbon dioxide equivalent per gigajoule in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 D.24 shows historical and projected direct combustion activity and emissions intensity between 1990 and 2030. &#10;Between 1990 and 2012 direct combustion activity increased from 849 to 1 412 gigajoules and this is projected to increase to around 1,867 to 2,122 gigajoules in 2030. Between 1990 and 2012 direct combustion emissions intensity decreased from 77 to 67 kilograms of carbon dioxide equivalent per gigajoule and this is projected to decrease to around 63 kilograms of carbon dioxide equivalent per gigajoule in 203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6770" cy="234378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Upper and lower line bounds illustrate the range of modelled outcomes.</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Figure D.25: Historical and projected direct combustion activity and emissions intensity,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921635"/>
            <wp:effectExtent l="0" t="0" r="0" b="0"/>
            <wp:docPr id="25" name="Picture 25" descr="Figure D.25 shows historical and projected direct combustion activity and emissions intensity across four scenarios between 1990 and 2030. &#10;Between 1990 and 2012 activity increased and emissions intensity decreased. Activity is projected to continue increasing to 2030 across all scenarios while emissions intensity is projected to continue falling across all scenarios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D.25 shows historical and projected direct combustion activity and emissions intensity across four scenarios between 1990 and 2030. &#10;Between 1990 and 2012 activity increased and emissions intensity decreased. Activity is projected to continue increasing to 2030 across all scenarios while emissions intensity is projected to continue falling across all scenarios over the same period.&#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6770" cy="292163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w:t>
      </w:r>
      <w:r>
        <w:rPr>
          <w:rFonts w:ascii="Georgia" w:hAnsi="Georgia"/>
          <w:color w:val="333333"/>
          <w:lang w:val="en"/>
        </w:rPr>
        <w:t>CCSRTE 2013</w:t>
      </w:r>
    </w:p>
    <w:p w:rsidR="00000000" w:rsidRDefault="004170B4">
      <w:pPr>
        <w:pStyle w:val="Heading3"/>
        <w:rPr>
          <w:rFonts w:eastAsia="Times New Roman"/>
          <w:color w:val="333333"/>
          <w:lang w:val="en"/>
        </w:rPr>
      </w:pPr>
      <w:r>
        <w:rPr>
          <w:rFonts w:eastAsia="Times New Roman"/>
          <w:color w:val="333333"/>
          <w:lang w:val="en"/>
        </w:rPr>
        <w:t>D5.2 Direct combustion emissions outcomes,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Direct combustion emissions from LNG production relate to onsite use of natural gas to fuel stationary equipment, particularly the compression turbines used to liquefy natural </w:t>
      </w:r>
      <w:r>
        <w:rPr>
          <w:rFonts w:ascii="Georgia" w:hAnsi="Georgia"/>
          <w:color w:val="333333"/>
          <w:lang w:val="en"/>
        </w:rPr>
        <w:t>gas. Figure D.26 shows the modelled impact of price incentives on direct combustion emissions. All scenarios show strong emissions growth to 2020—the lowest projection in 2020 is almost 50 per cent higher than 2000 levels. The opportunity for emissions red</w:t>
      </w:r>
      <w:r>
        <w:rPr>
          <w:rFonts w:ascii="Georgia" w:hAnsi="Georgia"/>
          <w:color w:val="333333"/>
          <w:lang w:val="en"/>
        </w:rPr>
        <w:t xml:space="preserve">uctions, regardless of the level of incentive, is somewhat limited by long-term supply contracts in the growing LNG industry. While LNG exports </w:t>
      </w:r>
      <w:proofErr w:type="spellStart"/>
      <w:r>
        <w:rPr>
          <w:rFonts w:ascii="Georgia" w:hAnsi="Georgia"/>
          <w:color w:val="333333"/>
          <w:lang w:val="en"/>
        </w:rPr>
        <w:t>totalled</w:t>
      </w:r>
      <w:proofErr w:type="spellEnd"/>
      <w:r>
        <w:rPr>
          <w:rFonts w:ascii="Georgia" w:hAnsi="Georgia"/>
          <w:color w:val="333333"/>
          <w:lang w:val="en"/>
        </w:rPr>
        <w:t xml:space="preserve"> 24 million </w:t>
      </w:r>
      <w:proofErr w:type="spellStart"/>
      <w:r>
        <w:rPr>
          <w:rFonts w:ascii="Georgia" w:hAnsi="Georgia"/>
          <w:color w:val="333333"/>
          <w:lang w:val="en"/>
        </w:rPr>
        <w:t>tonnes</w:t>
      </w:r>
      <w:proofErr w:type="spellEnd"/>
      <w:r>
        <w:rPr>
          <w:rFonts w:ascii="Georgia" w:hAnsi="Georgia"/>
          <w:color w:val="333333"/>
          <w:lang w:val="en"/>
        </w:rPr>
        <w:t xml:space="preserve"> in 2012 (BREE 2013a, p. 24), there is over 114 million </w:t>
      </w:r>
      <w:proofErr w:type="spellStart"/>
      <w:r>
        <w:rPr>
          <w:rFonts w:ascii="Georgia" w:hAnsi="Georgia"/>
          <w:color w:val="333333"/>
          <w:lang w:val="en"/>
        </w:rPr>
        <w:t>tonnes</w:t>
      </w:r>
      <w:proofErr w:type="spellEnd"/>
      <w:r>
        <w:rPr>
          <w:rFonts w:ascii="Georgia" w:hAnsi="Georgia"/>
          <w:color w:val="333333"/>
          <w:lang w:val="en"/>
        </w:rPr>
        <w:t xml:space="preserve"> of annual LNG productio</w:t>
      </w:r>
      <w:r>
        <w:rPr>
          <w:rFonts w:ascii="Georgia" w:hAnsi="Georgia"/>
          <w:color w:val="333333"/>
          <w:lang w:val="en"/>
        </w:rPr>
        <w:t xml:space="preserve">n capacity in operation, under construction or at initial stages in Australia (BREE 2013a, pp. 32–33) (Table D.6). </w:t>
      </w:r>
    </w:p>
    <w:p w:rsidR="00000000" w:rsidRDefault="004170B4">
      <w:pPr>
        <w:pStyle w:val="Heading2"/>
        <w:rPr>
          <w:rFonts w:eastAsia="Times New Roman"/>
          <w:color w:val="333333"/>
          <w:lang w:val="en"/>
        </w:rPr>
      </w:pPr>
      <w:r>
        <w:rPr>
          <w:rFonts w:eastAsia="Times New Roman"/>
          <w:color w:val="333333"/>
          <w:lang w:val="en"/>
        </w:rPr>
        <w:t>Figure D.26: Contributors to direct combustion emissions, selected years, 1990–2030, and to change in emissions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5339080"/>
            <wp:effectExtent l="0" t="0" r="0" b="0"/>
            <wp:docPr id="26" name="Picture 26" descr="Figure D.26 shows the historical and projected contributors to Australia’s direct combustion emissions between 1990 and 2030. &#10;From 1990 to 2012, direct combustion emissions increased from 66 to 95 megatonnes of carbon dioxide equivalent. Direct combustion emissions are projected to be between 118 and 134 megatonnes of carbon dioxide equivalent in 2030. Between 1990 and 2012, gas direct combustion emissions contributed around 40 to 50 per cent of total direct combustion emissions. This contribution is projected to be around 58 per cent in 2020 and a similar amount in 2030. &#10;Relative to 2000, changes in gas direct combustion emissions were the main contributor to Australia’s lower emissions in 1990 and increased emissions in 2012. Gas direct combustion emissions are projected to be the main contributor to Australia’s direct combustion emissions across all scenarios to 2030. At the same time decreased use of ‘other fuels’ is projected to make the largest net negative contribution to direct combustion emissions across all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D.26 shows the historical and projected contributors to Australia’s direct combustion emissions between 1990 and 2030. &#10;From 1990 to 2012, direct combustion emissions increased from 66 to 95 megatonnes of carbon dioxide equivalent. Direct combustion emissions are projected to be between 118 and 134 megatonnes of carbon dioxide equivalent in 2030. Between 1990 and 2012, gas direct combustion emissions contributed around 40 to 50 per cent of total direct combustion emissions. This contribution is projected to be around 58 per cent in 2020 and a similar amount in 2030. &#10;Relative to 2000, changes in gas direct combustion emissions were the main contributor to Australia’s lower emissions in 1990 and increased emissions in 2012. Gas direct combustion emissions are projected to be the main contributor to Australia’s direct combustion emissions across all scenarios to 2030. At the same time decreased use of ‘other fuels’ is projected to make the largest net negative contribution to direct combustion emissions across all scenari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6770" cy="533908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lastRenderedPageBreak/>
        <w:t>Source:</w:t>
      </w:r>
      <w:r>
        <w:rPr>
          <w:rFonts w:ascii="Georgia" w:hAnsi="Georgia"/>
          <w:color w:val="333333"/>
          <w:lang w:val="en"/>
        </w:rPr>
        <w:t xml:space="preserve"> 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Table D.6: Australian LNG projects</w:t>
      </w:r>
    </w:p>
    <w:tbl>
      <w:tblPr>
        <w:tblW w:w="5000" w:type="pct"/>
        <w:tblCellSpacing w:w="15" w:type="dxa"/>
        <w:tblLook w:val="04A0" w:firstRow="1" w:lastRow="0" w:firstColumn="1" w:lastColumn="0" w:noHBand="0" w:noVBand="1"/>
      </w:tblPr>
      <w:tblGrid>
        <w:gridCol w:w="3752"/>
        <w:gridCol w:w="3545"/>
        <w:gridCol w:w="1730"/>
      </w:tblGrid>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Existing</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xml:space="preserve">Capacity (million </w:t>
            </w:r>
            <w:proofErr w:type="spellStart"/>
            <w:r>
              <w:rPr>
                <w:rStyle w:val="Strong"/>
                <w:rFonts w:ascii="Georgia" w:hAnsi="Georgia"/>
                <w:color w:val="333333"/>
              </w:rPr>
              <w:t>tonnes</w:t>
            </w:r>
            <w:proofErr w:type="spellEnd"/>
            <w:r>
              <w:rPr>
                <w:rStyle w:val="Strong"/>
                <w:rFonts w:ascii="Georgia" w:hAnsi="Georgia"/>
                <w:color w:val="333333"/>
              </w:rPr>
              <w:t>/year)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Completion</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North West Shelf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16.3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Operating</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Pluto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4.3</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Operating </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Darwin LNG (NT)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3.7</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 xml:space="preserve">Operating </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Under construction</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xml:space="preserve">Capacity (million </w:t>
            </w:r>
            <w:proofErr w:type="spellStart"/>
            <w:r>
              <w:rPr>
                <w:rStyle w:val="Strong"/>
                <w:rFonts w:ascii="Georgia" w:hAnsi="Georgia"/>
                <w:color w:val="333333"/>
              </w:rPr>
              <w:t>tonnes</w:t>
            </w:r>
            <w:proofErr w:type="spellEnd"/>
            <w:r>
              <w:rPr>
                <w:rStyle w:val="Strong"/>
                <w:rFonts w:ascii="Georgia" w:hAnsi="Georgia"/>
                <w:color w:val="333333"/>
              </w:rPr>
              <w:t>/year)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Completion</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Gorgon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15.6</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2015</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Australia Pacific LNG (</w:t>
            </w:r>
            <w:proofErr w:type="spellStart"/>
            <w:r>
              <w:rPr>
                <w:rStyle w:val="Strong"/>
                <w:rFonts w:ascii="Georgia" w:hAnsi="Georgia"/>
                <w:color w:val="333333"/>
              </w:rPr>
              <w:t>Qld</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2015</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Wheatstone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8.9</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2016</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Queensland Curtis LNG (</w:t>
            </w:r>
            <w:proofErr w:type="spellStart"/>
            <w:r>
              <w:rPr>
                <w:rStyle w:val="Strong"/>
                <w:rFonts w:ascii="Georgia" w:hAnsi="Georgia"/>
                <w:color w:val="333333"/>
              </w:rPr>
              <w:t>Qld</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8.5</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2014</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proofErr w:type="spellStart"/>
            <w:r>
              <w:rPr>
                <w:rStyle w:val="Strong"/>
                <w:rFonts w:ascii="Georgia" w:hAnsi="Georgia"/>
                <w:color w:val="333333"/>
              </w:rPr>
              <w:t>Ichthys</w:t>
            </w:r>
            <w:proofErr w:type="spellEnd"/>
            <w:r>
              <w:rPr>
                <w:rStyle w:val="Strong"/>
                <w:rFonts w:ascii="Georgia" w:hAnsi="Georgia"/>
                <w:color w:val="333333"/>
              </w:rPr>
              <w:t xml:space="preserve"> (NT)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8.4</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Gladstone LNG (</w:t>
            </w:r>
            <w:proofErr w:type="spellStart"/>
            <w:r>
              <w:rPr>
                <w:rStyle w:val="Strong"/>
                <w:rFonts w:ascii="Georgia" w:hAnsi="Georgia"/>
                <w:color w:val="333333"/>
              </w:rPr>
              <w:t>Qld</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7.8</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2015</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Prelude Floating LNG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3.6</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Feasibility stage</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xml:space="preserve">Capacity (million </w:t>
            </w:r>
            <w:proofErr w:type="spellStart"/>
            <w:r>
              <w:rPr>
                <w:rStyle w:val="Strong"/>
                <w:rFonts w:ascii="Georgia" w:hAnsi="Georgia"/>
                <w:color w:val="333333"/>
              </w:rPr>
              <w:t>tonnes</w:t>
            </w:r>
            <w:proofErr w:type="spellEnd"/>
            <w:r>
              <w:rPr>
                <w:rStyle w:val="Strong"/>
                <w:rFonts w:ascii="Georgia" w:hAnsi="Georgia"/>
                <w:color w:val="333333"/>
              </w:rPr>
              <w:t>/year)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Completion</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Scarborough Floating LNG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6.0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Gorgon LNG Train 4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5.2</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Bonaparte Floating LNG (NT)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3.0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Browse Floating LNG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lastRenderedPageBreak/>
              <w:t>Proposed</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 xml:space="preserve">Capacity (million </w:t>
            </w:r>
            <w:proofErr w:type="spellStart"/>
            <w:r>
              <w:rPr>
                <w:rStyle w:val="Strong"/>
                <w:rFonts w:ascii="Georgia" w:hAnsi="Georgia"/>
                <w:color w:val="333333"/>
              </w:rPr>
              <w:t>tonnes</w:t>
            </w:r>
            <w:proofErr w:type="spellEnd"/>
            <w:r>
              <w:rPr>
                <w:rStyle w:val="Strong"/>
                <w:rFonts w:ascii="Georgia" w:hAnsi="Georgia"/>
                <w:color w:val="333333"/>
              </w:rPr>
              <w:t>/year)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Completion</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Arrow LNG (</w:t>
            </w:r>
            <w:proofErr w:type="spellStart"/>
            <w:r>
              <w:rPr>
                <w:rStyle w:val="Strong"/>
                <w:rFonts w:ascii="Georgia" w:hAnsi="Georgia"/>
                <w:color w:val="333333"/>
              </w:rPr>
              <w:t>Qld</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8.0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Sunrise (NT)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Cash Maple (NT)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proofErr w:type="spellStart"/>
            <w:r>
              <w:rPr>
                <w:rStyle w:val="Strong"/>
                <w:rFonts w:ascii="Georgia" w:hAnsi="Georgia"/>
                <w:color w:val="333333"/>
              </w:rPr>
              <w:t>Equus</w:t>
            </w:r>
            <w:proofErr w:type="spellEnd"/>
            <w:r>
              <w:rPr>
                <w:rStyle w:val="Strong"/>
                <w:rFonts w:ascii="Georgia" w:hAnsi="Georgia"/>
                <w:color w:val="333333"/>
              </w:rPr>
              <w:t xml:space="preserve"> (WA)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N/A</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2018+</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BREE 2013a</w:t>
      </w:r>
    </w:p>
    <w:p w:rsidR="00000000" w:rsidRDefault="004170B4">
      <w:pPr>
        <w:pStyle w:val="NormalWeb"/>
        <w:spacing w:line="300" w:lineRule="atLeast"/>
        <w:rPr>
          <w:rFonts w:ascii="Georgia" w:hAnsi="Georgia"/>
          <w:color w:val="333333"/>
          <w:lang w:val="en"/>
        </w:rPr>
      </w:pPr>
      <w:r>
        <w:rPr>
          <w:rFonts w:ascii="Georgia" w:hAnsi="Georgia"/>
          <w:color w:val="333333"/>
          <w:lang w:val="en"/>
        </w:rPr>
        <w:t>More generally across the industrial, residential and commercial sectors, energy efficiency is likely to play an increasingly important role across all forms of direct combustion, somewhat constraining growth in emissions.</w:t>
      </w:r>
    </w:p>
    <w:p w:rsidR="00000000" w:rsidRDefault="004170B4">
      <w:pPr>
        <w:pStyle w:val="Heading3"/>
        <w:rPr>
          <w:rFonts w:eastAsia="Times New Roman"/>
          <w:color w:val="333333"/>
          <w:lang w:val="en"/>
        </w:rPr>
      </w:pPr>
      <w:r>
        <w:rPr>
          <w:rFonts w:eastAsia="Times New Roman"/>
          <w:color w:val="333333"/>
          <w:lang w:val="en"/>
        </w:rPr>
        <w:t>D5.3 Progress in direct combustion emissions reduction</w:t>
      </w:r>
    </w:p>
    <w:p w:rsidR="00000000" w:rsidRDefault="004170B4">
      <w:pPr>
        <w:pStyle w:val="Heading4"/>
        <w:rPr>
          <w:rFonts w:eastAsia="Times New Roman"/>
          <w:color w:val="333333"/>
          <w:lang w:val="en"/>
        </w:rPr>
      </w:pPr>
      <w:r>
        <w:rPr>
          <w:rFonts w:eastAsia="Times New Roman"/>
          <w:color w:val="333333"/>
          <w:lang w:val="en"/>
        </w:rPr>
        <w:t xml:space="preserve">D5.3.1 Natural gas industry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projected increase in direct combustion emissions results from large increases in LNG exports and limited opportunities to improve the emissions intensity of LNG produc</w:t>
      </w:r>
      <w:r>
        <w:rPr>
          <w:rFonts w:ascii="Georgia" w:hAnsi="Georgia"/>
          <w:color w:val="333333"/>
          <w:lang w:val="en"/>
        </w:rPr>
        <w:t xml:space="preserve">tion. Demand for Australian fossil fuel exports such as LNG is driven by global commodity prices and the exchange rate, as well as global and regional economic growth. </w:t>
      </w:r>
    </w:p>
    <w:p w:rsidR="00000000" w:rsidRDefault="004170B4">
      <w:pPr>
        <w:pStyle w:val="NormalWeb"/>
        <w:spacing w:line="300" w:lineRule="atLeast"/>
        <w:rPr>
          <w:rFonts w:ascii="Georgia" w:hAnsi="Georgia"/>
          <w:color w:val="333333"/>
          <w:lang w:val="en"/>
        </w:rPr>
      </w:pPr>
      <w:r>
        <w:rPr>
          <w:rFonts w:ascii="Georgia" w:hAnsi="Georgia"/>
          <w:color w:val="333333"/>
          <w:lang w:val="en"/>
        </w:rPr>
        <w:t>Improvements in emissions intensity may come from energy efficiency gains in turbines a</w:t>
      </w:r>
      <w:r>
        <w:rPr>
          <w:rFonts w:ascii="Georgia" w:hAnsi="Georgia"/>
          <w:color w:val="333333"/>
          <w:lang w:val="en"/>
        </w:rPr>
        <w:t xml:space="preserve">nd other machinery. Australia Pacific LNG (2010, p. 25) notes that the most fuel-efficient turbines result in approximately 25 per cent less greenhouse gas emissions compared with commonly used turbines around the world. Additionally, heat captured from a </w:t>
      </w:r>
      <w:r>
        <w:rPr>
          <w:rFonts w:ascii="Georgia" w:hAnsi="Georgia"/>
          <w:color w:val="333333"/>
          <w:lang w:val="en"/>
        </w:rPr>
        <w:t>gas turbine’s exhaust may be used in the LNG liquefaction process to augment gas-fired boilers.</w:t>
      </w:r>
    </w:p>
    <w:p w:rsidR="00000000" w:rsidRDefault="004170B4">
      <w:pPr>
        <w:pStyle w:val="Heading4"/>
        <w:rPr>
          <w:rFonts w:eastAsia="Times New Roman"/>
          <w:color w:val="333333"/>
          <w:lang w:val="en"/>
        </w:rPr>
      </w:pPr>
      <w:r>
        <w:rPr>
          <w:rFonts w:eastAsia="Times New Roman"/>
          <w:color w:val="333333"/>
          <w:lang w:val="en"/>
        </w:rPr>
        <w:t>D5.3.2 Alumina refining</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Non-ferrous metal manufacturing, principally alumina refining, is the second-largest source of direct combustion emissions.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Between 200</w:t>
      </w:r>
      <w:r>
        <w:rPr>
          <w:rFonts w:ascii="Georgia" w:hAnsi="Georgia"/>
          <w:color w:val="333333"/>
          <w:lang w:val="en"/>
        </w:rPr>
        <w:t>5 and 2012, direct combustion emissions from alumina refining stayed at about 8 Mt CO</w:t>
      </w:r>
      <w:r>
        <w:rPr>
          <w:rFonts w:ascii="Georgia" w:hAnsi="Georgia"/>
          <w:color w:val="333333"/>
          <w:sz w:val="18"/>
          <w:szCs w:val="18"/>
          <w:vertAlign w:val="subscript"/>
          <w:lang w:val="en"/>
        </w:rPr>
        <w:t>2</w:t>
      </w:r>
      <w:r>
        <w:rPr>
          <w:rFonts w:ascii="Georgia" w:hAnsi="Georgia"/>
          <w:color w:val="333333"/>
          <w:lang w:val="en"/>
        </w:rPr>
        <w:t>-e (Treasury and DIICCSRTE 2013), despite a 21 per cent increase in alumina production (BREE 2013b). This improvement in emissions intensity is largely due to fuel-switch</w:t>
      </w:r>
      <w:r>
        <w:rPr>
          <w:rFonts w:ascii="Georgia" w:hAnsi="Georgia"/>
          <w:color w:val="333333"/>
          <w:lang w:val="en"/>
        </w:rPr>
        <w:t xml:space="preserve">ing from coal to gas.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Between 2012 and 2020, direct combustion emissions from alumina refining are projected to increase by 18 per cent to 10 Mt CO</w:t>
      </w:r>
      <w:r>
        <w:rPr>
          <w:rFonts w:ascii="Georgia" w:hAnsi="Georgia"/>
          <w:color w:val="333333"/>
          <w:sz w:val="18"/>
          <w:szCs w:val="18"/>
          <w:vertAlign w:val="subscript"/>
          <w:lang w:val="en"/>
        </w:rPr>
        <w:t>2</w:t>
      </w:r>
      <w:r>
        <w:rPr>
          <w:rFonts w:ascii="Georgia" w:hAnsi="Georgia"/>
          <w:color w:val="333333"/>
          <w:lang w:val="en"/>
        </w:rPr>
        <w:t>-e (Treasury and DIICCSRTE 2013) as production increases (BREE 2012b, p. 48). Further improvement in emissi</w:t>
      </w:r>
      <w:r>
        <w:rPr>
          <w:rFonts w:ascii="Georgia" w:hAnsi="Georgia"/>
          <w:color w:val="333333"/>
          <w:lang w:val="en"/>
        </w:rPr>
        <w:t xml:space="preserve">ons intensity may come from process refinements. Opportunities vary, from co-generation plants, whose waste heat can generate steam for use in the alumina refining process (DRET 2008, p. 8), to systems </w:t>
      </w:r>
      <w:proofErr w:type="spellStart"/>
      <w:r>
        <w:rPr>
          <w:rFonts w:ascii="Georgia" w:hAnsi="Georgia"/>
          <w:color w:val="333333"/>
          <w:lang w:val="en"/>
        </w:rPr>
        <w:t>optimisation</w:t>
      </w:r>
      <w:proofErr w:type="spellEnd"/>
      <w:r>
        <w:rPr>
          <w:rFonts w:ascii="Georgia" w:hAnsi="Georgia"/>
          <w:color w:val="333333"/>
          <w:lang w:val="en"/>
        </w:rPr>
        <w:t xml:space="preserve">, which more efficiently controls the use </w:t>
      </w:r>
      <w:r>
        <w:rPr>
          <w:rFonts w:ascii="Georgia" w:hAnsi="Georgia"/>
          <w:color w:val="333333"/>
          <w:lang w:val="en"/>
        </w:rPr>
        <w:t>of natural gas (DRET 2013, p. 2). Absolute emissions reductions, or large gains in emissions intensity, may be limited unless fossil fuel combustion is replaced by lower emissions sources (DCCEE 2012, p. 14).</w:t>
      </w:r>
    </w:p>
    <w:p w:rsidR="00000000" w:rsidRDefault="004170B4">
      <w:pPr>
        <w:pStyle w:val="Heading4"/>
        <w:rPr>
          <w:rFonts w:eastAsia="Times New Roman"/>
          <w:color w:val="333333"/>
          <w:lang w:val="en"/>
        </w:rPr>
      </w:pPr>
      <w:r>
        <w:rPr>
          <w:rFonts w:eastAsia="Times New Roman"/>
          <w:color w:val="333333"/>
          <w:lang w:val="en"/>
        </w:rPr>
        <w:t>D5.3.3 Residential sector</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Continued regulatory improvements to the thermal efficiency of residential homes and the energy efficiency of household appliances, such as hot water systems, could represent significant emissions reduction opportunities. George </w:t>
      </w:r>
      <w:proofErr w:type="spellStart"/>
      <w:r>
        <w:rPr>
          <w:rFonts w:ascii="Georgia" w:hAnsi="Georgia"/>
          <w:color w:val="333333"/>
          <w:lang w:val="en"/>
        </w:rPr>
        <w:t>Wilkenfeld</w:t>
      </w:r>
      <w:proofErr w:type="spellEnd"/>
      <w:r>
        <w:rPr>
          <w:rFonts w:ascii="Georgia" w:hAnsi="Georgia"/>
          <w:color w:val="333333"/>
          <w:lang w:val="en"/>
        </w:rPr>
        <w:t xml:space="preserve"> and Associates (</w:t>
      </w:r>
      <w:r>
        <w:rPr>
          <w:rFonts w:ascii="Georgia" w:hAnsi="Georgia"/>
          <w:color w:val="333333"/>
          <w:lang w:val="en"/>
        </w:rPr>
        <w:t>2009, p. 40) project that equipment energy efficiency standards affecting residential gas use may save 4.5 Mt CO</w:t>
      </w:r>
      <w:r>
        <w:rPr>
          <w:rFonts w:ascii="Georgia" w:hAnsi="Georgia"/>
          <w:color w:val="333333"/>
          <w:sz w:val="18"/>
          <w:szCs w:val="18"/>
          <w:vertAlign w:val="subscript"/>
          <w:lang w:val="en"/>
        </w:rPr>
        <w:t>2</w:t>
      </w:r>
      <w:r>
        <w:rPr>
          <w:rFonts w:ascii="Georgia" w:hAnsi="Georgia"/>
          <w:color w:val="333333"/>
          <w:lang w:val="en"/>
        </w:rPr>
        <w:t xml:space="preserve">-e between 2000 and 2020. There may be an increase in </w:t>
      </w:r>
      <w:proofErr w:type="spellStart"/>
      <w:r>
        <w:rPr>
          <w:rFonts w:ascii="Georgia" w:hAnsi="Georgia"/>
          <w:color w:val="333333"/>
          <w:lang w:val="en"/>
        </w:rPr>
        <w:t>sectoral</w:t>
      </w:r>
      <w:proofErr w:type="spellEnd"/>
      <w:r>
        <w:rPr>
          <w:rFonts w:ascii="Georgia" w:hAnsi="Georgia"/>
          <w:color w:val="333333"/>
          <w:lang w:val="en"/>
        </w:rPr>
        <w:t xml:space="preserve"> emissions, however, as conventional electric resistive water heaters are phased </w:t>
      </w:r>
      <w:r>
        <w:rPr>
          <w:rFonts w:ascii="Georgia" w:hAnsi="Georgia"/>
          <w:color w:val="333333"/>
          <w:lang w:val="en"/>
        </w:rPr>
        <w:t>out. The effect on direct combustion emissions will depend on householders’ preferences for gas, solar or heat pump water heaters, and choices between gas and electric heat pump space heating. The overall effect on emissions will also depend on the emissio</w:t>
      </w:r>
      <w:r>
        <w:rPr>
          <w:rFonts w:ascii="Georgia" w:hAnsi="Georgia"/>
          <w:color w:val="333333"/>
          <w:lang w:val="en"/>
        </w:rPr>
        <w:t>ns intensity of electricity generation and the relative improvements in appliance efficiency.</w:t>
      </w:r>
    </w:p>
    <w:p w:rsidR="00000000" w:rsidRDefault="004170B4">
      <w:pPr>
        <w:pStyle w:val="Heading2"/>
        <w:rPr>
          <w:rFonts w:eastAsia="Times New Roman"/>
          <w:color w:val="333333"/>
          <w:lang w:val="en"/>
        </w:rPr>
      </w:pPr>
      <w:r>
        <w:rPr>
          <w:rFonts w:eastAsia="Times New Roman"/>
          <w:color w:val="333333"/>
          <w:lang w:val="en"/>
        </w:rPr>
        <w:t>Appendix D6 Fugitive emissions</w:t>
      </w:r>
    </w:p>
    <w:p w:rsidR="00000000" w:rsidRDefault="004170B4">
      <w:pPr>
        <w:pStyle w:val="Heading3"/>
        <w:rPr>
          <w:rFonts w:eastAsia="Times New Roman"/>
          <w:color w:val="333333"/>
          <w:lang w:val="en"/>
        </w:rPr>
      </w:pPr>
      <w:r>
        <w:rPr>
          <w:rFonts w:eastAsia="Times New Roman"/>
          <w:color w:val="333333"/>
          <w:lang w:val="en"/>
        </w:rPr>
        <w:t>D6.1 Fugitive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Fugitive emissions are greenhouse gases emitted during the extraction, production, processing, sto</w:t>
      </w:r>
      <w:r>
        <w:rPr>
          <w:rFonts w:ascii="Georgia" w:hAnsi="Georgia"/>
          <w:color w:val="333333"/>
          <w:lang w:val="en"/>
        </w:rPr>
        <w:t>rage, transmission and distribution of fossil fuels such as coal, oil and gas. Fugitive emissions do not include emissions from fuel combustion.</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fugitive emissions were 41 Mt CO</w:t>
      </w:r>
      <w:r>
        <w:rPr>
          <w:rFonts w:ascii="Georgia" w:hAnsi="Georgia"/>
          <w:color w:val="333333"/>
          <w:sz w:val="18"/>
          <w:szCs w:val="18"/>
          <w:vertAlign w:val="subscript"/>
          <w:lang w:val="en"/>
        </w:rPr>
        <w:t>2</w:t>
      </w:r>
      <w:r>
        <w:rPr>
          <w:rFonts w:ascii="Georgia" w:hAnsi="Georgia"/>
          <w:color w:val="333333"/>
          <w:lang w:val="en"/>
        </w:rPr>
        <w:t>-e in 2000 and increased to 48 Mt CO</w:t>
      </w:r>
      <w:r>
        <w:rPr>
          <w:rFonts w:ascii="Georgia" w:hAnsi="Georgia"/>
          <w:color w:val="333333"/>
          <w:sz w:val="18"/>
          <w:szCs w:val="18"/>
          <w:vertAlign w:val="subscript"/>
          <w:lang w:val="en"/>
        </w:rPr>
        <w:t>2</w:t>
      </w:r>
      <w:r>
        <w:rPr>
          <w:rFonts w:ascii="Georgia" w:hAnsi="Georgia"/>
          <w:color w:val="333333"/>
          <w:lang w:val="en"/>
        </w:rPr>
        <w:t>-e in 2012 (Treasury and DIIC</w:t>
      </w:r>
      <w:r>
        <w:rPr>
          <w:rFonts w:ascii="Georgia" w:hAnsi="Georgia"/>
          <w:color w:val="333333"/>
          <w:lang w:val="en"/>
        </w:rPr>
        <w:t>CSRTE 2013). This represented 7 and 8 per cent of Australia’s total emissions in 2000 and 2012, respectively (Figure D.27). Almost three-quarters of 2012 fugitive emissions were from the coal industry, with the balance from the oil and gas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w:t>
      </w:r>
      <w:r>
        <w:rPr>
          <w:rFonts w:ascii="Georgia" w:hAnsi="Georgia"/>
          <w:color w:val="333333"/>
          <w:lang w:val="en"/>
        </w:rPr>
        <w:t>easury and DIICCSRTE modelling (2013) projects fugitive emissions will increase relative to 2000 levels by 2030 under all scenarios. Growth ranges from an 8 Mt CO</w:t>
      </w:r>
      <w:r>
        <w:rPr>
          <w:rFonts w:ascii="Georgia" w:hAnsi="Georgia"/>
          <w:color w:val="333333"/>
          <w:sz w:val="18"/>
          <w:szCs w:val="18"/>
          <w:vertAlign w:val="subscript"/>
          <w:lang w:val="en"/>
        </w:rPr>
        <w:t>2</w:t>
      </w:r>
      <w:r>
        <w:rPr>
          <w:rFonts w:ascii="Georgia" w:hAnsi="Georgia"/>
          <w:color w:val="333333"/>
          <w:lang w:val="en"/>
        </w:rPr>
        <w:t>-e to 59 Mt CO</w:t>
      </w:r>
      <w:r>
        <w:rPr>
          <w:rFonts w:ascii="Georgia" w:hAnsi="Georgia"/>
          <w:color w:val="333333"/>
          <w:sz w:val="18"/>
          <w:szCs w:val="18"/>
          <w:vertAlign w:val="subscript"/>
          <w:lang w:val="en"/>
        </w:rPr>
        <w:t>2</w:t>
      </w:r>
      <w:r>
        <w:rPr>
          <w:rFonts w:ascii="Georgia" w:hAnsi="Georgia"/>
          <w:color w:val="333333"/>
          <w:lang w:val="en"/>
        </w:rPr>
        <w:t>-e increase under the high and no price scenarios, respectively (Figure D.27).</w:t>
      </w:r>
      <w:r>
        <w:rPr>
          <w:rFonts w:ascii="Georgia" w:hAnsi="Georgia"/>
          <w:color w:val="333333"/>
          <w:lang w:val="en"/>
        </w:rPr>
        <w:t xml:space="preserve"> The projected increase reflects growth in coal and LNG production, driven by strong global demand for Australia’s energy resources. The scenarios project a wide range of possible future fugitive emissions levels in 2030 (Figure D.28). </w:t>
      </w:r>
    </w:p>
    <w:p w:rsidR="00000000" w:rsidRDefault="004170B4">
      <w:pPr>
        <w:pStyle w:val="Heading2"/>
        <w:rPr>
          <w:rFonts w:eastAsia="Times New Roman"/>
          <w:color w:val="333333"/>
          <w:lang w:val="en"/>
        </w:rPr>
      </w:pPr>
      <w:r>
        <w:rPr>
          <w:rFonts w:eastAsia="Times New Roman"/>
          <w:color w:val="333333"/>
          <w:lang w:val="en"/>
        </w:rPr>
        <w:lastRenderedPageBreak/>
        <w:t>Figure D.27: Fugiti</w:t>
      </w:r>
      <w:r>
        <w:rPr>
          <w:rFonts w:eastAsia="Times New Roman"/>
          <w:color w:val="333333"/>
          <w:lang w:val="en"/>
        </w:rPr>
        <w:t xml:space="preserve">ve share of Australia’s emissions, selected years, 1990–2030 </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732405"/>
            <wp:effectExtent l="0" t="0" r="0" b="0"/>
            <wp:docPr id="27" name="Picture 27" descr="Figure D.27 shows the historical and projected share of fugitive emissions between 1990 and 2030.&#10;Fugitive emissions increase from 37 to 48 megatonnes of carbon dioxide equivalent between 1990 and 2012. In 2020, fugitive emissions are projected to be 79 megatonnes of carbon dioxide equivalent in the no price scenario, 71 megatonnes of carbon dioxide equivalent in the low scenario, 66 megatonnes of carbon dioxide equivalent in the medium scenario and 59 megatonnes of carbon dioxide equivalent in the high scenario. &#10;In 2030, fugitive emissions are projected to be 100 megatonnes of carbon dioxide equivalent in the no price scenario, 69 megatonnes of carbon dioxide equivalent in the low scenario, 67 megatonnes of carbon dioxide equivalent in the medium scenario and 50 megatonnes of carbon dioxide equivalent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D.27 shows the historical and projected share of fugitive emissions between 1990 and 2030.&#10;Fugitive emissions increase from 37 to 48 megatonnes of carbon dioxide equivalent between 1990 and 2012. In 2020, fugitive emissions are projected to be 79 megatonnes of carbon dioxide equivalent in the no price scenario, 71 megatonnes of carbon dioxide equivalent in the low scenario, 66 megatonnes of carbon dioxide equivalent in the medium scenario and 59 megatonnes of carbon dioxide equivalent in the high scenario. &#10;In 2030, fugitive emissions are projected to be 100 megatonnes of carbon dioxide equivalent in the no price scenario, 69 megatonnes of carbon dioxide equivalent in the low scenario, 67 megatonnes of carbon dioxide equivalent in the medium scenario and 50 megatonnes of carbon dioxide equivalent in the high scenario.&#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6770" cy="273240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Figure D.28: Historical an</w:t>
      </w:r>
      <w:r>
        <w:rPr>
          <w:rFonts w:eastAsia="Times New Roman"/>
          <w:color w:val="333333"/>
          <w:lang w:val="en"/>
        </w:rPr>
        <w:t>d projected fugitive emissions,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543810"/>
            <wp:effectExtent l="0" t="0" r="0" b="0"/>
            <wp:docPr id="28" name="Picture 28" descr="Figure D.28 shows historical and projected fugitive emissions between 1990 and 2030 across the coal, oil and gas, gas supply and refineries sub-sectors. &#10;Between 1990 and 2012 fugitive emissions increased in the coal and oil and gas sub-sectors, but remained relatively steady in the others. In 2030, coal fugitive emissions are projected to increase to around 30 to 70 megatonnes of carbon dioxide equivalent, oil and gas fugitive emissions to around 13 to 25 megatonnes of carbon dioxide equivalent and gas supply fugitive emissions to around 4 to 8 megatonnes of carbon dioxide equivalent. Fugitive emissions from refineries are projected to be below 1 megatonne of carbon dioxide equivalent in 20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 D.28 shows historical and projected fugitive emissions between 1990 and 2030 across the coal, oil and gas, gas supply and refineries sub-sectors. &#10;Between 1990 and 2012 fugitive emissions increased in the coal and oil and gas sub-sectors, but remained relatively steady in the others. In 2030, coal fugitive emissions are projected to increase to around 30 to 70 megatonnes of carbon dioxide equivalent, oil and gas fugitive emissions to around 13 to 25 megatonnes of carbon dioxide equivalent and gas supply fugitive emissions to around 4 to 8 megatonnes of carbon dioxide equivalent. Fugitive emissions from refineries are projected to be below 1 megatonne of carbon dioxide equivalent in 2030.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6770" cy="25438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Upper and lower line bounds illustrate the range of modelled outcomes.</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calculations using results fr</w:t>
      </w:r>
      <w:r>
        <w:rPr>
          <w:rFonts w:ascii="Georgia" w:hAnsi="Georgia"/>
          <w:color w:val="333333"/>
          <w:lang w:val="en"/>
        </w:rPr>
        <w:t xml:space="preserve">om Treasury and DIICCSRTE 2013 </w:t>
      </w:r>
    </w:p>
    <w:p w:rsidR="00000000" w:rsidRDefault="004170B4">
      <w:pPr>
        <w:pStyle w:val="Heading3"/>
        <w:rPr>
          <w:rFonts w:eastAsia="Times New Roman"/>
          <w:color w:val="333333"/>
          <w:lang w:val="en"/>
        </w:rPr>
      </w:pPr>
      <w:r>
        <w:rPr>
          <w:rFonts w:eastAsia="Times New Roman"/>
          <w:color w:val="333333"/>
          <w:lang w:val="en"/>
        </w:rPr>
        <w:lastRenderedPageBreak/>
        <w:t>D6.2 Fugitive emissions outcomes,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D.29 shows the projected fugitive emissions outcomes for each modelled scenario. All scenarios project a steep increase in emissions to 2020, but diverge in t</w:t>
      </w:r>
      <w:r>
        <w:rPr>
          <w:rFonts w:ascii="Georgia" w:hAnsi="Georgia"/>
          <w:color w:val="333333"/>
          <w:lang w:val="en"/>
        </w:rPr>
        <w:t>he decade post-2020. By 2030, emissions are projected to be 21 per cent above 2000 levels in the high scenario and 144 per cent above in the no price scenario. This reflects the potential for strong incentives to enhance the economic attractiveness of emer</w:t>
      </w:r>
      <w:r>
        <w:rPr>
          <w:rFonts w:ascii="Georgia" w:hAnsi="Georgia"/>
          <w:color w:val="333333"/>
          <w:lang w:val="en"/>
        </w:rPr>
        <w:t xml:space="preserve">ging emissions reduction processes, such as the </w:t>
      </w:r>
      <w:proofErr w:type="spellStart"/>
      <w:r>
        <w:rPr>
          <w:rFonts w:ascii="Georgia" w:hAnsi="Georgia"/>
          <w:color w:val="333333"/>
          <w:lang w:val="en"/>
        </w:rPr>
        <w:t>oxidisation</w:t>
      </w:r>
      <w:proofErr w:type="spellEnd"/>
      <w:r>
        <w:rPr>
          <w:rFonts w:ascii="Georgia" w:hAnsi="Georgia"/>
          <w:color w:val="333333"/>
          <w:lang w:val="en"/>
        </w:rPr>
        <w:t xml:space="preserve"> of ventilation air methane in coal mining. </w:t>
      </w:r>
    </w:p>
    <w:p w:rsidR="00000000" w:rsidRDefault="004170B4">
      <w:pPr>
        <w:pStyle w:val="NormalWeb"/>
        <w:spacing w:line="300" w:lineRule="atLeast"/>
        <w:rPr>
          <w:rFonts w:ascii="Georgia" w:hAnsi="Georgia"/>
          <w:color w:val="333333"/>
          <w:lang w:val="en"/>
        </w:rPr>
      </w:pPr>
      <w:r>
        <w:rPr>
          <w:rFonts w:ascii="Georgia" w:hAnsi="Georgia"/>
          <w:color w:val="333333"/>
          <w:lang w:val="en"/>
        </w:rPr>
        <w:t>Future fugitive emissions are projected to be driven by growing coal and gas production in response to increased global energy demand. If there is incre</w:t>
      </w:r>
      <w:r>
        <w:rPr>
          <w:rFonts w:ascii="Georgia" w:hAnsi="Georgia"/>
          <w:color w:val="333333"/>
          <w:lang w:val="en"/>
        </w:rPr>
        <w:t>ased global action on climate change, production of fossil fuels (particularly coal) is projected to grow at a slower rate (Treasury and DIICCSRTE 2013). This effect is incorporated in all the scenarios modelled and is most pronounced in the high scenario.</w:t>
      </w:r>
    </w:p>
    <w:p w:rsidR="00000000" w:rsidRDefault="004170B4">
      <w:pPr>
        <w:pStyle w:val="Heading4"/>
        <w:rPr>
          <w:rFonts w:eastAsia="Times New Roman"/>
          <w:color w:val="333333"/>
          <w:lang w:val="en"/>
        </w:rPr>
      </w:pPr>
      <w:r>
        <w:rPr>
          <w:rFonts w:eastAsia="Times New Roman"/>
          <w:color w:val="333333"/>
          <w:lang w:val="en"/>
        </w:rPr>
        <w:t>D6.2.1 Coal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Fugitive emissions in the coal industry depend on the level of coal production and the greenhouse gas content of the coal seams being mined. </w:t>
      </w:r>
      <w:proofErr w:type="spellStart"/>
      <w:r>
        <w:rPr>
          <w:rFonts w:ascii="Georgia" w:hAnsi="Georgia"/>
          <w:color w:val="333333"/>
          <w:lang w:val="en"/>
        </w:rPr>
        <w:t>ClimateWorks</w:t>
      </w:r>
      <w:proofErr w:type="spellEnd"/>
      <w:r>
        <w:rPr>
          <w:rFonts w:ascii="Georgia" w:hAnsi="Georgia"/>
          <w:color w:val="333333"/>
          <w:lang w:val="en"/>
        </w:rPr>
        <w:t xml:space="preserve"> (2013, p. 36) notes that some of the more emissions-intensive mines generate up </w:t>
      </w:r>
      <w:r>
        <w:rPr>
          <w:rFonts w:ascii="Georgia" w:hAnsi="Georgia"/>
          <w:color w:val="333333"/>
          <w:lang w:val="en"/>
        </w:rPr>
        <w:t>to 0.8 t CO</w:t>
      </w:r>
      <w:r>
        <w:rPr>
          <w:rFonts w:ascii="Georgia" w:hAnsi="Georgia"/>
          <w:color w:val="333333"/>
          <w:sz w:val="18"/>
          <w:szCs w:val="18"/>
          <w:vertAlign w:val="subscript"/>
          <w:lang w:val="en"/>
        </w:rPr>
        <w:t>2</w:t>
      </w:r>
      <w:r>
        <w:rPr>
          <w:rFonts w:ascii="Georgia" w:hAnsi="Georgia"/>
          <w:color w:val="333333"/>
          <w:lang w:val="en"/>
        </w:rPr>
        <w:t xml:space="preserve">-e of fugitive emissions per </w:t>
      </w:r>
      <w:proofErr w:type="spellStart"/>
      <w:r>
        <w:rPr>
          <w:rFonts w:ascii="Georgia" w:hAnsi="Georgia"/>
          <w:color w:val="333333"/>
          <w:lang w:val="en"/>
        </w:rPr>
        <w:t>tonne</w:t>
      </w:r>
      <w:proofErr w:type="spellEnd"/>
      <w:r>
        <w:rPr>
          <w:rFonts w:ascii="Georgia" w:hAnsi="Georgia"/>
          <w:color w:val="333333"/>
          <w:lang w:val="en"/>
        </w:rPr>
        <w:t xml:space="preserve"> of coal produced.</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Underground mines are typically more emissions-intensive than surface mines because deeper coal seams are subject to greater pressures, which prevents the natural escape of emissions through </w:t>
      </w:r>
      <w:r>
        <w:rPr>
          <w:rFonts w:ascii="Georgia" w:hAnsi="Georgia"/>
          <w:color w:val="333333"/>
          <w:lang w:val="en"/>
        </w:rPr>
        <w:t>cracks and fissures (US EPA 2006a, p. 1). In Australia, underground coal mines are around seven times more emissions-intensive than surface mines on average—they contributed 19 per cent to Australian coal production in 2010–11 but 62 per cent of coal fugit</w:t>
      </w:r>
      <w:r>
        <w:rPr>
          <w:rFonts w:ascii="Georgia" w:hAnsi="Georgia"/>
          <w:color w:val="333333"/>
          <w:lang w:val="en"/>
        </w:rPr>
        <w:t>ive emissions (DCCEE 2012).</w:t>
      </w:r>
    </w:p>
    <w:p w:rsidR="00000000" w:rsidRDefault="004170B4">
      <w:pPr>
        <w:pStyle w:val="NormalWeb"/>
        <w:spacing w:line="300" w:lineRule="atLeast"/>
        <w:rPr>
          <w:rFonts w:ascii="Georgia" w:hAnsi="Georgia"/>
          <w:color w:val="333333"/>
          <w:lang w:val="en"/>
        </w:rPr>
      </w:pPr>
      <w:r>
        <w:rPr>
          <w:rFonts w:ascii="Georgia" w:hAnsi="Georgia"/>
          <w:color w:val="333333"/>
          <w:lang w:val="en"/>
        </w:rPr>
        <w:t>Between 2000 and 2012, Australia’s raw coal production increased by 36 per cent (BREE 2013b), while fugitive emissions from coal increased by 24 per cent (Treasury and DIICCSRTE 2013), suggesting improved emissions intensity.</w:t>
      </w:r>
    </w:p>
    <w:p w:rsidR="00000000" w:rsidRDefault="004170B4">
      <w:pPr>
        <w:pStyle w:val="NormalWeb"/>
        <w:spacing w:line="300" w:lineRule="atLeast"/>
        <w:rPr>
          <w:rFonts w:ascii="Georgia" w:hAnsi="Georgia"/>
          <w:color w:val="333333"/>
          <w:lang w:val="en"/>
        </w:rPr>
      </w:pPr>
      <w:r>
        <w:rPr>
          <w:rFonts w:ascii="Georgia" w:hAnsi="Georgia"/>
          <w:color w:val="333333"/>
          <w:lang w:val="en"/>
        </w:rPr>
        <w:t>Al</w:t>
      </w:r>
      <w:r>
        <w:rPr>
          <w:rFonts w:ascii="Georgia" w:hAnsi="Georgia"/>
          <w:color w:val="333333"/>
          <w:lang w:val="en"/>
        </w:rPr>
        <w:t>though price incentives for emissions reduction are projected to affect the emissions intensity of production, growth in Australia’s fugitive emissions will continue to be driven largely by global demand for Australian coal. For example, BREE (2012, pp. 36</w:t>
      </w:r>
      <w:r>
        <w:rPr>
          <w:rFonts w:ascii="Georgia" w:hAnsi="Georgia"/>
          <w:color w:val="333333"/>
          <w:lang w:val="en"/>
        </w:rPr>
        <w:t>, 51) projects total black coal production to increase from 11,700 PJ in 2012–13 to 18,000 PJ in 2049–50, and domestic black coal consumption to decrease from 1,200 PJ to 478 PJ.</w:t>
      </w:r>
    </w:p>
    <w:p w:rsidR="00000000" w:rsidRDefault="004170B4">
      <w:pPr>
        <w:pStyle w:val="Heading2"/>
        <w:rPr>
          <w:rFonts w:eastAsia="Times New Roman"/>
          <w:color w:val="333333"/>
          <w:lang w:val="en"/>
        </w:rPr>
      </w:pPr>
      <w:r>
        <w:rPr>
          <w:rFonts w:eastAsia="Times New Roman"/>
          <w:color w:val="333333"/>
          <w:lang w:val="en"/>
        </w:rPr>
        <w:t>Figure D.29: Contributors to fugitive emissions, selected years, 1990–2030, a</w:t>
      </w:r>
      <w:r>
        <w:rPr>
          <w:rFonts w:eastAsia="Times New Roman"/>
          <w:color w:val="333333"/>
          <w:lang w:val="en"/>
        </w:rPr>
        <w:t>nd to change in emissions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4824095"/>
            <wp:effectExtent l="0" t="0" r="0" b="0"/>
            <wp:docPr id="29" name="Picture 29" descr="Figure D.29 shows the historical and projected contributors to Australia’s fugitive emissions between 1990 and 2030. &#10;From 1990 to 2012, fugitive emissions increased from 37 to 48 megatonnes of carbon dioxide equivalent. Fugitive emissions are projected to be between 50 and 100 megatonnes of carbon dioxide equivalent in 2030. &#10;Between 1990 and 2012, coal fugitive emissions contributed around 60 to 70 per cent of total fugitive emissions. This contribution is projected to be around 70 per cent in 2020 and around 66 per cent in 2030. Relative to 2000, changes in coal fugitive emissions were the main contributor to Australia’s lower fugitive emissions in 1990 and higher emissions in 2012. Fugitive emissions from coal are projected to be the main contributor to Australia’s fugitive emissions across all scenarios to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D.29 shows the historical and projected contributors to Australia’s fugitive emissions between 1990 and 2030. &#10;From 1990 to 2012, fugitive emissions increased from 37 to 48 megatonnes of carbon dioxide equivalent. Fugitive emissions are projected to be between 50 and 100 megatonnes of carbon dioxide equivalent in 2030. &#10;Between 1990 and 2012, coal fugitive emissions contributed around 60 to 70 per cent of total fugitive emissions. This contribution is projected to be around 70 per cent in 2020 and around 66 per cent in 2030. Relative to 2000, changes in coal fugitive emissions were the main contributor to Australia’s lower fugitive emissions in 1990 and higher emissions in 2012. Fugitive emissions from coal are projected to be the main contributor to Australia’s fugitive emissions across all scenarios to 203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6770" cy="482409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4"/>
        <w:rPr>
          <w:rFonts w:eastAsia="Times New Roman"/>
          <w:color w:val="333333"/>
          <w:lang w:val="en"/>
        </w:rPr>
      </w:pPr>
      <w:r>
        <w:rPr>
          <w:rFonts w:eastAsia="Times New Roman"/>
          <w:color w:val="333333"/>
          <w:lang w:val="en"/>
        </w:rPr>
        <w:t>D6.2.2 Oil and gas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Fugitive e</w:t>
      </w:r>
      <w:r>
        <w:rPr>
          <w:rFonts w:ascii="Georgia" w:hAnsi="Georgia"/>
          <w:color w:val="333333"/>
          <w:lang w:val="en"/>
        </w:rPr>
        <w:t xml:space="preserve">missions in the gas industry include gas venting, gas flaring and losses associated with the transmission and distribution of gas. </w:t>
      </w:r>
    </w:p>
    <w:p w:rsidR="00000000" w:rsidRDefault="004170B4">
      <w:pPr>
        <w:pStyle w:val="NormalWeb"/>
        <w:spacing w:line="300" w:lineRule="atLeast"/>
        <w:rPr>
          <w:rFonts w:ascii="Georgia" w:hAnsi="Georgia"/>
          <w:color w:val="333333"/>
          <w:lang w:val="en"/>
        </w:rPr>
      </w:pPr>
      <w:r>
        <w:rPr>
          <w:rFonts w:ascii="Georgia" w:hAnsi="Georgia"/>
          <w:color w:val="333333"/>
          <w:lang w:val="en"/>
        </w:rPr>
        <w:t>Between 2000 and 2012, fugitive emissions from natural gas production decreased 18 per cent and emissions from natural gas t</w:t>
      </w:r>
      <w:r>
        <w:rPr>
          <w:rFonts w:ascii="Georgia" w:hAnsi="Georgia"/>
          <w:color w:val="333333"/>
          <w:lang w:val="en"/>
        </w:rPr>
        <w:t>ransmission and distribution increased by 55 per cent (Treasury and DIICCSRTE 2013). Overall, fugitive emissions from the gas industry remained steady over the period, despite natural gas (and ethane) production doubling between 2000 and 2012 (BREE 2013b).</w:t>
      </w:r>
      <w:r>
        <w:rPr>
          <w:rFonts w:ascii="Georgia" w:hAnsi="Georgia"/>
          <w:color w:val="333333"/>
          <w:lang w:val="en"/>
        </w:rPr>
        <w:t xml:space="preserve"> Oil production decreased over this period; however, its relatively small contribution to emissions means it is not driving changes in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Grattan Institute (2013, p. 4) identifies several trends driving increased demand for gas, including:</w:t>
      </w:r>
    </w:p>
    <w:p w:rsidR="00000000" w:rsidRDefault="004170B4" w:rsidP="004170B4">
      <w:pPr>
        <w:numPr>
          <w:ilvl w:val="0"/>
          <w:numId w:val="2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lastRenderedPageBreak/>
        <w:t>econ</w:t>
      </w:r>
      <w:r>
        <w:rPr>
          <w:rFonts w:ascii="Georgia" w:eastAsia="Times New Roman" w:hAnsi="Georgia"/>
          <w:color w:val="333333"/>
          <w:lang w:val="en"/>
        </w:rPr>
        <w:t>omic growth in China, India and the Middle East, leading to increased energy demand generally</w:t>
      </w:r>
    </w:p>
    <w:p w:rsidR="00000000" w:rsidRDefault="004170B4" w:rsidP="004170B4">
      <w:pPr>
        <w:numPr>
          <w:ilvl w:val="0"/>
          <w:numId w:val="26"/>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several countries changing their policies on nuclear power, notably Australia’s major trading partner Japan, following the Fukushima nuclear incident, leading to </w:t>
      </w:r>
      <w:r>
        <w:rPr>
          <w:rFonts w:ascii="Georgia" w:eastAsia="Times New Roman" w:hAnsi="Georgia"/>
          <w:color w:val="333333"/>
          <w:lang w:val="en"/>
        </w:rPr>
        <w:t>increased demand for alternative energy sources</w:t>
      </w:r>
    </w:p>
    <w:p w:rsidR="00000000" w:rsidRDefault="004170B4" w:rsidP="004170B4">
      <w:pPr>
        <w:numPr>
          <w:ilvl w:val="0"/>
          <w:numId w:val="26"/>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climate</w:t>
      </w:r>
      <w:proofErr w:type="gramEnd"/>
      <w:r>
        <w:rPr>
          <w:rFonts w:ascii="Georgia" w:eastAsia="Times New Roman" w:hAnsi="Georgia"/>
          <w:color w:val="333333"/>
          <w:lang w:val="en"/>
        </w:rPr>
        <w:t xml:space="preserve"> change concerns making gas-fired power plants more attractive, as they emit less greenhouse gases than coal-fired power plants.</w:t>
      </w:r>
    </w:p>
    <w:p w:rsidR="00000000" w:rsidRDefault="004170B4">
      <w:pPr>
        <w:pStyle w:val="NormalWeb"/>
        <w:spacing w:line="300" w:lineRule="atLeast"/>
        <w:rPr>
          <w:rFonts w:ascii="Georgia" w:hAnsi="Georgia"/>
          <w:color w:val="333333"/>
          <w:lang w:val="en"/>
        </w:rPr>
      </w:pPr>
      <w:r>
        <w:rPr>
          <w:rFonts w:ascii="Georgia" w:hAnsi="Georgia"/>
          <w:color w:val="333333"/>
          <w:lang w:val="en"/>
        </w:rPr>
        <w:t>These factors contribute to a strong growth outlook—Australian gas produ</w:t>
      </w:r>
      <w:r>
        <w:rPr>
          <w:rFonts w:ascii="Georgia" w:hAnsi="Georgia"/>
          <w:color w:val="333333"/>
          <w:lang w:val="en"/>
        </w:rPr>
        <w:t>ction is projected to increase by 184 per cent between 2012–13 and 2049–50 (BREE 2012), considerably larger than the growth in domestic consumption.</w:t>
      </w:r>
    </w:p>
    <w:p w:rsidR="00000000" w:rsidRDefault="004170B4">
      <w:pPr>
        <w:pStyle w:val="Heading3"/>
        <w:rPr>
          <w:rFonts w:eastAsia="Times New Roman"/>
          <w:color w:val="333333"/>
          <w:lang w:val="en"/>
        </w:rPr>
      </w:pPr>
      <w:r>
        <w:rPr>
          <w:rFonts w:eastAsia="Times New Roman"/>
          <w:color w:val="333333"/>
          <w:lang w:val="en"/>
        </w:rPr>
        <w:t>D6.3 Progress in fugitive emissions reduction</w:t>
      </w:r>
    </w:p>
    <w:p w:rsidR="00000000" w:rsidRDefault="004170B4">
      <w:pPr>
        <w:pStyle w:val="Heading4"/>
        <w:rPr>
          <w:rFonts w:eastAsia="Times New Roman"/>
          <w:color w:val="333333"/>
          <w:lang w:val="en"/>
        </w:rPr>
      </w:pPr>
      <w:r>
        <w:rPr>
          <w:rFonts w:eastAsia="Times New Roman"/>
          <w:color w:val="333333"/>
          <w:lang w:val="en"/>
        </w:rPr>
        <w:t>D6.3.1 Coal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several emissions reduction te</w:t>
      </w:r>
      <w:r>
        <w:rPr>
          <w:rFonts w:ascii="Georgia" w:hAnsi="Georgia"/>
          <w:color w:val="333333"/>
          <w:lang w:val="en"/>
        </w:rPr>
        <w:t>chnologies the coal industry could use to reduce fugitive emissions, though their implementation may require a price incentive or technological maturation. The US EPA (2006a, p. 2) identified three main measures:</w:t>
      </w:r>
    </w:p>
    <w:p w:rsidR="00000000" w:rsidRDefault="004170B4" w:rsidP="004170B4">
      <w:pPr>
        <w:numPr>
          <w:ilvl w:val="0"/>
          <w:numId w:val="2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degasification to capture methane</w:t>
      </w:r>
    </w:p>
    <w:p w:rsidR="00000000" w:rsidRDefault="004170B4" w:rsidP="004170B4">
      <w:pPr>
        <w:numPr>
          <w:ilvl w:val="0"/>
          <w:numId w:val="27"/>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enhanced </w:t>
      </w:r>
      <w:r>
        <w:rPr>
          <w:rFonts w:ascii="Georgia" w:eastAsia="Times New Roman" w:hAnsi="Georgia"/>
          <w:color w:val="333333"/>
          <w:lang w:val="en"/>
        </w:rPr>
        <w:t>degasification to capture low-grade methane and purify it</w:t>
      </w:r>
    </w:p>
    <w:p w:rsidR="00000000" w:rsidRDefault="004170B4" w:rsidP="004170B4">
      <w:pPr>
        <w:numPr>
          <w:ilvl w:val="0"/>
          <w:numId w:val="27"/>
        </w:numPr>
        <w:spacing w:after="100" w:afterAutospacing="1" w:line="300" w:lineRule="atLeast"/>
        <w:ind w:left="375"/>
        <w:rPr>
          <w:rFonts w:ascii="Georgia" w:eastAsia="Times New Roman" w:hAnsi="Georgia"/>
          <w:color w:val="333333"/>
          <w:lang w:val="en"/>
        </w:rPr>
      </w:pPr>
      <w:proofErr w:type="spellStart"/>
      <w:proofErr w:type="gramStart"/>
      <w:r>
        <w:rPr>
          <w:rFonts w:ascii="Georgia" w:eastAsia="Times New Roman" w:hAnsi="Georgia"/>
          <w:color w:val="333333"/>
          <w:lang w:val="en"/>
        </w:rPr>
        <w:t>oxidisation</w:t>
      </w:r>
      <w:proofErr w:type="spellEnd"/>
      <w:proofErr w:type="gramEnd"/>
      <w:r>
        <w:rPr>
          <w:rFonts w:ascii="Georgia" w:eastAsia="Times New Roman" w:hAnsi="Georgia"/>
          <w:color w:val="333333"/>
          <w:lang w:val="en"/>
        </w:rPr>
        <w:t xml:space="preserve"> of ventilation air methane (when methane in a mine’s ventilation air is </w:t>
      </w:r>
      <w:proofErr w:type="spellStart"/>
      <w:r>
        <w:rPr>
          <w:rFonts w:ascii="Georgia" w:eastAsia="Times New Roman" w:hAnsi="Georgia"/>
          <w:color w:val="333333"/>
          <w:lang w:val="en"/>
        </w:rPr>
        <w:t>oxidised</w:t>
      </w:r>
      <w:proofErr w:type="spellEnd"/>
      <w:r>
        <w:rPr>
          <w:rFonts w:ascii="Georgia" w:eastAsia="Times New Roman" w:hAnsi="Georgia"/>
          <w:color w:val="333333"/>
          <w:lang w:val="en"/>
        </w:rPr>
        <w:t xml:space="preserve"> to generate heat or produce electricity). </w:t>
      </w:r>
    </w:p>
    <w:p w:rsidR="00000000" w:rsidRDefault="004170B4">
      <w:pPr>
        <w:pStyle w:val="NormalWeb"/>
        <w:spacing w:line="300" w:lineRule="atLeast"/>
        <w:rPr>
          <w:rFonts w:ascii="Georgia" w:hAnsi="Georgia"/>
          <w:color w:val="333333"/>
          <w:lang w:val="en"/>
        </w:rPr>
      </w:pPr>
      <w:r>
        <w:rPr>
          <w:rFonts w:ascii="Georgia" w:hAnsi="Georgia"/>
          <w:color w:val="333333"/>
          <w:lang w:val="en"/>
        </w:rPr>
        <w:t>A price incentive could encourage uptake of these technologies</w:t>
      </w:r>
      <w:r>
        <w:rPr>
          <w:rFonts w:ascii="Georgia" w:hAnsi="Georgia"/>
          <w:color w:val="333333"/>
          <w:lang w:val="en"/>
        </w:rPr>
        <w:t xml:space="preserve">. For example, </w:t>
      </w:r>
      <w:proofErr w:type="spellStart"/>
      <w:r>
        <w:rPr>
          <w:rFonts w:ascii="Georgia" w:hAnsi="Georgia"/>
          <w:color w:val="333333"/>
          <w:lang w:val="en"/>
        </w:rPr>
        <w:t>ClimateWorks</w:t>
      </w:r>
      <w:proofErr w:type="spellEnd"/>
      <w:r>
        <w:rPr>
          <w:rFonts w:ascii="Georgia" w:hAnsi="Georgia"/>
          <w:color w:val="333333"/>
          <w:lang w:val="en"/>
        </w:rPr>
        <w:t xml:space="preserve"> (2013) estimates reducing emissions from ventilation air methane </w:t>
      </w:r>
      <w:proofErr w:type="spellStart"/>
      <w:r>
        <w:rPr>
          <w:rFonts w:ascii="Georgia" w:hAnsi="Georgia"/>
          <w:color w:val="333333"/>
          <w:lang w:val="en"/>
        </w:rPr>
        <w:t>oxidisation</w:t>
      </w:r>
      <w:proofErr w:type="spellEnd"/>
      <w:r>
        <w:rPr>
          <w:rFonts w:ascii="Georgia" w:hAnsi="Georgia"/>
          <w:color w:val="333333"/>
          <w:lang w:val="en"/>
        </w:rPr>
        <w:t xml:space="preserve"> costs about $17/t CO</w:t>
      </w:r>
      <w:r>
        <w:rPr>
          <w:rFonts w:ascii="Georgia" w:hAnsi="Georgia"/>
          <w:color w:val="333333"/>
          <w:sz w:val="18"/>
          <w:szCs w:val="18"/>
          <w:vertAlign w:val="subscript"/>
          <w:lang w:val="en"/>
        </w:rPr>
        <w:t>2</w:t>
      </w:r>
      <w:r>
        <w:rPr>
          <w:rFonts w:ascii="Georgia" w:hAnsi="Georgia"/>
          <w:color w:val="333333"/>
          <w:lang w:val="en"/>
        </w:rPr>
        <w:t xml:space="preserve">-e. A price incentive could also drive a shift in Australian coal production towards less gassy mines.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level of coal mining a</w:t>
      </w:r>
      <w:r>
        <w:rPr>
          <w:rFonts w:ascii="Georgia" w:hAnsi="Georgia"/>
          <w:color w:val="333333"/>
          <w:lang w:val="en"/>
        </w:rPr>
        <w:t>ctivity will be the main driver of fugitive emissions. The Treasury and DIICCSRTE (2013) suggests Australia’s coal production level will be more responsive to global action to reduce emissions than to Australia’s domestic price incentive. With strong globa</w:t>
      </w:r>
      <w:r>
        <w:rPr>
          <w:rFonts w:ascii="Georgia" w:hAnsi="Georgia"/>
          <w:color w:val="333333"/>
          <w:lang w:val="en"/>
        </w:rPr>
        <w:t xml:space="preserve">l action on climate change, domestic coal production is projected to be flat from 2020 before falling towards the end of that decade. With weaker action, Australia’s production is projected to continue to grow. </w:t>
      </w:r>
    </w:p>
    <w:p w:rsidR="00000000" w:rsidRDefault="004170B4">
      <w:pPr>
        <w:pStyle w:val="Heading4"/>
        <w:rPr>
          <w:rFonts w:eastAsia="Times New Roman"/>
          <w:color w:val="333333"/>
          <w:lang w:val="en"/>
        </w:rPr>
      </w:pPr>
      <w:r>
        <w:rPr>
          <w:rFonts w:eastAsia="Times New Roman"/>
          <w:color w:val="333333"/>
          <w:lang w:val="en"/>
        </w:rPr>
        <w:t>D6.3.2</w:t>
      </w:r>
      <w:r>
        <w:rPr>
          <w:rFonts w:eastAsia="Times New Roman"/>
          <w:color w:val="333333"/>
          <w:lang w:val="en"/>
        </w:rPr>
        <w:tab/>
        <w:t>Oil and gas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The US EPA (2006</w:t>
      </w:r>
      <w:r>
        <w:rPr>
          <w:rFonts w:ascii="Georgia" w:hAnsi="Georgia"/>
          <w:color w:val="333333"/>
          <w:lang w:val="en"/>
        </w:rPr>
        <w:t>b, p. 2) identified three main fugitive emissions reduction measures for the natural gas industry:</w:t>
      </w:r>
    </w:p>
    <w:p w:rsidR="00000000" w:rsidRDefault="004170B4" w:rsidP="004170B4">
      <w:pPr>
        <w:numPr>
          <w:ilvl w:val="0"/>
          <w:numId w:val="28"/>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Equipment changes and upgrades—including pneumatic control devices, which operate valves and control pressure, flow or liquid levels. These devices can be re</w:t>
      </w:r>
      <w:r>
        <w:rPr>
          <w:rFonts w:ascii="Georgia" w:eastAsia="Times New Roman" w:hAnsi="Georgia"/>
          <w:color w:val="333333"/>
          <w:lang w:val="en"/>
        </w:rPr>
        <w:t xml:space="preserve">trofitted or replaced to ‘bleed’ less natural gas into the atmosphere, or used </w:t>
      </w:r>
      <w:r>
        <w:rPr>
          <w:rFonts w:ascii="Georgia" w:eastAsia="Times New Roman" w:hAnsi="Georgia"/>
          <w:color w:val="333333"/>
          <w:lang w:val="en"/>
        </w:rPr>
        <w:lastRenderedPageBreak/>
        <w:t xml:space="preserve">with compressed air instead of </w:t>
      </w:r>
      <w:proofErr w:type="spellStart"/>
      <w:r>
        <w:rPr>
          <w:rFonts w:ascii="Georgia" w:eastAsia="Times New Roman" w:hAnsi="Georgia"/>
          <w:color w:val="333333"/>
          <w:lang w:val="en"/>
        </w:rPr>
        <w:t>pressurised</w:t>
      </w:r>
      <w:proofErr w:type="spellEnd"/>
      <w:r>
        <w:rPr>
          <w:rFonts w:ascii="Georgia" w:eastAsia="Times New Roman" w:hAnsi="Georgia"/>
          <w:color w:val="333333"/>
          <w:lang w:val="en"/>
        </w:rPr>
        <w:t xml:space="preserve"> natural gas (Copenhagen Consensus on Climate 2009, p. 22). </w:t>
      </w:r>
    </w:p>
    <w:p w:rsidR="00000000" w:rsidRDefault="004170B4" w:rsidP="004170B4">
      <w:pPr>
        <w:numPr>
          <w:ilvl w:val="0"/>
          <w:numId w:val="28"/>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Changes in operational practices—including avoiding the venting of methane</w:t>
      </w:r>
      <w:r>
        <w:rPr>
          <w:rFonts w:ascii="Georgia" w:eastAsia="Times New Roman" w:hAnsi="Georgia"/>
          <w:color w:val="333333"/>
          <w:lang w:val="en"/>
        </w:rPr>
        <w:t xml:space="preserve"> before pipeline maintenance or repairs. This may mean recompressing the gas during maintenance and repairs or using surge vessels, which clear the pipeline of methane for short periods (</w:t>
      </w:r>
      <w:proofErr w:type="spellStart"/>
      <w:r>
        <w:rPr>
          <w:rFonts w:ascii="Georgia" w:eastAsia="Times New Roman" w:hAnsi="Georgia"/>
          <w:color w:val="333333"/>
          <w:lang w:val="en"/>
        </w:rPr>
        <w:t>Ecofys</w:t>
      </w:r>
      <w:proofErr w:type="spellEnd"/>
      <w:r>
        <w:rPr>
          <w:rFonts w:ascii="Georgia" w:eastAsia="Times New Roman" w:hAnsi="Georgia"/>
          <w:color w:val="333333"/>
          <w:lang w:val="en"/>
        </w:rPr>
        <w:t xml:space="preserve"> 2009, p. 27).</w:t>
      </w:r>
    </w:p>
    <w:p w:rsidR="00000000" w:rsidRDefault="004170B4" w:rsidP="004170B4">
      <w:pPr>
        <w:numPr>
          <w:ilvl w:val="0"/>
          <w:numId w:val="28"/>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Direct inspection and maintenance—including iden</w:t>
      </w:r>
      <w:r>
        <w:rPr>
          <w:rFonts w:ascii="Georgia" w:eastAsia="Times New Roman" w:hAnsi="Georgia"/>
          <w:color w:val="333333"/>
          <w:lang w:val="en"/>
        </w:rPr>
        <w:t>tifying and addressing leaks across the natural gas transmission and distribution network. Infrared cameras can find methane emissions and, if coupled with emissions measurement technologies such as pressure sensors, allow leaks to be tracked and rectified</w:t>
      </w:r>
      <w:r>
        <w:rPr>
          <w:rFonts w:ascii="Georgia" w:eastAsia="Times New Roman" w:hAnsi="Georgia"/>
          <w:color w:val="333333"/>
          <w:lang w:val="en"/>
        </w:rPr>
        <w:t xml:space="preserve"> (Clean Air Task Force 2009, p. 16).</w:t>
      </w:r>
    </w:p>
    <w:p w:rsidR="00000000" w:rsidRDefault="004170B4">
      <w:pPr>
        <w:pStyle w:val="NormalWeb"/>
        <w:spacing w:line="300" w:lineRule="atLeast"/>
        <w:rPr>
          <w:rFonts w:ascii="Georgia" w:hAnsi="Georgia"/>
          <w:color w:val="333333"/>
          <w:lang w:val="en"/>
        </w:rPr>
      </w:pPr>
      <w:r>
        <w:rPr>
          <w:rFonts w:ascii="Georgia" w:hAnsi="Georgia"/>
          <w:color w:val="333333"/>
          <w:lang w:val="en"/>
        </w:rPr>
        <w:t>CCS could significantly reduce fugitive emissions from oil and gas extraction and processing, though it is not yet widespread (IEA 2013, p. 19). The Gorgon LNG project in Western Australia is expected to capture and inj</w:t>
      </w:r>
      <w:r>
        <w:rPr>
          <w:rFonts w:ascii="Georgia" w:hAnsi="Georgia"/>
          <w:color w:val="333333"/>
          <w:lang w:val="en"/>
        </w:rPr>
        <w:t>ect as much as 3.4 Mt CO</w:t>
      </w:r>
      <w:r>
        <w:rPr>
          <w:rFonts w:ascii="Georgia" w:hAnsi="Georgia"/>
          <w:color w:val="333333"/>
          <w:sz w:val="18"/>
          <w:szCs w:val="18"/>
          <w:vertAlign w:val="subscript"/>
          <w:lang w:val="en"/>
        </w:rPr>
        <w:t>2</w:t>
      </w:r>
      <w:r>
        <w:rPr>
          <w:rFonts w:ascii="Georgia" w:hAnsi="Georgia"/>
          <w:color w:val="333333"/>
          <w:lang w:val="en"/>
        </w:rPr>
        <w:t xml:space="preserve"> annually from 2015 (Chevron 2013). Queensland LNG projects are unlikely to use CCS.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demonstrated reserves of coal seam gas (CSG) in Australia are substantial and estimated to be 31 per cent of Australia’s gas resources (BREE 2</w:t>
      </w:r>
      <w:r>
        <w:rPr>
          <w:rFonts w:ascii="Georgia" w:hAnsi="Georgia"/>
          <w:color w:val="333333"/>
          <w:lang w:val="en"/>
        </w:rPr>
        <w:t>013a), with deposits concentrated in Queensland and New South Wales. The CSIRO and Department of the Environment are undertaking a project to gather preliminary field measurements of fugitive emissions from CSG. This is a first step to establishing methods</w:t>
      </w:r>
      <w:r>
        <w:rPr>
          <w:rFonts w:ascii="Georgia" w:hAnsi="Georgia"/>
          <w:color w:val="333333"/>
          <w:lang w:val="en"/>
        </w:rPr>
        <w:t xml:space="preserve"> for assessing Australia-specific fugitive emissions from CSG (CSIRO 2013).</w:t>
      </w:r>
    </w:p>
    <w:p w:rsidR="00000000" w:rsidRDefault="004170B4">
      <w:pPr>
        <w:pStyle w:val="Heading2"/>
        <w:rPr>
          <w:rFonts w:eastAsia="Times New Roman"/>
          <w:color w:val="333333"/>
          <w:lang w:val="en"/>
        </w:rPr>
      </w:pPr>
      <w:r>
        <w:rPr>
          <w:rFonts w:eastAsia="Times New Roman"/>
          <w:color w:val="333333"/>
          <w:lang w:val="en"/>
        </w:rPr>
        <w:t>Appendix D7 Industrial processes</w:t>
      </w:r>
    </w:p>
    <w:p w:rsidR="00000000" w:rsidRDefault="004170B4">
      <w:pPr>
        <w:pStyle w:val="Heading3"/>
        <w:rPr>
          <w:rFonts w:eastAsia="Times New Roman"/>
          <w:color w:val="333333"/>
          <w:lang w:val="en"/>
        </w:rPr>
      </w:pPr>
      <w:r>
        <w:rPr>
          <w:rFonts w:eastAsia="Times New Roman"/>
          <w:color w:val="333333"/>
          <w:lang w:val="en"/>
        </w:rPr>
        <w:t>D7.1 Industrial process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The main sources of industrial process emissions are:</w:t>
      </w:r>
    </w:p>
    <w:p w:rsidR="00000000" w:rsidRDefault="004170B4" w:rsidP="004170B4">
      <w:pPr>
        <w:numPr>
          <w:ilvl w:val="0"/>
          <w:numId w:val="2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metal production in iron, steel and </w:t>
      </w:r>
      <w:proofErr w:type="spellStart"/>
      <w:r>
        <w:rPr>
          <w:rFonts w:ascii="Georgia" w:eastAsia="Times New Roman" w:hAnsi="Georgia"/>
          <w:color w:val="333333"/>
          <w:lang w:val="en"/>
        </w:rPr>
        <w:t>aluminium</w:t>
      </w:r>
      <w:proofErr w:type="spellEnd"/>
      <w:r>
        <w:rPr>
          <w:rFonts w:ascii="Georgia" w:eastAsia="Times New Roman" w:hAnsi="Georgia"/>
          <w:color w:val="333333"/>
          <w:lang w:val="en"/>
        </w:rPr>
        <w:t xml:space="preserve"> prod</w:t>
      </w:r>
      <w:r>
        <w:rPr>
          <w:rFonts w:ascii="Georgia" w:eastAsia="Times New Roman" w:hAnsi="Georgia"/>
          <w:color w:val="333333"/>
          <w:lang w:val="en"/>
        </w:rPr>
        <w:t>ucts</w:t>
      </w:r>
    </w:p>
    <w:p w:rsidR="00000000" w:rsidRDefault="004170B4" w:rsidP="004170B4">
      <w:pPr>
        <w:numPr>
          <w:ilvl w:val="0"/>
          <w:numId w:val="2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synthetic greenhouse gases from refrigeration and air conditioning use</w:t>
      </w:r>
    </w:p>
    <w:p w:rsidR="00000000" w:rsidRDefault="004170B4" w:rsidP="004170B4">
      <w:pPr>
        <w:numPr>
          <w:ilvl w:val="0"/>
          <w:numId w:val="29"/>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 xml:space="preserve">chemical processes in </w:t>
      </w:r>
      <w:proofErr w:type="spellStart"/>
      <w:r>
        <w:rPr>
          <w:rFonts w:ascii="Georgia" w:eastAsia="Times New Roman" w:hAnsi="Georgia"/>
          <w:color w:val="333333"/>
          <w:lang w:val="en"/>
        </w:rPr>
        <w:t>fertiliser</w:t>
      </w:r>
      <w:proofErr w:type="spellEnd"/>
      <w:r>
        <w:rPr>
          <w:rFonts w:ascii="Georgia" w:eastAsia="Times New Roman" w:hAnsi="Georgia"/>
          <w:color w:val="333333"/>
          <w:lang w:val="en"/>
        </w:rPr>
        <w:t xml:space="preserve"> and explosives manufacturing</w:t>
      </w:r>
    </w:p>
    <w:p w:rsidR="00000000" w:rsidRDefault="004170B4" w:rsidP="004170B4">
      <w:pPr>
        <w:numPr>
          <w:ilvl w:val="0"/>
          <w:numId w:val="29"/>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mineral</w:t>
      </w:r>
      <w:proofErr w:type="gramEnd"/>
      <w:r>
        <w:rPr>
          <w:rFonts w:ascii="Georgia" w:eastAsia="Times New Roman" w:hAnsi="Georgia"/>
          <w:color w:val="333333"/>
          <w:lang w:val="en"/>
        </w:rPr>
        <w:t xml:space="preserve"> production, primarily in the cement industry.</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Industrial process emissions exclude </w:t>
      </w:r>
      <w:r>
        <w:rPr>
          <w:rFonts w:ascii="Georgia" w:hAnsi="Georgia"/>
          <w:color w:val="333333"/>
          <w:lang w:val="en"/>
        </w:rPr>
        <w:t>energy-related emissions such as the burning of fossil fuels for electricity, heat, steam or pressure. These emissions are attributed to electricity, direct combustion or transport.</w:t>
      </w:r>
    </w:p>
    <w:p w:rsidR="00000000" w:rsidRDefault="004170B4">
      <w:pPr>
        <w:pStyle w:val="NormalWeb"/>
        <w:spacing w:line="300" w:lineRule="atLeast"/>
        <w:rPr>
          <w:rFonts w:ascii="Georgia" w:hAnsi="Georgia"/>
          <w:color w:val="333333"/>
          <w:lang w:val="en"/>
        </w:rPr>
      </w:pPr>
      <w:r>
        <w:rPr>
          <w:rFonts w:ascii="Georgia" w:hAnsi="Georgia"/>
          <w:color w:val="333333"/>
          <w:lang w:val="en"/>
        </w:rPr>
        <w:t>Australia’s industrial process emissions accounted for 32 Mt CO</w:t>
      </w:r>
      <w:r>
        <w:rPr>
          <w:rFonts w:ascii="Georgia" w:hAnsi="Georgia"/>
          <w:color w:val="333333"/>
          <w:sz w:val="18"/>
          <w:szCs w:val="18"/>
          <w:vertAlign w:val="subscript"/>
          <w:lang w:val="en"/>
        </w:rPr>
        <w:t>2</w:t>
      </w:r>
      <w:r>
        <w:rPr>
          <w:rFonts w:ascii="Georgia" w:hAnsi="Georgia"/>
          <w:color w:val="333333"/>
          <w:lang w:val="en"/>
        </w:rPr>
        <w:t>-e (5 per </w:t>
      </w:r>
      <w:r>
        <w:rPr>
          <w:rFonts w:ascii="Georgia" w:hAnsi="Georgia"/>
          <w:color w:val="333333"/>
          <w:lang w:val="en"/>
        </w:rPr>
        <w:t xml:space="preserve">cent) of Australia’s emissions in 2012 (Figure D.30). </w:t>
      </w:r>
    </w:p>
    <w:p w:rsidR="00000000" w:rsidRDefault="004170B4">
      <w:pPr>
        <w:pStyle w:val="Heading2"/>
        <w:rPr>
          <w:rFonts w:eastAsia="Times New Roman"/>
          <w:color w:val="333333"/>
          <w:lang w:val="en"/>
        </w:rPr>
      </w:pPr>
      <w:r>
        <w:rPr>
          <w:rFonts w:eastAsia="Times New Roman"/>
          <w:color w:val="333333"/>
          <w:lang w:val="en"/>
        </w:rPr>
        <w:lastRenderedPageBreak/>
        <w:t>Figure D.30: Industrial process share of Australia’s emissions,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3058795"/>
            <wp:effectExtent l="0" t="0" r="0" b="0"/>
            <wp:docPr id="30" name="Picture 30" descr="Figure D.30 shows the historical and projected share of industrial process emissions between 1990 and 2030. In 2000, industrial process emissions accounted for 26 megatonnes of carbon dioxide equivalent.&#10;Industrial process emissions increased from 26 to 32 megatonnes of carbon dioxide equivalent between 1990 and 2012. In 2020, industrial process emissions are projected to be 37 megatonnes of carbon dioxide equivalent in the no price scenario, 32 megatonnes of carbon dioxide equivalent in the low scenario, 27 megatonnes of carbon dioxide equivalent in the medium scenario and 21 megatonnes of carbon dioxide equivalent in the high scenario. &#10;In 2030, industrial process emissions are projected to be 45 megatonnes of carbon dioxide equivalent in the no price scenario, 24 megatonnes of carbon dioxide equivalent in the low scenario, 22 megatonnes of carbon dioxide equivalent in the medium scenario and 11 megatonnes of carbon dioxide equivalent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 D.30 shows the historical and projected share of industrial process emissions between 1990 and 2030. In 2000, industrial process emissions accounted for 26 megatonnes of carbon dioxide equivalent.&#10;Industrial process emissions increased from 26 to 32 megatonnes of carbon dioxide equivalent between 1990 and 2012. In 2020, industrial process emissions are projected to be 37 megatonnes of carbon dioxide equivalent in the no price scenario, 32 megatonnes of carbon dioxide equivalent in the low scenario, 27 megatonnes of carbon dioxide equivalent in the medium scenario and 21 megatonnes of carbon dioxide equivalent in the high scenario. &#10;In 2030, industrial process emissions are projected to be 45 megatonnes of carbon dioxide equivalent in the no price scenario, 24 megatonnes of carbon dioxide equivalent in the low scenario, 22 megatonnes of carbon dioxide equivalent in the medium scenario and 11 megatonnes of carbon dioxide equivalent in the high scenario.&#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6770" cy="305879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w:t>
      </w:r>
      <w:r>
        <w:rPr>
          <w:rFonts w:ascii="Georgia" w:hAnsi="Georgia"/>
          <w:color w:val="333333"/>
          <w:lang w:val="en"/>
        </w:rPr>
        <w:t>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From 1990 to 2012, industrial process emissions increased by almost 7 Mt CO</w:t>
      </w:r>
      <w:r>
        <w:rPr>
          <w:rFonts w:ascii="Georgia" w:hAnsi="Georgia"/>
          <w:color w:val="333333"/>
          <w:sz w:val="18"/>
          <w:szCs w:val="18"/>
          <w:vertAlign w:val="subscript"/>
          <w:lang w:val="en"/>
        </w:rPr>
        <w:t>2</w:t>
      </w:r>
      <w:r>
        <w:rPr>
          <w:rFonts w:ascii="Georgia" w:hAnsi="Georgia"/>
          <w:color w:val="333333"/>
          <w:lang w:val="en"/>
        </w:rPr>
        <w:t>-e, due to increased use of synthetic greenhouse gases and growing chemical production. This wa</w:t>
      </w:r>
      <w:r>
        <w:rPr>
          <w:rFonts w:ascii="Georgia" w:hAnsi="Georgia"/>
          <w:color w:val="333333"/>
          <w:lang w:val="en"/>
        </w:rPr>
        <w:t>s partly offset by lower metal production and improved metal processing.</w:t>
      </w:r>
    </w:p>
    <w:p w:rsidR="00000000" w:rsidRDefault="004170B4">
      <w:pPr>
        <w:pStyle w:val="NormalWeb"/>
        <w:spacing w:line="300" w:lineRule="atLeast"/>
        <w:rPr>
          <w:rFonts w:ascii="Georgia" w:hAnsi="Georgia"/>
          <w:color w:val="333333"/>
          <w:lang w:val="en"/>
        </w:rPr>
      </w:pPr>
      <w:r>
        <w:rPr>
          <w:rFonts w:ascii="Georgia" w:hAnsi="Georgia"/>
          <w:color w:val="333333"/>
          <w:lang w:val="en"/>
        </w:rPr>
        <w:t>In 2012, industrial process emissions comprised metal production (37 per cent), synthetic greenhouse gases (27 per cent), chemical processing (19 per cent), mineral production (15 per</w:t>
      </w:r>
      <w:r>
        <w:rPr>
          <w:rFonts w:ascii="Georgia" w:hAnsi="Georgia"/>
          <w:color w:val="333333"/>
          <w:lang w:val="en"/>
        </w:rPr>
        <w:t> cent) and other production (2 per cent).</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 modelling projects industrial process emissions to be lower, relative to 2000 levels, by 2–4 Mt CO</w:t>
      </w:r>
      <w:r>
        <w:rPr>
          <w:rFonts w:ascii="Georgia" w:hAnsi="Georgia"/>
          <w:color w:val="333333"/>
          <w:sz w:val="18"/>
          <w:szCs w:val="18"/>
          <w:vertAlign w:val="subscript"/>
          <w:lang w:val="en"/>
        </w:rPr>
        <w:t>2</w:t>
      </w:r>
      <w:r>
        <w:rPr>
          <w:rFonts w:ascii="Georgia" w:hAnsi="Georgia"/>
          <w:color w:val="333333"/>
          <w:lang w:val="en"/>
        </w:rPr>
        <w:t>-e in 2030 under the low and medium scenarios, respectively, and by 15 Mt CO</w:t>
      </w:r>
      <w:r>
        <w:rPr>
          <w:rFonts w:ascii="Georgia" w:hAnsi="Georgia"/>
          <w:color w:val="333333"/>
          <w:sz w:val="18"/>
          <w:szCs w:val="18"/>
          <w:vertAlign w:val="subscript"/>
          <w:lang w:val="en"/>
        </w:rPr>
        <w:t>2</w:t>
      </w:r>
      <w:r>
        <w:rPr>
          <w:rFonts w:ascii="Georgia" w:hAnsi="Georgia"/>
          <w:color w:val="333333"/>
          <w:lang w:val="en"/>
        </w:rPr>
        <w:t>-e (59 per </w:t>
      </w:r>
      <w:r>
        <w:rPr>
          <w:rFonts w:ascii="Georgia" w:hAnsi="Georgia"/>
          <w:color w:val="333333"/>
          <w:lang w:val="en"/>
        </w:rPr>
        <w:t>cent) under the high scenario. Emissions are reduced through improved chemical processing and the transition to alternative refrigerant gases.</w:t>
      </w:r>
    </w:p>
    <w:p w:rsidR="00000000" w:rsidRDefault="004170B4">
      <w:pPr>
        <w:pStyle w:val="Heading2"/>
        <w:rPr>
          <w:rFonts w:eastAsia="Times New Roman"/>
          <w:color w:val="333333"/>
          <w:lang w:val="en"/>
        </w:rPr>
      </w:pPr>
      <w:r>
        <w:rPr>
          <w:rFonts w:eastAsia="Times New Roman"/>
          <w:color w:val="333333"/>
          <w:lang w:val="en"/>
        </w:rPr>
        <w:t>Figure D.31: Process emissions from metal production, synthetic greenhouse gases and other production, 1990–2030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175510"/>
            <wp:effectExtent l="0" t="0" r="0" b="0"/>
            <wp:docPr id="31" name="Picture 31" descr="Figure D.31 shows historical and projected industrial process emissions between 1990 and 2030 from the metal production, synthetic greenhouse gases and other production sub-sectors. &#10;Between 1990 and 2012, metal production emissions declined from around 15 to 12 megatonnes of carbon dioxide equivalent while synthetic emissions increased from around 1 to 9 megatonnes of carbon dioxide equivalent over the same period. Other production emissions remained unchanged at less than 1 megatonne of carbon dioxide equivalent over the same period. &#10;In 2030, metal production emissions are projected to be 4 to 12 megatonnes of carbon dioxide equivalent, synthetic greenhouse gases emissions around 2 to 13 megatonnes of carbon dioxide equivalent and other production reaching 1 megatonne of carbon dioxide equivalent in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 D.31 shows historical and projected industrial process emissions between 1990 and 2030 from the metal production, synthetic greenhouse gases and other production sub-sectors. &#10;Between 1990 and 2012, metal production emissions declined from around 15 to 12 megatonnes of carbon dioxide equivalent while synthetic emissions increased from around 1 to 9 megatonnes of carbon dioxide equivalent over the same period. Other production emissions remained unchanged at less than 1 megatonne of carbon dioxide equivalent over the same period. &#10;In 2030, metal production emissions are projected to be 4 to 12 megatonnes of carbon dioxide equivalent, synthetic greenhouse gases emissions around 2 to 13 megatonnes of carbon dioxide equivalent and other production reaching 1 megatonne of carbon dioxide equivalent in 203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6770" cy="217551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Note:</w:t>
      </w:r>
      <w:r>
        <w:rPr>
          <w:rFonts w:ascii="Georgia" w:hAnsi="Georgia"/>
          <w:color w:val="333333"/>
          <w:lang w:val="en"/>
        </w:rPr>
        <w:t xml:space="preserve"> Upper and lower line bounds illustrate the range of modelled outcomes. </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 </w:t>
      </w:r>
    </w:p>
    <w:p w:rsidR="00000000" w:rsidRDefault="004170B4">
      <w:pPr>
        <w:pStyle w:val="Heading2"/>
        <w:rPr>
          <w:rFonts w:eastAsia="Times New Roman"/>
          <w:color w:val="333333"/>
          <w:lang w:val="en"/>
        </w:rPr>
      </w:pPr>
      <w:r>
        <w:rPr>
          <w:rFonts w:eastAsia="Times New Roman"/>
          <w:color w:val="333333"/>
          <w:lang w:val="en"/>
        </w:rPr>
        <w:t>Figure D.</w:t>
      </w:r>
      <w:r>
        <w:rPr>
          <w:rFonts w:eastAsia="Times New Roman"/>
          <w:color w:val="333333"/>
          <w:lang w:val="en"/>
        </w:rPr>
        <w:t>32: Process emissions from chemical and mineral production,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228215"/>
            <wp:effectExtent l="0" t="0" r="0" b="0"/>
            <wp:docPr id="32" name="Picture 32" descr="Figure D.32 shows historical and projected industrial process emissions between 1990 and 2030 from the chemical processing and minerals production sub-sectors. &#10;Between 1990 and 2012, chemical processing emissions increased from around 2 to 6 megatonnes of carbon dioxide equivalent while minerals production emissions decreased from 6 to 5 megatonnes of carbon dioxide equivalent over the same period. &#10;In 2030, chemicals emissions are projected to be 3 to 14 megatonnes of carbon dioxide equivalent, while minerals emissions are projected to be 1 to 6 megatonnes of carbon dioxide equivalent in 20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D.32 shows historical and projected industrial process emissions between 1990 and 2030 from the chemical processing and minerals production sub-sectors. &#10;Between 1990 and 2012, chemical processing emissions increased from around 2 to 6 megatonnes of carbon dioxide equivalent while minerals production emissions decreased from 6 to 5 megatonnes of carbon dioxide equivalent over the same period. &#10;In 2030, chemicals emissions are projected to be 3 to 14 megatonnes of carbon dioxide equivalent, while minerals emissions are projected to be 1 to 6 megatonnes of carbon dioxide equivalent in 2030.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6770" cy="222821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Note:</w:t>
      </w:r>
      <w:r>
        <w:rPr>
          <w:rFonts w:ascii="Georgia" w:hAnsi="Georgia"/>
          <w:color w:val="333333"/>
          <w:lang w:val="en"/>
        </w:rPr>
        <w:t xml:space="preserve"> Upper and lower line bounds illustrate the range of modelled outcomes.</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w:t>
      </w:r>
      <w:r>
        <w:rPr>
          <w:rFonts w:ascii="Georgia" w:hAnsi="Georgia"/>
          <w:color w:val="333333"/>
          <w:lang w:val="en"/>
        </w:rPr>
        <w:t xml:space="preserve">alculations using results from Treasury and DIICCSRTE 2013 </w:t>
      </w:r>
    </w:p>
    <w:p w:rsidR="00000000" w:rsidRDefault="004170B4">
      <w:pPr>
        <w:pStyle w:val="Heading2"/>
        <w:rPr>
          <w:rFonts w:eastAsia="Times New Roman"/>
          <w:color w:val="333333"/>
          <w:lang w:val="en"/>
        </w:rPr>
      </w:pPr>
      <w:r>
        <w:rPr>
          <w:rFonts w:eastAsia="Times New Roman"/>
          <w:color w:val="333333"/>
          <w:lang w:val="en"/>
        </w:rPr>
        <w:t>Figure D.33: Contributors to industrial process emissions, selected years, 1990–2030, and to change in emissions levels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5013325"/>
            <wp:effectExtent l="0" t="0" r="0" b="0"/>
            <wp:docPr id="33" name="Picture 33" descr="Figure D.33 shows the historical and projected contributors to Australia’s industrial process emissions between 1990 and 2030. &#10;Industrial process emissions remained unchanged at 26 megatonnes of carbon dioxide equivalent from 1990 to 2000, before rising to 32 megatonnes of carbon dioxide equivalent in 2012. The increase in emissions was attributed to increases in emissions from both the chemical processing and synthetic greenhouse gas sectors which was partly offset by decreased metal and mineral production emissions. &#10;In 2030, industrial process emissions are projected to decrease by up to 15 megatonnes of carbon dioxide equivalent, relative to 2000 emissions, under the low, medium and high scenarios. The main emission reductions are projected to come from the metal production and mineral processing sectors and will offset the increase in emissions from the chemical and synthetic greenhouse gas sectors. Under the no price scenario, emissions are projected to increase by 19 megatonnes of carbon dioxide equivalent due to an increase in emissions from the chemical processing and synthetic greenhouse gas sector, compared with 2000 level e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D.33 shows the historical and projected contributors to Australia’s industrial process emissions between 1990 and 2030. &#10;Industrial process emissions remained unchanged at 26 megatonnes of carbon dioxide equivalent from 1990 to 2000, before rising to 32 megatonnes of carbon dioxide equivalent in 2012. The increase in emissions was attributed to increases in emissions from both the chemical processing and synthetic greenhouse gas sectors which was partly offset by decreased metal and mineral production emissions. &#10;In 2030, industrial process emissions are projected to decrease by up to 15 megatonnes of carbon dioxide equivalent, relative to 2000 emissions, under the low, medium and high scenarios. The main emission reductions are projected to come from the metal production and mineral processing sectors and will offset the increase in emissions from the chemical and synthetic greenhouse gas sectors. Under the no price scenario, emissions are projected to increase by 19 megatonnes of carbon dioxide equivalent due to an increase in emissions from the chemical processing and synthetic greenhouse gas sector, compared with 2000 level emission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6770" cy="501332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3"/>
        <w:rPr>
          <w:rFonts w:eastAsia="Times New Roman"/>
          <w:color w:val="333333"/>
          <w:lang w:val="en"/>
        </w:rPr>
      </w:pPr>
      <w:r>
        <w:rPr>
          <w:rFonts w:eastAsia="Times New Roman"/>
          <w:color w:val="333333"/>
          <w:lang w:val="en"/>
        </w:rPr>
        <w:t>D7.2 Industrial process emissions outcomes,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majority of the projected emissions </w:t>
      </w:r>
      <w:r>
        <w:rPr>
          <w:rFonts w:ascii="Georgia" w:hAnsi="Georgia"/>
          <w:color w:val="333333"/>
          <w:lang w:val="en"/>
        </w:rPr>
        <w:t>reduction in 2030 results from installing nitrous oxide conversion catalysts, recovering and destroying synthetic greenhouse gases, and replacing ozone-depleting substances and refrigerants with lower emitting alternatives. Metals and minerals processing e</w:t>
      </w:r>
      <w:r>
        <w:rPr>
          <w:rFonts w:ascii="Georgia" w:hAnsi="Georgia"/>
          <w:color w:val="333333"/>
          <w:lang w:val="en"/>
        </w:rPr>
        <w:t>missions are projected to decline with a price incentive.</w:t>
      </w:r>
    </w:p>
    <w:p w:rsidR="00000000" w:rsidRDefault="004170B4">
      <w:pPr>
        <w:pStyle w:val="NormalWeb"/>
        <w:spacing w:line="300" w:lineRule="atLeast"/>
        <w:rPr>
          <w:rFonts w:ascii="Georgia" w:hAnsi="Georgia"/>
          <w:color w:val="333333"/>
          <w:lang w:val="en"/>
        </w:rPr>
      </w:pPr>
      <w:r>
        <w:rPr>
          <w:rFonts w:ascii="Georgia" w:hAnsi="Georgia"/>
          <w:color w:val="333333"/>
          <w:lang w:val="en"/>
        </w:rPr>
        <w:t>Nitrous oxide conversion catalysts offer substantial emissions reduction opportunities, particularly in the context of growing chemical production. Ammonia production emissions are expected to incre</w:t>
      </w:r>
      <w:r>
        <w:rPr>
          <w:rFonts w:ascii="Georgia" w:hAnsi="Georgia"/>
          <w:color w:val="333333"/>
          <w:lang w:val="en"/>
        </w:rPr>
        <w:t xml:space="preserve">ase in line with expanding explosives production for use in the mining sector and growing demand for </w:t>
      </w:r>
      <w:proofErr w:type="spellStart"/>
      <w:r>
        <w:rPr>
          <w:rFonts w:ascii="Georgia" w:hAnsi="Georgia"/>
          <w:color w:val="333333"/>
          <w:lang w:val="en"/>
        </w:rPr>
        <w:t>fertilisers</w:t>
      </w:r>
      <w:proofErr w:type="spellEnd"/>
      <w:r>
        <w:rPr>
          <w:rFonts w:ascii="Georgia" w:hAnsi="Georgia"/>
          <w:color w:val="333333"/>
          <w:lang w:val="en"/>
        </w:rPr>
        <w:t xml:space="preserve"> as the agriculture sector continues to recover from prolonged drought (</w:t>
      </w:r>
      <w:proofErr w:type="spellStart"/>
      <w:r>
        <w:rPr>
          <w:rFonts w:ascii="Georgia" w:hAnsi="Georgia"/>
          <w:color w:val="333333"/>
          <w:lang w:val="en"/>
        </w:rPr>
        <w:t>IBISWorld</w:t>
      </w:r>
      <w:proofErr w:type="spellEnd"/>
      <w:r>
        <w:rPr>
          <w:rFonts w:ascii="Georgia" w:hAnsi="Georgia"/>
          <w:color w:val="333333"/>
          <w:lang w:val="en"/>
        </w:rPr>
        <w:t xml:space="preserve"> 2013, p. 9). Planned projects would increase current ammonium </w:t>
      </w:r>
      <w:r>
        <w:rPr>
          <w:rFonts w:ascii="Georgia" w:hAnsi="Georgia"/>
          <w:color w:val="333333"/>
          <w:lang w:val="en"/>
        </w:rPr>
        <w:t xml:space="preserve">nitrate production </w:t>
      </w:r>
      <w:r>
        <w:rPr>
          <w:rFonts w:ascii="Georgia" w:hAnsi="Georgia"/>
          <w:color w:val="333333"/>
          <w:lang w:val="en"/>
        </w:rPr>
        <w:lastRenderedPageBreak/>
        <w:t>capacity by over 60 per cent to 1,300 </w:t>
      </w:r>
      <w:proofErr w:type="spellStart"/>
      <w:r>
        <w:rPr>
          <w:rFonts w:ascii="Georgia" w:hAnsi="Georgia"/>
          <w:color w:val="333333"/>
          <w:lang w:val="en"/>
        </w:rPr>
        <w:t>kilotonnes</w:t>
      </w:r>
      <w:proofErr w:type="spellEnd"/>
      <w:r>
        <w:rPr>
          <w:rFonts w:ascii="Georgia" w:hAnsi="Georgia"/>
          <w:color w:val="333333"/>
          <w:lang w:val="en"/>
        </w:rPr>
        <w:t> per annum by 2020 (</w:t>
      </w:r>
      <w:proofErr w:type="spellStart"/>
      <w:r>
        <w:rPr>
          <w:rFonts w:ascii="Georgia" w:hAnsi="Georgia"/>
          <w:color w:val="333333"/>
          <w:lang w:val="en"/>
        </w:rPr>
        <w:t>ClimateWorks</w:t>
      </w:r>
      <w:proofErr w:type="spellEnd"/>
      <w:r>
        <w:rPr>
          <w:rFonts w:ascii="Georgia" w:hAnsi="Georgia"/>
          <w:color w:val="333333"/>
          <w:lang w:val="en"/>
        </w:rPr>
        <w:t xml:space="preserve"> 2013, p. 49).</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t>ClimateWorks</w:t>
      </w:r>
      <w:proofErr w:type="spellEnd"/>
      <w:r>
        <w:rPr>
          <w:rFonts w:ascii="Georgia" w:hAnsi="Georgia"/>
          <w:color w:val="333333"/>
          <w:lang w:val="en"/>
        </w:rPr>
        <w:t xml:space="preserve"> (2013, p. 49) estimates nitrous oxide conversion catalysts could lower nitric acid emissions intensity by 44 per cent in 2020. Th</w:t>
      </w:r>
      <w:r>
        <w:rPr>
          <w:rFonts w:ascii="Georgia" w:hAnsi="Georgia"/>
          <w:color w:val="333333"/>
          <w:lang w:val="en"/>
        </w:rPr>
        <w:t>e cost of conversion catalysts means that incentives or regulation may be needed to drive broad adoption.</w:t>
      </w:r>
    </w:p>
    <w:p w:rsidR="00000000" w:rsidRDefault="004170B4">
      <w:pPr>
        <w:pStyle w:val="NormalWeb"/>
        <w:spacing w:line="300" w:lineRule="atLeast"/>
        <w:rPr>
          <w:rFonts w:ascii="Georgia" w:hAnsi="Georgia"/>
          <w:color w:val="333333"/>
          <w:lang w:val="en"/>
        </w:rPr>
      </w:pPr>
      <w:r>
        <w:rPr>
          <w:rFonts w:ascii="Georgia" w:hAnsi="Georgia"/>
          <w:color w:val="333333"/>
          <w:lang w:val="en"/>
        </w:rPr>
        <w:t>According to the Treasury and DIICCSRTE modelling, between 2012 and 2020, synthetic greenhouse gas emissions (used as propellants and refrigerants) ar</w:t>
      </w:r>
      <w:r>
        <w:rPr>
          <w:rFonts w:ascii="Georgia" w:hAnsi="Georgia"/>
          <w:color w:val="333333"/>
          <w:lang w:val="en"/>
        </w:rPr>
        <w:t>e projected to decrease by about 2 Mt CO</w:t>
      </w:r>
      <w:r>
        <w:rPr>
          <w:rFonts w:ascii="Georgia" w:hAnsi="Georgia"/>
          <w:color w:val="333333"/>
          <w:sz w:val="18"/>
          <w:szCs w:val="18"/>
          <w:vertAlign w:val="subscript"/>
          <w:lang w:val="en"/>
        </w:rPr>
        <w:t>2</w:t>
      </w:r>
      <w:r>
        <w:rPr>
          <w:rFonts w:ascii="Georgia" w:hAnsi="Georgia"/>
          <w:color w:val="333333"/>
          <w:lang w:val="en"/>
        </w:rPr>
        <w:t>-e under the medium scenario and 4 Mt CO</w:t>
      </w:r>
      <w:r>
        <w:rPr>
          <w:rFonts w:ascii="Georgia" w:hAnsi="Georgia"/>
          <w:color w:val="333333"/>
          <w:sz w:val="18"/>
          <w:szCs w:val="18"/>
          <w:vertAlign w:val="subscript"/>
          <w:lang w:val="en"/>
        </w:rPr>
        <w:t>2</w:t>
      </w:r>
      <w:r>
        <w:rPr>
          <w:rFonts w:ascii="Georgia" w:hAnsi="Georgia"/>
          <w:color w:val="333333"/>
          <w:lang w:val="en"/>
        </w:rPr>
        <w:t>-e under the high scenario. Moving to less emissions-intensive refrigerant gases could deliver a further 6 Mt CO</w:t>
      </w:r>
      <w:r>
        <w:rPr>
          <w:rFonts w:ascii="Georgia" w:hAnsi="Georgia"/>
          <w:color w:val="333333"/>
          <w:sz w:val="18"/>
          <w:szCs w:val="18"/>
          <w:vertAlign w:val="subscript"/>
          <w:lang w:val="en"/>
        </w:rPr>
        <w:t>2</w:t>
      </w:r>
      <w:r>
        <w:rPr>
          <w:rFonts w:ascii="Georgia" w:hAnsi="Georgia"/>
          <w:color w:val="333333"/>
          <w:lang w:val="en"/>
        </w:rPr>
        <w:t xml:space="preserve">-e of emissions reduction by 2020. </w:t>
      </w:r>
    </w:p>
    <w:p w:rsidR="00000000" w:rsidRDefault="004170B4">
      <w:pPr>
        <w:pStyle w:val="NormalWeb"/>
        <w:spacing w:line="300" w:lineRule="atLeast"/>
        <w:rPr>
          <w:rFonts w:ascii="Georgia" w:hAnsi="Georgia"/>
          <w:color w:val="333333"/>
          <w:lang w:val="en"/>
        </w:rPr>
      </w:pPr>
      <w:r>
        <w:rPr>
          <w:rFonts w:ascii="Georgia" w:hAnsi="Georgia"/>
          <w:color w:val="333333"/>
          <w:lang w:val="en"/>
        </w:rPr>
        <w:t>Metal production emission</w:t>
      </w:r>
      <w:r>
        <w:rPr>
          <w:rFonts w:ascii="Georgia" w:hAnsi="Georgia"/>
          <w:color w:val="333333"/>
          <w:lang w:val="en"/>
        </w:rPr>
        <w:t>s decreased by 4 Mt CO</w:t>
      </w:r>
      <w:r>
        <w:rPr>
          <w:rFonts w:ascii="Georgia" w:hAnsi="Georgia"/>
          <w:color w:val="333333"/>
          <w:sz w:val="18"/>
          <w:szCs w:val="18"/>
          <w:vertAlign w:val="subscript"/>
          <w:lang w:val="en"/>
        </w:rPr>
        <w:t>2</w:t>
      </w:r>
      <w:r>
        <w:rPr>
          <w:rFonts w:ascii="Georgia" w:hAnsi="Georgia"/>
          <w:color w:val="333333"/>
          <w:lang w:val="en"/>
        </w:rPr>
        <w:t>-e to 12 Mt CO</w:t>
      </w:r>
      <w:r>
        <w:rPr>
          <w:rFonts w:ascii="Georgia" w:hAnsi="Georgia"/>
          <w:color w:val="333333"/>
          <w:sz w:val="18"/>
          <w:szCs w:val="18"/>
          <w:vertAlign w:val="subscript"/>
          <w:lang w:val="en"/>
        </w:rPr>
        <w:t>2</w:t>
      </w:r>
      <w:r>
        <w:rPr>
          <w:rFonts w:ascii="Georgia" w:hAnsi="Georgia"/>
          <w:color w:val="333333"/>
          <w:lang w:val="en"/>
        </w:rPr>
        <w:t xml:space="preserve">-e between 1990 and 2012, as a result of reduced iron and steel production and improved metal processing. In particular, </w:t>
      </w:r>
      <w:proofErr w:type="spellStart"/>
      <w:r>
        <w:rPr>
          <w:rFonts w:ascii="Georgia" w:hAnsi="Georgia"/>
          <w:color w:val="333333"/>
          <w:lang w:val="en"/>
        </w:rPr>
        <w:t>aluminium</w:t>
      </w:r>
      <w:proofErr w:type="spellEnd"/>
      <w:r>
        <w:rPr>
          <w:rFonts w:ascii="Georgia" w:hAnsi="Georgia"/>
          <w:color w:val="333333"/>
          <w:lang w:val="en"/>
        </w:rPr>
        <w:t xml:space="preserve"> emissions intensity fell by over 60 per cent between 1990 and 2011 due to reductions in</w:t>
      </w:r>
      <w:r>
        <w:rPr>
          <w:rFonts w:ascii="Georgia" w:hAnsi="Georgia"/>
          <w:color w:val="333333"/>
          <w:lang w:val="en"/>
        </w:rPr>
        <w:t xml:space="preserve"> </w:t>
      </w:r>
      <w:proofErr w:type="spellStart"/>
      <w:r>
        <w:rPr>
          <w:rFonts w:ascii="Georgia" w:hAnsi="Georgia"/>
          <w:color w:val="333333"/>
          <w:lang w:val="en"/>
        </w:rPr>
        <w:t>perfluorocarbon</w:t>
      </w:r>
      <w:proofErr w:type="spellEnd"/>
      <w:r>
        <w:rPr>
          <w:rFonts w:ascii="Georgia" w:hAnsi="Georgia"/>
          <w:color w:val="333333"/>
          <w:lang w:val="en"/>
        </w:rPr>
        <w:t xml:space="preserve"> (PFC) emissions. PFC reduction opportunities have been largely taken up; only 20 grams of PFC were emitted per </w:t>
      </w:r>
      <w:proofErr w:type="spellStart"/>
      <w:r>
        <w:rPr>
          <w:rFonts w:ascii="Georgia" w:hAnsi="Georgia"/>
          <w:color w:val="333333"/>
          <w:lang w:val="en"/>
        </w:rPr>
        <w:t>tonne</w:t>
      </w:r>
      <w:proofErr w:type="spellEnd"/>
      <w:r>
        <w:rPr>
          <w:rFonts w:ascii="Georgia" w:hAnsi="Georgia"/>
          <w:color w:val="333333"/>
          <w:lang w:val="en"/>
        </w:rPr>
        <w:t xml:space="preserve"> of </w:t>
      </w:r>
      <w:proofErr w:type="spellStart"/>
      <w:r>
        <w:rPr>
          <w:rFonts w:ascii="Georgia" w:hAnsi="Georgia"/>
          <w:color w:val="333333"/>
          <w:lang w:val="en"/>
        </w:rPr>
        <w:t>aluminium</w:t>
      </w:r>
      <w:proofErr w:type="spellEnd"/>
      <w:r>
        <w:rPr>
          <w:rFonts w:ascii="Georgia" w:hAnsi="Georgia"/>
          <w:color w:val="333333"/>
          <w:lang w:val="en"/>
        </w:rPr>
        <w:t xml:space="preserve"> produced in 2011, compared with over 450 grams in 1990 (DIICCSRTE 2013, p. 168).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Metal production has contracted recently, as a result of the closure of one of </w:t>
      </w:r>
      <w:proofErr w:type="spellStart"/>
      <w:r>
        <w:rPr>
          <w:rFonts w:ascii="Georgia" w:hAnsi="Georgia"/>
          <w:color w:val="333333"/>
          <w:lang w:val="en"/>
        </w:rPr>
        <w:t>Bluescope</w:t>
      </w:r>
      <w:proofErr w:type="spellEnd"/>
      <w:r>
        <w:rPr>
          <w:rFonts w:ascii="Georgia" w:hAnsi="Georgia"/>
          <w:color w:val="333333"/>
          <w:lang w:val="en"/>
        </w:rPr>
        <w:t xml:space="preserve"> Steel’s Port </w:t>
      </w:r>
      <w:proofErr w:type="spellStart"/>
      <w:r>
        <w:rPr>
          <w:rFonts w:ascii="Georgia" w:hAnsi="Georgia"/>
          <w:color w:val="333333"/>
          <w:lang w:val="en"/>
        </w:rPr>
        <w:t>Kembla</w:t>
      </w:r>
      <w:proofErr w:type="spellEnd"/>
      <w:r>
        <w:rPr>
          <w:rFonts w:ascii="Georgia" w:hAnsi="Georgia"/>
          <w:color w:val="333333"/>
          <w:lang w:val="en"/>
        </w:rPr>
        <w:t xml:space="preserve"> steelworks in 2011 and </w:t>
      </w:r>
      <w:proofErr w:type="spellStart"/>
      <w:r>
        <w:rPr>
          <w:rFonts w:ascii="Georgia" w:hAnsi="Georgia"/>
          <w:color w:val="333333"/>
          <w:lang w:val="en"/>
        </w:rPr>
        <w:t>Norsk</w:t>
      </w:r>
      <w:proofErr w:type="spellEnd"/>
      <w:r>
        <w:rPr>
          <w:rFonts w:ascii="Georgia" w:hAnsi="Georgia"/>
          <w:color w:val="333333"/>
          <w:lang w:val="en"/>
        </w:rPr>
        <w:t xml:space="preserve"> Hydro’s Kurri Kurri </w:t>
      </w:r>
      <w:proofErr w:type="spellStart"/>
      <w:r>
        <w:rPr>
          <w:rFonts w:ascii="Georgia" w:hAnsi="Georgia"/>
          <w:color w:val="333333"/>
          <w:lang w:val="en"/>
        </w:rPr>
        <w:t>aluminium</w:t>
      </w:r>
      <w:proofErr w:type="spellEnd"/>
      <w:r>
        <w:rPr>
          <w:rFonts w:ascii="Georgia" w:hAnsi="Georgia"/>
          <w:color w:val="333333"/>
          <w:lang w:val="en"/>
        </w:rPr>
        <w:t xml:space="preserve"> operations in 2012. The Treasury and DIICCSRTE (2013) modelling projects metal emissions</w:t>
      </w:r>
      <w:r>
        <w:rPr>
          <w:rFonts w:ascii="Georgia" w:hAnsi="Georgia"/>
          <w:color w:val="333333"/>
          <w:lang w:val="en"/>
        </w:rPr>
        <w:t xml:space="preserve"> will decrease to between 4 and 7 Mt CO</w:t>
      </w:r>
      <w:r>
        <w:rPr>
          <w:rFonts w:ascii="Georgia" w:hAnsi="Georgia"/>
          <w:color w:val="333333"/>
          <w:sz w:val="18"/>
          <w:szCs w:val="18"/>
          <w:vertAlign w:val="subscript"/>
          <w:lang w:val="en"/>
        </w:rPr>
        <w:t>2</w:t>
      </w:r>
      <w:r>
        <w:rPr>
          <w:rFonts w:ascii="Georgia" w:hAnsi="Georgia"/>
          <w:color w:val="333333"/>
          <w:lang w:val="en"/>
        </w:rPr>
        <w:t xml:space="preserve">-e in 2030 under all price scenarios, or otherwise remain steady at 2012 levels under the no price scenario. Mineral production emissions largely result from the cement industry. </w:t>
      </w:r>
      <w:proofErr w:type="spellStart"/>
      <w:r>
        <w:rPr>
          <w:rFonts w:ascii="Georgia" w:hAnsi="Georgia"/>
          <w:color w:val="333333"/>
          <w:lang w:val="en"/>
        </w:rPr>
        <w:t>ClimateWorks</w:t>
      </w:r>
      <w:proofErr w:type="spellEnd"/>
      <w:r>
        <w:rPr>
          <w:rFonts w:ascii="Georgia" w:hAnsi="Georgia"/>
          <w:color w:val="333333"/>
          <w:lang w:val="en"/>
        </w:rPr>
        <w:t> (2013, p. 32) reports th</w:t>
      </w:r>
      <w:r>
        <w:rPr>
          <w:rFonts w:ascii="Georgia" w:hAnsi="Georgia"/>
          <w:color w:val="333333"/>
          <w:lang w:val="en"/>
        </w:rPr>
        <w:t>at cement emissions intensity reduced by 11 per cent between 2002 and 2012, and has the potential to decrease by a further 6 per cent by 2020, from increasing substitution of supplementary materials in clinker production. Plans to import more clinker, in p</w:t>
      </w:r>
      <w:r>
        <w:rPr>
          <w:rFonts w:ascii="Georgia" w:hAnsi="Georgia"/>
          <w:color w:val="333333"/>
          <w:lang w:val="en"/>
        </w:rPr>
        <w:t>lace of domestic production, would limit the expansion of domestic production and emissions (Adelaide Brighton 2013, p. 17; Treasury and DIICCSRTE 2013, p. 66).</w:t>
      </w:r>
    </w:p>
    <w:p w:rsidR="00000000" w:rsidRDefault="004170B4">
      <w:pPr>
        <w:pStyle w:val="Heading3"/>
        <w:rPr>
          <w:rFonts w:eastAsia="Times New Roman"/>
          <w:color w:val="333333"/>
          <w:lang w:val="en"/>
        </w:rPr>
      </w:pPr>
      <w:r>
        <w:rPr>
          <w:rFonts w:eastAsia="Times New Roman"/>
          <w:color w:val="333333"/>
          <w:lang w:val="en"/>
        </w:rPr>
        <w:t>D7.3 Progress in industrial process emissions reduction</w:t>
      </w:r>
    </w:p>
    <w:p w:rsidR="00000000" w:rsidRDefault="004170B4">
      <w:pPr>
        <w:pStyle w:val="Heading4"/>
        <w:rPr>
          <w:rFonts w:eastAsia="Times New Roman"/>
          <w:color w:val="333333"/>
          <w:lang w:val="en"/>
        </w:rPr>
      </w:pPr>
      <w:r>
        <w:rPr>
          <w:rFonts w:eastAsia="Times New Roman"/>
          <w:color w:val="333333"/>
          <w:lang w:val="en"/>
        </w:rPr>
        <w:t>D7.3.1 Chemical processes</w:t>
      </w:r>
    </w:p>
    <w:p w:rsidR="00000000" w:rsidRDefault="004170B4">
      <w:pPr>
        <w:pStyle w:val="NormalWeb"/>
        <w:spacing w:line="300" w:lineRule="atLeast"/>
        <w:rPr>
          <w:rFonts w:ascii="Georgia" w:hAnsi="Georgia"/>
          <w:color w:val="333333"/>
          <w:lang w:val="en"/>
        </w:rPr>
      </w:pPr>
      <w:r>
        <w:rPr>
          <w:rFonts w:ascii="Georgia" w:hAnsi="Georgia"/>
          <w:color w:val="333333"/>
          <w:lang w:val="en"/>
        </w:rPr>
        <w:t>Conversion ca</w:t>
      </w:r>
      <w:r>
        <w:rPr>
          <w:rFonts w:ascii="Georgia" w:hAnsi="Georgia"/>
          <w:color w:val="333333"/>
          <w:lang w:val="en"/>
        </w:rPr>
        <w:t xml:space="preserve">talysts reduce nitrous oxide emissions from producing nitric acid, a feedstock for explosives and </w:t>
      </w:r>
      <w:proofErr w:type="spellStart"/>
      <w:r>
        <w:rPr>
          <w:rFonts w:ascii="Georgia" w:hAnsi="Georgia"/>
          <w:color w:val="333333"/>
          <w:lang w:val="en"/>
        </w:rPr>
        <w:t>fertilisers</w:t>
      </w:r>
      <w:proofErr w:type="spellEnd"/>
      <w:r>
        <w:rPr>
          <w:rFonts w:ascii="Georgia" w:hAnsi="Georgia"/>
          <w:color w:val="333333"/>
          <w:lang w:val="en"/>
        </w:rPr>
        <w:t xml:space="preserve">. These catalysts are proven technology, deployed in Australia by Orica in 2012 and </w:t>
      </w:r>
      <w:proofErr w:type="spellStart"/>
      <w:r>
        <w:rPr>
          <w:rFonts w:ascii="Georgia" w:hAnsi="Georgia"/>
          <w:color w:val="333333"/>
          <w:lang w:val="en"/>
        </w:rPr>
        <w:t>trialled</w:t>
      </w:r>
      <w:proofErr w:type="spellEnd"/>
      <w:r>
        <w:rPr>
          <w:rFonts w:ascii="Georgia" w:hAnsi="Georgia"/>
          <w:color w:val="333333"/>
          <w:lang w:val="en"/>
        </w:rPr>
        <w:t xml:space="preserve"> by Wesfarmers since 2011. Both Orica (2013, p. 22) and</w:t>
      </w:r>
      <w:r>
        <w:rPr>
          <w:rFonts w:ascii="Georgia" w:hAnsi="Georgia"/>
          <w:color w:val="333333"/>
          <w:lang w:val="en"/>
        </w:rPr>
        <w:t xml:space="preserve"> Wesfarmers (2013, p. 39) report that this technology has reduced their nitrous oxide emissions by over 80 per cent. </w:t>
      </w:r>
      <w:proofErr w:type="spellStart"/>
      <w:r>
        <w:rPr>
          <w:rFonts w:ascii="Georgia" w:hAnsi="Georgia"/>
          <w:color w:val="333333"/>
          <w:lang w:val="en"/>
        </w:rPr>
        <w:t>Incitec</w:t>
      </w:r>
      <w:proofErr w:type="spellEnd"/>
      <w:r>
        <w:rPr>
          <w:rFonts w:ascii="Georgia" w:hAnsi="Georgia"/>
          <w:color w:val="333333"/>
          <w:lang w:val="en"/>
        </w:rPr>
        <w:t xml:space="preserve"> Pivot (2012, p. 23) installed nitrous oxide conversion catalysts at its newly constructed </w:t>
      </w:r>
      <w:proofErr w:type="spellStart"/>
      <w:r>
        <w:rPr>
          <w:rFonts w:ascii="Georgia" w:hAnsi="Georgia"/>
          <w:color w:val="333333"/>
          <w:lang w:val="en"/>
        </w:rPr>
        <w:t>Moranbah</w:t>
      </w:r>
      <w:proofErr w:type="spellEnd"/>
      <w:r>
        <w:rPr>
          <w:rFonts w:ascii="Georgia" w:hAnsi="Georgia"/>
          <w:color w:val="333333"/>
          <w:lang w:val="en"/>
        </w:rPr>
        <w:t xml:space="preserve"> Plant in 2012, which has capacit</w:t>
      </w:r>
      <w:r>
        <w:rPr>
          <w:rFonts w:ascii="Georgia" w:hAnsi="Georgia"/>
          <w:color w:val="333333"/>
          <w:lang w:val="en"/>
        </w:rPr>
        <w:t>y to produce 330 </w:t>
      </w:r>
      <w:proofErr w:type="spellStart"/>
      <w:r>
        <w:rPr>
          <w:rFonts w:ascii="Georgia" w:hAnsi="Georgia"/>
          <w:color w:val="333333"/>
          <w:lang w:val="en"/>
        </w:rPr>
        <w:t>kilotonnes</w:t>
      </w:r>
      <w:proofErr w:type="spellEnd"/>
      <w:r>
        <w:rPr>
          <w:rFonts w:ascii="Georgia" w:hAnsi="Georgia"/>
          <w:color w:val="333333"/>
          <w:lang w:val="en"/>
        </w:rPr>
        <w:t xml:space="preserve"> of ammonium nitrate per </w:t>
      </w:r>
      <w:r>
        <w:rPr>
          <w:rFonts w:ascii="Georgia" w:hAnsi="Georgia"/>
          <w:color w:val="333333"/>
          <w:lang w:val="en"/>
        </w:rPr>
        <w:lastRenderedPageBreak/>
        <w:t xml:space="preserve">annum. </w:t>
      </w:r>
      <w:proofErr w:type="spellStart"/>
      <w:r>
        <w:rPr>
          <w:rFonts w:ascii="Georgia" w:hAnsi="Georgia"/>
          <w:color w:val="333333"/>
          <w:lang w:val="en"/>
        </w:rPr>
        <w:t>ClimateWorks</w:t>
      </w:r>
      <w:proofErr w:type="spellEnd"/>
      <w:r>
        <w:rPr>
          <w:rFonts w:ascii="Georgia" w:hAnsi="Georgia"/>
          <w:color w:val="333333"/>
          <w:lang w:val="en"/>
        </w:rPr>
        <w:t xml:space="preserve"> (2013) projects widespread adoption of nitrous oxide conversion catalysts in nitric acid production by 2020.</w:t>
      </w:r>
    </w:p>
    <w:p w:rsidR="00000000" w:rsidRDefault="004170B4">
      <w:pPr>
        <w:pStyle w:val="NormalWeb"/>
        <w:spacing w:line="300" w:lineRule="atLeast"/>
        <w:rPr>
          <w:rFonts w:ascii="Georgia" w:hAnsi="Georgia"/>
          <w:color w:val="333333"/>
          <w:lang w:val="en"/>
        </w:rPr>
      </w:pPr>
      <w:r>
        <w:rPr>
          <w:rFonts w:ascii="Georgia" w:hAnsi="Georgia"/>
          <w:color w:val="333333"/>
          <w:lang w:val="en"/>
        </w:rPr>
        <w:t>These catalyst technologies are relatively cost-effective (US EPA 2010, p. </w:t>
      </w:r>
      <w:r>
        <w:rPr>
          <w:rFonts w:ascii="Georgia" w:hAnsi="Georgia"/>
          <w:color w:val="333333"/>
          <w:lang w:val="en"/>
        </w:rPr>
        <w:t>9). Their take-up could be encouraged with a price incentive as well as state-based environmental regulations for nitric acid plants, some of which already exist.</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currently no low-emissions substitutes in the production of ammonia. Natural gas is</w:t>
      </w:r>
      <w:r>
        <w:rPr>
          <w:rFonts w:ascii="Georgia" w:hAnsi="Georgia"/>
          <w:color w:val="333333"/>
          <w:lang w:val="en"/>
        </w:rPr>
        <w:t xml:space="preserve"> the main feedstock used in ammonia production and this is unlikely to change for the foreseeable future—natural gas has the most desirable qualities for ammonia manufacturing (International Fertilizer Industry Association 2013). </w:t>
      </w:r>
    </w:p>
    <w:p w:rsidR="00000000" w:rsidRDefault="004170B4">
      <w:pPr>
        <w:pStyle w:val="NormalWeb"/>
        <w:spacing w:line="300" w:lineRule="atLeast"/>
        <w:rPr>
          <w:rFonts w:ascii="Georgia" w:hAnsi="Georgia"/>
          <w:color w:val="333333"/>
          <w:lang w:val="en"/>
        </w:rPr>
      </w:pPr>
      <w:r>
        <w:rPr>
          <w:rFonts w:ascii="Georgia" w:hAnsi="Georgia"/>
          <w:color w:val="333333"/>
          <w:lang w:val="en"/>
        </w:rPr>
        <w:t>Synthetic rutile and tita</w:t>
      </w:r>
      <w:r>
        <w:rPr>
          <w:rFonts w:ascii="Georgia" w:hAnsi="Georgia"/>
          <w:color w:val="333333"/>
          <w:lang w:val="en"/>
        </w:rPr>
        <w:t>nium dioxide production emissions contribute a very small component of chemical sector emissions and are projected to remain stable to 2030.</w:t>
      </w:r>
    </w:p>
    <w:p w:rsidR="00000000" w:rsidRDefault="004170B4">
      <w:pPr>
        <w:pStyle w:val="Heading4"/>
        <w:rPr>
          <w:rFonts w:eastAsia="Times New Roman"/>
          <w:color w:val="333333"/>
          <w:lang w:val="en"/>
        </w:rPr>
      </w:pPr>
      <w:r>
        <w:rPr>
          <w:rFonts w:eastAsia="Times New Roman"/>
          <w:color w:val="333333"/>
          <w:lang w:val="en"/>
        </w:rPr>
        <w:t>D7.3.2 Synthetic greenhouse gases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 modelling projects a reduction in synthetic greenhouse</w:t>
      </w:r>
      <w:r>
        <w:rPr>
          <w:rFonts w:ascii="Georgia" w:hAnsi="Georgia"/>
          <w:color w:val="333333"/>
          <w:lang w:val="en"/>
        </w:rPr>
        <w:t xml:space="preserve"> gas emissions of up to 6 Mt CO</w:t>
      </w:r>
      <w:r>
        <w:rPr>
          <w:rFonts w:ascii="Georgia" w:hAnsi="Georgia"/>
          <w:color w:val="333333"/>
          <w:sz w:val="18"/>
          <w:szCs w:val="18"/>
          <w:vertAlign w:val="subscript"/>
          <w:lang w:val="en"/>
        </w:rPr>
        <w:t>2</w:t>
      </w:r>
      <w:r>
        <w:rPr>
          <w:rFonts w:ascii="Georgia" w:hAnsi="Georgia"/>
          <w:color w:val="333333"/>
          <w:lang w:val="en"/>
        </w:rPr>
        <w:t xml:space="preserve">-e in 2020, compared to the no price scenario, mainly from the Destruction Incentives Program and switching to less emissions-intensive refrigerant gases such as carbon dioxide and ammonia. In contrast, </w:t>
      </w:r>
      <w:proofErr w:type="spellStart"/>
      <w:r>
        <w:rPr>
          <w:rFonts w:ascii="Georgia" w:hAnsi="Georgia"/>
          <w:color w:val="333333"/>
          <w:lang w:val="en"/>
        </w:rPr>
        <w:t>ClimateWorks</w:t>
      </w:r>
      <w:proofErr w:type="spellEnd"/>
      <w:r>
        <w:rPr>
          <w:rFonts w:ascii="Georgia" w:hAnsi="Georgia"/>
          <w:color w:val="333333"/>
          <w:lang w:val="en"/>
        </w:rPr>
        <w:t xml:space="preserve"> (2013, p</w:t>
      </w:r>
      <w:r>
        <w:rPr>
          <w:rFonts w:ascii="Georgia" w:hAnsi="Georgia"/>
          <w:color w:val="333333"/>
          <w:lang w:val="en"/>
        </w:rPr>
        <w:t>. 47) projects that reportable synthetic greenhouse gas emissions could be about 4 Mt CO</w:t>
      </w:r>
      <w:r>
        <w:rPr>
          <w:rFonts w:ascii="Georgia" w:hAnsi="Georgia"/>
          <w:color w:val="333333"/>
          <w:sz w:val="18"/>
          <w:szCs w:val="18"/>
          <w:vertAlign w:val="subscript"/>
          <w:lang w:val="en"/>
        </w:rPr>
        <w:t>2</w:t>
      </w:r>
      <w:r>
        <w:rPr>
          <w:rFonts w:ascii="Georgia" w:hAnsi="Georgia"/>
          <w:color w:val="333333"/>
          <w:lang w:val="en"/>
        </w:rPr>
        <w:t xml:space="preserve">-e higher in 2020 if recent trends continue, largely due to the progressive replacement of ozone-depleting substances with </w:t>
      </w:r>
      <w:proofErr w:type="spellStart"/>
      <w:r>
        <w:rPr>
          <w:rFonts w:ascii="Georgia" w:hAnsi="Georgia"/>
          <w:color w:val="333333"/>
          <w:lang w:val="en"/>
        </w:rPr>
        <w:t>sulphur</w:t>
      </w:r>
      <w:proofErr w:type="spellEnd"/>
      <w:r>
        <w:rPr>
          <w:rFonts w:ascii="Georgia" w:hAnsi="Georgia"/>
          <w:color w:val="333333"/>
          <w:lang w:val="en"/>
        </w:rPr>
        <w:t xml:space="preserve"> hexafluoride (SF</w:t>
      </w:r>
      <w:r>
        <w:rPr>
          <w:rFonts w:ascii="Georgia" w:hAnsi="Georgia"/>
          <w:color w:val="333333"/>
          <w:sz w:val="18"/>
          <w:szCs w:val="18"/>
          <w:vertAlign w:val="subscript"/>
          <w:lang w:val="en"/>
        </w:rPr>
        <w:t>6</w:t>
      </w:r>
      <w:r>
        <w:rPr>
          <w:rFonts w:ascii="Georgia" w:hAnsi="Georgia"/>
          <w:color w:val="333333"/>
          <w:lang w:val="en"/>
        </w:rPr>
        <w:t xml:space="preserve">) and </w:t>
      </w:r>
      <w:proofErr w:type="spellStart"/>
      <w:r>
        <w:rPr>
          <w:rFonts w:ascii="Georgia" w:hAnsi="Georgia"/>
          <w:color w:val="333333"/>
          <w:lang w:val="en"/>
        </w:rPr>
        <w:t>hydrofluoroca</w:t>
      </w:r>
      <w:r>
        <w:rPr>
          <w:rFonts w:ascii="Georgia" w:hAnsi="Georgia"/>
          <w:color w:val="333333"/>
          <w:lang w:val="en"/>
        </w:rPr>
        <w:t>rbons</w:t>
      </w:r>
      <w:proofErr w:type="spellEnd"/>
      <w:r>
        <w:rPr>
          <w:rFonts w:ascii="Georgia" w:hAnsi="Georgia"/>
          <w:color w:val="333333"/>
          <w:lang w:val="en"/>
        </w:rPr>
        <w:t xml:space="preserve"> (HFCs).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Ozone-depleting greenhouse gases, such as chlorofluorocarbons (CFCs) and </w:t>
      </w:r>
      <w:proofErr w:type="spellStart"/>
      <w:r>
        <w:rPr>
          <w:rFonts w:ascii="Georgia" w:hAnsi="Georgia"/>
          <w:color w:val="333333"/>
          <w:lang w:val="en"/>
        </w:rPr>
        <w:t>hydrochlorofluorocarbons</w:t>
      </w:r>
      <w:proofErr w:type="spellEnd"/>
      <w:r>
        <w:rPr>
          <w:rFonts w:ascii="Georgia" w:hAnsi="Georgia"/>
          <w:color w:val="333333"/>
          <w:lang w:val="en"/>
        </w:rPr>
        <w:t xml:space="preserve"> (HCFCs) are not recorded in Australia’s National Greenhouse Gas Inventory (NGGI). These gases are managed through the Montreal Protocol, an int</w:t>
      </w:r>
      <w:r>
        <w:rPr>
          <w:rFonts w:ascii="Georgia" w:hAnsi="Georgia"/>
          <w:color w:val="333333"/>
          <w:lang w:val="en"/>
        </w:rPr>
        <w:t xml:space="preserve">ernational environmental protection agreement that sets out binding obligations for phasing out ozone-depleting substances. </w:t>
      </w:r>
    </w:p>
    <w:p w:rsidR="00000000" w:rsidRDefault="004170B4">
      <w:pPr>
        <w:pStyle w:val="NormalWeb"/>
        <w:spacing w:line="300" w:lineRule="atLeast"/>
        <w:rPr>
          <w:rFonts w:ascii="Georgia" w:hAnsi="Georgia"/>
          <w:color w:val="333333"/>
          <w:lang w:val="en"/>
        </w:rPr>
      </w:pPr>
      <w:r>
        <w:rPr>
          <w:rFonts w:ascii="Georgia" w:hAnsi="Georgia"/>
          <w:color w:val="333333"/>
          <w:lang w:val="en"/>
        </w:rPr>
        <w:t>Synthetic greenhouse gases that do not deplete the ozone layer, such as SF</w:t>
      </w:r>
      <w:r>
        <w:rPr>
          <w:rFonts w:ascii="Georgia" w:hAnsi="Georgia"/>
          <w:color w:val="333333"/>
          <w:sz w:val="18"/>
          <w:szCs w:val="18"/>
          <w:vertAlign w:val="subscript"/>
          <w:lang w:val="en"/>
        </w:rPr>
        <w:t>6</w:t>
      </w:r>
      <w:r>
        <w:rPr>
          <w:rFonts w:ascii="Georgia" w:hAnsi="Georgia"/>
          <w:color w:val="333333"/>
          <w:lang w:val="en"/>
        </w:rPr>
        <w:t xml:space="preserve"> and HFCs, are recorded in the NGGI and covered by the K</w:t>
      </w:r>
      <w:r>
        <w:rPr>
          <w:rFonts w:ascii="Georgia" w:hAnsi="Georgia"/>
          <w:color w:val="333333"/>
          <w:lang w:val="en"/>
        </w:rPr>
        <w:t>yoto Protocol. As a result, switching from ozone-depleting gases to these gases has increased industrial process emissions reported in the NGGI. Between 2000 and 2012, synthetic greenhouse gas emissions increased by 7 Mt CO</w:t>
      </w:r>
      <w:r>
        <w:rPr>
          <w:rFonts w:ascii="Georgia" w:hAnsi="Georgia"/>
          <w:color w:val="333333"/>
          <w:sz w:val="18"/>
          <w:szCs w:val="18"/>
          <w:vertAlign w:val="subscript"/>
          <w:lang w:val="en"/>
        </w:rPr>
        <w:t>2</w:t>
      </w:r>
      <w:r>
        <w:rPr>
          <w:rFonts w:ascii="Georgia" w:hAnsi="Georgia"/>
          <w:color w:val="333333"/>
          <w:lang w:val="en"/>
        </w:rPr>
        <w:t>-e. Despite the increase in emis</w:t>
      </w:r>
      <w:r>
        <w:rPr>
          <w:rFonts w:ascii="Georgia" w:hAnsi="Georgia"/>
          <w:color w:val="333333"/>
          <w:lang w:val="en"/>
        </w:rPr>
        <w:t>sions reported in the NGGI, the shift to SF</w:t>
      </w:r>
      <w:r>
        <w:rPr>
          <w:rFonts w:ascii="Georgia" w:hAnsi="Georgia"/>
          <w:color w:val="333333"/>
          <w:sz w:val="18"/>
          <w:szCs w:val="18"/>
          <w:vertAlign w:val="subscript"/>
          <w:lang w:val="en"/>
        </w:rPr>
        <w:t>6</w:t>
      </w:r>
      <w:r>
        <w:rPr>
          <w:rFonts w:ascii="Georgia" w:hAnsi="Georgia"/>
          <w:color w:val="333333"/>
          <w:lang w:val="en"/>
        </w:rPr>
        <w:t xml:space="preserve"> and HFCs has contributed to a net climate benefit (DCCEE 2012, p. 4).</w:t>
      </w:r>
    </w:p>
    <w:p w:rsidR="00000000" w:rsidRDefault="004170B4">
      <w:pPr>
        <w:pStyle w:val="NormalWeb"/>
        <w:spacing w:line="300" w:lineRule="atLeast"/>
        <w:rPr>
          <w:rFonts w:ascii="Georgia" w:hAnsi="Georgia"/>
          <w:color w:val="333333"/>
          <w:lang w:val="en"/>
        </w:rPr>
      </w:pPr>
      <w:r>
        <w:rPr>
          <w:rFonts w:ascii="Georgia" w:hAnsi="Georgia"/>
          <w:color w:val="333333"/>
          <w:lang w:val="en"/>
        </w:rPr>
        <w:t>Refrigerants Reclaim Australia (RRA) administers an industry-funded program that collects, reclaims and destroys waste and unwanted refrigera</w:t>
      </w:r>
      <w:r>
        <w:rPr>
          <w:rFonts w:ascii="Georgia" w:hAnsi="Georgia"/>
          <w:color w:val="333333"/>
          <w:lang w:val="en"/>
        </w:rPr>
        <w:t>nts and ozone-depleting substances. RRA (2013, p. 4) recovered about 4,445 </w:t>
      </w:r>
      <w:proofErr w:type="spellStart"/>
      <w:r>
        <w:rPr>
          <w:rFonts w:ascii="Georgia" w:hAnsi="Georgia"/>
          <w:color w:val="333333"/>
          <w:lang w:val="en"/>
        </w:rPr>
        <w:t>tonnes</w:t>
      </w:r>
      <w:proofErr w:type="spellEnd"/>
      <w:r>
        <w:rPr>
          <w:rFonts w:ascii="Georgia" w:hAnsi="Georgia"/>
          <w:color w:val="333333"/>
          <w:lang w:val="en"/>
        </w:rPr>
        <w:t xml:space="preserve"> of refrigerant gases between July 1993 and June 2012, avoiding emissions of about 10 Mt CO</w:t>
      </w:r>
      <w:r>
        <w:rPr>
          <w:rFonts w:ascii="Georgia" w:hAnsi="Georgia"/>
          <w:color w:val="333333"/>
          <w:sz w:val="18"/>
          <w:szCs w:val="18"/>
          <w:vertAlign w:val="subscript"/>
          <w:lang w:val="en"/>
        </w:rPr>
        <w:t>2</w:t>
      </w:r>
      <w:r>
        <w:rPr>
          <w:rFonts w:ascii="Georgia" w:hAnsi="Georgia"/>
          <w:color w:val="333333"/>
          <w:lang w:val="en"/>
        </w:rPr>
        <w:t>-e (including ozone-depleting substances). Projected rates of recovery of refrigera</w:t>
      </w:r>
      <w:r>
        <w:rPr>
          <w:rFonts w:ascii="Georgia" w:hAnsi="Georgia"/>
          <w:color w:val="333333"/>
          <w:lang w:val="en"/>
        </w:rPr>
        <w:t>nt gases are expected to reach over 900 </w:t>
      </w:r>
      <w:proofErr w:type="spellStart"/>
      <w:r>
        <w:rPr>
          <w:rFonts w:ascii="Georgia" w:hAnsi="Georgia"/>
          <w:color w:val="333333"/>
          <w:lang w:val="en"/>
        </w:rPr>
        <w:t>tonnes</w:t>
      </w:r>
      <w:proofErr w:type="spellEnd"/>
      <w:r>
        <w:rPr>
          <w:rFonts w:ascii="Georgia" w:hAnsi="Georgia"/>
          <w:color w:val="333333"/>
          <w:lang w:val="en"/>
        </w:rPr>
        <w:t xml:space="preserve"> per year by 2020, approximately doubling present rates (RRA 2013, p. 9). The rate of recovery may slow, given the </w:t>
      </w:r>
      <w:r>
        <w:rPr>
          <w:rFonts w:ascii="Georgia" w:hAnsi="Georgia"/>
          <w:color w:val="333333"/>
          <w:lang w:val="en"/>
        </w:rPr>
        <w:lastRenderedPageBreak/>
        <w:t>Commonwealth Government’s decision to not continue financial support, beyond 30 June 2014, in a</w:t>
      </w:r>
      <w:r>
        <w:rPr>
          <w:rFonts w:ascii="Georgia" w:hAnsi="Georgia"/>
          <w:color w:val="333333"/>
          <w:lang w:val="en"/>
        </w:rPr>
        <w:t>ddition to the existing industry-funded and -operated Destruction Incentives Program (DoE 2013).</w:t>
      </w:r>
    </w:p>
    <w:p w:rsidR="00000000" w:rsidRDefault="004170B4">
      <w:pPr>
        <w:pStyle w:val="Heading4"/>
        <w:rPr>
          <w:rFonts w:eastAsia="Times New Roman"/>
          <w:color w:val="333333"/>
          <w:lang w:val="en"/>
        </w:rPr>
      </w:pPr>
      <w:r>
        <w:rPr>
          <w:rFonts w:eastAsia="Times New Roman"/>
          <w:color w:val="333333"/>
          <w:lang w:val="en"/>
        </w:rPr>
        <w:t>D7.3.3 Metal production</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t>Aluminium</w:t>
      </w:r>
      <w:proofErr w:type="spellEnd"/>
      <w:r>
        <w:rPr>
          <w:rFonts w:ascii="Georgia" w:hAnsi="Georgia"/>
          <w:color w:val="333333"/>
          <w:lang w:val="en"/>
        </w:rPr>
        <w:t>, iron and steel production accounts for the majority of emissions in the metal sector. Future production levels are uncertain</w:t>
      </w:r>
      <w:r>
        <w:rPr>
          <w:rFonts w:ascii="Georgia" w:hAnsi="Georgia"/>
          <w:color w:val="333333"/>
          <w:lang w:val="en"/>
        </w:rPr>
        <w:t xml:space="preserve">. BREE (2013, p. 150) projects iron and steel production will continue to decline in the short term, while </w:t>
      </w:r>
      <w:proofErr w:type="spellStart"/>
      <w:r>
        <w:rPr>
          <w:rFonts w:ascii="Georgia" w:hAnsi="Georgia"/>
          <w:color w:val="333333"/>
          <w:lang w:val="en"/>
        </w:rPr>
        <w:t>ClimateWorks</w:t>
      </w:r>
      <w:proofErr w:type="spellEnd"/>
      <w:r>
        <w:rPr>
          <w:rFonts w:ascii="Georgia" w:hAnsi="Georgia"/>
          <w:color w:val="333333"/>
          <w:lang w:val="en"/>
        </w:rPr>
        <w:t xml:space="preserve"> (2013) estimates production will </w:t>
      </w:r>
      <w:proofErr w:type="spellStart"/>
      <w:r>
        <w:rPr>
          <w:rFonts w:ascii="Georgia" w:hAnsi="Georgia"/>
          <w:color w:val="333333"/>
          <w:lang w:val="en"/>
        </w:rPr>
        <w:t>stabilise</w:t>
      </w:r>
      <w:proofErr w:type="spellEnd"/>
      <w:r>
        <w:rPr>
          <w:rFonts w:ascii="Georgia" w:hAnsi="Georgia"/>
          <w:color w:val="333333"/>
          <w:lang w:val="en"/>
        </w:rPr>
        <w:t>. No new metal projects are expected in the near term.</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only two major producers of i</w:t>
      </w:r>
      <w:r>
        <w:rPr>
          <w:rFonts w:ascii="Georgia" w:hAnsi="Georgia"/>
          <w:color w:val="333333"/>
          <w:lang w:val="en"/>
        </w:rPr>
        <w:t>ron and steel in Australia—</w:t>
      </w:r>
      <w:proofErr w:type="spellStart"/>
      <w:r>
        <w:rPr>
          <w:rFonts w:ascii="Georgia" w:hAnsi="Georgia"/>
          <w:color w:val="333333"/>
          <w:lang w:val="en"/>
        </w:rPr>
        <w:t>Arrium</w:t>
      </w:r>
      <w:proofErr w:type="spellEnd"/>
      <w:r>
        <w:rPr>
          <w:rFonts w:ascii="Georgia" w:hAnsi="Georgia"/>
          <w:color w:val="333333"/>
          <w:lang w:val="en"/>
        </w:rPr>
        <w:t xml:space="preserve"> and </w:t>
      </w:r>
      <w:proofErr w:type="spellStart"/>
      <w:r>
        <w:rPr>
          <w:rFonts w:ascii="Georgia" w:hAnsi="Georgia"/>
          <w:color w:val="333333"/>
          <w:lang w:val="en"/>
        </w:rPr>
        <w:t>Bluescope</w:t>
      </w:r>
      <w:proofErr w:type="spellEnd"/>
      <w:r>
        <w:rPr>
          <w:rFonts w:ascii="Georgia" w:hAnsi="Georgia"/>
          <w:color w:val="333333"/>
          <w:lang w:val="en"/>
        </w:rPr>
        <w:t xml:space="preserve"> Steel. The closure of one of </w:t>
      </w:r>
      <w:proofErr w:type="spellStart"/>
      <w:r>
        <w:rPr>
          <w:rFonts w:ascii="Georgia" w:hAnsi="Georgia"/>
          <w:color w:val="333333"/>
          <w:lang w:val="en"/>
        </w:rPr>
        <w:t>Bluescope</w:t>
      </w:r>
      <w:proofErr w:type="spellEnd"/>
      <w:r>
        <w:rPr>
          <w:rFonts w:ascii="Georgia" w:hAnsi="Georgia"/>
          <w:color w:val="333333"/>
          <w:lang w:val="en"/>
        </w:rPr>
        <w:t xml:space="preserve"> Steel’s two blast furnaces at its Port </w:t>
      </w:r>
      <w:proofErr w:type="spellStart"/>
      <w:r>
        <w:rPr>
          <w:rFonts w:ascii="Georgia" w:hAnsi="Georgia"/>
          <w:color w:val="333333"/>
          <w:lang w:val="en"/>
        </w:rPr>
        <w:t>Kembla</w:t>
      </w:r>
      <w:proofErr w:type="spellEnd"/>
      <w:r>
        <w:rPr>
          <w:rFonts w:ascii="Georgia" w:hAnsi="Georgia"/>
          <w:color w:val="333333"/>
          <w:lang w:val="en"/>
        </w:rPr>
        <w:t xml:space="preserve"> plant in 2011 reduced its annual steel-making production by about 2.6 million </w:t>
      </w:r>
      <w:proofErr w:type="spellStart"/>
      <w:r>
        <w:rPr>
          <w:rFonts w:ascii="Georgia" w:hAnsi="Georgia"/>
          <w:color w:val="333333"/>
          <w:lang w:val="en"/>
        </w:rPr>
        <w:t>tonnes</w:t>
      </w:r>
      <w:proofErr w:type="spellEnd"/>
      <w:r>
        <w:rPr>
          <w:rFonts w:ascii="Georgia" w:hAnsi="Georgia"/>
          <w:color w:val="333333"/>
          <w:lang w:val="en"/>
        </w:rPr>
        <w:t xml:space="preserve"> and Australia’s crude steel production</w:t>
      </w:r>
      <w:r>
        <w:rPr>
          <w:rFonts w:ascii="Georgia" w:hAnsi="Georgia"/>
          <w:color w:val="333333"/>
          <w:lang w:val="en"/>
        </w:rPr>
        <w:t xml:space="preserve"> by almost 30 per cent in 2011–12 (</w:t>
      </w:r>
      <w:proofErr w:type="spellStart"/>
      <w:r>
        <w:rPr>
          <w:rFonts w:ascii="Georgia" w:hAnsi="Georgia"/>
          <w:color w:val="333333"/>
          <w:lang w:val="en"/>
        </w:rPr>
        <w:t>Bluescope</w:t>
      </w:r>
      <w:proofErr w:type="spellEnd"/>
      <w:r>
        <w:rPr>
          <w:rFonts w:ascii="Georgia" w:hAnsi="Georgia"/>
          <w:color w:val="333333"/>
          <w:lang w:val="en"/>
        </w:rPr>
        <w:t xml:space="preserve"> 2011, p. 5; </w:t>
      </w:r>
      <w:proofErr w:type="spellStart"/>
      <w:r>
        <w:rPr>
          <w:rFonts w:ascii="Georgia" w:hAnsi="Georgia"/>
          <w:color w:val="333333"/>
          <w:lang w:val="en"/>
        </w:rPr>
        <w:t>ClimateWorks</w:t>
      </w:r>
      <w:proofErr w:type="spellEnd"/>
      <w:r>
        <w:rPr>
          <w:rFonts w:ascii="Georgia" w:hAnsi="Georgia"/>
          <w:color w:val="333333"/>
          <w:lang w:val="en"/>
        </w:rPr>
        <w:t xml:space="preserve"> 2013, p. 31). This was due to the ‘record high Australian dollar, low steel prices and high raw material costs’, compounded by weak steel demand, though ‘not related to the Federal Gover</w:t>
      </w:r>
      <w:r>
        <w:rPr>
          <w:rFonts w:ascii="Georgia" w:hAnsi="Georgia"/>
          <w:color w:val="333333"/>
          <w:lang w:val="en"/>
        </w:rPr>
        <w:t>nment’s proposed carbon tax’ (</w:t>
      </w:r>
      <w:proofErr w:type="spellStart"/>
      <w:r>
        <w:rPr>
          <w:rFonts w:ascii="Georgia" w:hAnsi="Georgia"/>
          <w:color w:val="333333"/>
          <w:lang w:val="en"/>
        </w:rPr>
        <w:t>Bluescope</w:t>
      </w:r>
      <w:proofErr w:type="spellEnd"/>
      <w:r>
        <w:rPr>
          <w:rFonts w:ascii="Georgia" w:hAnsi="Georgia"/>
          <w:color w:val="333333"/>
          <w:lang w:val="en"/>
        </w:rPr>
        <w:t xml:space="preserve"> 2011, p. 5). Similar factors, including overcapacity in the </w:t>
      </w:r>
      <w:proofErr w:type="spellStart"/>
      <w:r>
        <w:rPr>
          <w:rFonts w:ascii="Georgia" w:hAnsi="Georgia"/>
          <w:color w:val="333333"/>
          <w:lang w:val="en"/>
        </w:rPr>
        <w:t>aluminium</w:t>
      </w:r>
      <w:proofErr w:type="spellEnd"/>
      <w:r>
        <w:rPr>
          <w:rFonts w:ascii="Georgia" w:hAnsi="Georgia"/>
          <w:color w:val="333333"/>
          <w:lang w:val="en"/>
        </w:rPr>
        <w:t xml:space="preserve"> industry, led to the 2012 closure of the Kurri Kurri plant (</w:t>
      </w:r>
      <w:proofErr w:type="spellStart"/>
      <w:r>
        <w:rPr>
          <w:rFonts w:ascii="Georgia" w:hAnsi="Georgia"/>
          <w:color w:val="333333"/>
          <w:lang w:val="en"/>
        </w:rPr>
        <w:t>Norsk</w:t>
      </w:r>
      <w:proofErr w:type="spellEnd"/>
      <w:r>
        <w:rPr>
          <w:rFonts w:ascii="Georgia" w:hAnsi="Georgia"/>
          <w:color w:val="333333"/>
          <w:lang w:val="en"/>
        </w:rPr>
        <w:t xml:space="preserve"> Hydro 2012). </w:t>
      </w:r>
    </w:p>
    <w:p w:rsidR="00000000" w:rsidRDefault="004170B4">
      <w:pPr>
        <w:pStyle w:val="NormalWeb"/>
        <w:spacing w:line="300" w:lineRule="atLeast"/>
        <w:rPr>
          <w:rFonts w:ascii="Georgia" w:hAnsi="Georgia"/>
          <w:color w:val="333333"/>
          <w:lang w:val="en"/>
        </w:rPr>
      </w:pPr>
      <w:r>
        <w:rPr>
          <w:rFonts w:ascii="Georgia" w:hAnsi="Georgia"/>
          <w:color w:val="333333"/>
          <w:lang w:val="en"/>
        </w:rPr>
        <w:t>Weaker domestic construction activity and the high Australian doll</w:t>
      </w:r>
      <w:r>
        <w:rPr>
          <w:rFonts w:ascii="Georgia" w:hAnsi="Georgia"/>
          <w:color w:val="333333"/>
          <w:lang w:val="en"/>
        </w:rPr>
        <w:t>ar, combined with the weak international steel market, are expected to continue to suppress metal production to 2014. In the medium to long term, these factors are expected to improve (</w:t>
      </w:r>
      <w:proofErr w:type="spellStart"/>
      <w:r>
        <w:rPr>
          <w:rFonts w:ascii="Georgia" w:hAnsi="Georgia"/>
          <w:color w:val="333333"/>
          <w:lang w:val="en"/>
        </w:rPr>
        <w:t>Arrium</w:t>
      </w:r>
      <w:proofErr w:type="spellEnd"/>
      <w:r>
        <w:rPr>
          <w:rFonts w:ascii="Georgia" w:hAnsi="Georgia"/>
          <w:color w:val="333333"/>
          <w:lang w:val="en"/>
        </w:rPr>
        <w:t xml:space="preserve"> 2013, p. 13).</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t>ClimateWorks</w:t>
      </w:r>
      <w:proofErr w:type="spellEnd"/>
      <w:r>
        <w:rPr>
          <w:rFonts w:ascii="Georgia" w:hAnsi="Georgia"/>
          <w:color w:val="333333"/>
          <w:lang w:val="en"/>
        </w:rPr>
        <w:t xml:space="preserve"> (2013, p. 48) projects that the emiss</w:t>
      </w:r>
      <w:r>
        <w:rPr>
          <w:rFonts w:ascii="Georgia" w:hAnsi="Georgia"/>
          <w:color w:val="333333"/>
          <w:lang w:val="en"/>
        </w:rPr>
        <w:t xml:space="preserve">ions intensity of metal production will remain stable to 2020, as the industry is </w:t>
      </w:r>
      <w:proofErr w:type="spellStart"/>
      <w:r>
        <w:rPr>
          <w:rFonts w:ascii="Georgia" w:hAnsi="Georgia"/>
          <w:color w:val="333333"/>
          <w:lang w:val="en"/>
        </w:rPr>
        <w:t>characterised</w:t>
      </w:r>
      <w:proofErr w:type="spellEnd"/>
      <w:r>
        <w:rPr>
          <w:rFonts w:ascii="Georgia" w:hAnsi="Georgia"/>
          <w:color w:val="333333"/>
          <w:lang w:val="en"/>
        </w:rPr>
        <w:t xml:space="preserve"> by mature technologies with high capital intensity and long investment cycles. At present, there are ‘no near to mid-term technology improvements that will deli</w:t>
      </w:r>
      <w:r>
        <w:rPr>
          <w:rFonts w:ascii="Georgia" w:hAnsi="Georgia"/>
          <w:color w:val="333333"/>
          <w:lang w:val="en"/>
        </w:rPr>
        <w:t>ver large step reductions in carbon steelmaking emissions’ (</w:t>
      </w:r>
      <w:proofErr w:type="spellStart"/>
      <w:r>
        <w:rPr>
          <w:rFonts w:ascii="Georgia" w:hAnsi="Georgia"/>
          <w:color w:val="333333"/>
          <w:lang w:val="en"/>
        </w:rPr>
        <w:t>Arrium</w:t>
      </w:r>
      <w:proofErr w:type="spellEnd"/>
      <w:r>
        <w:rPr>
          <w:rFonts w:ascii="Georgia" w:hAnsi="Georgia"/>
          <w:color w:val="333333"/>
          <w:lang w:val="en"/>
        </w:rPr>
        <w:t xml:space="preserve"> 2011, p. 24). As noted above, after substantial PFC emissions reductions from </w:t>
      </w:r>
      <w:proofErr w:type="spellStart"/>
      <w:r>
        <w:rPr>
          <w:rFonts w:ascii="Georgia" w:hAnsi="Georgia"/>
          <w:color w:val="333333"/>
          <w:lang w:val="en"/>
        </w:rPr>
        <w:t>aluminium</w:t>
      </w:r>
      <w:proofErr w:type="spellEnd"/>
      <w:r>
        <w:rPr>
          <w:rFonts w:ascii="Georgia" w:hAnsi="Georgia"/>
          <w:color w:val="333333"/>
          <w:lang w:val="en"/>
        </w:rPr>
        <w:t xml:space="preserve"> since 1990, there is limited opportunity for further improvement in </w:t>
      </w:r>
      <w:proofErr w:type="spellStart"/>
      <w:r>
        <w:rPr>
          <w:rFonts w:ascii="Georgia" w:hAnsi="Georgia"/>
          <w:color w:val="333333"/>
          <w:lang w:val="en"/>
        </w:rPr>
        <w:t>aluminium</w:t>
      </w:r>
      <w:proofErr w:type="spellEnd"/>
      <w:r>
        <w:rPr>
          <w:rFonts w:ascii="Georgia" w:hAnsi="Georgia"/>
          <w:color w:val="333333"/>
          <w:lang w:val="en"/>
        </w:rPr>
        <w:t xml:space="preserve"> emissions intensity (</w:t>
      </w:r>
      <w:proofErr w:type="spellStart"/>
      <w:r>
        <w:rPr>
          <w:rFonts w:ascii="Georgia" w:hAnsi="Georgia"/>
          <w:color w:val="333333"/>
          <w:lang w:val="en"/>
        </w:rPr>
        <w:t>Cl</w:t>
      </w:r>
      <w:r>
        <w:rPr>
          <w:rFonts w:ascii="Georgia" w:hAnsi="Georgia"/>
          <w:color w:val="333333"/>
          <w:lang w:val="en"/>
        </w:rPr>
        <w:t>imateWorks</w:t>
      </w:r>
      <w:proofErr w:type="spellEnd"/>
      <w:r>
        <w:rPr>
          <w:rFonts w:ascii="Georgia" w:hAnsi="Georgia"/>
          <w:color w:val="333333"/>
          <w:lang w:val="en"/>
        </w:rPr>
        <w:t xml:space="preserve"> 2013, p. 47). </w:t>
      </w:r>
    </w:p>
    <w:p w:rsidR="00000000" w:rsidRDefault="004170B4">
      <w:pPr>
        <w:pStyle w:val="NormalWeb"/>
        <w:spacing w:line="300" w:lineRule="atLeast"/>
        <w:rPr>
          <w:rFonts w:ascii="Georgia" w:hAnsi="Georgia"/>
          <w:color w:val="333333"/>
          <w:lang w:val="en"/>
        </w:rPr>
      </w:pPr>
      <w:r>
        <w:rPr>
          <w:rFonts w:ascii="Georgia" w:hAnsi="Georgia"/>
          <w:color w:val="333333"/>
          <w:lang w:val="en"/>
        </w:rPr>
        <w:t>CCS technology requires significant capital expenditure but offers large emissions reduction potential. Pilot projects are currently operating in Japan and Korea (IEA 2013, p. 19).</w:t>
      </w:r>
    </w:p>
    <w:p w:rsidR="00000000" w:rsidRDefault="004170B4">
      <w:pPr>
        <w:pStyle w:val="Heading4"/>
        <w:rPr>
          <w:rFonts w:eastAsia="Times New Roman"/>
          <w:color w:val="333333"/>
          <w:lang w:val="en"/>
        </w:rPr>
      </w:pPr>
      <w:r>
        <w:rPr>
          <w:rFonts w:eastAsia="Times New Roman"/>
          <w:color w:val="333333"/>
          <w:lang w:val="en"/>
        </w:rPr>
        <w:t>D7.3.4</w:t>
      </w:r>
      <w:r>
        <w:rPr>
          <w:rFonts w:eastAsia="Times New Roman"/>
          <w:color w:val="333333"/>
          <w:lang w:val="en"/>
        </w:rPr>
        <w:tab/>
        <w:t>Mineral production</w:t>
      </w:r>
    </w:p>
    <w:p w:rsidR="00000000" w:rsidRDefault="004170B4">
      <w:pPr>
        <w:pStyle w:val="NormalWeb"/>
        <w:spacing w:line="300" w:lineRule="atLeast"/>
        <w:rPr>
          <w:rFonts w:ascii="Georgia" w:hAnsi="Georgia"/>
          <w:color w:val="333333"/>
          <w:lang w:val="en"/>
        </w:rPr>
      </w:pPr>
      <w:r>
        <w:rPr>
          <w:rFonts w:ascii="Georgia" w:hAnsi="Georgia"/>
          <w:color w:val="333333"/>
          <w:lang w:val="en"/>
        </w:rPr>
        <w:t>The Cement Industry Fed</w:t>
      </w:r>
      <w:r>
        <w:rPr>
          <w:rFonts w:ascii="Georgia" w:hAnsi="Georgia"/>
          <w:color w:val="333333"/>
          <w:lang w:val="en"/>
        </w:rPr>
        <w:t xml:space="preserve">eration (CIF 2013) notes over half of the emissions associated with cement manufacturing are attributed to clinker production. Progress is being made to reduce emissions and increase production through greater use of supplementary materials such as cement </w:t>
      </w:r>
      <w:r>
        <w:rPr>
          <w:rFonts w:ascii="Georgia" w:hAnsi="Georgia"/>
          <w:color w:val="333333"/>
          <w:lang w:val="en"/>
        </w:rPr>
        <w:t xml:space="preserve">extenders, </w:t>
      </w:r>
      <w:proofErr w:type="spellStart"/>
      <w:r>
        <w:rPr>
          <w:rFonts w:ascii="Georgia" w:hAnsi="Georgia"/>
          <w:color w:val="333333"/>
          <w:lang w:val="en"/>
        </w:rPr>
        <w:t>flyash</w:t>
      </w:r>
      <w:proofErr w:type="spellEnd"/>
      <w:r>
        <w:rPr>
          <w:rFonts w:ascii="Georgia" w:hAnsi="Georgia"/>
          <w:color w:val="333333"/>
          <w:lang w:val="en"/>
        </w:rPr>
        <w:t xml:space="preserve"> and slag. Since 2003, </w:t>
      </w:r>
      <w:r>
        <w:rPr>
          <w:rFonts w:ascii="Georgia" w:hAnsi="Georgia"/>
          <w:color w:val="333333"/>
          <w:lang w:val="en"/>
        </w:rPr>
        <w:lastRenderedPageBreak/>
        <w:t xml:space="preserve">industry use of these materials increased by 68 per cent, reaching over 3 million </w:t>
      </w:r>
      <w:proofErr w:type="spellStart"/>
      <w:r>
        <w:rPr>
          <w:rFonts w:ascii="Georgia" w:hAnsi="Georgia"/>
          <w:color w:val="333333"/>
          <w:lang w:val="en"/>
        </w:rPr>
        <w:t>tonnes</w:t>
      </w:r>
      <w:proofErr w:type="spellEnd"/>
      <w:r>
        <w:rPr>
          <w:rFonts w:ascii="Georgia" w:hAnsi="Georgia"/>
          <w:color w:val="333333"/>
          <w:lang w:val="en"/>
        </w:rPr>
        <w:t xml:space="preserve"> in 2012 (</w:t>
      </w:r>
      <w:proofErr w:type="spellStart"/>
      <w:r>
        <w:rPr>
          <w:rFonts w:ascii="Georgia" w:hAnsi="Georgia"/>
          <w:color w:val="333333"/>
          <w:lang w:val="en"/>
        </w:rPr>
        <w:t>ClimateWorks</w:t>
      </w:r>
      <w:proofErr w:type="spellEnd"/>
      <w:r>
        <w:rPr>
          <w:rFonts w:ascii="Georgia" w:hAnsi="Georgia"/>
          <w:color w:val="333333"/>
          <w:lang w:val="en"/>
        </w:rPr>
        <w:t> 2013, p. 32; CIF 2012, p. 15).</w:t>
      </w:r>
    </w:p>
    <w:p w:rsidR="00000000" w:rsidRDefault="004170B4">
      <w:pPr>
        <w:pStyle w:val="NormalWeb"/>
        <w:spacing w:line="300" w:lineRule="atLeast"/>
        <w:rPr>
          <w:rFonts w:ascii="Georgia" w:hAnsi="Georgia"/>
          <w:color w:val="333333"/>
          <w:lang w:val="en"/>
        </w:rPr>
      </w:pPr>
      <w:r>
        <w:rPr>
          <w:rFonts w:ascii="Georgia" w:hAnsi="Georgia"/>
          <w:color w:val="333333"/>
          <w:lang w:val="en"/>
        </w:rPr>
        <w:t>Adelaide Brighton (2012, p. 19) increased its clinker substitution to almo</w:t>
      </w:r>
      <w:r>
        <w:rPr>
          <w:rFonts w:ascii="Georgia" w:hAnsi="Georgia"/>
          <w:color w:val="333333"/>
          <w:lang w:val="en"/>
        </w:rPr>
        <w:t>st 16 per cent in 2012, avoiding nearly 0.5 Mt CO</w:t>
      </w:r>
      <w:r>
        <w:rPr>
          <w:rFonts w:ascii="Georgia" w:hAnsi="Georgia"/>
          <w:color w:val="333333"/>
          <w:sz w:val="18"/>
          <w:szCs w:val="18"/>
          <w:vertAlign w:val="subscript"/>
          <w:lang w:val="en"/>
        </w:rPr>
        <w:t>2</w:t>
      </w:r>
      <w:r>
        <w:rPr>
          <w:rFonts w:ascii="Georgia" w:hAnsi="Georgia"/>
          <w:color w:val="333333"/>
          <w:lang w:val="en"/>
        </w:rPr>
        <w:t>-e of emissions by using waste materials that would otherwise be placed in landfill. Boral is also increasing its clinker substitution through proprietary technology to reduce the emissions intensity of con</w:t>
      </w:r>
      <w:r>
        <w:rPr>
          <w:rFonts w:ascii="Georgia" w:hAnsi="Georgia"/>
          <w:color w:val="333333"/>
          <w:lang w:val="en"/>
        </w:rPr>
        <w:t>crete by over 40 per cent (</w:t>
      </w:r>
      <w:proofErr w:type="spellStart"/>
      <w:r>
        <w:rPr>
          <w:rFonts w:ascii="Georgia" w:hAnsi="Georgia"/>
          <w:color w:val="333333"/>
          <w:lang w:val="en"/>
        </w:rPr>
        <w:t>ClimateWorks</w:t>
      </w:r>
      <w:proofErr w:type="spellEnd"/>
      <w:r>
        <w:rPr>
          <w:rFonts w:ascii="Georgia" w:hAnsi="Georgia"/>
          <w:color w:val="333333"/>
          <w:lang w:val="en"/>
        </w:rPr>
        <w:t xml:space="preserve"> 2013, p. 51). </w:t>
      </w:r>
    </w:p>
    <w:p w:rsidR="00000000" w:rsidRDefault="004170B4">
      <w:pPr>
        <w:pStyle w:val="NormalWeb"/>
        <w:spacing w:line="300" w:lineRule="atLeast"/>
        <w:rPr>
          <w:rFonts w:ascii="Georgia" w:hAnsi="Georgia"/>
          <w:color w:val="333333"/>
          <w:lang w:val="en"/>
        </w:rPr>
      </w:pPr>
      <w:r>
        <w:rPr>
          <w:rFonts w:ascii="Georgia" w:hAnsi="Georgia"/>
          <w:color w:val="333333"/>
          <w:lang w:val="en"/>
        </w:rPr>
        <w:t>In future, plans to import clinker are likely to reduce domestic emissions from cement production and transfer emissions that would have occurred in Australia to the exporting country. Adelaide Brighto</w:t>
      </w:r>
      <w:r>
        <w:rPr>
          <w:rFonts w:ascii="Georgia" w:hAnsi="Georgia"/>
          <w:color w:val="333333"/>
          <w:lang w:val="en"/>
        </w:rPr>
        <w:t xml:space="preserve">n (2013, p. 17) intends to import all its white clinker from Malaysia from 2015. Similarly, Boral (2013, p. 14) has increased its clinker imports to almost 30 per cent after closing its </w:t>
      </w:r>
      <w:proofErr w:type="spellStart"/>
      <w:r>
        <w:rPr>
          <w:rFonts w:ascii="Georgia" w:hAnsi="Georgia"/>
          <w:color w:val="333333"/>
          <w:lang w:val="en"/>
        </w:rPr>
        <w:t>Waurn</w:t>
      </w:r>
      <w:proofErr w:type="spellEnd"/>
      <w:r>
        <w:rPr>
          <w:rFonts w:ascii="Georgia" w:hAnsi="Georgia"/>
          <w:color w:val="333333"/>
          <w:lang w:val="en"/>
        </w:rPr>
        <w:t xml:space="preserve"> factory in 2012.</w:t>
      </w:r>
    </w:p>
    <w:p w:rsidR="00000000" w:rsidRDefault="004170B4">
      <w:pPr>
        <w:pStyle w:val="Heading2"/>
        <w:rPr>
          <w:rFonts w:eastAsia="Times New Roman"/>
          <w:color w:val="333333"/>
          <w:lang w:val="en"/>
        </w:rPr>
      </w:pPr>
      <w:r>
        <w:rPr>
          <w:rFonts w:eastAsia="Times New Roman"/>
          <w:color w:val="333333"/>
          <w:lang w:val="en"/>
        </w:rPr>
        <w:t>Appendix D8 Agriculture</w:t>
      </w:r>
    </w:p>
    <w:p w:rsidR="00000000" w:rsidRDefault="004170B4">
      <w:pPr>
        <w:pStyle w:val="Heading3"/>
        <w:rPr>
          <w:rFonts w:eastAsia="Times New Roman"/>
          <w:color w:val="333333"/>
          <w:lang w:val="en"/>
        </w:rPr>
      </w:pPr>
      <w:r>
        <w:rPr>
          <w:rFonts w:eastAsia="Times New Roman"/>
          <w:color w:val="333333"/>
          <w:lang w:val="en"/>
        </w:rPr>
        <w:t>D8.1 Agriculture emissi</w:t>
      </w:r>
      <w:r>
        <w:rPr>
          <w:rFonts w:eastAsia="Times New Roman"/>
          <w:color w:val="333333"/>
          <w:lang w:val="en"/>
        </w:rPr>
        <w:t>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Agriculture emissions are those from:</w:t>
      </w:r>
    </w:p>
    <w:p w:rsidR="00000000" w:rsidRDefault="004170B4" w:rsidP="004170B4">
      <w:pPr>
        <w:numPr>
          <w:ilvl w:val="0"/>
          <w:numId w:val="30"/>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livestock digestive processes (enteric fermentation)</w:t>
      </w:r>
    </w:p>
    <w:p w:rsidR="00000000" w:rsidRDefault="004170B4" w:rsidP="004170B4">
      <w:pPr>
        <w:numPr>
          <w:ilvl w:val="0"/>
          <w:numId w:val="30"/>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manure management</w:t>
      </w:r>
    </w:p>
    <w:p w:rsidR="00000000" w:rsidRDefault="004170B4" w:rsidP="004170B4">
      <w:pPr>
        <w:numPr>
          <w:ilvl w:val="0"/>
          <w:numId w:val="30"/>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nitrous oxide emissions from cropping and pastureland soils</w:t>
      </w:r>
    </w:p>
    <w:p w:rsidR="00000000" w:rsidRDefault="004170B4" w:rsidP="004170B4">
      <w:pPr>
        <w:numPr>
          <w:ilvl w:val="0"/>
          <w:numId w:val="30"/>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prescribed</w:t>
      </w:r>
      <w:proofErr w:type="gramEnd"/>
      <w:r>
        <w:rPr>
          <w:rFonts w:ascii="Georgia" w:eastAsia="Times New Roman" w:hAnsi="Georgia"/>
          <w:color w:val="333333"/>
          <w:lang w:val="en"/>
        </w:rPr>
        <w:t xml:space="preserve"> burning of savannas and burning of agricultural residues.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Livestock emissions are primarily methane, whereas emissions from cropping activities are primarily nitrous oxide from applying </w:t>
      </w:r>
      <w:proofErr w:type="spellStart"/>
      <w:r>
        <w:rPr>
          <w:rFonts w:ascii="Georgia" w:hAnsi="Georgia"/>
          <w:color w:val="333333"/>
          <w:lang w:val="en"/>
        </w:rPr>
        <w:t>fertilisers</w:t>
      </w:r>
      <w:proofErr w:type="spellEnd"/>
      <w:r>
        <w:rPr>
          <w:rFonts w:ascii="Georgia" w:hAnsi="Georgia"/>
          <w:color w:val="333333"/>
          <w:lang w:val="en"/>
        </w:rPr>
        <w:t xml:space="preserve">, dung, </w:t>
      </w:r>
      <w:proofErr w:type="gramStart"/>
      <w:r>
        <w:rPr>
          <w:rFonts w:ascii="Georgia" w:hAnsi="Georgia"/>
          <w:color w:val="333333"/>
          <w:lang w:val="en"/>
        </w:rPr>
        <w:t>manure</w:t>
      </w:r>
      <w:proofErr w:type="gramEnd"/>
      <w:r>
        <w:rPr>
          <w:rFonts w:ascii="Georgia" w:hAnsi="Georgia"/>
          <w:color w:val="333333"/>
          <w:lang w:val="en"/>
        </w:rPr>
        <w:t xml:space="preserve"> and crop residues to soils.</w:t>
      </w:r>
    </w:p>
    <w:p w:rsidR="00000000" w:rsidRDefault="004170B4">
      <w:pPr>
        <w:pStyle w:val="NormalWeb"/>
        <w:spacing w:line="300" w:lineRule="atLeast"/>
        <w:rPr>
          <w:rFonts w:ascii="Georgia" w:hAnsi="Georgia"/>
          <w:color w:val="333333"/>
          <w:lang w:val="en"/>
        </w:rPr>
      </w:pPr>
      <w:r>
        <w:rPr>
          <w:rFonts w:ascii="Georgia" w:hAnsi="Georgia"/>
          <w:color w:val="333333"/>
          <w:lang w:val="en"/>
        </w:rPr>
        <w:t>Combustion of fossil fuels in farming and cropping activities is covered u</w:t>
      </w:r>
      <w:r>
        <w:rPr>
          <w:rFonts w:ascii="Georgia" w:hAnsi="Georgia"/>
          <w:color w:val="333333"/>
          <w:lang w:val="en"/>
        </w:rPr>
        <w:t xml:space="preserve">nder other sectors (electricity, direct combustion and transport). </w:t>
      </w:r>
    </w:p>
    <w:p w:rsidR="00000000" w:rsidRDefault="004170B4">
      <w:pPr>
        <w:pStyle w:val="NormalWeb"/>
        <w:spacing w:line="300" w:lineRule="atLeast"/>
        <w:rPr>
          <w:rFonts w:ascii="Georgia" w:hAnsi="Georgia"/>
          <w:color w:val="333333"/>
          <w:lang w:val="en"/>
        </w:rPr>
      </w:pPr>
      <w:r>
        <w:rPr>
          <w:rFonts w:ascii="Georgia" w:hAnsi="Georgia"/>
          <w:color w:val="333333"/>
          <w:lang w:val="en"/>
        </w:rPr>
        <w:t>Activities that change carbon sequestration in agricultural soils are covered under LULUCF, discussed in Appendix D9. Consistent with Australia’s Kyoto Protocol Accounting Framework and th</w:t>
      </w:r>
      <w:r>
        <w:rPr>
          <w:rFonts w:ascii="Georgia" w:hAnsi="Georgia"/>
          <w:color w:val="333333"/>
          <w:lang w:val="en"/>
        </w:rPr>
        <w:t>e categories of reporting used in the National Greenhouse Gas Inventory, a distinction has been made between agriculture and LULUCF emissions in this report, though the two sectors are closely connected.</w:t>
      </w:r>
    </w:p>
    <w:p w:rsidR="00000000" w:rsidRDefault="004170B4">
      <w:pPr>
        <w:pStyle w:val="NormalWeb"/>
        <w:spacing w:line="300" w:lineRule="atLeast"/>
        <w:rPr>
          <w:rFonts w:ascii="Georgia" w:hAnsi="Georgia"/>
          <w:color w:val="333333"/>
          <w:lang w:val="en"/>
        </w:rPr>
      </w:pPr>
      <w:r>
        <w:rPr>
          <w:rFonts w:ascii="Georgia" w:hAnsi="Georgia"/>
          <w:color w:val="333333"/>
          <w:lang w:val="en"/>
        </w:rPr>
        <w:t>Agriculture accounted for 17 per cent of total Austr</w:t>
      </w:r>
      <w:r>
        <w:rPr>
          <w:rFonts w:ascii="Georgia" w:hAnsi="Georgia"/>
          <w:color w:val="333333"/>
          <w:lang w:val="en"/>
        </w:rPr>
        <w:t xml:space="preserve">alian emissions in 2012 (Figure D.34). About three-quarters were from livestock, mostly from enteric fermentation. The remainder were shared relatively evenly between cropping and savanna burning.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share of agriculture emissions is projected to remain </w:t>
      </w:r>
      <w:r>
        <w:rPr>
          <w:rFonts w:ascii="Georgia" w:hAnsi="Georgia"/>
          <w:color w:val="333333"/>
          <w:lang w:val="en"/>
        </w:rPr>
        <w:t>relatively stable until 2030 under the medium scenario. Agriculture emissions are projected to be just 6 Mt CO</w:t>
      </w:r>
      <w:r>
        <w:rPr>
          <w:rFonts w:ascii="Georgia" w:hAnsi="Georgia"/>
          <w:color w:val="333333"/>
          <w:sz w:val="18"/>
          <w:szCs w:val="18"/>
          <w:vertAlign w:val="subscript"/>
          <w:lang w:val="en"/>
        </w:rPr>
        <w:t>2</w:t>
      </w:r>
      <w:r>
        <w:rPr>
          <w:rFonts w:ascii="Georgia" w:hAnsi="Georgia"/>
          <w:color w:val="333333"/>
          <w:lang w:val="en"/>
        </w:rPr>
        <w:t>-</w:t>
      </w:r>
      <w:r>
        <w:rPr>
          <w:rFonts w:ascii="Georgia" w:hAnsi="Georgia"/>
          <w:color w:val="333333"/>
          <w:lang w:val="en"/>
        </w:rPr>
        <w:lastRenderedPageBreak/>
        <w:t>e lower (5 per cent), under the high scenario, compared to the no price scenario, in 2030.</w:t>
      </w:r>
    </w:p>
    <w:p w:rsidR="00000000" w:rsidRDefault="004170B4">
      <w:pPr>
        <w:pStyle w:val="Heading2"/>
        <w:rPr>
          <w:rFonts w:eastAsia="Times New Roman"/>
          <w:color w:val="333333"/>
          <w:lang w:val="en"/>
        </w:rPr>
      </w:pPr>
      <w:r>
        <w:rPr>
          <w:rFonts w:eastAsia="Times New Roman"/>
          <w:color w:val="333333"/>
          <w:lang w:val="en"/>
        </w:rPr>
        <w:t>Figure D.34: Agriculture share of Australia’s emissio</w:t>
      </w:r>
      <w:r>
        <w:rPr>
          <w:rFonts w:eastAsia="Times New Roman"/>
          <w:color w:val="333333"/>
          <w:lang w:val="en"/>
        </w:rPr>
        <w:t xml:space="preserve">ns, selected years, 1990–2030 </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743200"/>
            <wp:effectExtent l="0" t="0" r="0" b="0"/>
            <wp:docPr id="34" name="Picture 34" descr="Figure D.34 shows the historical and projected share of agriculture emissions between 1990 and 2030. In 2000, agriculture emissions accounted for 105 megatonnes of carbon dioxide equivalent.&#10;Agriculture emissions increase from 99 to 100 megatonnes of carbon dioxide equivalent between 1990 and 2012. In 2020, agriculture emissions are projected to be 106 megatonnes of carbon dioxide equivalent in the no price scenario, 104 megatonnes of carbon dioxide equivalent in the low scenario, 103 megatonnes of carbon dioxide equivalent in the medium scenario and 102 megatonnes of carbon dioxide equivalent in the high scenario. &#10;In 2030, agriculture emissions are projected to be 123 megatonnes of carbon dioxide equivalent in the no price scenario, 119 megatonnes of carbon dioxide equivalent in both the low scenario and medium scenarios and 117 megatonnes of carbon dioxide equivalent in the high scenar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D.34 shows the historical and projected share of agriculture emissions between 1990 and 2030. In 2000, agriculture emissions accounted for 105 megatonnes of carbon dioxide equivalent.&#10;Agriculture emissions increase from 99 to 100 megatonnes of carbon dioxide equivalent between 1990 and 2012. In 2020, agriculture emissions are projected to be 106 megatonnes of carbon dioxide equivalent in the no price scenario, 104 megatonnes of carbon dioxide equivalent in the low scenario, 103 megatonnes of carbon dioxide equivalent in the medium scenario and 102 megatonnes of carbon dioxide equivalent in the high scenario. &#10;In 2030, agriculture emissions are projected to be 123 megatonnes of carbon dioxide equivalent in the no price scenario, 119 megatonnes of carbon dioxide equivalent in both the low scenario and medium scenarios and 117 megatonnes of carbon dioxide equivalent in the high scenario.&#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6770" cy="274320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From 1990 to 2012, agriculture emissions increased from 99 to 100 Mt CO</w:t>
      </w:r>
      <w:r>
        <w:rPr>
          <w:rFonts w:ascii="Georgia" w:hAnsi="Georgia"/>
          <w:color w:val="333333"/>
          <w:sz w:val="18"/>
          <w:szCs w:val="18"/>
          <w:vertAlign w:val="subscript"/>
          <w:lang w:val="en"/>
        </w:rPr>
        <w:t>2</w:t>
      </w:r>
      <w:r>
        <w:rPr>
          <w:rFonts w:ascii="Georgia" w:hAnsi="Georgia"/>
          <w:color w:val="333333"/>
          <w:lang w:val="en"/>
        </w:rPr>
        <w:t>-e. They peaked at 108 Mt CO</w:t>
      </w:r>
      <w:r>
        <w:rPr>
          <w:rFonts w:ascii="Georgia" w:hAnsi="Georgia"/>
          <w:color w:val="333333"/>
          <w:sz w:val="18"/>
          <w:szCs w:val="18"/>
          <w:vertAlign w:val="subscript"/>
          <w:lang w:val="en"/>
        </w:rPr>
        <w:t>2</w:t>
      </w:r>
      <w:r>
        <w:rPr>
          <w:rFonts w:ascii="Georgia" w:hAnsi="Georgia"/>
          <w:color w:val="333333"/>
          <w:lang w:val="en"/>
        </w:rPr>
        <w:t>-e in 2001 before gradual</w:t>
      </w:r>
      <w:r>
        <w:rPr>
          <w:rFonts w:ascii="Georgia" w:hAnsi="Georgia"/>
          <w:color w:val="333333"/>
          <w:lang w:val="en"/>
        </w:rPr>
        <w:t>ly declining to 93 Mt CO</w:t>
      </w:r>
      <w:r>
        <w:rPr>
          <w:rFonts w:ascii="Georgia" w:hAnsi="Georgia"/>
          <w:color w:val="333333"/>
          <w:sz w:val="18"/>
          <w:szCs w:val="18"/>
          <w:vertAlign w:val="subscript"/>
          <w:lang w:val="en"/>
        </w:rPr>
        <w:t>2</w:t>
      </w:r>
      <w:r>
        <w:rPr>
          <w:rFonts w:ascii="Georgia" w:hAnsi="Georgia"/>
          <w:color w:val="333333"/>
          <w:lang w:val="en"/>
        </w:rPr>
        <w:t>-e in 2010 and then increasing to current levels. The peak in emissions was largely driven by strong industry returns that increased beef cattle population, before prolonged years of drought led to a significant reduction in livest</w:t>
      </w:r>
      <w:r>
        <w:rPr>
          <w:rFonts w:ascii="Georgia" w:hAnsi="Georgia"/>
          <w:color w:val="333333"/>
          <w:lang w:val="en"/>
        </w:rPr>
        <w:t>ock. The breaking of the drought in 2010 has seen farmers rebuild livestock population (DIICCSRTE 2013, p. 213).</w:t>
      </w:r>
    </w:p>
    <w:p w:rsidR="00000000" w:rsidRDefault="004170B4">
      <w:pPr>
        <w:pStyle w:val="NormalWeb"/>
        <w:spacing w:line="300" w:lineRule="atLeast"/>
        <w:rPr>
          <w:rFonts w:ascii="Georgia" w:hAnsi="Georgia"/>
          <w:color w:val="333333"/>
          <w:lang w:val="en"/>
        </w:rPr>
      </w:pPr>
      <w:r>
        <w:rPr>
          <w:rFonts w:ascii="Georgia" w:hAnsi="Georgia"/>
          <w:color w:val="333333"/>
          <w:lang w:val="en"/>
        </w:rPr>
        <w:t>Compared with 2012 emissions levels, agriculture sector emissions are projected to be relatively stable from 2012 to 2020, and then increase su</w:t>
      </w:r>
      <w:r>
        <w:rPr>
          <w:rFonts w:ascii="Georgia" w:hAnsi="Georgia"/>
          <w:color w:val="333333"/>
          <w:lang w:val="en"/>
        </w:rPr>
        <w:t>bstantially to 2030 under all scenarios. The Treasury and DIICCSRTE modelling projects that agriculture emissions will be 18 Mt CO</w:t>
      </w:r>
      <w:r>
        <w:rPr>
          <w:rFonts w:ascii="Georgia" w:hAnsi="Georgia"/>
          <w:color w:val="333333"/>
          <w:sz w:val="18"/>
          <w:szCs w:val="18"/>
          <w:vertAlign w:val="subscript"/>
          <w:lang w:val="en"/>
        </w:rPr>
        <w:t>2</w:t>
      </w:r>
      <w:r>
        <w:rPr>
          <w:rFonts w:ascii="Georgia" w:hAnsi="Georgia"/>
          <w:color w:val="333333"/>
          <w:lang w:val="en"/>
        </w:rPr>
        <w:t>-e higher in 2030 under the medium scenario, and 23 Mt CO</w:t>
      </w:r>
      <w:r>
        <w:rPr>
          <w:rFonts w:ascii="Georgia" w:hAnsi="Georgia"/>
          <w:color w:val="333333"/>
          <w:sz w:val="18"/>
          <w:szCs w:val="18"/>
          <w:vertAlign w:val="subscript"/>
          <w:lang w:val="en"/>
        </w:rPr>
        <w:t>2</w:t>
      </w:r>
      <w:r>
        <w:rPr>
          <w:rFonts w:ascii="Georgia" w:hAnsi="Georgia"/>
          <w:color w:val="333333"/>
          <w:lang w:val="en"/>
        </w:rPr>
        <w:t>-e higher under the no price scenario.</w:t>
      </w:r>
    </w:p>
    <w:p w:rsidR="00000000" w:rsidRDefault="004170B4">
      <w:pPr>
        <w:pStyle w:val="Heading3"/>
        <w:rPr>
          <w:rFonts w:eastAsia="Times New Roman"/>
          <w:color w:val="333333"/>
          <w:lang w:val="en"/>
        </w:rPr>
      </w:pPr>
      <w:r>
        <w:rPr>
          <w:rFonts w:eastAsia="Times New Roman"/>
          <w:color w:val="333333"/>
          <w:lang w:val="en"/>
        </w:rPr>
        <w:t>D8.2 Agriculture emissions o</w:t>
      </w:r>
      <w:r>
        <w:rPr>
          <w:rFonts w:eastAsia="Times New Roman"/>
          <w:color w:val="333333"/>
          <w:lang w:val="en"/>
        </w:rPr>
        <w:t>utcomes,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Figure D.35 sets out actual agriculture emissions by subsector from 1990 and projections to 2050 for each scenario modelled by the Treasury and DIICCSRTE. It </w:t>
      </w:r>
      <w:r>
        <w:rPr>
          <w:rFonts w:ascii="Georgia" w:hAnsi="Georgia"/>
          <w:color w:val="333333"/>
          <w:lang w:val="en"/>
        </w:rPr>
        <w:lastRenderedPageBreak/>
        <w:t>also sets out the contribution of different subsectors to change</w:t>
      </w:r>
      <w:r>
        <w:rPr>
          <w:rFonts w:ascii="Georgia" w:hAnsi="Georgia"/>
          <w:color w:val="333333"/>
          <w:lang w:val="en"/>
        </w:rPr>
        <w:t>s in agriculture sector emissions from 2000 levels.</w:t>
      </w:r>
    </w:p>
    <w:p w:rsidR="00000000" w:rsidRDefault="004170B4">
      <w:pPr>
        <w:pStyle w:val="Heading2"/>
        <w:rPr>
          <w:rFonts w:eastAsia="Times New Roman"/>
          <w:color w:val="333333"/>
          <w:lang w:val="en"/>
        </w:rPr>
      </w:pPr>
      <w:r>
        <w:rPr>
          <w:rFonts w:eastAsia="Times New Roman"/>
          <w:color w:val="333333"/>
          <w:lang w:val="en"/>
        </w:rPr>
        <w:t>Figure D.35: Contributors to agriculture emissions, selected years, 1990–2050, and to change in emissions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4025265"/>
            <wp:effectExtent l="0" t="0" r="0" b="0"/>
            <wp:docPr id="35" name="Picture 35" descr="Figure D.35 shows the historical and projected contributors to Australia’s agriculture emissions between 1990 and 2030. &#10;Between 1990 and 2012, agriculture emissions stayed around 100 megatonnes of carbon dioxide equivalent. Agriculture emissions are projected to be 117 to 123 megatonnes of carbon dioxide equivalent in 2030 under all scenarios, including the no price scenario. In 2050, emissions are projected to increase to between 136 and 144 megatonnes of carbon dioxide equivalent.&#10;In 1990, increased emissions from livestock and reduced emissions from savannah burning and cropping were the main contributors to the change in agriculture emissions relative to 2000. In 2012, increased emissions from savannah burning and decreased emissions from livestock were the main contributors to the change in agriculture emissions relative to 2000 under all scenarios, including no price. &#10;In 2030, agriculture emissions are projected to increase by between 12 and 18 megatonnes of carbon dioxide equivalent from increases in livestock and cropping emissions, with minor decreases in savannah burning, compared to 2000 levels. This trend is expected to continue to 2050, with emissions projected to increases by between 31 and 39 megatonnes compared to 2000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 D.35 shows the historical and projected contributors to Australia’s agriculture emissions between 1990 and 2030. &#10;Between 1990 and 2012, agriculture emissions stayed around 100 megatonnes of carbon dioxide equivalent. Agriculture emissions are projected to be 117 to 123 megatonnes of carbon dioxide equivalent in 2030 under all scenarios, including the no price scenario. In 2050, emissions are projected to increase to between 136 and 144 megatonnes of carbon dioxide equivalent.&#10;In 1990, increased emissions from livestock and reduced emissions from savannah burning and cropping were the main contributors to the change in agriculture emissions relative to 2000. In 2012, increased emissions from savannah burning and decreased emissions from livestock were the main contributors to the change in agriculture emissions relative to 2000 under all scenarios, including no price. &#10;In 2030, agriculture emissions are projected to increase by between 12 and 18 megatonnes of carbon dioxide equivalent from increases in livestock and cropping emissions, with minor decreases in savannah burning, compared to 2000 levels. This trend is expected to continue to 2050, with emissions projected to increases by between 31 and 39 megatonnes compared to 2000 level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6770" cy="402526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‘Other factors’ includes adjustments due to the broader economic effects of the carbon price. The effect is less than 1 per cent of emissions. </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4"/>
        <w:rPr>
          <w:rFonts w:eastAsia="Times New Roman"/>
          <w:color w:val="333333"/>
          <w:lang w:val="en"/>
        </w:rPr>
      </w:pPr>
      <w:r>
        <w:rPr>
          <w:rFonts w:eastAsia="Times New Roman"/>
          <w:color w:val="333333"/>
          <w:lang w:val="en"/>
        </w:rPr>
        <w:t>D8.2.1 Contr</w:t>
      </w:r>
      <w:r>
        <w:rPr>
          <w:rFonts w:eastAsia="Times New Roman"/>
          <w:color w:val="333333"/>
          <w:lang w:val="en"/>
        </w:rPr>
        <w:t>ibutors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major contributor to emissions in the agriculture sector is livestock numbers. ABARES (2011, p. 6) projects that total livestock population will grow substantially from 2008 to 2030—beef cattle numbers by 7 million (28 per cent), sheep numbers </w:t>
      </w:r>
      <w:r>
        <w:rPr>
          <w:rFonts w:ascii="Georgia" w:hAnsi="Georgia"/>
          <w:color w:val="333333"/>
          <w:lang w:val="en"/>
        </w:rPr>
        <w:t xml:space="preserve">by 10 million (14 per cent) and poultry numbers by 15 million (16 per cent). </w:t>
      </w:r>
    </w:p>
    <w:p w:rsidR="00000000" w:rsidRDefault="004170B4">
      <w:pPr>
        <w:pStyle w:val="NormalWeb"/>
        <w:spacing w:line="300" w:lineRule="atLeast"/>
        <w:rPr>
          <w:rFonts w:ascii="Georgia" w:hAnsi="Georgia"/>
          <w:color w:val="333333"/>
          <w:lang w:val="en"/>
        </w:rPr>
      </w:pPr>
      <w:r>
        <w:rPr>
          <w:rFonts w:ascii="Georgia" w:hAnsi="Georgia"/>
          <w:color w:val="333333"/>
          <w:lang w:val="en"/>
        </w:rPr>
        <w:t>Dairy cattle emissions accounted for about 8 Mt CO</w:t>
      </w:r>
      <w:r>
        <w:rPr>
          <w:rFonts w:ascii="Georgia" w:hAnsi="Georgia"/>
          <w:color w:val="333333"/>
          <w:sz w:val="18"/>
          <w:szCs w:val="18"/>
          <w:vertAlign w:val="subscript"/>
          <w:lang w:val="en"/>
        </w:rPr>
        <w:t>2</w:t>
      </w:r>
      <w:r>
        <w:rPr>
          <w:rFonts w:ascii="Georgia" w:hAnsi="Georgia"/>
          <w:color w:val="333333"/>
          <w:lang w:val="en"/>
        </w:rPr>
        <w:t xml:space="preserve">-e, or 8 per cent, of total agriculture emissions in 2012. The Treasury and DIICCSRTE modelling projects that </w:t>
      </w:r>
      <w:r>
        <w:rPr>
          <w:rFonts w:ascii="Georgia" w:hAnsi="Georgia"/>
          <w:color w:val="333333"/>
          <w:lang w:val="en"/>
        </w:rPr>
        <w:lastRenderedPageBreak/>
        <w:t>these emissions w</w:t>
      </w:r>
      <w:r>
        <w:rPr>
          <w:rFonts w:ascii="Georgia" w:hAnsi="Georgia"/>
          <w:color w:val="333333"/>
          <w:lang w:val="en"/>
        </w:rPr>
        <w:t>ill remain relatively stable to 2020. Similarly, ABARES (2011, p. 6) projects stable dairy cattle numbers of about 2.6 million.</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Australia has made steady progress in reducing livestock emissions intensity (that is, emissions per </w:t>
      </w:r>
      <w:proofErr w:type="spellStart"/>
      <w:r>
        <w:rPr>
          <w:rFonts w:ascii="Georgia" w:hAnsi="Georgia"/>
          <w:color w:val="333333"/>
          <w:lang w:val="en"/>
        </w:rPr>
        <w:t>tonne</w:t>
      </w:r>
      <w:proofErr w:type="spellEnd"/>
      <w:r>
        <w:rPr>
          <w:rFonts w:ascii="Georgia" w:hAnsi="Georgia"/>
          <w:color w:val="333333"/>
          <w:lang w:val="en"/>
        </w:rPr>
        <w:t xml:space="preserve"> of livestock produce,</w:t>
      </w:r>
      <w:r>
        <w:rPr>
          <w:rFonts w:ascii="Georgia" w:hAnsi="Georgia"/>
          <w:color w:val="333333"/>
          <w:lang w:val="en"/>
        </w:rPr>
        <w:t xml:space="preserve"> such as meat, wool and milk). Henry and </w:t>
      </w:r>
      <w:proofErr w:type="spellStart"/>
      <w:r>
        <w:rPr>
          <w:rFonts w:ascii="Georgia" w:hAnsi="Georgia"/>
          <w:color w:val="333333"/>
          <w:lang w:val="en"/>
        </w:rPr>
        <w:t>Eckard</w:t>
      </w:r>
      <w:proofErr w:type="spellEnd"/>
      <w:r>
        <w:rPr>
          <w:rFonts w:ascii="Georgia" w:hAnsi="Georgia"/>
          <w:color w:val="333333"/>
          <w:lang w:val="en"/>
        </w:rPr>
        <w:t xml:space="preserve"> (2008, p. 30) reported that between 1990 and 2005, beef emissions intensity reduced by about 10 per cent. The dairy industry has also reduced its emissions intensity. Dairy Australia (2013, p. 9) reported tha</w:t>
      </w:r>
      <w:r>
        <w:rPr>
          <w:rFonts w:ascii="Georgia" w:hAnsi="Georgia"/>
          <w:color w:val="333333"/>
          <w:lang w:val="en"/>
        </w:rPr>
        <w:t>t in 2011 the carbon footprint for Australian farm gate milk was one of the lowest in the world at 1.11 kg CO</w:t>
      </w:r>
      <w:r>
        <w:rPr>
          <w:rFonts w:ascii="Georgia" w:hAnsi="Georgia"/>
          <w:color w:val="333333"/>
          <w:sz w:val="18"/>
          <w:szCs w:val="18"/>
          <w:vertAlign w:val="subscript"/>
          <w:lang w:val="en"/>
        </w:rPr>
        <w:t>2</w:t>
      </w:r>
      <w:r>
        <w:rPr>
          <w:rFonts w:ascii="Georgia" w:hAnsi="Georgia"/>
          <w:color w:val="333333"/>
          <w:lang w:val="en"/>
        </w:rPr>
        <w:t xml:space="preserve">-e per kilogram. </w:t>
      </w:r>
    </w:p>
    <w:p w:rsidR="00000000" w:rsidRDefault="004170B4">
      <w:pPr>
        <w:pStyle w:val="NormalWeb"/>
        <w:spacing w:line="300" w:lineRule="atLeast"/>
        <w:rPr>
          <w:rFonts w:ascii="Georgia" w:hAnsi="Georgia"/>
          <w:color w:val="333333"/>
          <w:lang w:val="en"/>
        </w:rPr>
      </w:pPr>
      <w:r>
        <w:rPr>
          <w:rFonts w:ascii="Georgia" w:hAnsi="Georgia"/>
          <w:color w:val="333333"/>
          <w:lang w:val="en"/>
        </w:rPr>
        <w:t>While there are technologies and changed farming practices that can reduce emissions intensity in the sector, total emissions ar</w:t>
      </w:r>
      <w:r>
        <w:rPr>
          <w:rFonts w:ascii="Georgia" w:hAnsi="Georgia"/>
          <w:color w:val="333333"/>
          <w:lang w:val="en"/>
        </w:rPr>
        <w:t>e projected to grow. ABARES (2011, p. 6) projects that livestock emissions intensity will continue to decrease to 2030 but not enough to offset the substantial increase in livestock population. Where opportunities to reduce agriculture emissions exist, the</w:t>
      </w:r>
      <w:r>
        <w:rPr>
          <w:rFonts w:ascii="Georgia" w:hAnsi="Georgia"/>
          <w:color w:val="333333"/>
          <w:lang w:val="en"/>
        </w:rPr>
        <w:t>ir uptake can be challenged by limited access to capital and information.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Agriculture emissions are also affected by the amount of crop production, as reflected in the rate of </w:t>
      </w:r>
      <w:proofErr w:type="spellStart"/>
      <w:r>
        <w:rPr>
          <w:rFonts w:ascii="Georgia" w:hAnsi="Georgia"/>
          <w:color w:val="333333"/>
          <w:lang w:val="en"/>
        </w:rPr>
        <w:t>fertiliser</w:t>
      </w:r>
      <w:proofErr w:type="spellEnd"/>
      <w:r>
        <w:rPr>
          <w:rFonts w:ascii="Georgia" w:hAnsi="Georgia"/>
          <w:color w:val="333333"/>
          <w:lang w:val="en"/>
        </w:rPr>
        <w:t xml:space="preserve"> application. By 2015, cropping activities are projected to overtake p</w:t>
      </w:r>
      <w:r>
        <w:rPr>
          <w:rFonts w:ascii="Georgia" w:hAnsi="Georgia"/>
          <w:color w:val="333333"/>
          <w:lang w:val="en"/>
        </w:rPr>
        <w:t xml:space="preserve">rescribed burning of savanna as the second-largest subsector in agriculture emissions (Figure D.35). </w:t>
      </w:r>
    </w:p>
    <w:p w:rsidR="00000000" w:rsidRDefault="004170B4">
      <w:pPr>
        <w:pStyle w:val="NormalWeb"/>
        <w:spacing w:line="300" w:lineRule="atLeast"/>
        <w:rPr>
          <w:rFonts w:ascii="Georgia" w:hAnsi="Georgia"/>
          <w:color w:val="333333"/>
          <w:lang w:val="en"/>
        </w:rPr>
      </w:pPr>
      <w:r>
        <w:rPr>
          <w:rFonts w:ascii="Georgia" w:hAnsi="Georgia"/>
          <w:color w:val="333333"/>
          <w:lang w:val="en"/>
        </w:rPr>
        <w:t>Savanna burning is projected to contribute a small reduction in emissions from 2020 to 2030, encouraged partly by the CFI.</w:t>
      </w:r>
    </w:p>
    <w:p w:rsidR="00000000" w:rsidRDefault="004170B4">
      <w:pPr>
        <w:pStyle w:val="Heading4"/>
        <w:rPr>
          <w:rFonts w:eastAsia="Times New Roman"/>
          <w:color w:val="333333"/>
          <w:lang w:val="en"/>
        </w:rPr>
      </w:pPr>
      <w:r>
        <w:rPr>
          <w:rFonts w:eastAsia="Times New Roman"/>
          <w:color w:val="333333"/>
          <w:lang w:val="en"/>
        </w:rPr>
        <w:t>D8.2.2</w:t>
      </w:r>
      <w:r>
        <w:rPr>
          <w:rFonts w:eastAsia="Times New Roman"/>
          <w:color w:val="333333"/>
          <w:lang w:val="en"/>
        </w:rPr>
        <w:tab/>
        <w:t>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primary drivers of emissions from the agriculture sector are commodity prices and weather conditions. Drought was a major factor in the fall in agriculture emissions between 2000 and 2012 (see Figure D.35). </w:t>
      </w:r>
    </w:p>
    <w:p w:rsidR="00000000" w:rsidRDefault="004170B4">
      <w:pPr>
        <w:pStyle w:val="NormalWeb"/>
        <w:spacing w:line="300" w:lineRule="atLeast"/>
        <w:rPr>
          <w:rFonts w:ascii="Georgia" w:hAnsi="Georgia"/>
          <w:color w:val="333333"/>
          <w:lang w:val="en"/>
        </w:rPr>
      </w:pPr>
      <w:r>
        <w:rPr>
          <w:rFonts w:ascii="Georgia" w:hAnsi="Georgia"/>
          <w:color w:val="333333"/>
          <w:lang w:val="en"/>
        </w:rPr>
        <w:t>Improved weather conditions and export deman</w:t>
      </w:r>
      <w:r>
        <w:rPr>
          <w:rFonts w:ascii="Georgia" w:hAnsi="Georgia"/>
          <w:color w:val="333333"/>
          <w:lang w:val="en"/>
        </w:rPr>
        <w:t xml:space="preserve">d are expected to drive emissions growth in the short to medium term. Prices for agricultural commodities have </w:t>
      </w:r>
      <w:proofErr w:type="spellStart"/>
      <w:r>
        <w:rPr>
          <w:rFonts w:ascii="Georgia" w:hAnsi="Georgia"/>
          <w:color w:val="333333"/>
          <w:lang w:val="en"/>
        </w:rPr>
        <w:t>stabilised</w:t>
      </w:r>
      <w:proofErr w:type="spellEnd"/>
      <w:r>
        <w:rPr>
          <w:rFonts w:ascii="Georgia" w:hAnsi="Georgia"/>
          <w:color w:val="333333"/>
          <w:lang w:val="en"/>
        </w:rPr>
        <w:t xml:space="preserve"> at historically high levels in recent years following a peak in 2010 (derived from Reserve Bank of Australia 2013). Australian beef an</w:t>
      </w:r>
      <w:r>
        <w:rPr>
          <w:rFonts w:ascii="Georgia" w:hAnsi="Georgia"/>
          <w:color w:val="333333"/>
          <w:lang w:val="en"/>
        </w:rPr>
        <w:t xml:space="preserve">d veal exports are expected to increase in the period from 2012 to 2018, reflecting increased demand from the US and some smaller emerging markets (ABARES 2013c, p. 89). Prices for major cropping outputs (grains and oilseeds) are projected to remain above </w:t>
      </w:r>
      <w:r>
        <w:rPr>
          <w:rFonts w:ascii="Georgia" w:hAnsi="Georgia"/>
          <w:color w:val="333333"/>
          <w:lang w:val="en"/>
        </w:rPr>
        <w:t>their historical average to 2018, while demand for dairy commodities is also expected to grow over this period (ABARES 2013c</w:t>
      </w:r>
      <w:proofErr w:type="gramStart"/>
      <w:r>
        <w:rPr>
          <w:rFonts w:ascii="Georgia" w:hAnsi="Georgia"/>
          <w:color w:val="333333"/>
          <w:lang w:val="en"/>
        </w:rPr>
        <w:t>,  p</w:t>
      </w:r>
      <w:proofErr w:type="gramEnd"/>
      <w:r>
        <w:rPr>
          <w:rFonts w:ascii="Georgia" w:hAnsi="Georgia"/>
          <w:color w:val="333333"/>
          <w:lang w:val="en"/>
        </w:rPr>
        <w:t>. 42). Over the longer term, sustained growth in export demand from emerging economies is projected to drive growth in livestock</w:t>
      </w:r>
      <w:r>
        <w:rPr>
          <w:rFonts w:ascii="Georgia" w:hAnsi="Georgia"/>
          <w:color w:val="333333"/>
          <w:lang w:val="en"/>
        </w:rPr>
        <w:t xml:space="preserve"> and cropping production and the associated emissions (DAFF 2013, p. 33).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CFI is the main driver of projected emissions reductions. The effects of the CFI on absolute emissions levels are projected to be relatively small compared to the macroeconomic </w:t>
      </w:r>
      <w:r>
        <w:rPr>
          <w:rFonts w:ascii="Georgia" w:hAnsi="Georgia"/>
          <w:color w:val="333333"/>
          <w:lang w:val="en"/>
        </w:rPr>
        <w:t xml:space="preserve">drivers for farm production discussed above. The Treasury and </w:t>
      </w:r>
      <w:r>
        <w:rPr>
          <w:rFonts w:ascii="Georgia" w:hAnsi="Georgia"/>
          <w:color w:val="333333"/>
          <w:lang w:val="en"/>
        </w:rPr>
        <w:lastRenderedPageBreak/>
        <w:t>DIICCSRTE modelling suggests that total agriculture emissions are relatively unresponsive to price incentives under the CFI. The National Farmers’ Federation (2013,</w:t>
      </w:r>
      <w:r>
        <w:rPr>
          <w:rStyle w:val="Emphasis"/>
          <w:rFonts w:ascii="Georgia" w:hAnsi="Georgia"/>
          <w:color w:val="333333"/>
          <w:lang w:val="en"/>
        </w:rPr>
        <w:t xml:space="preserve"> Draft Report submission, </w:t>
      </w:r>
      <w:r>
        <w:rPr>
          <w:rFonts w:ascii="Georgia" w:hAnsi="Georgia"/>
          <w:color w:val="333333"/>
          <w:lang w:val="en"/>
        </w:rPr>
        <w:t xml:space="preserve">p. </w:t>
      </w:r>
      <w:r>
        <w:rPr>
          <w:rFonts w:ascii="Georgia" w:hAnsi="Georgia"/>
          <w:color w:val="333333"/>
          <w:lang w:val="en"/>
        </w:rPr>
        <w:t>5) noted that productivity and profitability is the main driver for farmers to invest in lower emissions activities, as the financial returns from increased production are greater than those from the CFI.</w:t>
      </w:r>
    </w:p>
    <w:p w:rsidR="00000000" w:rsidRDefault="004170B4">
      <w:pPr>
        <w:pStyle w:val="Heading4"/>
        <w:rPr>
          <w:rFonts w:eastAsia="Times New Roman"/>
          <w:color w:val="333333"/>
          <w:lang w:val="en"/>
        </w:rPr>
      </w:pPr>
      <w:r>
        <w:rPr>
          <w:rFonts w:eastAsia="Times New Roman"/>
          <w:color w:val="333333"/>
          <w:lang w:val="en"/>
        </w:rPr>
        <w:t xml:space="preserve">D8.2.3 Agriculture emissions reduction potential </w:t>
      </w:r>
    </w:p>
    <w:p w:rsidR="00000000" w:rsidRDefault="004170B4">
      <w:pPr>
        <w:pStyle w:val="NormalWeb"/>
        <w:spacing w:line="300" w:lineRule="atLeast"/>
        <w:rPr>
          <w:rFonts w:ascii="Georgia" w:hAnsi="Georgia"/>
          <w:color w:val="333333"/>
          <w:lang w:val="en"/>
        </w:rPr>
      </w:pPr>
      <w:r>
        <w:rPr>
          <w:rFonts w:ascii="Georgia" w:hAnsi="Georgia"/>
          <w:color w:val="333333"/>
          <w:lang w:val="en"/>
        </w:rPr>
        <w:t>T</w:t>
      </w:r>
      <w:r>
        <w:rPr>
          <w:rFonts w:ascii="Georgia" w:hAnsi="Georgia"/>
          <w:color w:val="333333"/>
          <w:lang w:val="en"/>
        </w:rPr>
        <w:t>he Treasury and DIICCSRTE modelling projects that under the medium scenario, agriculture emissions would be approximately 3 Mt CO</w:t>
      </w:r>
      <w:r>
        <w:rPr>
          <w:rFonts w:ascii="Georgia" w:hAnsi="Georgia"/>
          <w:color w:val="333333"/>
          <w:sz w:val="18"/>
          <w:szCs w:val="18"/>
          <w:vertAlign w:val="subscript"/>
          <w:lang w:val="en"/>
        </w:rPr>
        <w:t>2</w:t>
      </w:r>
      <w:r>
        <w:rPr>
          <w:rFonts w:ascii="Georgia" w:hAnsi="Georgia"/>
          <w:color w:val="333333"/>
          <w:lang w:val="en"/>
        </w:rPr>
        <w:t>-e (2 per cent) lower than in the no price scenario in 2020 and 5 Mt CO</w:t>
      </w:r>
      <w:r>
        <w:rPr>
          <w:rFonts w:ascii="Georgia" w:hAnsi="Georgia"/>
          <w:color w:val="333333"/>
          <w:sz w:val="18"/>
          <w:szCs w:val="18"/>
          <w:vertAlign w:val="subscript"/>
          <w:lang w:val="en"/>
        </w:rPr>
        <w:t>2</w:t>
      </w:r>
      <w:r>
        <w:rPr>
          <w:rFonts w:ascii="Georgia" w:hAnsi="Georgia"/>
          <w:color w:val="333333"/>
          <w:lang w:val="en"/>
        </w:rPr>
        <w:t>-e (4 per cent) lower in 2030, and slightly lower in 2</w:t>
      </w:r>
      <w:r>
        <w:rPr>
          <w:rFonts w:ascii="Georgia" w:hAnsi="Georgia"/>
          <w:color w:val="333333"/>
          <w:lang w:val="en"/>
        </w:rPr>
        <w:t xml:space="preserve">030 under the high scenario. This constitutes a relatively small reduction in the trend of growing agriculture emissions in the projections.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Treasury and DIICCSRTE modelling assumes that additional livestock emissions reduction opportunities would be </w:t>
      </w:r>
      <w:r>
        <w:rPr>
          <w:rFonts w:ascii="Georgia" w:hAnsi="Georgia"/>
          <w:color w:val="333333"/>
          <w:lang w:val="en"/>
        </w:rPr>
        <w:t xml:space="preserve">taken up by 2020, including herd management, animal feed supplementation, feedlot finishing and pasture improvements. In contrast, separate analysis by </w:t>
      </w:r>
      <w:proofErr w:type="spellStart"/>
      <w:r>
        <w:rPr>
          <w:rFonts w:ascii="Georgia" w:hAnsi="Georgia"/>
          <w:color w:val="333333"/>
          <w:lang w:val="en"/>
        </w:rPr>
        <w:t>ClimateWorks</w:t>
      </w:r>
      <w:proofErr w:type="spellEnd"/>
      <w:r>
        <w:rPr>
          <w:rFonts w:ascii="Georgia" w:hAnsi="Georgia"/>
          <w:color w:val="333333"/>
          <w:lang w:val="en"/>
        </w:rPr>
        <w:t> (2013a, p. 36) finds less potential reductions from livestock in 2020; it estimates 0.3 Mt </w:t>
      </w:r>
      <w:r>
        <w:rPr>
          <w:rFonts w:ascii="Georgia" w:hAnsi="Georgia"/>
          <w:color w:val="333333"/>
          <w:lang w:val="en"/>
        </w:rPr>
        <w:t>CO</w:t>
      </w:r>
      <w:r>
        <w:rPr>
          <w:rFonts w:ascii="Georgia" w:hAnsi="Georgia"/>
          <w:color w:val="333333"/>
          <w:sz w:val="18"/>
          <w:szCs w:val="18"/>
          <w:vertAlign w:val="subscript"/>
          <w:lang w:val="en"/>
        </w:rPr>
        <w:t>2</w:t>
      </w:r>
      <w:r>
        <w:rPr>
          <w:rFonts w:ascii="Georgia" w:hAnsi="Georgia"/>
          <w:color w:val="333333"/>
          <w:lang w:val="en"/>
        </w:rPr>
        <w:t xml:space="preserve">-e of emissions reduction, attributable to methane capture and destruction from manure at piggeries. </w:t>
      </w:r>
    </w:p>
    <w:p w:rsidR="00000000" w:rsidRDefault="004170B4">
      <w:pPr>
        <w:pStyle w:val="NormalWeb"/>
        <w:spacing w:line="300" w:lineRule="atLeast"/>
        <w:rPr>
          <w:rFonts w:ascii="Georgia" w:hAnsi="Georgia"/>
          <w:color w:val="333333"/>
          <w:lang w:val="en"/>
        </w:rPr>
      </w:pPr>
      <w:r>
        <w:rPr>
          <w:rFonts w:ascii="Georgia" w:hAnsi="Georgia"/>
          <w:color w:val="333333"/>
          <w:lang w:val="en"/>
        </w:rPr>
        <w:t>Analysis from ABARES (2013a, p. 23) suggests about 7 Mt CO</w:t>
      </w:r>
      <w:r>
        <w:rPr>
          <w:rFonts w:ascii="Georgia" w:hAnsi="Georgia"/>
          <w:color w:val="333333"/>
          <w:sz w:val="18"/>
          <w:szCs w:val="18"/>
          <w:vertAlign w:val="subscript"/>
          <w:lang w:val="en"/>
        </w:rPr>
        <w:t>2</w:t>
      </w:r>
      <w:r>
        <w:rPr>
          <w:rFonts w:ascii="Georgia" w:hAnsi="Georgia"/>
          <w:color w:val="333333"/>
          <w:lang w:val="en"/>
        </w:rPr>
        <w:t xml:space="preserve">-e emissions reductions are available from livestock in 2020 at the carbon prices in excess </w:t>
      </w:r>
      <w:r>
        <w:rPr>
          <w:rFonts w:ascii="Georgia" w:hAnsi="Georgia"/>
          <w:color w:val="333333"/>
          <w:lang w:val="en"/>
        </w:rPr>
        <w:t>of $70 per t CO</w:t>
      </w:r>
      <w:r>
        <w:rPr>
          <w:rFonts w:ascii="Georgia" w:hAnsi="Georgia"/>
          <w:color w:val="333333"/>
          <w:sz w:val="18"/>
          <w:szCs w:val="18"/>
          <w:vertAlign w:val="subscript"/>
          <w:lang w:val="en"/>
        </w:rPr>
        <w:t>2</w:t>
      </w:r>
      <w:r>
        <w:rPr>
          <w:rFonts w:ascii="Georgia" w:hAnsi="Georgia"/>
          <w:color w:val="333333"/>
          <w:lang w:val="en"/>
        </w:rPr>
        <w:t xml:space="preserve">-e. Its study suggests further emissions reductions at this marginal cost would be modest in 2030, and that even with high price incentives, only limited additional emissions reductions would be available for livestock by 2030 (Box D.6). </w:t>
      </w:r>
    </w:p>
    <w:p w:rsidR="00000000" w:rsidRDefault="004170B4">
      <w:pPr>
        <w:pStyle w:val="Heading2"/>
        <w:shd w:val="clear" w:color="auto" w:fill="F5F5F5"/>
        <w:divId w:val="2106415272"/>
        <w:rPr>
          <w:rFonts w:eastAsia="Times New Roman"/>
          <w:color w:val="333333"/>
          <w:lang w:val="en"/>
        </w:rPr>
      </w:pPr>
      <w:r>
        <w:rPr>
          <w:rFonts w:eastAsia="Times New Roman"/>
          <w:color w:val="333333"/>
          <w:lang w:val="en"/>
        </w:rPr>
        <w:t>B</w:t>
      </w:r>
      <w:r>
        <w:rPr>
          <w:rFonts w:eastAsia="Times New Roman"/>
          <w:color w:val="333333"/>
          <w:lang w:val="en"/>
        </w:rPr>
        <w:t>ox D.6: CFI drivers and barriers</w:t>
      </w:r>
    </w:p>
    <w:p w:rsidR="00000000" w:rsidRDefault="004170B4">
      <w:pPr>
        <w:pStyle w:val="NormalWeb"/>
        <w:shd w:val="clear" w:color="auto" w:fill="F5F5F5"/>
        <w:spacing w:line="300" w:lineRule="atLeast"/>
        <w:divId w:val="2106415272"/>
        <w:rPr>
          <w:rFonts w:ascii="Georgia" w:hAnsi="Georgia"/>
          <w:color w:val="333333"/>
          <w:lang w:val="en"/>
        </w:rPr>
      </w:pPr>
      <w:r>
        <w:rPr>
          <w:rFonts w:ascii="Georgia" w:hAnsi="Georgia"/>
          <w:color w:val="333333"/>
          <w:lang w:val="en"/>
        </w:rPr>
        <w:t>The primary driver of emissions reduction from the CFI is the revenue project providers receive. The ABARES cost curves for livestock methane emissions reduction show that the cost of technologies to reduce livestock emissi</w:t>
      </w:r>
      <w:r>
        <w:rPr>
          <w:rFonts w:ascii="Georgia" w:hAnsi="Georgia"/>
          <w:color w:val="333333"/>
          <w:lang w:val="en"/>
        </w:rPr>
        <w:t>ons rises steeply. For example, large dairy farms may start to adopt anti-</w:t>
      </w:r>
      <w:proofErr w:type="spellStart"/>
      <w:r>
        <w:rPr>
          <w:rFonts w:ascii="Georgia" w:hAnsi="Georgia"/>
          <w:color w:val="333333"/>
          <w:lang w:val="en"/>
        </w:rPr>
        <w:t>methanogenic</w:t>
      </w:r>
      <w:proofErr w:type="spellEnd"/>
      <w:r>
        <w:rPr>
          <w:rFonts w:ascii="Georgia" w:hAnsi="Georgia"/>
          <w:color w:val="333333"/>
          <w:lang w:val="en"/>
        </w:rPr>
        <w:t xml:space="preserve"> vaccines at a price as low as $35 per </w:t>
      </w:r>
      <w:proofErr w:type="spellStart"/>
      <w:r>
        <w:rPr>
          <w:rFonts w:ascii="Georgia" w:hAnsi="Georgia"/>
          <w:color w:val="333333"/>
          <w:lang w:val="en"/>
        </w:rPr>
        <w:t>tonne</w:t>
      </w:r>
      <w:proofErr w:type="spellEnd"/>
      <w:r>
        <w:rPr>
          <w:rFonts w:ascii="Georgia" w:hAnsi="Georgia"/>
          <w:color w:val="333333"/>
          <w:lang w:val="en"/>
        </w:rPr>
        <w:t xml:space="preserve">, while sheep farms may not find this practice economical until a price of $175 per </w:t>
      </w:r>
      <w:proofErr w:type="spellStart"/>
      <w:r>
        <w:rPr>
          <w:rFonts w:ascii="Georgia" w:hAnsi="Georgia"/>
          <w:color w:val="333333"/>
          <w:lang w:val="en"/>
        </w:rPr>
        <w:t>tonne</w:t>
      </w:r>
      <w:proofErr w:type="spellEnd"/>
      <w:r>
        <w:rPr>
          <w:rFonts w:ascii="Georgia" w:hAnsi="Georgia"/>
          <w:color w:val="333333"/>
          <w:lang w:val="en"/>
        </w:rPr>
        <w:t xml:space="preserve"> (ABARES 2013a, p. 26). This technolo</w:t>
      </w:r>
      <w:r>
        <w:rPr>
          <w:rFonts w:ascii="Georgia" w:hAnsi="Georgia"/>
          <w:color w:val="333333"/>
          <w:lang w:val="en"/>
        </w:rPr>
        <w:t>gy is still in the early stage of development.</w:t>
      </w:r>
    </w:p>
    <w:p w:rsidR="00000000" w:rsidRDefault="004170B4">
      <w:pPr>
        <w:pStyle w:val="NormalWeb"/>
        <w:shd w:val="clear" w:color="auto" w:fill="F5F5F5"/>
        <w:spacing w:line="300" w:lineRule="atLeast"/>
        <w:divId w:val="2106415272"/>
        <w:rPr>
          <w:rFonts w:ascii="Georgia" w:hAnsi="Georgia"/>
          <w:color w:val="333333"/>
          <w:lang w:val="en"/>
        </w:rPr>
      </w:pPr>
      <w:r>
        <w:rPr>
          <w:rFonts w:ascii="Georgia" w:hAnsi="Georgia"/>
          <w:color w:val="333333"/>
          <w:lang w:val="en"/>
        </w:rPr>
        <w:t xml:space="preserve">Potential project providers will estimate the future value of emissions units when assessing the financial viability of projects. Uncertainties in economic forecasts and in the future policy environment could </w:t>
      </w:r>
      <w:r>
        <w:rPr>
          <w:rFonts w:ascii="Georgia" w:hAnsi="Georgia"/>
          <w:color w:val="333333"/>
          <w:lang w:val="en"/>
        </w:rPr>
        <w:t>have substantial effects on the assessed viability of emissions reduction projects, particularly for those that have a long payback period.</w:t>
      </w:r>
    </w:p>
    <w:p w:rsidR="00000000" w:rsidRDefault="004170B4">
      <w:pPr>
        <w:pStyle w:val="NormalWeb"/>
        <w:shd w:val="clear" w:color="auto" w:fill="F5F5F5"/>
        <w:spacing w:line="300" w:lineRule="atLeast"/>
        <w:divId w:val="2106415272"/>
        <w:rPr>
          <w:rFonts w:ascii="Georgia" w:hAnsi="Georgia"/>
          <w:color w:val="333333"/>
          <w:lang w:val="en"/>
        </w:rPr>
      </w:pPr>
      <w:r>
        <w:rPr>
          <w:rFonts w:ascii="Georgia" w:hAnsi="Georgia"/>
          <w:color w:val="333333"/>
          <w:lang w:val="en"/>
        </w:rPr>
        <w:t>The availability of methodologies for CFI projects, and the ease of compliance with those methodologies, will be ano</w:t>
      </w:r>
      <w:r>
        <w:rPr>
          <w:rFonts w:ascii="Georgia" w:hAnsi="Georgia"/>
          <w:color w:val="333333"/>
          <w:lang w:val="en"/>
        </w:rPr>
        <w:t xml:space="preserve">ther important driver of emissions reductions </w:t>
      </w:r>
      <w:r>
        <w:rPr>
          <w:rFonts w:ascii="Georgia" w:hAnsi="Georgia"/>
          <w:color w:val="333333"/>
          <w:lang w:val="en"/>
        </w:rPr>
        <w:lastRenderedPageBreak/>
        <w:t>uptake. There are currently seven approved methodologies for agriculture emissions (four for destroying methane from dairy and piggery manure, two for savanna burning and one for dietary additives to reduce emi</w:t>
      </w:r>
      <w:r>
        <w:rPr>
          <w:rFonts w:ascii="Georgia" w:hAnsi="Georgia"/>
          <w:color w:val="333333"/>
          <w:lang w:val="en"/>
        </w:rPr>
        <w:t>ssions from dairy cows).</w:t>
      </w:r>
    </w:p>
    <w:p w:rsidR="00000000" w:rsidRDefault="004170B4">
      <w:pPr>
        <w:pStyle w:val="NormalWeb"/>
        <w:shd w:val="clear" w:color="auto" w:fill="F5F5F5"/>
        <w:spacing w:line="300" w:lineRule="atLeast"/>
        <w:divId w:val="2106415272"/>
        <w:rPr>
          <w:rFonts w:ascii="Georgia" w:hAnsi="Georgia"/>
          <w:color w:val="333333"/>
          <w:lang w:val="en"/>
        </w:rPr>
      </w:pPr>
      <w:r>
        <w:rPr>
          <w:rFonts w:ascii="Georgia" w:hAnsi="Georgia"/>
          <w:color w:val="333333"/>
          <w:lang w:val="en"/>
        </w:rPr>
        <w:t>There is a range of other barriers to uptake of emissions reduction opportunities under the CFI, including limited access to capital, lack of scale economies on many farms and difficulty accessing information about emissions reduct</w:t>
      </w:r>
      <w:r>
        <w:rPr>
          <w:rFonts w:ascii="Georgia" w:hAnsi="Georgia"/>
          <w:color w:val="333333"/>
          <w:lang w:val="en"/>
        </w:rPr>
        <w:t>ion projects. These challenges may be exacerbated by the presence of many small and dispersed participants in the sector. There were about 135,000 farm businesses in Australia in 2010–11, with 55 per cent reporting agricultural operations value of under $1</w:t>
      </w:r>
      <w:r>
        <w:rPr>
          <w:rFonts w:ascii="Georgia" w:hAnsi="Georgia"/>
          <w:color w:val="333333"/>
          <w:lang w:val="en"/>
        </w:rPr>
        <w:t xml:space="preserve">00,000 (ABS 2012). </w:t>
      </w:r>
    </w:p>
    <w:p w:rsidR="00000000" w:rsidRDefault="004170B4">
      <w:pPr>
        <w:pStyle w:val="NormalWeb"/>
        <w:shd w:val="clear" w:color="auto" w:fill="F5F5F5"/>
        <w:spacing w:line="300" w:lineRule="atLeast"/>
        <w:divId w:val="2106415272"/>
        <w:rPr>
          <w:rFonts w:ascii="Georgia" w:hAnsi="Georgia"/>
          <w:color w:val="333333"/>
          <w:lang w:val="en"/>
        </w:rPr>
      </w:pPr>
      <w:r>
        <w:rPr>
          <w:rFonts w:ascii="Georgia" w:hAnsi="Georgia"/>
          <w:color w:val="333333"/>
          <w:lang w:val="en"/>
        </w:rPr>
        <w:t>Ways to reduce these barriers include ensuring ready access to information using existing rural information networks, simplifying methodologies for projects, and facilitating access to capital and project providers to consolidate projec</w:t>
      </w:r>
      <w:r>
        <w:rPr>
          <w:rFonts w:ascii="Georgia" w:hAnsi="Georgia"/>
          <w:color w:val="333333"/>
          <w:lang w:val="en"/>
        </w:rPr>
        <w:t>ts across multiple small farms.</w:t>
      </w:r>
    </w:p>
    <w:p w:rsidR="00000000" w:rsidRDefault="004170B4">
      <w:pPr>
        <w:pStyle w:val="Heading3"/>
        <w:rPr>
          <w:rFonts w:eastAsia="Times New Roman"/>
          <w:color w:val="333333"/>
          <w:lang w:val="en"/>
        </w:rPr>
      </w:pPr>
      <w:r>
        <w:rPr>
          <w:rFonts w:eastAsia="Times New Roman"/>
          <w:color w:val="333333"/>
          <w:lang w:val="en"/>
        </w:rPr>
        <w:t>D8.3 Progress in agriculture emissions reduction</w:t>
      </w:r>
    </w:p>
    <w:p w:rsidR="00000000" w:rsidRDefault="004170B4">
      <w:pPr>
        <w:pStyle w:val="Heading4"/>
        <w:rPr>
          <w:rFonts w:eastAsia="Times New Roman"/>
          <w:color w:val="333333"/>
          <w:lang w:val="en"/>
        </w:rPr>
      </w:pPr>
      <w:r>
        <w:rPr>
          <w:rFonts w:eastAsia="Times New Roman"/>
          <w:color w:val="333333"/>
          <w:lang w:val="en"/>
        </w:rPr>
        <w:t>D8.3.1 Export demand</w:t>
      </w:r>
    </w:p>
    <w:p w:rsidR="00000000" w:rsidRDefault="004170B4">
      <w:pPr>
        <w:pStyle w:val="NormalWeb"/>
        <w:spacing w:line="300" w:lineRule="atLeast"/>
        <w:rPr>
          <w:rFonts w:ascii="Georgia" w:hAnsi="Georgia"/>
          <w:color w:val="333333"/>
          <w:lang w:val="en"/>
        </w:rPr>
      </w:pPr>
      <w:r>
        <w:rPr>
          <w:rFonts w:ascii="Georgia" w:hAnsi="Georgia"/>
          <w:color w:val="333333"/>
          <w:lang w:val="en"/>
        </w:rPr>
        <w:t>In the longer term, demand for agricultural commodities in emerging Asian economies is projected to be a strong driver of agricultural production and emis</w:t>
      </w:r>
      <w:r>
        <w:rPr>
          <w:rFonts w:ascii="Georgia" w:hAnsi="Georgia"/>
          <w:color w:val="333333"/>
          <w:lang w:val="en"/>
        </w:rPr>
        <w:t xml:space="preserve">sions. ABARES (2013d, p. 16) projects that demand for </w:t>
      </w:r>
      <w:proofErr w:type="spellStart"/>
      <w:r>
        <w:rPr>
          <w:rFonts w:ascii="Georgia" w:hAnsi="Georgia"/>
          <w:color w:val="333333"/>
          <w:lang w:val="en"/>
        </w:rPr>
        <w:t>agrifood</w:t>
      </w:r>
      <w:proofErr w:type="spellEnd"/>
      <w:r>
        <w:rPr>
          <w:rFonts w:ascii="Georgia" w:hAnsi="Georgia"/>
          <w:color w:val="333333"/>
          <w:lang w:val="en"/>
        </w:rPr>
        <w:t xml:space="preserve"> commodities will double between 2007 and 2050 in Asia, and increase by 48 per cent in the rest of the world. Increased wealth and changes in diets in emerging economies are expected to drive th</w:t>
      </w:r>
      <w:r>
        <w:rPr>
          <w:rFonts w:ascii="Georgia" w:hAnsi="Georgia"/>
          <w:color w:val="333333"/>
          <w:lang w:val="en"/>
        </w:rPr>
        <w:t>e greatest increases in demand for high-value agriculture products such as vegetables and fruit, meat, dairy products, cereals and fish. Australia is likely to be in a good position to meet increased demand from Asian economies due to its geographic proxim</w:t>
      </w:r>
      <w:r>
        <w:rPr>
          <w:rFonts w:ascii="Georgia" w:hAnsi="Georgia"/>
          <w:color w:val="333333"/>
          <w:lang w:val="en"/>
        </w:rPr>
        <w:t xml:space="preserve">ity and comparative advantages in producing several high-value agricultural products. ABARES projects that Australia’s production of </w:t>
      </w:r>
      <w:proofErr w:type="spellStart"/>
      <w:r>
        <w:rPr>
          <w:rFonts w:ascii="Georgia" w:hAnsi="Georgia"/>
          <w:color w:val="333333"/>
          <w:lang w:val="en"/>
        </w:rPr>
        <w:t>agrifood</w:t>
      </w:r>
      <w:proofErr w:type="spellEnd"/>
      <w:r>
        <w:rPr>
          <w:rFonts w:ascii="Georgia" w:hAnsi="Georgia"/>
          <w:color w:val="333333"/>
          <w:lang w:val="en"/>
        </w:rPr>
        <w:t xml:space="preserve"> products will increase by 77 per cent from 2007 to 2050 (</w:t>
      </w:r>
      <w:proofErr w:type="spellStart"/>
      <w:r>
        <w:rPr>
          <w:rFonts w:ascii="Georgia" w:hAnsi="Georgia"/>
          <w:color w:val="333333"/>
          <w:lang w:val="en"/>
        </w:rPr>
        <w:t>Linehan</w:t>
      </w:r>
      <w:proofErr w:type="spellEnd"/>
      <w:r>
        <w:rPr>
          <w:rFonts w:ascii="Georgia" w:hAnsi="Georgia"/>
          <w:color w:val="333333"/>
          <w:lang w:val="en"/>
        </w:rPr>
        <w:t xml:space="preserve"> et al. 2013, p. 3). </w:t>
      </w:r>
    </w:p>
    <w:p w:rsidR="00000000" w:rsidRDefault="004170B4">
      <w:pPr>
        <w:pStyle w:val="Heading4"/>
        <w:rPr>
          <w:rFonts w:eastAsia="Times New Roman"/>
          <w:color w:val="333333"/>
          <w:lang w:val="en"/>
        </w:rPr>
      </w:pPr>
      <w:r>
        <w:rPr>
          <w:rFonts w:eastAsia="Times New Roman"/>
          <w:color w:val="333333"/>
          <w:lang w:val="en"/>
        </w:rPr>
        <w:t>D8.3.2 Production efficiency</w:t>
      </w:r>
      <w:r>
        <w:rPr>
          <w:rFonts w:eastAsia="Times New Roman"/>
          <w:color w:val="333333"/>
          <w:lang w:val="en"/>
        </w:rPr>
        <w:t xml:space="preserve"> improvements </w:t>
      </w:r>
    </w:p>
    <w:p w:rsidR="00000000" w:rsidRDefault="004170B4">
      <w:pPr>
        <w:pStyle w:val="NormalWeb"/>
        <w:spacing w:line="300" w:lineRule="atLeast"/>
        <w:rPr>
          <w:rFonts w:ascii="Georgia" w:hAnsi="Georgia"/>
          <w:color w:val="333333"/>
          <w:lang w:val="en"/>
        </w:rPr>
      </w:pPr>
      <w:r>
        <w:rPr>
          <w:rFonts w:ascii="Georgia" w:hAnsi="Georgia"/>
          <w:color w:val="333333"/>
          <w:lang w:val="en"/>
        </w:rPr>
        <w:t>International research suggests that improvements in agricultural productivity can reduce emissions per unit of production (</w:t>
      </w:r>
      <w:proofErr w:type="spellStart"/>
      <w:r>
        <w:rPr>
          <w:rFonts w:ascii="Georgia" w:hAnsi="Georgia"/>
          <w:color w:val="333333"/>
          <w:lang w:val="en"/>
        </w:rPr>
        <w:t>Tubiello</w:t>
      </w:r>
      <w:proofErr w:type="spellEnd"/>
      <w:r>
        <w:rPr>
          <w:rFonts w:ascii="Georgia" w:hAnsi="Georgia"/>
          <w:color w:val="333333"/>
          <w:lang w:val="en"/>
        </w:rPr>
        <w:t xml:space="preserve"> et al. 2013). This is supported by evidence in Australia where </w:t>
      </w:r>
      <w:proofErr w:type="spellStart"/>
      <w:r>
        <w:rPr>
          <w:rFonts w:ascii="Georgia" w:hAnsi="Georgia"/>
          <w:color w:val="333333"/>
          <w:lang w:val="en"/>
        </w:rPr>
        <w:t>broadacre</w:t>
      </w:r>
      <w:proofErr w:type="spellEnd"/>
      <w:r>
        <w:rPr>
          <w:rFonts w:ascii="Georgia" w:hAnsi="Georgia"/>
          <w:color w:val="333333"/>
          <w:lang w:val="en"/>
        </w:rPr>
        <w:t xml:space="preserve"> productivity grew by an average rat</w:t>
      </w:r>
      <w:r>
        <w:rPr>
          <w:rFonts w:ascii="Georgia" w:hAnsi="Georgia"/>
          <w:color w:val="333333"/>
          <w:lang w:val="en"/>
        </w:rPr>
        <w:t>e of 1.5 per cent a year between 1977 and 2011, while dairy productivity grew by 1.6 per cent over the same period (ABARES 2013b, p. 200). Further, between 2007 and 2010, there was a 10 per cent increase in the number of farmers using a one-pass sowing sys</w:t>
      </w:r>
      <w:r>
        <w:rPr>
          <w:rFonts w:ascii="Georgia" w:hAnsi="Georgia"/>
          <w:color w:val="333333"/>
          <w:lang w:val="en"/>
        </w:rPr>
        <w:t xml:space="preserve">tem to prepare cropland, which improved production yields by reducing soil and water erosion, water use and </w:t>
      </w:r>
      <w:proofErr w:type="spellStart"/>
      <w:r>
        <w:rPr>
          <w:rFonts w:ascii="Georgia" w:hAnsi="Georgia"/>
          <w:color w:val="333333"/>
          <w:lang w:val="en"/>
        </w:rPr>
        <w:t>fertiliser</w:t>
      </w:r>
      <w:proofErr w:type="spellEnd"/>
      <w:r>
        <w:rPr>
          <w:rFonts w:ascii="Georgia" w:hAnsi="Georgia"/>
          <w:color w:val="333333"/>
          <w:lang w:val="en"/>
        </w:rPr>
        <w:t xml:space="preserve"> application rates (</w:t>
      </w:r>
      <w:proofErr w:type="spellStart"/>
      <w:r>
        <w:rPr>
          <w:rFonts w:ascii="Georgia" w:hAnsi="Georgia"/>
          <w:color w:val="333333"/>
          <w:lang w:val="en"/>
        </w:rPr>
        <w:t>Barson</w:t>
      </w:r>
      <w:proofErr w:type="spellEnd"/>
      <w:r>
        <w:rPr>
          <w:rFonts w:ascii="Georgia" w:hAnsi="Georgia"/>
          <w:color w:val="333333"/>
          <w:lang w:val="en"/>
        </w:rPr>
        <w:t xml:space="preserve"> et al. 2012, p. 3).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The UNEP Emissions Gap Report (2013, p. 35) identified farming practices proven to reduce </w:t>
      </w:r>
      <w:r>
        <w:rPr>
          <w:rFonts w:ascii="Georgia" w:hAnsi="Georgia"/>
          <w:color w:val="333333"/>
          <w:lang w:val="en"/>
        </w:rPr>
        <w:t xml:space="preserve">greenhouse gas emissions, including direct seeding under the mulch layer of the previous season’s crop to reduce soil disturbance and </w:t>
      </w:r>
      <w:proofErr w:type="spellStart"/>
      <w:r>
        <w:rPr>
          <w:rFonts w:ascii="Georgia" w:hAnsi="Georgia"/>
          <w:color w:val="333333"/>
          <w:lang w:val="en"/>
        </w:rPr>
        <w:t>fertiliser</w:t>
      </w:r>
      <w:proofErr w:type="spellEnd"/>
      <w:r>
        <w:rPr>
          <w:rFonts w:ascii="Georgia" w:hAnsi="Georgia"/>
          <w:color w:val="333333"/>
          <w:lang w:val="en"/>
        </w:rPr>
        <w:t xml:space="preserve"> use. The National Farmers’ Federation highlighted benefits of this practice, noting that retaining trash in sug</w:t>
      </w:r>
      <w:r>
        <w:rPr>
          <w:rFonts w:ascii="Georgia" w:hAnsi="Georgia"/>
          <w:color w:val="333333"/>
          <w:lang w:val="en"/>
        </w:rPr>
        <w:t xml:space="preserve">ar cane production has almost halved </w:t>
      </w:r>
      <w:proofErr w:type="spellStart"/>
      <w:r>
        <w:rPr>
          <w:rFonts w:ascii="Georgia" w:hAnsi="Georgia"/>
          <w:color w:val="333333"/>
          <w:lang w:val="en"/>
        </w:rPr>
        <w:t>fertiliser</w:t>
      </w:r>
      <w:proofErr w:type="spellEnd"/>
      <w:r>
        <w:rPr>
          <w:rFonts w:ascii="Georgia" w:hAnsi="Georgia"/>
          <w:color w:val="333333"/>
          <w:lang w:val="en"/>
        </w:rPr>
        <w:t xml:space="preserve"> use rates compared with 1990 (2013, </w:t>
      </w:r>
      <w:r>
        <w:rPr>
          <w:rStyle w:val="Emphasis"/>
          <w:rFonts w:ascii="Georgia" w:hAnsi="Georgia"/>
          <w:color w:val="333333"/>
          <w:lang w:val="en"/>
        </w:rPr>
        <w:t xml:space="preserve">Draft Report submission, </w:t>
      </w:r>
      <w:r>
        <w:rPr>
          <w:rFonts w:ascii="Georgia" w:hAnsi="Georgia"/>
          <w:color w:val="333333"/>
          <w:lang w:val="en"/>
        </w:rPr>
        <w:t>p. 5).</w:t>
      </w:r>
    </w:p>
    <w:p w:rsidR="00000000" w:rsidRDefault="004170B4">
      <w:pPr>
        <w:pStyle w:val="NormalWeb"/>
        <w:spacing w:line="300" w:lineRule="atLeast"/>
        <w:rPr>
          <w:rFonts w:ascii="Georgia" w:hAnsi="Georgia"/>
          <w:color w:val="333333"/>
          <w:lang w:val="en"/>
        </w:rPr>
      </w:pPr>
      <w:r>
        <w:rPr>
          <w:rFonts w:ascii="Georgia" w:hAnsi="Georgia"/>
          <w:color w:val="333333"/>
          <w:lang w:val="en"/>
        </w:rPr>
        <w:t>There are further opportunities to reduce livestock emissions through increasing productivity and efficiency. These include improving the qu</w:t>
      </w:r>
      <w:r>
        <w:rPr>
          <w:rFonts w:ascii="Georgia" w:hAnsi="Georgia"/>
          <w:color w:val="333333"/>
          <w:lang w:val="en"/>
        </w:rPr>
        <w:t xml:space="preserve">ality of pasture in grazing, introducing </w:t>
      </w:r>
      <w:proofErr w:type="spellStart"/>
      <w:r>
        <w:rPr>
          <w:rFonts w:ascii="Georgia" w:hAnsi="Georgia"/>
          <w:color w:val="333333"/>
          <w:lang w:val="en"/>
        </w:rPr>
        <w:t>fertiliser</w:t>
      </w:r>
      <w:proofErr w:type="spellEnd"/>
      <w:r>
        <w:rPr>
          <w:rFonts w:ascii="Georgia" w:hAnsi="Georgia"/>
          <w:color w:val="333333"/>
          <w:lang w:val="en"/>
        </w:rPr>
        <w:t xml:space="preserve"> inhibitors in feedlots to reduce livestock emissions, and investing in drainage and irrigation to improve soil cultivation (ABARES 2013a, p. 11).</w:t>
      </w:r>
    </w:p>
    <w:p w:rsidR="00000000" w:rsidRDefault="004170B4">
      <w:pPr>
        <w:pStyle w:val="NormalWeb"/>
        <w:spacing w:line="300" w:lineRule="atLeast"/>
        <w:rPr>
          <w:rFonts w:ascii="Georgia" w:hAnsi="Georgia"/>
          <w:color w:val="333333"/>
          <w:lang w:val="en"/>
        </w:rPr>
      </w:pPr>
      <w:r>
        <w:rPr>
          <w:rFonts w:ascii="Georgia" w:hAnsi="Georgia"/>
          <w:color w:val="333333"/>
          <w:lang w:val="en"/>
        </w:rPr>
        <w:t>Dairy Australia (2013, p. 9) plans to reduce industry emis</w:t>
      </w:r>
      <w:r>
        <w:rPr>
          <w:rFonts w:ascii="Georgia" w:hAnsi="Georgia"/>
          <w:color w:val="333333"/>
          <w:lang w:val="en"/>
        </w:rPr>
        <w:t>sions intensity by 30 per cent by 2020. With a growing population and increased consumption of dairy products, production growth is likely to offset intensity improvements, leading to rising net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Continued investment in research and development m</w:t>
      </w:r>
      <w:r>
        <w:rPr>
          <w:rFonts w:ascii="Georgia" w:hAnsi="Georgia"/>
          <w:color w:val="333333"/>
          <w:lang w:val="en"/>
        </w:rPr>
        <w:t>ay assist to maintain productivity and emissions efficiency improvements to 2050 for Australian agriculture (</w:t>
      </w:r>
      <w:proofErr w:type="spellStart"/>
      <w:r>
        <w:rPr>
          <w:rFonts w:ascii="Georgia" w:hAnsi="Georgia"/>
          <w:color w:val="333333"/>
          <w:lang w:val="en"/>
        </w:rPr>
        <w:t>Carberry</w:t>
      </w:r>
      <w:proofErr w:type="spellEnd"/>
      <w:r>
        <w:rPr>
          <w:rFonts w:ascii="Georgia" w:hAnsi="Georgia"/>
          <w:color w:val="333333"/>
          <w:lang w:val="en"/>
        </w:rPr>
        <w:t xml:space="preserve"> et al. 2010, p. </w:t>
      </w:r>
      <w:proofErr w:type="gramStart"/>
      <w:r>
        <w:rPr>
          <w:rFonts w:ascii="Georgia" w:hAnsi="Georgia"/>
          <w:color w:val="333333"/>
          <w:lang w:val="en"/>
        </w:rPr>
        <w:t>iv</w:t>
      </w:r>
      <w:proofErr w:type="gramEnd"/>
      <w:r>
        <w:rPr>
          <w:rFonts w:ascii="Georgia" w:hAnsi="Georgia"/>
          <w:color w:val="333333"/>
          <w:lang w:val="en"/>
        </w:rPr>
        <w:t xml:space="preserve">). </w:t>
      </w:r>
    </w:p>
    <w:p w:rsidR="00000000" w:rsidRDefault="004170B4">
      <w:pPr>
        <w:pStyle w:val="Heading2"/>
        <w:rPr>
          <w:rFonts w:eastAsia="Times New Roman"/>
          <w:color w:val="333333"/>
          <w:lang w:val="en"/>
        </w:rPr>
      </w:pPr>
      <w:r>
        <w:rPr>
          <w:rFonts w:eastAsia="Times New Roman"/>
          <w:color w:val="333333"/>
          <w:lang w:val="en"/>
        </w:rPr>
        <w:t>Appendix D9 Land use, land use change and forestry</w:t>
      </w:r>
    </w:p>
    <w:p w:rsidR="00000000" w:rsidRDefault="004170B4">
      <w:pPr>
        <w:pStyle w:val="Heading3"/>
        <w:rPr>
          <w:rFonts w:eastAsia="Times New Roman"/>
          <w:color w:val="333333"/>
          <w:lang w:val="en"/>
        </w:rPr>
      </w:pPr>
      <w:r>
        <w:rPr>
          <w:rFonts w:eastAsia="Times New Roman"/>
          <w:color w:val="333333"/>
          <w:lang w:val="en"/>
        </w:rPr>
        <w:t>D9.1 LULUCF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LULUCF-related emissions and seque</w:t>
      </w:r>
      <w:r>
        <w:rPr>
          <w:rFonts w:ascii="Georgia" w:hAnsi="Georgia"/>
          <w:color w:val="333333"/>
          <w:lang w:val="en"/>
        </w:rPr>
        <w:t>stration are caused by human-induced changes in forest cover since January 1990. These include:</w:t>
      </w:r>
    </w:p>
    <w:p w:rsidR="00000000" w:rsidRDefault="004170B4" w:rsidP="004170B4">
      <w:pPr>
        <w:numPr>
          <w:ilvl w:val="0"/>
          <w:numId w:val="31"/>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deforestation—emissions from clearing forested land for new purposes</w:t>
      </w:r>
    </w:p>
    <w:p w:rsidR="00000000" w:rsidRDefault="004170B4" w:rsidP="004170B4">
      <w:pPr>
        <w:numPr>
          <w:ilvl w:val="0"/>
          <w:numId w:val="31"/>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afforestation and reforestation—sequestration of carbon dioxide from the atmosphere through</w:t>
      </w:r>
      <w:r>
        <w:rPr>
          <w:rFonts w:ascii="Georgia" w:eastAsia="Times New Roman" w:hAnsi="Georgia"/>
          <w:color w:val="333333"/>
          <w:lang w:val="en"/>
        </w:rPr>
        <w:t xml:space="preserve"> new forestry plantings on land that was </w:t>
      </w:r>
      <w:proofErr w:type="spellStart"/>
      <w:r>
        <w:rPr>
          <w:rFonts w:ascii="Georgia" w:eastAsia="Times New Roman" w:hAnsi="Georgia"/>
          <w:color w:val="333333"/>
          <w:lang w:val="en"/>
        </w:rPr>
        <w:t>unforested</w:t>
      </w:r>
      <w:proofErr w:type="spellEnd"/>
      <w:r>
        <w:rPr>
          <w:rFonts w:ascii="Georgia" w:eastAsia="Times New Roman" w:hAnsi="Georgia"/>
          <w:color w:val="333333"/>
          <w:lang w:val="en"/>
        </w:rPr>
        <w:t xml:space="preserve"> on 1 January 1990</w:t>
      </w:r>
    </w:p>
    <w:p w:rsidR="00000000" w:rsidRDefault="004170B4" w:rsidP="004170B4">
      <w:pPr>
        <w:numPr>
          <w:ilvl w:val="0"/>
          <w:numId w:val="31"/>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forest</w:t>
      </w:r>
      <w:proofErr w:type="gramEnd"/>
      <w:r>
        <w:rPr>
          <w:rFonts w:ascii="Georgia" w:eastAsia="Times New Roman" w:hAnsi="Georgia"/>
          <w:color w:val="333333"/>
          <w:lang w:val="en"/>
        </w:rPr>
        <w:t xml:space="preserve"> management—practices that increase sequestration in forests. </w:t>
      </w:r>
    </w:p>
    <w:p w:rsidR="00000000" w:rsidRDefault="004170B4">
      <w:pPr>
        <w:pStyle w:val="NormalWeb"/>
        <w:spacing w:line="300" w:lineRule="atLeast"/>
        <w:rPr>
          <w:rFonts w:ascii="Georgia" w:hAnsi="Georgia"/>
          <w:color w:val="333333"/>
          <w:lang w:val="en"/>
        </w:rPr>
      </w:pPr>
      <w:r>
        <w:rPr>
          <w:rFonts w:ascii="Georgia" w:hAnsi="Georgia"/>
          <w:color w:val="333333"/>
          <w:lang w:val="en"/>
        </w:rPr>
        <w:t>Combustion of fossil fuels from forestry activities, such as in logging machinery, is covered in other sectors.</w:t>
      </w:r>
    </w:p>
    <w:p w:rsidR="00000000" w:rsidRDefault="004170B4">
      <w:pPr>
        <w:pStyle w:val="NormalWeb"/>
        <w:spacing w:line="300" w:lineRule="atLeast"/>
        <w:rPr>
          <w:rFonts w:ascii="Georgia" w:hAnsi="Georgia"/>
          <w:color w:val="333333"/>
          <w:lang w:val="en"/>
        </w:rPr>
      </w:pPr>
      <w:r>
        <w:rPr>
          <w:rFonts w:ascii="Georgia" w:hAnsi="Georgia"/>
          <w:color w:val="333333"/>
          <w:lang w:val="en"/>
        </w:rPr>
        <w:t>Since</w:t>
      </w:r>
      <w:r>
        <w:rPr>
          <w:rFonts w:ascii="Georgia" w:hAnsi="Georgia"/>
          <w:color w:val="333333"/>
          <w:lang w:val="en"/>
        </w:rPr>
        <w:t xml:space="preserve"> January 2013, Australia has counted net emissions associated with forest management, cropland management, grazing land management and </w:t>
      </w:r>
      <w:proofErr w:type="spellStart"/>
      <w:r>
        <w:rPr>
          <w:rFonts w:ascii="Georgia" w:hAnsi="Georgia"/>
          <w:color w:val="333333"/>
          <w:lang w:val="en"/>
        </w:rPr>
        <w:t>revegetation</w:t>
      </w:r>
      <w:proofErr w:type="spellEnd"/>
      <w:r>
        <w:rPr>
          <w:rFonts w:ascii="Georgia" w:hAnsi="Georgia"/>
          <w:color w:val="333333"/>
          <w:lang w:val="en"/>
        </w:rPr>
        <w:t xml:space="preserve"> towards its emissions commitments under the Kyoto Protocol. LULUCF emissions presented in this section have </w:t>
      </w:r>
      <w:r>
        <w:rPr>
          <w:rFonts w:ascii="Georgia" w:hAnsi="Georgia"/>
          <w:color w:val="333333"/>
          <w:lang w:val="en"/>
        </w:rPr>
        <w:t xml:space="preserve">been revised to be consistent with these new accounting rules.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LULUCF has been the biggest </w:t>
      </w:r>
      <w:proofErr w:type="spellStart"/>
      <w:r>
        <w:rPr>
          <w:rFonts w:ascii="Georgia" w:hAnsi="Georgia"/>
          <w:color w:val="333333"/>
          <w:lang w:val="en"/>
        </w:rPr>
        <w:t>sectoral</w:t>
      </w:r>
      <w:proofErr w:type="spellEnd"/>
      <w:r>
        <w:rPr>
          <w:rFonts w:ascii="Georgia" w:hAnsi="Georgia"/>
          <w:color w:val="333333"/>
          <w:lang w:val="en"/>
        </w:rPr>
        <w:t xml:space="preserve"> contributor to emissions reduction in Australia since 1990. Net emissions declined by about 85 per cent from 140 to 21 Mt CO</w:t>
      </w:r>
      <w:r>
        <w:rPr>
          <w:rFonts w:ascii="Georgia" w:hAnsi="Georgia"/>
          <w:color w:val="333333"/>
          <w:sz w:val="18"/>
          <w:szCs w:val="18"/>
          <w:vertAlign w:val="subscript"/>
          <w:lang w:val="en"/>
        </w:rPr>
        <w:t>2</w:t>
      </w:r>
      <w:r>
        <w:rPr>
          <w:rFonts w:ascii="Georgia" w:hAnsi="Georgia"/>
          <w:color w:val="333333"/>
          <w:lang w:val="en"/>
        </w:rPr>
        <w:t>-e in 2012 (Figure D.36).</w:t>
      </w:r>
    </w:p>
    <w:p w:rsidR="00000000" w:rsidRDefault="004170B4">
      <w:pPr>
        <w:pStyle w:val="Heading2"/>
        <w:rPr>
          <w:rFonts w:eastAsia="Times New Roman"/>
          <w:color w:val="333333"/>
          <w:lang w:val="en"/>
        </w:rPr>
      </w:pPr>
      <w:r>
        <w:rPr>
          <w:rFonts w:eastAsia="Times New Roman"/>
          <w:color w:val="333333"/>
          <w:lang w:val="en"/>
        </w:rPr>
        <w:t>Figu</w:t>
      </w:r>
      <w:r>
        <w:rPr>
          <w:rFonts w:eastAsia="Times New Roman"/>
          <w:color w:val="333333"/>
          <w:lang w:val="en"/>
        </w:rPr>
        <w:t>re D.36: LULUCF share of Australia’s emissions,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722245"/>
            <wp:effectExtent l="0" t="0" r="0" b="1905"/>
            <wp:docPr id="36" name="Picture 36" descr="Figure D.36 shows the historical and projected share of Australia’s land use, land use change and forestry sector (LULUCF) emissions between 1990 and 2030. In 2012, LULUCF emissions accounted for 71 megatonnes of carbon dioxide equivalent.&#10;LULUCF emissions were 140 megatonnes of carbon dioxide equivalent in 1990, 71 megatonnes of carbon dioxide equivalent in 2000 and 21 megatonnes of carbon dioxide equivalent in 2012. Emissions are projected to continue to decrease under all scenarios in 2020 and 2030, except the no price scenario where emissions are projected to increase to 34 megatonnes of carbon dioxide equivalent in 2030. Emissions are projected to decrease to 19 megatonnes of carbon dioxide equivalent under both the low and medium scenarios, further decreasing to 11 megatonnes of carbon dioxide equivalent in the high scenario in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D.36 shows the historical and projected share of Australia’s land use, land use change and forestry sector (LULUCF) emissions between 1990 and 2030. In 2012, LULUCF emissions accounted for 71 megatonnes of carbon dioxide equivalent.&#10;LULUCF emissions were 140 megatonnes of carbon dioxide equivalent in 1990, 71 megatonnes of carbon dioxide equivalent in 2000 and 21 megatonnes of carbon dioxide equivalent in 2012. Emissions are projected to continue to decrease under all scenarios in 2020 and 2030, except the no price scenario where emissions are projected to increase to 34 megatonnes of carbon dioxide equivalent in 2030. Emissions are projected to decrease to 19 megatonnes of carbon dioxide equivalent under both the low and medium scenarios, further decreasing to 11 megatonnes of carbon dioxide equivalent in the high scenario in 203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6770" cy="272224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w:t>
      </w:r>
      <w:r>
        <w:rPr>
          <w:rFonts w:ascii="Georgia" w:hAnsi="Georgia"/>
          <w:color w:val="333333"/>
          <w:lang w:val="en"/>
        </w:rPr>
        <w:t>nd DIICCSRTE modelling projects that net LULUCF emissions could decrease to 13 Mt CO</w:t>
      </w:r>
      <w:r>
        <w:rPr>
          <w:rFonts w:ascii="Georgia" w:hAnsi="Georgia"/>
          <w:color w:val="333333"/>
          <w:sz w:val="18"/>
          <w:szCs w:val="18"/>
          <w:vertAlign w:val="subscript"/>
          <w:lang w:val="en"/>
        </w:rPr>
        <w:t>2</w:t>
      </w:r>
      <w:r>
        <w:rPr>
          <w:rFonts w:ascii="Georgia" w:hAnsi="Georgia"/>
          <w:color w:val="333333"/>
          <w:lang w:val="en"/>
        </w:rPr>
        <w:t>-e in 2020 and 11 Mt CO</w:t>
      </w:r>
      <w:r>
        <w:rPr>
          <w:rFonts w:ascii="Georgia" w:hAnsi="Georgia"/>
          <w:color w:val="333333"/>
          <w:sz w:val="18"/>
          <w:szCs w:val="18"/>
          <w:vertAlign w:val="subscript"/>
          <w:lang w:val="en"/>
        </w:rPr>
        <w:t>2</w:t>
      </w:r>
      <w:r>
        <w:rPr>
          <w:rFonts w:ascii="Georgia" w:hAnsi="Georgia"/>
          <w:color w:val="333333"/>
          <w:lang w:val="en"/>
        </w:rPr>
        <w:t>-e in 2030 in the high scenario, or otherwise increase to 30 Mt CO</w:t>
      </w:r>
      <w:r>
        <w:rPr>
          <w:rFonts w:ascii="Georgia" w:hAnsi="Georgia"/>
          <w:color w:val="333333"/>
          <w:sz w:val="18"/>
          <w:szCs w:val="18"/>
          <w:vertAlign w:val="subscript"/>
          <w:lang w:val="en"/>
        </w:rPr>
        <w:t>2</w:t>
      </w:r>
      <w:r>
        <w:rPr>
          <w:rFonts w:ascii="Georgia" w:hAnsi="Georgia"/>
          <w:color w:val="333333"/>
          <w:lang w:val="en"/>
        </w:rPr>
        <w:t>-e in 2020 and 34 Mt CO</w:t>
      </w:r>
      <w:r>
        <w:rPr>
          <w:rFonts w:ascii="Georgia" w:hAnsi="Georgia"/>
          <w:color w:val="333333"/>
          <w:sz w:val="18"/>
          <w:szCs w:val="18"/>
          <w:vertAlign w:val="subscript"/>
          <w:lang w:val="en"/>
        </w:rPr>
        <w:t>2</w:t>
      </w:r>
      <w:r>
        <w:rPr>
          <w:rFonts w:ascii="Georgia" w:hAnsi="Georgia"/>
          <w:color w:val="333333"/>
          <w:lang w:val="en"/>
        </w:rPr>
        <w:t>-e in 2030 in the no price scenario (Figure D.36).</w:t>
      </w:r>
    </w:p>
    <w:p w:rsidR="00000000" w:rsidRDefault="004170B4">
      <w:pPr>
        <w:pStyle w:val="Heading2"/>
        <w:rPr>
          <w:rFonts w:eastAsia="Times New Roman"/>
          <w:color w:val="333333"/>
          <w:lang w:val="en"/>
        </w:rPr>
      </w:pPr>
      <w:r>
        <w:rPr>
          <w:rFonts w:eastAsia="Times New Roman"/>
          <w:color w:val="333333"/>
          <w:lang w:val="en"/>
        </w:rPr>
        <w:t>Figur</w:t>
      </w:r>
      <w:r>
        <w:rPr>
          <w:rFonts w:eastAsia="Times New Roman"/>
          <w:color w:val="333333"/>
          <w:lang w:val="en"/>
        </w:rPr>
        <w:t>e D.37: Deforestation and other land use change emissions and sequestration, 1990–2030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574925"/>
            <wp:effectExtent l="0" t="0" r="0" b="0"/>
            <wp:docPr id="37" name="Picture 37" descr="Figure D.37 shows the historical and projected emissions of deforestation and other land-use change sequestration. &#10;Deforestation emissions have fallen from around 140 megatonnes of carbon dioxide equivalent in 1990 to around 47 megatonnes of carbon dioxide equivalent in 2012. Deforestation emissions are projected to remain relatively stable between now and 2030. In 2030 deforestation emissions are projected to range between 42 and 52 megatonnes of carbon dioxide equivalent. Other land use change sequestration increased from zero in 1990 to 25 megatonnes of carbon dioxide equivalent in 2012. Other land use change sequestration is projected to range between 18 and 31 megatonnes of carbon dioxide equivalent in 20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D.37 shows the historical and projected emissions of deforestation and other land-use change sequestration. &#10;Deforestation emissions have fallen from around 140 megatonnes of carbon dioxide equivalent in 1990 to around 47 megatonnes of carbon dioxide equivalent in 2012. Deforestation emissions are projected to remain relatively stable between now and 2030. In 2030 deforestation emissions are projected to range between 42 and 52 megatonnes of carbon dioxide equivalent. Other land use change sequestration increased from zero in 1990 to 25 megatonnes of carbon dioxide equivalent in 2012. Other land use change sequestration is projected to range between 18 and 31 megatonnes of carbon dioxide equivalent in 2030.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6770" cy="257492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Negative emissions reflect carbon sequestration. Upper and lower line bounds illustrate the range of modelled outcomes. </w:t>
      </w:r>
      <w:r>
        <w:rPr>
          <w:rFonts w:ascii="Georgia" w:hAnsi="Georgia"/>
          <w:color w:val="333333"/>
          <w:lang w:val="en"/>
        </w:rPr>
        <w:br/>
      </w: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3"/>
        <w:rPr>
          <w:rFonts w:eastAsia="Times New Roman"/>
          <w:color w:val="333333"/>
          <w:lang w:val="en"/>
        </w:rPr>
      </w:pPr>
      <w:r>
        <w:rPr>
          <w:rFonts w:eastAsia="Times New Roman"/>
          <w:color w:val="333333"/>
          <w:lang w:val="en"/>
        </w:rPr>
        <w:t xml:space="preserve">D9.2 LULUCF emissions outcomes, contributors and drivers </w:t>
      </w:r>
    </w:p>
    <w:p w:rsidR="00000000" w:rsidRDefault="004170B4">
      <w:pPr>
        <w:pStyle w:val="NormalWeb"/>
        <w:spacing w:line="300" w:lineRule="atLeast"/>
        <w:rPr>
          <w:rFonts w:ascii="Georgia" w:hAnsi="Georgia"/>
          <w:color w:val="333333"/>
          <w:lang w:val="en"/>
        </w:rPr>
      </w:pPr>
      <w:r>
        <w:rPr>
          <w:rFonts w:ascii="Georgia" w:hAnsi="Georgia"/>
          <w:color w:val="333333"/>
          <w:lang w:val="en"/>
        </w:rPr>
        <w:t>Figure D.38 shows actual LULUCF emissions and removals by subsector from 1990 to 2030. The vast majority of LULUCF emissions and removals, both current and projected, are from forestry activities (</w:t>
      </w:r>
      <w:r>
        <w:rPr>
          <w:rFonts w:ascii="Georgia" w:hAnsi="Georgia"/>
          <w:color w:val="333333"/>
          <w:lang w:val="en"/>
        </w:rPr>
        <w:t xml:space="preserve">deforestation, reforestation and afforestation, and forest management). Non-forestry activities (cropland and grazing land management and </w:t>
      </w:r>
      <w:proofErr w:type="spellStart"/>
      <w:r>
        <w:rPr>
          <w:rFonts w:ascii="Georgia" w:hAnsi="Georgia"/>
          <w:color w:val="333333"/>
          <w:lang w:val="en"/>
        </w:rPr>
        <w:t>revegetation</w:t>
      </w:r>
      <w:proofErr w:type="spellEnd"/>
      <w:r>
        <w:rPr>
          <w:rFonts w:ascii="Georgia" w:hAnsi="Georgia"/>
          <w:color w:val="333333"/>
          <w:lang w:val="en"/>
        </w:rPr>
        <w:t>) are much smaller sources of emissions and removals.</w:t>
      </w:r>
    </w:p>
    <w:p w:rsidR="00000000" w:rsidRDefault="004170B4">
      <w:pPr>
        <w:pStyle w:val="Heading2"/>
        <w:rPr>
          <w:rFonts w:eastAsia="Times New Roman"/>
          <w:color w:val="333333"/>
          <w:lang w:val="en"/>
        </w:rPr>
      </w:pPr>
      <w:r>
        <w:rPr>
          <w:rFonts w:eastAsia="Times New Roman"/>
          <w:color w:val="333333"/>
          <w:lang w:val="en"/>
        </w:rPr>
        <w:t>Figure D.38: Contributors to LULUCF emissions, selec</w:t>
      </w:r>
      <w:r>
        <w:rPr>
          <w:rFonts w:eastAsia="Times New Roman"/>
          <w:color w:val="333333"/>
          <w:lang w:val="en"/>
        </w:rPr>
        <w:t>ted years, 1990–2030, and to change in emissions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4929505"/>
            <wp:effectExtent l="0" t="0" r="0" b="4445"/>
            <wp:docPr id="38" name="Picture 38" descr="Figure D.38 shows the historical and projected emissions and contributors to Australia’s land-use, land use change and forestry sector between 1990 and 2030. &#10;In 1990 land-use, land use change and forestry emissions were 140 megatonnes of carbon dioxide equivalent and fell to 21 megatonnes of carbon dioxide equivalent in 2012. By 2030, net land-use, land use change and forestry emissions are projected to be decrease to 19 megatonnes of carbon dioxide equivalent under both the low and medium scenarios, and 11 megatonnes under the high scenario. Emissions are projected to increase to 34 megatonnes under the no price scenario in 2030.&#10;Relative to 2000 level emissions, decreases (less sequestration) in afforestation and reforestation emissions will be more than offset by increase in forest management,  other land use change activities and reduced deforestation (increase in sequestration) in 2030. Combined, net change in emissions from these activities are projected to contribute between 38 and 60 megatonnes of carbon dioxide equivalent emission reductions under all scenarios, including no price, compared to 2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D.38 shows the historical and projected emissions and contributors to Australia’s land-use, land use change and forestry sector between 1990 and 2030. &#10;In 1990 land-use, land use change and forestry emissions were 140 megatonnes of carbon dioxide equivalent and fell to 21 megatonnes of carbon dioxide equivalent in 2012. By 2030, net land-use, land use change and forestry emissions are projected to be decrease to 19 megatonnes of carbon dioxide equivalent under both the low and medium scenarios, and 11 megatonnes under the high scenario. Emissions are projected to increase to 34 megatonnes under the no price scenario in 2030.&#10;Relative to 2000 level emissions, decreases (less sequestration) in afforestation and reforestation emissions will be more than offset by increase in forest management,  other land use change activities and reduced deforestation (increase in sequestration) in 2030. Combined, net change in emissions from these activities are projected to contribute between 38 and 60 megatonnes of carbon dioxide equivalent emission reductions under all scenarios, including no price, compared to 2000.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6770" cy="492950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Heading4"/>
        <w:rPr>
          <w:rFonts w:eastAsia="Times New Roman"/>
          <w:color w:val="333333"/>
          <w:lang w:val="en"/>
        </w:rPr>
      </w:pPr>
      <w:r>
        <w:rPr>
          <w:rFonts w:eastAsia="Times New Roman"/>
          <w:color w:val="333333"/>
          <w:lang w:val="en"/>
        </w:rPr>
        <w:t>D9.2.1 Outcomes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 modelling projects net LULUCF emissions may decrease by 2 Mt CO</w:t>
      </w:r>
      <w:r>
        <w:rPr>
          <w:rFonts w:ascii="Georgia" w:hAnsi="Georgia"/>
          <w:color w:val="333333"/>
          <w:sz w:val="18"/>
          <w:szCs w:val="18"/>
          <w:vertAlign w:val="subscript"/>
          <w:lang w:val="en"/>
        </w:rPr>
        <w:t>2</w:t>
      </w:r>
      <w:r>
        <w:rPr>
          <w:rFonts w:ascii="Georgia" w:hAnsi="Georgia"/>
          <w:color w:val="333333"/>
          <w:lang w:val="en"/>
        </w:rPr>
        <w:t>-e to 19 Mt CO</w:t>
      </w:r>
      <w:r>
        <w:rPr>
          <w:rFonts w:ascii="Georgia" w:hAnsi="Georgia"/>
          <w:color w:val="333333"/>
          <w:sz w:val="18"/>
          <w:szCs w:val="18"/>
          <w:vertAlign w:val="subscript"/>
          <w:lang w:val="en"/>
        </w:rPr>
        <w:t>2</w:t>
      </w:r>
      <w:r>
        <w:rPr>
          <w:rFonts w:ascii="Georgia" w:hAnsi="Georgia"/>
          <w:color w:val="333333"/>
          <w:lang w:val="en"/>
        </w:rPr>
        <w:t>-e from 2012 to 2030 under both the low and medium scenario, and decrease to 11 Mt CO</w:t>
      </w:r>
      <w:r>
        <w:rPr>
          <w:rFonts w:ascii="Georgia" w:hAnsi="Georgia"/>
          <w:color w:val="333333"/>
          <w:sz w:val="18"/>
          <w:szCs w:val="18"/>
          <w:vertAlign w:val="subscript"/>
          <w:lang w:val="en"/>
        </w:rPr>
        <w:t>2</w:t>
      </w:r>
      <w:r>
        <w:rPr>
          <w:rFonts w:ascii="Georgia" w:hAnsi="Georgia"/>
          <w:color w:val="333333"/>
          <w:lang w:val="en"/>
        </w:rPr>
        <w:t>-e under the high scenario. Under the no price scenario, emissio</w:t>
      </w:r>
      <w:r>
        <w:rPr>
          <w:rFonts w:ascii="Georgia" w:hAnsi="Georgia"/>
          <w:color w:val="333333"/>
          <w:lang w:val="en"/>
        </w:rPr>
        <w:t>ns are projected to increase to 34 Mt CO</w:t>
      </w:r>
      <w:r>
        <w:rPr>
          <w:rFonts w:ascii="Georgia" w:hAnsi="Georgia"/>
          <w:color w:val="333333"/>
          <w:sz w:val="18"/>
          <w:szCs w:val="18"/>
          <w:vertAlign w:val="subscript"/>
          <w:lang w:val="en"/>
        </w:rPr>
        <w:t>2</w:t>
      </w:r>
      <w:r>
        <w:rPr>
          <w:rFonts w:ascii="Georgia" w:hAnsi="Georgia"/>
          <w:color w:val="333333"/>
          <w:lang w:val="en"/>
        </w:rPr>
        <w:t>-e in 2030.</w:t>
      </w:r>
    </w:p>
    <w:p w:rsidR="00000000" w:rsidRDefault="004170B4">
      <w:pPr>
        <w:pStyle w:val="NormalWeb"/>
        <w:spacing w:line="300" w:lineRule="atLeast"/>
        <w:rPr>
          <w:rFonts w:ascii="Georgia" w:hAnsi="Georgia"/>
          <w:color w:val="333333"/>
          <w:lang w:val="en"/>
        </w:rPr>
      </w:pPr>
      <w:r>
        <w:rPr>
          <w:rFonts w:ascii="Georgia" w:hAnsi="Georgia"/>
          <w:color w:val="333333"/>
          <w:lang w:val="en"/>
        </w:rPr>
        <w:t>Over the period from 2013 to 2020, the Treasury and DIICCSRTE modelling projects cumulative LULUCF emissions reductions associated with the Kyoto Protocol accounting changes and additional land managemen</w:t>
      </w:r>
      <w:r>
        <w:rPr>
          <w:rFonts w:ascii="Georgia" w:hAnsi="Georgia"/>
          <w:color w:val="333333"/>
          <w:lang w:val="en"/>
        </w:rPr>
        <w:t xml:space="preserve">t </w:t>
      </w:r>
      <w:proofErr w:type="spellStart"/>
      <w:r>
        <w:rPr>
          <w:rFonts w:ascii="Georgia" w:hAnsi="Georgia"/>
          <w:color w:val="333333"/>
          <w:lang w:val="en"/>
        </w:rPr>
        <w:t>acitivities</w:t>
      </w:r>
      <w:proofErr w:type="spellEnd"/>
      <w:r>
        <w:rPr>
          <w:rFonts w:ascii="Georgia" w:hAnsi="Georgia"/>
          <w:color w:val="333333"/>
          <w:lang w:val="en"/>
        </w:rPr>
        <w:t xml:space="preserve"> of 90 Mt CO</w:t>
      </w:r>
      <w:r>
        <w:rPr>
          <w:rFonts w:ascii="Georgia" w:hAnsi="Georgia"/>
          <w:color w:val="333333"/>
          <w:sz w:val="18"/>
          <w:szCs w:val="18"/>
          <w:vertAlign w:val="subscript"/>
          <w:lang w:val="en"/>
        </w:rPr>
        <w:t>2</w:t>
      </w:r>
      <w:r>
        <w:rPr>
          <w:rFonts w:ascii="Georgia" w:hAnsi="Georgia"/>
          <w:color w:val="333333"/>
          <w:lang w:val="en"/>
        </w:rPr>
        <w:t>-e irrespective of price incentives. Cumulative emissions reductions are projected to rise to 126 Mt CO</w:t>
      </w:r>
      <w:r>
        <w:rPr>
          <w:rFonts w:ascii="Georgia" w:hAnsi="Georgia"/>
          <w:color w:val="333333"/>
          <w:sz w:val="18"/>
          <w:szCs w:val="18"/>
          <w:vertAlign w:val="subscript"/>
          <w:lang w:val="en"/>
        </w:rPr>
        <w:t>2</w:t>
      </w:r>
      <w:r>
        <w:rPr>
          <w:rFonts w:ascii="Georgia" w:hAnsi="Georgia"/>
          <w:color w:val="333333"/>
          <w:lang w:val="en"/>
        </w:rPr>
        <w:t>-e in the medium scenario. Similarly, the ANU Centre for Climate Law and Policy estimates potential LULUCF emissions reduction</w:t>
      </w:r>
      <w:r>
        <w:rPr>
          <w:rFonts w:ascii="Georgia" w:hAnsi="Georgia"/>
          <w:color w:val="333333"/>
          <w:lang w:val="en"/>
        </w:rPr>
        <w:t>s of 110–115 Mt CO</w:t>
      </w:r>
      <w:r>
        <w:rPr>
          <w:rFonts w:ascii="Georgia" w:hAnsi="Georgia"/>
          <w:color w:val="333333"/>
          <w:sz w:val="18"/>
          <w:szCs w:val="18"/>
          <w:vertAlign w:val="subscript"/>
          <w:lang w:val="en"/>
        </w:rPr>
        <w:t>2</w:t>
      </w:r>
      <w:r>
        <w:rPr>
          <w:rFonts w:ascii="Georgia" w:hAnsi="Georgia"/>
          <w:color w:val="333333"/>
          <w:lang w:val="en"/>
        </w:rPr>
        <w:t xml:space="preserve">-e from forest management, crop land management, grazing land management and </w:t>
      </w:r>
      <w:proofErr w:type="spellStart"/>
      <w:r>
        <w:rPr>
          <w:rFonts w:ascii="Georgia" w:hAnsi="Georgia"/>
          <w:color w:val="333333"/>
          <w:lang w:val="en"/>
        </w:rPr>
        <w:t>revegetation</w:t>
      </w:r>
      <w:proofErr w:type="spellEnd"/>
      <w:r>
        <w:rPr>
          <w:rFonts w:ascii="Georgia" w:hAnsi="Georgia"/>
          <w:color w:val="333333"/>
          <w:lang w:val="en"/>
        </w:rPr>
        <w:t xml:space="preserve"> activities from 2013 to 2020 (</w:t>
      </w:r>
      <w:r>
        <w:rPr>
          <w:rStyle w:val="Emphasis"/>
          <w:rFonts w:ascii="Georgia" w:hAnsi="Georgia"/>
          <w:color w:val="333333"/>
          <w:lang w:val="en"/>
        </w:rPr>
        <w:t>Issues Paper submission</w:t>
      </w:r>
      <w:r>
        <w:rPr>
          <w:rFonts w:ascii="Georgia" w:hAnsi="Georgia"/>
          <w:color w:val="333333"/>
          <w:lang w:val="en"/>
        </w:rPr>
        <w:t xml:space="preserve">, pp. 12–14).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Since 1990, deforestation emissions have declined, reflecting economic factors </w:t>
      </w:r>
      <w:r>
        <w:rPr>
          <w:rFonts w:ascii="Georgia" w:hAnsi="Georgia"/>
          <w:color w:val="333333"/>
          <w:lang w:val="en"/>
        </w:rPr>
        <w:t>and also the strengthening of state and territory restrictions on land clearing regulations over the period. Between 1990 and 2011, emissions fell by over 100 Mt CO</w:t>
      </w:r>
      <w:r>
        <w:rPr>
          <w:rFonts w:ascii="Georgia" w:hAnsi="Georgia"/>
          <w:color w:val="333333"/>
          <w:sz w:val="18"/>
          <w:szCs w:val="18"/>
          <w:vertAlign w:val="subscript"/>
          <w:lang w:val="en"/>
        </w:rPr>
        <w:t>2</w:t>
      </w:r>
      <w:r>
        <w:rPr>
          <w:rFonts w:ascii="Georgia" w:hAnsi="Georgia"/>
          <w:color w:val="333333"/>
          <w:lang w:val="en"/>
        </w:rPr>
        <w:t>-e to 38 Mt CO</w:t>
      </w:r>
      <w:r>
        <w:rPr>
          <w:rFonts w:ascii="Georgia" w:hAnsi="Georgia"/>
          <w:color w:val="333333"/>
          <w:sz w:val="18"/>
          <w:szCs w:val="18"/>
          <w:vertAlign w:val="subscript"/>
          <w:lang w:val="en"/>
        </w:rPr>
        <w:t>2</w:t>
      </w:r>
      <w:r>
        <w:rPr>
          <w:rFonts w:ascii="Georgia" w:hAnsi="Georgia"/>
          <w:color w:val="333333"/>
          <w:lang w:val="en"/>
        </w:rPr>
        <w:t>-e, before increasing to 47 Mt CO</w:t>
      </w:r>
      <w:r>
        <w:rPr>
          <w:rFonts w:ascii="Georgia" w:hAnsi="Georgia"/>
          <w:color w:val="333333"/>
          <w:sz w:val="18"/>
          <w:szCs w:val="18"/>
          <w:vertAlign w:val="subscript"/>
          <w:lang w:val="en"/>
        </w:rPr>
        <w:t>2</w:t>
      </w:r>
      <w:r>
        <w:rPr>
          <w:rFonts w:ascii="Georgia" w:hAnsi="Georgia"/>
          <w:color w:val="333333"/>
          <w:lang w:val="en"/>
        </w:rPr>
        <w:t xml:space="preserve">-e in 2012. The Treasury and DIICCSRTE </w:t>
      </w:r>
      <w:r>
        <w:rPr>
          <w:rFonts w:ascii="Georgia" w:hAnsi="Georgia"/>
          <w:color w:val="333333"/>
          <w:lang w:val="en"/>
        </w:rPr>
        <w:t>modelling projects deforestation emissions will increase to 50 Mt CO</w:t>
      </w:r>
      <w:r>
        <w:rPr>
          <w:rFonts w:ascii="Georgia" w:hAnsi="Georgia"/>
          <w:color w:val="333333"/>
          <w:sz w:val="18"/>
          <w:szCs w:val="18"/>
          <w:vertAlign w:val="subscript"/>
          <w:lang w:val="en"/>
        </w:rPr>
        <w:t>2</w:t>
      </w:r>
      <w:r>
        <w:rPr>
          <w:rFonts w:ascii="Georgia" w:hAnsi="Georgia"/>
          <w:color w:val="333333"/>
          <w:lang w:val="en"/>
        </w:rPr>
        <w:t>-e in 2013, remain steady to 2020, and gradually decline to 46 Mt CO</w:t>
      </w:r>
      <w:r>
        <w:rPr>
          <w:rFonts w:ascii="Georgia" w:hAnsi="Georgia"/>
          <w:color w:val="333333"/>
          <w:sz w:val="18"/>
          <w:szCs w:val="18"/>
          <w:vertAlign w:val="subscript"/>
          <w:lang w:val="en"/>
        </w:rPr>
        <w:t>2</w:t>
      </w:r>
      <w:r>
        <w:rPr>
          <w:rFonts w:ascii="Georgia" w:hAnsi="Georgia"/>
          <w:color w:val="333333"/>
          <w:lang w:val="en"/>
        </w:rPr>
        <w:t>-e in 2030 under both the low and medium scenarios. Under the no price scenario, emissions are projected to increase t</w:t>
      </w:r>
      <w:r>
        <w:rPr>
          <w:rFonts w:ascii="Georgia" w:hAnsi="Georgia"/>
          <w:color w:val="333333"/>
          <w:lang w:val="en"/>
        </w:rPr>
        <w:t>o 52 Mt CO</w:t>
      </w:r>
      <w:r>
        <w:rPr>
          <w:rFonts w:ascii="Georgia" w:hAnsi="Georgia"/>
          <w:color w:val="333333"/>
          <w:sz w:val="18"/>
          <w:szCs w:val="18"/>
          <w:vertAlign w:val="subscript"/>
          <w:lang w:val="en"/>
        </w:rPr>
        <w:t>2</w:t>
      </w:r>
      <w:r>
        <w:rPr>
          <w:rFonts w:ascii="Georgia" w:hAnsi="Georgia"/>
          <w:color w:val="333333"/>
          <w:lang w:val="en"/>
        </w:rPr>
        <w:t>-e in 2030, peaking at 54 Mt CO</w:t>
      </w:r>
      <w:r>
        <w:rPr>
          <w:rFonts w:ascii="Georgia" w:hAnsi="Georgia"/>
          <w:color w:val="333333"/>
          <w:sz w:val="18"/>
          <w:szCs w:val="18"/>
          <w:vertAlign w:val="subscript"/>
          <w:lang w:val="en"/>
        </w:rPr>
        <w:t>2</w:t>
      </w:r>
      <w:r>
        <w:rPr>
          <w:rFonts w:ascii="Georgia" w:hAnsi="Georgia"/>
          <w:color w:val="333333"/>
          <w:lang w:val="en"/>
        </w:rPr>
        <w:t>-e in 2016. Recent relaxation of land clearing restrictions in New South Wales, Queensland and Western Australia may contribute to increasing emissions.</w:t>
      </w:r>
    </w:p>
    <w:p w:rsidR="00000000" w:rsidRDefault="004170B4">
      <w:pPr>
        <w:pStyle w:val="NormalWeb"/>
        <w:spacing w:line="300" w:lineRule="atLeast"/>
        <w:rPr>
          <w:rFonts w:ascii="Georgia" w:hAnsi="Georgia"/>
          <w:color w:val="333333"/>
          <w:lang w:val="en"/>
        </w:rPr>
      </w:pPr>
      <w:r>
        <w:rPr>
          <w:rFonts w:ascii="Georgia" w:hAnsi="Georgia"/>
          <w:color w:val="333333"/>
          <w:lang w:val="en"/>
        </w:rPr>
        <w:t>According to the Treasury and DIICCSRTE modelling, sequestra</w:t>
      </w:r>
      <w:r>
        <w:rPr>
          <w:rFonts w:ascii="Georgia" w:hAnsi="Georgia"/>
          <w:color w:val="333333"/>
          <w:lang w:val="en"/>
        </w:rPr>
        <w:t>tion from reforestation and afforestation increased from 11 Mt CO</w:t>
      </w:r>
      <w:r>
        <w:rPr>
          <w:rFonts w:ascii="Georgia" w:hAnsi="Georgia"/>
          <w:color w:val="333333"/>
          <w:sz w:val="18"/>
          <w:szCs w:val="18"/>
          <w:vertAlign w:val="subscript"/>
          <w:lang w:val="en"/>
        </w:rPr>
        <w:t>2</w:t>
      </w:r>
      <w:r>
        <w:rPr>
          <w:rFonts w:ascii="Georgia" w:hAnsi="Georgia"/>
          <w:color w:val="333333"/>
          <w:lang w:val="en"/>
        </w:rPr>
        <w:t>-e in 2000 to 25 Mt CO</w:t>
      </w:r>
      <w:r>
        <w:rPr>
          <w:rFonts w:ascii="Georgia" w:hAnsi="Georgia"/>
          <w:color w:val="333333"/>
          <w:sz w:val="18"/>
          <w:szCs w:val="18"/>
          <w:vertAlign w:val="subscript"/>
          <w:lang w:val="en"/>
        </w:rPr>
        <w:t>2</w:t>
      </w:r>
      <w:r>
        <w:rPr>
          <w:rFonts w:ascii="Georgia" w:hAnsi="Georgia"/>
          <w:color w:val="333333"/>
          <w:lang w:val="en"/>
        </w:rPr>
        <w:t>-e in 2012. This was in part driven by economic conditions and forest Managed Investment Schemes, which allowed investors to deduct 100 per cent of their investment ag</w:t>
      </w:r>
      <w:r>
        <w:rPr>
          <w:rFonts w:ascii="Georgia" w:hAnsi="Georgia"/>
          <w:color w:val="333333"/>
          <w:lang w:val="en"/>
        </w:rPr>
        <w:t xml:space="preserve">ainst taxable income earned elsewhere. Regulations governing these schemes were tightened in 2007 and have contributed to a reduction in tree plantation investments. </w:t>
      </w:r>
      <w:proofErr w:type="spellStart"/>
      <w:r>
        <w:rPr>
          <w:rFonts w:ascii="Georgia" w:hAnsi="Georgia"/>
          <w:color w:val="333333"/>
          <w:lang w:val="en"/>
        </w:rPr>
        <w:t>ClimateWorks</w:t>
      </w:r>
      <w:proofErr w:type="spellEnd"/>
      <w:r>
        <w:rPr>
          <w:rFonts w:ascii="Georgia" w:hAnsi="Georgia"/>
          <w:color w:val="333333"/>
          <w:lang w:val="en"/>
        </w:rPr>
        <w:t xml:space="preserve"> (2013, p. 21) reported the area of plantation forests cleared in 2012 exceede</w:t>
      </w:r>
      <w:r>
        <w:rPr>
          <w:rFonts w:ascii="Georgia" w:hAnsi="Georgia"/>
          <w:color w:val="333333"/>
          <w:lang w:val="en"/>
        </w:rPr>
        <w:t>d new plantings, resulting in a reduction in the total plantation estate for the year.</w:t>
      </w:r>
    </w:p>
    <w:p w:rsidR="00000000" w:rsidRDefault="004170B4">
      <w:pPr>
        <w:pStyle w:val="NormalWeb"/>
        <w:spacing w:line="300" w:lineRule="atLeast"/>
        <w:rPr>
          <w:rFonts w:ascii="Georgia" w:hAnsi="Georgia"/>
          <w:color w:val="333333"/>
          <w:lang w:val="en"/>
        </w:rPr>
      </w:pPr>
      <w:r>
        <w:rPr>
          <w:rFonts w:ascii="Georgia" w:hAnsi="Georgia"/>
          <w:color w:val="333333"/>
          <w:lang w:val="en"/>
        </w:rPr>
        <w:t>The Treasury and DIICCSRTE modelling projects afforestation and reforestation sequestration will decrease to below 10 Mt CO</w:t>
      </w:r>
      <w:r>
        <w:rPr>
          <w:rFonts w:ascii="Georgia" w:hAnsi="Georgia"/>
          <w:color w:val="333333"/>
          <w:sz w:val="18"/>
          <w:szCs w:val="18"/>
          <w:vertAlign w:val="subscript"/>
          <w:lang w:val="en"/>
        </w:rPr>
        <w:t>2</w:t>
      </w:r>
      <w:r>
        <w:rPr>
          <w:rFonts w:ascii="Georgia" w:hAnsi="Georgia"/>
          <w:color w:val="333333"/>
          <w:lang w:val="en"/>
        </w:rPr>
        <w:t>-e in 2020 and 2030 under all scenarios. Many</w:t>
      </w:r>
      <w:r>
        <w:rPr>
          <w:rFonts w:ascii="Georgia" w:hAnsi="Georgia"/>
          <w:color w:val="333333"/>
          <w:lang w:val="en"/>
        </w:rPr>
        <w:t xml:space="preserve"> of the plantations established in the early 2000s were short-term pulpwood and are nearing readiness for harvest. Due to policy uncertainty and long investment returns from tree plantations, </w:t>
      </w:r>
      <w:proofErr w:type="spellStart"/>
      <w:r>
        <w:rPr>
          <w:rFonts w:ascii="Georgia" w:hAnsi="Georgia"/>
          <w:color w:val="333333"/>
          <w:lang w:val="en"/>
        </w:rPr>
        <w:t>ClimateWorks</w:t>
      </w:r>
      <w:proofErr w:type="spellEnd"/>
      <w:r>
        <w:rPr>
          <w:rFonts w:ascii="Georgia" w:hAnsi="Georgia"/>
          <w:color w:val="333333"/>
          <w:lang w:val="en"/>
        </w:rPr>
        <w:t xml:space="preserve"> (2013, p. 31) projects a significant proportion of </w:t>
      </w:r>
      <w:r>
        <w:rPr>
          <w:rFonts w:ascii="Georgia" w:hAnsi="Georgia"/>
          <w:color w:val="333333"/>
          <w:lang w:val="en"/>
        </w:rPr>
        <w:t>harvested forest land will not be returned for reforestation over the next 5 to 10 years and will instead be converted to other land use.</w:t>
      </w:r>
    </w:p>
    <w:p w:rsidR="00000000" w:rsidRDefault="004170B4">
      <w:pPr>
        <w:pStyle w:val="Heading4"/>
        <w:rPr>
          <w:rFonts w:eastAsia="Times New Roman"/>
          <w:color w:val="333333"/>
          <w:lang w:val="en"/>
        </w:rPr>
      </w:pPr>
      <w:r>
        <w:rPr>
          <w:rFonts w:eastAsia="Times New Roman"/>
          <w:color w:val="333333"/>
          <w:lang w:val="en"/>
        </w:rPr>
        <w:t>D9.2.2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The main contributors to emissions and sequestration in the LULUCF sector are clearing</w:t>
      </w:r>
      <w:r>
        <w:rPr>
          <w:rFonts w:ascii="Georgia" w:hAnsi="Georgia"/>
          <w:color w:val="333333"/>
          <w:lang w:val="en"/>
        </w:rPr>
        <w:t xml:space="preserve"> land, planting land or forestry management (Figure D.39).</w:t>
      </w:r>
    </w:p>
    <w:p w:rsidR="00000000" w:rsidRDefault="004170B4">
      <w:pPr>
        <w:pStyle w:val="Heading2"/>
        <w:rPr>
          <w:rFonts w:eastAsia="Times New Roman"/>
          <w:color w:val="333333"/>
          <w:lang w:val="en"/>
        </w:rPr>
      </w:pPr>
      <w:r>
        <w:rPr>
          <w:rFonts w:eastAsia="Times New Roman"/>
          <w:color w:val="333333"/>
          <w:lang w:val="en"/>
        </w:rPr>
        <w:t>Figure D.39: LULUCF emissions and sequestration (medium scenario), 1990–2030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3174365"/>
            <wp:effectExtent l="0" t="0" r="0" b="0"/>
            <wp:docPr id="39" name="Picture 39" descr="Figure D.39 shows Australia’s emissions and sequestration from land use, land use change and forestry between 1990 and 2030 under the medium scenario. &#10;Deforestation has accounted for the majority of land use, land use change and forestry emissions since 1990 and is projected to continue to 2030. Between 1990 and 2012 these emissions have been in part offset by afforestation and reforestation activities. Between 2012 and 2030, deforestation emissions are expected to remain stable, with vegetation and forest management sequestration activities largely offsetting falling afforestation and reforestation (reduced sequestration) emiss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 D.39 shows Australia’s emissions and sequestration from land use, land use change and forestry between 1990 and 2030 under the medium scenario. &#10;Deforestation has accounted for the majority of land use, land use change and forestry emissions since 1990 and is projected to continue to 2030. Between 1990 and 2012 these emissions have been in part offset by afforestation and reforestation activities. Between 2012 and 2030, deforestation emissions are expected to remain stable, with vegetation and forest management sequestration activities largely offsetting falling afforestation and reforestation (reduced sequestration) emissions.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6770" cy="317436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Major drivers of these activities are agricultural and forestry commodity prices; input co</w:t>
      </w:r>
      <w:r>
        <w:rPr>
          <w:rFonts w:ascii="Georgia" w:hAnsi="Georgia"/>
          <w:color w:val="333333"/>
          <w:lang w:val="en"/>
        </w:rPr>
        <w:t xml:space="preserve">sts; and state, territory and Commonwealth land clearing regulations.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Land use decisions are influenced by relative prices of forestry and agricultural commodities. Policies, including the CFI, can affect the economic returns from these activities (see Bo</w:t>
      </w:r>
      <w:r>
        <w:rPr>
          <w:rFonts w:ascii="Georgia" w:hAnsi="Georgia"/>
          <w:color w:val="333333"/>
          <w:lang w:val="en"/>
        </w:rPr>
        <w:t>x D.7). Historically, tax concessions for forestry have been effective in driving investment in sequestration through higher rates of afforestation and reforestation. This was witnessed in the early 2000s where Managed Investment Schemes significantly incr</w:t>
      </w:r>
      <w:r>
        <w:rPr>
          <w:rFonts w:ascii="Georgia" w:hAnsi="Georgia"/>
          <w:color w:val="333333"/>
          <w:lang w:val="en"/>
        </w:rPr>
        <w:t xml:space="preserve">eased new tree plantations.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Commodity prices are affected by factors such as structural timber demand; demand for paper; production of paper, paperboard, plantation woodchips and pulp in developing countries; and paper recycling.</w:t>
      </w:r>
    </w:p>
    <w:p w:rsidR="00000000" w:rsidRDefault="004170B4">
      <w:pPr>
        <w:pStyle w:val="Heading2"/>
        <w:shd w:val="clear" w:color="auto" w:fill="F5F5F5"/>
        <w:divId w:val="754521799"/>
        <w:rPr>
          <w:rFonts w:eastAsia="Times New Roman"/>
          <w:color w:val="333333"/>
          <w:lang w:val="en"/>
        </w:rPr>
      </w:pPr>
      <w:r>
        <w:rPr>
          <w:rFonts w:eastAsia="Times New Roman"/>
          <w:color w:val="333333"/>
          <w:lang w:val="en"/>
        </w:rPr>
        <w:t>Box D.7: Emissions reduct</w:t>
      </w:r>
      <w:r>
        <w:rPr>
          <w:rFonts w:eastAsia="Times New Roman"/>
          <w:color w:val="333333"/>
          <w:lang w:val="en"/>
        </w:rPr>
        <w:t>ion opportunities under the CFI</w:t>
      </w:r>
    </w:p>
    <w:p w:rsidR="00000000" w:rsidRDefault="004170B4">
      <w:pPr>
        <w:pStyle w:val="NormalWeb"/>
        <w:shd w:val="clear" w:color="auto" w:fill="F5F5F5"/>
        <w:spacing w:line="300" w:lineRule="atLeast"/>
        <w:divId w:val="754521799"/>
        <w:rPr>
          <w:rFonts w:ascii="Georgia" w:hAnsi="Georgia"/>
          <w:color w:val="333333"/>
          <w:lang w:val="en"/>
        </w:rPr>
      </w:pPr>
      <w:r>
        <w:rPr>
          <w:rFonts w:ascii="Georgia" w:hAnsi="Georgia"/>
          <w:color w:val="333333"/>
          <w:lang w:val="en"/>
        </w:rPr>
        <w:t xml:space="preserve">Current CFI methodologies for LULUCF projects cover different types of forestry and </w:t>
      </w:r>
      <w:proofErr w:type="spellStart"/>
      <w:r>
        <w:rPr>
          <w:rFonts w:ascii="Georgia" w:hAnsi="Georgia"/>
          <w:color w:val="333333"/>
          <w:lang w:val="en"/>
        </w:rPr>
        <w:t>revegetation</w:t>
      </w:r>
      <w:proofErr w:type="spellEnd"/>
      <w:r>
        <w:rPr>
          <w:rFonts w:ascii="Georgia" w:hAnsi="Georgia"/>
          <w:color w:val="333333"/>
          <w:lang w:val="en"/>
        </w:rPr>
        <w:t xml:space="preserve"> activities, including environmental plantings, human-induced regeneration of native forests, native forest protection and refor</w:t>
      </w:r>
      <w:r>
        <w:rPr>
          <w:rFonts w:ascii="Georgia" w:hAnsi="Georgia"/>
          <w:color w:val="333333"/>
          <w:lang w:val="en"/>
        </w:rPr>
        <w:t>estation.</w:t>
      </w:r>
    </w:p>
    <w:p w:rsidR="00000000" w:rsidRDefault="004170B4">
      <w:pPr>
        <w:pStyle w:val="NormalWeb"/>
        <w:shd w:val="clear" w:color="auto" w:fill="F5F5F5"/>
        <w:spacing w:line="300" w:lineRule="atLeast"/>
        <w:divId w:val="754521799"/>
        <w:rPr>
          <w:rFonts w:ascii="Georgia" w:hAnsi="Georgia"/>
          <w:color w:val="333333"/>
          <w:lang w:val="en"/>
        </w:rPr>
      </w:pPr>
      <w:r>
        <w:rPr>
          <w:rFonts w:ascii="Georgia" w:hAnsi="Georgia"/>
          <w:color w:val="333333"/>
          <w:lang w:val="en"/>
        </w:rPr>
        <w:t xml:space="preserve">Over 260,000 ACCUs (including Kyoto- and non-Kyoto-approved)—each worth at least one </w:t>
      </w:r>
      <w:proofErr w:type="spellStart"/>
      <w:r>
        <w:rPr>
          <w:rFonts w:ascii="Georgia" w:hAnsi="Georgia"/>
          <w:color w:val="333333"/>
          <w:lang w:val="en"/>
        </w:rPr>
        <w:t>tonne</w:t>
      </w:r>
      <w:proofErr w:type="spellEnd"/>
      <w:r>
        <w:rPr>
          <w:rFonts w:ascii="Georgia" w:hAnsi="Georgia"/>
          <w:color w:val="333333"/>
          <w:lang w:val="en"/>
        </w:rPr>
        <w:t xml:space="preserve"> CO</w:t>
      </w:r>
      <w:r>
        <w:rPr>
          <w:rFonts w:ascii="Georgia" w:hAnsi="Georgia"/>
          <w:color w:val="333333"/>
          <w:sz w:val="18"/>
          <w:szCs w:val="18"/>
          <w:vertAlign w:val="subscript"/>
          <w:lang w:val="en"/>
        </w:rPr>
        <w:t>2</w:t>
      </w:r>
      <w:r>
        <w:rPr>
          <w:rFonts w:ascii="Georgia" w:hAnsi="Georgia"/>
          <w:color w:val="333333"/>
          <w:lang w:val="en"/>
        </w:rPr>
        <w:t xml:space="preserve">-e reduction—have been issued to LULUCF projects (as at </w:t>
      </w:r>
      <w:r>
        <w:rPr>
          <w:rFonts w:ascii="Georgia" w:hAnsi="Georgia"/>
          <w:color w:val="333333"/>
          <w:lang w:val="en"/>
        </w:rPr>
        <w:lastRenderedPageBreak/>
        <w:t>January 2014). Projected emissions reductions from the CFI between 2012 and 2030 are detailed in</w:t>
      </w:r>
      <w:r>
        <w:rPr>
          <w:rFonts w:ascii="Georgia" w:hAnsi="Georgia"/>
          <w:color w:val="333333"/>
          <w:lang w:val="en"/>
        </w:rPr>
        <w:t xml:space="preserve"> Appendix C of the Treasury and DIICCSRTE report (2013).</w:t>
      </w:r>
    </w:p>
    <w:p w:rsidR="00000000" w:rsidRDefault="004170B4">
      <w:pPr>
        <w:pStyle w:val="NormalWeb"/>
        <w:shd w:val="clear" w:color="auto" w:fill="F5F5F5"/>
        <w:spacing w:line="300" w:lineRule="atLeast"/>
        <w:divId w:val="754521799"/>
        <w:rPr>
          <w:rFonts w:ascii="Georgia" w:hAnsi="Georgia"/>
          <w:color w:val="333333"/>
          <w:lang w:val="en"/>
        </w:rPr>
      </w:pPr>
      <w:proofErr w:type="spellStart"/>
      <w:r>
        <w:rPr>
          <w:rFonts w:ascii="Georgia" w:hAnsi="Georgia"/>
          <w:color w:val="333333"/>
          <w:lang w:val="en"/>
        </w:rPr>
        <w:t>ClimateWorks</w:t>
      </w:r>
      <w:proofErr w:type="spellEnd"/>
      <w:r>
        <w:rPr>
          <w:rFonts w:ascii="Georgia" w:hAnsi="Georgia"/>
          <w:color w:val="333333"/>
          <w:lang w:val="en"/>
        </w:rPr>
        <w:t xml:space="preserve"> (2013, p. 40) identified a range of possible CFI projects that could potentially reduce emissions by over 10 Mt CO</w:t>
      </w:r>
      <w:r>
        <w:rPr>
          <w:rFonts w:ascii="Georgia" w:hAnsi="Georgia"/>
          <w:color w:val="333333"/>
          <w:sz w:val="18"/>
          <w:szCs w:val="18"/>
          <w:vertAlign w:val="subscript"/>
          <w:lang w:val="en"/>
        </w:rPr>
        <w:t>2</w:t>
      </w:r>
      <w:r>
        <w:rPr>
          <w:rFonts w:ascii="Georgia" w:hAnsi="Georgia"/>
          <w:color w:val="333333"/>
          <w:lang w:val="en"/>
        </w:rPr>
        <w:t>-e in 2020. Net Balance (2013, p. 8) suggested that including a co-bene</w:t>
      </w:r>
      <w:r>
        <w:rPr>
          <w:rFonts w:ascii="Georgia" w:hAnsi="Georgia"/>
          <w:color w:val="333333"/>
          <w:lang w:val="en"/>
        </w:rPr>
        <w:t>fit standard in the CFI could also broaden the market and increase the uptake of CFI projects.</w:t>
      </w:r>
    </w:p>
    <w:p w:rsidR="00000000" w:rsidRDefault="004170B4">
      <w:pPr>
        <w:pStyle w:val="Heading3"/>
        <w:rPr>
          <w:rFonts w:eastAsia="Times New Roman"/>
          <w:color w:val="333333"/>
          <w:lang w:val="en"/>
        </w:rPr>
      </w:pPr>
      <w:r>
        <w:rPr>
          <w:rFonts w:eastAsia="Times New Roman"/>
          <w:color w:val="333333"/>
          <w:lang w:val="en"/>
        </w:rPr>
        <w:t>D9.3 Progress in land sector emissions reduction</w:t>
      </w:r>
    </w:p>
    <w:p w:rsidR="00000000" w:rsidRDefault="004170B4">
      <w:pPr>
        <w:pStyle w:val="NormalWeb"/>
        <w:spacing w:line="300" w:lineRule="atLeast"/>
        <w:rPr>
          <w:rFonts w:ascii="Georgia" w:hAnsi="Georgia"/>
          <w:color w:val="333333"/>
          <w:lang w:val="en"/>
        </w:rPr>
      </w:pPr>
      <w:r>
        <w:rPr>
          <w:rFonts w:ascii="Georgia" w:hAnsi="Georgia"/>
          <w:color w:val="333333"/>
          <w:lang w:val="en"/>
        </w:rPr>
        <w:t>Currently, most land cleared in Australia is used for cattle grazing, but in the past large areas of land have a</w:t>
      </w:r>
      <w:r>
        <w:rPr>
          <w:rFonts w:ascii="Georgia" w:hAnsi="Georgia"/>
          <w:color w:val="333333"/>
          <w:lang w:val="en"/>
        </w:rPr>
        <w:t>lso been cleared for cropping (DIICCSRTE 2013a, p. 7). Previously, the value of agricultural products has strongly influenced decisions to clear additional forested areas, with a lag of about a year between moves in agricultural prices and land clearing ac</w:t>
      </w:r>
      <w:r>
        <w:rPr>
          <w:rFonts w:ascii="Georgia" w:hAnsi="Georgia"/>
          <w:color w:val="333333"/>
          <w:lang w:val="en"/>
        </w:rPr>
        <w:t xml:space="preserve">tivities. Both farmers’ terms of trade and the amount of land clearing have decreased between the early 1970s and 2011 (DIICCSRTE 2013c, p. 8). </w:t>
      </w:r>
    </w:p>
    <w:p w:rsidR="00000000" w:rsidRDefault="004170B4">
      <w:pPr>
        <w:pStyle w:val="NormalWeb"/>
        <w:spacing w:line="300" w:lineRule="atLeast"/>
        <w:rPr>
          <w:rFonts w:ascii="Georgia" w:hAnsi="Georgia"/>
          <w:color w:val="333333"/>
          <w:lang w:val="en"/>
        </w:rPr>
      </w:pPr>
      <w:r>
        <w:rPr>
          <w:rFonts w:ascii="Georgia" w:hAnsi="Georgia"/>
          <w:color w:val="333333"/>
          <w:lang w:val="en"/>
        </w:rPr>
        <w:t>Land clearing, taxation and land use regulations in states and territories can influence expected returns or ho</w:t>
      </w:r>
      <w:r>
        <w:rPr>
          <w:rFonts w:ascii="Georgia" w:hAnsi="Georgia"/>
          <w:color w:val="333333"/>
          <w:lang w:val="en"/>
        </w:rPr>
        <w:t xml:space="preserve">w easily land can be cleared or reforested. The introduction of stronger state and territory land clearing regulations in the </w:t>
      </w:r>
      <w:proofErr w:type="spellStart"/>
      <w:r>
        <w:rPr>
          <w:rFonts w:ascii="Georgia" w:hAnsi="Georgia"/>
          <w:color w:val="333333"/>
          <w:lang w:val="en"/>
        </w:rPr>
        <w:t>mid 1990s</w:t>
      </w:r>
      <w:proofErr w:type="spellEnd"/>
      <w:r>
        <w:rPr>
          <w:rFonts w:ascii="Georgia" w:hAnsi="Georgia"/>
          <w:color w:val="333333"/>
          <w:lang w:val="en"/>
        </w:rPr>
        <w:t xml:space="preserve"> reduced the rate of deforestation and emissions. This, along with economic conditions, contributed to the change in the </w:t>
      </w:r>
      <w:r>
        <w:rPr>
          <w:rFonts w:ascii="Georgia" w:hAnsi="Georgia"/>
          <w:color w:val="333333"/>
          <w:lang w:val="en"/>
        </w:rPr>
        <w:t xml:space="preserve">rate of first-time clearing of undisturbed forest—which fell from 74 per cent of total land area cleared in 1990 to 35 per cent in 2011 (DIICCSRTE 2013a, p. 7).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Land clearing restrictions introduced in Queensland in 2004 and strengthened in 2009 have had </w:t>
      </w:r>
      <w:r>
        <w:rPr>
          <w:rFonts w:ascii="Georgia" w:hAnsi="Georgia"/>
          <w:color w:val="333333"/>
          <w:lang w:val="en"/>
        </w:rPr>
        <w:t>the largest impact on deforestation emissions in Australia. While Queensland still has the largest deforestation emissions of any state or territory, these fell from 34 Mt CO</w:t>
      </w:r>
      <w:r>
        <w:rPr>
          <w:rFonts w:ascii="Georgia" w:hAnsi="Georgia"/>
          <w:color w:val="333333"/>
          <w:sz w:val="18"/>
          <w:szCs w:val="18"/>
          <w:vertAlign w:val="subscript"/>
          <w:lang w:val="en"/>
        </w:rPr>
        <w:t>2</w:t>
      </w:r>
      <w:r>
        <w:rPr>
          <w:rFonts w:ascii="Georgia" w:hAnsi="Georgia"/>
          <w:color w:val="333333"/>
          <w:lang w:val="en"/>
        </w:rPr>
        <w:t>-e in 2007 to 19 Mt CO</w:t>
      </w:r>
      <w:r>
        <w:rPr>
          <w:rFonts w:ascii="Georgia" w:hAnsi="Georgia"/>
          <w:color w:val="333333"/>
          <w:sz w:val="18"/>
          <w:szCs w:val="18"/>
          <w:vertAlign w:val="subscript"/>
          <w:lang w:val="en"/>
        </w:rPr>
        <w:t>2</w:t>
      </w:r>
      <w:r>
        <w:rPr>
          <w:rFonts w:ascii="Georgia" w:hAnsi="Georgia"/>
          <w:color w:val="333333"/>
          <w:lang w:val="en"/>
        </w:rPr>
        <w:t xml:space="preserve">-e in 2011 (DIICCSRTE 2013b, p. 29). </w:t>
      </w:r>
    </w:p>
    <w:p w:rsidR="00000000" w:rsidRDefault="004170B4">
      <w:pPr>
        <w:pStyle w:val="NormalWeb"/>
        <w:spacing w:line="300" w:lineRule="atLeast"/>
        <w:rPr>
          <w:rFonts w:ascii="Georgia" w:hAnsi="Georgia"/>
          <w:color w:val="333333"/>
          <w:lang w:val="en"/>
        </w:rPr>
      </w:pPr>
      <w:r>
        <w:rPr>
          <w:rFonts w:ascii="Georgia" w:hAnsi="Georgia"/>
          <w:color w:val="333333"/>
          <w:lang w:val="en"/>
        </w:rPr>
        <w:t>In 2013, both Queens</w:t>
      </w:r>
      <w:r>
        <w:rPr>
          <w:rFonts w:ascii="Georgia" w:hAnsi="Georgia"/>
          <w:color w:val="333333"/>
          <w:lang w:val="en"/>
        </w:rPr>
        <w:t>land and New South Wales relaxed their land clearing restrictions, making it easier for farmers to clear trees and natural vegetation, and expand cropping operations. This is expected to put some upward pressure on emissions, although relatively stable pro</w:t>
      </w:r>
      <w:r>
        <w:rPr>
          <w:rFonts w:ascii="Georgia" w:hAnsi="Georgia"/>
          <w:color w:val="333333"/>
          <w:lang w:val="en"/>
        </w:rPr>
        <w:t xml:space="preserve">jections for cattle numbers to 2020 suggest that this pressure will be limited in the short to medium term (Centre for International Economics 2013, pp. 21–22). </w:t>
      </w:r>
    </w:p>
    <w:p w:rsidR="00000000" w:rsidRDefault="004170B4">
      <w:pPr>
        <w:pStyle w:val="NormalWeb"/>
        <w:spacing w:line="300" w:lineRule="atLeast"/>
        <w:rPr>
          <w:rFonts w:ascii="Georgia" w:hAnsi="Georgia"/>
          <w:color w:val="333333"/>
          <w:lang w:val="en"/>
        </w:rPr>
      </w:pPr>
      <w:r>
        <w:rPr>
          <w:rFonts w:ascii="Georgia" w:hAnsi="Georgia"/>
          <w:color w:val="333333"/>
          <w:lang w:val="en"/>
        </w:rPr>
        <w:t>Western Australia also relaxed its land clearing restrictions during 2013. Farmers are now all</w:t>
      </w:r>
      <w:r>
        <w:rPr>
          <w:rFonts w:ascii="Georgia" w:hAnsi="Georgia"/>
          <w:color w:val="333333"/>
          <w:lang w:val="en"/>
        </w:rPr>
        <w:t>owed to increase their annual land clearing rate for specified purposes from 1 to 5 hectares without a permit (Jacobs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In Tasmania, the Tasmanian Forest Agreement protects 500,000 hectares of World Heritage-listed forests from deforestation. In Decem</w:t>
      </w:r>
      <w:r>
        <w:rPr>
          <w:rFonts w:ascii="Georgia" w:hAnsi="Georgia"/>
          <w:color w:val="333333"/>
          <w:lang w:val="en"/>
        </w:rPr>
        <w:t xml:space="preserve">ber 2013, the Commonwealth </w:t>
      </w:r>
      <w:r>
        <w:rPr>
          <w:rFonts w:ascii="Georgia" w:hAnsi="Georgia"/>
          <w:color w:val="333333"/>
          <w:lang w:val="en"/>
        </w:rPr>
        <w:lastRenderedPageBreak/>
        <w:t xml:space="preserve">Government provided funding to the council overseeing this agreement for another six months. Potential changes to this agreement could increase deforestation emissions (Commonwealth 2013, p. 980). </w:t>
      </w:r>
    </w:p>
    <w:p w:rsidR="00000000" w:rsidRDefault="004170B4">
      <w:pPr>
        <w:pStyle w:val="NormalWeb"/>
        <w:spacing w:line="300" w:lineRule="atLeast"/>
        <w:rPr>
          <w:rFonts w:ascii="Georgia" w:hAnsi="Georgia"/>
          <w:color w:val="333333"/>
          <w:lang w:val="en"/>
        </w:rPr>
      </w:pPr>
      <w:r>
        <w:rPr>
          <w:rFonts w:ascii="Georgia" w:hAnsi="Georgia"/>
          <w:color w:val="333333"/>
          <w:lang w:val="en"/>
        </w:rPr>
        <w:t>A range of policies have been u</w:t>
      </w:r>
      <w:r>
        <w:rPr>
          <w:rFonts w:ascii="Georgia" w:hAnsi="Georgia"/>
          <w:color w:val="333333"/>
          <w:lang w:val="en"/>
        </w:rPr>
        <w:t>sed to reduce LULUCF emissions in other countries (see Box D.8).</w:t>
      </w:r>
    </w:p>
    <w:p w:rsidR="00000000" w:rsidRDefault="004170B4">
      <w:pPr>
        <w:pStyle w:val="Heading2"/>
        <w:shd w:val="clear" w:color="auto" w:fill="F5F5F5"/>
        <w:divId w:val="1396008279"/>
        <w:rPr>
          <w:rFonts w:eastAsia="Times New Roman"/>
          <w:color w:val="333333"/>
          <w:lang w:val="en"/>
        </w:rPr>
      </w:pPr>
      <w:r>
        <w:rPr>
          <w:rFonts w:eastAsia="Times New Roman"/>
          <w:color w:val="333333"/>
          <w:lang w:val="en"/>
        </w:rPr>
        <w:t>Box D.8: International approaches to LULUCF</w:t>
      </w:r>
    </w:p>
    <w:p w:rsidR="00000000" w:rsidRDefault="004170B4">
      <w:pPr>
        <w:pStyle w:val="NormalWeb"/>
        <w:shd w:val="clear" w:color="auto" w:fill="F5F5F5"/>
        <w:spacing w:line="300" w:lineRule="atLeast"/>
        <w:divId w:val="1396008279"/>
        <w:rPr>
          <w:rFonts w:ascii="Georgia" w:hAnsi="Georgia"/>
          <w:color w:val="333333"/>
          <w:lang w:val="en"/>
        </w:rPr>
      </w:pPr>
      <w:r>
        <w:rPr>
          <w:rFonts w:ascii="Georgia" w:hAnsi="Georgia"/>
          <w:color w:val="333333"/>
          <w:lang w:val="en"/>
        </w:rPr>
        <w:t>Other countries have adopted regulatory and pricing approaches to preserve forests. Measures are generally designed to meet a broad range of enviro</w:t>
      </w:r>
      <w:r>
        <w:rPr>
          <w:rFonts w:ascii="Georgia" w:hAnsi="Georgia"/>
          <w:color w:val="333333"/>
          <w:lang w:val="en"/>
        </w:rPr>
        <w:t xml:space="preserve">nmental and conservation objectives, rather than solely aiming to reduce emissions. </w:t>
      </w:r>
    </w:p>
    <w:p w:rsidR="00000000" w:rsidRDefault="004170B4">
      <w:pPr>
        <w:pStyle w:val="NormalWeb"/>
        <w:shd w:val="clear" w:color="auto" w:fill="F5F5F5"/>
        <w:spacing w:line="300" w:lineRule="atLeast"/>
        <w:divId w:val="1396008279"/>
        <w:rPr>
          <w:rFonts w:ascii="Georgia" w:hAnsi="Georgia"/>
          <w:color w:val="333333"/>
          <w:lang w:val="en"/>
        </w:rPr>
      </w:pPr>
      <w:r>
        <w:rPr>
          <w:rFonts w:ascii="Georgia" w:hAnsi="Georgia"/>
          <w:color w:val="333333"/>
          <w:lang w:val="en"/>
        </w:rPr>
        <w:t>Brazil provides an example of a regulatory approach. In the early 2000s, deforestation accounted for about 75 per cent of Brazil’s total emissions. Deforestation emissions</w:t>
      </w:r>
      <w:r>
        <w:rPr>
          <w:rFonts w:ascii="Georgia" w:hAnsi="Georgia"/>
          <w:color w:val="333333"/>
          <w:lang w:val="en"/>
        </w:rPr>
        <w:t xml:space="preserve"> have decreased by 82 per cent to 2011, due to stronger law enforcement, technology systems and prevailing lower agricultural prices (Climate Policy Initiative 2013, p. 7).</w:t>
      </w:r>
    </w:p>
    <w:p w:rsidR="00000000" w:rsidRDefault="004170B4">
      <w:pPr>
        <w:pStyle w:val="NormalWeb"/>
        <w:shd w:val="clear" w:color="auto" w:fill="F5F5F5"/>
        <w:spacing w:line="300" w:lineRule="atLeast"/>
        <w:divId w:val="1396008279"/>
        <w:rPr>
          <w:rFonts w:ascii="Georgia" w:hAnsi="Georgia"/>
          <w:color w:val="333333"/>
          <w:lang w:val="en"/>
        </w:rPr>
      </w:pPr>
      <w:r>
        <w:rPr>
          <w:rFonts w:ascii="Georgia" w:hAnsi="Georgia"/>
          <w:color w:val="333333"/>
          <w:lang w:val="en"/>
        </w:rPr>
        <w:t xml:space="preserve">New Zealand provides an example of a price-based approach to LULUCF. Its Emissions </w:t>
      </w:r>
      <w:r>
        <w:rPr>
          <w:rFonts w:ascii="Georgia" w:hAnsi="Georgia"/>
          <w:color w:val="333333"/>
          <w:lang w:val="en"/>
        </w:rPr>
        <w:t>Trading Scheme (ETS) was introduced in 2008 and is estimated to have reduced emissions by 77 Mt CO</w:t>
      </w:r>
      <w:r>
        <w:rPr>
          <w:rFonts w:ascii="Georgia" w:hAnsi="Georgia"/>
          <w:color w:val="333333"/>
          <w:sz w:val="18"/>
          <w:szCs w:val="18"/>
          <w:vertAlign w:val="subscript"/>
          <w:lang w:val="en"/>
        </w:rPr>
        <w:t>2</w:t>
      </w:r>
      <w:r>
        <w:rPr>
          <w:rFonts w:ascii="Georgia" w:hAnsi="Georgia"/>
          <w:color w:val="333333"/>
          <w:lang w:val="en"/>
        </w:rPr>
        <w:t>-e between 2008 and 2012. This is in addition to existing forestry rules that limit the ability to harvest New Zealand native forests (New Zealand Ministry f</w:t>
      </w:r>
      <w:r>
        <w:rPr>
          <w:rFonts w:ascii="Georgia" w:hAnsi="Georgia"/>
          <w:color w:val="333333"/>
          <w:lang w:val="en"/>
        </w:rPr>
        <w:t>or the Environment 2013).</w:t>
      </w:r>
    </w:p>
    <w:p w:rsidR="00000000" w:rsidRDefault="004170B4">
      <w:pPr>
        <w:pStyle w:val="NormalWeb"/>
        <w:shd w:val="clear" w:color="auto" w:fill="F5F5F5"/>
        <w:spacing w:line="300" w:lineRule="atLeast"/>
        <w:divId w:val="1396008279"/>
        <w:rPr>
          <w:rFonts w:ascii="Georgia" w:hAnsi="Georgia"/>
          <w:color w:val="333333"/>
          <w:lang w:val="en"/>
        </w:rPr>
      </w:pPr>
      <w:r>
        <w:rPr>
          <w:rFonts w:ascii="Georgia" w:hAnsi="Georgia"/>
          <w:color w:val="333333"/>
          <w:lang w:val="en"/>
        </w:rPr>
        <w:t>The Canadian province of Alberta has also adopted a price-based approach. The Alberta Offsets System, which has some similarities to the Australian CFI, provides offset credits for projects in several sectors, including LULUCF, an</w:t>
      </w:r>
      <w:r>
        <w:rPr>
          <w:rFonts w:ascii="Georgia" w:hAnsi="Georgia"/>
          <w:color w:val="333333"/>
          <w:lang w:val="en"/>
        </w:rPr>
        <w:t>d is used by large-emitting facilities to meet their emissions intensity reduction obligations. LULUCF activities that have approved protocols include afforestation and conservation cropping. California also includes forestry projects in its compliance off</w:t>
      </w:r>
      <w:r>
        <w:rPr>
          <w:rFonts w:ascii="Georgia" w:hAnsi="Georgia"/>
          <w:color w:val="333333"/>
          <w:lang w:val="en"/>
        </w:rPr>
        <w:t>sets program under the California Cap and Trade Program, which commenced in January 2013.</w:t>
      </w:r>
    </w:p>
    <w:p w:rsidR="00000000" w:rsidRDefault="004170B4">
      <w:pPr>
        <w:pStyle w:val="Heading4"/>
        <w:rPr>
          <w:rFonts w:eastAsia="Times New Roman"/>
          <w:color w:val="333333"/>
          <w:lang w:val="en"/>
        </w:rPr>
      </w:pPr>
      <w:r>
        <w:rPr>
          <w:rFonts w:eastAsia="Times New Roman"/>
          <w:color w:val="333333"/>
          <w:lang w:val="en"/>
        </w:rPr>
        <w:t>D9.3.1 Other estimates of land sector emissions reductions</w:t>
      </w:r>
    </w:p>
    <w:p w:rsidR="00000000" w:rsidRDefault="004170B4">
      <w:pPr>
        <w:pStyle w:val="NormalWeb"/>
        <w:spacing w:line="300" w:lineRule="atLeast"/>
        <w:rPr>
          <w:rFonts w:ascii="Georgia" w:hAnsi="Georgia"/>
          <w:color w:val="333333"/>
          <w:lang w:val="en"/>
        </w:rPr>
      </w:pPr>
      <w:r>
        <w:rPr>
          <w:rFonts w:ascii="Georgia" w:hAnsi="Georgia"/>
          <w:color w:val="333333"/>
          <w:lang w:val="en"/>
        </w:rPr>
        <w:t>Grundy et al. (forthcoming 2014) reports that with strong price incentives non-harvest carbon plantations a</w:t>
      </w:r>
      <w:r>
        <w:rPr>
          <w:rFonts w:ascii="Georgia" w:hAnsi="Georgia"/>
          <w:color w:val="333333"/>
          <w:lang w:val="en"/>
        </w:rPr>
        <w:t xml:space="preserve">nd native vegetation could greatly increase sequestration to 2050. It also reports low volumes of sequestration before 2030, even with strong price incentives, due in part to probable slow uptake of new land uses and the physical characteristics of carbon </w:t>
      </w:r>
      <w:r>
        <w:rPr>
          <w:rFonts w:ascii="Georgia" w:hAnsi="Georgia"/>
          <w:color w:val="333333"/>
          <w:lang w:val="en"/>
        </w:rPr>
        <w:t xml:space="preserve">sequestration. </w:t>
      </w:r>
    </w:p>
    <w:p w:rsidR="00000000" w:rsidRDefault="004170B4">
      <w:pPr>
        <w:pStyle w:val="NormalWeb"/>
        <w:spacing w:line="300" w:lineRule="atLeast"/>
        <w:rPr>
          <w:rFonts w:ascii="Georgia" w:hAnsi="Georgia"/>
          <w:color w:val="333333"/>
          <w:lang w:val="en"/>
        </w:rPr>
      </w:pPr>
      <w:r>
        <w:rPr>
          <w:rFonts w:ascii="Georgia" w:hAnsi="Georgia"/>
          <w:color w:val="333333"/>
          <w:lang w:val="en"/>
        </w:rPr>
        <w:t>From 2031 to 2050, Grundy et al. (forthcoming 2014) finds average annual emission reductions of between 100 and 500 Mt CO</w:t>
      </w:r>
      <w:r>
        <w:rPr>
          <w:rFonts w:ascii="Georgia" w:hAnsi="Georgia"/>
          <w:color w:val="333333"/>
          <w:sz w:val="18"/>
          <w:szCs w:val="18"/>
          <w:vertAlign w:val="subscript"/>
          <w:lang w:val="en"/>
        </w:rPr>
        <w:t>2</w:t>
      </w:r>
      <w:r>
        <w:rPr>
          <w:rFonts w:ascii="Georgia" w:hAnsi="Georgia"/>
          <w:color w:val="333333"/>
          <w:lang w:val="en"/>
        </w:rPr>
        <w:t xml:space="preserve">-e would be economically and technically feasible if payments to landholders are </w:t>
      </w:r>
      <w:r>
        <w:rPr>
          <w:rFonts w:ascii="Georgia" w:hAnsi="Georgia"/>
          <w:color w:val="333333"/>
          <w:lang w:val="en"/>
        </w:rPr>
        <w:t xml:space="preserve">broadly consistent with the CFI and the </w:t>
      </w:r>
      <w:r>
        <w:rPr>
          <w:rFonts w:ascii="Georgia" w:hAnsi="Georgia"/>
          <w:color w:val="333333"/>
          <w:lang w:val="en"/>
        </w:rPr>
        <w:lastRenderedPageBreak/>
        <w:t>carbon price trajectories in the medium and high scenarios modelled by the Treasury and DIICCSRTE (2013). The upper end of this range suggests there is potential to achieve 80–100 per cent reduction in Australia’s em</w:t>
      </w:r>
      <w:r>
        <w:rPr>
          <w:rFonts w:ascii="Georgia" w:hAnsi="Georgia"/>
          <w:color w:val="333333"/>
          <w:lang w:val="en"/>
        </w:rPr>
        <w:t>issions in 2050 (compared to 2000 levels) with little or no use of international units, through a combination of land sector credits and emissions reductions in energy and other sectors.</w:t>
      </w:r>
    </w:p>
    <w:p w:rsidR="00000000" w:rsidRDefault="004170B4">
      <w:pPr>
        <w:pStyle w:val="NormalWeb"/>
        <w:spacing w:line="300" w:lineRule="atLeast"/>
        <w:rPr>
          <w:rFonts w:ascii="Georgia" w:hAnsi="Georgia"/>
          <w:color w:val="333333"/>
          <w:lang w:val="en"/>
        </w:rPr>
      </w:pPr>
      <w:r>
        <w:rPr>
          <w:rFonts w:ascii="Georgia" w:hAnsi="Georgia"/>
          <w:color w:val="333333"/>
          <w:lang w:val="en"/>
        </w:rPr>
        <w:t>Emission reductions from reforestation and afforestation is projected</w:t>
      </w:r>
      <w:r>
        <w:rPr>
          <w:rFonts w:ascii="Georgia" w:hAnsi="Georgia"/>
          <w:color w:val="333333"/>
          <w:lang w:val="en"/>
        </w:rPr>
        <w:t xml:space="preserve"> to decline in the decades after 2050 as plantings mature. Many of the LULUCF emissions reduction opportunities could create substantial co-benefits such as reduced erosion, protection of biodiversity and improved water quality. </w:t>
      </w:r>
    </w:p>
    <w:p w:rsidR="00000000" w:rsidRDefault="004170B4">
      <w:pPr>
        <w:pStyle w:val="Heading4"/>
        <w:rPr>
          <w:rFonts w:eastAsia="Times New Roman"/>
          <w:color w:val="333333"/>
          <w:lang w:val="en"/>
        </w:rPr>
      </w:pPr>
      <w:r>
        <w:rPr>
          <w:rFonts w:eastAsia="Times New Roman"/>
          <w:color w:val="333333"/>
          <w:lang w:val="en"/>
        </w:rPr>
        <w:t>D9.3.2 Barriers to emissio</w:t>
      </w:r>
      <w:r>
        <w:rPr>
          <w:rFonts w:eastAsia="Times New Roman"/>
          <w:color w:val="333333"/>
          <w:lang w:val="en"/>
        </w:rPr>
        <w:t>ns reduction</w:t>
      </w:r>
    </w:p>
    <w:p w:rsidR="00000000" w:rsidRDefault="004170B4">
      <w:pPr>
        <w:pStyle w:val="NormalWeb"/>
        <w:spacing w:line="300" w:lineRule="atLeast"/>
        <w:rPr>
          <w:rFonts w:ascii="Georgia" w:hAnsi="Georgia"/>
          <w:color w:val="333333"/>
          <w:lang w:val="en"/>
        </w:rPr>
      </w:pPr>
      <w:r>
        <w:rPr>
          <w:rFonts w:ascii="Georgia" w:hAnsi="Georgia"/>
          <w:color w:val="333333"/>
          <w:lang w:val="en"/>
        </w:rPr>
        <w:t>The uptake of CFI emissions reduction projects by landowners or investors depends on the amount of revenue generated and the level of risk they are willing to accept. In the case of forestry, the revenues generated will need to be sufficient t</w:t>
      </w:r>
      <w:r>
        <w:rPr>
          <w:rFonts w:ascii="Georgia" w:hAnsi="Georgia"/>
          <w:color w:val="333333"/>
          <w:lang w:val="en"/>
        </w:rPr>
        <w:t>o offset the opportunity cost of alternative land uses.</w:t>
      </w:r>
    </w:p>
    <w:p w:rsidR="00000000" w:rsidRDefault="004170B4">
      <w:pPr>
        <w:pStyle w:val="NormalWeb"/>
        <w:spacing w:line="300" w:lineRule="atLeast"/>
        <w:rPr>
          <w:rFonts w:ascii="Georgia" w:hAnsi="Georgia"/>
          <w:color w:val="333333"/>
          <w:lang w:val="en"/>
        </w:rPr>
      </w:pPr>
      <w:r>
        <w:rPr>
          <w:rFonts w:ascii="Georgia" w:hAnsi="Georgia"/>
          <w:color w:val="333333"/>
          <w:lang w:val="en"/>
        </w:rPr>
        <w:t>Specific risks and uncertainties for the CFI include:</w:t>
      </w:r>
    </w:p>
    <w:p w:rsidR="00000000" w:rsidRDefault="004170B4" w:rsidP="004170B4">
      <w:pPr>
        <w:numPr>
          <w:ilvl w:val="0"/>
          <w:numId w:val="3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Relative agricultural commodity prices—high terms of trade for agricultural output may work against investing in CFI projects that involve forestr</w:t>
      </w:r>
      <w:r>
        <w:rPr>
          <w:rFonts w:ascii="Georgia" w:eastAsia="Times New Roman" w:hAnsi="Georgia"/>
          <w:color w:val="333333"/>
          <w:lang w:val="en"/>
        </w:rPr>
        <w:t xml:space="preserve">y on potential agricultural land. Previous estimates of reforestation potential have indicated that landowners would typically only consider reforesting non-irrigated </w:t>
      </w:r>
      <w:proofErr w:type="spellStart"/>
      <w:r>
        <w:rPr>
          <w:rFonts w:ascii="Georgia" w:eastAsia="Times New Roman" w:hAnsi="Georgia"/>
          <w:color w:val="333333"/>
          <w:lang w:val="en"/>
        </w:rPr>
        <w:t>dryland</w:t>
      </w:r>
      <w:proofErr w:type="spellEnd"/>
      <w:r>
        <w:rPr>
          <w:rFonts w:ascii="Georgia" w:eastAsia="Times New Roman" w:hAnsi="Georgia"/>
          <w:color w:val="333333"/>
          <w:lang w:val="en"/>
        </w:rPr>
        <w:t xml:space="preserve">, which has relatively low agricultural returns (Burns et al. 2011, p. 24). </w:t>
      </w:r>
    </w:p>
    <w:p w:rsidR="00000000" w:rsidRDefault="004170B4" w:rsidP="004170B4">
      <w:pPr>
        <w:numPr>
          <w:ilvl w:val="0"/>
          <w:numId w:val="3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Price</w:t>
      </w:r>
      <w:r>
        <w:rPr>
          <w:rFonts w:ascii="Georgia" w:eastAsia="Times New Roman" w:hAnsi="Georgia"/>
          <w:color w:val="333333"/>
          <w:lang w:val="en"/>
        </w:rPr>
        <w:t xml:space="preserve"> of emissions units—a volatile or uncertain market for emissions units can be a disincentive for landowners considering participating in CFI projects. Under the CFI, landowners and investors receive ACCUs for carbon sequestration projects as trees or soils</w:t>
      </w:r>
      <w:r>
        <w:rPr>
          <w:rFonts w:ascii="Georgia" w:eastAsia="Times New Roman" w:hAnsi="Georgia"/>
          <w:color w:val="333333"/>
          <w:lang w:val="en"/>
        </w:rPr>
        <w:t xml:space="preserve"> sequester carbon from the atmosphere. Once the trees or soils have stored as much carbon as they can, the project ceases to receive returns, but landowners may continue to incur management costs (Burns et al. 2011, p. 13).</w:t>
      </w:r>
    </w:p>
    <w:p w:rsidR="00000000" w:rsidRDefault="004170B4" w:rsidP="004170B4">
      <w:pPr>
        <w:numPr>
          <w:ilvl w:val="0"/>
          <w:numId w:val="3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Permanency—CFI projects that seq</w:t>
      </w:r>
      <w:r>
        <w:rPr>
          <w:rFonts w:ascii="Georgia" w:eastAsia="Times New Roman" w:hAnsi="Georgia"/>
          <w:color w:val="333333"/>
          <w:lang w:val="en"/>
        </w:rPr>
        <w:t>uester carbon are required to maintain that sequestration ‘permanently’ (for 100 years in the case of forestry projects), which may dampen the uptake of projects. Land value can be adversely affected due to limitations on its future use (</w:t>
      </w:r>
      <w:proofErr w:type="spellStart"/>
      <w:r>
        <w:rPr>
          <w:rFonts w:ascii="Georgia" w:eastAsia="Times New Roman" w:hAnsi="Georgia"/>
          <w:color w:val="333333"/>
          <w:lang w:val="en"/>
        </w:rPr>
        <w:t>ClimateWorks</w:t>
      </w:r>
      <w:proofErr w:type="spellEnd"/>
      <w:r>
        <w:rPr>
          <w:rFonts w:ascii="Georgia" w:eastAsia="Times New Roman" w:hAnsi="Georgia"/>
          <w:color w:val="333333"/>
          <w:lang w:val="en"/>
        </w:rPr>
        <w:t> 2013,</w:t>
      </w:r>
      <w:r>
        <w:rPr>
          <w:rFonts w:ascii="Georgia" w:eastAsia="Times New Roman" w:hAnsi="Georgia"/>
          <w:color w:val="333333"/>
          <w:lang w:val="en"/>
        </w:rPr>
        <w:t xml:space="preserve"> p. 44).</w:t>
      </w:r>
    </w:p>
    <w:p w:rsidR="00000000" w:rsidRDefault="004170B4" w:rsidP="004170B4">
      <w:pPr>
        <w:numPr>
          <w:ilvl w:val="0"/>
          <w:numId w:val="32"/>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Capital constraints—some projects will require significant upfront investment. For instance, reforestation projects generally require significant capital upfront for land preparation and planting, but will make returns over an extended time period</w:t>
      </w:r>
      <w:r>
        <w:rPr>
          <w:rFonts w:ascii="Georgia" w:eastAsia="Times New Roman" w:hAnsi="Georgia"/>
          <w:color w:val="333333"/>
          <w:lang w:val="en"/>
        </w:rPr>
        <w:t xml:space="preserve"> as the forest grows.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New tree plantations have high upfront investment costs, a long project life and long payoff periods given the time taken for trees reach their peak sequestration rate. To offset some of this </w:t>
      </w:r>
      <w:r>
        <w:rPr>
          <w:rFonts w:ascii="Georgia" w:hAnsi="Georgia"/>
          <w:color w:val="333333"/>
          <w:lang w:val="en"/>
        </w:rPr>
        <w:t xml:space="preserve">risk, strong financial incentives may be needed to drive investment. This is supported by Grundy et al. (2014 forthcoming), which finds that very little carbon sequestration would be supplied to 2050 at gross payments, </w:t>
      </w:r>
      <w:r>
        <w:rPr>
          <w:rFonts w:ascii="Georgia" w:hAnsi="Georgia"/>
          <w:color w:val="333333"/>
          <w:lang w:val="en"/>
        </w:rPr>
        <w:lastRenderedPageBreak/>
        <w:t>equivalent to a carbon price, below $</w:t>
      </w:r>
      <w:r>
        <w:rPr>
          <w:rFonts w:ascii="Georgia" w:hAnsi="Georgia"/>
          <w:color w:val="333333"/>
          <w:lang w:val="en"/>
        </w:rPr>
        <w:t>40/t CO</w:t>
      </w:r>
      <w:r>
        <w:rPr>
          <w:rFonts w:ascii="Georgia" w:hAnsi="Georgia"/>
          <w:color w:val="333333"/>
          <w:sz w:val="18"/>
          <w:szCs w:val="18"/>
          <w:vertAlign w:val="subscript"/>
          <w:lang w:val="en"/>
        </w:rPr>
        <w:t>2</w:t>
      </w:r>
      <w:r>
        <w:rPr>
          <w:rFonts w:ascii="Georgia" w:hAnsi="Georgia"/>
          <w:color w:val="333333"/>
          <w:lang w:val="en"/>
        </w:rPr>
        <w:t>-e, with potential supply expanding with payments in the range from $40–$80/t CO</w:t>
      </w:r>
      <w:r>
        <w:rPr>
          <w:rFonts w:ascii="Georgia" w:hAnsi="Georgia"/>
          <w:color w:val="333333"/>
          <w:sz w:val="18"/>
          <w:szCs w:val="18"/>
          <w:vertAlign w:val="subscript"/>
          <w:lang w:val="en"/>
        </w:rPr>
        <w:t>2</w:t>
      </w:r>
      <w:r>
        <w:rPr>
          <w:rFonts w:ascii="Georgia" w:hAnsi="Georgia"/>
          <w:color w:val="333333"/>
          <w:lang w:val="en"/>
        </w:rPr>
        <w:t xml:space="preserve">-e. Further, </w:t>
      </w:r>
      <w:proofErr w:type="spellStart"/>
      <w:r>
        <w:rPr>
          <w:rFonts w:ascii="Georgia" w:hAnsi="Georgia"/>
          <w:color w:val="333333"/>
          <w:lang w:val="en"/>
        </w:rPr>
        <w:t>Polglase</w:t>
      </w:r>
      <w:proofErr w:type="spellEnd"/>
      <w:r>
        <w:rPr>
          <w:rFonts w:ascii="Georgia" w:hAnsi="Georgia"/>
          <w:color w:val="333333"/>
          <w:lang w:val="en"/>
        </w:rPr>
        <w:t xml:space="preserve"> et al. (2011, pp. 2, 20) found that gap payments may be necessary to encourage tree plantings on marginal land where biodiversity co-benefits may</w:t>
      </w:r>
      <w:r>
        <w:rPr>
          <w:rFonts w:ascii="Georgia" w:hAnsi="Georgia"/>
          <w:color w:val="333333"/>
          <w:lang w:val="en"/>
        </w:rPr>
        <w:t xml:space="preserve"> be greatest.</w:t>
      </w:r>
    </w:p>
    <w:p w:rsidR="00000000" w:rsidRDefault="004170B4">
      <w:pPr>
        <w:pStyle w:val="Heading2"/>
        <w:rPr>
          <w:rFonts w:eastAsia="Times New Roman"/>
          <w:color w:val="333333"/>
          <w:lang w:val="en"/>
        </w:rPr>
      </w:pPr>
      <w:r>
        <w:rPr>
          <w:rFonts w:eastAsia="Times New Roman"/>
          <w:color w:val="333333"/>
          <w:lang w:val="en"/>
        </w:rPr>
        <w:t>Appendix D10 Waste</w:t>
      </w:r>
    </w:p>
    <w:p w:rsidR="00000000" w:rsidRDefault="004170B4">
      <w:pPr>
        <w:pStyle w:val="Heading3"/>
        <w:rPr>
          <w:rFonts w:eastAsia="Times New Roman"/>
          <w:color w:val="333333"/>
          <w:lang w:val="en"/>
        </w:rPr>
      </w:pPr>
      <w:r>
        <w:rPr>
          <w:rFonts w:eastAsia="Times New Roman"/>
          <w:color w:val="333333"/>
          <w:lang w:val="en"/>
        </w:rPr>
        <w:t>D10.1 Waste emissions overview</w:t>
      </w:r>
    </w:p>
    <w:p w:rsidR="00000000" w:rsidRDefault="004170B4">
      <w:pPr>
        <w:pStyle w:val="NormalWeb"/>
        <w:spacing w:line="300" w:lineRule="atLeast"/>
        <w:rPr>
          <w:rFonts w:ascii="Georgia" w:hAnsi="Georgia"/>
          <w:color w:val="333333"/>
          <w:lang w:val="en"/>
        </w:rPr>
      </w:pPr>
      <w:r>
        <w:rPr>
          <w:rFonts w:ascii="Georgia" w:hAnsi="Georgia"/>
          <w:color w:val="333333"/>
          <w:lang w:val="en"/>
        </w:rPr>
        <w:t>Waste includes solid waste and wastewater from residential, commercial and industrial activity. Waste emissions are primarily methane and nitrous oxide, which arise as organic waste decomposes</w:t>
      </w:r>
      <w:r>
        <w:rPr>
          <w:rFonts w:ascii="Georgia" w:hAnsi="Georgia"/>
          <w:color w:val="333333"/>
          <w:lang w:val="en"/>
        </w:rPr>
        <w:t xml:space="preserve"> in the absence of oxygen. Emissions from solid waste in landfill comprise about 80 per cent of the sector’s emissions, with wastewater accounting for about 20 per cent, and incineration and other sources for the remainder.</w:t>
      </w:r>
    </w:p>
    <w:p w:rsidR="00000000" w:rsidRDefault="004170B4">
      <w:pPr>
        <w:pStyle w:val="NormalWeb"/>
        <w:spacing w:line="300" w:lineRule="atLeast"/>
        <w:rPr>
          <w:rFonts w:ascii="Georgia" w:hAnsi="Georgia"/>
          <w:color w:val="333333"/>
          <w:lang w:val="en"/>
        </w:rPr>
      </w:pPr>
      <w:r>
        <w:rPr>
          <w:rFonts w:ascii="Georgia" w:hAnsi="Georgia"/>
          <w:color w:val="333333"/>
          <w:lang w:val="en"/>
        </w:rPr>
        <w:t>The waste sector is a relatively</w:t>
      </w:r>
      <w:r>
        <w:rPr>
          <w:rFonts w:ascii="Georgia" w:hAnsi="Georgia"/>
          <w:color w:val="333333"/>
          <w:lang w:val="en"/>
        </w:rPr>
        <w:t xml:space="preserve"> small contributor to Australia’s emissions, accounting for about 15 Mt CO</w:t>
      </w:r>
      <w:r>
        <w:rPr>
          <w:rFonts w:ascii="Georgia" w:hAnsi="Georgia"/>
          <w:color w:val="333333"/>
          <w:sz w:val="18"/>
          <w:szCs w:val="18"/>
          <w:vertAlign w:val="subscript"/>
          <w:lang w:val="en"/>
        </w:rPr>
        <w:t>2</w:t>
      </w:r>
      <w:r>
        <w:rPr>
          <w:rFonts w:ascii="Georgia" w:hAnsi="Georgia"/>
          <w:color w:val="333333"/>
          <w:lang w:val="en"/>
        </w:rPr>
        <w:t>-e (3 per cent) of the national emissions total in 2012 (Figure D.40). The Treasury and DIICCSRTE modelling projects waste emissions could be about 1 per cent of total national emis</w:t>
      </w:r>
      <w:r>
        <w:rPr>
          <w:rFonts w:ascii="Georgia" w:hAnsi="Georgia"/>
          <w:color w:val="333333"/>
          <w:lang w:val="en"/>
        </w:rPr>
        <w:t xml:space="preserve">sions to 2030 under the medium scenario. </w:t>
      </w:r>
    </w:p>
    <w:p w:rsidR="00000000" w:rsidRDefault="004170B4">
      <w:pPr>
        <w:pStyle w:val="Heading2"/>
        <w:rPr>
          <w:rFonts w:eastAsia="Times New Roman"/>
          <w:color w:val="333333"/>
          <w:lang w:val="en"/>
        </w:rPr>
      </w:pPr>
      <w:r>
        <w:rPr>
          <w:rFonts w:eastAsia="Times New Roman"/>
          <w:color w:val="333333"/>
          <w:lang w:val="en"/>
        </w:rPr>
        <w:t>Figure D.40: Waste share of Australia’s emissions, selected years,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974340"/>
            <wp:effectExtent l="0" t="0" r="0" b="0"/>
            <wp:docPr id="40" name="Picture 40" descr="Figure D.40 shows the historical and projected share of Australia’s waste emissions between 1990 and 2030. In 2012, waste emissions accounted for 17 megatonnes of carbon dioxide equivalent.&#10;Waste emissions were 21 megatonnes of carbon dioxide equivalent in 1990, 17 megatonnes of carbon dioxide equivalent in 2000 and 15 megatonnes of carbon dioxide equivalent in 2012. Emissions are projected to continue to decrease under all scenarios in 2020 and 2030, except the no price scenario where emissions are projected to remain at 15 megatonnes of carbon dioxide equivalent in both 2020 and 2030. Emissions are projected to decrease by 2 to 4 megatonnes of carbon dioxide equivalent in 2020 and 6 to 8 megatonnes of carbon dioxide equivalent in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D.40 shows the historical and projected share of Australia’s waste emissions between 1990 and 2030. In 2012, waste emissions accounted for 17 megatonnes of carbon dioxide equivalent.&#10;Waste emissions were 21 megatonnes of carbon dioxide equivalent in 1990, 17 megatonnes of carbon dioxide equivalent in 2000 and 15 megatonnes of carbon dioxide equivalent in 2012. Emissions are projected to continue to decrease under all scenarios in 2020 and 2030, except the no price scenario where emissions are projected to remain at 15 megatonnes of carbon dioxide equivalent in both 2020 and 2030. Emissions are projected to decrease by 2 to 4 megatonnes of carbon dioxide equivalent in 2020 and 6 to 8 megatonnes of carbon dioxide equivalent in 203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6770" cy="297434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lastRenderedPageBreak/>
        <w:t>Source:</w:t>
      </w:r>
      <w:r>
        <w:rPr>
          <w:rFonts w:ascii="Georgia" w:hAnsi="Georgia"/>
          <w:color w:val="333333"/>
          <w:lang w:val="en"/>
        </w:rPr>
        <w:t xml:space="preserve"> Climate Change Authority calculations using results fro</w:t>
      </w:r>
      <w:r>
        <w:rPr>
          <w:rFonts w:ascii="Georgia" w:hAnsi="Georgia"/>
          <w:color w:val="333333"/>
          <w:lang w:val="en"/>
        </w:rPr>
        <w:t>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Waste sector emissions have decreased by about 8 per cent (just over 1 Mt CO</w:t>
      </w:r>
      <w:r>
        <w:rPr>
          <w:rFonts w:ascii="Georgia" w:hAnsi="Georgia"/>
          <w:color w:val="333333"/>
          <w:sz w:val="18"/>
          <w:szCs w:val="18"/>
          <w:vertAlign w:val="subscript"/>
          <w:lang w:val="en"/>
        </w:rPr>
        <w:t>2</w:t>
      </w:r>
      <w:r>
        <w:rPr>
          <w:rFonts w:ascii="Georgia" w:hAnsi="Georgia"/>
          <w:color w:val="333333"/>
          <w:lang w:val="en"/>
        </w:rPr>
        <w:t xml:space="preserve">-e) since 2000, continuing the trend seen in </w:t>
      </w:r>
      <w:proofErr w:type="spellStart"/>
      <w:r>
        <w:rPr>
          <w:rFonts w:ascii="Georgia" w:hAnsi="Georgia"/>
          <w:color w:val="333333"/>
          <w:lang w:val="en"/>
        </w:rPr>
        <w:t>sectoral</w:t>
      </w:r>
      <w:proofErr w:type="spellEnd"/>
      <w:r>
        <w:rPr>
          <w:rFonts w:ascii="Georgia" w:hAnsi="Georgia"/>
          <w:color w:val="333333"/>
          <w:lang w:val="en"/>
        </w:rPr>
        <w:t xml:space="preserve"> emissions since 1990 (26 per cent decrease). This has been due to a range of policies and regul</w:t>
      </w:r>
      <w:r>
        <w:rPr>
          <w:rFonts w:ascii="Georgia" w:hAnsi="Georgia"/>
          <w:color w:val="333333"/>
          <w:lang w:val="en"/>
        </w:rPr>
        <w:t>ations that have diverted waste from landfill and the uptake of emissions reduction technologies, including capturing emissions for electricity generation.</w:t>
      </w:r>
    </w:p>
    <w:p w:rsidR="00000000" w:rsidRDefault="004170B4">
      <w:pPr>
        <w:pStyle w:val="NormalWeb"/>
        <w:spacing w:line="300" w:lineRule="atLeast"/>
        <w:rPr>
          <w:rFonts w:ascii="Georgia" w:hAnsi="Georgia"/>
          <w:color w:val="333333"/>
          <w:lang w:val="en"/>
        </w:rPr>
      </w:pPr>
      <w:r>
        <w:rPr>
          <w:rFonts w:ascii="Georgia" w:hAnsi="Georgia"/>
          <w:color w:val="333333"/>
          <w:lang w:val="en"/>
        </w:rPr>
        <w:t>Since 2000, emissions intensity of wastewater has declined by about 14 per cent and the emissions in</w:t>
      </w:r>
      <w:r>
        <w:rPr>
          <w:rFonts w:ascii="Georgia" w:hAnsi="Georgia"/>
          <w:color w:val="333333"/>
          <w:lang w:val="en"/>
        </w:rPr>
        <w:t xml:space="preserve">tensity of landfill by about 8 per cent (Figure D.41). In 2008, there was a large increase in the diversion of waste, resulting in a large reduction in solid waste volumes sent to landfill. </w:t>
      </w:r>
    </w:p>
    <w:p w:rsidR="00000000" w:rsidRDefault="004170B4">
      <w:pPr>
        <w:pStyle w:val="Heading2"/>
        <w:rPr>
          <w:rFonts w:eastAsia="Times New Roman"/>
          <w:color w:val="333333"/>
          <w:lang w:val="en"/>
        </w:rPr>
      </w:pPr>
      <w:r>
        <w:rPr>
          <w:rFonts w:eastAsia="Times New Roman"/>
          <w:color w:val="333333"/>
          <w:lang w:val="en"/>
        </w:rPr>
        <w:t>Figure D.41: Solid waste emissions intensity, 1990–2030</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2186305"/>
            <wp:effectExtent l="0" t="0" r="0" b="0"/>
            <wp:docPr id="41" name="Picture 41" descr="Figure D.41 shows historical and projected solid waste activity and the emissions intensity of solid waste between 1990 and 2030. &#10;Between 1990 and 2012 activity rose from 16,425 kilotonnes to 19,805 kilotonnes and is projected to increase to 22,769 kilotonnes by 2030. Between 1990 and 2012 the emissions supply intensity of solid waste supply fell from 1.26 to 0.77 tonnes of carbon dioxide equivalent per tonne of solid waste. Solid waste emissions intensity is projected to be between 0.64 and 0.30 tonnes of carbon dioxide equivalent per tonne of solid waste by 203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D.41 shows historical and projected solid waste activity and the emissions intensity of solid waste between 1990 and 2030. &#10;Between 1990 and 2012 activity rose from 16,425 kilotonnes to 19,805 kilotonnes and is projected to increase to 22,769 kilotonnes by 2030. Between 1990 and 2012 the emissions supply intensity of solid waste supply fell from 1.26 to 0.77 tonnes of carbon dioxide equivalent per tonne of solid waste. Solid waste emissions intensity is projected to be between 0.64 and 0.30 tonnes of carbon dioxide equivalent per tonne of solid waste by 2030.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6770" cy="218630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 xml:space="preserve">Note: </w:t>
      </w:r>
      <w:r>
        <w:rPr>
          <w:rFonts w:ascii="Georgia" w:hAnsi="Georgia"/>
          <w:color w:val="333333"/>
          <w:lang w:val="en"/>
        </w:rPr>
        <w:t xml:space="preserve">Upper and lower line bounds illustrate the range of modelled outcomes. </w:t>
      </w:r>
      <w:r>
        <w:rPr>
          <w:rFonts w:ascii="Georgia" w:hAnsi="Georgia"/>
          <w:color w:val="333333"/>
          <w:lang w:val="en"/>
        </w:rPr>
        <w:br/>
      </w:r>
      <w:r>
        <w:rPr>
          <w:rStyle w:val="Strong"/>
          <w:rFonts w:ascii="Georgia" w:hAnsi="Georgia"/>
          <w:color w:val="333333"/>
          <w:lang w:val="en"/>
        </w:rPr>
        <w:t xml:space="preserve">Source: </w:t>
      </w:r>
      <w:r>
        <w:rPr>
          <w:rFonts w:ascii="Georgia" w:hAnsi="Georgia"/>
          <w:color w:val="333333"/>
          <w:lang w:val="en"/>
        </w:rPr>
        <w:t>Climate Change Authority calculations using results from Treasury and DIICCSRTE 2013</w:t>
      </w:r>
    </w:p>
    <w:p w:rsidR="00000000" w:rsidRDefault="004170B4">
      <w:pPr>
        <w:pStyle w:val="Heading2"/>
        <w:rPr>
          <w:rFonts w:eastAsia="Times New Roman"/>
          <w:color w:val="333333"/>
          <w:lang w:val="en"/>
        </w:rPr>
      </w:pPr>
      <w:r>
        <w:rPr>
          <w:rFonts w:eastAsia="Times New Roman"/>
          <w:color w:val="333333"/>
          <w:lang w:val="en"/>
        </w:rPr>
        <w:t>Figure D.42: Emissio</w:t>
      </w:r>
      <w:r>
        <w:rPr>
          <w:rFonts w:eastAsia="Times New Roman"/>
          <w:color w:val="333333"/>
          <w:lang w:val="en"/>
        </w:rPr>
        <w:t>ns intensity of landfill, 1990–2030</w:t>
      </w:r>
    </w:p>
    <w:p w:rsidR="00000000" w:rsidRDefault="004170B4">
      <w:pPr>
        <w:pStyle w:val="NormalWeb"/>
        <w:spacing w:line="300" w:lineRule="atLeast"/>
        <w:rPr>
          <w:rFonts w:ascii="Georgia" w:hAnsi="Georgia"/>
          <w:color w:val="333333"/>
          <w:lang w:val="en"/>
        </w:rPr>
      </w:pPr>
      <w:r>
        <w:rPr>
          <w:rFonts w:ascii="Georgia" w:hAnsi="Georgia"/>
          <w:noProof/>
          <w:color w:val="333333"/>
        </w:rPr>
        <w:lastRenderedPageBreak/>
        <w:drawing>
          <wp:inline distT="0" distB="0" distL="0" distR="0">
            <wp:extent cx="5906770" cy="2091690"/>
            <wp:effectExtent l="0" t="0" r="0" b="3810"/>
            <wp:docPr id="42" name="Picture 42" descr="Figure D.42 shows historical and projected landfill activity and the emissions intensity of landfill across four scenarios between 1990 and 2030. Between 1990 and 2012 activity in kilotonnes of landfill deposited increased while the emissions intensity of waste declined by around 0.3 tonnes carbon dioxide equivalent per tonne of landfill. Activity is projected to continue increase to 2030 across all scenarios while the emissions intensity of landfill is projected to continue to fall to 2030 in all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D.42 shows historical and projected landfill activity and the emissions intensity of landfill across four scenarios between 1990 and 2030. Between 1990 and 2012 activity in kilotonnes of landfill deposited increased while the emissions intensity of waste declined by around 0.3 tonnes carbon dioxide equivalent per tonne of landfill. Activity is projected to continue increase to 2030 across all scenarios while the emissions intensity of landfill is projected to continue to fall to 2030 in all scenario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6770" cy="2091690"/>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 Change Authority calculations using results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Treasury and DIICCSRTE modelling </w:t>
      </w:r>
      <w:r>
        <w:rPr>
          <w:rFonts w:ascii="Georgia" w:hAnsi="Georgia"/>
          <w:color w:val="333333"/>
          <w:lang w:val="en"/>
        </w:rPr>
        <w:t xml:space="preserve">projects total waste emissions will </w:t>
      </w:r>
      <w:proofErr w:type="spellStart"/>
      <w:r>
        <w:rPr>
          <w:rFonts w:ascii="Georgia" w:hAnsi="Georgia"/>
          <w:color w:val="333333"/>
          <w:lang w:val="en"/>
        </w:rPr>
        <w:t>stabilise</w:t>
      </w:r>
      <w:proofErr w:type="spellEnd"/>
      <w:r>
        <w:rPr>
          <w:rFonts w:ascii="Georgia" w:hAnsi="Georgia"/>
          <w:color w:val="333333"/>
          <w:lang w:val="en"/>
        </w:rPr>
        <w:t xml:space="preserve"> at about 15 Mt CO</w:t>
      </w:r>
      <w:r>
        <w:rPr>
          <w:rFonts w:ascii="Georgia" w:hAnsi="Georgia"/>
          <w:color w:val="333333"/>
          <w:sz w:val="18"/>
          <w:szCs w:val="18"/>
          <w:vertAlign w:val="subscript"/>
          <w:lang w:val="en"/>
        </w:rPr>
        <w:t>2</w:t>
      </w:r>
      <w:r>
        <w:rPr>
          <w:rFonts w:ascii="Georgia" w:hAnsi="Georgia"/>
          <w:color w:val="333333"/>
          <w:lang w:val="en"/>
        </w:rPr>
        <w:t>-e by 2030 under a no price scenario, despite increases in total waste generated. Under the other modelled scenarios, emissions are projected to fall even further to between 7 and 9 Mt CO</w:t>
      </w:r>
      <w:r>
        <w:rPr>
          <w:rFonts w:ascii="Georgia" w:hAnsi="Georgia"/>
          <w:color w:val="333333"/>
          <w:sz w:val="18"/>
          <w:szCs w:val="18"/>
          <w:vertAlign w:val="subscript"/>
          <w:lang w:val="en"/>
        </w:rPr>
        <w:t>2</w:t>
      </w:r>
      <w:r>
        <w:rPr>
          <w:rFonts w:ascii="Georgia" w:hAnsi="Georgia"/>
          <w:color w:val="333333"/>
          <w:lang w:val="en"/>
        </w:rPr>
        <w:t>-e (</w:t>
      </w:r>
      <w:r>
        <w:rPr>
          <w:rFonts w:ascii="Georgia" w:hAnsi="Georgia"/>
          <w:color w:val="333333"/>
          <w:lang w:val="en"/>
        </w:rPr>
        <w:t xml:space="preserve">Figure D.43). </w:t>
      </w:r>
    </w:p>
    <w:p w:rsidR="00000000" w:rsidRDefault="004170B4">
      <w:pPr>
        <w:pStyle w:val="NormalWeb"/>
        <w:spacing w:line="300" w:lineRule="atLeast"/>
        <w:rPr>
          <w:rFonts w:ascii="Georgia" w:hAnsi="Georgia"/>
          <w:color w:val="333333"/>
          <w:lang w:val="en"/>
        </w:rPr>
      </w:pPr>
      <w:r>
        <w:rPr>
          <w:rFonts w:ascii="Georgia" w:hAnsi="Georgia"/>
          <w:color w:val="333333"/>
          <w:lang w:val="en"/>
        </w:rPr>
        <w:t>Solid waste emissions intensity is projected to fall about 30 per cent from 2000 levels to 0.47 t CO</w:t>
      </w:r>
      <w:r>
        <w:rPr>
          <w:rFonts w:ascii="Georgia" w:hAnsi="Georgia"/>
          <w:color w:val="333333"/>
          <w:sz w:val="18"/>
          <w:szCs w:val="18"/>
          <w:vertAlign w:val="subscript"/>
          <w:lang w:val="en"/>
        </w:rPr>
        <w:t>2</w:t>
      </w:r>
      <w:r>
        <w:rPr>
          <w:rFonts w:ascii="Georgia" w:hAnsi="Georgia"/>
          <w:color w:val="333333"/>
          <w:lang w:val="en"/>
        </w:rPr>
        <w:t xml:space="preserve">-e per </w:t>
      </w:r>
      <w:proofErr w:type="spellStart"/>
      <w:r>
        <w:rPr>
          <w:rFonts w:ascii="Georgia" w:hAnsi="Georgia"/>
          <w:color w:val="333333"/>
          <w:lang w:val="en"/>
        </w:rPr>
        <w:t>tonne</w:t>
      </w:r>
      <w:proofErr w:type="spellEnd"/>
      <w:r>
        <w:rPr>
          <w:rFonts w:ascii="Georgia" w:hAnsi="Georgia"/>
          <w:color w:val="333333"/>
          <w:lang w:val="en"/>
        </w:rPr>
        <w:t xml:space="preserve"> of waste under the no price scenario by 2030, and to 0.18 t CO</w:t>
      </w:r>
      <w:r>
        <w:rPr>
          <w:rFonts w:ascii="Georgia" w:hAnsi="Georgia"/>
          <w:color w:val="333333"/>
          <w:sz w:val="18"/>
          <w:szCs w:val="18"/>
          <w:vertAlign w:val="subscript"/>
          <w:lang w:val="en"/>
        </w:rPr>
        <w:t>2</w:t>
      </w:r>
      <w:r>
        <w:rPr>
          <w:rFonts w:ascii="Georgia" w:hAnsi="Georgia"/>
          <w:color w:val="333333"/>
          <w:lang w:val="en"/>
        </w:rPr>
        <w:t xml:space="preserve">-e per </w:t>
      </w:r>
      <w:proofErr w:type="spellStart"/>
      <w:r>
        <w:rPr>
          <w:rFonts w:ascii="Georgia" w:hAnsi="Georgia"/>
          <w:color w:val="333333"/>
          <w:lang w:val="en"/>
        </w:rPr>
        <w:t>tonne</w:t>
      </w:r>
      <w:proofErr w:type="spellEnd"/>
      <w:r>
        <w:rPr>
          <w:rFonts w:ascii="Georgia" w:hAnsi="Georgia"/>
          <w:color w:val="333333"/>
          <w:lang w:val="en"/>
        </w:rPr>
        <w:t xml:space="preserve"> under the high scenario (Figure D.41).</w:t>
      </w:r>
    </w:p>
    <w:p w:rsidR="00000000" w:rsidRDefault="004170B4">
      <w:pPr>
        <w:pStyle w:val="Heading3"/>
        <w:rPr>
          <w:rFonts w:eastAsia="Times New Roman"/>
          <w:color w:val="333333"/>
          <w:lang w:val="en"/>
        </w:rPr>
      </w:pPr>
      <w:r>
        <w:rPr>
          <w:rFonts w:eastAsia="Times New Roman"/>
          <w:color w:val="333333"/>
          <w:lang w:val="en"/>
        </w:rPr>
        <w:t>D10.2 Waste emissions outcomes, contributors and drivers</w:t>
      </w:r>
    </w:p>
    <w:p w:rsidR="00000000" w:rsidRDefault="004170B4">
      <w:pPr>
        <w:pStyle w:val="NormalWeb"/>
        <w:spacing w:line="300" w:lineRule="atLeast"/>
        <w:rPr>
          <w:rFonts w:ascii="Georgia" w:hAnsi="Georgia"/>
          <w:color w:val="333333"/>
          <w:lang w:val="en"/>
        </w:rPr>
      </w:pPr>
      <w:r>
        <w:rPr>
          <w:rFonts w:ascii="Georgia" w:hAnsi="Georgia"/>
          <w:color w:val="333333"/>
          <w:lang w:val="en"/>
        </w:rPr>
        <w:t>Since 1990, waste emissions have steadily fallen due to a range of local, state and national policies and schemes targeting the waste sector. These varied interventions have ranged from direct regula</w:t>
      </w:r>
      <w:r>
        <w:rPr>
          <w:rFonts w:ascii="Georgia" w:hAnsi="Georgia"/>
          <w:color w:val="333333"/>
          <w:lang w:val="en"/>
        </w:rPr>
        <w:t>tions, such as local planning laws, to market-based incentives, including the CFI, the NSW Greenhouse Gas Reduction Scheme (GGAS), the RET and the carbon pricing mechanism. These interventions have driven the diffusion of emissions-reducing technologies to</w:t>
      </w:r>
      <w:r>
        <w:rPr>
          <w:rFonts w:ascii="Georgia" w:hAnsi="Georgia"/>
          <w:color w:val="333333"/>
          <w:lang w:val="en"/>
        </w:rPr>
        <w:t xml:space="preserve"> landfill waste and wastewater facilities, as well as greater recycling, composting and other alternative waste treatments.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main contributor to emissions from the waste sector is the volume of waste, which is driven by growth in population and economi</w:t>
      </w:r>
      <w:r>
        <w:rPr>
          <w:rFonts w:ascii="Georgia" w:hAnsi="Georgia"/>
          <w:color w:val="333333"/>
          <w:lang w:val="en"/>
        </w:rPr>
        <w:t>c activity. The main contributors to emissions reductions in the sector are the level of waste diverted for recycling or alternative waste treatments, and the extent to which the methane generated by decomposing waste is captured and destroyed. Figure D.43</w:t>
      </w:r>
      <w:r>
        <w:rPr>
          <w:rFonts w:ascii="Georgia" w:hAnsi="Georgia"/>
          <w:color w:val="333333"/>
          <w:lang w:val="en"/>
        </w:rPr>
        <w:t xml:space="preserve"> shows the contribution of the two major waste streams to total waste emissions under the different modelled scenarios. Solid waste emissions comprise landfill emissions, incineration emissions and composting emissions; wastewater emissions comprise indust</w:t>
      </w:r>
      <w:r>
        <w:rPr>
          <w:rFonts w:ascii="Georgia" w:hAnsi="Georgia"/>
          <w:color w:val="333333"/>
          <w:lang w:val="en"/>
        </w:rPr>
        <w:t>rial, domestic and commercial wastewater.</w:t>
      </w:r>
    </w:p>
    <w:p w:rsidR="00000000" w:rsidRDefault="004170B4">
      <w:pPr>
        <w:pStyle w:val="Heading2"/>
        <w:rPr>
          <w:rFonts w:eastAsia="Times New Roman"/>
          <w:color w:val="333333"/>
          <w:lang w:val="en"/>
        </w:rPr>
      </w:pPr>
      <w:r>
        <w:rPr>
          <w:rFonts w:eastAsia="Times New Roman"/>
          <w:color w:val="333333"/>
          <w:lang w:val="en"/>
        </w:rPr>
        <w:lastRenderedPageBreak/>
        <w:t>Figure D.43: Contributors to waste emissions, selected years, 1990–2030, and to change in emissions relative to 2000 levels</w:t>
      </w:r>
    </w:p>
    <w:p w:rsidR="00000000" w:rsidRDefault="004170B4">
      <w:pPr>
        <w:pStyle w:val="NormalWeb"/>
        <w:spacing w:line="300" w:lineRule="atLeast"/>
        <w:rPr>
          <w:rFonts w:ascii="Georgia" w:hAnsi="Georgia"/>
          <w:color w:val="333333"/>
          <w:lang w:val="en"/>
        </w:rPr>
      </w:pPr>
      <w:r>
        <w:rPr>
          <w:rFonts w:ascii="Georgia" w:hAnsi="Georgia"/>
          <w:noProof/>
          <w:color w:val="333333"/>
        </w:rPr>
        <w:drawing>
          <wp:inline distT="0" distB="0" distL="0" distR="0">
            <wp:extent cx="5906770" cy="3531235"/>
            <wp:effectExtent l="0" t="0" r="0" b="0"/>
            <wp:docPr id="43" name="Picture 43" descr="Figure D.43 shows the historical and projected emissions and contributors to Australia’s waste sector between 1990 and 2030. &#10;Between 1990 and 2012, waste emissions fell from 21 to 15 megatonnes of carbon dioxide equivalent. By 2030 waste emissions are projected to be 7 to 15 megatonnes of carbon dioxide equivalent. Relative to 2000, emissions reduction activities from solid waste management practices accounted for the majority of emissions reductions to date and are projected to continue to do so to 2030 under all scenarios. Increases in the volume of waste disposed will slightly offset the reductions made through improved waste management practi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 D.43 shows the historical and projected emissions and contributors to Australia’s waste sector between 1990 and 2030. &#10;Between 1990 and 2012, waste emissions fell from 21 to 15 megatonnes of carbon dioxide equivalent. By 2030 waste emissions are projected to be 7 to 15 megatonnes of carbon dioxide equivalent. Relative to 2000, emissions reduction activities from solid waste management practices accounted for the majority of emissions reductions to date and are projected to continue to do so to 2030 under all scenarios. Increases in the volume of waste disposed will slightly offset the reductions made through improved waste management practices.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6770" cy="3531235"/>
                    </a:xfrm>
                    <a:prstGeom prst="rect">
                      <a:avLst/>
                    </a:prstGeom>
                    <a:noFill/>
                    <a:ln>
                      <a:noFill/>
                    </a:ln>
                  </pic:spPr>
                </pic:pic>
              </a:graphicData>
            </a:graphic>
          </wp:inline>
        </w:drawing>
      </w:r>
      <w:r>
        <w:rPr>
          <w:rFonts w:ascii="Georgia" w:hAnsi="Georgia"/>
          <w:color w:val="333333"/>
          <w:lang w:val="en"/>
        </w:rPr>
        <w:t> </w:t>
      </w:r>
    </w:p>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Climate</w:t>
      </w:r>
      <w:r>
        <w:rPr>
          <w:rFonts w:ascii="Georgia" w:hAnsi="Georgia"/>
          <w:color w:val="333333"/>
          <w:lang w:val="en"/>
        </w:rPr>
        <w:t xml:space="preserve"> Change Authority calculations using data from Treasury and DIICCSRTE 2013</w:t>
      </w:r>
    </w:p>
    <w:p w:rsidR="00000000" w:rsidRDefault="004170B4">
      <w:pPr>
        <w:pStyle w:val="NormalWeb"/>
        <w:spacing w:line="300" w:lineRule="atLeast"/>
        <w:rPr>
          <w:rFonts w:ascii="Georgia" w:hAnsi="Georgia"/>
          <w:color w:val="333333"/>
          <w:lang w:val="en"/>
        </w:rPr>
      </w:pPr>
      <w:r>
        <w:rPr>
          <w:rFonts w:ascii="Georgia" w:hAnsi="Georgia"/>
          <w:color w:val="333333"/>
          <w:lang w:val="en"/>
        </w:rPr>
        <w:t>Despite continued increases in recycling and other alternative waste treatments, the Treasury and DIICCSRTE’s modelling projects the volume of waste deposited at landfills could gro</w:t>
      </w:r>
      <w:r>
        <w:rPr>
          <w:rFonts w:ascii="Georgia" w:hAnsi="Georgia"/>
          <w:color w:val="333333"/>
          <w:lang w:val="en"/>
        </w:rPr>
        <w:t>w by 14 per cent (3 Mt CO</w:t>
      </w:r>
      <w:r>
        <w:rPr>
          <w:rFonts w:ascii="Georgia" w:hAnsi="Georgia"/>
          <w:color w:val="333333"/>
          <w:sz w:val="18"/>
          <w:szCs w:val="18"/>
          <w:vertAlign w:val="subscript"/>
          <w:lang w:val="en"/>
        </w:rPr>
        <w:t>2</w:t>
      </w:r>
      <w:r>
        <w:rPr>
          <w:rFonts w:ascii="Georgia" w:hAnsi="Georgia"/>
          <w:color w:val="333333"/>
          <w:lang w:val="en"/>
        </w:rPr>
        <w:t>-e) from 2000 levels by 2030, due to continued population and economic growth. Over the same period, in the low and high scenarios emissions can be reduced by between 58 and 70 per cent on 2000 levels. This includes a projected de</w:t>
      </w:r>
      <w:r>
        <w:rPr>
          <w:rFonts w:ascii="Georgia" w:hAnsi="Georgia"/>
          <w:color w:val="333333"/>
          <w:lang w:val="en"/>
        </w:rPr>
        <w:t>cline in solid waste emissions intensity of between 63 and 73 per cent on 2000 levels by 2030. Under these scenarios, emissions will fall by 4–5 Mt CO</w:t>
      </w:r>
      <w:r>
        <w:rPr>
          <w:rFonts w:ascii="Georgia" w:hAnsi="Georgia"/>
          <w:color w:val="333333"/>
          <w:sz w:val="18"/>
          <w:szCs w:val="18"/>
          <w:vertAlign w:val="subscript"/>
          <w:lang w:val="en"/>
        </w:rPr>
        <w:t>2</w:t>
      </w:r>
      <w:r>
        <w:rPr>
          <w:rFonts w:ascii="Georgia" w:hAnsi="Georgia"/>
          <w:color w:val="333333"/>
          <w:lang w:val="en"/>
        </w:rPr>
        <w:t>-e from 2000 levels by 2020, and 8–9 Mt CO</w:t>
      </w:r>
      <w:r>
        <w:rPr>
          <w:rFonts w:ascii="Georgia" w:hAnsi="Georgia"/>
          <w:color w:val="333333"/>
          <w:sz w:val="18"/>
          <w:szCs w:val="18"/>
          <w:vertAlign w:val="subscript"/>
          <w:lang w:val="en"/>
        </w:rPr>
        <w:t>2</w:t>
      </w:r>
      <w:r>
        <w:rPr>
          <w:rFonts w:ascii="Georgia" w:hAnsi="Georgia"/>
          <w:color w:val="333333"/>
          <w:lang w:val="en"/>
        </w:rPr>
        <w:t xml:space="preserve">-e by 2030 (Figure D.43). </w:t>
      </w:r>
    </w:p>
    <w:p w:rsidR="00000000" w:rsidRDefault="004170B4">
      <w:pPr>
        <w:pStyle w:val="NormalWeb"/>
        <w:spacing w:line="300" w:lineRule="atLeast"/>
        <w:rPr>
          <w:rFonts w:ascii="Georgia" w:hAnsi="Georgia"/>
          <w:color w:val="333333"/>
          <w:lang w:val="en"/>
        </w:rPr>
      </w:pPr>
      <w:r>
        <w:rPr>
          <w:rFonts w:ascii="Georgia" w:hAnsi="Georgia"/>
          <w:color w:val="333333"/>
          <w:lang w:val="en"/>
        </w:rPr>
        <w:t>Wastewater volumes are projected to</w:t>
      </w:r>
      <w:r>
        <w:rPr>
          <w:rFonts w:ascii="Georgia" w:hAnsi="Georgia"/>
          <w:color w:val="333333"/>
          <w:lang w:val="en"/>
        </w:rPr>
        <w:t xml:space="preserve"> grow by nearly 50 per cent on 2000 levels by 2030. Over the same period, the Treasury and DIICCSRTE modelling shows that under the same low and high scenarios, emissions can be reduced by between 10 and 20 per cent on 2000 levels. This equates to a projec</w:t>
      </w:r>
      <w:r>
        <w:rPr>
          <w:rFonts w:ascii="Georgia" w:hAnsi="Georgia"/>
          <w:color w:val="333333"/>
          <w:lang w:val="en"/>
        </w:rPr>
        <w:t>ted decline in wastewater emissions intensity of between 40 and 46 per cent on 2000 levels by 2030. Under these scenarios, emissions will fall by 0.1–0.6 Mt CO</w:t>
      </w:r>
      <w:r>
        <w:rPr>
          <w:rFonts w:ascii="Georgia" w:hAnsi="Georgia"/>
          <w:color w:val="333333"/>
          <w:sz w:val="18"/>
          <w:szCs w:val="18"/>
          <w:vertAlign w:val="subscript"/>
          <w:lang w:val="en"/>
        </w:rPr>
        <w:t>2</w:t>
      </w:r>
      <w:r>
        <w:rPr>
          <w:rFonts w:ascii="Georgia" w:hAnsi="Georgia"/>
          <w:color w:val="333333"/>
          <w:lang w:val="en"/>
        </w:rPr>
        <w:t>-e from 2000 levels by 2020, and 0.3–0.7 Mt CO</w:t>
      </w:r>
      <w:r>
        <w:rPr>
          <w:rFonts w:ascii="Georgia" w:hAnsi="Georgia"/>
          <w:color w:val="333333"/>
          <w:sz w:val="18"/>
          <w:szCs w:val="18"/>
          <w:vertAlign w:val="subscript"/>
          <w:lang w:val="en"/>
        </w:rPr>
        <w:t>2</w:t>
      </w:r>
      <w:r>
        <w:rPr>
          <w:rFonts w:ascii="Georgia" w:hAnsi="Georgia"/>
          <w:color w:val="333333"/>
          <w:lang w:val="en"/>
        </w:rPr>
        <w:t xml:space="preserve">-e by 2030 (Figure D.43). </w:t>
      </w:r>
    </w:p>
    <w:p w:rsidR="00000000" w:rsidRDefault="004170B4">
      <w:pPr>
        <w:pStyle w:val="Heading2"/>
        <w:shd w:val="clear" w:color="auto" w:fill="F5F5F5"/>
        <w:divId w:val="1829712992"/>
        <w:rPr>
          <w:rFonts w:eastAsia="Times New Roman"/>
          <w:color w:val="333333"/>
          <w:lang w:val="en"/>
        </w:rPr>
      </w:pPr>
      <w:r>
        <w:rPr>
          <w:rFonts w:eastAsia="Times New Roman"/>
          <w:color w:val="333333"/>
          <w:lang w:val="en"/>
        </w:rPr>
        <w:lastRenderedPageBreak/>
        <w:t>Box D.9: Waste to ener</w:t>
      </w:r>
      <w:r>
        <w:rPr>
          <w:rFonts w:eastAsia="Times New Roman"/>
          <w:color w:val="333333"/>
          <w:lang w:val="en"/>
        </w:rPr>
        <w:t>gy</w:t>
      </w:r>
    </w:p>
    <w:p w:rsidR="00000000" w:rsidRDefault="004170B4">
      <w:pPr>
        <w:pStyle w:val="NormalWeb"/>
        <w:shd w:val="clear" w:color="auto" w:fill="F5F5F5"/>
        <w:spacing w:line="300" w:lineRule="atLeast"/>
        <w:divId w:val="1829712992"/>
        <w:rPr>
          <w:rFonts w:ascii="Georgia" w:hAnsi="Georgia"/>
          <w:color w:val="333333"/>
          <w:lang w:val="en"/>
        </w:rPr>
      </w:pPr>
      <w:r>
        <w:rPr>
          <w:rFonts w:ascii="Georgia" w:hAnsi="Georgia"/>
          <w:color w:val="333333"/>
          <w:lang w:val="en"/>
        </w:rPr>
        <w:t>Methane from decomposing waste can be captured from landfills or waste collection ponds and combusted to generate electricity. The electricity can be used on site or supplied to the electricity grid. Captured methane from waste is classed as biogas, a r</w:t>
      </w:r>
      <w:r>
        <w:rPr>
          <w:rFonts w:ascii="Georgia" w:hAnsi="Georgia"/>
          <w:color w:val="333333"/>
          <w:lang w:val="en"/>
        </w:rPr>
        <w:t>enewable source, and the emissions reductions derived from the displacement of fossil fuels are reflected in the stationary energy sector.</w:t>
      </w:r>
    </w:p>
    <w:p w:rsidR="00000000" w:rsidRDefault="004170B4">
      <w:pPr>
        <w:pStyle w:val="Heading3"/>
        <w:rPr>
          <w:rFonts w:eastAsia="Times New Roman"/>
          <w:color w:val="333333"/>
          <w:lang w:val="en"/>
        </w:rPr>
      </w:pPr>
      <w:r>
        <w:rPr>
          <w:rFonts w:eastAsia="Times New Roman"/>
          <w:color w:val="333333"/>
          <w:lang w:val="en"/>
        </w:rPr>
        <w:t>D10.3 Progress in waste emissions reduction</w:t>
      </w:r>
    </w:p>
    <w:p w:rsidR="00000000" w:rsidRDefault="004170B4">
      <w:pPr>
        <w:pStyle w:val="Heading4"/>
        <w:rPr>
          <w:rFonts w:eastAsia="Times New Roman"/>
          <w:color w:val="333333"/>
          <w:lang w:val="en"/>
        </w:rPr>
      </w:pPr>
      <w:r>
        <w:rPr>
          <w:rFonts w:eastAsia="Times New Roman"/>
          <w:color w:val="333333"/>
          <w:lang w:val="en"/>
        </w:rPr>
        <w:t>D10.3.1 Waste emissions reduction opportunities</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largest contributors </w:t>
      </w:r>
      <w:r>
        <w:rPr>
          <w:rFonts w:ascii="Georgia" w:hAnsi="Georgia"/>
          <w:color w:val="333333"/>
          <w:lang w:val="en"/>
        </w:rPr>
        <w:t>to further emissions reduction in the waste sector are expected to be continued diversion of waste from landfill, methane capture and waste-to-energy. These activities are driven by a range of regulatory drivers, policy drivers and market-based incentives.</w:t>
      </w:r>
    </w:p>
    <w:p w:rsidR="00000000" w:rsidRDefault="004170B4">
      <w:pPr>
        <w:pStyle w:val="NormalWeb"/>
        <w:spacing w:line="300" w:lineRule="atLeast"/>
        <w:rPr>
          <w:rFonts w:ascii="Georgia" w:hAnsi="Georgia"/>
          <w:color w:val="333333"/>
          <w:lang w:val="en"/>
        </w:rPr>
      </w:pPr>
      <w:r>
        <w:rPr>
          <w:rFonts w:ascii="Georgia" w:hAnsi="Georgia"/>
          <w:color w:val="333333"/>
          <w:lang w:val="en"/>
        </w:rPr>
        <w:t>Alternative waste treatments have grown significantly since 1990, resulting in a significant amount of waste being diverted away from landfill (see Table D.7). Since this time, a major driver for the growth of alternative waste treatments has been the imp</w:t>
      </w:r>
      <w:r>
        <w:rPr>
          <w:rFonts w:ascii="Georgia" w:hAnsi="Georgia"/>
          <w:color w:val="333333"/>
          <w:lang w:val="en"/>
        </w:rPr>
        <w:t xml:space="preserve">act of regulatory frameworks. These have operated at all levels of government and span local planning controls, environmental safeguards and community standards, and have served to direct waste streams away from landfill where feasible.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Australian states </w:t>
      </w:r>
      <w:r>
        <w:rPr>
          <w:rFonts w:ascii="Georgia" w:hAnsi="Georgia"/>
          <w:color w:val="333333"/>
          <w:lang w:val="en"/>
        </w:rPr>
        <w:t>and territories have adopted a broadly similar hierarchy of waste resource management options, in the following order:</w:t>
      </w:r>
    </w:p>
    <w:p w:rsidR="00000000" w:rsidRDefault="004170B4" w:rsidP="004170B4">
      <w:pPr>
        <w:numPr>
          <w:ilvl w:val="0"/>
          <w:numId w:val="3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avoiding unnecessary resource consumption as the first preference</w:t>
      </w:r>
    </w:p>
    <w:p w:rsidR="00000000" w:rsidRDefault="004170B4" w:rsidP="004170B4">
      <w:pPr>
        <w:numPr>
          <w:ilvl w:val="0"/>
          <w:numId w:val="3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adopting alternative waste treatments, including reuse</w:t>
      </w:r>
    </w:p>
    <w:p w:rsidR="00000000" w:rsidRDefault="004170B4" w:rsidP="004170B4">
      <w:pPr>
        <w:numPr>
          <w:ilvl w:val="0"/>
          <w:numId w:val="33"/>
        </w:numPr>
        <w:spacing w:after="100" w:afterAutospacing="1" w:line="300" w:lineRule="atLeast"/>
        <w:ind w:left="375"/>
        <w:rPr>
          <w:rFonts w:ascii="Georgia" w:eastAsia="Times New Roman" w:hAnsi="Georgia"/>
          <w:color w:val="333333"/>
          <w:lang w:val="en"/>
        </w:rPr>
      </w:pPr>
      <w:r>
        <w:rPr>
          <w:rFonts w:ascii="Georgia" w:eastAsia="Times New Roman" w:hAnsi="Georgia"/>
          <w:color w:val="333333"/>
          <w:lang w:val="en"/>
        </w:rPr>
        <w:t>reprocessing, re</w:t>
      </w:r>
      <w:r>
        <w:rPr>
          <w:rFonts w:ascii="Georgia" w:eastAsia="Times New Roman" w:hAnsi="Georgia"/>
          <w:color w:val="333333"/>
          <w:lang w:val="en"/>
        </w:rPr>
        <w:t>cycling and energy recovery</w:t>
      </w:r>
    </w:p>
    <w:p w:rsidR="00000000" w:rsidRDefault="004170B4" w:rsidP="004170B4">
      <w:pPr>
        <w:numPr>
          <w:ilvl w:val="0"/>
          <w:numId w:val="33"/>
        </w:numPr>
        <w:spacing w:after="100" w:afterAutospacing="1" w:line="300" w:lineRule="atLeast"/>
        <w:ind w:left="375"/>
        <w:rPr>
          <w:rFonts w:ascii="Georgia" w:eastAsia="Times New Roman" w:hAnsi="Georgia"/>
          <w:color w:val="333333"/>
          <w:lang w:val="en"/>
        </w:rPr>
      </w:pPr>
      <w:proofErr w:type="gramStart"/>
      <w:r>
        <w:rPr>
          <w:rFonts w:ascii="Georgia" w:eastAsia="Times New Roman" w:hAnsi="Georgia"/>
          <w:color w:val="333333"/>
          <w:lang w:val="en"/>
        </w:rPr>
        <w:t>disposing</w:t>
      </w:r>
      <w:proofErr w:type="gramEnd"/>
      <w:r>
        <w:rPr>
          <w:rFonts w:ascii="Georgia" w:eastAsia="Times New Roman" w:hAnsi="Georgia"/>
          <w:color w:val="333333"/>
          <w:lang w:val="en"/>
        </w:rPr>
        <w:t xml:space="preserve"> via landfill or effluent streams.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Some states have embodied this hierarchy into legislation such as the </w:t>
      </w:r>
      <w:r>
        <w:rPr>
          <w:rStyle w:val="Emphasis"/>
          <w:rFonts w:ascii="Georgia" w:hAnsi="Georgia"/>
          <w:color w:val="333333"/>
          <w:lang w:val="en"/>
        </w:rPr>
        <w:t xml:space="preserve">Waste Avoidance and Resource Recovery Act 2001 </w:t>
      </w:r>
      <w:r>
        <w:rPr>
          <w:rFonts w:ascii="Georgia" w:hAnsi="Georgia"/>
          <w:color w:val="333333"/>
          <w:lang w:val="en"/>
        </w:rPr>
        <w:t xml:space="preserve">(NSW). </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Strategic policy frameworks have also been </w:t>
      </w:r>
      <w:r>
        <w:rPr>
          <w:rFonts w:ascii="Georgia" w:hAnsi="Georgia"/>
          <w:color w:val="333333"/>
          <w:lang w:val="en"/>
        </w:rPr>
        <w:t xml:space="preserve">developed at all levels of government. The National Waste Policy, for instance, is a major national policy that was endorsed by COAG in 2009, and sets Australia’s waste management and resource recovery direction to 2020. In partnership with the states and </w:t>
      </w:r>
      <w:r>
        <w:rPr>
          <w:rFonts w:ascii="Georgia" w:hAnsi="Georgia"/>
          <w:color w:val="333333"/>
          <w:lang w:val="en"/>
        </w:rPr>
        <w:t xml:space="preserve">territories, the policy establishes strategic direction and best practice in the areas of waste avoidance and waste diversion. </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The management of waste continues to be a strong policy focus for state governments. For example, New South Wales recently relea</w:t>
      </w:r>
      <w:r>
        <w:rPr>
          <w:rFonts w:ascii="Georgia" w:hAnsi="Georgia"/>
          <w:color w:val="333333"/>
          <w:lang w:val="en"/>
        </w:rPr>
        <w:t>sed its Draft Waste Avoidance and Resource Recovery Strategy to 2021, for public consultation. The draft strategy includes targets for reducing waste generation, litter and landfill, and increasing recycling rates. Victoria recently released two draft wast</w:t>
      </w:r>
      <w:r>
        <w:rPr>
          <w:rFonts w:ascii="Georgia" w:hAnsi="Georgia"/>
          <w:color w:val="333333"/>
          <w:lang w:val="en"/>
        </w:rPr>
        <w:t xml:space="preserve">e strategies detailing how the state will invest in waste infrastructure and </w:t>
      </w:r>
      <w:proofErr w:type="spellStart"/>
      <w:r>
        <w:rPr>
          <w:rFonts w:ascii="Georgia" w:hAnsi="Georgia"/>
          <w:color w:val="333333"/>
          <w:lang w:val="en"/>
        </w:rPr>
        <w:t>maximise</w:t>
      </w:r>
      <w:proofErr w:type="spellEnd"/>
      <w:r>
        <w:rPr>
          <w:rFonts w:ascii="Georgia" w:hAnsi="Georgia"/>
          <w:color w:val="333333"/>
          <w:lang w:val="en"/>
        </w:rPr>
        <w:t xml:space="preserve"> resource recovery.</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Recycling and other waste diversion activities are projected to increase under a no price scenario, contributing to </w:t>
      </w:r>
      <w:r>
        <w:rPr>
          <w:rFonts w:ascii="Georgia" w:hAnsi="Georgia"/>
          <w:color w:val="333333"/>
          <w:lang w:val="en"/>
        </w:rPr>
        <w:t>the emissions reductions outlined earlier. In the future, waste avoidance and alternative waste treatments are expected to be crucial in offsetting the growing quantity of waste generated that would otherwise be sent to landfill. With appropriate policies,</w:t>
      </w:r>
      <w:r>
        <w:rPr>
          <w:rFonts w:ascii="Georgia" w:hAnsi="Georgia"/>
          <w:color w:val="333333"/>
          <w:lang w:val="en"/>
        </w:rPr>
        <w:t xml:space="preserve"> incentives and funding in place, Blue Environment (2011, p. 8) estimates that by 2030 as much as 70 per cent of all solid waste could be slated for resource recovery, reducing as much of 80 per cent of emissions. </w:t>
      </w:r>
    </w:p>
    <w:p w:rsidR="00000000" w:rsidRDefault="004170B4">
      <w:pPr>
        <w:pStyle w:val="NormalWeb"/>
        <w:spacing w:line="300" w:lineRule="atLeast"/>
        <w:rPr>
          <w:rFonts w:ascii="Georgia" w:hAnsi="Georgia"/>
          <w:color w:val="333333"/>
          <w:lang w:val="en"/>
        </w:rPr>
      </w:pPr>
      <w:r>
        <w:rPr>
          <w:rFonts w:ascii="Georgia" w:hAnsi="Georgia"/>
          <w:color w:val="333333"/>
          <w:lang w:val="en"/>
        </w:rPr>
        <w:t>Since the late 1990s, there has been a gr</w:t>
      </w:r>
      <w:r>
        <w:rPr>
          <w:rFonts w:ascii="Georgia" w:hAnsi="Georgia"/>
          <w:color w:val="333333"/>
          <w:lang w:val="en"/>
        </w:rPr>
        <w:t>owing number of market-based schemes established in many jurisdictions across Australia to encourage the reduction of waste and emissions. The diffusion of emissions capture and waste-to-energy technologies is influenced by demand, technology costs and reg</w:t>
      </w:r>
      <w:r>
        <w:rPr>
          <w:rFonts w:ascii="Georgia" w:hAnsi="Georgia"/>
          <w:color w:val="333333"/>
          <w:lang w:val="en"/>
        </w:rPr>
        <w:t xml:space="preserve">ulations, and also by other market-based schemes that provide price incentives, such as the RET. Since 2001 under the RET, waste facility operators have been able to earn certificates for capturing waste methane for electricity generation. </w:t>
      </w:r>
    </w:p>
    <w:p w:rsidR="00000000" w:rsidRDefault="004170B4">
      <w:pPr>
        <w:pStyle w:val="Heading2"/>
        <w:rPr>
          <w:rFonts w:eastAsia="Times New Roman"/>
          <w:color w:val="333333"/>
          <w:lang w:val="en"/>
        </w:rPr>
      </w:pPr>
      <w:r>
        <w:rPr>
          <w:rFonts w:eastAsia="Times New Roman"/>
          <w:color w:val="333333"/>
          <w:lang w:val="en"/>
        </w:rPr>
        <w:t>Table D.7: Tota</w:t>
      </w:r>
      <w:r>
        <w:rPr>
          <w:rFonts w:eastAsia="Times New Roman"/>
          <w:color w:val="333333"/>
          <w:lang w:val="en"/>
        </w:rPr>
        <w:t>l national generation of waste and disposal to landfill, 1940–2007</w:t>
      </w:r>
    </w:p>
    <w:tbl>
      <w:tblPr>
        <w:tblW w:w="5000" w:type="pct"/>
        <w:tblCellSpacing w:w="15" w:type="dxa"/>
        <w:tblLook w:val="04A0" w:firstRow="1" w:lastRow="0" w:firstColumn="1" w:lastColumn="0" w:noHBand="0" w:noVBand="1"/>
      </w:tblPr>
      <w:tblGrid>
        <w:gridCol w:w="1559"/>
        <w:gridCol w:w="901"/>
        <w:gridCol w:w="983"/>
        <w:gridCol w:w="994"/>
        <w:gridCol w:w="974"/>
        <w:gridCol w:w="957"/>
        <w:gridCol w:w="1004"/>
        <w:gridCol w:w="1026"/>
        <w:gridCol w:w="1035"/>
      </w:tblGrid>
      <w:tr w:rsidR="00000000">
        <w:trPr>
          <w:tblHeade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Year</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1940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1950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1960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1970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1980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1990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2000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2007</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Waste generated (</w:t>
            </w:r>
            <w:proofErr w:type="spellStart"/>
            <w:r>
              <w:rPr>
                <w:rStyle w:val="Strong"/>
                <w:rFonts w:ascii="Georgia" w:hAnsi="Georgia"/>
                <w:color w:val="333333"/>
              </w:rPr>
              <w:t>kt</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9,600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15,200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17,700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17,100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16,400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25,600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42,700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Disposed to landfill (</w:t>
            </w:r>
            <w:proofErr w:type="spellStart"/>
            <w:r>
              <w:rPr>
                <w:rStyle w:val="Strong"/>
                <w:rFonts w:ascii="Georgia" w:hAnsi="Georgia"/>
                <w:color w:val="333333"/>
              </w:rPr>
              <w:t>kt</w:t>
            </w:r>
            <w:proofErr w:type="spellEnd"/>
            <w:r>
              <w:rPr>
                <w:rStyle w:val="Strong"/>
                <w:rFonts w:ascii="Georgia" w:hAnsi="Georgia"/>
                <w:color w:val="333333"/>
              </w:rPr>
              <w:t>)</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9,600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15,200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17,700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17,100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16,400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19,600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21,300</w:t>
            </w:r>
          </w:p>
        </w:tc>
      </w:tr>
      <w:tr w:rsidR="00000000">
        <w:trPr>
          <w:tblCellSpacing w:w="15" w:type="dxa"/>
        </w:trPr>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Style w:val="Strong"/>
                <w:rFonts w:ascii="Georgia" w:hAnsi="Georgia"/>
                <w:color w:val="333333"/>
              </w:rPr>
              <w:t>Landfilled portion</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100%</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77%</w:t>
            </w:r>
          </w:p>
        </w:tc>
        <w:tc>
          <w:tcPr>
            <w:tcW w:w="0" w:type="auto"/>
            <w:tcBorders>
              <w:top w:val="single" w:sz="6" w:space="0" w:color="DDDDDD"/>
              <w:left w:val="nil"/>
              <w:bottom w:val="nil"/>
              <w:right w:val="nil"/>
            </w:tcBorders>
            <w:tcMar>
              <w:top w:w="120" w:type="dxa"/>
              <w:left w:w="120" w:type="dxa"/>
              <w:bottom w:w="120" w:type="dxa"/>
              <w:right w:w="120" w:type="dxa"/>
            </w:tcMar>
            <w:hideMark/>
          </w:tcPr>
          <w:p w:rsidR="00000000" w:rsidRDefault="004170B4">
            <w:pPr>
              <w:pStyle w:val="NormalWeb"/>
              <w:spacing w:line="300" w:lineRule="atLeast"/>
              <w:rPr>
                <w:rFonts w:ascii="Georgia" w:hAnsi="Georgia"/>
                <w:color w:val="333333"/>
              </w:rPr>
            </w:pPr>
            <w:r>
              <w:rPr>
                <w:rFonts w:ascii="Georgia" w:hAnsi="Georgia"/>
                <w:color w:val="333333"/>
              </w:rPr>
              <w:t>50%</w:t>
            </w:r>
          </w:p>
        </w:tc>
      </w:tr>
    </w:tbl>
    <w:p w:rsidR="00000000" w:rsidRDefault="004170B4">
      <w:pPr>
        <w:pStyle w:val="NormalWeb"/>
        <w:spacing w:line="300" w:lineRule="atLeast"/>
        <w:rPr>
          <w:rFonts w:ascii="Georgia" w:hAnsi="Georgia"/>
          <w:color w:val="333333"/>
          <w:lang w:val="en"/>
        </w:rPr>
      </w:pPr>
      <w:r>
        <w:rPr>
          <w:rStyle w:val="Strong"/>
          <w:rFonts w:ascii="Georgia" w:hAnsi="Georgia"/>
          <w:color w:val="333333"/>
          <w:lang w:val="en"/>
        </w:rPr>
        <w:t>Source:</w:t>
      </w:r>
      <w:r>
        <w:rPr>
          <w:rFonts w:ascii="Georgia" w:hAnsi="Georgia"/>
          <w:color w:val="333333"/>
          <w:lang w:val="en"/>
        </w:rPr>
        <w:t xml:space="preserve"> Modified from Department of the Environment, Water, Heritage and the Arts 2010 </w:t>
      </w:r>
    </w:p>
    <w:p w:rsidR="00000000" w:rsidRDefault="004170B4">
      <w:pPr>
        <w:pStyle w:val="NormalWeb"/>
        <w:spacing w:line="300" w:lineRule="atLeast"/>
        <w:rPr>
          <w:rFonts w:ascii="Georgia" w:hAnsi="Georgia"/>
          <w:color w:val="333333"/>
          <w:lang w:val="en"/>
        </w:rPr>
      </w:pPr>
      <w:proofErr w:type="spellStart"/>
      <w:r>
        <w:rPr>
          <w:rFonts w:ascii="Georgia" w:hAnsi="Georgia"/>
          <w:color w:val="333333"/>
          <w:lang w:val="en"/>
        </w:rPr>
        <w:lastRenderedPageBreak/>
        <w:t>ClimateWorks</w:t>
      </w:r>
      <w:proofErr w:type="spellEnd"/>
      <w:r>
        <w:rPr>
          <w:rFonts w:ascii="Georgia" w:hAnsi="Georgia"/>
          <w:color w:val="333333"/>
          <w:lang w:val="en"/>
        </w:rPr>
        <w:t xml:space="preserve"> (2013, p. 23) noted that between 2001 and 2011 waste operators were credited with</w:t>
      </w:r>
      <w:r>
        <w:rPr>
          <w:rFonts w:ascii="Georgia" w:hAnsi="Georgia"/>
          <w:color w:val="333333"/>
          <w:lang w:val="en"/>
        </w:rPr>
        <w:t xml:space="preserve"> over 6 </w:t>
      </w:r>
      <w:proofErr w:type="spellStart"/>
      <w:r>
        <w:rPr>
          <w:rFonts w:ascii="Georgia" w:hAnsi="Georgia"/>
          <w:color w:val="333333"/>
          <w:lang w:val="en"/>
        </w:rPr>
        <w:t>GWh</w:t>
      </w:r>
      <w:proofErr w:type="spellEnd"/>
      <w:r>
        <w:rPr>
          <w:rFonts w:ascii="Georgia" w:hAnsi="Georgia"/>
          <w:color w:val="333333"/>
          <w:lang w:val="en"/>
        </w:rPr>
        <w:t xml:space="preserve"> of electricity generation under the RET, representing more than 7 per cent of large-scale renewable energy generation. Waste-to-energy technologies have grown sufficiently in scale and may soon contribute about 800 </w:t>
      </w:r>
      <w:proofErr w:type="spellStart"/>
      <w:r>
        <w:rPr>
          <w:rFonts w:ascii="Georgia" w:hAnsi="Georgia"/>
          <w:color w:val="333333"/>
          <w:lang w:val="en"/>
        </w:rPr>
        <w:t>GWh</w:t>
      </w:r>
      <w:proofErr w:type="spellEnd"/>
      <w:r>
        <w:rPr>
          <w:rFonts w:ascii="Georgia" w:hAnsi="Georgia"/>
          <w:color w:val="333333"/>
          <w:lang w:val="en"/>
        </w:rPr>
        <w:t xml:space="preserve"> of electricity into the N</w:t>
      </w:r>
      <w:r>
        <w:rPr>
          <w:rFonts w:ascii="Georgia" w:hAnsi="Georgia"/>
          <w:color w:val="333333"/>
          <w:lang w:val="en"/>
        </w:rPr>
        <w:t>EM annually (SKM-MMA 2012, p. 77). There is enough generation capacity from captured methane to power more than 200,000 homes, with an additional 45 MW of new landfill electricity generation projects currently in development, and a further 18 MW under asse</w:t>
      </w:r>
      <w:r>
        <w:rPr>
          <w:rFonts w:ascii="Georgia" w:hAnsi="Georgia"/>
          <w:color w:val="333333"/>
          <w:lang w:val="en"/>
        </w:rPr>
        <w:t xml:space="preserve">ssment.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modelling undertaken by the Treasury and DIICCSRTE includes the impact of the RET in all scenarios. Under the no price scenario, the small emissions reduction projected to 2030 can be attributed to a combination of factors, including the conti</w:t>
      </w:r>
      <w:r>
        <w:rPr>
          <w:rFonts w:ascii="Georgia" w:hAnsi="Georgia"/>
          <w:color w:val="333333"/>
          <w:lang w:val="en"/>
        </w:rPr>
        <w:t>nuing impact of the RET.</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In addition to the national RET, state-based schemes promoting effective treatment or diversion of waste have also contributed to the diffusion of emissions reduction technologies. The GGAS operated in New South Wales from 2003 to </w:t>
      </w:r>
      <w:r>
        <w:rPr>
          <w:rFonts w:ascii="Georgia" w:hAnsi="Georgia"/>
          <w:color w:val="333333"/>
          <w:lang w:val="en"/>
        </w:rPr>
        <w:t xml:space="preserve">2012 and gave operators credits to capture emissions and certificates for electricity generation from landfill gas, similar in function to the RET. This scheme helped to </w:t>
      </w:r>
      <w:proofErr w:type="spellStart"/>
      <w:r>
        <w:rPr>
          <w:rFonts w:ascii="Georgia" w:hAnsi="Georgia"/>
          <w:color w:val="333333"/>
          <w:lang w:val="en"/>
        </w:rPr>
        <w:t>incentivise</w:t>
      </w:r>
      <w:proofErr w:type="spellEnd"/>
      <w:r>
        <w:rPr>
          <w:rFonts w:ascii="Georgia" w:hAnsi="Georgia"/>
          <w:color w:val="333333"/>
          <w:lang w:val="en"/>
        </w:rPr>
        <w:t xml:space="preserve"> the uptake of landfill gas capture technologies by giving landfill operato</w:t>
      </w:r>
      <w:r>
        <w:rPr>
          <w:rFonts w:ascii="Georgia" w:hAnsi="Georgia"/>
          <w:color w:val="333333"/>
          <w:lang w:val="en"/>
        </w:rPr>
        <w:t xml:space="preserve">rs additional revenue streams via the market for offset credits. This scheme was closed in 2012. The CFI now offers incentives for eligible landfill gas capture projects.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CFI provides price incentives for the reduction of emissions associated with leg</w:t>
      </w:r>
      <w:r>
        <w:rPr>
          <w:rFonts w:ascii="Georgia" w:hAnsi="Georgia"/>
          <w:color w:val="333333"/>
          <w:lang w:val="en"/>
        </w:rPr>
        <w:t>acy waste (waste deposited prior to 1 July 2012). Since its introduction, the CFI has registered more projects related to waste than from any other sector. According to the Clean Energy Regulator (2013), the CFI has 69 registered waste projects involving g</w:t>
      </w:r>
      <w:r>
        <w:rPr>
          <w:rFonts w:ascii="Georgia" w:hAnsi="Georgia"/>
          <w:color w:val="333333"/>
          <w:lang w:val="en"/>
        </w:rPr>
        <w:t>as capture, combustion and diversion in January 2014. These projects have resulted in about 3.9 million Australian carbon credit units being issued, representing a reduction in emissions of almost 4 Mt CO</w:t>
      </w:r>
      <w:r>
        <w:rPr>
          <w:rFonts w:ascii="Georgia" w:hAnsi="Georgia"/>
          <w:color w:val="333333"/>
          <w:sz w:val="18"/>
          <w:szCs w:val="18"/>
          <w:vertAlign w:val="subscript"/>
          <w:lang w:val="en"/>
        </w:rPr>
        <w:t>2</w:t>
      </w:r>
      <w:r>
        <w:rPr>
          <w:rFonts w:ascii="Georgia" w:hAnsi="Georgia"/>
          <w:color w:val="333333"/>
          <w:lang w:val="en"/>
        </w:rPr>
        <w:t>-e. Given that only legacy waste is eligible for CF</w:t>
      </w:r>
      <w:r>
        <w:rPr>
          <w:rFonts w:ascii="Georgia" w:hAnsi="Georgia"/>
          <w:color w:val="333333"/>
          <w:lang w:val="en"/>
        </w:rPr>
        <w:t>I credits, the CFI is projected to be most pronounced in the first few years of operation, and will decline into the future as the emissions from legacy waste decline.</w:t>
      </w:r>
    </w:p>
    <w:p w:rsidR="00000000" w:rsidRDefault="004170B4">
      <w:pPr>
        <w:pStyle w:val="NormalWeb"/>
        <w:spacing w:line="300" w:lineRule="atLeast"/>
        <w:rPr>
          <w:rFonts w:ascii="Georgia" w:hAnsi="Georgia"/>
          <w:color w:val="333333"/>
          <w:lang w:val="en"/>
        </w:rPr>
      </w:pPr>
      <w:r>
        <w:rPr>
          <w:rFonts w:ascii="Georgia" w:hAnsi="Georgia"/>
          <w:color w:val="333333"/>
          <w:lang w:val="en"/>
        </w:rPr>
        <w:t xml:space="preserve">The price difference between landfilling and </w:t>
      </w:r>
      <w:r>
        <w:rPr>
          <w:rFonts w:ascii="Georgia" w:hAnsi="Georgia"/>
          <w:color w:val="333333"/>
          <w:lang w:val="en"/>
        </w:rPr>
        <w:t>alternative waste treatments is expected to shrink under the low, medium and high scenarios, which would make alternative waste treatment a more attractive option. There is some evidence that reducing the price difference of landfill relative to alternativ</w:t>
      </w:r>
      <w:r>
        <w:rPr>
          <w:rFonts w:ascii="Georgia" w:hAnsi="Georgia"/>
          <w:color w:val="333333"/>
          <w:lang w:val="en"/>
        </w:rPr>
        <w:t>e waste treatments drives waste streams away from landfill (PC 2006, pp. 153–7). This has previously been addressed via increased landfill levies in some Australian states and in the UK (UK Committee on Climate Change 2013, p. 218).</w:t>
      </w:r>
    </w:p>
    <w:p w:rsidR="00000000" w:rsidRDefault="004170B4">
      <w:pPr>
        <w:pStyle w:val="Heading4"/>
        <w:rPr>
          <w:rFonts w:eastAsia="Times New Roman"/>
          <w:color w:val="333333"/>
          <w:lang w:val="en"/>
        </w:rPr>
      </w:pPr>
      <w:r>
        <w:rPr>
          <w:rFonts w:eastAsia="Times New Roman"/>
          <w:color w:val="333333"/>
          <w:lang w:val="en"/>
        </w:rPr>
        <w:t>D10.3.2 Barriers to was</w:t>
      </w:r>
      <w:r>
        <w:rPr>
          <w:rFonts w:eastAsia="Times New Roman"/>
          <w:color w:val="333333"/>
          <w:lang w:val="en"/>
        </w:rPr>
        <w:t>te emissions reduction</w:t>
      </w:r>
    </w:p>
    <w:p w:rsidR="00000000" w:rsidRDefault="004170B4">
      <w:pPr>
        <w:pStyle w:val="NormalWeb"/>
        <w:spacing w:line="300" w:lineRule="atLeast"/>
        <w:rPr>
          <w:rFonts w:ascii="Georgia" w:hAnsi="Georgia"/>
          <w:color w:val="333333"/>
          <w:lang w:val="en"/>
        </w:rPr>
      </w:pPr>
      <w:r>
        <w:rPr>
          <w:rFonts w:ascii="Georgia" w:hAnsi="Georgia"/>
          <w:color w:val="333333"/>
          <w:lang w:val="en"/>
        </w:rPr>
        <w:lastRenderedPageBreak/>
        <w:t xml:space="preserve">Due to a range of pricing, demand and regulatory differences across states and municipalities, the level of landfill diversionary activity differs, indicating that additional emissions reduction opportunities may exist.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installa</w:t>
      </w:r>
      <w:r>
        <w:rPr>
          <w:rFonts w:ascii="Georgia" w:hAnsi="Georgia"/>
          <w:color w:val="333333"/>
          <w:lang w:val="en"/>
        </w:rPr>
        <w:t xml:space="preserve">tion of new technologies involves large capital costs that may take an extended period of operation to recover. This suggests that a strong and stable price incentive or a clear and enforceable regulatory requirement would be needed to further </w:t>
      </w:r>
      <w:proofErr w:type="spellStart"/>
      <w:r>
        <w:rPr>
          <w:rFonts w:ascii="Georgia" w:hAnsi="Georgia"/>
          <w:color w:val="333333"/>
          <w:lang w:val="en"/>
        </w:rPr>
        <w:t>incentivise</w:t>
      </w:r>
      <w:proofErr w:type="spellEnd"/>
      <w:r>
        <w:rPr>
          <w:rFonts w:ascii="Georgia" w:hAnsi="Georgia"/>
          <w:color w:val="333333"/>
          <w:lang w:val="en"/>
        </w:rPr>
        <w:t xml:space="preserve"> </w:t>
      </w:r>
      <w:r>
        <w:rPr>
          <w:rFonts w:ascii="Georgia" w:hAnsi="Georgia"/>
          <w:color w:val="333333"/>
          <w:lang w:val="en"/>
        </w:rPr>
        <w:t xml:space="preserve">investment in these technologies. </w:t>
      </w:r>
    </w:p>
    <w:p w:rsidR="00000000" w:rsidRDefault="004170B4">
      <w:pPr>
        <w:pStyle w:val="NormalWeb"/>
        <w:spacing w:line="300" w:lineRule="atLeast"/>
        <w:rPr>
          <w:rFonts w:ascii="Georgia" w:hAnsi="Georgia"/>
          <w:color w:val="333333"/>
          <w:lang w:val="en"/>
        </w:rPr>
      </w:pPr>
      <w:r>
        <w:rPr>
          <w:rFonts w:ascii="Georgia" w:hAnsi="Georgia"/>
          <w:color w:val="333333"/>
          <w:lang w:val="en"/>
        </w:rPr>
        <w:t>New waste treatment technologies and processes, such as food and electronic waste treatment and thermal treatment plants, may also face hurdles from community acceptance, land availability, local planning requirements and</w:t>
      </w:r>
      <w:r>
        <w:rPr>
          <w:rFonts w:ascii="Georgia" w:hAnsi="Georgia"/>
          <w:color w:val="333333"/>
          <w:lang w:val="en"/>
        </w:rPr>
        <w:t xml:space="preserve"> funding. </w:t>
      </w:r>
    </w:p>
    <w:p w:rsidR="00000000" w:rsidRDefault="004170B4">
      <w:pPr>
        <w:pStyle w:val="NormalWeb"/>
        <w:spacing w:line="300" w:lineRule="atLeast"/>
        <w:rPr>
          <w:rFonts w:ascii="Georgia" w:hAnsi="Georgia"/>
          <w:color w:val="333333"/>
          <w:lang w:val="en"/>
        </w:rPr>
      </w:pPr>
      <w:r>
        <w:rPr>
          <w:rFonts w:ascii="Georgia" w:hAnsi="Georgia"/>
          <w:color w:val="333333"/>
          <w:lang w:val="en"/>
        </w:rPr>
        <w:t>The level of demand can also be a barrier to effective waste diversion or emissions reduction, as towns in rural and regional areas often do not generate enough waste for operators to justify investing in costly alternative waste treatment facil</w:t>
      </w:r>
      <w:r>
        <w:rPr>
          <w:rFonts w:ascii="Georgia" w:hAnsi="Georgia"/>
          <w:color w:val="333333"/>
          <w:lang w:val="en"/>
        </w:rPr>
        <w:t>ities or technologies.</w:t>
      </w:r>
    </w:p>
    <w:p w:rsidR="00000000" w:rsidRDefault="004170B4">
      <w:pPr>
        <w:pStyle w:val="NormalWeb"/>
        <w:spacing w:line="300" w:lineRule="atLeast"/>
        <w:divId w:val="2076467165"/>
        <w:rPr>
          <w:rFonts w:ascii="Georgia" w:hAnsi="Georgia"/>
          <w:color w:val="333333"/>
          <w:lang w:val="en"/>
        </w:rPr>
      </w:pPr>
      <w:hyperlink w:anchor="footnote-179189-1-backlink" w:history="1">
        <w:r>
          <w:rPr>
            <w:rStyle w:val="Hyperlink"/>
            <w:rFonts w:ascii="Georgia" w:hAnsi="Georgia"/>
            <w:lang w:val="en"/>
          </w:rPr>
          <w:t>1</w:t>
        </w:r>
      </w:hyperlink>
      <w:r>
        <w:rPr>
          <w:rFonts w:ascii="Georgia" w:hAnsi="Georgia"/>
          <w:color w:val="333333"/>
          <w:lang w:val="en"/>
        </w:rPr>
        <w:tab/>
        <w:t>Large scale is taken to be annual sequestration of at least 0.8 Mt CO</w:t>
      </w:r>
      <w:r>
        <w:rPr>
          <w:rFonts w:ascii="Georgia" w:hAnsi="Georgia"/>
          <w:color w:val="333333"/>
          <w:sz w:val="18"/>
          <w:szCs w:val="18"/>
          <w:vertAlign w:val="subscript"/>
          <w:lang w:val="en"/>
        </w:rPr>
        <w:t>2</w:t>
      </w:r>
      <w:r>
        <w:rPr>
          <w:rFonts w:ascii="Georgia" w:hAnsi="Georgia"/>
          <w:color w:val="333333"/>
          <w:lang w:val="en"/>
        </w:rPr>
        <w:t>-e for coal-fired power plants and 0.4 Mt CO</w:t>
      </w:r>
      <w:r>
        <w:rPr>
          <w:rFonts w:ascii="Georgia" w:hAnsi="Georgia"/>
          <w:color w:val="333333"/>
          <w:sz w:val="18"/>
          <w:szCs w:val="18"/>
          <w:vertAlign w:val="subscript"/>
          <w:lang w:val="en"/>
        </w:rPr>
        <w:t>2</w:t>
      </w:r>
      <w:r>
        <w:rPr>
          <w:rFonts w:ascii="Georgia" w:hAnsi="Georgia"/>
          <w:color w:val="333333"/>
          <w:lang w:val="en"/>
        </w:rPr>
        <w:t>-e for gas-fired plants (GCCSI 2013c).</w:t>
      </w:r>
    </w:p>
    <w:p w:rsidR="00000000" w:rsidRDefault="004170B4">
      <w:pPr>
        <w:pStyle w:val="NormalWeb"/>
        <w:spacing w:line="300" w:lineRule="atLeast"/>
        <w:divId w:val="1339772276"/>
        <w:rPr>
          <w:rFonts w:ascii="Georgia" w:hAnsi="Georgia"/>
          <w:color w:val="333333"/>
          <w:lang w:val="en"/>
        </w:rPr>
      </w:pPr>
      <w:hyperlink w:anchor="footnote-179189-2-backlink" w:history="1">
        <w:r>
          <w:rPr>
            <w:rStyle w:val="Hyperlink"/>
            <w:rFonts w:ascii="Georgia" w:hAnsi="Georgia"/>
            <w:lang w:val="en"/>
          </w:rPr>
          <w:t>2</w:t>
        </w:r>
      </w:hyperlink>
      <w:r>
        <w:rPr>
          <w:rFonts w:ascii="Georgia" w:hAnsi="Georgia"/>
          <w:color w:val="333333"/>
          <w:lang w:val="en"/>
        </w:rPr>
        <w:tab/>
        <w:t xml:space="preserve"> Based on a scenario that limits global emissions concentrations to 450 ppm in 2050.</w:t>
      </w:r>
    </w:p>
    <w:p w:rsidR="00000000" w:rsidRDefault="004170B4">
      <w:pPr>
        <w:pStyle w:val="NormalWeb"/>
        <w:spacing w:line="300" w:lineRule="atLeast"/>
        <w:divId w:val="1823081972"/>
        <w:rPr>
          <w:rFonts w:ascii="Georgia" w:hAnsi="Georgia"/>
          <w:color w:val="333333"/>
          <w:lang w:val="en"/>
        </w:rPr>
      </w:pPr>
      <w:hyperlink w:anchor="footnote-179189-3-backlink" w:history="1">
        <w:r>
          <w:rPr>
            <w:rStyle w:val="Hyperlink"/>
            <w:rFonts w:ascii="Georgia" w:hAnsi="Georgia"/>
            <w:lang w:val="en"/>
          </w:rPr>
          <w:t>3</w:t>
        </w:r>
      </w:hyperlink>
      <w:r>
        <w:rPr>
          <w:rFonts w:ascii="Georgia" w:hAnsi="Georgia"/>
          <w:color w:val="333333"/>
          <w:lang w:val="en"/>
        </w:rPr>
        <w:tab/>
        <w:t xml:space="preserve"> Conversion factor applied to convert US CAFE tested mpg to New Europ</w:t>
      </w:r>
      <w:r>
        <w:rPr>
          <w:rFonts w:ascii="Georgia" w:hAnsi="Georgia"/>
          <w:color w:val="333333"/>
          <w:lang w:val="en"/>
        </w:rPr>
        <w:t>ean Drive Cycle tested g CO</w:t>
      </w:r>
      <w:r>
        <w:rPr>
          <w:rFonts w:ascii="Georgia" w:hAnsi="Georgia"/>
          <w:color w:val="333333"/>
          <w:sz w:val="18"/>
          <w:szCs w:val="18"/>
          <w:vertAlign w:val="subscript"/>
          <w:lang w:val="en"/>
        </w:rPr>
        <w:t>2</w:t>
      </w:r>
      <w:r>
        <w:rPr>
          <w:rFonts w:ascii="Georgia" w:hAnsi="Georgia"/>
          <w:color w:val="333333"/>
          <w:lang w:val="en"/>
        </w:rPr>
        <w:t>/km (ICCT 2012).</w:t>
      </w:r>
    </w:p>
    <w:sectPr w:rsidR="00000000">
      <w:pgSz w:w="11907"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3DE7"/>
    <w:multiLevelType w:val="multilevel"/>
    <w:tmpl w:val="F1EC9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06C5E3B"/>
    <w:multiLevelType w:val="multilevel"/>
    <w:tmpl w:val="92FE9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1332AAB"/>
    <w:multiLevelType w:val="multilevel"/>
    <w:tmpl w:val="2188B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735991"/>
    <w:multiLevelType w:val="multilevel"/>
    <w:tmpl w:val="D330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AE52A3B"/>
    <w:multiLevelType w:val="multilevel"/>
    <w:tmpl w:val="AE6CF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E0870C1"/>
    <w:multiLevelType w:val="multilevel"/>
    <w:tmpl w:val="BE600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E9F74E9"/>
    <w:multiLevelType w:val="multilevel"/>
    <w:tmpl w:val="E56E5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4EA6B1D"/>
    <w:multiLevelType w:val="multilevel"/>
    <w:tmpl w:val="074C4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62D4119"/>
    <w:multiLevelType w:val="multilevel"/>
    <w:tmpl w:val="46D4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9F65D1"/>
    <w:multiLevelType w:val="multilevel"/>
    <w:tmpl w:val="BF00E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8917F7D"/>
    <w:multiLevelType w:val="multilevel"/>
    <w:tmpl w:val="69988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9776A25"/>
    <w:multiLevelType w:val="multilevel"/>
    <w:tmpl w:val="95A2E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98478DD"/>
    <w:multiLevelType w:val="multilevel"/>
    <w:tmpl w:val="F3907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EF22DA8"/>
    <w:multiLevelType w:val="multilevel"/>
    <w:tmpl w:val="6CB0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1247A46"/>
    <w:multiLevelType w:val="multilevel"/>
    <w:tmpl w:val="3514C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DDD764A"/>
    <w:multiLevelType w:val="multilevel"/>
    <w:tmpl w:val="9DD8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3A023C5"/>
    <w:multiLevelType w:val="multilevel"/>
    <w:tmpl w:val="06CE4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DD940CB"/>
    <w:multiLevelType w:val="multilevel"/>
    <w:tmpl w:val="C066C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1F0186F"/>
    <w:multiLevelType w:val="multilevel"/>
    <w:tmpl w:val="143C9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5BC4B4E"/>
    <w:multiLevelType w:val="multilevel"/>
    <w:tmpl w:val="874C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87F38F2"/>
    <w:multiLevelType w:val="multilevel"/>
    <w:tmpl w:val="9356F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FF62825"/>
    <w:multiLevelType w:val="multilevel"/>
    <w:tmpl w:val="9BC8C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19A207F"/>
    <w:multiLevelType w:val="multilevel"/>
    <w:tmpl w:val="D39E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317446E"/>
    <w:multiLevelType w:val="multilevel"/>
    <w:tmpl w:val="F13C1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32A7E57"/>
    <w:multiLevelType w:val="multilevel"/>
    <w:tmpl w:val="2758D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7EF7CC3"/>
    <w:multiLevelType w:val="multilevel"/>
    <w:tmpl w:val="53CAC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ACA1462"/>
    <w:multiLevelType w:val="multilevel"/>
    <w:tmpl w:val="3AA09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E993C9D"/>
    <w:multiLevelType w:val="multilevel"/>
    <w:tmpl w:val="12386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233691C"/>
    <w:multiLevelType w:val="multilevel"/>
    <w:tmpl w:val="49F0E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27E12D8"/>
    <w:multiLevelType w:val="multilevel"/>
    <w:tmpl w:val="3D36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6AE3D1E"/>
    <w:multiLevelType w:val="multilevel"/>
    <w:tmpl w:val="B19E7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75E139B"/>
    <w:multiLevelType w:val="multilevel"/>
    <w:tmpl w:val="9BF46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E9727DF"/>
    <w:multiLevelType w:val="multilevel"/>
    <w:tmpl w:val="9E6E9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lvlOverride w:ilvl="2"/>
    <w:lvlOverride w:ilvl="3"/>
    <w:lvlOverride w:ilvl="4"/>
    <w:lvlOverride w:ilvl="5"/>
    <w:lvlOverride w:ilvl="6"/>
    <w:lvlOverride w:ilvl="7"/>
    <w:lvlOverride w:ilvl="8"/>
  </w:num>
  <w:num w:numId="2">
    <w:abstractNumId w:val="13"/>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24"/>
    <w:lvlOverride w:ilvl="0"/>
    <w:lvlOverride w:ilvl="1"/>
    <w:lvlOverride w:ilvl="2"/>
    <w:lvlOverride w:ilvl="3"/>
    <w:lvlOverride w:ilvl="4"/>
    <w:lvlOverride w:ilvl="5"/>
    <w:lvlOverride w:ilvl="6"/>
    <w:lvlOverride w:ilvl="7"/>
    <w:lvlOverride w:ilvl="8"/>
  </w:num>
  <w:num w:numId="5">
    <w:abstractNumId w:val="32"/>
    <w:lvlOverride w:ilvl="0"/>
    <w:lvlOverride w:ilvl="1"/>
    <w:lvlOverride w:ilvl="2"/>
    <w:lvlOverride w:ilvl="3"/>
    <w:lvlOverride w:ilvl="4"/>
    <w:lvlOverride w:ilvl="5"/>
    <w:lvlOverride w:ilvl="6"/>
    <w:lvlOverride w:ilvl="7"/>
    <w:lvlOverride w:ilvl="8"/>
  </w:num>
  <w:num w:numId="6">
    <w:abstractNumId w:val="16"/>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6"/>
    <w:lvlOverride w:ilvl="0"/>
    <w:lvlOverride w:ilvl="1"/>
    <w:lvlOverride w:ilvl="2"/>
    <w:lvlOverride w:ilvl="3"/>
    <w:lvlOverride w:ilvl="4"/>
    <w:lvlOverride w:ilvl="5"/>
    <w:lvlOverride w:ilvl="6"/>
    <w:lvlOverride w:ilvl="7"/>
    <w:lvlOverride w:ilvl="8"/>
  </w:num>
  <w:num w:numId="9">
    <w:abstractNumId w:val="25"/>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12"/>
    <w:lvlOverride w:ilvl="0"/>
    <w:lvlOverride w:ilvl="1"/>
    <w:lvlOverride w:ilvl="2"/>
    <w:lvlOverride w:ilvl="3"/>
    <w:lvlOverride w:ilvl="4"/>
    <w:lvlOverride w:ilvl="5"/>
    <w:lvlOverride w:ilvl="6"/>
    <w:lvlOverride w:ilvl="7"/>
    <w:lvlOverride w:ilvl="8"/>
  </w:num>
  <w:num w:numId="12">
    <w:abstractNumId w:val="17"/>
    <w:lvlOverride w:ilvl="0"/>
    <w:lvlOverride w:ilvl="1"/>
    <w:lvlOverride w:ilvl="2"/>
    <w:lvlOverride w:ilvl="3"/>
    <w:lvlOverride w:ilvl="4"/>
    <w:lvlOverride w:ilvl="5"/>
    <w:lvlOverride w:ilvl="6"/>
    <w:lvlOverride w:ilvl="7"/>
    <w:lvlOverride w:ilvl="8"/>
  </w:num>
  <w:num w:numId="13">
    <w:abstractNumId w:val="21"/>
    <w:lvlOverride w:ilvl="0"/>
    <w:lvlOverride w:ilvl="1"/>
    <w:lvlOverride w:ilvl="2"/>
    <w:lvlOverride w:ilvl="3"/>
    <w:lvlOverride w:ilvl="4"/>
    <w:lvlOverride w:ilvl="5"/>
    <w:lvlOverride w:ilvl="6"/>
    <w:lvlOverride w:ilvl="7"/>
    <w:lvlOverride w:ilvl="8"/>
  </w:num>
  <w:num w:numId="14">
    <w:abstractNumId w:val="22"/>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 w:numId="16">
    <w:abstractNumId w:val="26"/>
    <w:lvlOverride w:ilvl="0"/>
    <w:lvlOverride w:ilvl="1"/>
    <w:lvlOverride w:ilvl="2"/>
    <w:lvlOverride w:ilvl="3"/>
    <w:lvlOverride w:ilvl="4"/>
    <w:lvlOverride w:ilvl="5"/>
    <w:lvlOverride w:ilvl="6"/>
    <w:lvlOverride w:ilvl="7"/>
    <w:lvlOverride w:ilvl="8"/>
  </w:num>
  <w:num w:numId="17">
    <w:abstractNumId w:val="31"/>
    <w:lvlOverride w:ilvl="0"/>
    <w:lvlOverride w:ilvl="1"/>
    <w:lvlOverride w:ilvl="2"/>
    <w:lvlOverride w:ilvl="3"/>
    <w:lvlOverride w:ilvl="4"/>
    <w:lvlOverride w:ilvl="5"/>
    <w:lvlOverride w:ilvl="6"/>
    <w:lvlOverride w:ilvl="7"/>
    <w:lvlOverride w:ilvl="8"/>
  </w:num>
  <w:num w:numId="18">
    <w:abstractNumId w:val="18"/>
    <w:lvlOverride w:ilvl="0"/>
    <w:lvlOverride w:ilvl="1"/>
    <w:lvlOverride w:ilvl="2"/>
    <w:lvlOverride w:ilvl="3"/>
    <w:lvlOverride w:ilvl="4"/>
    <w:lvlOverride w:ilvl="5"/>
    <w:lvlOverride w:ilvl="6"/>
    <w:lvlOverride w:ilvl="7"/>
    <w:lvlOverride w:ilvl="8"/>
  </w:num>
  <w:num w:numId="19">
    <w:abstractNumId w:val="23"/>
    <w:lvlOverride w:ilvl="0"/>
    <w:lvlOverride w:ilvl="1"/>
    <w:lvlOverride w:ilvl="2"/>
    <w:lvlOverride w:ilvl="3"/>
    <w:lvlOverride w:ilvl="4"/>
    <w:lvlOverride w:ilvl="5"/>
    <w:lvlOverride w:ilvl="6"/>
    <w:lvlOverride w:ilvl="7"/>
    <w:lvlOverride w:ilvl="8"/>
  </w:num>
  <w:num w:numId="20">
    <w:abstractNumId w:val="29"/>
    <w:lvlOverride w:ilvl="0"/>
    <w:lvlOverride w:ilvl="1"/>
    <w:lvlOverride w:ilvl="2"/>
    <w:lvlOverride w:ilvl="3"/>
    <w:lvlOverride w:ilvl="4"/>
    <w:lvlOverride w:ilvl="5"/>
    <w:lvlOverride w:ilvl="6"/>
    <w:lvlOverride w:ilvl="7"/>
    <w:lvlOverride w:ilvl="8"/>
  </w:num>
  <w:num w:numId="21">
    <w:abstractNumId w:val="20"/>
    <w:lvlOverride w:ilvl="0"/>
    <w:lvlOverride w:ilvl="1"/>
    <w:lvlOverride w:ilvl="2"/>
    <w:lvlOverride w:ilvl="3"/>
    <w:lvlOverride w:ilvl="4"/>
    <w:lvlOverride w:ilvl="5"/>
    <w:lvlOverride w:ilvl="6"/>
    <w:lvlOverride w:ilvl="7"/>
    <w:lvlOverride w:ilvl="8"/>
  </w:num>
  <w:num w:numId="22">
    <w:abstractNumId w:val="27"/>
    <w:lvlOverride w:ilvl="0"/>
    <w:lvlOverride w:ilvl="1"/>
    <w:lvlOverride w:ilvl="2"/>
    <w:lvlOverride w:ilvl="3"/>
    <w:lvlOverride w:ilvl="4"/>
    <w:lvlOverride w:ilvl="5"/>
    <w:lvlOverride w:ilvl="6"/>
    <w:lvlOverride w:ilvl="7"/>
    <w:lvlOverride w:ilvl="8"/>
  </w:num>
  <w:num w:numId="23">
    <w:abstractNumId w:val="9"/>
    <w:lvlOverride w:ilvl="0"/>
    <w:lvlOverride w:ilvl="1"/>
    <w:lvlOverride w:ilvl="2"/>
    <w:lvlOverride w:ilvl="3"/>
    <w:lvlOverride w:ilvl="4"/>
    <w:lvlOverride w:ilvl="5"/>
    <w:lvlOverride w:ilvl="6"/>
    <w:lvlOverride w:ilvl="7"/>
    <w:lvlOverride w:ilvl="8"/>
  </w:num>
  <w:num w:numId="24">
    <w:abstractNumId w:val="1"/>
    <w:lvlOverride w:ilvl="0"/>
    <w:lvlOverride w:ilvl="1"/>
    <w:lvlOverride w:ilvl="2"/>
    <w:lvlOverride w:ilvl="3"/>
    <w:lvlOverride w:ilvl="4"/>
    <w:lvlOverride w:ilvl="5"/>
    <w:lvlOverride w:ilvl="6"/>
    <w:lvlOverride w:ilvl="7"/>
    <w:lvlOverride w:ilvl="8"/>
  </w:num>
  <w:num w:numId="25">
    <w:abstractNumId w:val="8"/>
    <w:lvlOverride w:ilvl="0"/>
    <w:lvlOverride w:ilvl="1"/>
    <w:lvlOverride w:ilvl="2"/>
    <w:lvlOverride w:ilvl="3"/>
    <w:lvlOverride w:ilvl="4"/>
    <w:lvlOverride w:ilvl="5"/>
    <w:lvlOverride w:ilvl="6"/>
    <w:lvlOverride w:ilvl="7"/>
    <w:lvlOverride w:ilvl="8"/>
  </w:num>
  <w:num w:numId="26">
    <w:abstractNumId w:val="2"/>
    <w:lvlOverride w:ilvl="0"/>
    <w:lvlOverride w:ilvl="1"/>
    <w:lvlOverride w:ilvl="2"/>
    <w:lvlOverride w:ilvl="3"/>
    <w:lvlOverride w:ilvl="4"/>
    <w:lvlOverride w:ilvl="5"/>
    <w:lvlOverride w:ilvl="6"/>
    <w:lvlOverride w:ilvl="7"/>
    <w:lvlOverride w:ilvl="8"/>
  </w:num>
  <w:num w:numId="27">
    <w:abstractNumId w:val="30"/>
    <w:lvlOverride w:ilvl="0"/>
    <w:lvlOverride w:ilvl="1"/>
    <w:lvlOverride w:ilvl="2"/>
    <w:lvlOverride w:ilvl="3"/>
    <w:lvlOverride w:ilvl="4"/>
    <w:lvlOverride w:ilvl="5"/>
    <w:lvlOverride w:ilvl="6"/>
    <w:lvlOverride w:ilvl="7"/>
    <w:lvlOverride w:ilvl="8"/>
  </w:num>
  <w:num w:numId="28">
    <w:abstractNumId w:val="28"/>
    <w:lvlOverride w:ilvl="0"/>
    <w:lvlOverride w:ilvl="1"/>
    <w:lvlOverride w:ilvl="2"/>
    <w:lvlOverride w:ilvl="3"/>
    <w:lvlOverride w:ilvl="4"/>
    <w:lvlOverride w:ilvl="5"/>
    <w:lvlOverride w:ilvl="6"/>
    <w:lvlOverride w:ilvl="7"/>
    <w:lvlOverride w:ilvl="8"/>
  </w:num>
  <w:num w:numId="29">
    <w:abstractNumId w:val="19"/>
    <w:lvlOverride w:ilvl="0"/>
    <w:lvlOverride w:ilvl="1"/>
    <w:lvlOverride w:ilvl="2"/>
    <w:lvlOverride w:ilvl="3"/>
    <w:lvlOverride w:ilvl="4"/>
    <w:lvlOverride w:ilvl="5"/>
    <w:lvlOverride w:ilvl="6"/>
    <w:lvlOverride w:ilvl="7"/>
    <w:lvlOverride w:ilvl="8"/>
  </w:num>
  <w:num w:numId="30">
    <w:abstractNumId w:val="15"/>
    <w:lvlOverride w:ilvl="0"/>
    <w:lvlOverride w:ilvl="1"/>
    <w:lvlOverride w:ilvl="2"/>
    <w:lvlOverride w:ilvl="3"/>
    <w:lvlOverride w:ilvl="4"/>
    <w:lvlOverride w:ilvl="5"/>
    <w:lvlOverride w:ilvl="6"/>
    <w:lvlOverride w:ilvl="7"/>
    <w:lvlOverride w:ilvl="8"/>
  </w:num>
  <w:num w:numId="31">
    <w:abstractNumId w:val="3"/>
    <w:lvlOverride w:ilvl="0"/>
    <w:lvlOverride w:ilvl="1"/>
    <w:lvlOverride w:ilvl="2"/>
    <w:lvlOverride w:ilvl="3"/>
    <w:lvlOverride w:ilvl="4"/>
    <w:lvlOverride w:ilvl="5"/>
    <w:lvlOverride w:ilvl="6"/>
    <w:lvlOverride w:ilvl="7"/>
    <w:lvlOverride w:ilvl="8"/>
  </w:num>
  <w:num w:numId="32">
    <w:abstractNumId w:val="10"/>
    <w:lvlOverride w:ilvl="0"/>
    <w:lvlOverride w:ilvl="1"/>
    <w:lvlOverride w:ilvl="2"/>
    <w:lvlOverride w:ilvl="3"/>
    <w:lvlOverride w:ilvl="4"/>
    <w:lvlOverride w:ilvl="5"/>
    <w:lvlOverride w:ilvl="6"/>
    <w:lvlOverride w:ilvl="7"/>
    <w:lvlOverride w:ilvl="8"/>
  </w:num>
  <w:num w:numId="33">
    <w:abstractNumId w:val="14"/>
    <w:lvlOverride w:ilvl="0"/>
    <w:lvlOverride w:ilvl="1"/>
    <w:lvlOverride w:ilvl="2"/>
    <w:lvlOverride w:ilvl="3"/>
    <w:lvlOverride w:ilvl="4"/>
    <w:lvlOverride w:ilvl="5"/>
    <w:lvlOverride w:ilvl="6"/>
    <w:lvlOverride w:ilvl="7"/>
    <w:lvlOverride w:ilv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attachedTemplate r:id="rId1"/>
  <w:defaultTabStop w:val="720"/>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4170B4"/>
    <w:rsid w:val="00417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shapelayout>
  </w:shapeDefaults>
  <w:decimalSymbol w:val="."/>
  <w:listSeparator w:val=","/>
  <w15:chartTrackingRefBased/>
  <w15:docId w15:val="{432214EB-BB62-4D9F-BD74-5A9A4D43B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pPr>
    <w:rPr>
      <w:rFonts w:eastAsiaTheme="minorEastAsia"/>
      <w:sz w:val="24"/>
      <w:szCs w:val="24"/>
    </w:rPr>
  </w:style>
  <w:style w:type="paragraph" w:styleId="Heading1">
    <w:name w:val="heading 1"/>
    <w:basedOn w:val="Normal"/>
    <w:link w:val="Heading1Char"/>
    <w:uiPriority w:val="9"/>
    <w:qFormat/>
    <w:pPr>
      <w:spacing w:before="150" w:beforeAutospacing="0" w:after="100" w:afterAutospacing="1" w:line="600" w:lineRule="atLeast"/>
      <w:outlineLvl w:val="0"/>
    </w:pPr>
    <w:rPr>
      <w:b/>
      <w:bCs/>
      <w:kern w:val="36"/>
      <w:sz w:val="54"/>
      <w:szCs w:val="54"/>
    </w:rPr>
  </w:style>
  <w:style w:type="paragraph" w:styleId="Heading2">
    <w:name w:val="heading 2"/>
    <w:basedOn w:val="Normal"/>
    <w:link w:val="Heading2Char"/>
    <w:uiPriority w:val="9"/>
    <w:qFormat/>
    <w:pPr>
      <w:spacing w:before="150" w:beforeAutospacing="0" w:after="100" w:afterAutospacing="1" w:line="600" w:lineRule="atLeast"/>
      <w:outlineLvl w:val="1"/>
    </w:pPr>
    <w:rPr>
      <w:b/>
      <w:bCs/>
      <w:sz w:val="31"/>
      <w:szCs w:val="31"/>
    </w:rPr>
  </w:style>
  <w:style w:type="paragraph" w:styleId="Heading3">
    <w:name w:val="heading 3"/>
    <w:basedOn w:val="Normal"/>
    <w:link w:val="Heading3Char"/>
    <w:uiPriority w:val="9"/>
    <w:qFormat/>
    <w:pPr>
      <w:spacing w:before="150" w:beforeAutospacing="0" w:after="100" w:afterAutospacing="1" w:line="600" w:lineRule="atLeast"/>
      <w:outlineLvl w:val="2"/>
    </w:pPr>
    <w:rPr>
      <w:b/>
      <w:bCs/>
      <w:sz w:val="29"/>
      <w:szCs w:val="29"/>
    </w:rPr>
  </w:style>
  <w:style w:type="paragraph" w:styleId="Heading4">
    <w:name w:val="heading 4"/>
    <w:basedOn w:val="Normal"/>
    <w:link w:val="Heading4Char"/>
    <w:uiPriority w:val="9"/>
    <w:qFormat/>
    <w:pPr>
      <w:spacing w:before="150" w:beforeAutospacing="0" w:after="100" w:afterAutospacing="1" w:line="300" w:lineRule="atLeast"/>
      <w:outlineLvl w:val="3"/>
    </w:pPr>
    <w:rPr>
      <w:b/>
      <w:bCs/>
      <w:sz w:val="26"/>
      <w:szCs w:val="26"/>
    </w:rPr>
  </w:style>
  <w:style w:type="paragraph" w:styleId="Heading5">
    <w:name w:val="heading 5"/>
    <w:basedOn w:val="Normal"/>
    <w:link w:val="Heading5Char"/>
    <w:uiPriority w:val="9"/>
    <w:qFormat/>
    <w:pPr>
      <w:spacing w:before="150" w:beforeAutospacing="0" w:after="100" w:afterAutospacing="1" w:line="300" w:lineRule="atLeast"/>
      <w:outlineLvl w:val="4"/>
    </w:pPr>
    <w:rPr>
      <w:b/>
      <w:bCs/>
      <w:sz w:val="21"/>
      <w:szCs w:val="21"/>
    </w:rPr>
  </w:style>
  <w:style w:type="paragraph" w:styleId="Heading6">
    <w:name w:val="heading 6"/>
    <w:basedOn w:val="Normal"/>
    <w:link w:val="Heading6Char"/>
    <w:uiPriority w:val="9"/>
    <w:qFormat/>
    <w:pPr>
      <w:spacing w:before="150" w:beforeAutospacing="0" w:after="100" w:afterAutospacing="1" w:line="300" w:lineRule="atLeast"/>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88CC"/>
      <w:u w:val="none"/>
      <w:effect w:val="none"/>
    </w:rPr>
  </w:style>
  <w:style w:type="character" w:styleId="FollowedHyperlink">
    <w:name w:val="FollowedHyperlink"/>
    <w:basedOn w:val="DefaultParagraphFont"/>
    <w:uiPriority w:val="99"/>
    <w:semiHidden/>
    <w:unhideWhenUsed/>
    <w:rPr>
      <w:strike w:val="0"/>
      <w:dstrike w:val="0"/>
      <w:color w:val="0088CC"/>
      <w:u w:val="none"/>
      <w:effect w:val="none"/>
    </w:rPr>
  </w:style>
  <w:style w:type="paragraph" w:styleId="HTMLAddress">
    <w:name w:val="HTML Address"/>
    <w:basedOn w:val="Normal"/>
    <w:link w:val="HTMLAddressChar"/>
    <w:uiPriority w:val="99"/>
    <w:semiHidden/>
    <w:unhideWhenUsed/>
    <w:pPr>
      <w:spacing w:before="0" w:beforeAutospacing="0" w:after="300" w:line="300" w:lineRule="atLeast"/>
    </w:pPr>
    <w:rPr>
      <w:i/>
      <w:iCs/>
    </w:rPr>
  </w:style>
  <w:style w:type="character" w:customStyle="1" w:styleId="HTMLAddressChar">
    <w:name w:val="HTML Address Char"/>
    <w:basedOn w:val="DefaultParagraphFont"/>
    <w:link w:val="HTMLAddress"/>
    <w:uiPriority w:val="99"/>
    <w:semiHidden/>
    <w:locked/>
    <w:rPr>
      <w:rFonts w:ascii="Times New Roman" w:eastAsiaTheme="minorEastAsia" w:hAnsi="Times New Roman" w:cs="Times New Roman" w:hint="default"/>
      <w:i/>
      <w:iCs/>
      <w:sz w:val="24"/>
      <w:szCs w:val="24"/>
    </w:rPr>
  </w:style>
  <w:style w:type="character" w:styleId="HTMLCode">
    <w:name w:val="HTML Code"/>
    <w:basedOn w:val="DefaultParagraphFont"/>
    <w:uiPriority w:val="99"/>
    <w:semiHidden/>
    <w:unhideWhenUsed/>
    <w:rPr>
      <w:rFonts w:ascii="Courier New" w:eastAsiaTheme="minorEastAsia" w:hAnsi="Courier New" w:cs="Courier New"/>
      <w:sz w:val="18"/>
      <w:szCs w:val="18"/>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4D78"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E74B5" w:themeColor="accent1" w:themeShade="BF"/>
      <w:sz w:val="24"/>
      <w:szCs w:val="24"/>
    </w:rPr>
  </w:style>
  <w:style w:type="character" w:customStyle="1" w:styleId="Heading5Char">
    <w:name w:val="Heading 5 Char"/>
    <w:basedOn w:val="DefaultParagraphFont"/>
    <w:link w:val="Heading5"/>
    <w:uiPriority w:val="9"/>
    <w:semiHidden/>
    <w:locked/>
    <w:rPr>
      <w:rFonts w:asciiTheme="majorHAnsi" w:eastAsiaTheme="majorEastAsia" w:hAnsiTheme="majorHAnsi" w:cstheme="majorBidi" w:hint="default"/>
      <w:color w:val="2E74B5" w:themeColor="accent1" w:themeShade="BF"/>
      <w:sz w:val="24"/>
      <w:szCs w:val="24"/>
    </w:rPr>
  </w:style>
  <w:style w:type="character" w:customStyle="1" w:styleId="Heading6Char">
    <w:name w:val="Heading 6 Char"/>
    <w:basedOn w:val="DefaultParagraphFont"/>
    <w:link w:val="Heading6"/>
    <w:uiPriority w:val="9"/>
    <w:semiHidden/>
    <w:locked/>
    <w:rPr>
      <w:rFonts w:asciiTheme="majorHAnsi" w:eastAsiaTheme="majorEastAsia" w:hAnsiTheme="majorHAnsi" w:cstheme="majorBidi" w:hint="default"/>
      <w:color w:val="1F4D78" w:themeColor="accent1" w:themeShade="7F"/>
      <w:sz w:val="24"/>
      <w:szCs w:val="24"/>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beforeAutospacing="0" w:line="300" w:lineRule="atLeas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nsolas" w:eastAsiaTheme="minorEastAsia" w:hAnsi="Consolas" w:cs="Consolas" w:hint="default"/>
    </w:rPr>
  </w:style>
  <w:style w:type="paragraph" w:styleId="NormalWeb">
    <w:name w:val="Normal (Web)"/>
    <w:basedOn w:val="Normal"/>
    <w:uiPriority w:val="99"/>
    <w:semiHidden/>
    <w:unhideWhenUsed/>
    <w:pPr>
      <w:spacing w:after="100" w:afterAutospacing="1"/>
    </w:pPr>
  </w:style>
  <w:style w:type="paragraph" w:customStyle="1" w:styleId="error">
    <w:name w:val="error"/>
    <w:basedOn w:val="Normal"/>
    <w:uiPriority w:val="99"/>
    <w:semiHidden/>
    <w:pPr>
      <w:spacing w:after="100" w:afterAutospacing="1"/>
    </w:pPr>
  </w:style>
  <w:style w:type="paragraph" w:customStyle="1" w:styleId="tabledrag-toggle-weight-wrapper">
    <w:name w:val="tabledrag-toggle-weight-wrapper"/>
    <w:basedOn w:val="Normal"/>
    <w:uiPriority w:val="99"/>
    <w:semiHidden/>
    <w:pPr>
      <w:spacing w:after="100" w:afterAutospacing="1"/>
      <w:jc w:val="right"/>
    </w:pPr>
  </w:style>
  <w:style w:type="paragraph" w:customStyle="1" w:styleId="ajax-progress-bar">
    <w:name w:val="ajax-progress-bar"/>
    <w:basedOn w:val="Normal"/>
    <w:uiPriority w:val="99"/>
    <w:semiHidden/>
    <w:pPr>
      <w:spacing w:after="100" w:afterAutospacing="1"/>
    </w:pPr>
  </w:style>
  <w:style w:type="paragraph" w:customStyle="1" w:styleId="nowrap">
    <w:name w:val="nowrap"/>
    <w:basedOn w:val="Normal"/>
    <w:uiPriority w:val="99"/>
    <w:semiHidden/>
    <w:pPr>
      <w:spacing w:after="100" w:afterAutospacing="1"/>
    </w:pPr>
  </w:style>
  <w:style w:type="paragraph" w:customStyle="1" w:styleId="element-hidden">
    <w:name w:val="element-hidden"/>
    <w:basedOn w:val="Normal"/>
    <w:uiPriority w:val="99"/>
    <w:semiHidden/>
    <w:pPr>
      <w:spacing w:after="100" w:afterAutospacing="1"/>
    </w:pPr>
  </w:style>
  <w:style w:type="paragraph" w:customStyle="1" w:styleId="element-invisible">
    <w:name w:val="element-invisible"/>
    <w:basedOn w:val="Normal"/>
    <w:uiPriority w:val="99"/>
    <w:semiHidden/>
    <w:pPr>
      <w:spacing w:after="100" w:afterAutospacing="1"/>
    </w:pPr>
  </w:style>
  <w:style w:type="paragraph" w:customStyle="1" w:styleId="ok">
    <w:name w:val="ok"/>
    <w:basedOn w:val="Normal"/>
    <w:uiPriority w:val="99"/>
    <w:semiHidden/>
    <w:pPr>
      <w:spacing w:after="100" w:afterAutospacing="1"/>
    </w:pPr>
  </w:style>
  <w:style w:type="paragraph" w:customStyle="1" w:styleId="warning">
    <w:name w:val="warning"/>
    <w:basedOn w:val="Normal"/>
    <w:uiPriority w:val="99"/>
    <w:semiHidden/>
    <w:pPr>
      <w:spacing w:after="100" w:afterAutospacing="1"/>
    </w:pPr>
  </w:style>
  <w:style w:type="paragraph" w:customStyle="1" w:styleId="form-item">
    <w:name w:val="form-item"/>
    <w:basedOn w:val="Normal"/>
    <w:uiPriority w:val="99"/>
    <w:semiHidden/>
    <w:pPr>
      <w:spacing w:before="240" w:beforeAutospacing="0" w:after="240"/>
    </w:pPr>
  </w:style>
  <w:style w:type="paragraph" w:customStyle="1" w:styleId="form-actions">
    <w:name w:val="form-actions"/>
    <w:basedOn w:val="Normal"/>
    <w:uiPriority w:val="99"/>
    <w:semiHidden/>
    <w:pPr>
      <w:pBdr>
        <w:top w:val="single" w:sz="6" w:space="14" w:color="E5E5E5"/>
      </w:pBdr>
      <w:shd w:val="clear" w:color="auto" w:fill="F5F5F5"/>
      <w:spacing w:before="300" w:beforeAutospacing="0" w:after="300"/>
    </w:pPr>
  </w:style>
  <w:style w:type="paragraph" w:customStyle="1" w:styleId="marker">
    <w:name w:val="marker"/>
    <w:basedOn w:val="Normal"/>
    <w:uiPriority w:val="99"/>
    <w:semiHidden/>
    <w:pPr>
      <w:spacing w:after="100" w:afterAutospacing="1"/>
    </w:pPr>
  </w:style>
  <w:style w:type="paragraph" w:customStyle="1" w:styleId="form-required">
    <w:name w:val="form-required"/>
    <w:basedOn w:val="Normal"/>
    <w:uiPriority w:val="99"/>
    <w:semiHidden/>
    <w:pPr>
      <w:spacing w:after="100" w:afterAutospacing="1"/>
    </w:pPr>
  </w:style>
  <w:style w:type="paragraph" w:customStyle="1" w:styleId="more-link">
    <w:name w:val="more-link"/>
    <w:basedOn w:val="Normal"/>
    <w:uiPriority w:val="99"/>
    <w:semiHidden/>
    <w:pPr>
      <w:spacing w:after="100" w:afterAutospacing="1"/>
      <w:jc w:val="right"/>
    </w:pPr>
  </w:style>
  <w:style w:type="paragraph" w:customStyle="1" w:styleId="more-help-link">
    <w:name w:val="more-help-link"/>
    <w:basedOn w:val="Normal"/>
    <w:uiPriority w:val="99"/>
    <w:semiHidden/>
    <w:pPr>
      <w:spacing w:after="100" w:afterAutospacing="1"/>
      <w:jc w:val="right"/>
    </w:pPr>
  </w:style>
  <w:style w:type="paragraph" w:customStyle="1" w:styleId="pager-current">
    <w:name w:val="pager-current"/>
    <w:basedOn w:val="Normal"/>
    <w:uiPriority w:val="99"/>
    <w:semiHidden/>
    <w:pPr>
      <w:spacing w:after="100" w:afterAutospacing="1"/>
    </w:pPr>
    <w:rPr>
      <w:b/>
      <w:bCs/>
    </w:rPr>
  </w:style>
  <w:style w:type="paragraph" w:customStyle="1" w:styleId="tabledrag-toggle-weight">
    <w:name w:val="tabledrag-toggle-weight"/>
    <w:basedOn w:val="Normal"/>
    <w:uiPriority w:val="99"/>
    <w:semiHidden/>
    <w:pPr>
      <w:spacing w:after="100" w:afterAutospacing="1"/>
    </w:pPr>
    <w:rPr>
      <w:sz w:val="22"/>
      <w:szCs w:val="22"/>
    </w:rPr>
  </w:style>
  <w:style w:type="paragraph" w:customStyle="1" w:styleId="progress">
    <w:name w:val="progress"/>
    <w:basedOn w:val="Normal"/>
    <w:uiPriority w:val="99"/>
    <w:semiHidden/>
    <w:pPr>
      <w:shd w:val="clear" w:color="auto" w:fill="F7F7F7"/>
      <w:spacing w:after="300"/>
    </w:pPr>
    <w:rPr>
      <w:b/>
      <w:bCs/>
    </w:rPr>
  </w:style>
  <w:style w:type="paragraph" w:customStyle="1" w:styleId="indented">
    <w:name w:val="indented"/>
    <w:basedOn w:val="Normal"/>
    <w:uiPriority w:val="99"/>
    <w:semiHidden/>
    <w:pPr>
      <w:spacing w:after="100" w:afterAutospacing="1"/>
      <w:ind w:left="375"/>
    </w:pPr>
  </w:style>
  <w:style w:type="paragraph" w:customStyle="1" w:styleId="comment-unpublished">
    <w:name w:val="comment-unpublished"/>
    <w:basedOn w:val="Normal"/>
    <w:uiPriority w:val="99"/>
    <w:semiHidden/>
    <w:pPr>
      <w:shd w:val="clear" w:color="auto" w:fill="FFF4F4"/>
      <w:spacing w:after="100" w:afterAutospacing="1"/>
    </w:pPr>
  </w:style>
  <w:style w:type="paragraph" w:customStyle="1" w:styleId="comment-preview">
    <w:name w:val="comment-preview"/>
    <w:basedOn w:val="Normal"/>
    <w:uiPriority w:val="99"/>
    <w:semiHidden/>
    <w:pPr>
      <w:shd w:val="clear" w:color="auto" w:fill="FFFFEA"/>
      <w:spacing w:after="100" w:afterAutospacing="1"/>
    </w:pPr>
  </w:style>
  <w:style w:type="paragraph" w:customStyle="1" w:styleId="container-inline-date">
    <w:name w:val="container-inline-date"/>
    <w:basedOn w:val="Normal"/>
    <w:uiPriority w:val="99"/>
    <w:semiHidden/>
    <w:pPr>
      <w:spacing w:after="100" w:afterAutospacing="1"/>
    </w:pPr>
  </w:style>
  <w:style w:type="paragraph" w:customStyle="1" w:styleId="calendarcontrol">
    <w:name w:val="calendar_control"/>
    <w:basedOn w:val="Normal"/>
    <w:uiPriority w:val="99"/>
    <w:semiHidden/>
  </w:style>
  <w:style w:type="paragraph" w:customStyle="1" w:styleId="calendarlinks">
    <w:name w:val="calendar_links"/>
    <w:basedOn w:val="Normal"/>
    <w:uiPriority w:val="99"/>
    <w:semiHidden/>
  </w:style>
  <w:style w:type="paragraph" w:customStyle="1" w:styleId="calendarheader">
    <w:name w:val="calendar_header"/>
    <w:basedOn w:val="Normal"/>
    <w:uiPriority w:val="99"/>
    <w:semiHidden/>
  </w:style>
  <w:style w:type="paragraph" w:customStyle="1" w:styleId="calendar">
    <w:name w:val="calendar"/>
    <w:basedOn w:val="Normal"/>
    <w:uiPriority w:val="99"/>
    <w:semiHidden/>
  </w:style>
  <w:style w:type="paragraph" w:customStyle="1" w:styleId="date-clear">
    <w:name w:val="date-clear"/>
    <w:basedOn w:val="Normal"/>
    <w:uiPriority w:val="99"/>
    <w:semiHidden/>
    <w:pPr>
      <w:spacing w:after="100" w:afterAutospacing="1"/>
    </w:pPr>
  </w:style>
  <w:style w:type="paragraph" w:customStyle="1" w:styleId="date-no-float">
    <w:name w:val="date-no-float"/>
    <w:basedOn w:val="Normal"/>
    <w:uiPriority w:val="99"/>
    <w:semiHidden/>
    <w:pPr>
      <w:spacing w:after="100" w:afterAutospacing="1"/>
    </w:pPr>
  </w:style>
  <w:style w:type="paragraph" w:customStyle="1" w:styleId="date-float">
    <w:name w:val="date-float"/>
    <w:basedOn w:val="Normal"/>
    <w:uiPriority w:val="99"/>
    <w:semiHidden/>
    <w:pPr>
      <w:spacing w:after="100" w:afterAutospacing="1"/>
    </w:pPr>
  </w:style>
  <w:style w:type="paragraph" w:customStyle="1" w:styleId="date-year-range-select">
    <w:name w:val="date-year-range-select"/>
    <w:basedOn w:val="Normal"/>
    <w:uiPriority w:val="99"/>
    <w:semiHidden/>
    <w:pPr>
      <w:spacing w:after="100" w:afterAutospacing="1"/>
      <w:ind w:right="240"/>
    </w:pPr>
  </w:style>
  <w:style w:type="paragraph" w:customStyle="1" w:styleId="ui-datepicker">
    <w:name w:val="ui-datepicker"/>
    <w:basedOn w:val="Normal"/>
    <w:uiPriority w:val="99"/>
    <w:semiHidden/>
    <w:pPr>
      <w:spacing w:after="100" w:afterAutospacing="1"/>
    </w:pPr>
  </w:style>
  <w:style w:type="paragraph" w:customStyle="1" w:styleId="ui-datepicker-row-break">
    <w:name w:val="ui-datepicker-row-break"/>
    <w:basedOn w:val="Normal"/>
    <w:uiPriority w:val="99"/>
    <w:semiHidden/>
    <w:pPr>
      <w:spacing w:after="100" w:afterAutospacing="1"/>
    </w:pPr>
  </w:style>
  <w:style w:type="paragraph" w:customStyle="1" w:styleId="ui-datepicker-rtl">
    <w:name w:val="ui-datepicker-rtl"/>
    <w:basedOn w:val="Normal"/>
    <w:uiPriority w:val="99"/>
    <w:semiHidden/>
    <w:pPr>
      <w:bidi/>
      <w:spacing w:after="100" w:afterAutospacing="1"/>
    </w:pPr>
  </w:style>
  <w:style w:type="paragraph" w:customStyle="1" w:styleId="node-unpublished">
    <w:name w:val="node-unpublished"/>
    <w:basedOn w:val="Normal"/>
    <w:uiPriority w:val="99"/>
    <w:semiHidden/>
    <w:pPr>
      <w:shd w:val="clear" w:color="auto" w:fill="FFF4F4"/>
      <w:spacing w:after="100" w:afterAutospacing="1"/>
    </w:pPr>
  </w:style>
  <w:style w:type="paragraph" w:customStyle="1" w:styleId="search-form">
    <w:name w:val="search-form"/>
    <w:basedOn w:val="Normal"/>
    <w:uiPriority w:val="99"/>
    <w:semiHidden/>
    <w:pPr>
      <w:spacing w:after="240"/>
    </w:pPr>
  </w:style>
  <w:style w:type="paragraph" w:customStyle="1" w:styleId="password-strength">
    <w:name w:val="password-strength"/>
    <w:basedOn w:val="Normal"/>
    <w:uiPriority w:val="99"/>
    <w:semiHidden/>
    <w:pPr>
      <w:spacing w:before="336" w:beforeAutospacing="0" w:after="100" w:afterAutospacing="1"/>
    </w:pPr>
  </w:style>
  <w:style w:type="paragraph" w:customStyle="1" w:styleId="password-strength-title">
    <w:name w:val="password-strength-title"/>
    <w:basedOn w:val="Normal"/>
    <w:uiPriority w:val="99"/>
    <w:semiHidden/>
    <w:pPr>
      <w:spacing w:after="100" w:afterAutospacing="1"/>
    </w:pPr>
  </w:style>
  <w:style w:type="paragraph" w:customStyle="1" w:styleId="password-strength-text">
    <w:name w:val="password-strength-text"/>
    <w:basedOn w:val="Normal"/>
    <w:uiPriority w:val="99"/>
    <w:semiHidden/>
    <w:pPr>
      <w:spacing w:after="100" w:afterAutospacing="1"/>
    </w:pPr>
    <w:rPr>
      <w:b/>
      <w:bCs/>
    </w:rPr>
  </w:style>
  <w:style w:type="paragraph" w:customStyle="1" w:styleId="password-indicator">
    <w:name w:val="password-indicator"/>
    <w:basedOn w:val="Normal"/>
    <w:uiPriority w:val="99"/>
    <w:semiHidden/>
    <w:pPr>
      <w:shd w:val="clear" w:color="auto" w:fill="C4C4C4"/>
      <w:spacing w:after="100" w:afterAutospacing="1"/>
    </w:pPr>
  </w:style>
  <w:style w:type="paragraph" w:customStyle="1" w:styleId="confirm-parent">
    <w:name w:val="confirm-parent"/>
    <w:basedOn w:val="Normal"/>
    <w:uiPriority w:val="99"/>
    <w:semiHidden/>
  </w:style>
  <w:style w:type="paragraph" w:customStyle="1" w:styleId="password-parent">
    <w:name w:val="password-parent"/>
    <w:basedOn w:val="Normal"/>
    <w:uiPriority w:val="99"/>
    <w:semiHidden/>
  </w:style>
  <w:style w:type="paragraph" w:customStyle="1" w:styleId="profile">
    <w:name w:val="profile"/>
    <w:basedOn w:val="Normal"/>
    <w:uiPriority w:val="99"/>
    <w:semiHidden/>
    <w:pPr>
      <w:spacing w:before="240" w:beforeAutospacing="0" w:after="240"/>
    </w:pPr>
  </w:style>
  <w:style w:type="paragraph" w:customStyle="1" w:styleId="views-exposed-widgets">
    <w:name w:val="views-exposed-widgets"/>
    <w:basedOn w:val="Normal"/>
    <w:uiPriority w:val="99"/>
    <w:semiHidden/>
    <w:pPr>
      <w:spacing w:after="120"/>
    </w:pPr>
  </w:style>
  <w:style w:type="paragraph" w:customStyle="1" w:styleId="views-align-left">
    <w:name w:val="views-align-left"/>
    <w:basedOn w:val="Normal"/>
    <w:uiPriority w:val="99"/>
    <w:semiHidden/>
    <w:pPr>
      <w:spacing w:after="100" w:afterAutospacing="1"/>
    </w:pPr>
  </w:style>
  <w:style w:type="paragraph" w:customStyle="1" w:styleId="views-align-right">
    <w:name w:val="views-align-right"/>
    <w:basedOn w:val="Normal"/>
    <w:uiPriority w:val="99"/>
    <w:semiHidden/>
    <w:pPr>
      <w:spacing w:after="100" w:afterAutospacing="1"/>
      <w:jc w:val="right"/>
    </w:pPr>
  </w:style>
  <w:style w:type="paragraph" w:customStyle="1" w:styleId="views-align-center">
    <w:name w:val="views-align-center"/>
    <w:basedOn w:val="Normal"/>
    <w:uiPriority w:val="99"/>
    <w:semiHidden/>
    <w:pPr>
      <w:spacing w:after="100" w:afterAutospacing="1"/>
      <w:jc w:val="center"/>
    </w:pPr>
  </w:style>
  <w:style w:type="paragraph" w:customStyle="1" w:styleId="ctools-locked">
    <w:name w:val="ctools-locked"/>
    <w:basedOn w:val="Normal"/>
    <w:uiPriority w:val="99"/>
    <w:semiHidden/>
    <w:pPr>
      <w:pBdr>
        <w:top w:val="single" w:sz="6" w:space="12" w:color="FF0000"/>
        <w:left w:val="single" w:sz="6" w:space="12" w:color="FF0000"/>
        <w:bottom w:val="single" w:sz="6" w:space="12" w:color="FF0000"/>
        <w:right w:val="single" w:sz="6" w:space="12" w:color="FF0000"/>
      </w:pBdr>
      <w:spacing w:after="100" w:afterAutospacing="1"/>
    </w:pPr>
  </w:style>
  <w:style w:type="paragraph" w:customStyle="1" w:styleId="ctools-owns-lock">
    <w:name w:val="ctools-owns-lock"/>
    <w:basedOn w:val="Normal"/>
    <w:uiPriority w:val="99"/>
    <w:semiHidden/>
    <w:pPr>
      <w:pBdr>
        <w:top w:val="single" w:sz="6" w:space="12" w:color="F0C020"/>
        <w:left w:val="single" w:sz="6" w:space="12" w:color="F0C020"/>
        <w:bottom w:val="single" w:sz="6" w:space="12" w:color="F0C020"/>
        <w:right w:val="single" w:sz="6" w:space="12" w:color="F0C020"/>
      </w:pBdr>
      <w:shd w:val="clear" w:color="auto" w:fill="FFFFDD"/>
      <w:spacing w:after="100" w:afterAutospacing="1"/>
    </w:pPr>
  </w:style>
  <w:style w:type="paragraph" w:customStyle="1" w:styleId="hide-text">
    <w:name w:val="hide-text"/>
    <w:basedOn w:val="Normal"/>
    <w:uiPriority w:val="99"/>
    <w:semiHidden/>
    <w:pPr>
      <w:spacing w:after="100" w:afterAutospacing="1"/>
    </w:pPr>
  </w:style>
  <w:style w:type="paragraph" w:customStyle="1" w:styleId="input-block-level">
    <w:name w:val="input-block-level"/>
    <w:basedOn w:val="Normal"/>
    <w:uiPriority w:val="99"/>
    <w:semiHidden/>
    <w:pPr>
      <w:spacing w:after="100" w:afterAutospacing="1"/>
    </w:pPr>
  </w:style>
  <w:style w:type="paragraph" w:customStyle="1" w:styleId="img-polaroid">
    <w:name w:val="img-polaroid"/>
    <w:basedOn w:val="Normal"/>
    <w:uiPriority w:val="99"/>
    <w:semiHidden/>
    <w:pPr>
      <w:pBdr>
        <w:top w:val="single" w:sz="6" w:space="3" w:color="CCCCCC"/>
        <w:left w:val="single" w:sz="6" w:space="3" w:color="CCCCCC"/>
        <w:bottom w:val="single" w:sz="6" w:space="3" w:color="CCCCCC"/>
        <w:right w:val="single" w:sz="6" w:space="3" w:color="CCCCCC"/>
      </w:pBdr>
      <w:shd w:val="clear" w:color="auto" w:fill="FFFFFF"/>
      <w:spacing w:after="100" w:afterAutospacing="1"/>
    </w:pPr>
  </w:style>
  <w:style w:type="paragraph" w:customStyle="1" w:styleId="row">
    <w:name w:val="row"/>
    <w:basedOn w:val="Normal"/>
    <w:uiPriority w:val="99"/>
    <w:semiHidden/>
    <w:pPr>
      <w:spacing w:after="100" w:afterAutospacing="1"/>
      <w:ind w:left="-300"/>
    </w:pPr>
  </w:style>
  <w:style w:type="paragraph" w:customStyle="1" w:styleId="container">
    <w:name w:val="container"/>
    <w:basedOn w:val="Normal"/>
    <w:uiPriority w:val="99"/>
    <w:semiHidden/>
    <w:pPr>
      <w:spacing w:after="100" w:afterAutospacing="1"/>
    </w:pPr>
  </w:style>
  <w:style w:type="paragraph" w:customStyle="1" w:styleId="span12">
    <w:name w:val="span12"/>
    <w:basedOn w:val="Normal"/>
    <w:uiPriority w:val="99"/>
    <w:semiHidden/>
    <w:pPr>
      <w:spacing w:after="100" w:afterAutospacing="1"/>
    </w:pPr>
  </w:style>
  <w:style w:type="paragraph" w:customStyle="1" w:styleId="span11">
    <w:name w:val="span11"/>
    <w:basedOn w:val="Normal"/>
    <w:uiPriority w:val="99"/>
    <w:semiHidden/>
    <w:pPr>
      <w:spacing w:after="100" w:afterAutospacing="1"/>
    </w:pPr>
  </w:style>
  <w:style w:type="paragraph" w:customStyle="1" w:styleId="span10">
    <w:name w:val="span10"/>
    <w:basedOn w:val="Normal"/>
    <w:uiPriority w:val="99"/>
    <w:semiHidden/>
    <w:pPr>
      <w:spacing w:after="100" w:afterAutospacing="1"/>
    </w:pPr>
  </w:style>
  <w:style w:type="paragraph" w:customStyle="1" w:styleId="span9">
    <w:name w:val="span9"/>
    <w:basedOn w:val="Normal"/>
    <w:uiPriority w:val="99"/>
    <w:semiHidden/>
    <w:pPr>
      <w:spacing w:after="100" w:afterAutospacing="1"/>
    </w:pPr>
  </w:style>
  <w:style w:type="paragraph" w:customStyle="1" w:styleId="span8">
    <w:name w:val="span8"/>
    <w:basedOn w:val="Normal"/>
    <w:uiPriority w:val="99"/>
    <w:semiHidden/>
    <w:pPr>
      <w:spacing w:after="100" w:afterAutospacing="1"/>
    </w:pPr>
  </w:style>
  <w:style w:type="paragraph" w:customStyle="1" w:styleId="span7">
    <w:name w:val="span7"/>
    <w:basedOn w:val="Normal"/>
    <w:uiPriority w:val="99"/>
    <w:semiHidden/>
    <w:pPr>
      <w:spacing w:after="100" w:afterAutospacing="1"/>
    </w:pPr>
  </w:style>
  <w:style w:type="paragraph" w:customStyle="1" w:styleId="span6">
    <w:name w:val="span6"/>
    <w:basedOn w:val="Normal"/>
    <w:uiPriority w:val="99"/>
    <w:semiHidden/>
    <w:pPr>
      <w:spacing w:after="100" w:afterAutospacing="1"/>
    </w:pPr>
  </w:style>
  <w:style w:type="paragraph" w:customStyle="1" w:styleId="span5">
    <w:name w:val="span5"/>
    <w:basedOn w:val="Normal"/>
    <w:uiPriority w:val="99"/>
    <w:semiHidden/>
    <w:pPr>
      <w:spacing w:after="100" w:afterAutospacing="1"/>
    </w:pPr>
  </w:style>
  <w:style w:type="paragraph" w:customStyle="1" w:styleId="span4">
    <w:name w:val="span4"/>
    <w:basedOn w:val="Normal"/>
    <w:uiPriority w:val="99"/>
    <w:semiHidden/>
    <w:pPr>
      <w:spacing w:after="100" w:afterAutospacing="1"/>
    </w:pPr>
  </w:style>
  <w:style w:type="paragraph" w:customStyle="1" w:styleId="span3">
    <w:name w:val="span3"/>
    <w:basedOn w:val="Normal"/>
    <w:uiPriority w:val="99"/>
    <w:semiHidden/>
    <w:pPr>
      <w:spacing w:after="100" w:afterAutospacing="1"/>
    </w:pPr>
  </w:style>
  <w:style w:type="paragraph" w:customStyle="1" w:styleId="span2">
    <w:name w:val="span2"/>
    <w:basedOn w:val="Normal"/>
    <w:uiPriority w:val="99"/>
    <w:semiHidden/>
    <w:pPr>
      <w:spacing w:after="100" w:afterAutospacing="1"/>
    </w:pPr>
  </w:style>
  <w:style w:type="paragraph" w:customStyle="1" w:styleId="span1">
    <w:name w:val="span1"/>
    <w:basedOn w:val="Normal"/>
    <w:uiPriority w:val="99"/>
    <w:semiHidden/>
    <w:pPr>
      <w:spacing w:after="100" w:afterAutospacing="1"/>
    </w:pPr>
  </w:style>
  <w:style w:type="paragraph" w:customStyle="1" w:styleId="offset12">
    <w:name w:val="offset12"/>
    <w:basedOn w:val="Normal"/>
    <w:uiPriority w:val="99"/>
    <w:semiHidden/>
    <w:pPr>
      <w:spacing w:after="100" w:afterAutospacing="1"/>
      <w:ind w:left="14700"/>
    </w:pPr>
  </w:style>
  <w:style w:type="paragraph" w:customStyle="1" w:styleId="offset11">
    <w:name w:val="offset11"/>
    <w:basedOn w:val="Normal"/>
    <w:uiPriority w:val="99"/>
    <w:semiHidden/>
    <w:pPr>
      <w:spacing w:after="100" w:afterAutospacing="1"/>
      <w:ind w:left="13500"/>
    </w:pPr>
  </w:style>
  <w:style w:type="paragraph" w:customStyle="1" w:styleId="offset10">
    <w:name w:val="offset10"/>
    <w:basedOn w:val="Normal"/>
    <w:uiPriority w:val="99"/>
    <w:semiHidden/>
    <w:pPr>
      <w:spacing w:after="100" w:afterAutospacing="1"/>
      <w:ind w:left="12300"/>
    </w:pPr>
  </w:style>
  <w:style w:type="paragraph" w:customStyle="1" w:styleId="offset9">
    <w:name w:val="offset9"/>
    <w:basedOn w:val="Normal"/>
    <w:uiPriority w:val="99"/>
    <w:semiHidden/>
    <w:pPr>
      <w:spacing w:after="100" w:afterAutospacing="1"/>
      <w:ind w:left="11100"/>
    </w:pPr>
  </w:style>
  <w:style w:type="paragraph" w:customStyle="1" w:styleId="offset8">
    <w:name w:val="offset8"/>
    <w:basedOn w:val="Normal"/>
    <w:uiPriority w:val="99"/>
    <w:semiHidden/>
    <w:pPr>
      <w:spacing w:after="100" w:afterAutospacing="1"/>
      <w:ind w:left="9900"/>
    </w:pPr>
  </w:style>
  <w:style w:type="paragraph" w:customStyle="1" w:styleId="offset7">
    <w:name w:val="offset7"/>
    <w:basedOn w:val="Normal"/>
    <w:uiPriority w:val="99"/>
    <w:semiHidden/>
    <w:pPr>
      <w:spacing w:after="100" w:afterAutospacing="1"/>
      <w:ind w:left="8700"/>
    </w:pPr>
  </w:style>
  <w:style w:type="paragraph" w:customStyle="1" w:styleId="offset6">
    <w:name w:val="offset6"/>
    <w:basedOn w:val="Normal"/>
    <w:uiPriority w:val="99"/>
    <w:semiHidden/>
    <w:pPr>
      <w:spacing w:after="100" w:afterAutospacing="1"/>
      <w:ind w:left="7500"/>
    </w:pPr>
  </w:style>
  <w:style w:type="paragraph" w:customStyle="1" w:styleId="offset5">
    <w:name w:val="offset5"/>
    <w:basedOn w:val="Normal"/>
    <w:uiPriority w:val="99"/>
    <w:semiHidden/>
    <w:pPr>
      <w:spacing w:after="100" w:afterAutospacing="1"/>
      <w:ind w:left="6300"/>
    </w:pPr>
  </w:style>
  <w:style w:type="paragraph" w:customStyle="1" w:styleId="offset4">
    <w:name w:val="offset4"/>
    <w:basedOn w:val="Normal"/>
    <w:uiPriority w:val="99"/>
    <w:semiHidden/>
    <w:pPr>
      <w:spacing w:after="100" w:afterAutospacing="1"/>
      <w:ind w:left="5100"/>
    </w:pPr>
  </w:style>
  <w:style w:type="paragraph" w:customStyle="1" w:styleId="offset3">
    <w:name w:val="offset3"/>
    <w:basedOn w:val="Normal"/>
    <w:uiPriority w:val="99"/>
    <w:semiHidden/>
    <w:pPr>
      <w:spacing w:after="100" w:afterAutospacing="1"/>
      <w:ind w:left="3900"/>
    </w:pPr>
  </w:style>
  <w:style w:type="paragraph" w:customStyle="1" w:styleId="offset2">
    <w:name w:val="offset2"/>
    <w:basedOn w:val="Normal"/>
    <w:uiPriority w:val="99"/>
    <w:semiHidden/>
    <w:pPr>
      <w:spacing w:after="100" w:afterAutospacing="1"/>
      <w:ind w:left="2700"/>
    </w:pPr>
  </w:style>
  <w:style w:type="paragraph" w:customStyle="1" w:styleId="offset1">
    <w:name w:val="offset1"/>
    <w:basedOn w:val="Normal"/>
    <w:uiPriority w:val="99"/>
    <w:semiHidden/>
    <w:pPr>
      <w:spacing w:after="100" w:afterAutospacing="1"/>
      <w:ind w:left="1500"/>
    </w:pPr>
  </w:style>
  <w:style w:type="paragraph" w:customStyle="1" w:styleId="row-fluid">
    <w:name w:val="row-fluid"/>
    <w:basedOn w:val="Normal"/>
    <w:uiPriority w:val="99"/>
    <w:semiHidden/>
    <w:pPr>
      <w:spacing w:after="100" w:afterAutospacing="1"/>
    </w:pPr>
  </w:style>
  <w:style w:type="paragraph" w:customStyle="1" w:styleId="container-fluid">
    <w:name w:val="container-fluid"/>
    <w:basedOn w:val="Normal"/>
    <w:uiPriority w:val="99"/>
    <w:semiHidden/>
    <w:pPr>
      <w:shd w:val="clear" w:color="auto" w:fill="FFFFFF"/>
      <w:spacing w:after="100" w:afterAutospacing="1"/>
    </w:pPr>
  </w:style>
  <w:style w:type="paragraph" w:customStyle="1" w:styleId="lead">
    <w:name w:val="lead"/>
    <w:basedOn w:val="Normal"/>
    <w:uiPriority w:val="99"/>
    <w:semiHidden/>
    <w:pPr>
      <w:spacing w:after="300" w:line="450" w:lineRule="atLeast"/>
    </w:pPr>
    <w:rPr>
      <w:sz w:val="30"/>
      <w:szCs w:val="30"/>
    </w:rPr>
  </w:style>
  <w:style w:type="paragraph" w:customStyle="1" w:styleId="muted">
    <w:name w:val="muted"/>
    <w:basedOn w:val="Normal"/>
    <w:uiPriority w:val="99"/>
    <w:semiHidden/>
    <w:pPr>
      <w:spacing w:after="100" w:afterAutospacing="1"/>
    </w:pPr>
  </w:style>
  <w:style w:type="paragraph" w:customStyle="1" w:styleId="page-header">
    <w:name w:val="page-header"/>
    <w:basedOn w:val="Normal"/>
    <w:uiPriority w:val="99"/>
    <w:semiHidden/>
    <w:pPr>
      <w:pBdr>
        <w:bottom w:val="single" w:sz="6" w:space="7" w:color="EEEEEE"/>
      </w:pBdr>
      <w:spacing w:before="300" w:beforeAutospacing="0" w:after="450"/>
    </w:pPr>
  </w:style>
  <w:style w:type="paragraph" w:customStyle="1" w:styleId="uneditable-input">
    <w:name w:val="uneditable-input"/>
    <w:basedOn w:val="Normal"/>
    <w:uiPriority w:val="99"/>
    <w:semiHidden/>
    <w:pPr>
      <w:shd w:val="clear" w:color="auto" w:fill="FCFCFC"/>
      <w:spacing w:after="100" w:afterAutospacing="1"/>
    </w:pPr>
  </w:style>
  <w:style w:type="paragraph" w:customStyle="1" w:styleId="uneditable-textarea">
    <w:name w:val="uneditable-textarea"/>
    <w:basedOn w:val="Normal"/>
    <w:uiPriority w:val="99"/>
    <w:semiHidden/>
    <w:pPr>
      <w:shd w:val="clear" w:color="auto" w:fill="FCFCFC"/>
      <w:spacing w:after="100" w:afterAutospacing="1"/>
    </w:pPr>
  </w:style>
  <w:style w:type="paragraph" w:customStyle="1" w:styleId="radio">
    <w:name w:val="radio"/>
    <w:basedOn w:val="Normal"/>
    <w:uiPriority w:val="99"/>
    <w:semiHidden/>
    <w:pPr>
      <w:spacing w:after="100" w:afterAutospacing="1"/>
    </w:pPr>
  </w:style>
  <w:style w:type="paragraph" w:customStyle="1" w:styleId="checkbox">
    <w:name w:val="checkbox"/>
    <w:basedOn w:val="Normal"/>
    <w:uiPriority w:val="99"/>
    <w:semiHidden/>
    <w:pPr>
      <w:spacing w:after="100" w:afterAutospacing="1"/>
    </w:pPr>
  </w:style>
  <w:style w:type="paragraph" w:customStyle="1" w:styleId="input-mini">
    <w:name w:val="input-mini"/>
    <w:basedOn w:val="Normal"/>
    <w:uiPriority w:val="99"/>
    <w:semiHidden/>
    <w:pPr>
      <w:spacing w:after="100" w:afterAutospacing="1"/>
    </w:pPr>
  </w:style>
  <w:style w:type="paragraph" w:customStyle="1" w:styleId="input-small">
    <w:name w:val="input-small"/>
    <w:basedOn w:val="Normal"/>
    <w:uiPriority w:val="99"/>
    <w:semiHidden/>
    <w:pPr>
      <w:spacing w:after="100" w:afterAutospacing="1"/>
    </w:pPr>
  </w:style>
  <w:style w:type="paragraph" w:customStyle="1" w:styleId="input-medium">
    <w:name w:val="input-medium"/>
    <w:basedOn w:val="Normal"/>
    <w:uiPriority w:val="99"/>
    <w:semiHidden/>
    <w:pPr>
      <w:spacing w:after="100" w:afterAutospacing="1"/>
    </w:pPr>
  </w:style>
  <w:style w:type="paragraph" w:customStyle="1" w:styleId="input-large">
    <w:name w:val="input-large"/>
    <w:basedOn w:val="Normal"/>
    <w:uiPriority w:val="99"/>
    <w:semiHidden/>
    <w:pPr>
      <w:spacing w:after="100" w:afterAutospacing="1"/>
    </w:pPr>
  </w:style>
  <w:style w:type="paragraph" w:customStyle="1" w:styleId="input-xlarge">
    <w:name w:val="input-xlarge"/>
    <w:basedOn w:val="Normal"/>
    <w:uiPriority w:val="99"/>
    <w:semiHidden/>
    <w:pPr>
      <w:spacing w:after="100" w:afterAutospacing="1"/>
    </w:pPr>
  </w:style>
  <w:style w:type="paragraph" w:customStyle="1" w:styleId="input-xxlarge">
    <w:name w:val="input-xxlarge"/>
    <w:basedOn w:val="Normal"/>
    <w:uiPriority w:val="99"/>
    <w:semiHidden/>
    <w:pPr>
      <w:spacing w:after="100" w:afterAutospacing="1"/>
    </w:pPr>
  </w:style>
  <w:style w:type="paragraph" w:customStyle="1" w:styleId="help-block">
    <w:name w:val="help-block"/>
    <w:basedOn w:val="Normal"/>
    <w:uiPriority w:val="99"/>
    <w:semiHidden/>
    <w:pPr>
      <w:spacing w:after="100" w:afterAutospacing="1"/>
    </w:pPr>
  </w:style>
  <w:style w:type="paragraph" w:customStyle="1" w:styleId="help-inline">
    <w:name w:val="help-inline"/>
    <w:basedOn w:val="Normal"/>
    <w:uiPriority w:val="99"/>
    <w:semiHidden/>
    <w:pPr>
      <w:spacing w:after="100" w:afterAutospacing="1"/>
    </w:pPr>
  </w:style>
  <w:style w:type="paragraph" w:customStyle="1" w:styleId="input-append">
    <w:name w:val="input-append"/>
    <w:basedOn w:val="Normal"/>
    <w:uiPriority w:val="99"/>
    <w:semiHidden/>
    <w:pPr>
      <w:spacing w:after="75"/>
    </w:pPr>
    <w:rPr>
      <w:sz w:val="2"/>
      <w:szCs w:val="2"/>
    </w:rPr>
  </w:style>
  <w:style w:type="paragraph" w:customStyle="1" w:styleId="input-prepend">
    <w:name w:val="input-prepend"/>
    <w:basedOn w:val="Normal"/>
    <w:uiPriority w:val="99"/>
    <w:semiHidden/>
    <w:pPr>
      <w:spacing w:after="75"/>
    </w:pPr>
    <w:rPr>
      <w:sz w:val="2"/>
      <w:szCs w:val="2"/>
    </w:rPr>
  </w:style>
  <w:style w:type="paragraph" w:customStyle="1" w:styleId="control-group">
    <w:name w:val="control-group"/>
    <w:basedOn w:val="Normal"/>
    <w:uiPriority w:val="99"/>
    <w:semiHidden/>
    <w:pPr>
      <w:spacing w:after="100" w:afterAutospacing="1"/>
    </w:pPr>
  </w:style>
  <w:style w:type="paragraph" w:customStyle="1" w:styleId="table">
    <w:name w:val="table"/>
    <w:basedOn w:val="Normal"/>
    <w:uiPriority w:val="99"/>
    <w:semiHidden/>
    <w:pPr>
      <w:spacing w:after="300"/>
    </w:pPr>
  </w:style>
  <w:style w:type="paragraph" w:customStyle="1" w:styleId="table-bordered">
    <w:name w:val="table-bordered"/>
    <w:basedOn w:val="Normal"/>
    <w:uiPriority w:val="99"/>
    <w:semiHidden/>
    <w:pPr>
      <w:pBdr>
        <w:top w:val="single" w:sz="6" w:space="0" w:color="DDDDDD"/>
        <w:left w:val="single" w:sz="2" w:space="0" w:color="DDDDDD"/>
        <w:bottom w:val="single" w:sz="6" w:space="0" w:color="DDDDDD"/>
        <w:right w:val="single" w:sz="6" w:space="0" w:color="DDDDDD"/>
      </w:pBdr>
      <w:spacing w:after="100" w:afterAutospacing="1"/>
    </w:pPr>
  </w:style>
  <w:style w:type="paragraph" w:customStyle="1" w:styleId="icon-muted">
    <w:name w:val="icon-muted"/>
    <w:basedOn w:val="Normal"/>
    <w:uiPriority w:val="99"/>
    <w:semiHidden/>
    <w:pPr>
      <w:spacing w:after="100" w:afterAutospacing="1"/>
    </w:pPr>
  </w:style>
  <w:style w:type="paragraph" w:customStyle="1" w:styleId="icon-border">
    <w:name w:val="icon-border"/>
    <w:basedOn w:val="Normal"/>
    <w:uiPriority w:val="99"/>
    <w:semiHidden/>
    <w:pPr>
      <w:pBdr>
        <w:top w:val="single" w:sz="6" w:space="2" w:color="EEEEEE"/>
        <w:left w:val="single" w:sz="6" w:space="3" w:color="EEEEEE"/>
        <w:bottom w:val="single" w:sz="6" w:space="2" w:color="EEEEEE"/>
        <w:right w:val="single" w:sz="6" w:space="3" w:color="EEEEEE"/>
      </w:pBdr>
      <w:spacing w:after="100" w:afterAutospacing="1"/>
    </w:pPr>
  </w:style>
  <w:style w:type="paragraph" w:customStyle="1" w:styleId="icon-2x">
    <w:name w:val="icon-2x"/>
    <w:basedOn w:val="Normal"/>
    <w:uiPriority w:val="99"/>
    <w:semiHidden/>
    <w:pPr>
      <w:spacing w:after="100" w:afterAutospacing="1"/>
    </w:pPr>
    <w:rPr>
      <w:sz w:val="48"/>
      <w:szCs w:val="48"/>
    </w:rPr>
  </w:style>
  <w:style w:type="paragraph" w:customStyle="1" w:styleId="icon-3x">
    <w:name w:val="icon-3x"/>
    <w:basedOn w:val="Normal"/>
    <w:uiPriority w:val="99"/>
    <w:semiHidden/>
    <w:pPr>
      <w:spacing w:after="100" w:afterAutospacing="1"/>
    </w:pPr>
    <w:rPr>
      <w:sz w:val="72"/>
      <w:szCs w:val="72"/>
    </w:rPr>
  </w:style>
  <w:style w:type="paragraph" w:customStyle="1" w:styleId="icon-4x">
    <w:name w:val="icon-4x"/>
    <w:basedOn w:val="Normal"/>
    <w:uiPriority w:val="99"/>
    <w:semiHidden/>
    <w:pPr>
      <w:spacing w:after="100" w:afterAutospacing="1"/>
    </w:pPr>
    <w:rPr>
      <w:sz w:val="96"/>
      <w:szCs w:val="96"/>
    </w:rPr>
  </w:style>
  <w:style w:type="paragraph" w:customStyle="1" w:styleId="icon-large">
    <w:name w:val="icon-large"/>
    <w:basedOn w:val="Normal"/>
    <w:uiPriority w:val="99"/>
    <w:semiHidden/>
    <w:rPr>
      <w:sz w:val="32"/>
      <w:szCs w:val="32"/>
    </w:rPr>
  </w:style>
  <w:style w:type="paragraph" w:customStyle="1" w:styleId="caret">
    <w:name w:val="caret"/>
    <w:basedOn w:val="Normal"/>
    <w:uiPriority w:val="99"/>
    <w:semiHidden/>
    <w:pPr>
      <w:pBdr>
        <w:top w:val="single" w:sz="24" w:space="0" w:color="000000"/>
      </w:pBdr>
      <w:spacing w:after="100" w:afterAutospacing="1"/>
    </w:pPr>
  </w:style>
  <w:style w:type="paragraph" w:customStyle="1" w:styleId="dropdown-menu">
    <w:name w:val="dropdown-menu"/>
    <w:basedOn w:val="Normal"/>
    <w:uiPriority w:val="99"/>
    <w:semiHidden/>
    <w:pPr>
      <w:pBdr>
        <w:top w:val="single" w:sz="6" w:space="4" w:color="CCCCCC"/>
        <w:left w:val="single" w:sz="6" w:space="0" w:color="CCCCCC"/>
        <w:bottom w:val="single" w:sz="6" w:space="4" w:color="CCCCCC"/>
        <w:right w:val="single" w:sz="6" w:space="0" w:color="CCCCCC"/>
      </w:pBdr>
      <w:shd w:val="clear" w:color="auto" w:fill="FFFFFF"/>
      <w:spacing w:before="30" w:beforeAutospacing="0"/>
    </w:pPr>
  </w:style>
  <w:style w:type="paragraph" w:customStyle="1" w:styleId="typeahead">
    <w:name w:val="typeahead"/>
    <w:basedOn w:val="Normal"/>
    <w:uiPriority w:val="99"/>
    <w:semiHidden/>
    <w:pPr>
      <w:spacing w:before="30" w:beforeAutospacing="0" w:after="100" w:afterAutospacing="1"/>
    </w:pPr>
  </w:style>
  <w:style w:type="paragraph" w:customStyle="1" w:styleId="well">
    <w:name w:val="well"/>
    <w:basedOn w:val="Normal"/>
    <w:uiPriority w:val="99"/>
    <w:semiHidden/>
    <w:pPr>
      <w:pBdr>
        <w:top w:val="single" w:sz="6" w:space="14" w:color="E3E3E3"/>
        <w:left w:val="single" w:sz="6" w:space="14" w:color="E3E3E3"/>
        <w:bottom w:val="single" w:sz="6" w:space="14" w:color="E3E3E3"/>
        <w:right w:val="single" w:sz="6" w:space="14" w:color="E3E3E3"/>
      </w:pBdr>
      <w:shd w:val="clear" w:color="auto" w:fill="F5F5F5"/>
      <w:spacing w:after="300"/>
    </w:pPr>
  </w:style>
  <w:style w:type="paragraph" w:customStyle="1" w:styleId="well-large">
    <w:name w:val="well-large"/>
    <w:basedOn w:val="Normal"/>
    <w:uiPriority w:val="99"/>
    <w:semiHidden/>
    <w:pPr>
      <w:spacing w:after="100" w:afterAutospacing="1"/>
    </w:pPr>
  </w:style>
  <w:style w:type="paragraph" w:customStyle="1" w:styleId="well-small">
    <w:name w:val="well-small"/>
    <w:basedOn w:val="Normal"/>
    <w:uiPriority w:val="99"/>
    <w:semiHidden/>
    <w:pPr>
      <w:spacing w:after="100" w:afterAutospacing="1"/>
    </w:pPr>
  </w:style>
  <w:style w:type="paragraph" w:customStyle="1" w:styleId="collapse">
    <w:name w:val="collapse"/>
    <w:basedOn w:val="Normal"/>
    <w:uiPriority w:val="99"/>
    <w:semiHidden/>
    <w:pPr>
      <w:spacing w:after="100" w:afterAutospacing="1"/>
    </w:pPr>
  </w:style>
  <w:style w:type="paragraph" w:customStyle="1" w:styleId="close">
    <w:name w:val="close"/>
    <w:basedOn w:val="Normal"/>
    <w:uiPriority w:val="99"/>
    <w:semiHidden/>
    <w:pPr>
      <w:spacing w:after="100" w:afterAutospacing="1" w:line="300" w:lineRule="atLeast"/>
    </w:pPr>
    <w:rPr>
      <w:b/>
      <w:bCs/>
      <w:sz w:val="30"/>
      <w:szCs w:val="30"/>
    </w:rPr>
  </w:style>
  <w:style w:type="paragraph" w:customStyle="1" w:styleId="btn">
    <w:name w:val="btn"/>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line="300" w:lineRule="atLeast"/>
      <w:jc w:val="center"/>
    </w:pPr>
    <w:rPr>
      <w:sz w:val="21"/>
      <w:szCs w:val="21"/>
    </w:rPr>
  </w:style>
  <w:style w:type="paragraph" w:customStyle="1" w:styleId="btn-large">
    <w:name w:val="btn-large"/>
    <w:basedOn w:val="Normal"/>
    <w:uiPriority w:val="99"/>
    <w:semiHidden/>
    <w:pPr>
      <w:spacing w:after="100" w:afterAutospacing="1"/>
    </w:pPr>
  </w:style>
  <w:style w:type="paragraph" w:customStyle="1" w:styleId="btn-small">
    <w:name w:val="btn-small"/>
    <w:basedOn w:val="Normal"/>
    <w:uiPriority w:val="99"/>
    <w:semiHidden/>
    <w:pPr>
      <w:spacing w:after="100" w:afterAutospacing="1" w:line="270" w:lineRule="atLeast"/>
    </w:pPr>
    <w:rPr>
      <w:sz w:val="18"/>
      <w:szCs w:val="18"/>
    </w:rPr>
  </w:style>
  <w:style w:type="paragraph" w:customStyle="1" w:styleId="btn-mini">
    <w:name w:val="btn-mini"/>
    <w:basedOn w:val="Normal"/>
    <w:uiPriority w:val="99"/>
    <w:semiHidden/>
    <w:pPr>
      <w:spacing w:after="100" w:afterAutospacing="1" w:line="240" w:lineRule="atLeast"/>
    </w:pPr>
    <w:rPr>
      <w:sz w:val="17"/>
      <w:szCs w:val="17"/>
    </w:rPr>
  </w:style>
  <w:style w:type="paragraph" w:customStyle="1" w:styleId="btn-block">
    <w:name w:val="btn-block"/>
    <w:basedOn w:val="Normal"/>
    <w:uiPriority w:val="99"/>
    <w:semiHidden/>
    <w:pPr>
      <w:spacing w:after="100" w:afterAutospacing="1"/>
    </w:pPr>
  </w:style>
  <w:style w:type="paragraph" w:customStyle="1" w:styleId="btn-primary">
    <w:name w:val="btn-primary"/>
    <w:basedOn w:val="Normal"/>
    <w:uiPriority w:val="99"/>
    <w:semiHidden/>
    <w:pPr>
      <w:shd w:val="clear" w:color="auto" w:fill="006DCC"/>
      <w:spacing w:after="100" w:afterAutospacing="1"/>
    </w:pPr>
  </w:style>
  <w:style w:type="paragraph" w:customStyle="1" w:styleId="btn-warning">
    <w:name w:val="btn-warning"/>
    <w:basedOn w:val="Normal"/>
    <w:uiPriority w:val="99"/>
    <w:semiHidden/>
    <w:pPr>
      <w:shd w:val="clear" w:color="auto" w:fill="FAA732"/>
      <w:spacing w:after="100" w:afterAutospacing="1"/>
    </w:pPr>
  </w:style>
  <w:style w:type="paragraph" w:customStyle="1" w:styleId="btn-danger">
    <w:name w:val="btn-danger"/>
    <w:basedOn w:val="Normal"/>
    <w:uiPriority w:val="99"/>
    <w:semiHidden/>
    <w:pPr>
      <w:shd w:val="clear" w:color="auto" w:fill="DA4F49"/>
      <w:spacing w:after="100" w:afterAutospacing="1"/>
    </w:pPr>
  </w:style>
  <w:style w:type="paragraph" w:customStyle="1" w:styleId="btn-success">
    <w:name w:val="btn-success"/>
    <w:basedOn w:val="Normal"/>
    <w:uiPriority w:val="99"/>
    <w:semiHidden/>
    <w:pPr>
      <w:shd w:val="clear" w:color="auto" w:fill="5BB75B"/>
      <w:spacing w:after="100" w:afterAutospacing="1"/>
    </w:pPr>
  </w:style>
  <w:style w:type="paragraph" w:customStyle="1" w:styleId="btn-info">
    <w:name w:val="btn-info"/>
    <w:basedOn w:val="Normal"/>
    <w:uiPriority w:val="99"/>
    <w:semiHidden/>
    <w:pPr>
      <w:shd w:val="clear" w:color="auto" w:fill="49AFCD"/>
      <w:spacing w:after="100" w:afterAutospacing="1"/>
    </w:pPr>
  </w:style>
  <w:style w:type="paragraph" w:customStyle="1" w:styleId="btn-inverse">
    <w:name w:val="btn-inverse"/>
    <w:basedOn w:val="Normal"/>
    <w:uiPriority w:val="99"/>
    <w:semiHidden/>
    <w:pPr>
      <w:shd w:val="clear" w:color="auto" w:fill="363636"/>
      <w:spacing w:after="100" w:afterAutospacing="1"/>
    </w:pPr>
  </w:style>
  <w:style w:type="paragraph" w:customStyle="1" w:styleId="btn-link">
    <w:name w:val="btn-link"/>
    <w:basedOn w:val="Normal"/>
    <w:uiPriority w:val="99"/>
    <w:semiHidden/>
    <w:pPr>
      <w:spacing w:after="100" w:afterAutospacing="1"/>
    </w:pPr>
  </w:style>
  <w:style w:type="paragraph" w:customStyle="1" w:styleId="btn-group">
    <w:name w:val="btn-group"/>
    <w:basedOn w:val="Normal"/>
    <w:uiPriority w:val="99"/>
    <w:semiHidden/>
    <w:pPr>
      <w:spacing w:after="100" w:afterAutospacing="1"/>
    </w:pPr>
    <w:rPr>
      <w:sz w:val="2"/>
      <w:szCs w:val="2"/>
    </w:rPr>
  </w:style>
  <w:style w:type="paragraph" w:customStyle="1" w:styleId="btn-toolbar">
    <w:name w:val="btn-toolbar"/>
    <w:basedOn w:val="Normal"/>
    <w:uiPriority w:val="99"/>
    <w:semiHidden/>
    <w:pPr>
      <w:spacing w:before="150" w:beforeAutospacing="0" w:after="100" w:afterAutospacing="1"/>
    </w:pPr>
    <w:rPr>
      <w:sz w:val="2"/>
      <w:szCs w:val="2"/>
    </w:rPr>
  </w:style>
  <w:style w:type="paragraph" w:customStyle="1" w:styleId="alert">
    <w:name w:val="alert"/>
    <w:basedOn w:val="Normal"/>
    <w:uiPriority w:val="99"/>
    <w:semiHidden/>
    <w:pPr>
      <w:pBdr>
        <w:top w:val="single" w:sz="6" w:space="6" w:color="FBEED5"/>
        <w:left w:val="single" w:sz="6" w:space="11" w:color="FBEED5"/>
        <w:bottom w:val="single" w:sz="6" w:space="6" w:color="FBEED5"/>
        <w:right w:val="single" w:sz="6" w:space="26" w:color="FBEED5"/>
      </w:pBdr>
      <w:shd w:val="clear" w:color="auto" w:fill="FCF8E3"/>
      <w:spacing w:after="300"/>
    </w:pPr>
  </w:style>
  <w:style w:type="paragraph" w:customStyle="1" w:styleId="alert-success">
    <w:name w:val="alert-success"/>
    <w:basedOn w:val="Normal"/>
    <w:uiPriority w:val="99"/>
    <w:semiHidden/>
    <w:pPr>
      <w:shd w:val="clear" w:color="auto" w:fill="DFF0D8"/>
      <w:spacing w:after="100" w:afterAutospacing="1"/>
    </w:pPr>
  </w:style>
  <w:style w:type="paragraph" w:customStyle="1" w:styleId="alert-danger">
    <w:name w:val="alert-danger"/>
    <w:basedOn w:val="Normal"/>
    <w:uiPriority w:val="99"/>
    <w:semiHidden/>
    <w:pPr>
      <w:shd w:val="clear" w:color="auto" w:fill="F2DEDE"/>
      <w:spacing w:after="100" w:afterAutospacing="1"/>
    </w:pPr>
  </w:style>
  <w:style w:type="paragraph" w:customStyle="1" w:styleId="alert-error">
    <w:name w:val="alert-error"/>
    <w:basedOn w:val="Normal"/>
    <w:uiPriority w:val="99"/>
    <w:semiHidden/>
    <w:pPr>
      <w:shd w:val="clear" w:color="auto" w:fill="F2DEDE"/>
      <w:spacing w:after="100" w:afterAutospacing="1"/>
    </w:pPr>
  </w:style>
  <w:style w:type="paragraph" w:customStyle="1" w:styleId="alert-info">
    <w:name w:val="alert-info"/>
    <w:basedOn w:val="Normal"/>
    <w:uiPriority w:val="99"/>
    <w:semiHidden/>
    <w:pPr>
      <w:shd w:val="clear" w:color="auto" w:fill="D9EDF7"/>
      <w:spacing w:after="100" w:afterAutospacing="1"/>
    </w:pPr>
  </w:style>
  <w:style w:type="paragraph" w:customStyle="1" w:styleId="alert-block">
    <w:name w:val="alert-block"/>
    <w:basedOn w:val="Normal"/>
    <w:uiPriority w:val="99"/>
    <w:semiHidden/>
    <w:pPr>
      <w:spacing w:after="100" w:afterAutospacing="1"/>
    </w:pPr>
  </w:style>
  <w:style w:type="paragraph" w:customStyle="1" w:styleId="nav">
    <w:name w:val="nav"/>
    <w:basedOn w:val="Normal"/>
    <w:uiPriority w:val="99"/>
    <w:semiHidden/>
    <w:pPr>
      <w:spacing w:after="300"/>
    </w:pPr>
  </w:style>
  <w:style w:type="paragraph" w:customStyle="1" w:styleId="nav-header">
    <w:name w:val="nav-header"/>
    <w:basedOn w:val="Normal"/>
    <w:uiPriority w:val="99"/>
    <w:semiHidden/>
    <w:pPr>
      <w:spacing w:after="100" w:afterAutospacing="1" w:line="300" w:lineRule="atLeast"/>
    </w:pPr>
    <w:rPr>
      <w:b/>
      <w:bCs/>
      <w:sz w:val="17"/>
      <w:szCs w:val="17"/>
    </w:rPr>
  </w:style>
  <w:style w:type="paragraph" w:customStyle="1" w:styleId="nav-list">
    <w:name w:val="nav-list"/>
    <w:basedOn w:val="Normal"/>
    <w:uiPriority w:val="99"/>
    <w:semiHidden/>
  </w:style>
  <w:style w:type="paragraph" w:customStyle="1" w:styleId="nav-tabs">
    <w:name w:val="nav-tabs"/>
    <w:basedOn w:val="Normal"/>
    <w:uiPriority w:val="99"/>
    <w:semiHidden/>
    <w:pPr>
      <w:pBdr>
        <w:bottom w:val="single" w:sz="6" w:space="0" w:color="DDDDDD"/>
      </w:pBdr>
      <w:spacing w:after="100" w:afterAutospacing="1"/>
    </w:pPr>
  </w:style>
  <w:style w:type="paragraph" w:customStyle="1" w:styleId="navbar">
    <w:name w:val="navbar"/>
    <w:basedOn w:val="Normal"/>
    <w:uiPriority w:val="99"/>
    <w:semiHidden/>
    <w:pPr>
      <w:spacing w:after="300"/>
    </w:pPr>
  </w:style>
  <w:style w:type="paragraph" w:customStyle="1" w:styleId="navbar-inner">
    <w:name w:val="navbar-inner"/>
    <w:basedOn w:val="Normal"/>
    <w:uiPriority w:val="99"/>
    <w:semiHidden/>
    <w:pPr>
      <w:pBdr>
        <w:top w:val="single" w:sz="6" w:space="0" w:color="D4D4D4"/>
        <w:left w:val="single" w:sz="6" w:space="15" w:color="D4D4D4"/>
        <w:bottom w:val="single" w:sz="6" w:space="0" w:color="D4D4D4"/>
        <w:right w:val="single" w:sz="6" w:space="15" w:color="D4D4D4"/>
      </w:pBdr>
      <w:shd w:val="clear" w:color="auto" w:fill="FAFAFA"/>
      <w:spacing w:after="100" w:afterAutospacing="1"/>
    </w:pPr>
  </w:style>
  <w:style w:type="paragraph" w:customStyle="1" w:styleId="navbar-text">
    <w:name w:val="navbar-text"/>
    <w:basedOn w:val="Normal"/>
    <w:uiPriority w:val="99"/>
    <w:semiHidden/>
    <w:pPr>
      <w:spacing w:line="600" w:lineRule="atLeast"/>
    </w:pPr>
  </w:style>
  <w:style w:type="paragraph" w:customStyle="1" w:styleId="navbar-link">
    <w:name w:val="navbar-link"/>
    <w:basedOn w:val="Normal"/>
    <w:uiPriority w:val="99"/>
    <w:semiHidden/>
    <w:pPr>
      <w:spacing w:after="100" w:afterAutospacing="1"/>
    </w:pPr>
  </w:style>
  <w:style w:type="paragraph" w:customStyle="1" w:styleId="navbar-form">
    <w:name w:val="navbar-form"/>
    <w:basedOn w:val="Normal"/>
    <w:uiPriority w:val="99"/>
    <w:semiHidden/>
  </w:style>
  <w:style w:type="paragraph" w:customStyle="1" w:styleId="navbar-search">
    <w:name w:val="navbar-search"/>
    <w:basedOn w:val="Normal"/>
    <w:uiPriority w:val="99"/>
    <w:semiHidden/>
    <w:pPr>
      <w:spacing w:before="75" w:beforeAutospacing="0"/>
    </w:pPr>
  </w:style>
  <w:style w:type="paragraph" w:customStyle="1" w:styleId="navbar-static-top">
    <w:name w:val="navbar-static-top"/>
    <w:basedOn w:val="Normal"/>
    <w:uiPriority w:val="99"/>
    <w:semiHidden/>
  </w:style>
  <w:style w:type="paragraph" w:customStyle="1" w:styleId="navbar-fixed-top">
    <w:name w:val="navbar-fixed-top"/>
    <w:basedOn w:val="Normal"/>
    <w:uiPriority w:val="99"/>
    <w:semiHidden/>
  </w:style>
  <w:style w:type="paragraph" w:customStyle="1" w:styleId="navbar-fixed-bottom">
    <w:name w:val="navbar-fixed-bottom"/>
    <w:basedOn w:val="Normal"/>
    <w:uiPriority w:val="99"/>
    <w:semiHidden/>
  </w:style>
  <w:style w:type="paragraph" w:customStyle="1" w:styleId="navbar-inverse">
    <w:name w:val="navbar-inverse"/>
    <w:basedOn w:val="Normal"/>
    <w:uiPriority w:val="99"/>
    <w:semiHidden/>
    <w:pPr>
      <w:spacing w:after="100" w:afterAutospacing="1"/>
    </w:pPr>
  </w:style>
  <w:style w:type="paragraph" w:customStyle="1" w:styleId="breadcrumb">
    <w:name w:val="breadcrumb"/>
    <w:basedOn w:val="Normal"/>
    <w:uiPriority w:val="99"/>
    <w:semiHidden/>
    <w:pPr>
      <w:shd w:val="clear" w:color="auto" w:fill="F5F5F5"/>
      <w:spacing w:after="300"/>
    </w:pPr>
  </w:style>
  <w:style w:type="paragraph" w:customStyle="1" w:styleId="pagination">
    <w:name w:val="pagination"/>
    <w:basedOn w:val="Normal"/>
    <w:uiPriority w:val="99"/>
    <w:semiHidden/>
    <w:pPr>
      <w:spacing w:before="300" w:beforeAutospacing="0" w:after="300"/>
    </w:pPr>
  </w:style>
  <w:style w:type="paragraph" w:customStyle="1" w:styleId="pagination-centered">
    <w:name w:val="pagination-centered"/>
    <w:basedOn w:val="Normal"/>
    <w:uiPriority w:val="99"/>
    <w:semiHidden/>
    <w:pPr>
      <w:spacing w:after="100" w:afterAutospacing="1"/>
      <w:jc w:val="center"/>
    </w:pPr>
  </w:style>
  <w:style w:type="paragraph" w:customStyle="1" w:styleId="pagination-right">
    <w:name w:val="pagination-right"/>
    <w:basedOn w:val="Normal"/>
    <w:uiPriority w:val="99"/>
    <w:semiHidden/>
    <w:pPr>
      <w:spacing w:after="100" w:afterAutospacing="1"/>
      <w:jc w:val="right"/>
    </w:pPr>
  </w:style>
  <w:style w:type="paragraph" w:customStyle="1" w:styleId="pager">
    <w:name w:val="pager"/>
    <w:basedOn w:val="Normal"/>
    <w:uiPriority w:val="99"/>
    <w:semiHidden/>
    <w:pPr>
      <w:spacing w:before="300" w:beforeAutospacing="0" w:after="300"/>
      <w:jc w:val="center"/>
    </w:pPr>
  </w:style>
  <w:style w:type="paragraph" w:customStyle="1" w:styleId="modal-backdrop">
    <w:name w:val="modal-backdrop"/>
    <w:basedOn w:val="Normal"/>
    <w:uiPriority w:val="99"/>
    <w:semiHidden/>
    <w:pPr>
      <w:shd w:val="clear" w:color="auto" w:fill="000000"/>
      <w:spacing w:after="100" w:afterAutospacing="1"/>
    </w:pPr>
  </w:style>
  <w:style w:type="paragraph" w:customStyle="1" w:styleId="modal">
    <w:name w:val="modal"/>
    <w:basedOn w:val="Normal"/>
    <w:uiPriority w:val="99"/>
    <w:semiHidden/>
    <w:pPr>
      <w:pBdr>
        <w:top w:val="single" w:sz="6" w:space="0" w:color="999999"/>
        <w:left w:val="single" w:sz="6" w:space="0" w:color="999999"/>
        <w:bottom w:val="single" w:sz="6" w:space="0" w:color="999999"/>
        <w:right w:val="single" w:sz="6" w:space="0" w:color="999999"/>
      </w:pBdr>
      <w:shd w:val="clear" w:color="auto" w:fill="FFFFFF"/>
      <w:spacing w:before="0" w:beforeAutospacing="0"/>
      <w:ind w:left="-4200"/>
    </w:pPr>
  </w:style>
  <w:style w:type="paragraph" w:customStyle="1" w:styleId="modal-header">
    <w:name w:val="modal-header"/>
    <w:basedOn w:val="Normal"/>
    <w:uiPriority w:val="99"/>
    <w:semiHidden/>
    <w:pPr>
      <w:pBdr>
        <w:bottom w:val="single" w:sz="6" w:space="7" w:color="EEEEEE"/>
      </w:pBdr>
      <w:spacing w:after="100" w:afterAutospacing="1"/>
    </w:pPr>
  </w:style>
  <w:style w:type="paragraph" w:customStyle="1" w:styleId="modal-body">
    <w:name w:val="modal-body"/>
    <w:basedOn w:val="Normal"/>
    <w:uiPriority w:val="99"/>
    <w:semiHidden/>
    <w:pPr>
      <w:spacing w:after="100" w:afterAutospacing="1"/>
    </w:pPr>
  </w:style>
  <w:style w:type="paragraph" w:customStyle="1" w:styleId="modal-form">
    <w:name w:val="modal-form"/>
    <w:basedOn w:val="Normal"/>
    <w:uiPriority w:val="99"/>
    <w:semiHidden/>
  </w:style>
  <w:style w:type="paragraph" w:customStyle="1" w:styleId="modal-footer">
    <w:name w:val="modal-footer"/>
    <w:basedOn w:val="Normal"/>
    <w:uiPriority w:val="99"/>
    <w:semiHidden/>
    <w:pPr>
      <w:pBdr>
        <w:top w:val="single" w:sz="6" w:space="11" w:color="DDDDDD"/>
      </w:pBdr>
      <w:shd w:val="clear" w:color="auto" w:fill="F5F5F5"/>
      <w:jc w:val="right"/>
    </w:pPr>
  </w:style>
  <w:style w:type="paragraph" w:customStyle="1" w:styleId="tooltip">
    <w:name w:val="tooltip"/>
    <w:basedOn w:val="Normal"/>
    <w:uiPriority w:val="99"/>
    <w:semiHidden/>
    <w:pPr>
      <w:spacing w:after="100" w:afterAutospacing="1"/>
    </w:pPr>
    <w:rPr>
      <w:sz w:val="17"/>
      <w:szCs w:val="17"/>
    </w:rPr>
  </w:style>
  <w:style w:type="paragraph" w:customStyle="1" w:styleId="tooltip-inner">
    <w:name w:val="tooltip-inner"/>
    <w:basedOn w:val="Normal"/>
    <w:uiPriority w:val="99"/>
    <w:semiHidden/>
    <w:pPr>
      <w:shd w:val="clear" w:color="auto" w:fill="000000"/>
      <w:spacing w:after="100" w:afterAutospacing="1"/>
      <w:jc w:val="center"/>
    </w:pPr>
  </w:style>
  <w:style w:type="paragraph" w:customStyle="1" w:styleId="tooltip-arrow">
    <w:name w:val="tooltip-arrow"/>
    <w:basedOn w:val="Normal"/>
    <w:uiPriority w:val="99"/>
    <w:semiHidden/>
    <w:pPr>
      <w:pBdr>
        <w:top w:val="single" w:sz="24" w:space="0" w:color="auto"/>
        <w:left w:val="single" w:sz="24" w:space="0" w:color="auto"/>
        <w:bottom w:val="single" w:sz="24" w:space="0" w:color="auto"/>
        <w:right w:val="single" w:sz="24" w:space="0" w:color="auto"/>
      </w:pBdr>
      <w:spacing w:after="100" w:afterAutospacing="1"/>
    </w:pPr>
  </w:style>
  <w:style w:type="paragraph" w:customStyle="1" w:styleId="popover">
    <w:name w:val="popover"/>
    <w:basedOn w:val="Normal"/>
    <w:uiPriority w:val="99"/>
    <w:semiHidden/>
    <w:pPr>
      <w:pBdr>
        <w:top w:val="single" w:sz="6" w:space="1" w:color="CCCCCC"/>
        <w:left w:val="single" w:sz="6" w:space="1" w:color="CCCCCC"/>
        <w:bottom w:val="single" w:sz="6" w:space="1" w:color="CCCCCC"/>
        <w:right w:val="single" w:sz="6" w:space="1" w:color="CCCCCC"/>
      </w:pBdr>
      <w:shd w:val="clear" w:color="auto" w:fill="FFFFFF"/>
      <w:spacing w:after="100" w:afterAutospacing="1"/>
    </w:pPr>
  </w:style>
  <w:style w:type="paragraph" w:customStyle="1" w:styleId="popover-title">
    <w:name w:val="popover-title"/>
    <w:basedOn w:val="Normal"/>
    <w:uiPriority w:val="99"/>
    <w:semiHidden/>
    <w:pPr>
      <w:pBdr>
        <w:bottom w:val="single" w:sz="6" w:space="6" w:color="EBEBEB"/>
      </w:pBdr>
      <w:shd w:val="clear" w:color="auto" w:fill="F7F7F7"/>
      <w:spacing w:line="270" w:lineRule="atLeast"/>
    </w:pPr>
    <w:rPr>
      <w:sz w:val="21"/>
      <w:szCs w:val="21"/>
    </w:rPr>
  </w:style>
  <w:style w:type="paragraph" w:customStyle="1" w:styleId="popover-content">
    <w:name w:val="popover-content"/>
    <w:basedOn w:val="Normal"/>
    <w:uiPriority w:val="99"/>
    <w:semiHidden/>
    <w:pPr>
      <w:spacing w:after="100" w:afterAutospacing="1"/>
    </w:pPr>
  </w:style>
  <w:style w:type="paragraph" w:customStyle="1" w:styleId="thumbnails">
    <w:name w:val="thumbnails"/>
    <w:basedOn w:val="Normal"/>
    <w:uiPriority w:val="99"/>
    <w:semiHidden/>
    <w:pPr>
      <w:spacing w:after="100" w:afterAutospacing="1"/>
      <w:ind w:left="-300"/>
    </w:pPr>
  </w:style>
  <w:style w:type="paragraph" w:customStyle="1" w:styleId="thumbnail">
    <w:name w:val="thumbnail"/>
    <w:basedOn w:val="Normal"/>
    <w:uiPriority w:val="99"/>
    <w:semiHidden/>
    <w:pPr>
      <w:pBdr>
        <w:top w:val="single" w:sz="6" w:space="3" w:color="DDDDDD"/>
        <w:left w:val="single" w:sz="6" w:space="3" w:color="DDDDDD"/>
        <w:bottom w:val="single" w:sz="6" w:space="3" w:color="DDDDDD"/>
        <w:right w:val="single" w:sz="6" w:space="3" w:color="DDDDDD"/>
      </w:pBdr>
      <w:spacing w:after="100" w:afterAutospacing="1"/>
    </w:pPr>
  </w:style>
  <w:style w:type="paragraph" w:customStyle="1" w:styleId="label">
    <w:name w:val="label"/>
    <w:basedOn w:val="Normal"/>
    <w:uiPriority w:val="99"/>
    <w:semiHidden/>
    <w:pPr>
      <w:shd w:val="clear" w:color="auto" w:fill="999999"/>
      <w:spacing w:after="100" w:afterAutospacing="1" w:line="210" w:lineRule="atLeast"/>
    </w:pPr>
    <w:rPr>
      <w:b/>
      <w:bCs/>
      <w:sz w:val="18"/>
      <w:szCs w:val="18"/>
    </w:rPr>
  </w:style>
  <w:style w:type="paragraph" w:customStyle="1" w:styleId="badge">
    <w:name w:val="badge"/>
    <w:basedOn w:val="Normal"/>
    <w:uiPriority w:val="99"/>
    <w:semiHidden/>
    <w:pPr>
      <w:shd w:val="clear" w:color="auto" w:fill="999999"/>
      <w:spacing w:after="100" w:afterAutospacing="1" w:line="210" w:lineRule="atLeast"/>
    </w:pPr>
    <w:rPr>
      <w:b/>
      <w:bCs/>
      <w:sz w:val="18"/>
      <w:szCs w:val="18"/>
    </w:rPr>
  </w:style>
  <w:style w:type="paragraph" w:customStyle="1" w:styleId="label-important">
    <w:name w:val="label-important"/>
    <w:basedOn w:val="Normal"/>
    <w:uiPriority w:val="99"/>
    <w:semiHidden/>
    <w:pPr>
      <w:shd w:val="clear" w:color="auto" w:fill="B94A48"/>
      <w:spacing w:after="100" w:afterAutospacing="1"/>
    </w:pPr>
  </w:style>
  <w:style w:type="paragraph" w:customStyle="1" w:styleId="badge-important">
    <w:name w:val="badge-important"/>
    <w:basedOn w:val="Normal"/>
    <w:uiPriority w:val="99"/>
    <w:semiHidden/>
    <w:pPr>
      <w:shd w:val="clear" w:color="auto" w:fill="B94A48"/>
      <w:spacing w:after="100" w:afterAutospacing="1"/>
    </w:pPr>
  </w:style>
  <w:style w:type="paragraph" w:customStyle="1" w:styleId="label-importanthref">
    <w:name w:val="label-important[href]"/>
    <w:basedOn w:val="Normal"/>
    <w:uiPriority w:val="99"/>
    <w:semiHidden/>
    <w:pPr>
      <w:shd w:val="clear" w:color="auto" w:fill="953B39"/>
      <w:spacing w:after="100" w:afterAutospacing="1"/>
    </w:pPr>
  </w:style>
  <w:style w:type="paragraph" w:customStyle="1" w:styleId="badge-importanthref">
    <w:name w:val="badge-important[href]"/>
    <w:basedOn w:val="Normal"/>
    <w:uiPriority w:val="99"/>
    <w:semiHidden/>
    <w:pPr>
      <w:shd w:val="clear" w:color="auto" w:fill="953B39"/>
      <w:spacing w:after="100" w:afterAutospacing="1"/>
    </w:pPr>
  </w:style>
  <w:style w:type="paragraph" w:customStyle="1" w:styleId="label-warning">
    <w:name w:val="label-warning"/>
    <w:basedOn w:val="Normal"/>
    <w:uiPriority w:val="99"/>
    <w:semiHidden/>
    <w:pPr>
      <w:shd w:val="clear" w:color="auto" w:fill="F89406"/>
      <w:spacing w:after="100" w:afterAutospacing="1"/>
    </w:pPr>
  </w:style>
  <w:style w:type="paragraph" w:customStyle="1" w:styleId="badge-warning">
    <w:name w:val="badge-warning"/>
    <w:basedOn w:val="Normal"/>
    <w:uiPriority w:val="99"/>
    <w:semiHidden/>
    <w:pPr>
      <w:shd w:val="clear" w:color="auto" w:fill="F89406"/>
      <w:spacing w:after="100" w:afterAutospacing="1"/>
    </w:pPr>
  </w:style>
  <w:style w:type="paragraph" w:customStyle="1" w:styleId="label-warninghref">
    <w:name w:val="label-warning[href]"/>
    <w:basedOn w:val="Normal"/>
    <w:uiPriority w:val="99"/>
    <w:semiHidden/>
    <w:pPr>
      <w:shd w:val="clear" w:color="auto" w:fill="C67605"/>
      <w:spacing w:after="100" w:afterAutospacing="1"/>
    </w:pPr>
  </w:style>
  <w:style w:type="paragraph" w:customStyle="1" w:styleId="badge-warninghref">
    <w:name w:val="badge-warning[href]"/>
    <w:basedOn w:val="Normal"/>
    <w:uiPriority w:val="99"/>
    <w:semiHidden/>
    <w:pPr>
      <w:shd w:val="clear" w:color="auto" w:fill="C67605"/>
      <w:spacing w:after="100" w:afterAutospacing="1"/>
    </w:pPr>
  </w:style>
  <w:style w:type="paragraph" w:customStyle="1" w:styleId="label-success">
    <w:name w:val="label-success"/>
    <w:basedOn w:val="Normal"/>
    <w:uiPriority w:val="99"/>
    <w:semiHidden/>
    <w:pPr>
      <w:shd w:val="clear" w:color="auto" w:fill="468847"/>
      <w:spacing w:after="100" w:afterAutospacing="1"/>
    </w:pPr>
  </w:style>
  <w:style w:type="paragraph" w:customStyle="1" w:styleId="badge-success">
    <w:name w:val="badge-success"/>
    <w:basedOn w:val="Normal"/>
    <w:uiPriority w:val="99"/>
    <w:semiHidden/>
    <w:pPr>
      <w:shd w:val="clear" w:color="auto" w:fill="468847"/>
      <w:spacing w:after="100" w:afterAutospacing="1"/>
    </w:pPr>
  </w:style>
  <w:style w:type="paragraph" w:customStyle="1" w:styleId="label-successhref">
    <w:name w:val="label-success[href]"/>
    <w:basedOn w:val="Normal"/>
    <w:uiPriority w:val="99"/>
    <w:semiHidden/>
    <w:pPr>
      <w:shd w:val="clear" w:color="auto" w:fill="356635"/>
      <w:spacing w:after="100" w:afterAutospacing="1"/>
    </w:pPr>
  </w:style>
  <w:style w:type="paragraph" w:customStyle="1" w:styleId="badge-successhref">
    <w:name w:val="badge-success[href]"/>
    <w:basedOn w:val="Normal"/>
    <w:uiPriority w:val="99"/>
    <w:semiHidden/>
    <w:pPr>
      <w:shd w:val="clear" w:color="auto" w:fill="356635"/>
      <w:spacing w:after="100" w:afterAutospacing="1"/>
    </w:pPr>
  </w:style>
  <w:style w:type="paragraph" w:customStyle="1" w:styleId="label-info">
    <w:name w:val="label-info"/>
    <w:basedOn w:val="Normal"/>
    <w:uiPriority w:val="99"/>
    <w:semiHidden/>
    <w:pPr>
      <w:shd w:val="clear" w:color="auto" w:fill="3A87AD"/>
      <w:spacing w:after="100" w:afterAutospacing="1"/>
    </w:pPr>
  </w:style>
  <w:style w:type="paragraph" w:customStyle="1" w:styleId="badge-info">
    <w:name w:val="badge-info"/>
    <w:basedOn w:val="Normal"/>
    <w:uiPriority w:val="99"/>
    <w:semiHidden/>
    <w:pPr>
      <w:shd w:val="clear" w:color="auto" w:fill="3A87AD"/>
      <w:spacing w:after="100" w:afterAutospacing="1"/>
    </w:pPr>
  </w:style>
  <w:style w:type="paragraph" w:customStyle="1" w:styleId="label-infohref">
    <w:name w:val="label-info[href]"/>
    <w:basedOn w:val="Normal"/>
    <w:uiPriority w:val="99"/>
    <w:semiHidden/>
    <w:pPr>
      <w:shd w:val="clear" w:color="auto" w:fill="2D6987"/>
      <w:spacing w:after="100" w:afterAutospacing="1"/>
    </w:pPr>
  </w:style>
  <w:style w:type="paragraph" w:customStyle="1" w:styleId="badge-infohref">
    <w:name w:val="badge-info[href]"/>
    <w:basedOn w:val="Normal"/>
    <w:uiPriority w:val="99"/>
    <w:semiHidden/>
    <w:pPr>
      <w:shd w:val="clear" w:color="auto" w:fill="2D6987"/>
      <w:spacing w:after="100" w:afterAutospacing="1"/>
    </w:pPr>
  </w:style>
  <w:style w:type="paragraph" w:customStyle="1" w:styleId="label-inverse">
    <w:name w:val="label-inverse"/>
    <w:basedOn w:val="Normal"/>
    <w:uiPriority w:val="99"/>
    <w:semiHidden/>
    <w:pPr>
      <w:shd w:val="clear" w:color="auto" w:fill="333333"/>
      <w:spacing w:after="100" w:afterAutospacing="1"/>
    </w:pPr>
  </w:style>
  <w:style w:type="paragraph" w:customStyle="1" w:styleId="badge-inverse">
    <w:name w:val="badge-inverse"/>
    <w:basedOn w:val="Normal"/>
    <w:uiPriority w:val="99"/>
    <w:semiHidden/>
    <w:pPr>
      <w:shd w:val="clear" w:color="auto" w:fill="333333"/>
      <w:spacing w:after="100" w:afterAutospacing="1"/>
    </w:pPr>
  </w:style>
  <w:style w:type="paragraph" w:customStyle="1" w:styleId="label-inversehref">
    <w:name w:val="label-inverse[href]"/>
    <w:basedOn w:val="Normal"/>
    <w:uiPriority w:val="99"/>
    <w:semiHidden/>
    <w:pPr>
      <w:shd w:val="clear" w:color="auto" w:fill="1A1A1A"/>
      <w:spacing w:after="100" w:afterAutospacing="1"/>
    </w:pPr>
  </w:style>
  <w:style w:type="paragraph" w:customStyle="1" w:styleId="badge-inversehref">
    <w:name w:val="badge-inverse[href]"/>
    <w:basedOn w:val="Normal"/>
    <w:uiPriority w:val="99"/>
    <w:semiHidden/>
    <w:pPr>
      <w:shd w:val="clear" w:color="auto" w:fill="1A1A1A"/>
      <w:spacing w:after="100" w:afterAutospacing="1"/>
    </w:pPr>
  </w:style>
  <w:style w:type="paragraph" w:customStyle="1" w:styleId="accordion">
    <w:name w:val="accordion"/>
    <w:basedOn w:val="Normal"/>
    <w:uiPriority w:val="99"/>
    <w:semiHidden/>
    <w:pPr>
      <w:spacing w:after="300"/>
    </w:pPr>
  </w:style>
  <w:style w:type="paragraph" w:customStyle="1" w:styleId="accordion-group">
    <w:name w:val="accordion-group"/>
    <w:basedOn w:val="Normal"/>
    <w:uiPriority w:val="99"/>
    <w:semiHidden/>
    <w:pPr>
      <w:pBdr>
        <w:top w:val="single" w:sz="6" w:space="0" w:color="E5E5E5"/>
        <w:left w:val="single" w:sz="6" w:space="0" w:color="E5E5E5"/>
        <w:bottom w:val="single" w:sz="6" w:space="0" w:color="E5E5E5"/>
        <w:right w:val="single" w:sz="6" w:space="0" w:color="E5E5E5"/>
      </w:pBdr>
      <w:spacing w:after="30"/>
    </w:pPr>
  </w:style>
  <w:style w:type="paragraph" w:customStyle="1" w:styleId="accordion-heading">
    <w:name w:val="accordion-heading"/>
    <w:basedOn w:val="Normal"/>
    <w:uiPriority w:val="99"/>
    <w:semiHidden/>
    <w:pPr>
      <w:spacing w:after="100" w:afterAutospacing="1"/>
    </w:pPr>
  </w:style>
  <w:style w:type="paragraph" w:customStyle="1" w:styleId="accordion-inner">
    <w:name w:val="accordion-inner"/>
    <w:basedOn w:val="Normal"/>
    <w:uiPriority w:val="99"/>
    <w:semiHidden/>
    <w:pPr>
      <w:pBdr>
        <w:top w:val="single" w:sz="6" w:space="7" w:color="E5E5E5"/>
      </w:pBdr>
      <w:spacing w:after="100" w:afterAutospacing="1"/>
    </w:pPr>
  </w:style>
  <w:style w:type="paragraph" w:customStyle="1" w:styleId="carousel">
    <w:name w:val="carousel"/>
    <w:basedOn w:val="Normal"/>
    <w:uiPriority w:val="99"/>
    <w:semiHidden/>
    <w:pPr>
      <w:spacing w:after="300"/>
    </w:pPr>
  </w:style>
  <w:style w:type="paragraph" w:customStyle="1" w:styleId="carousel-inner">
    <w:name w:val="carousel-inner"/>
    <w:basedOn w:val="Normal"/>
    <w:uiPriority w:val="99"/>
    <w:semiHidden/>
    <w:pPr>
      <w:spacing w:after="100" w:afterAutospacing="1"/>
    </w:pPr>
  </w:style>
  <w:style w:type="paragraph" w:customStyle="1" w:styleId="carousel-control">
    <w:name w:val="carousel-control"/>
    <w:basedOn w:val="Normal"/>
    <w:uiPriority w:val="99"/>
    <w:semiHidden/>
    <w:pPr>
      <w:pBdr>
        <w:top w:val="single" w:sz="18" w:space="0" w:color="FFFFFF"/>
        <w:left w:val="single" w:sz="18" w:space="0" w:color="FFFFFF"/>
        <w:bottom w:val="single" w:sz="18" w:space="0" w:color="FFFFFF"/>
        <w:right w:val="single" w:sz="18" w:space="0" w:color="FFFFFF"/>
      </w:pBdr>
      <w:shd w:val="clear" w:color="auto" w:fill="222222"/>
      <w:spacing w:after="100" w:afterAutospacing="1" w:line="450" w:lineRule="atLeast"/>
      <w:jc w:val="center"/>
    </w:pPr>
    <w:rPr>
      <w:sz w:val="90"/>
      <w:szCs w:val="90"/>
    </w:rPr>
  </w:style>
  <w:style w:type="paragraph" w:customStyle="1" w:styleId="carousel-caption">
    <w:name w:val="carousel-caption"/>
    <w:basedOn w:val="Normal"/>
    <w:uiPriority w:val="99"/>
    <w:semiHidden/>
    <w:pPr>
      <w:shd w:val="clear" w:color="auto" w:fill="333333"/>
      <w:spacing w:after="100" w:afterAutospacing="1"/>
    </w:pPr>
  </w:style>
  <w:style w:type="paragraph" w:customStyle="1" w:styleId="hero-unit">
    <w:name w:val="hero-unit"/>
    <w:basedOn w:val="Normal"/>
    <w:uiPriority w:val="99"/>
    <w:semiHidden/>
    <w:pPr>
      <w:shd w:val="clear" w:color="auto" w:fill="EEEEEE"/>
      <w:spacing w:after="450"/>
    </w:pPr>
  </w:style>
  <w:style w:type="paragraph" w:customStyle="1" w:styleId="hide">
    <w:name w:val="hide"/>
    <w:basedOn w:val="Normal"/>
    <w:uiPriority w:val="99"/>
    <w:semiHidden/>
    <w:pPr>
      <w:spacing w:after="100" w:afterAutospacing="1"/>
    </w:pPr>
  </w:style>
  <w:style w:type="paragraph" w:customStyle="1" w:styleId="show">
    <w:name w:val="show"/>
    <w:basedOn w:val="Normal"/>
    <w:uiPriority w:val="99"/>
    <w:semiHidden/>
    <w:pPr>
      <w:spacing w:after="100" w:afterAutospacing="1"/>
    </w:pPr>
  </w:style>
  <w:style w:type="paragraph" w:customStyle="1" w:styleId="ir">
    <w:name w:val="ir"/>
    <w:basedOn w:val="Normal"/>
    <w:uiPriority w:val="99"/>
    <w:semiHidden/>
    <w:pPr>
      <w:spacing w:after="100" w:afterAutospacing="1"/>
    </w:pPr>
  </w:style>
  <w:style w:type="paragraph" w:customStyle="1" w:styleId="visually-hidden">
    <w:name w:val="visually-hidden"/>
    <w:basedOn w:val="Normal"/>
    <w:uiPriority w:val="99"/>
    <w:semiHidden/>
    <w:pPr>
      <w:spacing w:before="0" w:beforeAutospacing="0"/>
      <w:ind w:left="-15" w:right="-15"/>
    </w:pPr>
  </w:style>
  <w:style w:type="paragraph" w:customStyle="1" w:styleId="hidden">
    <w:name w:val="hidden"/>
    <w:basedOn w:val="Normal"/>
    <w:uiPriority w:val="99"/>
    <w:semiHidden/>
    <w:pPr>
      <w:spacing w:after="100" w:afterAutospacing="1"/>
    </w:pPr>
  </w:style>
  <w:style w:type="paragraph" w:customStyle="1" w:styleId="assistme">
    <w:name w:val="assistme"/>
    <w:basedOn w:val="Normal"/>
    <w:uiPriority w:val="99"/>
    <w:semiHidden/>
    <w:pPr>
      <w:shd w:val="clear" w:color="auto" w:fill="333333"/>
      <w:spacing w:after="100" w:afterAutospacing="1"/>
      <w:jc w:val="right"/>
    </w:pPr>
  </w:style>
  <w:style w:type="paragraph" w:customStyle="1" w:styleId="masthead">
    <w:name w:val="masthead"/>
    <w:basedOn w:val="Normal"/>
    <w:uiPriority w:val="99"/>
    <w:semiHidden/>
    <w:pPr>
      <w:spacing w:after="1080"/>
    </w:pPr>
  </w:style>
  <w:style w:type="paragraph" w:customStyle="1" w:styleId="subhead">
    <w:name w:val="subhead"/>
    <w:basedOn w:val="Normal"/>
    <w:uiPriority w:val="99"/>
    <w:semiHidden/>
    <w:pPr>
      <w:spacing w:after="135"/>
    </w:pPr>
  </w:style>
  <w:style w:type="paragraph" w:customStyle="1" w:styleId="subnav">
    <w:name w:val="subnav"/>
    <w:basedOn w:val="Normal"/>
    <w:uiPriority w:val="99"/>
    <w:semiHidden/>
    <w:pPr>
      <w:pBdr>
        <w:top w:val="single" w:sz="6" w:space="0" w:color="E5E5E5"/>
        <w:left w:val="single" w:sz="6" w:space="0" w:color="E5E5E5"/>
        <w:bottom w:val="single" w:sz="6" w:space="0" w:color="E5E5E5"/>
        <w:right w:val="single" w:sz="6" w:space="0" w:color="E5E5E5"/>
      </w:pBdr>
      <w:shd w:val="clear" w:color="auto" w:fill="EEEEEE"/>
      <w:spacing w:after="100" w:afterAutospacing="1"/>
    </w:pPr>
  </w:style>
  <w:style w:type="paragraph" w:customStyle="1" w:styleId="bs-links">
    <w:name w:val="bs-links"/>
    <w:basedOn w:val="Normal"/>
    <w:uiPriority w:val="99"/>
    <w:semiHidden/>
    <w:pPr>
      <w:spacing w:before="540" w:beforeAutospacing="0" w:after="540"/>
    </w:pPr>
  </w:style>
  <w:style w:type="paragraph" w:customStyle="1" w:styleId="quick-links">
    <w:name w:val="quick-links"/>
    <w:basedOn w:val="Normal"/>
    <w:uiPriority w:val="99"/>
    <w:semiHidden/>
    <w:pPr>
      <w:jc w:val="center"/>
    </w:pPr>
  </w:style>
  <w:style w:type="paragraph" w:customStyle="1" w:styleId="footer">
    <w:name w:val="footer"/>
    <w:basedOn w:val="Normal"/>
    <w:uiPriority w:val="99"/>
    <w:semiHidden/>
    <w:pPr>
      <w:pBdr>
        <w:top w:val="single" w:sz="6" w:space="26" w:color="E5E5E5"/>
      </w:pBdr>
      <w:spacing w:before="675" w:beforeAutospacing="0" w:after="100" w:afterAutospacing="1"/>
    </w:pPr>
  </w:style>
  <w:style w:type="paragraph" w:customStyle="1" w:styleId="show-grid">
    <w:name w:val="show-grid"/>
    <w:basedOn w:val="Normal"/>
    <w:uiPriority w:val="99"/>
    <w:semiHidden/>
    <w:pPr>
      <w:spacing w:before="150" w:beforeAutospacing="0" w:after="300"/>
    </w:pPr>
  </w:style>
  <w:style w:type="paragraph" w:customStyle="1" w:styleId="mini-layout">
    <w:name w:val="mini-layout"/>
    <w:basedOn w:val="Normal"/>
    <w:uiPriority w:val="99"/>
    <w:semiHidden/>
    <w:pPr>
      <w:pBdr>
        <w:top w:val="single" w:sz="6" w:space="0" w:color="DDDDDD"/>
        <w:left w:val="single" w:sz="6" w:space="0" w:color="DDDDDD"/>
        <w:bottom w:val="single" w:sz="6" w:space="0" w:color="DDDDDD"/>
        <w:right w:val="single" w:sz="6" w:space="0" w:color="DDDDDD"/>
      </w:pBdr>
      <w:spacing w:after="300"/>
    </w:pPr>
  </w:style>
  <w:style w:type="paragraph" w:customStyle="1" w:styleId="large-bird">
    <w:name w:val="large-bird"/>
    <w:basedOn w:val="Normal"/>
    <w:uiPriority w:val="99"/>
    <w:semiHidden/>
    <w:pPr>
      <w:spacing w:before="75" w:beforeAutospacing="0"/>
      <w:ind w:left="4650"/>
    </w:pPr>
  </w:style>
  <w:style w:type="paragraph" w:customStyle="1" w:styleId="download-btn">
    <w:name w:val="download-btn"/>
    <w:basedOn w:val="Normal"/>
    <w:uiPriority w:val="99"/>
    <w:semiHidden/>
    <w:pPr>
      <w:spacing w:before="540" w:beforeAutospacing="0" w:after="1620"/>
    </w:pPr>
  </w:style>
  <w:style w:type="paragraph" w:customStyle="1" w:styleId="swatch-col">
    <w:name w:val="swatch-col"/>
    <w:basedOn w:val="Normal"/>
    <w:uiPriority w:val="99"/>
    <w:semiHidden/>
    <w:pPr>
      <w:spacing w:after="100" w:afterAutospacing="1"/>
    </w:pPr>
  </w:style>
  <w:style w:type="paragraph" w:customStyle="1" w:styleId="swatch">
    <w:name w:val="swatch"/>
    <w:basedOn w:val="Normal"/>
    <w:uiPriority w:val="99"/>
    <w:semiHidden/>
  </w:style>
  <w:style w:type="paragraph" w:customStyle="1" w:styleId="swatch-bordered">
    <w:name w:val="swatch-bordered"/>
    <w:basedOn w:val="Normal"/>
    <w:uiPriority w:val="99"/>
    <w:semiHidden/>
    <w:pPr>
      <w:pBdr>
        <w:top w:val="single" w:sz="6" w:space="0" w:color="EEEEEE"/>
        <w:left w:val="single" w:sz="6" w:space="0" w:color="EEEEEE"/>
        <w:bottom w:val="single" w:sz="6" w:space="0" w:color="EEEEEE"/>
        <w:right w:val="single" w:sz="6" w:space="0" w:color="EEEEEE"/>
      </w:pBdr>
      <w:spacing w:after="100" w:afterAutospacing="1"/>
    </w:pPr>
  </w:style>
  <w:style w:type="paragraph" w:customStyle="1" w:styleId="marketing-byline">
    <w:name w:val="marketing-byline"/>
    <w:basedOn w:val="Normal"/>
    <w:uiPriority w:val="99"/>
    <w:semiHidden/>
    <w:pPr>
      <w:spacing w:after="405" w:line="360" w:lineRule="atLeast"/>
      <w:jc w:val="center"/>
    </w:pPr>
    <w:rPr>
      <w:sz w:val="27"/>
      <w:szCs w:val="27"/>
    </w:rPr>
  </w:style>
  <w:style w:type="paragraph" w:customStyle="1" w:styleId="scrollspy-example">
    <w:name w:val="scrollspy-example"/>
    <w:basedOn w:val="Normal"/>
    <w:uiPriority w:val="99"/>
    <w:semiHidden/>
    <w:pPr>
      <w:spacing w:after="100" w:afterAutospacing="1"/>
    </w:pPr>
  </w:style>
  <w:style w:type="paragraph" w:customStyle="1" w:styleId="the-icons">
    <w:name w:val="the-icons"/>
    <w:basedOn w:val="Normal"/>
    <w:uiPriority w:val="99"/>
    <w:semiHidden/>
    <w:pPr>
      <w:spacing w:after="100" w:afterAutospacing="1"/>
    </w:pPr>
  </w:style>
  <w:style w:type="paragraph" w:customStyle="1" w:styleId="responsive-utilities-test">
    <w:name w:val="responsive-utilities-test"/>
    <w:basedOn w:val="Normal"/>
    <w:uiPriority w:val="99"/>
    <w:semiHidden/>
    <w:pPr>
      <w:spacing w:before="75" w:beforeAutospacing="0" w:after="100" w:afterAutospacing="1"/>
    </w:pPr>
  </w:style>
  <w:style w:type="paragraph" w:customStyle="1" w:styleId="icon-giant">
    <w:name w:val="icon-giant"/>
    <w:basedOn w:val="Normal"/>
    <w:uiPriority w:val="99"/>
    <w:semiHidden/>
    <w:pPr>
      <w:spacing w:after="100" w:afterAutospacing="1"/>
    </w:pPr>
    <w:rPr>
      <w:sz w:val="48"/>
      <w:szCs w:val="48"/>
    </w:rPr>
  </w:style>
  <w:style w:type="paragraph" w:customStyle="1" w:styleId="icon-mega">
    <w:name w:val="icon-mega"/>
    <w:basedOn w:val="Normal"/>
    <w:uiPriority w:val="99"/>
    <w:semiHidden/>
    <w:pPr>
      <w:spacing w:after="100" w:afterAutospacing="1"/>
    </w:pPr>
    <w:rPr>
      <w:sz w:val="72"/>
      <w:szCs w:val="72"/>
    </w:rPr>
  </w:style>
  <w:style w:type="paragraph" w:customStyle="1" w:styleId="doc-list">
    <w:name w:val="doc-list"/>
    <w:basedOn w:val="Normal"/>
    <w:uiPriority w:val="99"/>
    <w:semiHidden/>
    <w:pPr>
      <w:spacing w:after="100" w:afterAutospacing="1"/>
    </w:pPr>
  </w:style>
  <w:style w:type="paragraph" w:customStyle="1" w:styleId="contactform">
    <w:name w:val="contactform"/>
    <w:basedOn w:val="Normal"/>
    <w:uiPriority w:val="99"/>
    <w:semiHidden/>
    <w:pPr>
      <w:spacing w:before="480" w:beforeAutospacing="0" w:after="100" w:afterAutospacing="1"/>
    </w:pPr>
  </w:style>
  <w:style w:type="paragraph" w:customStyle="1" w:styleId="boardmemberlist">
    <w:name w:val="boardmemberlist"/>
    <w:basedOn w:val="Normal"/>
    <w:uiPriority w:val="99"/>
    <w:semiHidden/>
    <w:pPr>
      <w:spacing w:before="480" w:beforeAutospacing="0" w:after="100" w:afterAutospacing="1"/>
    </w:pPr>
  </w:style>
  <w:style w:type="paragraph" w:customStyle="1" w:styleId="joblisting">
    <w:name w:val="joblisting"/>
    <w:basedOn w:val="Normal"/>
    <w:uiPriority w:val="99"/>
    <w:semiHidden/>
    <w:pPr>
      <w:pBdr>
        <w:top w:val="single" w:sz="6" w:space="12" w:color="333333"/>
        <w:left w:val="single" w:sz="6" w:space="12" w:color="333333"/>
        <w:bottom w:val="single" w:sz="6" w:space="12" w:color="333333"/>
        <w:right w:val="single" w:sz="6" w:space="12" w:color="333333"/>
      </w:pBdr>
      <w:spacing w:after="100" w:afterAutospacing="1"/>
    </w:pPr>
  </w:style>
  <w:style w:type="paragraph" w:customStyle="1" w:styleId="field-multiple-table">
    <w:name w:val="field-multiple-table"/>
    <w:basedOn w:val="Normal"/>
    <w:uiPriority w:val="99"/>
    <w:semiHidden/>
    <w:pPr>
      <w:spacing w:after="100" w:afterAutospacing="1"/>
    </w:pPr>
  </w:style>
  <w:style w:type="paragraph" w:customStyle="1" w:styleId="field-add-more-submit">
    <w:name w:val="field-add-more-submit"/>
    <w:basedOn w:val="Normal"/>
    <w:uiPriority w:val="99"/>
    <w:semiHidden/>
    <w:pPr>
      <w:spacing w:after="100" w:afterAutospacing="1"/>
    </w:pPr>
  </w:style>
  <w:style w:type="paragraph" w:customStyle="1" w:styleId="span13">
    <w:name w:val="span13"/>
    <w:basedOn w:val="Normal"/>
    <w:uiPriority w:val="99"/>
    <w:semiHidden/>
    <w:pPr>
      <w:spacing w:after="100" w:afterAutospacing="1"/>
    </w:pPr>
  </w:style>
  <w:style w:type="paragraph" w:customStyle="1" w:styleId="span14">
    <w:name w:val="span14"/>
    <w:basedOn w:val="Normal"/>
    <w:uiPriority w:val="99"/>
    <w:semiHidden/>
    <w:pPr>
      <w:spacing w:after="100" w:afterAutospacing="1"/>
    </w:pPr>
  </w:style>
  <w:style w:type="paragraph" w:customStyle="1" w:styleId="span15">
    <w:name w:val="span15"/>
    <w:basedOn w:val="Normal"/>
    <w:uiPriority w:val="99"/>
    <w:semiHidden/>
    <w:pPr>
      <w:spacing w:after="100" w:afterAutospacing="1"/>
    </w:pPr>
  </w:style>
  <w:style w:type="paragraph" w:customStyle="1" w:styleId="span16">
    <w:name w:val="span16"/>
    <w:basedOn w:val="Normal"/>
    <w:uiPriority w:val="99"/>
    <w:semiHidden/>
    <w:pPr>
      <w:spacing w:after="100" w:afterAutospacing="1"/>
    </w:pPr>
  </w:style>
  <w:style w:type="paragraph" w:customStyle="1" w:styleId="span17">
    <w:name w:val="span17"/>
    <w:basedOn w:val="Normal"/>
    <w:uiPriority w:val="99"/>
    <w:semiHidden/>
    <w:pPr>
      <w:spacing w:after="100" w:afterAutospacing="1"/>
    </w:pPr>
  </w:style>
  <w:style w:type="paragraph" w:customStyle="1" w:styleId="span18">
    <w:name w:val="span18"/>
    <w:basedOn w:val="Normal"/>
    <w:uiPriority w:val="99"/>
    <w:semiHidden/>
    <w:pPr>
      <w:spacing w:after="100" w:afterAutospacing="1"/>
    </w:pPr>
  </w:style>
  <w:style w:type="paragraph" w:customStyle="1" w:styleId="span19">
    <w:name w:val="span19"/>
    <w:basedOn w:val="Normal"/>
    <w:uiPriority w:val="99"/>
    <w:semiHidden/>
    <w:pPr>
      <w:spacing w:after="100" w:afterAutospacing="1"/>
    </w:pPr>
  </w:style>
  <w:style w:type="paragraph" w:customStyle="1" w:styleId="span20">
    <w:name w:val="span20"/>
    <w:basedOn w:val="Normal"/>
    <w:uiPriority w:val="99"/>
    <w:semiHidden/>
    <w:pPr>
      <w:spacing w:after="100" w:afterAutospacing="1"/>
    </w:pPr>
  </w:style>
  <w:style w:type="paragraph" w:customStyle="1" w:styleId="span21">
    <w:name w:val="span21"/>
    <w:basedOn w:val="Normal"/>
    <w:uiPriority w:val="99"/>
    <w:semiHidden/>
    <w:pPr>
      <w:spacing w:after="100" w:afterAutospacing="1"/>
    </w:pPr>
  </w:style>
  <w:style w:type="paragraph" w:customStyle="1" w:styleId="span22">
    <w:name w:val="span22"/>
    <w:basedOn w:val="Normal"/>
    <w:uiPriority w:val="99"/>
    <w:semiHidden/>
    <w:pPr>
      <w:spacing w:after="100" w:afterAutospacing="1"/>
    </w:pPr>
  </w:style>
  <w:style w:type="paragraph" w:customStyle="1" w:styleId="span23">
    <w:name w:val="span23"/>
    <w:basedOn w:val="Normal"/>
    <w:uiPriority w:val="99"/>
    <w:semiHidden/>
    <w:pPr>
      <w:spacing w:after="100" w:afterAutospacing="1"/>
    </w:pPr>
  </w:style>
  <w:style w:type="paragraph" w:customStyle="1" w:styleId="span24">
    <w:name w:val="span24"/>
    <w:basedOn w:val="Normal"/>
    <w:uiPriority w:val="99"/>
    <w:semiHidden/>
    <w:pPr>
      <w:spacing w:after="100" w:afterAutospacing="1"/>
    </w:pPr>
  </w:style>
  <w:style w:type="paragraph" w:customStyle="1" w:styleId="grippie">
    <w:name w:val="grippie"/>
    <w:basedOn w:val="Normal"/>
    <w:uiPriority w:val="99"/>
    <w:semiHidden/>
    <w:pPr>
      <w:spacing w:after="100" w:afterAutospacing="1"/>
    </w:pPr>
  </w:style>
  <w:style w:type="paragraph" w:customStyle="1" w:styleId="bar">
    <w:name w:val="bar"/>
    <w:basedOn w:val="Normal"/>
    <w:uiPriority w:val="99"/>
    <w:semiHidden/>
    <w:pPr>
      <w:spacing w:after="100" w:afterAutospacing="1"/>
    </w:pPr>
  </w:style>
  <w:style w:type="paragraph" w:customStyle="1" w:styleId="filled">
    <w:name w:val="filled"/>
    <w:basedOn w:val="Normal"/>
    <w:uiPriority w:val="99"/>
    <w:semiHidden/>
    <w:pPr>
      <w:spacing w:after="100" w:afterAutospacing="1"/>
    </w:pPr>
  </w:style>
  <w:style w:type="paragraph" w:customStyle="1" w:styleId="throbber">
    <w:name w:val="throbber"/>
    <w:basedOn w:val="Normal"/>
    <w:uiPriority w:val="99"/>
    <w:semiHidden/>
    <w:pPr>
      <w:spacing w:after="100" w:afterAutospacing="1"/>
    </w:pPr>
  </w:style>
  <w:style w:type="paragraph" w:customStyle="1" w:styleId="message">
    <w:name w:val="message"/>
    <w:basedOn w:val="Normal"/>
    <w:uiPriority w:val="99"/>
    <w:semiHidden/>
    <w:pPr>
      <w:spacing w:after="100" w:afterAutospacing="1"/>
    </w:pPr>
  </w:style>
  <w:style w:type="paragraph" w:customStyle="1" w:styleId="fieldset-wrapper">
    <w:name w:val="fieldset-wrapper"/>
    <w:basedOn w:val="Normal"/>
    <w:uiPriority w:val="99"/>
    <w:semiHidden/>
    <w:pPr>
      <w:spacing w:after="100" w:afterAutospacing="1"/>
    </w:pPr>
  </w:style>
  <w:style w:type="paragraph" w:customStyle="1" w:styleId="title">
    <w:name w:val="title"/>
    <w:basedOn w:val="Normal"/>
    <w:uiPriority w:val="99"/>
    <w:semiHidden/>
    <w:pPr>
      <w:spacing w:after="100" w:afterAutospacing="1"/>
    </w:pPr>
  </w:style>
  <w:style w:type="paragraph" w:customStyle="1" w:styleId="description">
    <w:name w:val="description"/>
    <w:basedOn w:val="Normal"/>
    <w:uiPriority w:val="99"/>
    <w:semiHidden/>
    <w:pPr>
      <w:spacing w:after="100" w:afterAutospacing="1"/>
    </w:pPr>
  </w:style>
  <w:style w:type="paragraph" w:customStyle="1" w:styleId="date-spacer">
    <w:name w:val="date-spacer"/>
    <w:basedOn w:val="Normal"/>
    <w:uiPriority w:val="99"/>
    <w:semiHidden/>
    <w:pPr>
      <w:spacing w:after="100" w:afterAutospacing="1"/>
    </w:pPr>
  </w:style>
  <w:style w:type="paragraph" w:customStyle="1" w:styleId="date-padding">
    <w:name w:val="date-padding"/>
    <w:basedOn w:val="Normal"/>
    <w:uiPriority w:val="99"/>
    <w:semiHidden/>
    <w:pPr>
      <w:spacing w:after="100" w:afterAutospacing="1"/>
    </w:pPr>
  </w:style>
  <w:style w:type="paragraph" w:customStyle="1" w:styleId="form-type-checkbox">
    <w:name w:val="form-type-checkbox"/>
    <w:basedOn w:val="Normal"/>
    <w:uiPriority w:val="99"/>
    <w:semiHidden/>
    <w:pPr>
      <w:spacing w:after="100" w:afterAutospacing="1"/>
    </w:pPr>
  </w:style>
  <w:style w:type="paragraph" w:customStyle="1" w:styleId="form-type-selectclasshour">
    <w:name w:val="form-type-select[class$=hour]"/>
    <w:basedOn w:val="Normal"/>
    <w:uiPriority w:val="99"/>
    <w:semiHidden/>
    <w:pPr>
      <w:spacing w:after="100" w:afterAutospacing="1"/>
    </w:pPr>
  </w:style>
  <w:style w:type="paragraph" w:customStyle="1" w:styleId="date-format-delete">
    <w:name w:val="date-format-delete"/>
    <w:basedOn w:val="Normal"/>
    <w:uiPriority w:val="99"/>
    <w:semiHidden/>
    <w:pPr>
      <w:spacing w:after="100" w:afterAutospacing="1"/>
    </w:pPr>
  </w:style>
  <w:style w:type="paragraph" w:customStyle="1" w:styleId="date-format-type">
    <w:name w:val="date-format-type"/>
    <w:basedOn w:val="Normal"/>
    <w:uiPriority w:val="99"/>
    <w:semiHidden/>
    <w:pPr>
      <w:spacing w:after="100" w:afterAutospacing="1"/>
    </w:pPr>
  </w:style>
  <w:style w:type="paragraph" w:customStyle="1" w:styleId="select-container">
    <w:name w:val="select-container"/>
    <w:basedOn w:val="Normal"/>
    <w:uiPriority w:val="99"/>
    <w:semiHidden/>
    <w:pPr>
      <w:spacing w:after="100" w:afterAutospacing="1"/>
    </w:pPr>
  </w:style>
  <w:style w:type="paragraph" w:customStyle="1" w:styleId="ui-datepicker-header">
    <w:name w:val="ui-datepicker-header"/>
    <w:basedOn w:val="Normal"/>
    <w:uiPriority w:val="99"/>
    <w:semiHidden/>
    <w:pPr>
      <w:spacing w:after="100" w:afterAutospacing="1"/>
    </w:pPr>
  </w:style>
  <w:style w:type="paragraph" w:customStyle="1" w:styleId="ui-datepicker-prev">
    <w:name w:val="ui-datepicker-prev"/>
    <w:basedOn w:val="Normal"/>
    <w:uiPriority w:val="99"/>
    <w:semiHidden/>
    <w:pPr>
      <w:spacing w:after="100" w:afterAutospacing="1"/>
    </w:pPr>
  </w:style>
  <w:style w:type="paragraph" w:customStyle="1" w:styleId="ui-datepicker-next">
    <w:name w:val="ui-datepicker-next"/>
    <w:basedOn w:val="Normal"/>
    <w:uiPriority w:val="99"/>
    <w:semiHidden/>
    <w:pPr>
      <w:spacing w:after="100" w:afterAutospacing="1"/>
    </w:pPr>
  </w:style>
  <w:style w:type="paragraph" w:customStyle="1" w:styleId="ui-datepicker-title">
    <w:name w:val="ui-datepicker-title"/>
    <w:basedOn w:val="Normal"/>
    <w:uiPriority w:val="99"/>
    <w:semiHidden/>
    <w:pPr>
      <w:spacing w:after="100" w:afterAutospacing="1"/>
    </w:pPr>
  </w:style>
  <w:style w:type="paragraph" w:customStyle="1" w:styleId="ui-datepicker-buttonpane">
    <w:name w:val="ui-datepicker-buttonpane"/>
    <w:basedOn w:val="Normal"/>
    <w:uiPriority w:val="99"/>
    <w:semiHidden/>
    <w:pPr>
      <w:spacing w:after="100" w:afterAutospacing="1"/>
    </w:pPr>
  </w:style>
  <w:style w:type="paragraph" w:customStyle="1" w:styleId="ui-datepicker-group">
    <w:name w:val="ui-datepicker-group"/>
    <w:basedOn w:val="Normal"/>
    <w:uiPriority w:val="99"/>
    <w:semiHidden/>
    <w:pPr>
      <w:spacing w:after="100" w:afterAutospacing="1"/>
    </w:pPr>
  </w:style>
  <w:style w:type="paragraph" w:customStyle="1" w:styleId="field-label">
    <w:name w:val="field-label"/>
    <w:basedOn w:val="Normal"/>
    <w:uiPriority w:val="99"/>
    <w:semiHidden/>
    <w:pPr>
      <w:spacing w:after="100" w:afterAutospacing="1"/>
    </w:pPr>
  </w:style>
  <w:style w:type="paragraph" w:customStyle="1" w:styleId="node">
    <w:name w:val="node"/>
    <w:basedOn w:val="Normal"/>
    <w:uiPriority w:val="99"/>
    <w:semiHidden/>
    <w:pPr>
      <w:spacing w:after="100" w:afterAutospacing="1"/>
    </w:pPr>
  </w:style>
  <w:style w:type="paragraph" w:customStyle="1" w:styleId="search-snippet-info">
    <w:name w:val="search-snippet-info"/>
    <w:basedOn w:val="Normal"/>
    <w:uiPriority w:val="99"/>
    <w:semiHidden/>
    <w:pPr>
      <w:spacing w:after="100" w:afterAutospacing="1"/>
    </w:pPr>
  </w:style>
  <w:style w:type="paragraph" w:customStyle="1" w:styleId="search-info">
    <w:name w:val="search-info"/>
    <w:basedOn w:val="Normal"/>
    <w:uiPriority w:val="99"/>
    <w:semiHidden/>
    <w:pPr>
      <w:spacing w:after="100" w:afterAutospacing="1"/>
    </w:pPr>
  </w:style>
  <w:style w:type="paragraph" w:customStyle="1" w:styleId="criterion">
    <w:name w:val="criterion"/>
    <w:basedOn w:val="Normal"/>
    <w:uiPriority w:val="99"/>
    <w:semiHidden/>
    <w:pPr>
      <w:spacing w:after="100" w:afterAutospacing="1"/>
    </w:pPr>
  </w:style>
  <w:style w:type="paragraph" w:customStyle="1" w:styleId="action">
    <w:name w:val="action"/>
    <w:basedOn w:val="Normal"/>
    <w:uiPriority w:val="99"/>
    <w:semiHidden/>
    <w:pPr>
      <w:spacing w:after="100" w:afterAutospacing="1"/>
    </w:pPr>
  </w:style>
  <w:style w:type="paragraph" w:customStyle="1" w:styleId="user-picture">
    <w:name w:val="user-picture"/>
    <w:basedOn w:val="Normal"/>
    <w:uiPriority w:val="99"/>
    <w:semiHidden/>
    <w:pPr>
      <w:spacing w:after="100" w:afterAutospacing="1"/>
    </w:pPr>
  </w:style>
  <w:style w:type="paragraph" w:customStyle="1" w:styleId="views-exposed-widget">
    <w:name w:val="views-exposed-widget"/>
    <w:basedOn w:val="Normal"/>
    <w:uiPriority w:val="99"/>
    <w:semiHidden/>
    <w:pPr>
      <w:spacing w:after="100" w:afterAutospacing="1"/>
    </w:pPr>
  </w:style>
  <w:style w:type="paragraph" w:customStyle="1" w:styleId="form-submit">
    <w:name w:val="form-submit"/>
    <w:basedOn w:val="Normal"/>
    <w:uiPriority w:val="99"/>
    <w:semiHidden/>
    <w:pPr>
      <w:spacing w:after="100" w:afterAutospacing="1"/>
    </w:pPr>
  </w:style>
  <w:style w:type="paragraph" w:customStyle="1" w:styleId="add-on">
    <w:name w:val="add-on"/>
    <w:basedOn w:val="Normal"/>
    <w:uiPriority w:val="99"/>
    <w:semiHidden/>
    <w:pPr>
      <w:spacing w:after="100" w:afterAutospacing="1"/>
    </w:pPr>
  </w:style>
  <w:style w:type="paragraph" w:customStyle="1" w:styleId="active">
    <w:name w:val="active"/>
    <w:basedOn w:val="Normal"/>
    <w:uiPriority w:val="99"/>
    <w:semiHidden/>
    <w:pPr>
      <w:spacing w:after="100" w:afterAutospacing="1"/>
    </w:pPr>
  </w:style>
  <w:style w:type="paragraph" w:customStyle="1" w:styleId="control-label">
    <w:name w:val="control-label"/>
    <w:basedOn w:val="Normal"/>
    <w:uiPriority w:val="99"/>
    <w:semiHidden/>
    <w:pPr>
      <w:spacing w:after="100" w:afterAutospacing="1"/>
    </w:pPr>
  </w:style>
  <w:style w:type="paragraph" w:customStyle="1" w:styleId="controls">
    <w:name w:val="controls"/>
    <w:basedOn w:val="Normal"/>
    <w:uiPriority w:val="99"/>
    <w:semiHidden/>
    <w:pPr>
      <w:spacing w:after="100" w:afterAutospacing="1"/>
    </w:pPr>
  </w:style>
  <w:style w:type="paragraph" w:customStyle="1" w:styleId="divider">
    <w:name w:val="divider"/>
    <w:basedOn w:val="Normal"/>
    <w:uiPriority w:val="99"/>
    <w:semiHidden/>
    <w:pPr>
      <w:spacing w:after="100" w:afterAutospacing="1"/>
    </w:pPr>
  </w:style>
  <w:style w:type="paragraph" w:customStyle="1" w:styleId="brand">
    <w:name w:val="brand"/>
    <w:basedOn w:val="Normal"/>
    <w:uiPriority w:val="99"/>
    <w:semiHidden/>
    <w:pPr>
      <w:spacing w:after="100" w:afterAutospacing="1"/>
    </w:pPr>
  </w:style>
  <w:style w:type="paragraph" w:customStyle="1" w:styleId="divider-vertical">
    <w:name w:val="divider-vertical"/>
    <w:basedOn w:val="Normal"/>
    <w:uiPriority w:val="99"/>
    <w:semiHidden/>
    <w:pPr>
      <w:spacing w:after="100" w:afterAutospacing="1"/>
    </w:pPr>
  </w:style>
  <w:style w:type="paragraph" w:customStyle="1" w:styleId="search-query">
    <w:name w:val="search-query"/>
    <w:basedOn w:val="Normal"/>
    <w:uiPriority w:val="99"/>
    <w:semiHidden/>
    <w:pPr>
      <w:spacing w:after="100" w:afterAutospacing="1"/>
    </w:pPr>
  </w:style>
  <w:style w:type="paragraph" w:customStyle="1" w:styleId="btn-navbar">
    <w:name w:val="btn-navbar"/>
    <w:basedOn w:val="Normal"/>
    <w:uiPriority w:val="99"/>
    <w:semiHidden/>
    <w:pPr>
      <w:spacing w:after="100" w:afterAutospacing="1"/>
    </w:pPr>
  </w:style>
  <w:style w:type="paragraph" w:customStyle="1" w:styleId="caption">
    <w:name w:val="caption"/>
    <w:basedOn w:val="Normal"/>
    <w:uiPriority w:val="99"/>
    <w:semiHidden/>
    <w:pPr>
      <w:spacing w:after="100" w:afterAutospacing="1"/>
    </w:pPr>
  </w:style>
  <w:style w:type="paragraph" w:customStyle="1" w:styleId="bar-danger">
    <w:name w:val="bar-danger"/>
    <w:basedOn w:val="Normal"/>
    <w:uiPriority w:val="99"/>
    <w:semiHidden/>
    <w:pPr>
      <w:spacing w:after="100" w:afterAutospacing="1"/>
    </w:pPr>
  </w:style>
  <w:style w:type="paragraph" w:customStyle="1" w:styleId="bar-success">
    <w:name w:val="bar-success"/>
    <w:basedOn w:val="Normal"/>
    <w:uiPriority w:val="99"/>
    <w:semiHidden/>
    <w:pPr>
      <w:spacing w:after="100" w:afterAutospacing="1"/>
    </w:pPr>
  </w:style>
  <w:style w:type="paragraph" w:customStyle="1" w:styleId="bar-info">
    <w:name w:val="bar-info"/>
    <w:basedOn w:val="Normal"/>
    <w:uiPriority w:val="99"/>
    <w:semiHidden/>
    <w:pPr>
      <w:spacing w:after="100" w:afterAutospacing="1"/>
    </w:pPr>
  </w:style>
  <w:style w:type="paragraph" w:customStyle="1" w:styleId="bar-warning">
    <w:name w:val="bar-warning"/>
    <w:basedOn w:val="Normal"/>
    <w:uiPriority w:val="99"/>
    <w:semiHidden/>
    <w:pPr>
      <w:spacing w:after="100" w:afterAutospacing="1"/>
    </w:pPr>
  </w:style>
  <w:style w:type="paragraph" w:customStyle="1" w:styleId="accordion-toggle">
    <w:name w:val="accordion-toggle"/>
    <w:basedOn w:val="Normal"/>
    <w:uiPriority w:val="99"/>
    <w:semiHidden/>
    <w:pPr>
      <w:spacing w:after="100" w:afterAutospacing="1"/>
    </w:pPr>
  </w:style>
  <w:style w:type="paragraph" w:customStyle="1" w:styleId="item">
    <w:name w:val="item"/>
    <w:basedOn w:val="Normal"/>
    <w:uiPriority w:val="99"/>
    <w:semiHidden/>
    <w:pPr>
      <w:spacing w:after="100" w:afterAutospacing="1"/>
    </w:pPr>
  </w:style>
  <w:style w:type="paragraph" w:customStyle="1" w:styleId="next">
    <w:name w:val="next"/>
    <w:basedOn w:val="Normal"/>
    <w:uiPriority w:val="99"/>
    <w:semiHidden/>
    <w:pPr>
      <w:spacing w:after="100" w:afterAutospacing="1"/>
    </w:pPr>
  </w:style>
  <w:style w:type="paragraph" w:customStyle="1" w:styleId="prev">
    <w:name w:val="prev"/>
    <w:basedOn w:val="Normal"/>
    <w:uiPriority w:val="99"/>
    <w:semiHidden/>
    <w:pPr>
      <w:spacing w:after="100" w:afterAutospacing="1"/>
    </w:pPr>
  </w:style>
  <w:style w:type="paragraph" w:customStyle="1" w:styleId="bs-icon">
    <w:name w:val="bs-icon"/>
    <w:basedOn w:val="Normal"/>
    <w:uiPriority w:val="99"/>
    <w:semiHidden/>
    <w:pPr>
      <w:spacing w:after="100" w:afterAutospacing="1"/>
    </w:pPr>
  </w:style>
  <w:style w:type="paragraph" w:customStyle="1" w:styleId="small-bs-icon">
    <w:name w:val="small-bs-icon"/>
    <w:basedOn w:val="Normal"/>
    <w:uiPriority w:val="99"/>
    <w:semiHidden/>
    <w:pPr>
      <w:spacing w:after="100" w:afterAutospacing="1"/>
    </w:pPr>
  </w:style>
  <w:style w:type="paragraph" w:customStyle="1" w:styleId="mini-layout-body">
    <w:name w:val="mini-layout-body"/>
    <w:basedOn w:val="Normal"/>
    <w:uiPriority w:val="99"/>
    <w:semiHidden/>
    <w:pPr>
      <w:spacing w:after="100" w:afterAutospacing="1"/>
    </w:pPr>
  </w:style>
  <w:style w:type="paragraph" w:customStyle="1" w:styleId="popover-wrapper">
    <w:name w:val="popover-wrapper"/>
    <w:basedOn w:val="Normal"/>
    <w:uiPriority w:val="99"/>
    <w:semiHidden/>
    <w:pPr>
      <w:spacing w:after="100" w:afterAutospacing="1"/>
    </w:pPr>
  </w:style>
  <w:style w:type="paragraph" w:customStyle="1" w:styleId="popover-menu-wrapper">
    <w:name w:val="popover-menu-wrapper"/>
    <w:basedOn w:val="Normal"/>
    <w:uiPriority w:val="99"/>
    <w:semiHidden/>
    <w:pPr>
      <w:spacing w:after="100" w:afterAutospacing="1"/>
    </w:pPr>
  </w:style>
  <w:style w:type="paragraph" w:customStyle="1" w:styleId="toggle-all">
    <w:name w:val="toggle-all"/>
    <w:basedOn w:val="Normal"/>
    <w:uiPriority w:val="99"/>
    <w:semiHidden/>
    <w:pPr>
      <w:spacing w:after="100" w:afterAutospacing="1"/>
    </w:pPr>
  </w:style>
  <w:style w:type="paragraph" w:customStyle="1" w:styleId="handle">
    <w:name w:val="handle"/>
    <w:basedOn w:val="Normal"/>
    <w:uiPriority w:val="99"/>
    <w:semiHidden/>
    <w:pPr>
      <w:spacing w:after="100" w:afterAutospacing="1"/>
    </w:pPr>
  </w:style>
  <w:style w:type="paragraph" w:customStyle="1" w:styleId="js-hide">
    <w:name w:val="js-hide"/>
    <w:basedOn w:val="Normal"/>
    <w:uiPriority w:val="99"/>
    <w:semiHidden/>
    <w:pPr>
      <w:spacing w:after="100" w:afterAutospacing="1"/>
    </w:pPr>
  </w:style>
  <w:style w:type="paragraph" w:customStyle="1" w:styleId="icon-bar">
    <w:name w:val="icon-bar"/>
    <w:basedOn w:val="Normal"/>
    <w:uiPriority w:val="99"/>
    <w:semiHidden/>
    <w:pPr>
      <w:spacing w:after="100" w:afterAutospacing="1"/>
    </w:pPr>
  </w:style>
  <w:style w:type="paragraph" w:customStyle="1" w:styleId="form-item-name">
    <w:name w:val="form-item-name"/>
    <w:basedOn w:val="Normal"/>
    <w:uiPriority w:val="99"/>
    <w:semiHidden/>
    <w:pPr>
      <w:spacing w:after="100" w:afterAutospacing="1"/>
    </w:pPr>
  </w:style>
  <w:style w:type="paragraph" w:customStyle="1" w:styleId="visible-phone">
    <w:name w:val="visible-phone"/>
    <w:basedOn w:val="Normal"/>
    <w:uiPriority w:val="99"/>
    <w:semiHidden/>
    <w:pPr>
      <w:spacing w:after="100" w:afterAutospacing="1"/>
    </w:pPr>
  </w:style>
  <w:style w:type="paragraph" w:customStyle="1" w:styleId="visible-tablet">
    <w:name w:val="visible-tablet"/>
    <w:basedOn w:val="Normal"/>
    <w:uiPriority w:val="99"/>
    <w:semiHidden/>
    <w:pPr>
      <w:spacing w:after="100" w:afterAutospacing="1"/>
    </w:pPr>
  </w:style>
  <w:style w:type="paragraph" w:customStyle="1" w:styleId="hidden-desktop">
    <w:name w:val="hidden-desktop"/>
    <w:basedOn w:val="Normal"/>
    <w:uiPriority w:val="99"/>
    <w:semiHidden/>
    <w:pPr>
      <w:spacing w:after="100" w:afterAutospacing="1"/>
    </w:pPr>
  </w:style>
  <w:style w:type="paragraph" w:customStyle="1" w:styleId="grippie1">
    <w:name w:val="grippie1"/>
    <w:basedOn w:val="Normal"/>
    <w:uiPriority w:val="99"/>
    <w:semiHidden/>
    <w:pPr>
      <w:pBdr>
        <w:top w:val="single" w:sz="2" w:space="0" w:color="DDDDDD"/>
        <w:left w:val="single" w:sz="6" w:space="0" w:color="DDDDDD"/>
        <w:bottom w:val="single" w:sz="6" w:space="0" w:color="DDDDDD"/>
        <w:right w:val="single" w:sz="6" w:space="0" w:color="DDDDDD"/>
      </w:pBdr>
      <w:spacing w:after="100" w:afterAutospacing="1"/>
    </w:pPr>
  </w:style>
  <w:style w:type="paragraph" w:customStyle="1" w:styleId="handle1">
    <w:name w:val="handle1"/>
    <w:basedOn w:val="Normal"/>
    <w:uiPriority w:val="99"/>
    <w:semiHidden/>
    <w:pPr>
      <w:spacing w:before="0" w:beforeAutospacing="0"/>
      <w:ind w:left="120" w:right="120"/>
    </w:pPr>
  </w:style>
  <w:style w:type="paragraph" w:customStyle="1" w:styleId="bar1">
    <w:name w:val="bar1"/>
    <w:basedOn w:val="Normal"/>
    <w:uiPriority w:val="99"/>
    <w:semiHidden/>
    <w:pPr>
      <w:pBdr>
        <w:top w:val="single" w:sz="6" w:space="0" w:color="666666"/>
        <w:left w:val="single" w:sz="6" w:space="0" w:color="666666"/>
        <w:bottom w:val="single" w:sz="6" w:space="0" w:color="666666"/>
        <w:right w:val="single" w:sz="6" w:space="0" w:color="666666"/>
      </w:pBdr>
      <w:shd w:val="clear" w:color="auto" w:fill="0E90D2"/>
      <w:spacing w:before="0" w:beforeAutospacing="0"/>
      <w:ind w:left="48" w:right="48"/>
      <w:jc w:val="center"/>
    </w:pPr>
    <w:rPr>
      <w:color w:val="FFFFFF"/>
      <w:sz w:val="18"/>
      <w:szCs w:val="18"/>
    </w:rPr>
  </w:style>
  <w:style w:type="paragraph" w:customStyle="1" w:styleId="filled1">
    <w:name w:val="filled1"/>
    <w:basedOn w:val="Normal"/>
    <w:uiPriority w:val="99"/>
    <w:semiHidden/>
    <w:pPr>
      <w:shd w:val="clear" w:color="auto" w:fill="0072B9"/>
      <w:spacing w:after="100" w:afterAutospacing="1"/>
    </w:pPr>
  </w:style>
  <w:style w:type="paragraph" w:customStyle="1" w:styleId="throbber1">
    <w:name w:val="throbber1"/>
    <w:basedOn w:val="Normal"/>
    <w:uiPriority w:val="99"/>
    <w:semiHidden/>
    <w:pPr>
      <w:spacing w:before="30" w:beforeAutospacing="0" w:after="30"/>
      <w:ind w:left="30" w:right="30"/>
    </w:pPr>
  </w:style>
  <w:style w:type="paragraph" w:customStyle="1" w:styleId="message1">
    <w:name w:val="message1"/>
    <w:basedOn w:val="Normal"/>
    <w:uiPriority w:val="99"/>
    <w:semiHidden/>
    <w:pPr>
      <w:spacing w:after="100" w:afterAutospacing="1"/>
    </w:pPr>
  </w:style>
  <w:style w:type="paragraph" w:customStyle="1" w:styleId="throbber2">
    <w:name w:val="throbber2"/>
    <w:basedOn w:val="Normal"/>
    <w:uiPriority w:val="99"/>
    <w:semiHidden/>
    <w:pPr>
      <w:spacing w:before="0" w:beforeAutospacing="0"/>
      <w:ind w:left="30" w:right="30"/>
    </w:pPr>
  </w:style>
  <w:style w:type="paragraph" w:customStyle="1" w:styleId="fieldset-wrapper1">
    <w:name w:val="fieldset-wrapper1"/>
    <w:basedOn w:val="Normal"/>
    <w:uiPriority w:val="99"/>
    <w:semiHidden/>
    <w:pPr>
      <w:spacing w:after="100" w:afterAutospacing="1"/>
    </w:pPr>
  </w:style>
  <w:style w:type="paragraph" w:customStyle="1" w:styleId="js-hide1">
    <w:name w:val="js-hide1"/>
    <w:basedOn w:val="Normal"/>
    <w:uiPriority w:val="99"/>
    <w:semiHidden/>
    <w:pPr>
      <w:spacing w:after="100" w:afterAutospacing="1"/>
    </w:pPr>
    <w:rPr>
      <w:vanish/>
    </w:rPr>
  </w:style>
  <w:style w:type="paragraph" w:customStyle="1" w:styleId="error1">
    <w:name w:val="error1"/>
    <w:basedOn w:val="Normal"/>
    <w:uiPriority w:val="99"/>
    <w:semiHidden/>
    <w:pPr>
      <w:spacing w:after="100" w:afterAutospacing="1"/>
    </w:pPr>
    <w:rPr>
      <w:color w:val="333333"/>
    </w:rPr>
  </w:style>
  <w:style w:type="paragraph" w:customStyle="1" w:styleId="title1">
    <w:name w:val="title1"/>
    <w:basedOn w:val="Normal"/>
    <w:uiPriority w:val="99"/>
    <w:semiHidden/>
    <w:pPr>
      <w:spacing w:after="100" w:afterAutospacing="1"/>
    </w:pPr>
    <w:rPr>
      <w:b/>
      <w:bCs/>
    </w:rPr>
  </w:style>
  <w:style w:type="paragraph" w:customStyle="1" w:styleId="form-item1">
    <w:name w:val="form-item1"/>
    <w:basedOn w:val="Normal"/>
    <w:uiPriority w:val="99"/>
    <w:semiHidden/>
  </w:style>
  <w:style w:type="paragraph" w:customStyle="1" w:styleId="form-item2">
    <w:name w:val="form-item2"/>
    <w:basedOn w:val="Normal"/>
    <w:uiPriority w:val="99"/>
    <w:semiHidden/>
  </w:style>
  <w:style w:type="paragraph" w:customStyle="1" w:styleId="description1">
    <w:name w:val="description1"/>
    <w:basedOn w:val="Normal"/>
    <w:uiPriority w:val="99"/>
    <w:semiHidden/>
    <w:pPr>
      <w:spacing w:after="100" w:afterAutospacing="1"/>
    </w:pPr>
    <w:rPr>
      <w:sz w:val="20"/>
      <w:szCs w:val="20"/>
    </w:rPr>
  </w:style>
  <w:style w:type="paragraph" w:customStyle="1" w:styleId="form-item3">
    <w:name w:val="form-item3"/>
    <w:basedOn w:val="Normal"/>
    <w:uiPriority w:val="99"/>
    <w:semiHidden/>
    <w:pPr>
      <w:spacing w:before="96" w:beforeAutospacing="0" w:after="96"/>
    </w:pPr>
  </w:style>
  <w:style w:type="paragraph" w:customStyle="1" w:styleId="form-item4">
    <w:name w:val="form-item4"/>
    <w:basedOn w:val="Normal"/>
    <w:uiPriority w:val="99"/>
    <w:semiHidden/>
    <w:pPr>
      <w:spacing w:before="96" w:beforeAutospacing="0" w:after="96"/>
    </w:pPr>
  </w:style>
  <w:style w:type="paragraph" w:customStyle="1" w:styleId="description2">
    <w:name w:val="description2"/>
    <w:basedOn w:val="Normal"/>
    <w:uiPriority w:val="99"/>
    <w:semiHidden/>
    <w:pPr>
      <w:spacing w:after="100" w:afterAutospacing="1"/>
      <w:ind w:left="576"/>
    </w:pPr>
  </w:style>
  <w:style w:type="paragraph" w:customStyle="1" w:styleId="description3">
    <w:name w:val="description3"/>
    <w:basedOn w:val="Normal"/>
    <w:uiPriority w:val="99"/>
    <w:semiHidden/>
    <w:pPr>
      <w:spacing w:after="100" w:afterAutospacing="1"/>
      <w:ind w:left="576"/>
    </w:pPr>
  </w:style>
  <w:style w:type="paragraph" w:customStyle="1" w:styleId="pager1">
    <w:name w:val="pager1"/>
    <w:basedOn w:val="Normal"/>
    <w:uiPriority w:val="99"/>
    <w:semiHidden/>
    <w:pPr>
      <w:spacing w:before="300" w:beforeAutospacing="0" w:after="300"/>
      <w:jc w:val="center"/>
    </w:pPr>
  </w:style>
  <w:style w:type="paragraph" w:customStyle="1" w:styleId="form-item5">
    <w:name w:val="form-item5"/>
    <w:basedOn w:val="Normal"/>
    <w:uiPriority w:val="99"/>
    <w:semiHidden/>
  </w:style>
  <w:style w:type="paragraph" w:customStyle="1" w:styleId="description4">
    <w:name w:val="description4"/>
    <w:basedOn w:val="Normal"/>
    <w:uiPriority w:val="99"/>
    <w:semiHidden/>
    <w:pPr>
      <w:spacing w:after="100" w:afterAutospacing="1"/>
    </w:pPr>
  </w:style>
  <w:style w:type="paragraph" w:customStyle="1" w:styleId="date-spacer1">
    <w:name w:val="date-spacer1"/>
    <w:basedOn w:val="Normal"/>
    <w:uiPriority w:val="99"/>
    <w:semiHidden/>
    <w:pPr>
      <w:spacing w:after="100" w:afterAutospacing="1"/>
      <w:ind w:left="-75"/>
    </w:pPr>
  </w:style>
  <w:style w:type="paragraph" w:customStyle="1" w:styleId="form-item6">
    <w:name w:val="form-item6"/>
    <w:basedOn w:val="Normal"/>
    <w:uiPriority w:val="99"/>
    <w:semiHidden/>
  </w:style>
  <w:style w:type="paragraph" w:customStyle="1" w:styleId="date-padding1">
    <w:name w:val="date-padding1"/>
    <w:basedOn w:val="Normal"/>
    <w:uiPriority w:val="99"/>
    <w:semiHidden/>
    <w:pPr>
      <w:spacing w:after="100" w:afterAutospacing="1"/>
    </w:pPr>
  </w:style>
  <w:style w:type="paragraph" w:customStyle="1" w:styleId="date-padding2">
    <w:name w:val="date-padding2"/>
    <w:basedOn w:val="Normal"/>
    <w:uiPriority w:val="99"/>
    <w:semiHidden/>
    <w:pPr>
      <w:spacing w:after="100" w:afterAutospacing="1"/>
    </w:pPr>
  </w:style>
  <w:style w:type="paragraph" w:customStyle="1" w:styleId="form-type-checkbox1">
    <w:name w:val="form-type-checkbox1"/>
    <w:basedOn w:val="Normal"/>
    <w:uiPriority w:val="99"/>
    <w:semiHidden/>
    <w:pPr>
      <w:spacing w:after="100" w:afterAutospacing="1"/>
    </w:pPr>
  </w:style>
  <w:style w:type="paragraph" w:customStyle="1" w:styleId="form-type-selectclasshour1">
    <w:name w:val="form-type-select[class$=hour]1"/>
    <w:basedOn w:val="Normal"/>
    <w:uiPriority w:val="99"/>
    <w:semiHidden/>
    <w:pPr>
      <w:spacing w:after="100" w:afterAutospacing="1"/>
      <w:ind w:left="180"/>
    </w:pPr>
  </w:style>
  <w:style w:type="paragraph" w:customStyle="1" w:styleId="date-format-delete1">
    <w:name w:val="date-format-delete1"/>
    <w:basedOn w:val="Normal"/>
    <w:uiPriority w:val="99"/>
    <w:semiHidden/>
    <w:pPr>
      <w:spacing w:before="432" w:beforeAutospacing="0" w:after="150"/>
      <w:ind w:left="360"/>
    </w:pPr>
  </w:style>
  <w:style w:type="paragraph" w:customStyle="1" w:styleId="date-format-type1">
    <w:name w:val="date-format-type1"/>
    <w:basedOn w:val="Normal"/>
    <w:uiPriority w:val="99"/>
    <w:semiHidden/>
    <w:pPr>
      <w:spacing w:after="100" w:afterAutospacing="1"/>
    </w:pPr>
  </w:style>
  <w:style w:type="paragraph" w:customStyle="1" w:styleId="select-container1">
    <w:name w:val="select-container1"/>
    <w:basedOn w:val="Normal"/>
    <w:uiPriority w:val="99"/>
    <w:semiHidden/>
    <w:pPr>
      <w:spacing w:after="100" w:afterAutospacing="1"/>
    </w:pPr>
  </w:style>
  <w:style w:type="paragraph" w:customStyle="1" w:styleId="form-type-checkbox2">
    <w:name w:val="form-type-checkbox2"/>
    <w:basedOn w:val="Normal"/>
    <w:uiPriority w:val="99"/>
    <w:semiHidden/>
    <w:pPr>
      <w:spacing w:after="100" w:afterAutospacing="1"/>
      <w:ind w:right="144"/>
    </w:pPr>
  </w:style>
  <w:style w:type="paragraph" w:customStyle="1" w:styleId="ui-datepicker-header1">
    <w:name w:val="ui-datepicker-header1"/>
    <w:basedOn w:val="Normal"/>
    <w:uiPriority w:val="99"/>
    <w:semiHidden/>
    <w:pPr>
      <w:spacing w:after="100" w:afterAutospacing="1"/>
    </w:pPr>
  </w:style>
  <w:style w:type="paragraph" w:customStyle="1" w:styleId="ui-datepicker-prev1">
    <w:name w:val="ui-datepicker-prev1"/>
    <w:basedOn w:val="Normal"/>
    <w:uiPriority w:val="99"/>
    <w:semiHidden/>
    <w:pPr>
      <w:spacing w:after="100" w:afterAutospacing="1"/>
    </w:pPr>
  </w:style>
  <w:style w:type="paragraph" w:customStyle="1" w:styleId="ui-datepicker-next1">
    <w:name w:val="ui-datepicker-next1"/>
    <w:basedOn w:val="Normal"/>
    <w:uiPriority w:val="99"/>
    <w:semiHidden/>
    <w:pPr>
      <w:spacing w:after="100" w:afterAutospacing="1"/>
    </w:pPr>
  </w:style>
  <w:style w:type="paragraph" w:customStyle="1" w:styleId="ui-datepicker-title1">
    <w:name w:val="ui-datepicker-title1"/>
    <w:basedOn w:val="Normal"/>
    <w:uiPriority w:val="99"/>
    <w:semiHidden/>
    <w:pPr>
      <w:spacing w:before="0" w:beforeAutospacing="0" w:line="432" w:lineRule="atLeast"/>
      <w:ind w:left="552" w:right="552"/>
      <w:jc w:val="center"/>
    </w:pPr>
  </w:style>
  <w:style w:type="paragraph" w:customStyle="1" w:styleId="ui-datepicker-buttonpane1">
    <w:name w:val="ui-datepicker-buttonpane1"/>
    <w:basedOn w:val="Normal"/>
    <w:uiPriority w:val="99"/>
    <w:semiHidden/>
    <w:pPr>
      <w:spacing w:before="168" w:beforeAutospacing="0"/>
    </w:pPr>
  </w:style>
  <w:style w:type="paragraph" w:customStyle="1" w:styleId="ui-datepicker-group1">
    <w:name w:val="ui-datepicker-group1"/>
    <w:basedOn w:val="Normal"/>
    <w:uiPriority w:val="99"/>
    <w:semiHidden/>
    <w:pPr>
      <w:spacing w:after="100" w:afterAutospacing="1"/>
    </w:pPr>
  </w:style>
  <w:style w:type="paragraph" w:customStyle="1" w:styleId="ui-datepicker-group2">
    <w:name w:val="ui-datepicker-group2"/>
    <w:basedOn w:val="Normal"/>
    <w:uiPriority w:val="99"/>
    <w:semiHidden/>
    <w:pPr>
      <w:spacing w:after="100" w:afterAutospacing="1"/>
    </w:pPr>
  </w:style>
  <w:style w:type="paragraph" w:customStyle="1" w:styleId="ui-datepicker-group3">
    <w:name w:val="ui-datepicker-group3"/>
    <w:basedOn w:val="Normal"/>
    <w:uiPriority w:val="99"/>
    <w:semiHidden/>
    <w:pPr>
      <w:spacing w:after="100" w:afterAutospacing="1"/>
    </w:pPr>
  </w:style>
  <w:style w:type="paragraph" w:customStyle="1" w:styleId="ui-datepicker-header2">
    <w:name w:val="ui-datepicker-header2"/>
    <w:basedOn w:val="Normal"/>
    <w:uiPriority w:val="99"/>
    <w:semiHidden/>
    <w:pPr>
      <w:spacing w:after="100" w:afterAutospacing="1"/>
    </w:pPr>
  </w:style>
  <w:style w:type="paragraph" w:customStyle="1" w:styleId="ui-datepicker-header3">
    <w:name w:val="ui-datepicker-header3"/>
    <w:basedOn w:val="Normal"/>
    <w:uiPriority w:val="99"/>
    <w:semiHidden/>
    <w:pPr>
      <w:spacing w:after="100" w:afterAutospacing="1"/>
    </w:pPr>
  </w:style>
  <w:style w:type="paragraph" w:customStyle="1" w:styleId="ui-datepicker-buttonpane2">
    <w:name w:val="ui-datepicker-buttonpane2"/>
    <w:basedOn w:val="Normal"/>
    <w:uiPriority w:val="99"/>
    <w:semiHidden/>
    <w:pPr>
      <w:spacing w:after="100" w:afterAutospacing="1"/>
    </w:pPr>
  </w:style>
  <w:style w:type="paragraph" w:customStyle="1" w:styleId="ui-datepicker-buttonpane3">
    <w:name w:val="ui-datepicker-buttonpane3"/>
    <w:basedOn w:val="Normal"/>
    <w:uiPriority w:val="99"/>
    <w:semiHidden/>
    <w:pPr>
      <w:spacing w:after="100" w:afterAutospacing="1"/>
    </w:pPr>
  </w:style>
  <w:style w:type="paragraph" w:customStyle="1" w:styleId="ui-datepicker-header4">
    <w:name w:val="ui-datepicker-header4"/>
    <w:basedOn w:val="Normal"/>
    <w:uiPriority w:val="99"/>
    <w:semiHidden/>
    <w:pPr>
      <w:spacing w:after="100" w:afterAutospacing="1"/>
    </w:pPr>
  </w:style>
  <w:style w:type="paragraph" w:customStyle="1" w:styleId="ui-datepicker-header5">
    <w:name w:val="ui-datepicker-header5"/>
    <w:basedOn w:val="Normal"/>
    <w:uiPriority w:val="99"/>
    <w:semiHidden/>
    <w:pPr>
      <w:spacing w:after="100" w:afterAutospacing="1"/>
    </w:pPr>
  </w:style>
  <w:style w:type="paragraph" w:customStyle="1" w:styleId="field-label1">
    <w:name w:val="field-label1"/>
    <w:basedOn w:val="Normal"/>
    <w:uiPriority w:val="99"/>
    <w:semiHidden/>
    <w:pPr>
      <w:spacing w:after="100" w:afterAutospacing="1"/>
    </w:pPr>
    <w:rPr>
      <w:b/>
      <w:bCs/>
    </w:rPr>
  </w:style>
  <w:style w:type="paragraph" w:customStyle="1" w:styleId="field-multiple-table1">
    <w:name w:val="field-multiple-table1"/>
    <w:basedOn w:val="Normal"/>
    <w:uiPriority w:val="99"/>
    <w:semiHidden/>
  </w:style>
  <w:style w:type="paragraph" w:customStyle="1" w:styleId="field-add-more-submit1">
    <w:name w:val="field-add-more-submit1"/>
    <w:basedOn w:val="Normal"/>
    <w:uiPriority w:val="99"/>
    <w:semiHidden/>
    <w:pPr>
      <w:spacing w:before="120" w:beforeAutospacing="0"/>
    </w:pPr>
  </w:style>
  <w:style w:type="paragraph" w:customStyle="1" w:styleId="node1">
    <w:name w:val="node1"/>
    <w:basedOn w:val="Normal"/>
    <w:uiPriority w:val="99"/>
    <w:semiHidden/>
    <w:pPr>
      <w:shd w:val="clear" w:color="auto" w:fill="FFFFEA"/>
      <w:spacing w:after="100" w:afterAutospacing="1"/>
    </w:pPr>
  </w:style>
  <w:style w:type="paragraph" w:customStyle="1" w:styleId="title2">
    <w:name w:val="title2"/>
    <w:basedOn w:val="Normal"/>
    <w:uiPriority w:val="99"/>
    <w:semiHidden/>
    <w:pPr>
      <w:spacing w:after="100" w:afterAutospacing="1"/>
    </w:pPr>
    <w:rPr>
      <w:sz w:val="29"/>
      <w:szCs w:val="29"/>
    </w:rPr>
  </w:style>
  <w:style w:type="paragraph" w:customStyle="1" w:styleId="search-snippet-info1">
    <w:name w:val="search-snippet-info1"/>
    <w:basedOn w:val="Normal"/>
    <w:uiPriority w:val="99"/>
    <w:semiHidden/>
    <w:pPr>
      <w:spacing w:after="100" w:afterAutospacing="1"/>
    </w:pPr>
  </w:style>
  <w:style w:type="paragraph" w:customStyle="1" w:styleId="search-info1">
    <w:name w:val="search-info1"/>
    <w:basedOn w:val="Normal"/>
    <w:uiPriority w:val="99"/>
    <w:semiHidden/>
    <w:pPr>
      <w:spacing w:after="100" w:afterAutospacing="1"/>
    </w:pPr>
    <w:rPr>
      <w:sz w:val="20"/>
      <w:szCs w:val="20"/>
    </w:rPr>
  </w:style>
  <w:style w:type="paragraph" w:customStyle="1" w:styleId="criterion1">
    <w:name w:val="criterion1"/>
    <w:basedOn w:val="Normal"/>
    <w:uiPriority w:val="99"/>
    <w:semiHidden/>
    <w:pPr>
      <w:spacing w:after="100" w:afterAutospacing="1"/>
      <w:ind w:right="480"/>
    </w:pPr>
  </w:style>
  <w:style w:type="paragraph" w:customStyle="1" w:styleId="action1">
    <w:name w:val="action1"/>
    <w:basedOn w:val="Normal"/>
    <w:uiPriority w:val="99"/>
    <w:semiHidden/>
    <w:pPr>
      <w:spacing w:after="100" w:afterAutospacing="1"/>
    </w:pPr>
  </w:style>
  <w:style w:type="paragraph" w:customStyle="1" w:styleId="form-item7">
    <w:name w:val="form-item7"/>
    <w:basedOn w:val="Normal"/>
    <w:uiPriority w:val="99"/>
    <w:semiHidden/>
  </w:style>
  <w:style w:type="paragraph" w:customStyle="1" w:styleId="form-item8">
    <w:name w:val="form-item8"/>
    <w:basedOn w:val="Normal"/>
    <w:uiPriority w:val="99"/>
    <w:semiHidden/>
  </w:style>
  <w:style w:type="paragraph" w:customStyle="1" w:styleId="form-item-name1">
    <w:name w:val="form-item-name1"/>
    <w:basedOn w:val="Normal"/>
    <w:uiPriority w:val="99"/>
    <w:semiHidden/>
    <w:pPr>
      <w:spacing w:after="100" w:afterAutospacing="1"/>
      <w:ind w:right="240"/>
    </w:pPr>
  </w:style>
  <w:style w:type="paragraph" w:customStyle="1" w:styleId="user-picture1">
    <w:name w:val="user-picture1"/>
    <w:basedOn w:val="Normal"/>
    <w:uiPriority w:val="99"/>
    <w:semiHidden/>
    <w:pPr>
      <w:spacing w:before="0" w:beforeAutospacing="0" w:after="240"/>
      <w:ind w:right="240"/>
    </w:pPr>
  </w:style>
  <w:style w:type="paragraph" w:customStyle="1" w:styleId="views-exposed-widget1">
    <w:name w:val="views-exposed-widget1"/>
    <w:basedOn w:val="Normal"/>
    <w:uiPriority w:val="99"/>
    <w:semiHidden/>
    <w:pPr>
      <w:spacing w:after="100" w:afterAutospacing="1"/>
    </w:pPr>
  </w:style>
  <w:style w:type="paragraph" w:customStyle="1" w:styleId="form-submit1">
    <w:name w:val="form-submit1"/>
    <w:basedOn w:val="Normal"/>
    <w:uiPriority w:val="99"/>
    <w:semiHidden/>
    <w:pPr>
      <w:spacing w:before="384" w:beforeAutospacing="0"/>
    </w:pPr>
  </w:style>
  <w:style w:type="paragraph" w:customStyle="1" w:styleId="form-item9">
    <w:name w:val="form-item9"/>
    <w:basedOn w:val="Normal"/>
    <w:uiPriority w:val="99"/>
    <w:semiHidden/>
  </w:style>
  <w:style w:type="paragraph" w:customStyle="1" w:styleId="form-submit2">
    <w:name w:val="form-submit2"/>
    <w:basedOn w:val="Normal"/>
    <w:uiPriority w:val="99"/>
    <w:semiHidden/>
  </w:style>
  <w:style w:type="paragraph" w:customStyle="1" w:styleId="container1">
    <w:name w:val="container1"/>
    <w:basedOn w:val="Normal"/>
    <w:uiPriority w:val="99"/>
    <w:semiHidden/>
    <w:pPr>
      <w:spacing w:after="100" w:afterAutospacing="1"/>
    </w:pPr>
  </w:style>
  <w:style w:type="paragraph" w:customStyle="1" w:styleId="container2">
    <w:name w:val="container2"/>
    <w:basedOn w:val="Normal"/>
    <w:uiPriority w:val="99"/>
    <w:semiHidden/>
    <w:pPr>
      <w:spacing w:after="100" w:afterAutospacing="1"/>
    </w:pPr>
  </w:style>
  <w:style w:type="paragraph" w:customStyle="1" w:styleId="container3">
    <w:name w:val="container3"/>
    <w:basedOn w:val="Normal"/>
    <w:uiPriority w:val="99"/>
    <w:semiHidden/>
    <w:pPr>
      <w:spacing w:after="100" w:afterAutospacing="1"/>
    </w:pPr>
  </w:style>
  <w:style w:type="paragraph" w:customStyle="1" w:styleId="span121">
    <w:name w:val="span121"/>
    <w:basedOn w:val="Normal"/>
    <w:uiPriority w:val="99"/>
    <w:semiHidden/>
    <w:pPr>
      <w:spacing w:after="100" w:afterAutospacing="1"/>
    </w:pPr>
  </w:style>
  <w:style w:type="paragraph" w:customStyle="1" w:styleId="span111">
    <w:name w:val="span111"/>
    <w:basedOn w:val="Normal"/>
    <w:uiPriority w:val="99"/>
    <w:semiHidden/>
    <w:pPr>
      <w:spacing w:after="100" w:afterAutospacing="1"/>
    </w:pPr>
  </w:style>
  <w:style w:type="paragraph" w:customStyle="1" w:styleId="span101">
    <w:name w:val="span101"/>
    <w:basedOn w:val="Normal"/>
    <w:uiPriority w:val="99"/>
    <w:semiHidden/>
    <w:pPr>
      <w:spacing w:after="100" w:afterAutospacing="1"/>
    </w:pPr>
  </w:style>
  <w:style w:type="paragraph" w:customStyle="1" w:styleId="span91">
    <w:name w:val="span91"/>
    <w:basedOn w:val="Normal"/>
    <w:uiPriority w:val="99"/>
    <w:semiHidden/>
    <w:pPr>
      <w:spacing w:after="100" w:afterAutospacing="1"/>
    </w:pPr>
  </w:style>
  <w:style w:type="paragraph" w:customStyle="1" w:styleId="span81">
    <w:name w:val="span81"/>
    <w:basedOn w:val="Normal"/>
    <w:uiPriority w:val="99"/>
    <w:semiHidden/>
    <w:pPr>
      <w:spacing w:after="100" w:afterAutospacing="1"/>
    </w:pPr>
  </w:style>
  <w:style w:type="paragraph" w:customStyle="1" w:styleId="span71">
    <w:name w:val="span71"/>
    <w:basedOn w:val="Normal"/>
    <w:uiPriority w:val="99"/>
    <w:semiHidden/>
    <w:pPr>
      <w:spacing w:after="100" w:afterAutospacing="1"/>
    </w:pPr>
  </w:style>
  <w:style w:type="paragraph" w:customStyle="1" w:styleId="span61">
    <w:name w:val="span61"/>
    <w:basedOn w:val="Normal"/>
    <w:uiPriority w:val="99"/>
    <w:semiHidden/>
    <w:pPr>
      <w:spacing w:after="100" w:afterAutospacing="1"/>
    </w:pPr>
  </w:style>
  <w:style w:type="paragraph" w:customStyle="1" w:styleId="span51">
    <w:name w:val="span51"/>
    <w:basedOn w:val="Normal"/>
    <w:uiPriority w:val="99"/>
    <w:semiHidden/>
    <w:pPr>
      <w:spacing w:after="100" w:afterAutospacing="1"/>
    </w:pPr>
  </w:style>
  <w:style w:type="paragraph" w:customStyle="1" w:styleId="span41">
    <w:name w:val="span41"/>
    <w:basedOn w:val="Normal"/>
    <w:uiPriority w:val="99"/>
    <w:semiHidden/>
    <w:pPr>
      <w:spacing w:after="100" w:afterAutospacing="1"/>
    </w:pPr>
  </w:style>
  <w:style w:type="paragraph" w:customStyle="1" w:styleId="span31">
    <w:name w:val="span31"/>
    <w:basedOn w:val="Normal"/>
    <w:uiPriority w:val="99"/>
    <w:semiHidden/>
    <w:pPr>
      <w:spacing w:after="100" w:afterAutospacing="1"/>
    </w:pPr>
  </w:style>
  <w:style w:type="paragraph" w:customStyle="1" w:styleId="span25">
    <w:name w:val="span25"/>
    <w:basedOn w:val="Normal"/>
    <w:uiPriority w:val="99"/>
    <w:semiHidden/>
    <w:pPr>
      <w:spacing w:after="100" w:afterAutospacing="1"/>
    </w:pPr>
  </w:style>
  <w:style w:type="paragraph" w:customStyle="1" w:styleId="span110">
    <w:name w:val="span110"/>
    <w:basedOn w:val="Normal"/>
    <w:uiPriority w:val="99"/>
    <w:semiHidden/>
    <w:pPr>
      <w:spacing w:after="100" w:afterAutospacing="1"/>
    </w:pPr>
  </w:style>
  <w:style w:type="paragraph" w:customStyle="1" w:styleId="offset121">
    <w:name w:val="offset121"/>
    <w:basedOn w:val="Normal"/>
    <w:uiPriority w:val="99"/>
    <w:semiHidden/>
    <w:pPr>
      <w:spacing w:after="100" w:afterAutospacing="1"/>
      <w:ind w:left="27429"/>
    </w:pPr>
  </w:style>
  <w:style w:type="paragraph" w:customStyle="1" w:styleId="offset111">
    <w:name w:val="offset111"/>
    <w:basedOn w:val="Normal"/>
    <w:uiPriority w:val="99"/>
    <w:semiHidden/>
    <w:pPr>
      <w:spacing w:after="100" w:afterAutospacing="1"/>
      <w:ind w:left="25128"/>
    </w:pPr>
  </w:style>
  <w:style w:type="paragraph" w:customStyle="1" w:styleId="offset101">
    <w:name w:val="offset101"/>
    <w:basedOn w:val="Normal"/>
    <w:uiPriority w:val="99"/>
    <w:semiHidden/>
    <w:pPr>
      <w:spacing w:after="100" w:afterAutospacing="1"/>
      <w:ind w:left="22948"/>
    </w:pPr>
  </w:style>
  <w:style w:type="paragraph" w:customStyle="1" w:styleId="offset91">
    <w:name w:val="offset91"/>
    <w:basedOn w:val="Normal"/>
    <w:uiPriority w:val="99"/>
    <w:semiHidden/>
    <w:pPr>
      <w:spacing w:after="100" w:afterAutospacing="1"/>
      <w:ind w:left="20647"/>
    </w:pPr>
  </w:style>
  <w:style w:type="paragraph" w:customStyle="1" w:styleId="offset81">
    <w:name w:val="offset81"/>
    <w:basedOn w:val="Normal"/>
    <w:uiPriority w:val="99"/>
    <w:semiHidden/>
    <w:pPr>
      <w:spacing w:after="100" w:afterAutospacing="1"/>
      <w:ind w:left="18468"/>
    </w:pPr>
  </w:style>
  <w:style w:type="paragraph" w:customStyle="1" w:styleId="offset71">
    <w:name w:val="offset71"/>
    <w:basedOn w:val="Normal"/>
    <w:uiPriority w:val="99"/>
    <w:semiHidden/>
    <w:pPr>
      <w:spacing w:after="100" w:afterAutospacing="1"/>
      <w:ind w:left="16166"/>
    </w:pPr>
  </w:style>
  <w:style w:type="paragraph" w:customStyle="1" w:styleId="offset61">
    <w:name w:val="offset61"/>
    <w:basedOn w:val="Normal"/>
    <w:uiPriority w:val="99"/>
    <w:semiHidden/>
    <w:pPr>
      <w:spacing w:after="100" w:afterAutospacing="1"/>
      <w:ind w:left="13987"/>
    </w:pPr>
  </w:style>
  <w:style w:type="paragraph" w:customStyle="1" w:styleId="offset51">
    <w:name w:val="offset51"/>
    <w:basedOn w:val="Normal"/>
    <w:uiPriority w:val="99"/>
    <w:semiHidden/>
    <w:pPr>
      <w:spacing w:after="100" w:afterAutospacing="1"/>
      <w:ind w:left="11685"/>
    </w:pPr>
  </w:style>
  <w:style w:type="paragraph" w:customStyle="1" w:styleId="offset41">
    <w:name w:val="offset41"/>
    <w:basedOn w:val="Normal"/>
    <w:uiPriority w:val="99"/>
    <w:semiHidden/>
    <w:pPr>
      <w:spacing w:after="100" w:afterAutospacing="1"/>
      <w:ind w:left="9506"/>
    </w:pPr>
  </w:style>
  <w:style w:type="paragraph" w:customStyle="1" w:styleId="offset31">
    <w:name w:val="offset31"/>
    <w:basedOn w:val="Normal"/>
    <w:uiPriority w:val="99"/>
    <w:semiHidden/>
    <w:pPr>
      <w:spacing w:after="100" w:afterAutospacing="1"/>
      <w:ind w:left="7204"/>
    </w:pPr>
  </w:style>
  <w:style w:type="paragraph" w:customStyle="1" w:styleId="offset21">
    <w:name w:val="offset21"/>
    <w:basedOn w:val="Normal"/>
    <w:uiPriority w:val="99"/>
    <w:semiHidden/>
    <w:pPr>
      <w:spacing w:after="100" w:afterAutospacing="1"/>
      <w:ind w:left="5025"/>
    </w:pPr>
  </w:style>
  <w:style w:type="paragraph" w:customStyle="1" w:styleId="offset13">
    <w:name w:val="offset13"/>
    <w:basedOn w:val="Normal"/>
    <w:uiPriority w:val="99"/>
    <w:semiHidden/>
    <w:pPr>
      <w:spacing w:after="100" w:afterAutospacing="1"/>
      <w:ind w:left="2724"/>
    </w:pPr>
  </w:style>
  <w:style w:type="paragraph" w:customStyle="1" w:styleId="uneditable-input1">
    <w:name w:val="uneditable-input1"/>
    <w:basedOn w:val="Normal"/>
    <w:uiPriority w:val="99"/>
    <w:semiHidden/>
    <w:pPr>
      <w:shd w:val="clear" w:color="auto" w:fill="FCFCFC"/>
    </w:pPr>
    <w:rPr>
      <w:color w:val="999999"/>
      <w:sz w:val="21"/>
      <w:szCs w:val="21"/>
    </w:rPr>
  </w:style>
  <w:style w:type="paragraph" w:customStyle="1" w:styleId="uneditable-input2">
    <w:name w:val="uneditable-input2"/>
    <w:basedOn w:val="Normal"/>
    <w:uiPriority w:val="99"/>
    <w:semiHidden/>
    <w:pPr>
      <w:shd w:val="clear" w:color="auto" w:fill="FCFCFC"/>
    </w:pPr>
    <w:rPr>
      <w:color w:val="999999"/>
      <w:sz w:val="21"/>
      <w:szCs w:val="21"/>
    </w:rPr>
  </w:style>
  <w:style w:type="paragraph" w:customStyle="1" w:styleId="add-on1">
    <w:name w:val="add-on1"/>
    <w:basedOn w:val="Normal"/>
    <w:uiPriority w:val="99"/>
    <w:semiHidden/>
    <w:pPr>
      <w:pBdr>
        <w:top w:val="single" w:sz="6" w:space="3" w:color="CCCCCC"/>
        <w:left w:val="single" w:sz="6" w:space="4" w:color="CCCCCC"/>
        <w:bottom w:val="single" w:sz="6" w:space="3" w:color="CCCCCC"/>
        <w:right w:val="single" w:sz="6" w:space="4" w:color="CCCCCC"/>
      </w:pBdr>
      <w:shd w:val="clear" w:color="auto" w:fill="EEEEEE"/>
      <w:spacing w:after="100" w:afterAutospacing="1" w:line="300" w:lineRule="atLeast"/>
      <w:ind w:left="-15"/>
      <w:jc w:val="center"/>
    </w:pPr>
    <w:rPr>
      <w:sz w:val="21"/>
      <w:szCs w:val="21"/>
    </w:rPr>
  </w:style>
  <w:style w:type="paragraph" w:customStyle="1" w:styleId="add-on2">
    <w:name w:val="add-on2"/>
    <w:basedOn w:val="Normal"/>
    <w:uiPriority w:val="99"/>
    <w:semiHidden/>
    <w:pPr>
      <w:pBdr>
        <w:top w:val="single" w:sz="6" w:space="3" w:color="CCCCCC"/>
        <w:left w:val="single" w:sz="6" w:space="4" w:color="CCCCCC"/>
        <w:bottom w:val="single" w:sz="6" w:space="3" w:color="CCCCCC"/>
        <w:right w:val="single" w:sz="6" w:space="4" w:color="CCCCCC"/>
      </w:pBdr>
      <w:shd w:val="clear" w:color="auto" w:fill="EEEEEE"/>
      <w:spacing w:before="0" w:beforeAutospacing="0" w:after="150" w:line="300" w:lineRule="atLeast"/>
      <w:ind w:left="-15" w:right="-15"/>
      <w:jc w:val="center"/>
    </w:pPr>
    <w:rPr>
      <w:sz w:val="21"/>
      <w:szCs w:val="21"/>
    </w:rPr>
  </w:style>
  <w:style w:type="paragraph" w:customStyle="1" w:styleId="btn1">
    <w:name w:val="btn1"/>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before="0" w:beforeAutospacing="0" w:line="300" w:lineRule="atLeast"/>
      <w:ind w:left="-15"/>
      <w:jc w:val="center"/>
    </w:pPr>
    <w:rPr>
      <w:color w:val="333333"/>
      <w:sz w:val="21"/>
      <w:szCs w:val="21"/>
    </w:rPr>
  </w:style>
  <w:style w:type="paragraph" w:customStyle="1" w:styleId="btn2">
    <w:name w:val="btn2"/>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before="0" w:beforeAutospacing="0" w:line="300" w:lineRule="atLeast"/>
      <w:ind w:left="-15" w:right="-15"/>
      <w:jc w:val="center"/>
    </w:pPr>
    <w:rPr>
      <w:color w:val="333333"/>
      <w:sz w:val="21"/>
      <w:szCs w:val="21"/>
    </w:rPr>
  </w:style>
  <w:style w:type="paragraph" w:customStyle="1" w:styleId="active1">
    <w:name w:val="active1"/>
    <w:basedOn w:val="Normal"/>
    <w:uiPriority w:val="99"/>
    <w:semiHidden/>
    <w:pPr>
      <w:shd w:val="clear" w:color="auto" w:fill="A9DBA9"/>
      <w:spacing w:after="100" w:afterAutospacing="1"/>
    </w:pPr>
  </w:style>
  <w:style w:type="paragraph" w:customStyle="1" w:styleId="active2">
    <w:name w:val="active2"/>
    <w:basedOn w:val="Normal"/>
    <w:uiPriority w:val="99"/>
    <w:semiHidden/>
    <w:pPr>
      <w:shd w:val="clear" w:color="auto" w:fill="A9DBA9"/>
      <w:spacing w:after="100" w:afterAutospacing="1"/>
    </w:pPr>
  </w:style>
  <w:style w:type="paragraph" w:customStyle="1" w:styleId="help-inline1">
    <w:name w:val="help-inline1"/>
    <w:basedOn w:val="Normal"/>
    <w:uiPriority w:val="99"/>
    <w:semiHidden/>
    <w:rPr>
      <w:color w:val="595959"/>
    </w:rPr>
  </w:style>
  <w:style w:type="paragraph" w:customStyle="1" w:styleId="uneditable-input3">
    <w:name w:val="uneditable-input3"/>
    <w:basedOn w:val="Normal"/>
    <w:uiPriority w:val="99"/>
    <w:semiHidden/>
    <w:pPr>
      <w:shd w:val="clear" w:color="auto" w:fill="FCFCFC"/>
    </w:pPr>
    <w:rPr>
      <w:color w:val="999999"/>
    </w:rPr>
  </w:style>
  <w:style w:type="paragraph" w:customStyle="1" w:styleId="input-prepend1">
    <w:name w:val="input-prepend1"/>
    <w:basedOn w:val="Normal"/>
    <w:uiPriority w:val="99"/>
    <w:semiHidden/>
    <w:rPr>
      <w:sz w:val="2"/>
      <w:szCs w:val="2"/>
    </w:rPr>
  </w:style>
  <w:style w:type="paragraph" w:customStyle="1" w:styleId="input-append1">
    <w:name w:val="input-append1"/>
    <w:basedOn w:val="Normal"/>
    <w:uiPriority w:val="99"/>
    <w:semiHidden/>
    <w:rPr>
      <w:sz w:val="2"/>
      <w:szCs w:val="2"/>
    </w:rPr>
  </w:style>
  <w:style w:type="paragraph" w:customStyle="1" w:styleId="help-inline2">
    <w:name w:val="help-inline2"/>
    <w:basedOn w:val="Normal"/>
    <w:uiPriority w:val="99"/>
    <w:semiHidden/>
    <w:rPr>
      <w:color w:val="595959"/>
    </w:rPr>
  </w:style>
  <w:style w:type="paragraph" w:customStyle="1" w:styleId="uneditable-input4">
    <w:name w:val="uneditable-input4"/>
    <w:basedOn w:val="Normal"/>
    <w:uiPriority w:val="99"/>
    <w:semiHidden/>
    <w:pPr>
      <w:shd w:val="clear" w:color="auto" w:fill="FCFCFC"/>
    </w:pPr>
    <w:rPr>
      <w:color w:val="999999"/>
    </w:rPr>
  </w:style>
  <w:style w:type="paragraph" w:customStyle="1" w:styleId="input-prepend2">
    <w:name w:val="input-prepend2"/>
    <w:basedOn w:val="Normal"/>
    <w:uiPriority w:val="99"/>
    <w:semiHidden/>
    <w:rPr>
      <w:sz w:val="2"/>
      <w:szCs w:val="2"/>
    </w:rPr>
  </w:style>
  <w:style w:type="paragraph" w:customStyle="1" w:styleId="input-append2">
    <w:name w:val="input-append2"/>
    <w:basedOn w:val="Normal"/>
    <w:uiPriority w:val="99"/>
    <w:semiHidden/>
    <w:rPr>
      <w:sz w:val="2"/>
      <w:szCs w:val="2"/>
    </w:rPr>
  </w:style>
  <w:style w:type="paragraph" w:customStyle="1" w:styleId="help-inline3">
    <w:name w:val="help-inline3"/>
    <w:basedOn w:val="Normal"/>
    <w:uiPriority w:val="99"/>
    <w:semiHidden/>
    <w:rPr>
      <w:color w:val="595959"/>
    </w:rPr>
  </w:style>
  <w:style w:type="paragraph" w:customStyle="1" w:styleId="uneditable-input5">
    <w:name w:val="uneditable-input5"/>
    <w:basedOn w:val="Normal"/>
    <w:uiPriority w:val="99"/>
    <w:semiHidden/>
    <w:pPr>
      <w:shd w:val="clear" w:color="auto" w:fill="FCFCFC"/>
    </w:pPr>
    <w:rPr>
      <w:color w:val="999999"/>
    </w:rPr>
  </w:style>
  <w:style w:type="paragraph" w:customStyle="1" w:styleId="input-prepend3">
    <w:name w:val="input-prepend3"/>
    <w:basedOn w:val="Normal"/>
    <w:uiPriority w:val="99"/>
    <w:semiHidden/>
    <w:rPr>
      <w:sz w:val="2"/>
      <w:szCs w:val="2"/>
    </w:rPr>
  </w:style>
  <w:style w:type="paragraph" w:customStyle="1" w:styleId="input-append3">
    <w:name w:val="input-append3"/>
    <w:basedOn w:val="Normal"/>
    <w:uiPriority w:val="99"/>
    <w:semiHidden/>
    <w:rPr>
      <w:sz w:val="2"/>
      <w:szCs w:val="2"/>
    </w:rPr>
  </w:style>
  <w:style w:type="paragraph" w:customStyle="1" w:styleId="hide1">
    <w:name w:val="hide1"/>
    <w:basedOn w:val="Normal"/>
    <w:uiPriority w:val="99"/>
    <w:semiHidden/>
    <w:pPr>
      <w:spacing w:after="100" w:afterAutospacing="1"/>
    </w:pPr>
    <w:rPr>
      <w:vanish/>
    </w:rPr>
  </w:style>
  <w:style w:type="paragraph" w:customStyle="1" w:styleId="hide2">
    <w:name w:val="hide2"/>
    <w:basedOn w:val="Normal"/>
    <w:uiPriority w:val="99"/>
    <w:semiHidden/>
    <w:pPr>
      <w:spacing w:after="100" w:afterAutospacing="1"/>
    </w:pPr>
    <w:rPr>
      <w:vanish/>
    </w:rPr>
  </w:style>
  <w:style w:type="paragraph" w:customStyle="1" w:styleId="hide3">
    <w:name w:val="hide3"/>
    <w:basedOn w:val="Normal"/>
    <w:uiPriority w:val="99"/>
    <w:semiHidden/>
    <w:pPr>
      <w:spacing w:after="100" w:afterAutospacing="1"/>
    </w:pPr>
    <w:rPr>
      <w:vanish/>
    </w:rPr>
  </w:style>
  <w:style w:type="paragraph" w:customStyle="1" w:styleId="radio1">
    <w:name w:val="radio1"/>
    <w:basedOn w:val="Normal"/>
    <w:uiPriority w:val="99"/>
    <w:semiHidden/>
  </w:style>
  <w:style w:type="paragraph" w:customStyle="1" w:styleId="checkbox1">
    <w:name w:val="checkbox1"/>
    <w:basedOn w:val="Normal"/>
    <w:uiPriority w:val="99"/>
    <w:semiHidden/>
  </w:style>
  <w:style w:type="paragraph" w:customStyle="1" w:styleId="radio2">
    <w:name w:val="radio2"/>
    <w:basedOn w:val="Normal"/>
    <w:uiPriority w:val="99"/>
    <w:semiHidden/>
  </w:style>
  <w:style w:type="paragraph" w:customStyle="1" w:styleId="checkbox2">
    <w:name w:val="checkbox2"/>
    <w:basedOn w:val="Normal"/>
    <w:uiPriority w:val="99"/>
    <w:semiHidden/>
  </w:style>
  <w:style w:type="paragraph" w:customStyle="1" w:styleId="control-group1">
    <w:name w:val="control-group1"/>
    <w:basedOn w:val="Normal"/>
    <w:uiPriority w:val="99"/>
    <w:semiHidden/>
    <w:pPr>
      <w:spacing w:after="300"/>
    </w:pPr>
  </w:style>
  <w:style w:type="paragraph" w:customStyle="1" w:styleId="control-label1">
    <w:name w:val="control-label1"/>
    <w:basedOn w:val="Normal"/>
    <w:uiPriority w:val="99"/>
    <w:semiHidden/>
    <w:pPr>
      <w:spacing w:after="100" w:afterAutospacing="1"/>
      <w:jc w:val="right"/>
    </w:pPr>
  </w:style>
  <w:style w:type="paragraph" w:customStyle="1" w:styleId="controls1">
    <w:name w:val="controls1"/>
    <w:basedOn w:val="Normal"/>
    <w:uiPriority w:val="99"/>
    <w:semiHidden/>
    <w:pPr>
      <w:spacing w:after="100" w:afterAutospacing="1"/>
      <w:ind w:left="2400"/>
    </w:pPr>
  </w:style>
  <w:style w:type="paragraph" w:customStyle="1" w:styleId="help-block1">
    <w:name w:val="help-block1"/>
    <w:basedOn w:val="Normal"/>
    <w:uiPriority w:val="99"/>
    <w:semiHidden/>
    <w:pPr>
      <w:spacing w:before="150" w:beforeAutospacing="0"/>
    </w:pPr>
    <w:rPr>
      <w:color w:val="595959"/>
    </w:rPr>
  </w:style>
  <w:style w:type="paragraph" w:customStyle="1" w:styleId="form-actions1">
    <w:name w:val="form-actions1"/>
    <w:basedOn w:val="Normal"/>
    <w:uiPriority w:val="99"/>
    <w:semiHidden/>
    <w:pPr>
      <w:pBdr>
        <w:top w:val="single" w:sz="6" w:space="14" w:color="E5E5E5"/>
      </w:pBdr>
      <w:shd w:val="clear" w:color="auto" w:fill="F5F5F5"/>
      <w:spacing w:before="300" w:beforeAutospacing="0" w:after="300"/>
    </w:pPr>
  </w:style>
  <w:style w:type="paragraph" w:customStyle="1" w:styleId="span112">
    <w:name w:val="span112"/>
    <w:basedOn w:val="Normal"/>
    <w:uiPriority w:val="99"/>
    <w:semiHidden/>
    <w:pPr>
      <w:spacing w:after="100" w:afterAutospacing="1"/>
    </w:pPr>
  </w:style>
  <w:style w:type="paragraph" w:customStyle="1" w:styleId="span26">
    <w:name w:val="span26"/>
    <w:basedOn w:val="Normal"/>
    <w:uiPriority w:val="99"/>
    <w:semiHidden/>
    <w:pPr>
      <w:spacing w:after="100" w:afterAutospacing="1"/>
    </w:pPr>
  </w:style>
  <w:style w:type="paragraph" w:customStyle="1" w:styleId="span32">
    <w:name w:val="span32"/>
    <w:basedOn w:val="Normal"/>
    <w:uiPriority w:val="99"/>
    <w:semiHidden/>
    <w:pPr>
      <w:spacing w:after="100" w:afterAutospacing="1"/>
    </w:pPr>
  </w:style>
  <w:style w:type="paragraph" w:customStyle="1" w:styleId="span42">
    <w:name w:val="span42"/>
    <w:basedOn w:val="Normal"/>
    <w:uiPriority w:val="99"/>
    <w:semiHidden/>
    <w:pPr>
      <w:spacing w:after="100" w:afterAutospacing="1"/>
    </w:pPr>
  </w:style>
  <w:style w:type="paragraph" w:customStyle="1" w:styleId="span52">
    <w:name w:val="span52"/>
    <w:basedOn w:val="Normal"/>
    <w:uiPriority w:val="99"/>
    <w:semiHidden/>
    <w:pPr>
      <w:spacing w:after="100" w:afterAutospacing="1"/>
    </w:pPr>
  </w:style>
  <w:style w:type="paragraph" w:customStyle="1" w:styleId="span62">
    <w:name w:val="span62"/>
    <w:basedOn w:val="Normal"/>
    <w:uiPriority w:val="99"/>
    <w:semiHidden/>
    <w:pPr>
      <w:spacing w:after="100" w:afterAutospacing="1"/>
    </w:pPr>
  </w:style>
  <w:style w:type="paragraph" w:customStyle="1" w:styleId="span72">
    <w:name w:val="span72"/>
    <w:basedOn w:val="Normal"/>
    <w:uiPriority w:val="99"/>
    <w:semiHidden/>
    <w:pPr>
      <w:spacing w:after="100" w:afterAutospacing="1"/>
    </w:pPr>
  </w:style>
  <w:style w:type="paragraph" w:customStyle="1" w:styleId="span82">
    <w:name w:val="span82"/>
    <w:basedOn w:val="Normal"/>
    <w:uiPriority w:val="99"/>
    <w:semiHidden/>
    <w:pPr>
      <w:spacing w:after="100" w:afterAutospacing="1"/>
    </w:pPr>
  </w:style>
  <w:style w:type="paragraph" w:customStyle="1" w:styleId="span92">
    <w:name w:val="span92"/>
    <w:basedOn w:val="Normal"/>
    <w:uiPriority w:val="99"/>
    <w:semiHidden/>
    <w:pPr>
      <w:spacing w:after="100" w:afterAutospacing="1"/>
    </w:pPr>
  </w:style>
  <w:style w:type="paragraph" w:customStyle="1" w:styleId="span102">
    <w:name w:val="span102"/>
    <w:basedOn w:val="Normal"/>
    <w:uiPriority w:val="99"/>
    <w:semiHidden/>
    <w:pPr>
      <w:spacing w:after="100" w:afterAutospacing="1"/>
    </w:pPr>
  </w:style>
  <w:style w:type="paragraph" w:customStyle="1" w:styleId="span113">
    <w:name w:val="span113"/>
    <w:basedOn w:val="Normal"/>
    <w:uiPriority w:val="99"/>
    <w:semiHidden/>
    <w:pPr>
      <w:spacing w:after="100" w:afterAutospacing="1"/>
    </w:pPr>
  </w:style>
  <w:style w:type="paragraph" w:customStyle="1" w:styleId="span122">
    <w:name w:val="span122"/>
    <w:basedOn w:val="Normal"/>
    <w:uiPriority w:val="99"/>
    <w:semiHidden/>
    <w:pPr>
      <w:spacing w:after="100" w:afterAutospacing="1"/>
    </w:pPr>
  </w:style>
  <w:style w:type="paragraph" w:customStyle="1" w:styleId="span131">
    <w:name w:val="span131"/>
    <w:basedOn w:val="Normal"/>
    <w:uiPriority w:val="99"/>
    <w:semiHidden/>
    <w:pPr>
      <w:spacing w:after="100" w:afterAutospacing="1"/>
    </w:pPr>
  </w:style>
  <w:style w:type="paragraph" w:customStyle="1" w:styleId="span141">
    <w:name w:val="span141"/>
    <w:basedOn w:val="Normal"/>
    <w:uiPriority w:val="99"/>
    <w:semiHidden/>
    <w:pPr>
      <w:spacing w:after="100" w:afterAutospacing="1"/>
    </w:pPr>
  </w:style>
  <w:style w:type="paragraph" w:customStyle="1" w:styleId="span151">
    <w:name w:val="span151"/>
    <w:basedOn w:val="Normal"/>
    <w:uiPriority w:val="99"/>
    <w:semiHidden/>
    <w:pPr>
      <w:spacing w:after="100" w:afterAutospacing="1"/>
    </w:pPr>
  </w:style>
  <w:style w:type="paragraph" w:customStyle="1" w:styleId="span161">
    <w:name w:val="span161"/>
    <w:basedOn w:val="Normal"/>
    <w:uiPriority w:val="99"/>
    <w:semiHidden/>
    <w:pPr>
      <w:spacing w:after="100" w:afterAutospacing="1"/>
    </w:pPr>
  </w:style>
  <w:style w:type="paragraph" w:customStyle="1" w:styleId="span171">
    <w:name w:val="span171"/>
    <w:basedOn w:val="Normal"/>
    <w:uiPriority w:val="99"/>
    <w:semiHidden/>
    <w:pPr>
      <w:spacing w:after="100" w:afterAutospacing="1"/>
    </w:pPr>
  </w:style>
  <w:style w:type="paragraph" w:customStyle="1" w:styleId="span181">
    <w:name w:val="span181"/>
    <w:basedOn w:val="Normal"/>
    <w:uiPriority w:val="99"/>
    <w:semiHidden/>
    <w:pPr>
      <w:spacing w:after="100" w:afterAutospacing="1"/>
    </w:pPr>
  </w:style>
  <w:style w:type="paragraph" w:customStyle="1" w:styleId="span191">
    <w:name w:val="span191"/>
    <w:basedOn w:val="Normal"/>
    <w:uiPriority w:val="99"/>
    <w:semiHidden/>
    <w:pPr>
      <w:spacing w:after="100" w:afterAutospacing="1"/>
    </w:pPr>
  </w:style>
  <w:style w:type="paragraph" w:customStyle="1" w:styleId="span201">
    <w:name w:val="span201"/>
    <w:basedOn w:val="Normal"/>
    <w:uiPriority w:val="99"/>
    <w:semiHidden/>
    <w:pPr>
      <w:spacing w:after="100" w:afterAutospacing="1"/>
    </w:pPr>
  </w:style>
  <w:style w:type="paragraph" w:customStyle="1" w:styleId="span211">
    <w:name w:val="span211"/>
    <w:basedOn w:val="Normal"/>
    <w:uiPriority w:val="99"/>
    <w:semiHidden/>
    <w:pPr>
      <w:spacing w:after="100" w:afterAutospacing="1"/>
    </w:pPr>
  </w:style>
  <w:style w:type="paragraph" w:customStyle="1" w:styleId="span221">
    <w:name w:val="span221"/>
    <w:basedOn w:val="Normal"/>
    <w:uiPriority w:val="99"/>
    <w:semiHidden/>
    <w:pPr>
      <w:spacing w:after="100" w:afterAutospacing="1"/>
    </w:pPr>
  </w:style>
  <w:style w:type="paragraph" w:customStyle="1" w:styleId="span231">
    <w:name w:val="span231"/>
    <w:basedOn w:val="Normal"/>
    <w:uiPriority w:val="99"/>
    <w:semiHidden/>
    <w:pPr>
      <w:spacing w:after="100" w:afterAutospacing="1"/>
    </w:pPr>
  </w:style>
  <w:style w:type="paragraph" w:customStyle="1" w:styleId="span241">
    <w:name w:val="span241"/>
    <w:basedOn w:val="Normal"/>
    <w:uiPriority w:val="99"/>
    <w:semiHidden/>
    <w:pPr>
      <w:spacing w:after="100" w:afterAutospacing="1"/>
    </w:pPr>
  </w:style>
  <w:style w:type="paragraph" w:customStyle="1" w:styleId="caret1">
    <w:name w:val="caret1"/>
    <w:basedOn w:val="Normal"/>
    <w:uiPriority w:val="99"/>
    <w:semiHidden/>
    <w:pPr>
      <w:pBdr>
        <w:top w:val="single" w:sz="24" w:space="0" w:color="000000"/>
      </w:pBdr>
      <w:spacing w:before="120" w:beforeAutospacing="0" w:after="150"/>
      <w:ind w:left="30"/>
    </w:pPr>
  </w:style>
  <w:style w:type="paragraph" w:customStyle="1" w:styleId="divider1">
    <w:name w:val="divider1"/>
    <w:basedOn w:val="Normal"/>
    <w:uiPriority w:val="99"/>
    <w:semiHidden/>
    <w:pPr>
      <w:pBdr>
        <w:bottom w:val="single" w:sz="6" w:space="0" w:color="FFFFFF"/>
      </w:pBdr>
      <w:shd w:val="clear" w:color="auto" w:fill="E5E5E5"/>
      <w:spacing w:before="135" w:beforeAutospacing="0" w:after="135"/>
      <w:ind w:left="15" w:right="15"/>
    </w:pPr>
  </w:style>
  <w:style w:type="paragraph" w:customStyle="1" w:styleId="caret2">
    <w:name w:val="caret2"/>
    <w:basedOn w:val="Normal"/>
    <w:uiPriority w:val="99"/>
    <w:semiHidden/>
    <w:pPr>
      <w:pBdr>
        <w:bottom w:val="single" w:sz="24" w:space="0" w:color="000000"/>
      </w:pBdr>
      <w:spacing w:after="100" w:afterAutospacing="1"/>
    </w:pPr>
  </w:style>
  <w:style w:type="paragraph" w:customStyle="1" w:styleId="caret3">
    <w:name w:val="caret3"/>
    <w:basedOn w:val="Normal"/>
    <w:uiPriority w:val="99"/>
    <w:semiHidden/>
    <w:pPr>
      <w:pBdr>
        <w:bottom w:val="single" w:sz="24" w:space="0" w:color="000000"/>
      </w:pBdr>
      <w:spacing w:before="120" w:beforeAutospacing="0" w:after="150"/>
      <w:ind w:left="30"/>
    </w:pPr>
  </w:style>
  <w:style w:type="paragraph" w:customStyle="1" w:styleId="dropdown-menu1">
    <w:name w:val="dropdown-menu1"/>
    <w:basedOn w:val="Normal"/>
    <w:uiPriority w:val="99"/>
    <w:semiHidden/>
    <w:pPr>
      <w:pBdr>
        <w:top w:val="single" w:sz="6" w:space="4" w:color="CCCCCC"/>
        <w:left w:val="single" w:sz="6" w:space="0" w:color="CCCCCC"/>
        <w:bottom w:val="single" w:sz="6" w:space="4" w:color="CCCCCC"/>
        <w:right w:val="single" w:sz="6" w:space="0" w:color="CCCCCC"/>
      </w:pBdr>
      <w:shd w:val="clear" w:color="auto" w:fill="FFFFFF"/>
      <w:spacing w:before="30" w:beforeAutospacing="0" w:after="15"/>
    </w:pPr>
    <w:rPr>
      <w:vanish/>
    </w:rPr>
  </w:style>
  <w:style w:type="paragraph" w:customStyle="1" w:styleId="dropdown-menu2">
    <w:name w:val="dropdown-menu2"/>
    <w:basedOn w:val="Normal"/>
    <w:uiPriority w:val="99"/>
    <w:semiHidden/>
    <w:pPr>
      <w:pBdr>
        <w:top w:val="single" w:sz="6" w:space="4" w:color="CCCCCC"/>
        <w:left w:val="single" w:sz="6" w:space="0" w:color="CCCCCC"/>
        <w:bottom w:val="single" w:sz="6" w:space="4" w:color="CCCCCC"/>
        <w:right w:val="single" w:sz="6" w:space="0" w:color="CCCCCC"/>
      </w:pBdr>
      <w:shd w:val="clear" w:color="auto" w:fill="FFFFFF"/>
      <w:spacing w:before="30" w:beforeAutospacing="0" w:after="15"/>
    </w:pPr>
    <w:rPr>
      <w:vanish/>
    </w:rPr>
  </w:style>
  <w:style w:type="paragraph" w:customStyle="1" w:styleId="dropdown-menu3">
    <w:name w:val="dropdown-menu3"/>
    <w:basedOn w:val="Normal"/>
    <w:uiPriority w:val="99"/>
    <w:semiHidden/>
    <w:pPr>
      <w:pBdr>
        <w:top w:val="single" w:sz="6" w:space="4" w:color="CCCCCC"/>
        <w:left w:val="single" w:sz="6" w:space="0" w:color="CCCCCC"/>
        <w:bottom w:val="single" w:sz="6" w:space="4" w:color="CCCCCC"/>
        <w:right w:val="single" w:sz="6" w:space="0" w:color="CCCCCC"/>
      </w:pBdr>
      <w:shd w:val="clear" w:color="auto" w:fill="FFFFFF"/>
      <w:spacing w:before="30" w:beforeAutospacing="0"/>
    </w:pPr>
  </w:style>
  <w:style w:type="paragraph" w:customStyle="1" w:styleId="nav-header1">
    <w:name w:val="nav-header1"/>
    <w:basedOn w:val="Normal"/>
    <w:uiPriority w:val="99"/>
    <w:semiHidden/>
    <w:pPr>
      <w:spacing w:after="100" w:afterAutospacing="1" w:line="300" w:lineRule="atLeast"/>
    </w:pPr>
    <w:rPr>
      <w:b/>
      <w:bCs/>
      <w:caps/>
      <w:color w:val="999999"/>
      <w:sz w:val="17"/>
      <w:szCs w:val="17"/>
    </w:rPr>
  </w:style>
  <w:style w:type="paragraph" w:customStyle="1" w:styleId="caret4">
    <w:name w:val="caret4"/>
    <w:basedOn w:val="Normal"/>
    <w:uiPriority w:val="99"/>
    <w:semiHidden/>
    <w:pPr>
      <w:pBdr>
        <w:top w:val="single" w:sz="24" w:space="0" w:color="000000"/>
      </w:pBdr>
      <w:spacing w:before="120" w:beforeAutospacing="0" w:after="100" w:afterAutospacing="1"/>
    </w:pPr>
  </w:style>
  <w:style w:type="paragraph" w:customStyle="1" w:styleId="caret5">
    <w:name w:val="caret5"/>
    <w:basedOn w:val="Normal"/>
    <w:uiPriority w:val="99"/>
    <w:semiHidden/>
    <w:pPr>
      <w:pBdr>
        <w:top w:val="single" w:sz="24" w:space="0" w:color="000000"/>
      </w:pBdr>
      <w:spacing w:before="90" w:beforeAutospacing="0" w:after="100" w:afterAutospacing="1"/>
    </w:pPr>
  </w:style>
  <w:style w:type="paragraph" w:customStyle="1" w:styleId="caret6">
    <w:name w:val="caret6"/>
    <w:basedOn w:val="Normal"/>
    <w:uiPriority w:val="99"/>
    <w:semiHidden/>
    <w:pPr>
      <w:pBdr>
        <w:top w:val="single" w:sz="24" w:space="0" w:color="000000"/>
      </w:pBdr>
      <w:spacing w:before="90" w:beforeAutospacing="0" w:after="100" w:afterAutospacing="1"/>
    </w:pPr>
  </w:style>
  <w:style w:type="paragraph" w:customStyle="1" w:styleId="caret7">
    <w:name w:val="caret7"/>
    <w:basedOn w:val="Normal"/>
    <w:uiPriority w:val="99"/>
    <w:semiHidden/>
    <w:pPr>
      <w:pBdr>
        <w:top w:val="single" w:sz="36" w:space="0" w:color="000000"/>
      </w:pBdr>
      <w:spacing w:before="90" w:beforeAutospacing="0" w:after="100" w:afterAutospacing="1"/>
    </w:pPr>
  </w:style>
  <w:style w:type="paragraph" w:customStyle="1" w:styleId="caret8">
    <w:name w:val="caret8"/>
    <w:basedOn w:val="Normal"/>
    <w:uiPriority w:val="99"/>
    <w:semiHidden/>
    <w:pPr>
      <w:pBdr>
        <w:bottom w:val="single" w:sz="36" w:space="0" w:color="000000"/>
      </w:pBdr>
      <w:spacing w:before="90" w:beforeAutospacing="0" w:after="100" w:afterAutospacing="1"/>
    </w:pPr>
  </w:style>
  <w:style w:type="paragraph" w:customStyle="1" w:styleId="caret9">
    <w:name w:val="caret9"/>
    <w:basedOn w:val="Normal"/>
    <w:uiPriority w:val="99"/>
    <w:semiHidden/>
    <w:pPr>
      <w:pBdr>
        <w:top w:val="single" w:sz="24" w:space="0" w:color="FFFFFF"/>
      </w:pBdr>
      <w:spacing w:after="100" w:afterAutospacing="1"/>
    </w:pPr>
  </w:style>
  <w:style w:type="paragraph" w:customStyle="1" w:styleId="caret10">
    <w:name w:val="caret10"/>
    <w:basedOn w:val="Normal"/>
    <w:uiPriority w:val="99"/>
    <w:semiHidden/>
    <w:pPr>
      <w:pBdr>
        <w:top w:val="single" w:sz="24" w:space="0" w:color="FFFFFF"/>
      </w:pBdr>
      <w:spacing w:after="100" w:afterAutospacing="1"/>
    </w:pPr>
  </w:style>
  <w:style w:type="paragraph" w:customStyle="1" w:styleId="caret11">
    <w:name w:val="caret11"/>
    <w:basedOn w:val="Normal"/>
    <w:uiPriority w:val="99"/>
    <w:semiHidden/>
    <w:pPr>
      <w:pBdr>
        <w:top w:val="single" w:sz="24" w:space="0" w:color="FFFFFF"/>
      </w:pBdr>
      <w:spacing w:after="100" w:afterAutospacing="1"/>
    </w:pPr>
  </w:style>
  <w:style w:type="paragraph" w:customStyle="1" w:styleId="caret12">
    <w:name w:val="caret12"/>
    <w:basedOn w:val="Normal"/>
    <w:uiPriority w:val="99"/>
    <w:semiHidden/>
    <w:pPr>
      <w:pBdr>
        <w:top w:val="single" w:sz="24" w:space="0" w:color="FFFFFF"/>
      </w:pBdr>
      <w:spacing w:after="100" w:afterAutospacing="1"/>
    </w:pPr>
  </w:style>
  <w:style w:type="paragraph" w:customStyle="1" w:styleId="caret13">
    <w:name w:val="caret13"/>
    <w:basedOn w:val="Normal"/>
    <w:uiPriority w:val="99"/>
    <w:semiHidden/>
    <w:pPr>
      <w:pBdr>
        <w:top w:val="single" w:sz="24" w:space="0" w:color="FFFFFF"/>
      </w:pBdr>
      <w:spacing w:after="100" w:afterAutospacing="1"/>
    </w:pPr>
  </w:style>
  <w:style w:type="paragraph" w:customStyle="1" w:styleId="caret14">
    <w:name w:val="caret14"/>
    <w:basedOn w:val="Normal"/>
    <w:uiPriority w:val="99"/>
    <w:semiHidden/>
    <w:pPr>
      <w:pBdr>
        <w:top w:val="single" w:sz="24" w:space="0" w:color="FFFFFF"/>
      </w:pBdr>
      <w:spacing w:after="100" w:afterAutospacing="1"/>
    </w:pPr>
  </w:style>
  <w:style w:type="paragraph" w:customStyle="1" w:styleId="btn3">
    <w:name w:val="btn3"/>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line="300" w:lineRule="atLeast"/>
      <w:jc w:val="center"/>
    </w:pPr>
    <w:rPr>
      <w:color w:val="333333"/>
      <w:sz w:val="21"/>
      <w:szCs w:val="21"/>
    </w:rPr>
  </w:style>
  <w:style w:type="paragraph" w:customStyle="1" w:styleId="close1">
    <w:name w:val="close1"/>
    <w:basedOn w:val="Normal"/>
    <w:uiPriority w:val="99"/>
    <w:semiHidden/>
    <w:pPr>
      <w:spacing w:after="100" w:afterAutospacing="1" w:line="300" w:lineRule="atLeast"/>
    </w:pPr>
    <w:rPr>
      <w:b/>
      <w:bCs/>
      <w:color w:val="000000"/>
      <w:sz w:val="30"/>
      <w:szCs w:val="30"/>
    </w:rPr>
  </w:style>
  <w:style w:type="paragraph" w:customStyle="1" w:styleId="divider2">
    <w:name w:val="divider2"/>
    <w:basedOn w:val="Normal"/>
    <w:uiPriority w:val="99"/>
    <w:semiHidden/>
    <w:pPr>
      <w:pBdr>
        <w:bottom w:val="single" w:sz="6" w:space="0" w:color="FFFFFF"/>
      </w:pBdr>
      <w:shd w:val="clear" w:color="auto" w:fill="E5E5E5"/>
      <w:spacing w:before="135" w:beforeAutospacing="0" w:after="135"/>
      <w:ind w:left="15" w:right="15"/>
    </w:pPr>
  </w:style>
  <w:style w:type="paragraph" w:customStyle="1" w:styleId="caret15">
    <w:name w:val="caret15"/>
    <w:basedOn w:val="Normal"/>
    <w:uiPriority w:val="99"/>
    <w:semiHidden/>
    <w:pPr>
      <w:pBdr>
        <w:top w:val="single" w:sz="24" w:space="0" w:color="0088CC"/>
      </w:pBdr>
      <w:spacing w:before="90" w:beforeAutospacing="0" w:after="100" w:afterAutospacing="1"/>
    </w:pPr>
  </w:style>
  <w:style w:type="paragraph" w:customStyle="1" w:styleId="caret16">
    <w:name w:val="caret16"/>
    <w:basedOn w:val="Normal"/>
    <w:uiPriority w:val="99"/>
    <w:semiHidden/>
    <w:pPr>
      <w:pBdr>
        <w:top w:val="single" w:sz="24" w:space="0" w:color="005580"/>
      </w:pBdr>
      <w:spacing w:before="90" w:beforeAutospacing="0" w:after="100" w:afterAutospacing="1"/>
    </w:pPr>
  </w:style>
  <w:style w:type="paragraph" w:customStyle="1" w:styleId="caret17">
    <w:name w:val="caret17"/>
    <w:basedOn w:val="Normal"/>
    <w:uiPriority w:val="99"/>
    <w:semiHidden/>
    <w:pPr>
      <w:pBdr>
        <w:top w:val="single" w:sz="24" w:space="0" w:color="000000"/>
      </w:pBdr>
      <w:spacing w:before="120" w:beforeAutospacing="0" w:after="100" w:afterAutospacing="1"/>
    </w:pPr>
  </w:style>
  <w:style w:type="paragraph" w:customStyle="1" w:styleId="caret18">
    <w:name w:val="caret18"/>
    <w:basedOn w:val="Normal"/>
    <w:uiPriority w:val="99"/>
    <w:semiHidden/>
    <w:pPr>
      <w:pBdr>
        <w:top w:val="single" w:sz="24" w:space="0" w:color="FFFFFF"/>
      </w:pBdr>
      <w:spacing w:before="90" w:beforeAutospacing="0" w:after="100" w:afterAutospacing="1"/>
    </w:pPr>
  </w:style>
  <w:style w:type="paragraph" w:customStyle="1" w:styleId="caret19">
    <w:name w:val="caret19"/>
    <w:basedOn w:val="Normal"/>
    <w:uiPriority w:val="99"/>
    <w:semiHidden/>
    <w:pPr>
      <w:pBdr>
        <w:top w:val="single" w:sz="24" w:space="0" w:color="555555"/>
      </w:pBdr>
      <w:spacing w:before="120" w:beforeAutospacing="0" w:after="100" w:afterAutospacing="1"/>
    </w:pPr>
  </w:style>
  <w:style w:type="paragraph" w:customStyle="1" w:styleId="container4">
    <w:name w:val="container4"/>
    <w:basedOn w:val="Normal"/>
    <w:uiPriority w:val="99"/>
    <w:semiHidden/>
    <w:pPr>
      <w:spacing w:after="100" w:afterAutospacing="1"/>
    </w:pPr>
  </w:style>
  <w:style w:type="paragraph" w:customStyle="1" w:styleId="brand1">
    <w:name w:val="brand1"/>
    <w:basedOn w:val="Normal"/>
    <w:uiPriority w:val="99"/>
    <w:semiHidden/>
    <w:pPr>
      <w:spacing w:after="100" w:afterAutospacing="1"/>
      <w:ind w:left="-300"/>
    </w:pPr>
    <w:rPr>
      <w:color w:val="555555"/>
      <w:sz w:val="30"/>
      <w:szCs w:val="30"/>
    </w:rPr>
  </w:style>
  <w:style w:type="paragraph" w:customStyle="1" w:styleId="brand2">
    <w:name w:val="brand2"/>
    <w:basedOn w:val="Normal"/>
    <w:uiPriority w:val="99"/>
    <w:semiHidden/>
    <w:pPr>
      <w:spacing w:after="100" w:afterAutospacing="1"/>
      <w:ind w:left="-300"/>
    </w:pPr>
    <w:rPr>
      <w:color w:val="555555"/>
      <w:sz w:val="30"/>
      <w:szCs w:val="30"/>
    </w:rPr>
  </w:style>
  <w:style w:type="paragraph" w:customStyle="1" w:styleId="divider-vertical1">
    <w:name w:val="divider-vertical1"/>
    <w:basedOn w:val="Normal"/>
    <w:uiPriority w:val="99"/>
    <w:semiHidden/>
    <w:pPr>
      <w:pBdr>
        <w:left w:val="single" w:sz="6" w:space="0" w:color="F2F2F2"/>
        <w:right w:val="single" w:sz="6" w:space="0" w:color="FFFFFF"/>
      </w:pBdr>
      <w:spacing w:before="0" w:beforeAutospacing="0"/>
      <w:ind w:left="135" w:right="135"/>
    </w:pPr>
  </w:style>
  <w:style w:type="paragraph" w:customStyle="1" w:styleId="btn4">
    <w:name w:val="btn4"/>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before="90" w:beforeAutospacing="0" w:line="300" w:lineRule="atLeast"/>
      <w:jc w:val="center"/>
    </w:pPr>
    <w:rPr>
      <w:color w:val="333333"/>
      <w:sz w:val="21"/>
      <w:szCs w:val="21"/>
    </w:rPr>
  </w:style>
  <w:style w:type="paragraph" w:customStyle="1" w:styleId="btn-group1">
    <w:name w:val="btn-group1"/>
    <w:basedOn w:val="Normal"/>
    <w:uiPriority w:val="99"/>
    <w:semiHidden/>
    <w:pPr>
      <w:spacing w:before="90" w:beforeAutospacing="0" w:after="100" w:afterAutospacing="1"/>
    </w:pPr>
    <w:rPr>
      <w:sz w:val="2"/>
      <w:szCs w:val="2"/>
    </w:rPr>
  </w:style>
  <w:style w:type="paragraph" w:customStyle="1" w:styleId="btn5">
    <w:name w:val="btn5"/>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line="300" w:lineRule="atLeast"/>
      <w:jc w:val="center"/>
    </w:pPr>
    <w:rPr>
      <w:color w:val="333333"/>
      <w:sz w:val="21"/>
      <w:szCs w:val="21"/>
    </w:rPr>
  </w:style>
  <w:style w:type="paragraph" w:customStyle="1" w:styleId="radio3">
    <w:name w:val="radio3"/>
    <w:basedOn w:val="Normal"/>
    <w:uiPriority w:val="99"/>
    <w:semiHidden/>
    <w:pPr>
      <w:spacing w:before="75" w:beforeAutospacing="0" w:after="100" w:afterAutospacing="1"/>
    </w:pPr>
  </w:style>
  <w:style w:type="paragraph" w:customStyle="1" w:styleId="checkbox3">
    <w:name w:val="checkbox3"/>
    <w:basedOn w:val="Normal"/>
    <w:uiPriority w:val="99"/>
    <w:semiHidden/>
    <w:pPr>
      <w:spacing w:before="75" w:beforeAutospacing="0" w:after="100" w:afterAutospacing="1"/>
    </w:pPr>
  </w:style>
  <w:style w:type="paragraph" w:customStyle="1" w:styleId="btn6">
    <w:name w:val="btn6"/>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line="300" w:lineRule="atLeast"/>
      <w:jc w:val="center"/>
    </w:pPr>
    <w:rPr>
      <w:color w:val="333333"/>
      <w:sz w:val="21"/>
      <w:szCs w:val="21"/>
    </w:rPr>
  </w:style>
  <w:style w:type="paragraph" w:customStyle="1" w:styleId="input-append4">
    <w:name w:val="input-append4"/>
    <w:basedOn w:val="Normal"/>
    <w:uiPriority w:val="99"/>
    <w:semiHidden/>
    <w:pPr>
      <w:spacing w:before="90" w:beforeAutospacing="0" w:after="75"/>
    </w:pPr>
    <w:rPr>
      <w:sz w:val="2"/>
      <w:szCs w:val="2"/>
    </w:rPr>
  </w:style>
  <w:style w:type="paragraph" w:customStyle="1" w:styleId="input-prepend4">
    <w:name w:val="input-prepend4"/>
    <w:basedOn w:val="Normal"/>
    <w:uiPriority w:val="99"/>
    <w:semiHidden/>
    <w:pPr>
      <w:spacing w:before="90" w:beforeAutospacing="0" w:after="75"/>
    </w:pPr>
    <w:rPr>
      <w:sz w:val="2"/>
      <w:szCs w:val="2"/>
    </w:rPr>
  </w:style>
  <w:style w:type="paragraph" w:customStyle="1" w:styleId="search-query1">
    <w:name w:val="search-query1"/>
    <w:basedOn w:val="Normal"/>
    <w:uiPriority w:val="99"/>
    <w:semiHidden/>
    <w:rPr>
      <w:rFonts w:ascii="Helvetica" w:hAnsi="Helvetica"/>
      <w:sz w:val="20"/>
      <w:szCs w:val="20"/>
    </w:rPr>
  </w:style>
  <w:style w:type="paragraph" w:customStyle="1" w:styleId="navbar-inner1">
    <w:name w:val="navbar-inner1"/>
    <w:basedOn w:val="Normal"/>
    <w:uiPriority w:val="99"/>
    <w:semiHidden/>
    <w:pPr>
      <w:shd w:val="clear" w:color="auto" w:fill="FAFAFA"/>
      <w:spacing w:after="100" w:afterAutospacing="1"/>
    </w:pPr>
  </w:style>
  <w:style w:type="paragraph" w:customStyle="1" w:styleId="navbar-inner2">
    <w:name w:val="navbar-inner2"/>
    <w:basedOn w:val="Normal"/>
    <w:uiPriority w:val="99"/>
    <w:semiHidden/>
    <w:pPr>
      <w:shd w:val="clear" w:color="auto" w:fill="FAFAFA"/>
      <w:spacing w:after="100" w:afterAutospacing="1"/>
    </w:pPr>
  </w:style>
  <w:style w:type="paragraph" w:customStyle="1" w:styleId="navbar-inner3">
    <w:name w:val="navbar-inner3"/>
    <w:basedOn w:val="Normal"/>
    <w:uiPriority w:val="99"/>
    <w:semiHidden/>
    <w:pPr>
      <w:shd w:val="clear" w:color="auto" w:fill="FAFAFA"/>
      <w:spacing w:after="100" w:afterAutospacing="1"/>
    </w:pPr>
  </w:style>
  <w:style w:type="paragraph" w:customStyle="1" w:styleId="nav1">
    <w:name w:val="nav1"/>
    <w:basedOn w:val="Normal"/>
    <w:uiPriority w:val="99"/>
    <w:semiHidden/>
    <w:pPr>
      <w:spacing w:before="0" w:beforeAutospacing="0"/>
      <w:ind w:right="150"/>
    </w:pPr>
  </w:style>
  <w:style w:type="paragraph" w:customStyle="1" w:styleId="caret20">
    <w:name w:val="caret20"/>
    <w:basedOn w:val="Normal"/>
    <w:uiPriority w:val="99"/>
    <w:semiHidden/>
    <w:pPr>
      <w:pBdr>
        <w:top w:val="single" w:sz="24" w:space="0" w:color="0088CC"/>
      </w:pBdr>
      <w:spacing w:before="120" w:beforeAutospacing="0" w:after="100" w:afterAutospacing="1"/>
    </w:pPr>
  </w:style>
  <w:style w:type="paragraph" w:customStyle="1" w:styleId="btn-navbar1">
    <w:name w:val="btn-navbar1"/>
    <w:basedOn w:val="Normal"/>
    <w:uiPriority w:val="99"/>
    <w:semiHidden/>
    <w:pPr>
      <w:shd w:val="clear" w:color="auto" w:fill="EDEDED"/>
      <w:spacing w:before="0" w:beforeAutospacing="0" w:after="150"/>
      <w:ind w:left="75" w:right="75"/>
    </w:pPr>
    <w:rPr>
      <w:vanish/>
      <w:color w:val="FFFFFF"/>
    </w:rPr>
  </w:style>
  <w:style w:type="paragraph" w:customStyle="1" w:styleId="icon-bar1">
    <w:name w:val="icon-bar1"/>
    <w:basedOn w:val="Normal"/>
    <w:uiPriority w:val="99"/>
    <w:semiHidden/>
    <w:pPr>
      <w:shd w:val="clear" w:color="auto" w:fill="F5F5F5"/>
      <w:spacing w:after="100" w:afterAutospacing="1"/>
    </w:pPr>
  </w:style>
  <w:style w:type="paragraph" w:customStyle="1" w:styleId="navbar-inner4">
    <w:name w:val="navbar-inner4"/>
    <w:basedOn w:val="Normal"/>
    <w:uiPriority w:val="99"/>
    <w:semiHidden/>
    <w:pPr>
      <w:pBdr>
        <w:top w:val="single" w:sz="6" w:space="0" w:color="252525"/>
        <w:left w:val="single" w:sz="6" w:space="15" w:color="252525"/>
        <w:bottom w:val="single" w:sz="6" w:space="0" w:color="252525"/>
        <w:right w:val="single" w:sz="6" w:space="15" w:color="252525"/>
      </w:pBdr>
      <w:shd w:val="clear" w:color="auto" w:fill="1B1B1B"/>
      <w:spacing w:after="100" w:afterAutospacing="1"/>
    </w:pPr>
  </w:style>
  <w:style w:type="paragraph" w:customStyle="1" w:styleId="navbar-link1">
    <w:name w:val="navbar-link1"/>
    <w:basedOn w:val="Normal"/>
    <w:uiPriority w:val="99"/>
    <w:semiHidden/>
    <w:pPr>
      <w:spacing w:after="100" w:afterAutospacing="1"/>
    </w:pPr>
    <w:rPr>
      <w:color w:val="999999"/>
    </w:rPr>
  </w:style>
  <w:style w:type="paragraph" w:customStyle="1" w:styleId="navbar-link2">
    <w:name w:val="navbar-link2"/>
    <w:basedOn w:val="Normal"/>
    <w:uiPriority w:val="99"/>
    <w:semiHidden/>
    <w:pPr>
      <w:spacing w:after="100" w:afterAutospacing="1"/>
    </w:pPr>
    <w:rPr>
      <w:color w:val="FFFFFF"/>
    </w:rPr>
  </w:style>
  <w:style w:type="paragraph" w:customStyle="1" w:styleId="divider-vertical2">
    <w:name w:val="divider-vertical2"/>
    <w:basedOn w:val="Normal"/>
    <w:uiPriority w:val="99"/>
    <w:semiHidden/>
    <w:pPr>
      <w:spacing w:after="100" w:afterAutospacing="1"/>
    </w:pPr>
  </w:style>
  <w:style w:type="paragraph" w:customStyle="1" w:styleId="search-query2">
    <w:name w:val="search-query2"/>
    <w:basedOn w:val="Normal"/>
    <w:uiPriority w:val="99"/>
    <w:semiHidden/>
    <w:pPr>
      <w:shd w:val="clear" w:color="auto" w:fill="515151"/>
    </w:pPr>
    <w:rPr>
      <w:rFonts w:ascii="Helvetica" w:hAnsi="Helvetica"/>
      <w:color w:val="FFFFFF"/>
      <w:sz w:val="20"/>
      <w:szCs w:val="20"/>
    </w:rPr>
  </w:style>
  <w:style w:type="paragraph" w:customStyle="1" w:styleId="btn-navbar2">
    <w:name w:val="btn-navbar2"/>
    <w:basedOn w:val="Normal"/>
    <w:uiPriority w:val="99"/>
    <w:semiHidden/>
    <w:pPr>
      <w:shd w:val="clear" w:color="auto" w:fill="0E0E0E"/>
      <w:spacing w:after="100" w:afterAutospacing="1"/>
    </w:pPr>
    <w:rPr>
      <w:color w:val="FFFFFF"/>
    </w:rPr>
  </w:style>
  <w:style w:type="paragraph" w:customStyle="1" w:styleId="divider3">
    <w:name w:val="divider3"/>
    <w:basedOn w:val="Normal"/>
    <w:uiPriority w:val="99"/>
    <w:semiHidden/>
    <w:pPr>
      <w:spacing w:after="100" w:afterAutospacing="1"/>
    </w:pPr>
    <w:rPr>
      <w:color w:val="CCCCCC"/>
    </w:rPr>
  </w:style>
  <w:style w:type="paragraph" w:customStyle="1" w:styleId="active3">
    <w:name w:val="active3"/>
    <w:basedOn w:val="Normal"/>
    <w:uiPriority w:val="99"/>
    <w:semiHidden/>
    <w:pPr>
      <w:spacing w:after="100" w:afterAutospacing="1"/>
    </w:pPr>
    <w:rPr>
      <w:color w:val="999999"/>
    </w:rPr>
  </w:style>
  <w:style w:type="paragraph" w:customStyle="1" w:styleId="close2">
    <w:name w:val="close2"/>
    <w:basedOn w:val="Normal"/>
    <w:uiPriority w:val="99"/>
    <w:semiHidden/>
    <w:pPr>
      <w:spacing w:before="30" w:beforeAutospacing="0" w:after="100" w:afterAutospacing="1" w:line="300" w:lineRule="atLeast"/>
    </w:pPr>
    <w:rPr>
      <w:b/>
      <w:bCs/>
      <w:color w:val="000000"/>
      <w:sz w:val="30"/>
      <w:szCs w:val="30"/>
    </w:rPr>
  </w:style>
  <w:style w:type="paragraph" w:customStyle="1" w:styleId="thumbnails1">
    <w:name w:val="thumbnails1"/>
    <w:basedOn w:val="Normal"/>
    <w:uiPriority w:val="99"/>
    <w:semiHidden/>
    <w:pPr>
      <w:spacing w:after="100" w:afterAutospacing="1"/>
    </w:pPr>
  </w:style>
  <w:style w:type="paragraph" w:customStyle="1" w:styleId="caption1">
    <w:name w:val="caption1"/>
    <w:basedOn w:val="Normal"/>
    <w:uiPriority w:val="99"/>
    <w:semiHidden/>
    <w:pPr>
      <w:spacing w:after="100" w:afterAutospacing="1"/>
    </w:pPr>
    <w:rPr>
      <w:color w:val="555555"/>
    </w:rPr>
  </w:style>
  <w:style w:type="paragraph" w:customStyle="1" w:styleId="bar2">
    <w:name w:val="bar2"/>
    <w:basedOn w:val="Normal"/>
    <w:uiPriority w:val="99"/>
    <w:semiHidden/>
    <w:pPr>
      <w:shd w:val="clear" w:color="auto" w:fill="149BDF"/>
      <w:spacing w:after="100" w:afterAutospacing="1"/>
    </w:pPr>
  </w:style>
  <w:style w:type="paragraph" w:customStyle="1" w:styleId="bar3">
    <w:name w:val="bar3"/>
    <w:basedOn w:val="Normal"/>
    <w:uiPriority w:val="99"/>
    <w:semiHidden/>
    <w:pPr>
      <w:shd w:val="clear" w:color="auto" w:fill="DD514C"/>
      <w:spacing w:after="100" w:afterAutospacing="1"/>
    </w:pPr>
  </w:style>
  <w:style w:type="paragraph" w:customStyle="1" w:styleId="bar-danger1">
    <w:name w:val="bar-danger1"/>
    <w:basedOn w:val="Normal"/>
    <w:uiPriority w:val="99"/>
    <w:semiHidden/>
    <w:pPr>
      <w:shd w:val="clear" w:color="auto" w:fill="DD514C"/>
      <w:spacing w:after="100" w:afterAutospacing="1"/>
    </w:pPr>
  </w:style>
  <w:style w:type="paragraph" w:customStyle="1" w:styleId="bar4">
    <w:name w:val="bar4"/>
    <w:basedOn w:val="Normal"/>
    <w:uiPriority w:val="99"/>
    <w:semiHidden/>
    <w:pPr>
      <w:shd w:val="clear" w:color="auto" w:fill="5EB95E"/>
      <w:spacing w:after="100" w:afterAutospacing="1"/>
    </w:pPr>
  </w:style>
  <w:style w:type="paragraph" w:customStyle="1" w:styleId="bar-success1">
    <w:name w:val="bar-success1"/>
    <w:basedOn w:val="Normal"/>
    <w:uiPriority w:val="99"/>
    <w:semiHidden/>
    <w:pPr>
      <w:shd w:val="clear" w:color="auto" w:fill="5EB95E"/>
      <w:spacing w:after="100" w:afterAutospacing="1"/>
    </w:pPr>
  </w:style>
  <w:style w:type="paragraph" w:customStyle="1" w:styleId="bar5">
    <w:name w:val="bar5"/>
    <w:basedOn w:val="Normal"/>
    <w:uiPriority w:val="99"/>
    <w:semiHidden/>
    <w:pPr>
      <w:shd w:val="clear" w:color="auto" w:fill="4BB1CF"/>
      <w:spacing w:after="100" w:afterAutospacing="1"/>
    </w:pPr>
  </w:style>
  <w:style w:type="paragraph" w:customStyle="1" w:styleId="bar-info1">
    <w:name w:val="bar-info1"/>
    <w:basedOn w:val="Normal"/>
    <w:uiPriority w:val="99"/>
    <w:semiHidden/>
    <w:pPr>
      <w:shd w:val="clear" w:color="auto" w:fill="4BB1CF"/>
      <w:spacing w:after="100" w:afterAutospacing="1"/>
    </w:pPr>
  </w:style>
  <w:style w:type="paragraph" w:customStyle="1" w:styleId="bar6">
    <w:name w:val="bar6"/>
    <w:basedOn w:val="Normal"/>
    <w:uiPriority w:val="99"/>
    <w:semiHidden/>
    <w:pPr>
      <w:shd w:val="clear" w:color="auto" w:fill="FAA732"/>
      <w:spacing w:after="100" w:afterAutospacing="1"/>
    </w:pPr>
  </w:style>
  <w:style w:type="paragraph" w:customStyle="1" w:styleId="bar-warning1">
    <w:name w:val="bar-warning1"/>
    <w:basedOn w:val="Normal"/>
    <w:uiPriority w:val="99"/>
    <w:semiHidden/>
    <w:pPr>
      <w:shd w:val="clear" w:color="auto" w:fill="FAA732"/>
      <w:spacing w:after="100" w:afterAutospacing="1"/>
    </w:pPr>
  </w:style>
  <w:style w:type="paragraph" w:customStyle="1" w:styleId="accordion-toggle1">
    <w:name w:val="accordion-toggle1"/>
    <w:basedOn w:val="Normal"/>
    <w:uiPriority w:val="99"/>
    <w:semiHidden/>
    <w:pPr>
      <w:spacing w:after="100" w:afterAutospacing="1"/>
    </w:pPr>
  </w:style>
  <w:style w:type="paragraph" w:customStyle="1" w:styleId="item1">
    <w:name w:val="item1"/>
    <w:basedOn w:val="Normal"/>
    <w:uiPriority w:val="99"/>
    <w:semiHidden/>
    <w:pPr>
      <w:spacing w:after="100" w:afterAutospacing="1"/>
    </w:pPr>
    <w:rPr>
      <w:vanish/>
    </w:rPr>
  </w:style>
  <w:style w:type="paragraph" w:customStyle="1" w:styleId="active4">
    <w:name w:val="active4"/>
    <w:basedOn w:val="Normal"/>
    <w:uiPriority w:val="99"/>
    <w:semiHidden/>
    <w:pPr>
      <w:spacing w:after="100" w:afterAutospacing="1"/>
    </w:pPr>
  </w:style>
  <w:style w:type="paragraph" w:customStyle="1" w:styleId="next1">
    <w:name w:val="next1"/>
    <w:basedOn w:val="Normal"/>
    <w:uiPriority w:val="99"/>
    <w:semiHidden/>
    <w:pPr>
      <w:spacing w:after="100" w:afterAutospacing="1"/>
    </w:pPr>
  </w:style>
  <w:style w:type="paragraph" w:customStyle="1" w:styleId="prev1">
    <w:name w:val="prev1"/>
    <w:basedOn w:val="Normal"/>
    <w:uiPriority w:val="99"/>
    <w:semiHidden/>
    <w:pPr>
      <w:spacing w:after="100" w:afterAutospacing="1"/>
    </w:pPr>
  </w:style>
  <w:style w:type="paragraph" w:customStyle="1" w:styleId="brand3">
    <w:name w:val="brand3"/>
    <w:basedOn w:val="Normal"/>
    <w:uiPriority w:val="99"/>
    <w:semiHidden/>
    <w:pPr>
      <w:spacing w:after="100" w:afterAutospacing="1"/>
      <w:ind w:left="300"/>
    </w:pPr>
    <w:rPr>
      <w:b/>
      <w:bCs/>
      <w:color w:val="000000"/>
    </w:rPr>
  </w:style>
  <w:style w:type="paragraph" w:customStyle="1" w:styleId="brand4">
    <w:name w:val="brand4"/>
    <w:basedOn w:val="Normal"/>
    <w:uiPriority w:val="99"/>
    <w:semiHidden/>
    <w:pPr>
      <w:spacing w:after="100" w:afterAutospacing="1"/>
      <w:ind w:left="300"/>
    </w:pPr>
    <w:rPr>
      <w:b/>
      <w:bCs/>
      <w:color w:val="000000"/>
    </w:rPr>
  </w:style>
  <w:style w:type="paragraph" w:customStyle="1" w:styleId="btn-large1">
    <w:name w:val="btn-large1"/>
    <w:basedOn w:val="Normal"/>
    <w:uiPriority w:val="99"/>
    <w:semiHidden/>
    <w:pPr>
      <w:spacing w:before="0" w:beforeAutospacing="0" w:after="270"/>
      <w:ind w:right="150"/>
    </w:pPr>
    <w:rPr>
      <w:sz w:val="30"/>
      <w:szCs w:val="30"/>
    </w:rPr>
  </w:style>
  <w:style w:type="paragraph" w:customStyle="1" w:styleId="nav2">
    <w:name w:val="nav2"/>
    <w:basedOn w:val="Normal"/>
    <w:uiPriority w:val="99"/>
    <w:semiHidden/>
  </w:style>
  <w:style w:type="paragraph" w:customStyle="1" w:styleId="row1">
    <w:name w:val="row1"/>
    <w:basedOn w:val="Normal"/>
    <w:uiPriority w:val="99"/>
    <w:semiHidden/>
    <w:pPr>
      <w:spacing w:before="0" w:beforeAutospacing="0" w:after="135"/>
      <w:ind w:left="-300" w:right="150"/>
    </w:pPr>
  </w:style>
  <w:style w:type="paragraph" w:customStyle="1" w:styleId="bs-icon1">
    <w:name w:val="bs-icon1"/>
    <w:basedOn w:val="Normal"/>
    <w:uiPriority w:val="99"/>
    <w:semiHidden/>
    <w:pPr>
      <w:spacing w:before="105" w:beforeAutospacing="0"/>
      <w:ind w:right="150"/>
    </w:pPr>
  </w:style>
  <w:style w:type="paragraph" w:customStyle="1" w:styleId="small-bs-icon1">
    <w:name w:val="small-bs-icon1"/>
    <w:basedOn w:val="Normal"/>
    <w:uiPriority w:val="99"/>
    <w:semiHidden/>
    <w:pPr>
      <w:spacing w:before="60" w:beforeAutospacing="0"/>
      <w:ind w:right="75"/>
    </w:pPr>
  </w:style>
  <w:style w:type="paragraph" w:customStyle="1" w:styleId="show-grid1">
    <w:name w:val="show-grid1"/>
    <w:basedOn w:val="Normal"/>
    <w:uiPriority w:val="99"/>
    <w:semiHidden/>
  </w:style>
  <w:style w:type="paragraph" w:customStyle="1" w:styleId="mini-layout-body1">
    <w:name w:val="mini-layout-body1"/>
    <w:basedOn w:val="Normal"/>
    <w:uiPriority w:val="99"/>
    <w:semiHidden/>
    <w:pPr>
      <w:shd w:val="clear" w:color="auto" w:fill="DCEAF4"/>
    </w:pPr>
  </w:style>
  <w:style w:type="paragraph" w:customStyle="1" w:styleId="popover1">
    <w:name w:val="popover1"/>
    <w:basedOn w:val="Normal"/>
    <w:uiPriority w:val="99"/>
    <w:semiHidden/>
    <w:pPr>
      <w:pBdr>
        <w:top w:val="single" w:sz="6" w:space="1" w:color="CCCCCC"/>
        <w:left w:val="single" w:sz="6" w:space="1" w:color="CCCCCC"/>
        <w:bottom w:val="single" w:sz="6" w:space="1" w:color="CCCCCC"/>
        <w:right w:val="single" w:sz="6" w:space="1" w:color="CCCCCC"/>
      </w:pBdr>
      <w:shd w:val="clear" w:color="auto" w:fill="FFFFFF"/>
      <w:spacing w:after="100" w:afterAutospacing="1"/>
    </w:pPr>
  </w:style>
  <w:style w:type="paragraph" w:customStyle="1" w:styleId="popover-wrapper1">
    <w:name w:val="popover-wrapper1"/>
    <w:basedOn w:val="Normal"/>
    <w:uiPriority w:val="99"/>
    <w:semiHidden/>
    <w:pPr>
      <w:spacing w:after="100" w:afterAutospacing="1"/>
      <w:ind w:left="825"/>
    </w:pPr>
  </w:style>
  <w:style w:type="paragraph" w:customStyle="1" w:styleId="popover-menu-wrapper1">
    <w:name w:val="popover-menu-wrapper1"/>
    <w:basedOn w:val="Normal"/>
    <w:uiPriority w:val="99"/>
    <w:semiHidden/>
    <w:pPr>
      <w:spacing w:after="100" w:afterAutospacing="1"/>
    </w:pPr>
  </w:style>
  <w:style w:type="paragraph" w:customStyle="1" w:styleId="page-header1">
    <w:name w:val="page-header1"/>
    <w:basedOn w:val="Normal"/>
    <w:uiPriority w:val="99"/>
    <w:semiHidden/>
    <w:pPr>
      <w:pBdr>
        <w:bottom w:val="single" w:sz="6" w:space="7" w:color="EEEEEE"/>
      </w:pBdr>
      <w:spacing w:before="540" w:beforeAutospacing="0" w:after="450"/>
    </w:pPr>
  </w:style>
  <w:style w:type="paragraph" w:customStyle="1" w:styleId="toggle-all1">
    <w:name w:val="toggle-all1"/>
    <w:basedOn w:val="Normal"/>
    <w:uiPriority w:val="99"/>
    <w:semiHidden/>
    <w:pPr>
      <w:spacing w:before="75" w:beforeAutospacing="0" w:after="100" w:afterAutospacing="1"/>
    </w:pPr>
  </w:style>
  <w:style w:type="paragraph" w:customStyle="1" w:styleId="checkbox4">
    <w:name w:val="checkbox4"/>
    <w:basedOn w:val="Normal"/>
    <w:uiPriority w:val="99"/>
    <w:semiHidden/>
    <w:pPr>
      <w:shd w:val="clear" w:color="auto" w:fill="F9F9F9"/>
      <w:spacing w:after="100" w:afterAutospacing="1"/>
    </w:pPr>
    <w:rPr>
      <w:color w:val="555555"/>
    </w:rPr>
  </w:style>
  <w:style w:type="paragraph" w:customStyle="1" w:styleId="checkbox5">
    <w:name w:val="checkbox5"/>
    <w:basedOn w:val="Normal"/>
    <w:uiPriority w:val="99"/>
    <w:semiHidden/>
    <w:pPr>
      <w:shd w:val="clear" w:color="auto" w:fill="F5F5F5"/>
      <w:spacing w:after="100" w:afterAutospacing="1"/>
    </w:pPr>
    <w:rPr>
      <w:color w:val="333333"/>
    </w:rPr>
  </w:style>
  <w:style w:type="paragraph" w:customStyle="1" w:styleId="btn7">
    <w:name w:val="btn7"/>
    <w:basedOn w:val="Normal"/>
    <w:uiPriority w:val="99"/>
    <w:semiHidden/>
    <w:pPr>
      <w:pBdr>
        <w:top w:val="single" w:sz="6" w:space="3" w:color="C5C5C5"/>
        <w:left w:val="single" w:sz="6" w:space="11" w:color="C5C5C5"/>
        <w:bottom w:val="single" w:sz="6" w:space="3" w:color="C5C5C5"/>
        <w:right w:val="single" w:sz="6" w:space="11" w:color="C5C5C5"/>
      </w:pBdr>
      <w:shd w:val="clear" w:color="auto" w:fill="F5F5F5"/>
      <w:spacing w:after="405"/>
      <w:jc w:val="center"/>
    </w:pPr>
    <w:rPr>
      <w:color w:val="333333"/>
      <w:sz w:val="45"/>
      <w:szCs w:val="45"/>
    </w:rPr>
  </w:style>
  <w:style w:type="paragraph" w:customStyle="1" w:styleId="thumbnail1">
    <w:name w:val="thumbnail1"/>
    <w:basedOn w:val="Normal"/>
    <w:uiPriority w:val="99"/>
    <w:semiHidden/>
    <w:pPr>
      <w:pBdr>
        <w:top w:val="single" w:sz="6" w:space="3" w:color="DDDDDD"/>
        <w:left w:val="single" w:sz="6" w:space="3" w:color="DDDDDD"/>
        <w:bottom w:val="single" w:sz="6" w:space="3" w:color="DDDDDD"/>
        <w:right w:val="single" w:sz="6" w:space="3" w:color="DDDDDD"/>
      </w:pBdr>
      <w:shd w:val="clear" w:color="auto" w:fill="FFFFFF"/>
      <w:spacing w:after="135"/>
    </w:pPr>
  </w:style>
  <w:style w:type="paragraph" w:customStyle="1" w:styleId="span33">
    <w:name w:val="span33"/>
    <w:basedOn w:val="Normal"/>
    <w:uiPriority w:val="99"/>
    <w:semiHidden/>
    <w:pPr>
      <w:spacing w:after="100" w:afterAutospacing="1"/>
    </w:pPr>
  </w:style>
  <w:style w:type="character" w:customStyle="1" w:styleId="summary1">
    <w:name w:val="summary1"/>
    <w:basedOn w:val="DefaultParagraphFont"/>
    <w:rPr>
      <w:color w:val="999999"/>
      <w:sz w:val="22"/>
      <w:szCs w:val="22"/>
    </w:rPr>
  </w:style>
  <w:style w:type="character" w:customStyle="1" w:styleId="month1">
    <w:name w:val="month1"/>
    <w:basedOn w:val="DefaultParagraphFont"/>
    <w:rPr>
      <w:caps/>
      <w:vanish w:val="0"/>
      <w:webHidden w:val="0"/>
      <w:color w:val="FFFFFF"/>
      <w:sz w:val="22"/>
      <w:szCs w:val="22"/>
      <w:shd w:val="clear" w:color="auto" w:fill="B5BEBE"/>
      <w:specVanish w:val="0"/>
    </w:rPr>
  </w:style>
  <w:style w:type="character" w:customStyle="1" w:styleId="day1">
    <w:name w:val="day1"/>
    <w:basedOn w:val="DefaultParagraphFont"/>
    <w:rPr>
      <w:b/>
      <w:bCs/>
      <w:vanish w:val="0"/>
      <w:webHidden w:val="0"/>
      <w:sz w:val="48"/>
      <w:szCs w:val="48"/>
      <w:specVanish w:val="0"/>
    </w:rPr>
  </w:style>
  <w:style w:type="character" w:customStyle="1" w:styleId="year1">
    <w:name w:val="year1"/>
    <w:basedOn w:val="DefaultParagraphFont"/>
    <w:rPr>
      <w:vanish w:val="0"/>
      <w:webHidden w:val="0"/>
      <w:sz w:val="22"/>
      <w:szCs w:val="22"/>
      <w:specVanish w:val="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308838">
      <w:marLeft w:val="0"/>
      <w:marRight w:val="0"/>
      <w:marTop w:val="0"/>
      <w:marBottom w:val="300"/>
      <w:divBdr>
        <w:top w:val="single" w:sz="6" w:space="14" w:color="E3E3E3"/>
        <w:left w:val="single" w:sz="6" w:space="14" w:color="E3E3E3"/>
        <w:bottom w:val="single" w:sz="6" w:space="14" w:color="E3E3E3"/>
        <w:right w:val="single" w:sz="6" w:space="14" w:color="E3E3E3"/>
      </w:divBdr>
    </w:div>
    <w:div w:id="513034498">
      <w:marLeft w:val="0"/>
      <w:marRight w:val="0"/>
      <w:marTop w:val="0"/>
      <w:marBottom w:val="300"/>
      <w:divBdr>
        <w:top w:val="single" w:sz="6" w:space="14" w:color="E3E3E3"/>
        <w:left w:val="single" w:sz="6" w:space="14" w:color="E3E3E3"/>
        <w:bottom w:val="single" w:sz="6" w:space="14" w:color="E3E3E3"/>
        <w:right w:val="single" w:sz="6" w:space="14" w:color="E3E3E3"/>
      </w:divBdr>
    </w:div>
    <w:div w:id="754521799">
      <w:marLeft w:val="0"/>
      <w:marRight w:val="0"/>
      <w:marTop w:val="0"/>
      <w:marBottom w:val="300"/>
      <w:divBdr>
        <w:top w:val="single" w:sz="6" w:space="14" w:color="E3E3E3"/>
        <w:left w:val="single" w:sz="6" w:space="14" w:color="E3E3E3"/>
        <w:bottom w:val="single" w:sz="6" w:space="14" w:color="E3E3E3"/>
        <w:right w:val="single" w:sz="6" w:space="14" w:color="E3E3E3"/>
      </w:divBdr>
    </w:div>
    <w:div w:id="1313413373">
      <w:marLeft w:val="0"/>
      <w:marRight w:val="0"/>
      <w:marTop w:val="0"/>
      <w:marBottom w:val="300"/>
      <w:divBdr>
        <w:top w:val="single" w:sz="6" w:space="14" w:color="E3E3E3"/>
        <w:left w:val="single" w:sz="6" w:space="14" w:color="E3E3E3"/>
        <w:bottom w:val="single" w:sz="6" w:space="14" w:color="E3E3E3"/>
        <w:right w:val="single" w:sz="6" w:space="14" w:color="E3E3E3"/>
      </w:divBdr>
    </w:div>
    <w:div w:id="1396008279">
      <w:marLeft w:val="0"/>
      <w:marRight w:val="0"/>
      <w:marTop w:val="0"/>
      <w:marBottom w:val="300"/>
      <w:divBdr>
        <w:top w:val="single" w:sz="6" w:space="14" w:color="E3E3E3"/>
        <w:left w:val="single" w:sz="6" w:space="14" w:color="E3E3E3"/>
        <w:bottom w:val="single" w:sz="6" w:space="14" w:color="E3E3E3"/>
        <w:right w:val="single" w:sz="6" w:space="14" w:color="E3E3E3"/>
      </w:divBdr>
    </w:div>
    <w:div w:id="1829712992">
      <w:marLeft w:val="0"/>
      <w:marRight w:val="0"/>
      <w:marTop w:val="0"/>
      <w:marBottom w:val="300"/>
      <w:divBdr>
        <w:top w:val="single" w:sz="6" w:space="14" w:color="E3E3E3"/>
        <w:left w:val="single" w:sz="6" w:space="14" w:color="E3E3E3"/>
        <w:bottom w:val="single" w:sz="6" w:space="14" w:color="E3E3E3"/>
        <w:right w:val="single" w:sz="6" w:space="14" w:color="E3E3E3"/>
      </w:divBdr>
    </w:div>
    <w:div w:id="1882399911">
      <w:marLeft w:val="0"/>
      <w:marRight w:val="0"/>
      <w:marTop w:val="0"/>
      <w:marBottom w:val="0"/>
      <w:divBdr>
        <w:top w:val="none" w:sz="0" w:space="0" w:color="auto"/>
        <w:left w:val="none" w:sz="0" w:space="0" w:color="auto"/>
        <w:bottom w:val="none" w:sz="0" w:space="0" w:color="auto"/>
        <w:right w:val="none" w:sz="0" w:space="0" w:color="auto"/>
      </w:divBdr>
      <w:divsChild>
        <w:div w:id="2076467165">
          <w:marLeft w:val="0"/>
          <w:marRight w:val="0"/>
          <w:marTop w:val="0"/>
          <w:marBottom w:val="0"/>
          <w:divBdr>
            <w:top w:val="none" w:sz="0" w:space="0" w:color="auto"/>
            <w:left w:val="none" w:sz="0" w:space="0" w:color="auto"/>
            <w:bottom w:val="none" w:sz="0" w:space="0" w:color="auto"/>
            <w:right w:val="none" w:sz="0" w:space="0" w:color="auto"/>
          </w:divBdr>
        </w:div>
        <w:div w:id="1339772276">
          <w:marLeft w:val="0"/>
          <w:marRight w:val="0"/>
          <w:marTop w:val="0"/>
          <w:marBottom w:val="0"/>
          <w:divBdr>
            <w:top w:val="none" w:sz="0" w:space="0" w:color="auto"/>
            <w:left w:val="none" w:sz="0" w:space="0" w:color="auto"/>
            <w:bottom w:val="none" w:sz="0" w:space="0" w:color="auto"/>
            <w:right w:val="none" w:sz="0" w:space="0" w:color="auto"/>
          </w:divBdr>
        </w:div>
        <w:div w:id="1823081972">
          <w:marLeft w:val="0"/>
          <w:marRight w:val="0"/>
          <w:marTop w:val="0"/>
          <w:marBottom w:val="0"/>
          <w:divBdr>
            <w:top w:val="none" w:sz="0" w:space="0" w:color="auto"/>
            <w:left w:val="none" w:sz="0" w:space="0" w:color="auto"/>
            <w:bottom w:val="none" w:sz="0" w:space="0" w:color="auto"/>
            <w:right w:val="none" w:sz="0" w:space="0" w:color="auto"/>
          </w:divBdr>
        </w:div>
      </w:divsChild>
    </w:div>
    <w:div w:id="2106415272">
      <w:marLeft w:val="0"/>
      <w:marRight w:val="0"/>
      <w:marTop w:val="0"/>
      <w:marBottom w:val="300"/>
      <w:divBdr>
        <w:top w:val="single" w:sz="6" w:space="14" w:color="E3E3E3"/>
        <w:left w:val="single" w:sz="6" w:space="14" w:color="E3E3E3"/>
        <w:bottom w:val="single" w:sz="6" w:space="14" w:color="E3E3E3"/>
        <w:right w:val="single" w:sz="6" w:space="14" w:color="E3E3E3"/>
      </w:divBdr>
    </w:div>
    <w:div w:id="2123375725">
      <w:marLeft w:val="0"/>
      <w:marRight w:val="0"/>
      <w:marTop w:val="0"/>
      <w:marBottom w:val="300"/>
      <w:divBdr>
        <w:top w:val="single" w:sz="6" w:space="14" w:color="E3E3E3"/>
        <w:left w:val="single" w:sz="6" w:space="14" w:color="E3E3E3"/>
        <w:bottom w:val="single" w:sz="6" w:space="14" w:color="E3E3E3"/>
        <w:right w:val="single" w:sz="6" w:space="14" w:color="E3E3E3"/>
      </w:divBdr>
    </w:div>
    <w:div w:id="2127189087">
      <w:marLeft w:val="0"/>
      <w:marRight w:val="0"/>
      <w:marTop w:val="0"/>
      <w:marBottom w:val="300"/>
      <w:divBdr>
        <w:top w:val="single" w:sz="6" w:space="14" w:color="E3E3E3"/>
        <w:left w:val="single" w:sz="6" w:space="14" w:color="E3E3E3"/>
        <w:bottom w:val="single" w:sz="6" w:space="14" w:color="E3E3E3"/>
        <w:right w:val="single" w:sz="6" w:space="14" w:color="E3E3E3"/>
      </w:divBdr>
    </w:div>
    <w:div w:id="2141527839">
      <w:marLeft w:val="0"/>
      <w:marRight w:val="0"/>
      <w:marTop w:val="0"/>
      <w:marBottom w:val="300"/>
      <w:divBdr>
        <w:top w:val="single" w:sz="6" w:space="14" w:color="E3E3E3"/>
        <w:left w:val="single" w:sz="6" w:space="14" w:color="E3E3E3"/>
        <w:bottom w:val="single" w:sz="6" w:space="14" w:color="E3E3E3"/>
        <w:right w:val="single" w:sz="6" w:space="14" w:color="E3E3E3"/>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image" Target="http://climatechangeauthority.gov.au/sites/all/themes/cca/img/background-circle-sm.png"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29148</Words>
  <Characters>165337</Characters>
  <Application>Microsoft Office Word</Application>
  <DocSecurity>0</DocSecurity>
  <Lines>1377</Lines>
  <Paragraphs>388</Paragraphs>
  <ScaleCrop>false</ScaleCrop>
  <HeadingPairs>
    <vt:vector size="2" baseType="variant">
      <vt:variant>
        <vt:lpstr>Title</vt:lpstr>
      </vt:variant>
      <vt:variant>
        <vt:i4>1</vt:i4>
      </vt:variant>
    </vt:vector>
  </HeadingPairs>
  <TitlesOfParts>
    <vt:vector size="1" baseType="lpstr">
      <vt:lpstr>CCA_TargetsAndProgressReportChapter3</vt:lpstr>
    </vt:vector>
  </TitlesOfParts>
  <Company/>
  <LinksUpToDate>false</LinksUpToDate>
  <CharactersWithSpaces>194097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CCA_TargetsAndProgressReportChapter3</dc:title>
  <dc:subject/>
  <dc:creator>rockwell</dc:creator>
  <cp:keywords/>
  <dc:description/>
  <cp:lastModifiedBy>rockwell</cp:lastModifiedBy>
  <cp:revision>2</cp:revision>
  <dcterms:created xsi:type="dcterms:W3CDTF">2014-03-04T06:24:00Z</dcterms:created>
  <dcterms:modified xsi:type="dcterms:W3CDTF">2014-03-04T06:24:00Z</dcterms:modified>
</cp:coreProperties>
</file>