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3" type="tile"/>
    </v:background>
  </w:background>
  <w:body>
    <w:p w:rsidR="00000000" w:rsidRDefault="00605C12">
      <w:pPr>
        <w:pStyle w:val="Heading1"/>
        <w:divId w:val="2119138065"/>
        <w:rPr>
          <w:rFonts w:eastAsia="Times New Roman"/>
          <w:color w:val="333333"/>
          <w:lang w:val="en"/>
        </w:rPr>
      </w:pPr>
      <w:r>
        <w:rPr>
          <w:rFonts w:eastAsia="Times New Roman"/>
          <w:color w:val="333333"/>
          <w:lang w:val="en"/>
        </w:rPr>
        <w:t>Appendix C Sharing the global emissions budget</w:t>
      </w:r>
    </w:p>
    <w:p w:rsidR="00000000" w:rsidRDefault="00605C12">
      <w:pPr>
        <w:pStyle w:val="NormalWeb"/>
        <w:spacing w:line="300" w:lineRule="atLeast"/>
        <w:divId w:val="2119138065"/>
        <w:rPr>
          <w:rFonts w:ascii="Georgia" w:hAnsi="Georgia"/>
          <w:color w:val="333333"/>
          <w:lang w:val="en"/>
        </w:rPr>
      </w:pPr>
      <w:r>
        <w:rPr>
          <w:rFonts w:ascii="Georgia" w:hAnsi="Georgia"/>
          <w:color w:val="333333"/>
          <w:lang w:val="en"/>
        </w:rPr>
        <w:t>This appendix sets out the approaches to sharing a global emissions budget and complements the discussion in Chapter 8.</w:t>
      </w:r>
    </w:p>
    <w:p w:rsidR="00000000" w:rsidRDefault="00605C12">
      <w:pPr>
        <w:pStyle w:val="Heading2"/>
        <w:divId w:val="2119138065"/>
        <w:rPr>
          <w:rFonts w:eastAsia="Times New Roman"/>
          <w:color w:val="333333"/>
          <w:lang w:val="en"/>
        </w:rPr>
      </w:pPr>
      <w:r>
        <w:rPr>
          <w:rFonts w:eastAsia="Times New Roman"/>
          <w:color w:val="333333"/>
          <w:lang w:val="en"/>
        </w:rPr>
        <w:t>Appendix C1 Approaches to sharing a global emissions budget</w:t>
      </w:r>
    </w:p>
    <w:p w:rsidR="00000000" w:rsidRDefault="00605C12">
      <w:pPr>
        <w:pStyle w:val="NormalWeb"/>
        <w:spacing w:line="300" w:lineRule="atLeast"/>
        <w:divId w:val="2119138065"/>
        <w:rPr>
          <w:rFonts w:ascii="Georgia" w:hAnsi="Georgia"/>
          <w:color w:val="333333"/>
          <w:lang w:val="en"/>
        </w:rPr>
      </w:pPr>
      <w:r>
        <w:rPr>
          <w:rFonts w:ascii="Georgia" w:hAnsi="Georgia"/>
          <w:color w:val="333333"/>
          <w:lang w:val="en"/>
        </w:rPr>
        <w:t>There are two broad approaches to sharing emissions reduction efforts:</w:t>
      </w:r>
    </w:p>
    <w:p w:rsidR="00000000" w:rsidRDefault="00605C12">
      <w:pPr>
        <w:numPr>
          <w:ilvl w:val="0"/>
          <w:numId w:val="1"/>
        </w:numPr>
        <w:spacing w:before="100" w:beforeAutospacing="1" w:after="100" w:afterAutospacing="1" w:line="300" w:lineRule="atLeast"/>
        <w:ind w:left="375"/>
        <w:divId w:val="2119138065"/>
        <w:rPr>
          <w:rFonts w:ascii="Georgia" w:eastAsia="Times New Roman" w:hAnsi="Georgia"/>
          <w:color w:val="333333"/>
          <w:lang w:val="en"/>
        </w:rPr>
      </w:pPr>
      <w:r>
        <w:rPr>
          <w:rFonts w:ascii="Georgia" w:eastAsia="Times New Roman" w:hAnsi="Georgia"/>
          <w:color w:val="333333"/>
          <w:lang w:val="en"/>
        </w:rPr>
        <w:t>sharing the global emissions budget—‘resource-sharing’</w:t>
      </w:r>
    </w:p>
    <w:p w:rsidR="00000000" w:rsidRDefault="00605C12">
      <w:pPr>
        <w:numPr>
          <w:ilvl w:val="0"/>
          <w:numId w:val="1"/>
        </w:numPr>
        <w:spacing w:before="100" w:beforeAutospacing="1" w:after="100" w:afterAutospacing="1" w:line="300" w:lineRule="atLeast"/>
        <w:ind w:left="375"/>
        <w:divId w:val="2119138065"/>
        <w:rPr>
          <w:rFonts w:ascii="Georgia" w:eastAsia="Times New Roman" w:hAnsi="Georgia"/>
          <w:color w:val="333333"/>
          <w:lang w:val="en"/>
        </w:rPr>
      </w:pPr>
      <w:proofErr w:type="gramStart"/>
      <w:r>
        <w:rPr>
          <w:rFonts w:ascii="Georgia" w:eastAsia="Times New Roman" w:hAnsi="Georgia"/>
          <w:color w:val="333333"/>
          <w:lang w:val="en"/>
        </w:rPr>
        <w:t>sharing</w:t>
      </w:r>
      <w:proofErr w:type="gramEnd"/>
      <w:r>
        <w:rPr>
          <w:rFonts w:ascii="Georgia" w:eastAsia="Times New Roman" w:hAnsi="Georgia"/>
          <w:color w:val="333333"/>
          <w:lang w:val="en"/>
        </w:rPr>
        <w:t xml:space="preserve"> the emissions reductions required to meet that budget—‘effort-sharing’ (Figure C.1). </w:t>
      </w:r>
    </w:p>
    <w:p w:rsidR="00000000" w:rsidRDefault="00605C12">
      <w:pPr>
        <w:pStyle w:val="NormalWeb"/>
        <w:spacing w:line="300" w:lineRule="atLeast"/>
        <w:divId w:val="2119138065"/>
        <w:rPr>
          <w:rFonts w:ascii="Georgia" w:hAnsi="Georgia"/>
          <w:color w:val="333333"/>
          <w:lang w:val="en"/>
        </w:rPr>
      </w:pPr>
      <w:r>
        <w:rPr>
          <w:rFonts w:ascii="Georgia" w:hAnsi="Georgia"/>
          <w:color w:val="333333"/>
          <w:lang w:val="en"/>
        </w:rPr>
        <w:t>In some ways, the two approaches are</w:t>
      </w:r>
      <w:r>
        <w:rPr>
          <w:rFonts w:ascii="Georgia" w:hAnsi="Georgia"/>
          <w:color w:val="333333"/>
          <w:lang w:val="en"/>
        </w:rPr>
        <w:t xml:space="preserve"> similar—sharing the remaining budget implicitly sets a mitigation task and vice versa. From a practical perspective, resource-sharing approaches are more straightforward, as they require only an estimate of the global emissions budget and equitable princi</w:t>
      </w:r>
      <w:r>
        <w:rPr>
          <w:rFonts w:ascii="Georgia" w:hAnsi="Georgia"/>
          <w:color w:val="333333"/>
          <w:lang w:val="en"/>
        </w:rPr>
        <w:t>ples. In contrast, effort-sharing also requires an estimate of global emissions in the absence of climate change action; that is, a BAU trajectory. As more countries take more action, this trajectory becomes increasingly abstract and difficult to estimate.</w:t>
      </w:r>
      <w:r>
        <w:rPr>
          <w:rFonts w:ascii="Georgia" w:hAnsi="Georgia"/>
          <w:color w:val="333333"/>
          <w:lang w:val="en"/>
        </w:rPr>
        <w:t xml:space="preserve"> </w:t>
      </w:r>
    </w:p>
    <w:p w:rsidR="00000000" w:rsidRDefault="00605C12">
      <w:pPr>
        <w:pStyle w:val="Heading2"/>
        <w:divId w:val="2119138065"/>
        <w:rPr>
          <w:rFonts w:eastAsia="Times New Roman"/>
          <w:color w:val="333333"/>
          <w:lang w:val="en"/>
        </w:rPr>
      </w:pPr>
      <w:r>
        <w:rPr>
          <w:rFonts w:eastAsia="Times New Roman"/>
          <w:color w:val="333333"/>
          <w:lang w:val="en"/>
        </w:rPr>
        <w:t>Figure C.1: Resource-sharing versus effort-sharing</w:t>
      </w:r>
    </w:p>
    <w:p w:rsidR="00000000" w:rsidRDefault="00605C12">
      <w:pPr>
        <w:pStyle w:val="NormalWeb"/>
        <w:spacing w:line="300" w:lineRule="atLeast"/>
        <w:divId w:val="2119138065"/>
        <w:rPr>
          <w:rFonts w:ascii="Georgia" w:hAnsi="Georgia"/>
          <w:color w:val="333333"/>
          <w:lang w:val="en"/>
        </w:rPr>
      </w:pPr>
      <w:r>
        <w:rPr>
          <w:rFonts w:ascii="Georgia" w:hAnsi="Georgia"/>
          <w:b/>
          <w:bCs/>
          <w:noProof/>
          <w:color w:val="333333"/>
        </w:rPr>
        <w:drawing>
          <wp:inline distT="0" distB="0" distL="0" distR="0">
            <wp:extent cx="5707117" cy="2617573"/>
            <wp:effectExtent l="0" t="0" r="0" b="0"/>
            <wp:docPr id="1" name="Picture 1" descr="This is an illustrative figure showing that resource-sharing involves sharing a desired global emissions budget, represented by the area under a global trajectory to meet the emissions budget, and that effort-sharing involves sharing the emissions reductions required to meet that budget, represented by the area between global business-as-usual emissions and a global trajectory to meet the emissions bud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is an illustrative figure showing that resource-sharing involves sharing a desired global emissions budget, represented by the area under a global trajectory to meet the emissions budget, and that effort-sharing involves sharing the emissions reductions required to meet that budget, represented by the area between global business-as-usual emissions and a global trajectory to meet the emissions budg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3523" cy="2629684"/>
                    </a:xfrm>
                    <a:prstGeom prst="rect">
                      <a:avLst/>
                    </a:prstGeom>
                    <a:noFill/>
                    <a:ln>
                      <a:noFill/>
                    </a:ln>
                  </pic:spPr>
                </pic:pic>
              </a:graphicData>
            </a:graphic>
          </wp:inline>
        </w:drawing>
      </w:r>
      <w:r>
        <w:rPr>
          <w:rStyle w:val="Strong"/>
          <w:rFonts w:ascii="Georgia" w:hAnsi="Georgia"/>
          <w:color w:val="333333"/>
          <w:lang w:val="en"/>
        </w:rPr>
        <w:t> </w:t>
      </w:r>
      <w:r>
        <w:rPr>
          <w:rStyle w:val="Strong"/>
          <w:rFonts w:ascii="Georgia" w:hAnsi="Georgia"/>
          <w:color w:val="333333"/>
          <w:lang w:val="en"/>
        </w:rPr>
        <w:t xml:space="preserve">Source: </w:t>
      </w:r>
      <w:r>
        <w:rPr>
          <w:rFonts w:ascii="Georgia" w:hAnsi="Georgia"/>
          <w:color w:val="333333"/>
          <w:lang w:val="en"/>
        </w:rPr>
        <w:t>Climate Change Authority</w:t>
      </w:r>
    </w:p>
    <w:p w:rsidR="00000000" w:rsidRDefault="00605C12">
      <w:pPr>
        <w:pStyle w:val="NormalWeb"/>
        <w:spacing w:line="300" w:lineRule="atLeast"/>
        <w:divId w:val="2119138065"/>
        <w:rPr>
          <w:rFonts w:ascii="Georgia" w:hAnsi="Georgia"/>
          <w:color w:val="333333"/>
          <w:lang w:val="en"/>
        </w:rPr>
      </w:pPr>
      <w:r>
        <w:rPr>
          <w:rFonts w:ascii="Georgia" w:hAnsi="Georgia"/>
          <w:color w:val="333333"/>
          <w:lang w:val="en"/>
        </w:rPr>
        <w:t>While almost all of the approaches are conceptually based on the emissions rights of individuals, none would allocate rights directly to individual Australians. Rather, these approaches allocate budgets by starting with principles based on individuals, the</w:t>
      </w:r>
      <w:r>
        <w:rPr>
          <w:rFonts w:ascii="Georgia" w:hAnsi="Georgia"/>
          <w:color w:val="333333"/>
          <w:lang w:val="en"/>
        </w:rPr>
        <w:t xml:space="preserve">n aggregating to the national level. </w:t>
      </w:r>
    </w:p>
    <w:p w:rsidR="00000000" w:rsidRDefault="00605C12">
      <w:pPr>
        <w:pStyle w:val="NormalWeb"/>
        <w:spacing w:line="300" w:lineRule="atLeast"/>
        <w:divId w:val="2119138065"/>
        <w:rPr>
          <w:rFonts w:ascii="Georgia" w:hAnsi="Georgia"/>
          <w:color w:val="333333"/>
          <w:lang w:val="en"/>
        </w:rPr>
      </w:pPr>
      <w:r>
        <w:rPr>
          <w:rFonts w:ascii="Georgia" w:hAnsi="Georgia"/>
          <w:color w:val="333333"/>
          <w:lang w:val="en"/>
        </w:rPr>
        <w:lastRenderedPageBreak/>
        <w:t>The Authority’s recommended emissions reduction goals for Australia, including the budget to 2050, are ‘net’ goals. That is, they reflect Australia’s contribution to global emissions reduction efforts, not a fixed limi</w:t>
      </w:r>
      <w:r>
        <w:rPr>
          <w:rFonts w:ascii="Georgia" w:hAnsi="Georgia"/>
          <w:color w:val="333333"/>
          <w:lang w:val="en"/>
        </w:rPr>
        <w:t>t on Australia’s domestic emissions. To the extent that domestic emissions exceed the budget, they must be offset by genuine emissions reductions purchased from overseas.</w:t>
      </w:r>
    </w:p>
    <w:p w:rsidR="00000000" w:rsidRDefault="00605C12">
      <w:pPr>
        <w:pStyle w:val="Heading3"/>
        <w:divId w:val="2119138065"/>
        <w:rPr>
          <w:rFonts w:eastAsia="Times New Roman"/>
          <w:color w:val="333333"/>
          <w:lang w:val="en"/>
        </w:rPr>
      </w:pPr>
      <w:r>
        <w:rPr>
          <w:rFonts w:eastAsia="Times New Roman"/>
          <w:color w:val="333333"/>
          <w:lang w:val="en"/>
        </w:rPr>
        <w:t>C1.1 Resource-sharing approaches based on emissions rights per person</w:t>
      </w:r>
    </w:p>
    <w:p w:rsidR="00000000" w:rsidRDefault="00605C12">
      <w:pPr>
        <w:pStyle w:val="NormalWeb"/>
        <w:spacing w:line="300" w:lineRule="atLeast"/>
        <w:divId w:val="2119138065"/>
        <w:rPr>
          <w:rFonts w:ascii="Georgia" w:hAnsi="Georgia"/>
          <w:color w:val="333333"/>
          <w:lang w:val="en"/>
        </w:rPr>
      </w:pPr>
      <w:r>
        <w:rPr>
          <w:rFonts w:ascii="Georgia" w:hAnsi="Georgia"/>
          <w:color w:val="333333"/>
          <w:lang w:val="en"/>
        </w:rPr>
        <w:t>The Authority e</w:t>
      </w:r>
      <w:r>
        <w:rPr>
          <w:rFonts w:ascii="Georgia" w:hAnsi="Georgia"/>
          <w:color w:val="333333"/>
          <w:lang w:val="en"/>
        </w:rPr>
        <w:t xml:space="preserve">xamined four resource-sharing approaches based on equal emissions rights per person in detail. Three involve a gradual move to equal rights per person and the fourth involves immediate equality. </w:t>
      </w:r>
    </w:p>
    <w:p w:rsidR="00000000" w:rsidRDefault="00605C12">
      <w:pPr>
        <w:pStyle w:val="Heading4"/>
        <w:divId w:val="2119138065"/>
        <w:rPr>
          <w:rFonts w:eastAsia="Times New Roman"/>
          <w:color w:val="333333"/>
          <w:lang w:val="en"/>
        </w:rPr>
      </w:pPr>
      <w:r>
        <w:rPr>
          <w:rFonts w:eastAsia="Times New Roman"/>
          <w:color w:val="333333"/>
          <w:lang w:val="en"/>
        </w:rPr>
        <w:t>C1.1.1 Contraction and convergence</w:t>
      </w:r>
    </w:p>
    <w:p w:rsidR="00000000" w:rsidRDefault="00605C12">
      <w:pPr>
        <w:pStyle w:val="NormalWeb"/>
        <w:spacing w:line="300" w:lineRule="atLeast"/>
        <w:divId w:val="2119138065"/>
        <w:rPr>
          <w:rFonts w:ascii="Georgia" w:hAnsi="Georgia"/>
          <w:color w:val="333333"/>
          <w:lang w:val="en"/>
        </w:rPr>
      </w:pPr>
      <w:r>
        <w:rPr>
          <w:rFonts w:ascii="Georgia" w:hAnsi="Georgia"/>
          <w:color w:val="333333"/>
          <w:lang w:val="en"/>
        </w:rPr>
        <w:t>Under contraction and con</w:t>
      </w:r>
      <w:r>
        <w:rPr>
          <w:rFonts w:ascii="Georgia" w:hAnsi="Georgia"/>
          <w:color w:val="333333"/>
          <w:lang w:val="en"/>
        </w:rPr>
        <w:t>vergence, emissions per person contract over time in countries above the global average, and rise over time in countries below the global average, reaching a ‘convergence level’ of equal per person rights in a specified future year. The convergence year is</w:t>
      </w:r>
      <w:r>
        <w:rPr>
          <w:rFonts w:ascii="Georgia" w:hAnsi="Georgia"/>
          <w:color w:val="333333"/>
          <w:lang w:val="en"/>
        </w:rPr>
        <w:t xml:space="preserve"> a key variable in this approach. A shorter convergence period results in smaller budgets for countries that, like Australia, start with above average per person emissions.</w:t>
      </w:r>
    </w:p>
    <w:p w:rsidR="00000000" w:rsidRDefault="00605C12">
      <w:pPr>
        <w:pStyle w:val="NormalWeb"/>
        <w:spacing w:line="300" w:lineRule="atLeast"/>
        <w:divId w:val="2119138065"/>
        <w:rPr>
          <w:rFonts w:ascii="Georgia" w:hAnsi="Georgia"/>
          <w:color w:val="333333"/>
          <w:lang w:val="en"/>
        </w:rPr>
      </w:pPr>
      <w:r>
        <w:rPr>
          <w:rFonts w:ascii="Georgia" w:hAnsi="Georgia"/>
          <w:color w:val="333333"/>
          <w:lang w:val="en"/>
        </w:rPr>
        <w:t xml:space="preserve">The Authority has used 2050 as its preferred convergence year when </w:t>
      </w:r>
      <w:proofErr w:type="spellStart"/>
      <w:r>
        <w:rPr>
          <w:rFonts w:ascii="Georgia" w:hAnsi="Georgia"/>
          <w:color w:val="333333"/>
          <w:lang w:val="en"/>
        </w:rPr>
        <w:t>analysing</w:t>
      </w:r>
      <w:proofErr w:type="spellEnd"/>
      <w:r>
        <w:rPr>
          <w:rFonts w:ascii="Georgia" w:hAnsi="Georgia"/>
          <w:color w:val="333333"/>
          <w:lang w:val="en"/>
        </w:rPr>
        <w:t xml:space="preserve"> these </w:t>
      </w:r>
      <w:r>
        <w:rPr>
          <w:rFonts w:ascii="Georgia" w:hAnsi="Georgia"/>
          <w:color w:val="333333"/>
          <w:lang w:val="en"/>
        </w:rPr>
        <w:t xml:space="preserve">approaches, balancing the feasibility of the transition with the goal of </w:t>
      </w:r>
      <w:proofErr w:type="spellStart"/>
      <w:r>
        <w:rPr>
          <w:rFonts w:ascii="Georgia" w:hAnsi="Georgia"/>
          <w:color w:val="333333"/>
          <w:lang w:val="en"/>
        </w:rPr>
        <w:t>equalising</w:t>
      </w:r>
      <w:proofErr w:type="spellEnd"/>
      <w:r>
        <w:rPr>
          <w:rFonts w:ascii="Georgia" w:hAnsi="Georgia"/>
          <w:color w:val="333333"/>
          <w:lang w:val="en"/>
        </w:rPr>
        <w:t xml:space="preserve"> per person emissions rights. </w:t>
      </w:r>
    </w:p>
    <w:p w:rsidR="00000000" w:rsidRDefault="00605C12">
      <w:pPr>
        <w:pStyle w:val="Heading4"/>
        <w:divId w:val="2119138065"/>
        <w:rPr>
          <w:rFonts w:eastAsia="Times New Roman"/>
          <w:color w:val="333333"/>
          <w:lang w:val="en"/>
        </w:rPr>
      </w:pPr>
      <w:r>
        <w:rPr>
          <w:rFonts w:eastAsia="Times New Roman"/>
          <w:color w:val="333333"/>
          <w:lang w:val="en"/>
        </w:rPr>
        <w:t>C1.1.2 Modified contraction and convergence</w:t>
      </w:r>
    </w:p>
    <w:p w:rsidR="00000000" w:rsidRDefault="00605C12">
      <w:pPr>
        <w:pStyle w:val="NormalWeb"/>
        <w:spacing w:line="300" w:lineRule="atLeast"/>
        <w:divId w:val="2119138065"/>
        <w:rPr>
          <w:rFonts w:ascii="Georgia" w:hAnsi="Georgia"/>
          <w:color w:val="333333"/>
          <w:lang w:val="en"/>
        </w:rPr>
      </w:pPr>
      <w:r>
        <w:rPr>
          <w:rFonts w:ascii="Georgia" w:hAnsi="Georgia"/>
          <w:color w:val="333333"/>
          <w:lang w:val="en"/>
        </w:rPr>
        <w:t>This approach was proposed by Professor </w:t>
      </w:r>
      <w:proofErr w:type="spellStart"/>
      <w:r>
        <w:rPr>
          <w:rFonts w:ascii="Georgia" w:hAnsi="Georgia"/>
          <w:color w:val="333333"/>
          <w:lang w:val="en"/>
        </w:rPr>
        <w:t>Garnaut</w:t>
      </w:r>
      <w:proofErr w:type="spellEnd"/>
      <w:r>
        <w:rPr>
          <w:rFonts w:ascii="Georgia" w:hAnsi="Georgia"/>
          <w:color w:val="333333"/>
          <w:lang w:val="en"/>
        </w:rPr>
        <w:t xml:space="preserve"> in his 2008 Review. It involves two main modificat</w:t>
      </w:r>
      <w:r>
        <w:rPr>
          <w:rFonts w:ascii="Georgia" w:hAnsi="Georgia"/>
          <w:color w:val="333333"/>
          <w:lang w:val="en"/>
        </w:rPr>
        <w:t>ions to simple contraction and convergence:</w:t>
      </w:r>
    </w:p>
    <w:p w:rsidR="00000000" w:rsidRDefault="00605C12">
      <w:pPr>
        <w:numPr>
          <w:ilvl w:val="0"/>
          <w:numId w:val="2"/>
        </w:numPr>
        <w:spacing w:before="100" w:beforeAutospacing="1" w:after="100" w:afterAutospacing="1" w:line="300" w:lineRule="atLeast"/>
        <w:ind w:left="375"/>
        <w:divId w:val="2119138065"/>
        <w:rPr>
          <w:rFonts w:ascii="Georgia" w:eastAsia="Times New Roman" w:hAnsi="Georgia"/>
          <w:color w:val="333333"/>
          <w:lang w:val="en"/>
        </w:rPr>
      </w:pPr>
      <w:r>
        <w:rPr>
          <w:rFonts w:ascii="Georgia" w:eastAsia="Times New Roman" w:hAnsi="Georgia"/>
          <w:color w:val="333333"/>
          <w:lang w:val="en"/>
        </w:rPr>
        <w:t>fast-growing developing countries are allowed additional growth in their per person emissions rights for a transitional period</w:t>
      </w:r>
    </w:p>
    <w:p w:rsidR="00000000" w:rsidRDefault="00605C12">
      <w:pPr>
        <w:numPr>
          <w:ilvl w:val="0"/>
          <w:numId w:val="2"/>
        </w:numPr>
        <w:spacing w:before="100" w:beforeAutospacing="1" w:after="100" w:afterAutospacing="1" w:line="300" w:lineRule="atLeast"/>
        <w:ind w:left="375"/>
        <w:divId w:val="2119138065"/>
        <w:rPr>
          <w:rFonts w:ascii="Georgia" w:eastAsia="Times New Roman" w:hAnsi="Georgia"/>
          <w:color w:val="333333"/>
          <w:lang w:val="en"/>
        </w:rPr>
      </w:pPr>
      <w:proofErr w:type="gramStart"/>
      <w:r>
        <w:rPr>
          <w:rFonts w:ascii="Georgia" w:eastAsia="Times New Roman" w:hAnsi="Georgia"/>
          <w:color w:val="333333"/>
          <w:lang w:val="en"/>
        </w:rPr>
        <w:t>developed</w:t>
      </w:r>
      <w:proofErr w:type="gramEnd"/>
      <w:r>
        <w:rPr>
          <w:rFonts w:ascii="Georgia" w:eastAsia="Times New Roman" w:hAnsi="Georgia"/>
          <w:color w:val="333333"/>
          <w:lang w:val="en"/>
        </w:rPr>
        <w:t xml:space="preserve"> countries’ rights contract more quickly to provide this headroom (</w:t>
      </w:r>
      <w:proofErr w:type="spellStart"/>
      <w:r>
        <w:rPr>
          <w:rFonts w:ascii="Georgia" w:eastAsia="Times New Roman" w:hAnsi="Georgia"/>
          <w:color w:val="333333"/>
          <w:lang w:val="en"/>
        </w:rPr>
        <w:t>Garnaut</w:t>
      </w:r>
      <w:proofErr w:type="spellEnd"/>
      <w:r>
        <w:rPr>
          <w:rFonts w:ascii="Georgia" w:eastAsia="Times New Roman" w:hAnsi="Georgia"/>
          <w:color w:val="333333"/>
          <w:lang w:val="en"/>
        </w:rPr>
        <w:t xml:space="preserve"> 2</w:t>
      </w:r>
      <w:r>
        <w:rPr>
          <w:rFonts w:ascii="Georgia" w:eastAsia="Times New Roman" w:hAnsi="Georgia"/>
          <w:color w:val="333333"/>
          <w:lang w:val="en"/>
        </w:rPr>
        <w:t xml:space="preserve">008, pp. 206–7). </w:t>
      </w:r>
    </w:p>
    <w:p w:rsidR="00000000" w:rsidRDefault="00605C12">
      <w:pPr>
        <w:pStyle w:val="NormalWeb"/>
        <w:spacing w:line="300" w:lineRule="atLeast"/>
        <w:divId w:val="2119138065"/>
        <w:rPr>
          <w:rFonts w:ascii="Georgia" w:hAnsi="Georgia"/>
          <w:color w:val="333333"/>
          <w:lang w:val="en"/>
        </w:rPr>
      </w:pPr>
      <w:r>
        <w:rPr>
          <w:rFonts w:ascii="Georgia" w:hAnsi="Georgia"/>
          <w:color w:val="333333"/>
          <w:lang w:val="en"/>
        </w:rPr>
        <w:t>Specifically, it allows developing countries’ allocations to grow at half their economic (GDP) growth rate, if that is greater than the growth rate of their allocated emissions under the simple contraction and convergence approach.</w:t>
      </w:r>
    </w:p>
    <w:p w:rsidR="00605C12" w:rsidRDefault="00605C12">
      <w:pPr>
        <w:pStyle w:val="NormalWeb"/>
        <w:spacing w:line="300" w:lineRule="atLeast"/>
        <w:divId w:val="2119138065"/>
        <w:rPr>
          <w:rFonts w:ascii="Georgia" w:hAnsi="Georgia"/>
          <w:color w:val="333333"/>
          <w:lang w:val="en"/>
        </w:rPr>
      </w:pPr>
      <w:r>
        <w:rPr>
          <w:rFonts w:ascii="Georgia" w:hAnsi="Georgia"/>
          <w:color w:val="333333"/>
          <w:lang w:val="en"/>
        </w:rPr>
        <w:t>Profes</w:t>
      </w:r>
      <w:r>
        <w:rPr>
          <w:rFonts w:ascii="Georgia" w:hAnsi="Georgia"/>
          <w:color w:val="333333"/>
          <w:lang w:val="en"/>
        </w:rPr>
        <w:t xml:space="preserve">sor </w:t>
      </w:r>
      <w:proofErr w:type="spellStart"/>
      <w:r>
        <w:rPr>
          <w:rFonts w:ascii="Georgia" w:hAnsi="Georgia"/>
          <w:color w:val="333333"/>
          <w:lang w:val="en"/>
        </w:rPr>
        <w:t>Garnaut</w:t>
      </w:r>
      <w:proofErr w:type="spellEnd"/>
      <w:r>
        <w:rPr>
          <w:rFonts w:ascii="Georgia" w:hAnsi="Georgia"/>
          <w:color w:val="333333"/>
          <w:lang w:val="en"/>
        </w:rPr>
        <w:t xml:space="preserve"> proposed modified contraction and convergence because some rapidly growing developing countries are already close to the global per person average for greenhouse gas emissions. Under simple contraction and convergence, they would have to either</w:t>
      </w:r>
      <w:r>
        <w:rPr>
          <w:rFonts w:ascii="Georgia" w:hAnsi="Georgia"/>
          <w:color w:val="333333"/>
          <w:lang w:val="en"/>
        </w:rPr>
        <w:t xml:space="preserve"> halt growth in </w:t>
      </w:r>
      <w:proofErr w:type="gramStart"/>
      <w:r>
        <w:rPr>
          <w:rFonts w:ascii="Georgia" w:hAnsi="Georgia"/>
          <w:color w:val="333333"/>
          <w:lang w:val="en"/>
        </w:rPr>
        <w:t>their per</w:t>
      </w:r>
      <w:proofErr w:type="gramEnd"/>
      <w:r>
        <w:rPr>
          <w:rFonts w:ascii="Georgia" w:hAnsi="Georgia"/>
          <w:color w:val="333333"/>
          <w:lang w:val="en"/>
        </w:rPr>
        <w:t xml:space="preserve"> person emissions very soon or purchase large volumes of emissions reductions from other countries. </w:t>
      </w:r>
      <w:proofErr w:type="spellStart"/>
      <w:r>
        <w:rPr>
          <w:rFonts w:ascii="Georgia" w:hAnsi="Georgia"/>
          <w:color w:val="333333"/>
          <w:lang w:val="en"/>
        </w:rPr>
        <w:t>Garnaut</w:t>
      </w:r>
      <w:proofErr w:type="spellEnd"/>
      <w:r>
        <w:rPr>
          <w:rFonts w:ascii="Georgia" w:hAnsi="Georgia"/>
          <w:color w:val="333333"/>
          <w:lang w:val="en"/>
        </w:rPr>
        <w:t xml:space="preserve"> argued that, for these nations, the first is difficult and the second inequitable. The modified approach provides some ‘hea</w:t>
      </w:r>
      <w:r>
        <w:rPr>
          <w:rFonts w:ascii="Georgia" w:hAnsi="Georgia"/>
          <w:color w:val="333333"/>
          <w:lang w:val="en"/>
        </w:rPr>
        <w:t xml:space="preserve">droom’ to allow high-emitting developing countries to make a more gradual adjustment. All countries converge to equal per person rights by 2050. </w:t>
      </w:r>
    </w:p>
    <w:p w:rsidR="00605C12" w:rsidRDefault="00605C12">
      <w:pPr>
        <w:rPr>
          <w:rFonts w:ascii="Georgia" w:hAnsi="Georgia"/>
          <w:color w:val="333333"/>
          <w:lang w:val="en"/>
        </w:rPr>
      </w:pPr>
      <w:r>
        <w:rPr>
          <w:rFonts w:ascii="Georgia" w:hAnsi="Georgia"/>
          <w:color w:val="333333"/>
          <w:lang w:val="en"/>
        </w:rPr>
        <w:br w:type="page"/>
      </w:r>
    </w:p>
    <w:p w:rsidR="00000000" w:rsidRDefault="00605C12">
      <w:pPr>
        <w:pStyle w:val="Heading4"/>
        <w:divId w:val="2119138065"/>
        <w:rPr>
          <w:rFonts w:eastAsia="Times New Roman"/>
          <w:color w:val="333333"/>
          <w:lang w:val="en"/>
        </w:rPr>
      </w:pPr>
      <w:r>
        <w:rPr>
          <w:rFonts w:eastAsia="Times New Roman"/>
          <w:color w:val="333333"/>
          <w:lang w:val="en"/>
        </w:rPr>
        <w:lastRenderedPageBreak/>
        <w:t>C1.1.3 Common but differentiated convergence</w:t>
      </w:r>
    </w:p>
    <w:p w:rsidR="00000000" w:rsidRDefault="00605C12">
      <w:pPr>
        <w:pStyle w:val="NormalWeb"/>
        <w:spacing w:line="300" w:lineRule="atLeast"/>
        <w:divId w:val="2119138065"/>
        <w:rPr>
          <w:rFonts w:ascii="Georgia" w:hAnsi="Georgia"/>
          <w:color w:val="333333"/>
          <w:lang w:val="en"/>
        </w:rPr>
      </w:pPr>
      <w:r>
        <w:rPr>
          <w:rFonts w:ascii="Georgia" w:hAnsi="Georgia"/>
          <w:color w:val="333333"/>
          <w:lang w:val="en"/>
        </w:rPr>
        <w:t>Under this variant of contraction and convergence, developing countries are provided headroom through delayed reductions rather than larger allocations. Countries’ per person emissions rights begin to fall once they reach a specified threshold of the (time</w:t>
      </w:r>
      <w:r>
        <w:rPr>
          <w:rFonts w:ascii="Georgia" w:hAnsi="Georgia"/>
          <w:color w:val="333333"/>
          <w:lang w:val="en"/>
        </w:rPr>
        <w:t xml:space="preserve">-varying) global average, then move linearly to the convergence level. Regardless of when countries and allocations begin to fall, they have the same amount of time to reach the convergence level. </w:t>
      </w:r>
    </w:p>
    <w:p w:rsidR="00000000" w:rsidRDefault="00605C12">
      <w:pPr>
        <w:pStyle w:val="NormalWeb"/>
        <w:spacing w:line="300" w:lineRule="atLeast"/>
        <w:divId w:val="2119138065"/>
        <w:rPr>
          <w:rFonts w:ascii="Georgia" w:hAnsi="Georgia"/>
          <w:color w:val="333333"/>
          <w:lang w:val="en"/>
        </w:rPr>
      </w:pPr>
      <w:r>
        <w:rPr>
          <w:rFonts w:ascii="Georgia" w:hAnsi="Georgia"/>
          <w:color w:val="333333"/>
          <w:lang w:val="en"/>
        </w:rPr>
        <w:t>The threshold level of emissions and the amount of time to</w:t>
      </w:r>
      <w:r>
        <w:rPr>
          <w:rFonts w:ascii="Georgia" w:hAnsi="Georgia"/>
          <w:color w:val="333333"/>
          <w:lang w:val="en"/>
        </w:rPr>
        <w:t xml:space="preserve"> reach the convergence level are policy choices that depend on the global emissions budget. For budgets aimed at limiting temperature increases to below 2 degrees, this approach provides no headroom for some higher emitting developing countries (</w:t>
      </w:r>
      <w:proofErr w:type="spellStart"/>
      <w:r>
        <w:rPr>
          <w:rFonts w:ascii="Georgia" w:hAnsi="Georgia"/>
          <w:color w:val="333333"/>
          <w:lang w:val="en"/>
        </w:rPr>
        <w:t>Höhne</w:t>
      </w:r>
      <w:proofErr w:type="spellEnd"/>
      <w:r>
        <w:rPr>
          <w:rFonts w:ascii="Georgia" w:hAnsi="Georgia"/>
          <w:color w:val="333333"/>
          <w:lang w:val="en"/>
        </w:rPr>
        <w:t xml:space="preserve"> and </w:t>
      </w:r>
      <w:proofErr w:type="spellStart"/>
      <w:r>
        <w:rPr>
          <w:rFonts w:ascii="Georgia" w:hAnsi="Georgia"/>
          <w:color w:val="333333"/>
          <w:lang w:val="en"/>
        </w:rPr>
        <w:t>Moltmann</w:t>
      </w:r>
      <w:proofErr w:type="spellEnd"/>
      <w:r>
        <w:rPr>
          <w:rFonts w:ascii="Georgia" w:hAnsi="Georgia"/>
          <w:color w:val="333333"/>
          <w:lang w:val="en"/>
        </w:rPr>
        <w:t xml:space="preserve"> 2009, p. 25). </w:t>
      </w:r>
    </w:p>
    <w:p w:rsidR="00000000" w:rsidRDefault="00605C12">
      <w:pPr>
        <w:pStyle w:val="Heading4"/>
        <w:divId w:val="2119138065"/>
        <w:rPr>
          <w:rFonts w:eastAsia="Times New Roman"/>
          <w:color w:val="333333"/>
          <w:lang w:val="en"/>
        </w:rPr>
      </w:pPr>
      <w:r>
        <w:rPr>
          <w:rFonts w:eastAsia="Times New Roman"/>
          <w:color w:val="333333"/>
          <w:lang w:val="en"/>
        </w:rPr>
        <w:t>C1.1.4 Immediate convergence</w:t>
      </w:r>
    </w:p>
    <w:p w:rsidR="00000000" w:rsidRDefault="00605C12">
      <w:pPr>
        <w:pStyle w:val="NormalWeb"/>
        <w:spacing w:line="300" w:lineRule="atLeast"/>
        <w:divId w:val="2119138065"/>
        <w:rPr>
          <w:rFonts w:ascii="Georgia" w:hAnsi="Georgia"/>
          <w:color w:val="333333"/>
          <w:lang w:val="en"/>
        </w:rPr>
      </w:pPr>
      <w:r>
        <w:rPr>
          <w:rFonts w:ascii="Georgia" w:hAnsi="Georgia"/>
          <w:color w:val="333333"/>
          <w:lang w:val="en"/>
        </w:rPr>
        <w:t xml:space="preserve">Contraction and convergence </w:t>
      </w:r>
      <w:proofErr w:type="spellStart"/>
      <w:r>
        <w:rPr>
          <w:rFonts w:ascii="Georgia" w:hAnsi="Georgia"/>
          <w:color w:val="333333"/>
          <w:lang w:val="en"/>
        </w:rPr>
        <w:t>equalises</w:t>
      </w:r>
      <w:proofErr w:type="spellEnd"/>
      <w:r>
        <w:rPr>
          <w:rFonts w:ascii="Georgia" w:hAnsi="Georgia"/>
          <w:color w:val="333333"/>
          <w:lang w:val="en"/>
        </w:rPr>
        <w:t xml:space="preserve"> per person emissions rights at a point in the future. Immediate convergence—also referred to as an equal cumulative per person emissions approach—</w:t>
      </w:r>
      <w:proofErr w:type="spellStart"/>
      <w:r>
        <w:rPr>
          <w:rFonts w:ascii="Georgia" w:hAnsi="Georgia"/>
          <w:color w:val="333333"/>
          <w:lang w:val="en"/>
        </w:rPr>
        <w:t>equalises</w:t>
      </w:r>
      <w:proofErr w:type="spellEnd"/>
      <w:r>
        <w:rPr>
          <w:rFonts w:ascii="Georgia" w:hAnsi="Georgia"/>
          <w:color w:val="333333"/>
          <w:lang w:val="en"/>
        </w:rPr>
        <w:t xml:space="preserve"> per perso</w:t>
      </w:r>
      <w:r>
        <w:rPr>
          <w:rFonts w:ascii="Georgia" w:hAnsi="Georgia"/>
          <w:color w:val="333333"/>
          <w:lang w:val="en"/>
        </w:rPr>
        <w:t xml:space="preserve">n rights straight away. The Authority has calculated indicative budgets using this approach, adjusting for changes in countries’ share of the global population over time so that each person alive in a given year has an equal share of that year’s available </w:t>
      </w:r>
      <w:r>
        <w:rPr>
          <w:rFonts w:ascii="Georgia" w:hAnsi="Georgia"/>
          <w:color w:val="333333"/>
          <w:lang w:val="en"/>
        </w:rPr>
        <w:t xml:space="preserve">emissions. </w:t>
      </w:r>
    </w:p>
    <w:p w:rsidR="00000000" w:rsidRDefault="00605C12">
      <w:pPr>
        <w:pStyle w:val="NormalWeb"/>
        <w:spacing w:line="300" w:lineRule="atLeast"/>
        <w:divId w:val="2119138065"/>
        <w:rPr>
          <w:rFonts w:ascii="Georgia" w:hAnsi="Georgia"/>
          <w:color w:val="333333"/>
          <w:lang w:val="en"/>
        </w:rPr>
      </w:pPr>
      <w:r>
        <w:rPr>
          <w:rFonts w:ascii="Georgia" w:hAnsi="Georgia"/>
          <w:color w:val="333333"/>
          <w:lang w:val="en"/>
        </w:rPr>
        <w:t>Some proposals for immediate convergence do not adjust for population changes over time (see, for example, German Advisory Council on Global Change 2009). Instead, they allocate each nation a share of the global emissions budget based on its sh</w:t>
      </w:r>
      <w:r>
        <w:rPr>
          <w:rFonts w:ascii="Georgia" w:hAnsi="Georgia"/>
          <w:color w:val="333333"/>
          <w:lang w:val="en"/>
        </w:rPr>
        <w:t>are of global population in a single ‘reference year’. These variants do not really give effect to the principle of equal emissions rights per person, so the Authority has not considered them in detail. Other proposals include historical emissions in the c</w:t>
      </w:r>
      <w:r>
        <w:rPr>
          <w:rFonts w:ascii="Georgia" w:hAnsi="Georgia"/>
          <w:color w:val="333333"/>
          <w:lang w:val="en"/>
        </w:rPr>
        <w:t xml:space="preserve">alculations; for example, </w:t>
      </w:r>
      <w:proofErr w:type="spellStart"/>
      <w:r>
        <w:rPr>
          <w:rFonts w:ascii="Georgia" w:hAnsi="Georgia"/>
          <w:color w:val="333333"/>
          <w:lang w:val="en"/>
        </w:rPr>
        <w:t>Jayaraman</w:t>
      </w:r>
      <w:proofErr w:type="spellEnd"/>
      <w:r>
        <w:rPr>
          <w:rFonts w:ascii="Georgia" w:hAnsi="Georgia"/>
          <w:color w:val="333333"/>
          <w:lang w:val="en"/>
        </w:rPr>
        <w:t xml:space="preserve">, </w:t>
      </w:r>
      <w:proofErr w:type="spellStart"/>
      <w:r>
        <w:rPr>
          <w:rFonts w:ascii="Georgia" w:hAnsi="Georgia"/>
          <w:color w:val="333333"/>
          <w:lang w:val="en"/>
        </w:rPr>
        <w:t>Kanitkar</w:t>
      </w:r>
      <w:proofErr w:type="spellEnd"/>
      <w:r>
        <w:rPr>
          <w:rFonts w:ascii="Georgia" w:hAnsi="Georgia"/>
          <w:color w:val="333333"/>
          <w:lang w:val="en"/>
        </w:rPr>
        <w:t xml:space="preserve"> and D’Souza (2011) incorporate emissions from 1970. Under this approach, Australia’s 2000–2050 emissions budget is negative—Australia’s past emissions have already more than exhausted its entitlements, and the </w:t>
      </w:r>
      <w:r>
        <w:rPr>
          <w:rFonts w:ascii="Georgia" w:hAnsi="Georgia"/>
          <w:color w:val="333333"/>
          <w:lang w:val="en"/>
        </w:rPr>
        <w:t>right to all ongoing emissions would have to be purchased from countries with positive entitlements. The Authority’s view is that distant past emissions should not be included as these occurred when their harmful effects could not be foreseen.</w:t>
      </w:r>
    </w:p>
    <w:p w:rsidR="00605C12" w:rsidRDefault="00605C12">
      <w:pPr>
        <w:pStyle w:val="NormalWeb"/>
        <w:spacing w:line="300" w:lineRule="atLeast"/>
        <w:divId w:val="2119138065"/>
        <w:rPr>
          <w:rFonts w:ascii="Georgia" w:hAnsi="Georgia"/>
          <w:color w:val="333333"/>
          <w:lang w:val="en"/>
        </w:rPr>
      </w:pPr>
      <w:r>
        <w:rPr>
          <w:rFonts w:ascii="Georgia" w:hAnsi="Georgia"/>
          <w:color w:val="333333"/>
          <w:lang w:val="en"/>
        </w:rPr>
        <w:t>Figure C.2 p</w:t>
      </w:r>
      <w:r>
        <w:rPr>
          <w:rFonts w:ascii="Georgia" w:hAnsi="Georgia"/>
          <w:color w:val="333333"/>
          <w:lang w:val="en"/>
        </w:rPr>
        <w:t xml:space="preserve">rovides a </w:t>
      </w:r>
      <w:proofErr w:type="spellStart"/>
      <w:r>
        <w:rPr>
          <w:rFonts w:ascii="Georgia" w:hAnsi="Georgia"/>
          <w:color w:val="333333"/>
          <w:lang w:val="en"/>
        </w:rPr>
        <w:t>stylised</w:t>
      </w:r>
      <w:proofErr w:type="spellEnd"/>
      <w:r>
        <w:rPr>
          <w:rFonts w:ascii="Georgia" w:hAnsi="Georgia"/>
          <w:color w:val="333333"/>
          <w:lang w:val="en"/>
        </w:rPr>
        <w:t xml:space="preserve"> comparison of these four resource-sharing approaches. It shows how contraction and convergence, and common but differentiated convergence are based on per person emissions levels only, while modified contraction and convergence takes lev</w:t>
      </w:r>
      <w:r>
        <w:rPr>
          <w:rFonts w:ascii="Georgia" w:hAnsi="Georgia"/>
          <w:color w:val="333333"/>
          <w:lang w:val="en"/>
        </w:rPr>
        <w:t>els of development directly into account. Immediate convergence requires instant equality for all countries regardless of their characteristics.</w:t>
      </w:r>
    </w:p>
    <w:p w:rsidR="00605C12" w:rsidRDefault="00605C12">
      <w:pPr>
        <w:rPr>
          <w:rFonts w:ascii="Georgia" w:hAnsi="Georgia"/>
          <w:color w:val="333333"/>
          <w:lang w:val="en"/>
        </w:rPr>
      </w:pPr>
      <w:r>
        <w:rPr>
          <w:rFonts w:ascii="Georgia" w:hAnsi="Georgia"/>
          <w:color w:val="333333"/>
          <w:lang w:val="en"/>
        </w:rPr>
        <w:br w:type="page"/>
      </w:r>
    </w:p>
    <w:p w:rsidR="00000000" w:rsidRDefault="00605C12">
      <w:pPr>
        <w:pStyle w:val="Heading2"/>
        <w:divId w:val="2119138065"/>
        <w:rPr>
          <w:rFonts w:eastAsia="Times New Roman"/>
          <w:color w:val="333333"/>
          <w:lang w:val="en"/>
        </w:rPr>
      </w:pPr>
      <w:bookmarkStart w:id="0" w:name="_GoBack"/>
      <w:bookmarkEnd w:id="0"/>
      <w:r>
        <w:rPr>
          <w:rFonts w:eastAsia="Times New Roman"/>
          <w:color w:val="333333"/>
          <w:lang w:val="en"/>
        </w:rPr>
        <w:lastRenderedPageBreak/>
        <w:t xml:space="preserve">Figure C.2: Comparison of approaches with equal per person emissions rights </w:t>
      </w:r>
    </w:p>
    <w:p w:rsidR="00000000" w:rsidRDefault="00605C12">
      <w:pPr>
        <w:pStyle w:val="NormalWeb"/>
        <w:spacing w:line="300" w:lineRule="atLeast"/>
        <w:divId w:val="2119138065"/>
        <w:rPr>
          <w:rFonts w:ascii="Georgia" w:hAnsi="Georgia"/>
          <w:color w:val="333333"/>
          <w:lang w:val="en"/>
        </w:rPr>
      </w:pPr>
      <w:r>
        <w:rPr>
          <w:rFonts w:ascii="Georgia" w:hAnsi="Georgia"/>
          <w:noProof/>
          <w:color w:val="333333"/>
        </w:rPr>
        <w:drawing>
          <wp:inline distT="0" distB="0" distL="0" distR="0">
            <wp:extent cx="5665076" cy="5474848"/>
            <wp:effectExtent l="0" t="0" r="0" b="0"/>
            <wp:docPr id="2" name="Picture 2" descr="This is an illustrative figure with four panels showing different approaches to converging on equal per person emission rights:&#10;• In the contraction and convergence illustration countries with high and average emissions per person reduce emissions and countries with low emissions per person increase emissions, reaching a ‘convergence level’ of equal per person emissions in 2050. After 2050 all countries continue to reduce emissions.&#10;• In the modified contraction and convergence illustration middle income countries are allowed to increase emissions per person for a transitional period; and developed countries reduce emissions more quickly to provide this headroom. Less developed countries increase their emissions. All countries reach a convergence level in 2050, after which all countries continue to reduce emissions.&#10;• In the common but differentiated convergence illustration countries begin to reduce&#10;per person emissions when they reach a specified threshold of the (time varying) global average, then move linearly to the convergence level. Countries with high emissions per person reduce their emissions rapidly to create headroom for countries with average and low emissions per person. All countries reach a convergence level after 2050.&#10;• In the immediate convergence illustration all countries have the same emissions rights per person immediately, which reduce over tim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 an illustrative figure with four panels showing different approaches to converging on equal per person emission rights:&#10;• In the contraction and convergence illustration countries with high and average emissions per person reduce emissions and countries with low emissions per person increase emissions, reaching a ‘convergence level’ of equal per person emissions in 2050. After 2050 all countries continue to reduce emissions.&#10;• In the modified contraction and convergence illustration middle income countries are allowed to increase emissions per person for a transitional period; and developed countries reduce emissions more quickly to provide this headroom. Less developed countries increase their emissions. All countries reach a convergence level in 2050, after which all countries continue to reduce emissions.&#10;• In the common but differentiated convergence illustration countries begin to reduce&#10;per person emissions when they reach a specified threshold of the (time varying) global average, then move linearly to the convergence level. Countries with high emissions per person reduce their emissions rapidly to create headroom for countries with average and low emissions per person. All countries reach a convergence level after 2050.&#10;• In the immediate convergence illustration all countries have the same emissions rights per person immediately, which reduce over time.&#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7313" cy="5486674"/>
                    </a:xfrm>
                    <a:prstGeom prst="rect">
                      <a:avLst/>
                    </a:prstGeom>
                    <a:noFill/>
                    <a:ln>
                      <a:noFill/>
                    </a:ln>
                  </pic:spPr>
                </pic:pic>
              </a:graphicData>
            </a:graphic>
          </wp:inline>
        </w:drawing>
      </w:r>
      <w:r>
        <w:rPr>
          <w:rFonts w:ascii="Georgia" w:hAnsi="Georgia"/>
          <w:color w:val="333333"/>
          <w:lang w:val="en"/>
        </w:rPr>
        <w:t> </w:t>
      </w:r>
    </w:p>
    <w:p w:rsidR="00000000" w:rsidRDefault="00605C12">
      <w:pPr>
        <w:pStyle w:val="NormalWeb"/>
        <w:spacing w:line="300" w:lineRule="atLeast"/>
        <w:divId w:val="2119138065"/>
        <w:rPr>
          <w:rFonts w:ascii="Georgia" w:hAnsi="Georgia"/>
          <w:color w:val="333333"/>
          <w:lang w:val="en"/>
        </w:rPr>
      </w:pPr>
      <w:r>
        <w:rPr>
          <w:rStyle w:val="Strong"/>
          <w:rFonts w:ascii="Georgia" w:hAnsi="Georgia"/>
          <w:color w:val="333333"/>
          <w:lang w:val="en"/>
        </w:rPr>
        <w:t>Source:</w:t>
      </w:r>
      <w:r>
        <w:rPr>
          <w:rFonts w:ascii="Georgia" w:hAnsi="Georgia"/>
          <w:color w:val="333333"/>
          <w:lang w:val="en"/>
        </w:rPr>
        <w:t xml:space="preserve"> Climate Change Authority based in part on </w:t>
      </w:r>
      <w:proofErr w:type="spellStart"/>
      <w:r>
        <w:rPr>
          <w:rFonts w:ascii="Georgia" w:hAnsi="Georgia"/>
          <w:color w:val="333333"/>
          <w:lang w:val="en"/>
        </w:rPr>
        <w:t>Höhne</w:t>
      </w:r>
      <w:proofErr w:type="spellEnd"/>
      <w:r>
        <w:rPr>
          <w:rFonts w:ascii="Georgia" w:hAnsi="Georgia"/>
          <w:color w:val="333333"/>
          <w:lang w:val="en"/>
        </w:rPr>
        <w:t xml:space="preserve"> and </w:t>
      </w:r>
      <w:proofErr w:type="spellStart"/>
      <w:r>
        <w:rPr>
          <w:rFonts w:ascii="Georgia" w:hAnsi="Georgia"/>
          <w:color w:val="333333"/>
          <w:lang w:val="en"/>
        </w:rPr>
        <w:t>Moltmann</w:t>
      </w:r>
      <w:proofErr w:type="spellEnd"/>
      <w:r>
        <w:rPr>
          <w:rFonts w:ascii="Georgia" w:hAnsi="Georgia"/>
          <w:color w:val="333333"/>
          <w:lang w:val="en"/>
        </w:rPr>
        <w:t xml:space="preserve"> 2009</w:t>
      </w:r>
    </w:p>
    <w:p w:rsidR="00000000" w:rsidRDefault="00605C12">
      <w:pPr>
        <w:pStyle w:val="NormalWeb"/>
        <w:spacing w:line="300" w:lineRule="atLeast"/>
        <w:divId w:val="2119138065"/>
        <w:rPr>
          <w:rFonts w:ascii="Georgia" w:hAnsi="Georgia"/>
          <w:color w:val="333333"/>
          <w:lang w:val="en"/>
        </w:rPr>
      </w:pPr>
      <w:r>
        <w:rPr>
          <w:rFonts w:ascii="Georgia" w:hAnsi="Georgia"/>
          <w:color w:val="333333"/>
          <w:lang w:val="en"/>
        </w:rPr>
        <w:t>Figure C.3 illustrates the implications of the four resou</w:t>
      </w:r>
      <w:r>
        <w:rPr>
          <w:rFonts w:ascii="Georgia" w:hAnsi="Georgia"/>
          <w:color w:val="333333"/>
          <w:lang w:val="en"/>
        </w:rPr>
        <w:t>rce-sharing approaches for Australia’s long-term national emissions budget. These calculations are based on the share of the global 2 degree budget adopted as a reference in Chapter 3. It also shows two simple budgets to help put the others into perspectiv</w:t>
      </w:r>
      <w:r>
        <w:rPr>
          <w:rFonts w:ascii="Georgia" w:hAnsi="Georgia"/>
          <w:color w:val="333333"/>
          <w:lang w:val="en"/>
        </w:rPr>
        <w:t>e:</w:t>
      </w:r>
    </w:p>
    <w:p w:rsidR="00000000" w:rsidRDefault="00605C12">
      <w:pPr>
        <w:numPr>
          <w:ilvl w:val="0"/>
          <w:numId w:val="3"/>
        </w:numPr>
        <w:spacing w:before="100" w:beforeAutospacing="1" w:after="100" w:afterAutospacing="1" w:line="300" w:lineRule="atLeast"/>
        <w:ind w:left="375"/>
        <w:divId w:val="2119138065"/>
        <w:rPr>
          <w:rFonts w:ascii="Georgia" w:eastAsia="Times New Roman" w:hAnsi="Georgia"/>
          <w:color w:val="333333"/>
          <w:lang w:val="en"/>
        </w:rPr>
      </w:pPr>
      <w:r>
        <w:rPr>
          <w:rFonts w:ascii="Georgia" w:eastAsia="Times New Roman" w:hAnsi="Georgia"/>
          <w:color w:val="333333"/>
          <w:lang w:val="en"/>
        </w:rPr>
        <w:t>a ‘status quo share’ based on Australia’s current share of global emissions</w:t>
      </w:r>
    </w:p>
    <w:p w:rsidR="00000000" w:rsidRDefault="00605C12">
      <w:pPr>
        <w:numPr>
          <w:ilvl w:val="0"/>
          <w:numId w:val="3"/>
        </w:numPr>
        <w:spacing w:before="100" w:beforeAutospacing="1" w:after="100" w:afterAutospacing="1" w:line="300" w:lineRule="atLeast"/>
        <w:ind w:left="375"/>
        <w:divId w:val="2119138065"/>
        <w:rPr>
          <w:rFonts w:ascii="Georgia" w:eastAsia="Times New Roman" w:hAnsi="Georgia"/>
          <w:color w:val="333333"/>
          <w:lang w:val="en"/>
        </w:rPr>
      </w:pPr>
      <w:proofErr w:type="gramStart"/>
      <w:r>
        <w:rPr>
          <w:rFonts w:ascii="Georgia" w:eastAsia="Times New Roman" w:hAnsi="Georgia"/>
          <w:color w:val="333333"/>
          <w:lang w:val="en"/>
        </w:rPr>
        <w:t>a</w:t>
      </w:r>
      <w:proofErr w:type="gramEnd"/>
      <w:r>
        <w:rPr>
          <w:rFonts w:ascii="Georgia" w:eastAsia="Times New Roman" w:hAnsi="Georgia"/>
          <w:color w:val="333333"/>
          <w:lang w:val="en"/>
        </w:rPr>
        <w:t xml:space="preserve"> ‘population share’ based on Australia’s current share of the global population.</w:t>
      </w:r>
    </w:p>
    <w:p w:rsidR="00000000" w:rsidRDefault="00605C12">
      <w:pPr>
        <w:pStyle w:val="NormalWeb"/>
        <w:spacing w:line="300" w:lineRule="atLeast"/>
        <w:divId w:val="2119138065"/>
        <w:rPr>
          <w:rFonts w:ascii="Georgia" w:hAnsi="Georgia"/>
          <w:color w:val="333333"/>
          <w:lang w:val="en"/>
        </w:rPr>
      </w:pPr>
      <w:r>
        <w:rPr>
          <w:rFonts w:ascii="Georgia" w:hAnsi="Georgia"/>
          <w:color w:val="333333"/>
          <w:lang w:val="en"/>
        </w:rPr>
        <w:t>All four approaches give a budget comparable to or smaller than the one based on Australia’s cu</w:t>
      </w:r>
      <w:r>
        <w:rPr>
          <w:rFonts w:ascii="Georgia" w:hAnsi="Georgia"/>
          <w:color w:val="333333"/>
          <w:lang w:val="en"/>
        </w:rPr>
        <w:t xml:space="preserve">rrent share of global emissions. Modified contraction and convergence provides a budget about 20 per cent smaller than simple contraction and </w:t>
      </w:r>
      <w:r>
        <w:rPr>
          <w:rFonts w:ascii="Georgia" w:hAnsi="Georgia"/>
          <w:color w:val="333333"/>
          <w:lang w:val="en"/>
        </w:rPr>
        <w:lastRenderedPageBreak/>
        <w:t>convergence, in part because it allows developing countries a greater share of the global budget. Immediate conver</w:t>
      </w:r>
      <w:r>
        <w:rPr>
          <w:rFonts w:ascii="Georgia" w:hAnsi="Georgia"/>
          <w:color w:val="333333"/>
          <w:lang w:val="en"/>
        </w:rPr>
        <w:t>gence provides a very small national emissions budget.</w:t>
      </w:r>
    </w:p>
    <w:p w:rsidR="00000000" w:rsidRDefault="00605C12">
      <w:pPr>
        <w:pStyle w:val="Heading2"/>
        <w:divId w:val="2119138065"/>
        <w:rPr>
          <w:rFonts w:eastAsia="Times New Roman"/>
          <w:color w:val="333333"/>
          <w:lang w:val="en"/>
        </w:rPr>
      </w:pPr>
      <w:r>
        <w:rPr>
          <w:rFonts w:eastAsia="Times New Roman"/>
          <w:color w:val="333333"/>
          <w:lang w:val="en"/>
        </w:rPr>
        <w:t>Figure C.3: Australia’s long-term national emissions budget under various approaches (</w:t>
      </w:r>
      <w:proofErr w:type="spellStart"/>
      <w:r>
        <w:rPr>
          <w:rFonts w:eastAsia="Times New Roman"/>
          <w:color w:val="333333"/>
          <w:lang w:val="en"/>
        </w:rPr>
        <w:t>Gt</w:t>
      </w:r>
      <w:proofErr w:type="spellEnd"/>
      <w:r>
        <w:rPr>
          <w:rFonts w:eastAsia="Times New Roman"/>
          <w:color w:val="333333"/>
          <w:lang w:val="en"/>
        </w:rPr>
        <w:t> CO</w:t>
      </w:r>
      <w:r>
        <w:rPr>
          <w:rFonts w:eastAsia="Times New Roman"/>
          <w:color w:val="333333"/>
          <w:sz w:val="23"/>
          <w:szCs w:val="23"/>
          <w:vertAlign w:val="subscript"/>
          <w:lang w:val="en"/>
        </w:rPr>
        <w:t>2</w:t>
      </w:r>
      <w:r>
        <w:rPr>
          <w:rFonts w:eastAsia="Times New Roman"/>
          <w:color w:val="333333"/>
          <w:lang w:val="en"/>
        </w:rPr>
        <w:t xml:space="preserve">-e) and share of the global emissions budget (per cent) </w:t>
      </w:r>
    </w:p>
    <w:p w:rsidR="00000000" w:rsidRDefault="00605C12">
      <w:pPr>
        <w:pStyle w:val="NormalWeb"/>
        <w:spacing w:line="300" w:lineRule="atLeast"/>
        <w:divId w:val="2119138065"/>
        <w:rPr>
          <w:rFonts w:ascii="Georgia" w:hAnsi="Georgia"/>
          <w:color w:val="333333"/>
          <w:lang w:val="en"/>
        </w:rPr>
      </w:pPr>
      <w:r>
        <w:rPr>
          <w:rFonts w:ascii="Georgia" w:hAnsi="Georgia"/>
          <w:noProof/>
          <w:color w:val="333333"/>
        </w:rPr>
        <w:drawing>
          <wp:inline distT="0" distB="0" distL="0" distR="0">
            <wp:extent cx="5707117" cy="3244317"/>
            <wp:effectExtent l="0" t="0" r="0" b="0"/>
            <wp:docPr id="3" name="Picture 3" descr="This is a column graph showing Australia’s long term national emissions budget under various approaches and share of the global emissions budget (per cent):&#10;• Contraction and convergence: 1.2 per cent&#10;• Modified contraction and convergence: 1.0 per cent&#10;• Common but differentiated convergence: 0.9 per cent&#10;• Immediate convergence: 0.4 per cent&#10;• Comparison: national budget based on status quo share: 1.2 per cent&#10;• Comparison: national budget based on current share of global population: 0.3 per c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is is a column graph showing Australia’s long term national emissions budget under various approaches and share of the global emissions budget (per cent):&#10;• Contraction and convergence: 1.2 per cent&#10;• Modified contraction and convergence: 1.0 per cent&#10;• Common but differentiated convergence: 0.9 per cent&#10;• Immediate convergence: 0.4 per cent&#10;• Comparison: national budget based on status quo share: 1.2 per cent&#10;• Comparison: national budget based on current share of global population: 0.3 per cent&#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2296" cy="3247261"/>
                    </a:xfrm>
                    <a:prstGeom prst="rect">
                      <a:avLst/>
                    </a:prstGeom>
                    <a:noFill/>
                    <a:ln>
                      <a:noFill/>
                    </a:ln>
                  </pic:spPr>
                </pic:pic>
              </a:graphicData>
            </a:graphic>
          </wp:inline>
        </w:drawing>
      </w:r>
      <w:r>
        <w:rPr>
          <w:rFonts w:ascii="Georgia" w:hAnsi="Georgia"/>
          <w:color w:val="333333"/>
          <w:lang w:val="en"/>
        </w:rPr>
        <w:t> </w:t>
      </w:r>
      <w:r>
        <w:rPr>
          <w:rStyle w:val="Strong"/>
          <w:rFonts w:ascii="Georgia" w:hAnsi="Georgia"/>
          <w:color w:val="333333"/>
          <w:lang w:val="en"/>
        </w:rPr>
        <w:t xml:space="preserve">Notes: </w:t>
      </w:r>
      <w:r>
        <w:rPr>
          <w:rFonts w:ascii="Georgia" w:hAnsi="Georgia"/>
          <w:color w:val="333333"/>
          <w:lang w:val="en"/>
        </w:rPr>
        <w:t>National emissions budget for 2013–2050. All approaches share a global emissions budget co</w:t>
      </w:r>
      <w:r>
        <w:rPr>
          <w:rFonts w:ascii="Georgia" w:hAnsi="Georgia"/>
          <w:color w:val="333333"/>
          <w:lang w:val="en"/>
        </w:rPr>
        <w:t>nsistent with a 67 per cent probability of limiting temperature increases to below 2 degrees. Australia’s status quo share based on its share of global emissions including LULUCF emissions.</w:t>
      </w:r>
      <w:r>
        <w:rPr>
          <w:rFonts w:ascii="Georgia" w:hAnsi="Georgia"/>
          <w:b/>
          <w:bCs/>
          <w:color w:val="333333"/>
          <w:lang w:val="en"/>
        </w:rPr>
        <w:br/>
      </w:r>
      <w:r>
        <w:rPr>
          <w:rStyle w:val="Strong"/>
          <w:rFonts w:ascii="Georgia" w:hAnsi="Georgia"/>
          <w:color w:val="333333"/>
          <w:lang w:val="en"/>
        </w:rPr>
        <w:t xml:space="preserve">Source: </w:t>
      </w:r>
      <w:r>
        <w:rPr>
          <w:rFonts w:ascii="Georgia" w:hAnsi="Georgia"/>
          <w:color w:val="333333"/>
          <w:lang w:val="en"/>
        </w:rPr>
        <w:t xml:space="preserve">Global budget: Authority calculation based on </w:t>
      </w:r>
      <w:proofErr w:type="spellStart"/>
      <w:r>
        <w:rPr>
          <w:rFonts w:ascii="Georgia" w:hAnsi="Georgia"/>
          <w:color w:val="333333"/>
          <w:lang w:val="en"/>
        </w:rPr>
        <w:t>Meinshausen</w:t>
      </w:r>
      <w:proofErr w:type="spellEnd"/>
      <w:r>
        <w:rPr>
          <w:rFonts w:ascii="Georgia" w:hAnsi="Georgia"/>
          <w:color w:val="333333"/>
          <w:lang w:val="en"/>
        </w:rPr>
        <w:t xml:space="preserve"> </w:t>
      </w:r>
      <w:r>
        <w:rPr>
          <w:rFonts w:ascii="Georgia" w:hAnsi="Georgia"/>
          <w:color w:val="333333"/>
          <w:lang w:val="en"/>
        </w:rPr>
        <w:t xml:space="preserve">et al. (2009) adjusted using IEA (2013a) and (2013b) and Treasury and DIICCSRTE modelling (2013). Approaches: Authority calculations based on spreadsheet tool used for the </w:t>
      </w:r>
      <w:proofErr w:type="spellStart"/>
      <w:r>
        <w:rPr>
          <w:rFonts w:ascii="Georgia" w:hAnsi="Georgia"/>
          <w:color w:val="333333"/>
          <w:lang w:val="en"/>
        </w:rPr>
        <w:t>Garnaut</w:t>
      </w:r>
      <w:proofErr w:type="spellEnd"/>
      <w:r>
        <w:rPr>
          <w:rFonts w:ascii="Georgia" w:hAnsi="Georgia"/>
          <w:color w:val="333333"/>
          <w:lang w:val="en"/>
        </w:rPr>
        <w:t xml:space="preserve"> Review (2008) with updates for emissions, population and GDP from Treasury a</w:t>
      </w:r>
      <w:r>
        <w:rPr>
          <w:rFonts w:ascii="Georgia" w:hAnsi="Georgia"/>
          <w:color w:val="333333"/>
          <w:lang w:val="en"/>
        </w:rPr>
        <w:t xml:space="preserve">nd DIICCSRTE modelling (2013) (contraction and convergence, modified contraction and convergence); </w:t>
      </w:r>
      <w:proofErr w:type="spellStart"/>
      <w:r>
        <w:rPr>
          <w:rFonts w:ascii="Georgia" w:hAnsi="Georgia"/>
          <w:color w:val="333333"/>
          <w:lang w:val="en"/>
        </w:rPr>
        <w:t>Höhne</w:t>
      </w:r>
      <w:proofErr w:type="spellEnd"/>
      <w:r>
        <w:rPr>
          <w:rFonts w:ascii="Georgia" w:hAnsi="Georgia"/>
          <w:color w:val="333333"/>
          <w:lang w:val="en"/>
        </w:rPr>
        <w:t xml:space="preserve"> and </w:t>
      </w:r>
      <w:proofErr w:type="spellStart"/>
      <w:r>
        <w:rPr>
          <w:rFonts w:ascii="Georgia" w:hAnsi="Georgia"/>
          <w:color w:val="333333"/>
          <w:lang w:val="en"/>
        </w:rPr>
        <w:t>Moltmann</w:t>
      </w:r>
      <w:proofErr w:type="spellEnd"/>
      <w:r>
        <w:rPr>
          <w:rFonts w:ascii="Georgia" w:hAnsi="Georgia"/>
          <w:color w:val="333333"/>
          <w:lang w:val="en"/>
        </w:rPr>
        <w:t xml:space="preserve"> (2009) and inputs to spreadsheet tool (common but differentiated convergence); Authority calculations based on Treasury and DIICCSRTE mode</w:t>
      </w:r>
      <w:r>
        <w:rPr>
          <w:rFonts w:ascii="Georgia" w:hAnsi="Georgia"/>
          <w:color w:val="333333"/>
          <w:lang w:val="en"/>
        </w:rPr>
        <w:t xml:space="preserve">lling (2013) and IEA (2013b) (other approaches). </w:t>
      </w:r>
    </w:p>
    <w:p w:rsidR="00000000" w:rsidRDefault="00605C12">
      <w:pPr>
        <w:pStyle w:val="NormalWeb"/>
        <w:spacing w:line="300" w:lineRule="atLeast"/>
        <w:divId w:val="2119138065"/>
        <w:rPr>
          <w:rFonts w:ascii="Georgia" w:hAnsi="Georgia"/>
          <w:color w:val="333333"/>
          <w:lang w:val="en"/>
        </w:rPr>
      </w:pPr>
      <w:r>
        <w:rPr>
          <w:rFonts w:ascii="Georgia" w:hAnsi="Georgia"/>
          <w:color w:val="333333"/>
          <w:lang w:val="en"/>
        </w:rPr>
        <w:t>The Authority’s recommended budget to 2050 is different to that proposed by some stakeholders. The Climate Institute (</w:t>
      </w:r>
      <w:r>
        <w:rPr>
          <w:rStyle w:val="Emphasis"/>
          <w:rFonts w:ascii="Georgia" w:hAnsi="Georgia"/>
          <w:color w:val="333333"/>
          <w:lang w:val="en"/>
        </w:rPr>
        <w:t>Draft Report submission</w:t>
      </w:r>
      <w:r>
        <w:rPr>
          <w:rFonts w:ascii="Georgia" w:hAnsi="Georgia"/>
          <w:color w:val="333333"/>
          <w:lang w:val="en"/>
        </w:rPr>
        <w:t>, p. 2) and WWF-Australia (</w:t>
      </w:r>
      <w:r>
        <w:rPr>
          <w:rStyle w:val="Emphasis"/>
          <w:rFonts w:ascii="Georgia" w:hAnsi="Georgia"/>
          <w:color w:val="333333"/>
          <w:lang w:val="en"/>
        </w:rPr>
        <w:t>Draft Report submission</w:t>
      </w:r>
      <w:r>
        <w:rPr>
          <w:rFonts w:ascii="Georgia" w:hAnsi="Georgia"/>
          <w:color w:val="333333"/>
          <w:lang w:val="en"/>
        </w:rPr>
        <w:t>, p. 6) suggest</w:t>
      </w:r>
      <w:r>
        <w:rPr>
          <w:rFonts w:ascii="Georgia" w:hAnsi="Georgia"/>
          <w:color w:val="333333"/>
          <w:lang w:val="en"/>
        </w:rPr>
        <w:t>ed a 2013–2050 national budget of about 8,400 Mt CO</w:t>
      </w:r>
      <w:r>
        <w:rPr>
          <w:rFonts w:ascii="Georgia" w:hAnsi="Georgia"/>
          <w:color w:val="333333"/>
          <w:sz w:val="18"/>
          <w:szCs w:val="18"/>
          <w:vertAlign w:val="subscript"/>
          <w:lang w:val="en"/>
        </w:rPr>
        <w:t>2</w:t>
      </w:r>
      <w:r>
        <w:rPr>
          <w:rFonts w:ascii="Georgia" w:hAnsi="Georgia"/>
          <w:color w:val="333333"/>
          <w:lang w:val="en"/>
        </w:rPr>
        <w:t>-e based on a global budget with a 75 per </w:t>
      </w:r>
      <w:r>
        <w:rPr>
          <w:rFonts w:ascii="Georgia" w:hAnsi="Georgia"/>
          <w:color w:val="333333"/>
          <w:lang w:val="en"/>
        </w:rPr>
        <w:t xml:space="preserve">cent probability of keeping warming below 2 degrees. Earlier analysis by </w:t>
      </w:r>
      <w:proofErr w:type="spellStart"/>
      <w:r>
        <w:rPr>
          <w:rFonts w:ascii="Georgia" w:hAnsi="Georgia"/>
          <w:color w:val="333333"/>
          <w:lang w:val="en"/>
        </w:rPr>
        <w:t>Ecofys</w:t>
      </w:r>
      <w:proofErr w:type="spellEnd"/>
      <w:r>
        <w:rPr>
          <w:rFonts w:ascii="Georgia" w:hAnsi="Georgia"/>
          <w:color w:val="333333"/>
          <w:lang w:val="en"/>
        </w:rPr>
        <w:t xml:space="preserve"> for WWF-Australia (2013) found budgets for the period 1990–2100 for Australia of between 14,000 and </w:t>
      </w:r>
      <w:r>
        <w:rPr>
          <w:rFonts w:ascii="Georgia" w:hAnsi="Georgia"/>
          <w:color w:val="333333"/>
          <w:lang w:val="en"/>
        </w:rPr>
        <w:lastRenderedPageBreak/>
        <w:t>18,000 Mt CO</w:t>
      </w:r>
      <w:r>
        <w:rPr>
          <w:rFonts w:ascii="Georgia" w:hAnsi="Georgia"/>
          <w:color w:val="333333"/>
          <w:sz w:val="18"/>
          <w:szCs w:val="18"/>
          <w:vertAlign w:val="subscript"/>
          <w:lang w:val="en"/>
        </w:rPr>
        <w:t>2</w:t>
      </w:r>
      <w:r>
        <w:rPr>
          <w:rFonts w:ascii="Georgia" w:hAnsi="Georgia"/>
          <w:color w:val="333333"/>
          <w:lang w:val="en"/>
        </w:rPr>
        <w:t>-e using different approaches. That analysis was based on a tig</w:t>
      </w:r>
      <w:r>
        <w:rPr>
          <w:rFonts w:ascii="Georgia" w:hAnsi="Georgia"/>
          <w:color w:val="333333"/>
          <w:lang w:val="en"/>
        </w:rPr>
        <w:t xml:space="preserve">hter global emissions budget than the Authority used, and a different time period (1990–2100 versus the Authority’s 2013–2050). </w:t>
      </w:r>
    </w:p>
    <w:p w:rsidR="00000000" w:rsidRDefault="00605C12">
      <w:pPr>
        <w:pStyle w:val="NormalWeb"/>
        <w:spacing w:line="300" w:lineRule="atLeast"/>
        <w:divId w:val="2119138065"/>
        <w:rPr>
          <w:rFonts w:ascii="Georgia" w:hAnsi="Georgia"/>
          <w:color w:val="333333"/>
          <w:lang w:val="en"/>
        </w:rPr>
      </w:pPr>
      <w:r>
        <w:rPr>
          <w:rFonts w:ascii="Georgia" w:hAnsi="Georgia"/>
          <w:color w:val="333333"/>
          <w:lang w:val="en"/>
        </w:rPr>
        <w:t>The next section discusses two effort-sharing approaches. These are not included in Figure C.3 because the share of emissions r</w:t>
      </w:r>
      <w:r>
        <w:rPr>
          <w:rFonts w:ascii="Georgia" w:hAnsi="Georgia"/>
          <w:color w:val="333333"/>
          <w:lang w:val="en"/>
        </w:rPr>
        <w:t>eduction efforts by each country for the period to 2050 is not available, so comparable long-term national budgets cannot be derived.</w:t>
      </w:r>
    </w:p>
    <w:p w:rsidR="00000000" w:rsidRDefault="00605C12">
      <w:pPr>
        <w:pStyle w:val="Heading3"/>
        <w:divId w:val="2119138065"/>
        <w:rPr>
          <w:rFonts w:eastAsia="Times New Roman"/>
          <w:color w:val="333333"/>
          <w:lang w:val="en"/>
        </w:rPr>
      </w:pPr>
      <w:r>
        <w:rPr>
          <w:rFonts w:eastAsia="Times New Roman"/>
          <w:color w:val="333333"/>
          <w:lang w:val="en"/>
        </w:rPr>
        <w:t>C1.2 Effort-sharing approaches</w:t>
      </w:r>
    </w:p>
    <w:p w:rsidR="00000000" w:rsidRDefault="00605C12">
      <w:pPr>
        <w:pStyle w:val="Heading4"/>
        <w:divId w:val="2119138065"/>
        <w:rPr>
          <w:rFonts w:eastAsia="Times New Roman"/>
          <w:color w:val="333333"/>
          <w:lang w:val="en"/>
        </w:rPr>
      </w:pPr>
      <w:r>
        <w:rPr>
          <w:rFonts w:eastAsia="Times New Roman"/>
          <w:color w:val="333333"/>
          <w:lang w:val="en"/>
        </w:rPr>
        <w:t>C1.2.1 Equal proportional emissions reduction costs</w:t>
      </w:r>
    </w:p>
    <w:p w:rsidR="00000000" w:rsidRDefault="00605C12">
      <w:pPr>
        <w:pStyle w:val="NormalWeb"/>
        <w:spacing w:line="300" w:lineRule="atLeast"/>
        <w:divId w:val="2119138065"/>
        <w:rPr>
          <w:rFonts w:ascii="Georgia" w:hAnsi="Georgia"/>
          <w:color w:val="333333"/>
          <w:lang w:val="en"/>
        </w:rPr>
      </w:pPr>
      <w:r>
        <w:rPr>
          <w:rFonts w:ascii="Georgia" w:hAnsi="Georgia"/>
          <w:color w:val="333333"/>
          <w:lang w:val="en"/>
        </w:rPr>
        <w:t xml:space="preserve">This approach seeks to </w:t>
      </w:r>
      <w:proofErr w:type="spellStart"/>
      <w:r>
        <w:rPr>
          <w:rFonts w:ascii="Georgia" w:hAnsi="Georgia"/>
          <w:color w:val="333333"/>
          <w:lang w:val="en"/>
        </w:rPr>
        <w:t>equalise</w:t>
      </w:r>
      <w:proofErr w:type="spellEnd"/>
      <w:r>
        <w:rPr>
          <w:rFonts w:ascii="Georgia" w:hAnsi="Georgia"/>
          <w:color w:val="333333"/>
          <w:lang w:val="en"/>
        </w:rPr>
        <w:t xml:space="preserve"> the wel</w:t>
      </w:r>
      <w:r>
        <w:rPr>
          <w:rFonts w:ascii="Georgia" w:hAnsi="Georgia"/>
          <w:color w:val="333333"/>
          <w:lang w:val="en"/>
        </w:rPr>
        <w:t xml:space="preserve">lbeing forgone when taking action to reduce emissions. It generally uses GDP as a proxy for wellbeing and allocates mitigation targets among developed countries, so that each incurs the same total emissions reduction cost as a proportion of GDP. </w:t>
      </w:r>
    </w:p>
    <w:p w:rsidR="00000000" w:rsidRDefault="00605C12">
      <w:pPr>
        <w:pStyle w:val="NormalWeb"/>
        <w:spacing w:line="300" w:lineRule="atLeast"/>
        <w:divId w:val="2119138065"/>
        <w:rPr>
          <w:rFonts w:ascii="Georgia" w:hAnsi="Georgia"/>
          <w:color w:val="333333"/>
          <w:lang w:val="en"/>
        </w:rPr>
      </w:pPr>
      <w:r>
        <w:rPr>
          <w:rFonts w:ascii="Georgia" w:hAnsi="Georgia"/>
          <w:color w:val="333333"/>
          <w:lang w:val="en"/>
        </w:rPr>
        <w:t>The impli</w:t>
      </w:r>
      <w:r>
        <w:rPr>
          <w:rFonts w:ascii="Georgia" w:hAnsi="Georgia"/>
          <w:color w:val="333333"/>
          <w:lang w:val="en"/>
        </w:rPr>
        <w:t xml:space="preserve">cations for targets depend critically on whether countries undertake all emissions reductions domestically or use a mix of domestic and international reductions: </w:t>
      </w:r>
    </w:p>
    <w:p w:rsidR="00000000" w:rsidRDefault="00605C12">
      <w:pPr>
        <w:numPr>
          <w:ilvl w:val="0"/>
          <w:numId w:val="4"/>
        </w:numPr>
        <w:spacing w:before="100" w:beforeAutospacing="1" w:after="100" w:afterAutospacing="1" w:line="300" w:lineRule="atLeast"/>
        <w:ind w:left="375"/>
        <w:divId w:val="2119138065"/>
        <w:rPr>
          <w:rFonts w:ascii="Georgia" w:eastAsia="Times New Roman" w:hAnsi="Georgia"/>
          <w:color w:val="333333"/>
          <w:lang w:val="en"/>
        </w:rPr>
      </w:pPr>
      <w:r>
        <w:rPr>
          <w:rFonts w:ascii="Georgia" w:eastAsia="Times New Roman" w:hAnsi="Georgia"/>
          <w:color w:val="333333"/>
          <w:lang w:val="en"/>
        </w:rPr>
        <w:t>If international emissions reductions cannot be used, developed countries facing higher total</w:t>
      </w:r>
      <w:r>
        <w:rPr>
          <w:rFonts w:ascii="Georgia" w:eastAsia="Times New Roman" w:hAnsi="Georgia"/>
          <w:color w:val="333333"/>
          <w:lang w:val="en"/>
        </w:rPr>
        <w:t xml:space="preserve"> emissions reduction costs have weaker targets, and those facing lower costs have stronger targets, so that the cost as a share of GDP is the same in both countries. </w:t>
      </w:r>
    </w:p>
    <w:p w:rsidR="00000000" w:rsidRDefault="00605C12">
      <w:pPr>
        <w:numPr>
          <w:ilvl w:val="0"/>
          <w:numId w:val="4"/>
        </w:numPr>
        <w:spacing w:before="100" w:beforeAutospacing="1" w:after="100" w:afterAutospacing="1" w:line="300" w:lineRule="atLeast"/>
        <w:ind w:left="375"/>
        <w:divId w:val="2119138065"/>
        <w:rPr>
          <w:rFonts w:ascii="Georgia" w:eastAsia="Times New Roman" w:hAnsi="Georgia"/>
          <w:color w:val="333333"/>
          <w:lang w:val="en"/>
        </w:rPr>
      </w:pPr>
      <w:r>
        <w:rPr>
          <w:rFonts w:ascii="Georgia" w:eastAsia="Times New Roman" w:hAnsi="Georgia"/>
          <w:color w:val="333333"/>
          <w:lang w:val="en"/>
        </w:rPr>
        <w:t xml:space="preserve">If international emissions reductions can be used, all countries can individually and collectively achieve the emissions reductions at a lower cost, because reductions can take place wherever in the world they are cheapest. Developed countries with higher </w:t>
      </w:r>
      <w:r>
        <w:rPr>
          <w:rFonts w:ascii="Georgia" w:eastAsia="Times New Roman" w:hAnsi="Georgia"/>
          <w:color w:val="333333"/>
          <w:lang w:val="en"/>
        </w:rPr>
        <w:t>total costs would still have weaker targets under this approach than those with lower costs; however, the difference in targets would be smaller than without trade.</w:t>
      </w:r>
    </w:p>
    <w:p w:rsidR="00000000" w:rsidRDefault="00605C12">
      <w:pPr>
        <w:pStyle w:val="NormalWeb"/>
        <w:spacing w:line="300" w:lineRule="atLeast"/>
        <w:divId w:val="2119138065"/>
        <w:rPr>
          <w:rFonts w:ascii="Georgia" w:hAnsi="Georgia"/>
          <w:color w:val="333333"/>
          <w:lang w:val="en"/>
        </w:rPr>
      </w:pPr>
      <w:r>
        <w:rPr>
          <w:rFonts w:ascii="Georgia" w:hAnsi="Georgia"/>
          <w:color w:val="333333"/>
          <w:lang w:val="en"/>
        </w:rPr>
        <w:t>Few published studies explicitly address the question of relative costs. Among those that d</w:t>
      </w:r>
      <w:r>
        <w:rPr>
          <w:rFonts w:ascii="Georgia" w:hAnsi="Georgia"/>
          <w:color w:val="333333"/>
          <w:lang w:val="en"/>
        </w:rPr>
        <w:t xml:space="preserve">o, a common conclusion is that Australia faces relatively high total emissions reduction costs—see, for example, </w:t>
      </w:r>
      <w:proofErr w:type="spellStart"/>
      <w:r>
        <w:rPr>
          <w:rFonts w:ascii="Georgia" w:hAnsi="Georgia"/>
          <w:color w:val="333333"/>
          <w:lang w:val="en"/>
        </w:rPr>
        <w:t>McKibbin</w:t>
      </w:r>
      <w:proofErr w:type="spellEnd"/>
      <w:r>
        <w:rPr>
          <w:rFonts w:ascii="Georgia" w:hAnsi="Georgia"/>
          <w:color w:val="333333"/>
          <w:lang w:val="en"/>
        </w:rPr>
        <w:t xml:space="preserve">, Morris and </w:t>
      </w:r>
      <w:proofErr w:type="spellStart"/>
      <w:r>
        <w:rPr>
          <w:rFonts w:ascii="Georgia" w:hAnsi="Georgia"/>
          <w:color w:val="333333"/>
          <w:lang w:val="en"/>
        </w:rPr>
        <w:t>Wilcoxen</w:t>
      </w:r>
      <w:proofErr w:type="spellEnd"/>
      <w:r>
        <w:rPr>
          <w:rFonts w:ascii="Georgia" w:hAnsi="Georgia"/>
          <w:color w:val="333333"/>
          <w:lang w:val="en"/>
        </w:rPr>
        <w:t xml:space="preserve"> (2010), den </w:t>
      </w:r>
      <w:proofErr w:type="spellStart"/>
      <w:r>
        <w:rPr>
          <w:rFonts w:ascii="Georgia" w:hAnsi="Georgia"/>
          <w:color w:val="333333"/>
          <w:lang w:val="en"/>
        </w:rPr>
        <w:t>Elzen</w:t>
      </w:r>
      <w:proofErr w:type="spellEnd"/>
      <w:r>
        <w:rPr>
          <w:rFonts w:ascii="Georgia" w:hAnsi="Georgia"/>
          <w:color w:val="333333"/>
          <w:lang w:val="en"/>
        </w:rPr>
        <w:t xml:space="preserve"> et al. (2009) and Treasury (2008). This means that Australia’s target under this approach would</w:t>
      </w:r>
      <w:r>
        <w:rPr>
          <w:rFonts w:ascii="Georgia" w:hAnsi="Georgia"/>
          <w:color w:val="333333"/>
          <w:lang w:val="en"/>
        </w:rPr>
        <w:t xml:space="preserve"> be relatively weaker than those of developed countries with lower costs.</w:t>
      </w:r>
    </w:p>
    <w:p w:rsidR="00000000" w:rsidRDefault="00605C12">
      <w:pPr>
        <w:pStyle w:val="NormalWeb"/>
        <w:spacing w:line="300" w:lineRule="atLeast"/>
        <w:divId w:val="2119138065"/>
        <w:rPr>
          <w:rFonts w:ascii="Georgia" w:hAnsi="Georgia"/>
          <w:color w:val="333333"/>
          <w:lang w:val="en"/>
        </w:rPr>
      </w:pPr>
      <w:r>
        <w:rPr>
          <w:rFonts w:ascii="Georgia" w:hAnsi="Georgia"/>
          <w:color w:val="333333"/>
          <w:lang w:val="en"/>
        </w:rPr>
        <w:t>It is difficult to estimate the national emissions budget that would correspond with this approach, as there is no consensus on the appropriate aggregate effort for developed countri</w:t>
      </w:r>
      <w:r>
        <w:rPr>
          <w:rFonts w:ascii="Georgia" w:hAnsi="Georgia"/>
          <w:color w:val="333333"/>
          <w:lang w:val="en"/>
        </w:rPr>
        <w:t xml:space="preserve">es and no generally agreed modelling approach for costs. </w:t>
      </w:r>
    </w:p>
    <w:p w:rsidR="00000000" w:rsidRDefault="00605C12">
      <w:pPr>
        <w:pStyle w:val="Heading4"/>
        <w:divId w:val="2119138065"/>
        <w:rPr>
          <w:rFonts w:eastAsia="Times New Roman"/>
          <w:color w:val="333333"/>
          <w:lang w:val="en"/>
        </w:rPr>
      </w:pPr>
      <w:r>
        <w:rPr>
          <w:rFonts w:eastAsia="Times New Roman"/>
          <w:color w:val="333333"/>
          <w:lang w:val="en"/>
        </w:rPr>
        <w:t xml:space="preserve">C1.2.2 Greenhouse Development Rights </w:t>
      </w:r>
    </w:p>
    <w:p w:rsidR="00000000" w:rsidRDefault="00605C12">
      <w:pPr>
        <w:pStyle w:val="NormalWeb"/>
        <w:spacing w:line="300" w:lineRule="atLeast"/>
        <w:divId w:val="2119138065"/>
        <w:rPr>
          <w:rFonts w:ascii="Georgia" w:hAnsi="Georgia"/>
          <w:color w:val="333333"/>
          <w:lang w:val="en"/>
        </w:rPr>
      </w:pPr>
      <w:r>
        <w:rPr>
          <w:rFonts w:ascii="Georgia" w:hAnsi="Georgia"/>
          <w:color w:val="333333"/>
          <w:lang w:val="en"/>
        </w:rPr>
        <w:t>The Greenhouse Development Rights approach takes differences in capacity within nations explicitly into account (Baer et al. 2008). Each country’s share of emis</w:t>
      </w:r>
      <w:r>
        <w:rPr>
          <w:rFonts w:ascii="Georgia" w:hAnsi="Georgia"/>
          <w:color w:val="333333"/>
          <w:lang w:val="en"/>
        </w:rPr>
        <w:t>sions reductions is based on two things:</w:t>
      </w:r>
    </w:p>
    <w:p w:rsidR="00000000" w:rsidRDefault="00605C12">
      <w:pPr>
        <w:numPr>
          <w:ilvl w:val="0"/>
          <w:numId w:val="5"/>
        </w:numPr>
        <w:spacing w:before="100" w:beforeAutospacing="1" w:after="100" w:afterAutospacing="1" w:line="300" w:lineRule="atLeast"/>
        <w:ind w:left="375"/>
        <w:divId w:val="2119138065"/>
        <w:rPr>
          <w:rFonts w:ascii="Georgia" w:eastAsia="Times New Roman" w:hAnsi="Georgia"/>
          <w:color w:val="333333"/>
          <w:lang w:val="en"/>
        </w:rPr>
      </w:pPr>
      <w:r>
        <w:rPr>
          <w:rFonts w:ascii="Georgia" w:eastAsia="Times New Roman" w:hAnsi="Georgia"/>
          <w:color w:val="333333"/>
          <w:lang w:val="en"/>
        </w:rPr>
        <w:lastRenderedPageBreak/>
        <w:t>how many people in that country have incomes above a ‘development threshold’</w:t>
      </w:r>
    </w:p>
    <w:p w:rsidR="00000000" w:rsidRDefault="00605C12">
      <w:pPr>
        <w:numPr>
          <w:ilvl w:val="0"/>
          <w:numId w:val="5"/>
        </w:numPr>
        <w:spacing w:before="100" w:beforeAutospacing="1" w:after="100" w:afterAutospacing="1" w:line="300" w:lineRule="atLeast"/>
        <w:ind w:left="375"/>
        <w:divId w:val="2119138065"/>
        <w:rPr>
          <w:rFonts w:ascii="Georgia" w:eastAsia="Times New Roman" w:hAnsi="Georgia"/>
          <w:color w:val="333333"/>
          <w:lang w:val="en"/>
        </w:rPr>
      </w:pPr>
      <w:proofErr w:type="gramStart"/>
      <w:r>
        <w:rPr>
          <w:rFonts w:ascii="Georgia" w:eastAsia="Times New Roman" w:hAnsi="Georgia"/>
          <w:color w:val="333333"/>
          <w:lang w:val="en"/>
        </w:rPr>
        <w:t>how</w:t>
      </w:r>
      <w:proofErr w:type="gramEnd"/>
      <w:r>
        <w:rPr>
          <w:rFonts w:ascii="Georgia" w:eastAsia="Times New Roman" w:hAnsi="Georgia"/>
          <w:color w:val="333333"/>
          <w:lang w:val="en"/>
        </w:rPr>
        <w:t xml:space="preserve"> many emissions those people have generated since 1990. </w:t>
      </w:r>
    </w:p>
    <w:p w:rsidR="00000000" w:rsidRDefault="00605C12">
      <w:pPr>
        <w:pStyle w:val="NormalWeb"/>
        <w:spacing w:line="300" w:lineRule="atLeast"/>
        <w:divId w:val="2119138065"/>
        <w:rPr>
          <w:rFonts w:ascii="Georgia" w:hAnsi="Georgia"/>
          <w:color w:val="333333"/>
          <w:lang w:val="en"/>
        </w:rPr>
      </w:pPr>
      <w:r>
        <w:rPr>
          <w:rFonts w:ascii="Georgia" w:hAnsi="Georgia"/>
          <w:color w:val="333333"/>
          <w:lang w:val="en"/>
        </w:rPr>
        <w:t>These are combined in a Responsibility-Capacity Index, which is used to calcul</w:t>
      </w:r>
      <w:r>
        <w:rPr>
          <w:rFonts w:ascii="Georgia" w:hAnsi="Georgia"/>
          <w:color w:val="333333"/>
          <w:lang w:val="en"/>
        </w:rPr>
        <w:t>ate the country’s share of the global emissions reduction task. Under this approach, short-term targets for developed countries can be very strong indeed; for Australia, the 2020 target implied is more than 55 per cent below 2000 levels (</w:t>
      </w:r>
      <w:proofErr w:type="spellStart"/>
      <w:r>
        <w:rPr>
          <w:rFonts w:ascii="Georgia" w:hAnsi="Georgia"/>
          <w:color w:val="333333"/>
          <w:lang w:val="en"/>
        </w:rPr>
        <w:t>EcoEquity</w:t>
      </w:r>
      <w:proofErr w:type="spellEnd"/>
      <w:r>
        <w:rPr>
          <w:rFonts w:ascii="Georgia" w:hAnsi="Georgia"/>
          <w:color w:val="333333"/>
          <w:lang w:val="en"/>
        </w:rPr>
        <w:t xml:space="preserve"> and Stoc</w:t>
      </w:r>
      <w:r>
        <w:rPr>
          <w:rFonts w:ascii="Georgia" w:hAnsi="Georgia"/>
          <w:color w:val="333333"/>
          <w:lang w:val="en"/>
        </w:rPr>
        <w:t>kholm Environment Institute 2013).</w:t>
      </w:r>
    </w:p>
    <w:p w:rsidR="00000000" w:rsidRDefault="00605C12">
      <w:pPr>
        <w:pStyle w:val="Heading2"/>
        <w:divId w:val="2119138065"/>
        <w:rPr>
          <w:rFonts w:eastAsia="Times New Roman"/>
          <w:color w:val="333333"/>
          <w:lang w:val="en"/>
        </w:rPr>
      </w:pPr>
      <w:r>
        <w:rPr>
          <w:rFonts w:eastAsia="Times New Roman"/>
          <w:color w:val="333333"/>
          <w:lang w:val="en"/>
        </w:rPr>
        <w:t>Appendix C2 Australia’s emissions budget to 2050</w:t>
      </w:r>
    </w:p>
    <w:p w:rsidR="00000000" w:rsidRDefault="00605C12">
      <w:pPr>
        <w:pStyle w:val="NormalWeb"/>
        <w:spacing w:line="300" w:lineRule="atLeast"/>
        <w:divId w:val="2119138065"/>
        <w:rPr>
          <w:rFonts w:ascii="Georgia" w:hAnsi="Georgia"/>
          <w:color w:val="333333"/>
          <w:lang w:val="en"/>
        </w:rPr>
      </w:pPr>
      <w:r>
        <w:rPr>
          <w:rFonts w:ascii="Georgia" w:hAnsi="Georgia"/>
          <w:color w:val="333333"/>
          <w:lang w:val="en"/>
        </w:rPr>
        <w:t>Calculations of Australia’s emissions budget to 2050 outlined in Chapter 8 draw on the international modelling from the Global Trade and Environment Model (GTEM) and furthe</w:t>
      </w:r>
      <w:r>
        <w:rPr>
          <w:rFonts w:ascii="Georgia" w:hAnsi="Georgia"/>
          <w:color w:val="333333"/>
          <w:lang w:val="en"/>
        </w:rPr>
        <w:t>r information provided by Treasury.</w:t>
      </w:r>
    </w:p>
    <w:p w:rsidR="00000000" w:rsidRDefault="00605C12">
      <w:pPr>
        <w:pStyle w:val="Heading3"/>
        <w:divId w:val="2119138065"/>
        <w:rPr>
          <w:rFonts w:eastAsia="Times New Roman"/>
          <w:color w:val="333333"/>
          <w:lang w:val="en"/>
        </w:rPr>
      </w:pPr>
      <w:r>
        <w:rPr>
          <w:rFonts w:eastAsia="Times New Roman"/>
          <w:color w:val="333333"/>
          <w:lang w:val="en"/>
        </w:rPr>
        <w:t>C2.1 Approaches to sharing global emissions budgets</w:t>
      </w:r>
    </w:p>
    <w:p w:rsidR="00000000" w:rsidRDefault="00605C12">
      <w:pPr>
        <w:pStyle w:val="NormalWeb"/>
        <w:spacing w:line="300" w:lineRule="atLeast"/>
        <w:divId w:val="2119138065"/>
        <w:rPr>
          <w:rFonts w:ascii="Georgia" w:hAnsi="Georgia"/>
          <w:color w:val="333333"/>
          <w:lang w:val="en"/>
        </w:rPr>
      </w:pPr>
      <w:r>
        <w:rPr>
          <w:rFonts w:ascii="Georgia" w:hAnsi="Georgia"/>
          <w:color w:val="333333"/>
          <w:lang w:val="en"/>
        </w:rPr>
        <w:t>Estimates of Australia’s long-term national emissions budget use global population projections from GTEM. Estimates for some approaches also use GDP and/or emissions by</w:t>
      </w:r>
      <w:r>
        <w:rPr>
          <w:rFonts w:ascii="Georgia" w:hAnsi="Georgia"/>
          <w:color w:val="333333"/>
          <w:lang w:val="en"/>
        </w:rPr>
        <w:t xml:space="preserve"> region from GTEM. The estimates for modified contraction and convergence, and simple contraction and convergence are Authority calculations based on the spreadsheet tool used for the </w:t>
      </w:r>
      <w:proofErr w:type="spellStart"/>
      <w:r>
        <w:rPr>
          <w:rFonts w:ascii="Georgia" w:hAnsi="Georgia"/>
          <w:color w:val="333333"/>
          <w:lang w:val="en"/>
        </w:rPr>
        <w:t>Garnaut</w:t>
      </w:r>
      <w:proofErr w:type="spellEnd"/>
      <w:r>
        <w:rPr>
          <w:rFonts w:ascii="Georgia" w:hAnsi="Georgia"/>
          <w:color w:val="333333"/>
          <w:lang w:val="en"/>
        </w:rPr>
        <w:t xml:space="preserve"> Climate Change Review 2008, with updates for emissions, populati</w:t>
      </w:r>
      <w:r>
        <w:rPr>
          <w:rFonts w:ascii="Georgia" w:hAnsi="Georgia"/>
          <w:color w:val="333333"/>
          <w:lang w:val="en"/>
        </w:rPr>
        <w:t>on and GDP from Treasury and DIICCSRTE (2013).</w:t>
      </w:r>
    </w:p>
    <w:p w:rsidR="00000000" w:rsidRDefault="00605C12">
      <w:pPr>
        <w:pStyle w:val="Heading3"/>
        <w:divId w:val="2119138065"/>
        <w:rPr>
          <w:rFonts w:eastAsia="Times New Roman"/>
          <w:color w:val="333333"/>
          <w:lang w:val="en"/>
        </w:rPr>
      </w:pPr>
      <w:r>
        <w:rPr>
          <w:rFonts w:eastAsia="Times New Roman"/>
          <w:color w:val="333333"/>
          <w:lang w:val="en"/>
        </w:rPr>
        <w:t>C2.2 Australia’s 2013–2050 national emissions budget</w:t>
      </w:r>
    </w:p>
    <w:p w:rsidR="00000000" w:rsidRDefault="00605C12">
      <w:pPr>
        <w:pStyle w:val="NormalWeb"/>
        <w:spacing w:line="300" w:lineRule="atLeast"/>
        <w:divId w:val="2119138065"/>
        <w:rPr>
          <w:rFonts w:ascii="Georgia" w:hAnsi="Georgia"/>
          <w:color w:val="333333"/>
          <w:lang w:val="en"/>
        </w:rPr>
      </w:pPr>
      <w:r>
        <w:rPr>
          <w:rFonts w:ascii="Georgia" w:hAnsi="Georgia"/>
          <w:color w:val="333333"/>
          <w:lang w:val="en"/>
        </w:rPr>
        <w:t>Australia’s long-term national emissions budget of 10,100 Mt CO</w:t>
      </w:r>
      <w:r>
        <w:rPr>
          <w:rFonts w:ascii="Georgia" w:hAnsi="Georgia"/>
          <w:color w:val="333333"/>
          <w:sz w:val="18"/>
          <w:szCs w:val="18"/>
          <w:vertAlign w:val="subscript"/>
          <w:lang w:val="en"/>
        </w:rPr>
        <w:t>2</w:t>
      </w:r>
      <w:r>
        <w:rPr>
          <w:rFonts w:ascii="Georgia" w:hAnsi="Georgia"/>
          <w:color w:val="333333"/>
          <w:lang w:val="en"/>
        </w:rPr>
        <w:t>-e is calculated as follows:</w:t>
      </w:r>
    </w:p>
    <w:p w:rsidR="00000000" w:rsidRDefault="00605C12">
      <w:pPr>
        <w:numPr>
          <w:ilvl w:val="0"/>
          <w:numId w:val="6"/>
        </w:numPr>
        <w:spacing w:before="100" w:beforeAutospacing="1" w:after="100" w:afterAutospacing="1" w:line="300" w:lineRule="atLeast"/>
        <w:ind w:left="375"/>
        <w:divId w:val="2119138065"/>
        <w:rPr>
          <w:rFonts w:ascii="Georgia" w:eastAsia="Times New Roman" w:hAnsi="Georgia"/>
          <w:color w:val="333333"/>
          <w:lang w:val="en"/>
        </w:rPr>
      </w:pPr>
      <w:r>
        <w:rPr>
          <w:rFonts w:ascii="Georgia" w:eastAsia="Times New Roman" w:hAnsi="Georgia"/>
          <w:color w:val="333333"/>
          <w:lang w:val="en"/>
        </w:rPr>
        <w:t xml:space="preserve">The 2000–2050 global emissions budget based on </w:t>
      </w:r>
      <w:proofErr w:type="spellStart"/>
      <w:r>
        <w:rPr>
          <w:rFonts w:ascii="Georgia" w:eastAsia="Times New Roman" w:hAnsi="Georgia"/>
          <w:color w:val="333333"/>
          <w:lang w:val="en"/>
        </w:rPr>
        <w:t>Meinshausen</w:t>
      </w:r>
      <w:proofErr w:type="spellEnd"/>
      <w:r>
        <w:rPr>
          <w:rFonts w:ascii="Georgia" w:eastAsia="Times New Roman" w:hAnsi="Georgia"/>
          <w:color w:val="333333"/>
          <w:lang w:val="en"/>
        </w:rPr>
        <w:t xml:space="preserve"> et a</w:t>
      </w:r>
      <w:r>
        <w:rPr>
          <w:rFonts w:ascii="Georgia" w:eastAsia="Times New Roman" w:hAnsi="Georgia"/>
          <w:color w:val="333333"/>
          <w:lang w:val="en"/>
        </w:rPr>
        <w:t>l. (2009; see Chapter 3) is adjusted to remove global emissions from 2000–2012. Global emissions from 2000–2012 are estimated to be 608 </w:t>
      </w:r>
      <w:proofErr w:type="spellStart"/>
      <w:r>
        <w:rPr>
          <w:rFonts w:ascii="Georgia" w:eastAsia="Times New Roman" w:hAnsi="Georgia"/>
          <w:color w:val="333333"/>
          <w:lang w:val="en"/>
        </w:rPr>
        <w:t>Gt</w:t>
      </w:r>
      <w:proofErr w:type="spellEnd"/>
      <w:r>
        <w:rPr>
          <w:rFonts w:ascii="Georgia" w:eastAsia="Times New Roman" w:hAnsi="Georgia"/>
          <w:color w:val="333333"/>
          <w:lang w:val="en"/>
        </w:rPr>
        <w:t> CO</w:t>
      </w:r>
      <w:r>
        <w:rPr>
          <w:rFonts w:ascii="Georgia" w:eastAsia="Times New Roman" w:hAnsi="Georgia"/>
          <w:color w:val="333333"/>
          <w:sz w:val="18"/>
          <w:szCs w:val="18"/>
          <w:vertAlign w:val="subscript"/>
          <w:lang w:val="en"/>
        </w:rPr>
        <w:t>2</w:t>
      </w:r>
      <w:r>
        <w:rPr>
          <w:rFonts w:ascii="Georgia" w:eastAsia="Times New Roman" w:hAnsi="Georgia"/>
          <w:color w:val="333333"/>
          <w:lang w:val="en"/>
        </w:rPr>
        <w:t xml:space="preserve">-e, based on International Energy Agency (IEA 2013a), using linear interpolation between 2000, 2005 and 2010 data </w:t>
      </w:r>
      <w:r>
        <w:rPr>
          <w:rFonts w:ascii="Georgia" w:eastAsia="Times New Roman" w:hAnsi="Georgia"/>
          <w:color w:val="333333"/>
          <w:lang w:val="en"/>
        </w:rPr>
        <w:t xml:space="preserve">points and the </w:t>
      </w:r>
      <w:proofErr w:type="spellStart"/>
      <w:r>
        <w:rPr>
          <w:rFonts w:ascii="Georgia" w:eastAsia="Times New Roman" w:hAnsi="Georgia"/>
          <w:color w:val="333333"/>
          <w:lang w:val="en"/>
        </w:rPr>
        <w:t>annualised</w:t>
      </w:r>
      <w:proofErr w:type="spellEnd"/>
      <w:r>
        <w:rPr>
          <w:rFonts w:ascii="Georgia" w:eastAsia="Times New Roman" w:hAnsi="Georgia"/>
          <w:color w:val="333333"/>
          <w:lang w:val="en"/>
        </w:rPr>
        <w:t xml:space="preserve"> growth rate for 2005–2010 to estimate 2011 and 2012 global emissions. </w:t>
      </w:r>
    </w:p>
    <w:p w:rsidR="00000000" w:rsidRDefault="00605C12">
      <w:pPr>
        <w:numPr>
          <w:ilvl w:val="0"/>
          <w:numId w:val="6"/>
        </w:numPr>
        <w:spacing w:before="100" w:beforeAutospacing="1" w:after="100" w:afterAutospacing="1" w:line="300" w:lineRule="atLeast"/>
        <w:ind w:left="375"/>
        <w:divId w:val="2119138065"/>
        <w:rPr>
          <w:rFonts w:ascii="Georgia" w:eastAsia="Times New Roman" w:hAnsi="Georgia"/>
          <w:color w:val="333333"/>
          <w:lang w:val="en"/>
        </w:rPr>
      </w:pPr>
      <w:r>
        <w:rPr>
          <w:rFonts w:ascii="Georgia" w:eastAsia="Times New Roman" w:hAnsi="Georgia"/>
          <w:color w:val="333333"/>
          <w:lang w:val="en"/>
        </w:rPr>
        <w:t>Projected emissions from international aviation and shipping for 2013–2050 are removed, as these are not allocated to any individual country. These are estimat</w:t>
      </w:r>
      <w:r>
        <w:rPr>
          <w:rFonts w:ascii="Georgia" w:eastAsia="Times New Roman" w:hAnsi="Georgia"/>
          <w:color w:val="333333"/>
          <w:lang w:val="en"/>
        </w:rPr>
        <w:t>ed to be 47 </w:t>
      </w:r>
      <w:proofErr w:type="spellStart"/>
      <w:r>
        <w:rPr>
          <w:rFonts w:ascii="Georgia" w:eastAsia="Times New Roman" w:hAnsi="Georgia"/>
          <w:color w:val="333333"/>
          <w:lang w:val="en"/>
        </w:rPr>
        <w:t>Gt</w:t>
      </w:r>
      <w:proofErr w:type="spellEnd"/>
      <w:r>
        <w:rPr>
          <w:rFonts w:ascii="Georgia" w:eastAsia="Times New Roman" w:hAnsi="Georgia"/>
          <w:color w:val="333333"/>
          <w:lang w:val="en"/>
        </w:rPr>
        <w:t> CO</w:t>
      </w:r>
      <w:r>
        <w:rPr>
          <w:rFonts w:ascii="Georgia" w:eastAsia="Times New Roman" w:hAnsi="Georgia"/>
          <w:color w:val="333333"/>
          <w:sz w:val="18"/>
          <w:szCs w:val="18"/>
          <w:vertAlign w:val="subscript"/>
          <w:lang w:val="en"/>
        </w:rPr>
        <w:t>2</w:t>
      </w:r>
      <w:r>
        <w:rPr>
          <w:rFonts w:ascii="Georgia" w:eastAsia="Times New Roman" w:hAnsi="Georgia"/>
          <w:color w:val="333333"/>
          <w:lang w:val="en"/>
        </w:rPr>
        <w:t>-e based on IEA (2013b). Cumulative emissions to 2035 are calculated using a linear interpolation of aviation and shipping emissions in the IEA’s ‘450’ scenario between 2011, 2020, 2030 and 2035. Cumulative emissions from 2036–2050 are es</w:t>
      </w:r>
      <w:r>
        <w:rPr>
          <w:rFonts w:ascii="Georgia" w:eastAsia="Times New Roman" w:hAnsi="Georgia"/>
          <w:color w:val="333333"/>
          <w:lang w:val="en"/>
        </w:rPr>
        <w:t xml:space="preserve">timated by assuming that emissions during this period grow at the IEA’s </w:t>
      </w:r>
      <w:proofErr w:type="spellStart"/>
      <w:r>
        <w:rPr>
          <w:rFonts w:ascii="Georgia" w:eastAsia="Times New Roman" w:hAnsi="Georgia"/>
          <w:color w:val="333333"/>
          <w:lang w:val="en"/>
        </w:rPr>
        <w:t>annualised</w:t>
      </w:r>
      <w:proofErr w:type="spellEnd"/>
      <w:r>
        <w:rPr>
          <w:rFonts w:ascii="Georgia" w:eastAsia="Times New Roman" w:hAnsi="Georgia"/>
          <w:color w:val="333333"/>
          <w:lang w:val="en"/>
        </w:rPr>
        <w:t xml:space="preserve"> rate for 2020–2035. </w:t>
      </w:r>
    </w:p>
    <w:p w:rsidR="00000000" w:rsidRDefault="00605C12">
      <w:pPr>
        <w:numPr>
          <w:ilvl w:val="0"/>
          <w:numId w:val="6"/>
        </w:numPr>
        <w:spacing w:before="100" w:beforeAutospacing="1" w:after="100" w:afterAutospacing="1" w:line="300" w:lineRule="atLeast"/>
        <w:ind w:left="375"/>
        <w:divId w:val="2119138065"/>
        <w:rPr>
          <w:rFonts w:ascii="Georgia" w:eastAsia="Times New Roman" w:hAnsi="Georgia"/>
          <w:color w:val="333333"/>
          <w:lang w:val="en"/>
        </w:rPr>
      </w:pPr>
      <w:r>
        <w:rPr>
          <w:rFonts w:ascii="Georgia" w:eastAsia="Times New Roman" w:hAnsi="Georgia"/>
          <w:color w:val="333333"/>
          <w:lang w:val="en"/>
        </w:rPr>
        <w:t>Australia’s share of the resulting 2013–2050 global emissions budget is calculated based on its share (0.97 per cent) of global emissions under a modifi</w:t>
      </w:r>
      <w:r>
        <w:rPr>
          <w:rFonts w:ascii="Georgia" w:eastAsia="Times New Roman" w:hAnsi="Georgia"/>
          <w:color w:val="333333"/>
          <w:lang w:val="en"/>
        </w:rPr>
        <w:t xml:space="preserve">ed contraction and convergence approach. This is an Authority calculation based on </w:t>
      </w:r>
      <w:r>
        <w:rPr>
          <w:rFonts w:ascii="Georgia" w:eastAsia="Times New Roman" w:hAnsi="Georgia"/>
          <w:color w:val="333333"/>
          <w:lang w:val="en"/>
        </w:rPr>
        <w:lastRenderedPageBreak/>
        <w:t xml:space="preserve">the spreadsheet tool used for the </w:t>
      </w:r>
      <w:proofErr w:type="spellStart"/>
      <w:r>
        <w:rPr>
          <w:rFonts w:ascii="Georgia" w:eastAsia="Times New Roman" w:hAnsi="Georgia"/>
          <w:color w:val="333333"/>
          <w:lang w:val="en"/>
        </w:rPr>
        <w:t>Garnaut</w:t>
      </w:r>
      <w:proofErr w:type="spellEnd"/>
      <w:r>
        <w:rPr>
          <w:rFonts w:ascii="Georgia" w:eastAsia="Times New Roman" w:hAnsi="Georgia"/>
          <w:color w:val="333333"/>
          <w:lang w:val="en"/>
        </w:rPr>
        <w:t xml:space="preserve"> Climate Change Review 2008 with updates for emissions, population and GDP from the Treasury and DIICCSRTE modelling report.</w:t>
      </w:r>
    </w:p>
    <w:p w:rsidR="00000000" w:rsidRDefault="00605C12">
      <w:pPr>
        <w:pStyle w:val="NormalWeb"/>
        <w:spacing w:line="300" w:lineRule="atLeast"/>
        <w:divId w:val="2119138065"/>
        <w:rPr>
          <w:rFonts w:ascii="Georgia" w:hAnsi="Georgia"/>
          <w:color w:val="333333"/>
          <w:lang w:val="en"/>
        </w:rPr>
      </w:pPr>
      <w:r>
        <w:rPr>
          <w:rFonts w:ascii="Georgia" w:hAnsi="Georgia"/>
          <w:color w:val="333333"/>
          <w:lang w:val="en"/>
        </w:rPr>
        <w:t>All emi</w:t>
      </w:r>
      <w:r>
        <w:rPr>
          <w:rFonts w:ascii="Georgia" w:hAnsi="Georgia"/>
          <w:color w:val="333333"/>
          <w:lang w:val="en"/>
        </w:rPr>
        <w:t xml:space="preserve">ssions in the long-term national emissions budget calculation use GWPs from the IPCC’s Second Assessment Report for consistency with the original </w:t>
      </w:r>
      <w:proofErr w:type="spellStart"/>
      <w:r>
        <w:rPr>
          <w:rFonts w:ascii="Georgia" w:hAnsi="Georgia"/>
          <w:color w:val="333333"/>
          <w:lang w:val="en"/>
        </w:rPr>
        <w:t>Meinshausen</w:t>
      </w:r>
      <w:proofErr w:type="spellEnd"/>
      <w:r>
        <w:rPr>
          <w:rFonts w:ascii="Georgia" w:hAnsi="Georgia"/>
          <w:color w:val="333333"/>
          <w:lang w:val="en"/>
        </w:rPr>
        <w:t xml:space="preserve"> et al. (2009) global emissions budget. This will tend to underestimate the global and national bud</w:t>
      </w:r>
      <w:r>
        <w:rPr>
          <w:rFonts w:ascii="Georgia" w:hAnsi="Georgia"/>
          <w:color w:val="333333"/>
          <w:lang w:val="en"/>
        </w:rPr>
        <w:t>get by a small amount; budgets calculated using AR4 GWPs are likely to be slightly larger in CO</w:t>
      </w:r>
      <w:r>
        <w:rPr>
          <w:rFonts w:ascii="Georgia" w:hAnsi="Georgia"/>
          <w:color w:val="333333"/>
          <w:sz w:val="18"/>
          <w:szCs w:val="18"/>
          <w:vertAlign w:val="subscript"/>
          <w:lang w:val="en"/>
        </w:rPr>
        <w:t>2</w:t>
      </w:r>
      <w:r>
        <w:rPr>
          <w:rFonts w:ascii="Georgia" w:hAnsi="Georgia"/>
          <w:color w:val="333333"/>
          <w:lang w:val="en"/>
        </w:rPr>
        <w:t xml:space="preserve">-e terms. </w:t>
      </w:r>
    </w:p>
    <w:p w:rsidR="00000000" w:rsidRDefault="00605C12">
      <w:pPr>
        <w:pStyle w:val="Heading2"/>
        <w:divId w:val="2119138065"/>
        <w:rPr>
          <w:rFonts w:eastAsia="Times New Roman"/>
          <w:color w:val="333333"/>
          <w:lang w:val="en"/>
        </w:rPr>
      </w:pPr>
      <w:r>
        <w:rPr>
          <w:rFonts w:eastAsia="Times New Roman"/>
          <w:color w:val="333333"/>
          <w:lang w:val="en"/>
        </w:rPr>
        <w:t xml:space="preserve">Appendix C3 2030 targets for Australia and survey of allocation methods </w:t>
      </w:r>
    </w:p>
    <w:p w:rsidR="00000000" w:rsidRDefault="00605C12">
      <w:pPr>
        <w:pStyle w:val="NormalWeb"/>
        <w:spacing w:line="300" w:lineRule="atLeast"/>
        <w:divId w:val="2119138065"/>
        <w:rPr>
          <w:rFonts w:ascii="Georgia" w:hAnsi="Georgia"/>
          <w:color w:val="333333"/>
          <w:lang w:val="en"/>
        </w:rPr>
      </w:pPr>
      <w:r>
        <w:rPr>
          <w:rFonts w:ascii="Georgia" w:hAnsi="Georgia"/>
          <w:color w:val="333333"/>
          <w:lang w:val="en"/>
        </w:rPr>
        <w:t>The Authority’s recommendations are underpinned by analysis that uses the mo</w:t>
      </w:r>
      <w:r>
        <w:rPr>
          <w:rFonts w:ascii="Georgia" w:hAnsi="Georgia"/>
          <w:color w:val="333333"/>
          <w:lang w:val="en"/>
        </w:rPr>
        <w:t>dified contraction and convergence approach and different global budgets. This gives 2030 targets for Australia, compared with 2000 levels, of:</w:t>
      </w:r>
    </w:p>
    <w:p w:rsidR="00000000" w:rsidRDefault="00605C12">
      <w:pPr>
        <w:numPr>
          <w:ilvl w:val="0"/>
          <w:numId w:val="7"/>
        </w:numPr>
        <w:spacing w:before="100" w:beforeAutospacing="1" w:after="100" w:afterAutospacing="1" w:line="300" w:lineRule="atLeast"/>
        <w:ind w:left="375"/>
        <w:divId w:val="2119138065"/>
        <w:rPr>
          <w:rFonts w:ascii="Georgia" w:eastAsia="Times New Roman" w:hAnsi="Georgia"/>
          <w:color w:val="333333"/>
          <w:lang w:val="en"/>
        </w:rPr>
      </w:pPr>
      <w:r>
        <w:rPr>
          <w:rFonts w:ascii="Georgia" w:eastAsia="Times New Roman" w:hAnsi="Georgia"/>
          <w:color w:val="333333"/>
          <w:lang w:val="en"/>
        </w:rPr>
        <w:t>40 per cent reductions using a global emissions budget that gives a 50 per cent chance of staying below 2 degree</w:t>
      </w:r>
      <w:r>
        <w:rPr>
          <w:rFonts w:ascii="Georgia" w:eastAsia="Times New Roman" w:hAnsi="Georgia"/>
          <w:color w:val="333333"/>
          <w:lang w:val="en"/>
        </w:rPr>
        <w:t>s of warming</w:t>
      </w:r>
    </w:p>
    <w:p w:rsidR="00000000" w:rsidRDefault="00605C12">
      <w:pPr>
        <w:numPr>
          <w:ilvl w:val="0"/>
          <w:numId w:val="7"/>
        </w:numPr>
        <w:spacing w:before="100" w:beforeAutospacing="1" w:after="100" w:afterAutospacing="1" w:line="300" w:lineRule="atLeast"/>
        <w:ind w:left="375"/>
        <w:divId w:val="2119138065"/>
        <w:rPr>
          <w:rFonts w:ascii="Georgia" w:eastAsia="Times New Roman" w:hAnsi="Georgia"/>
          <w:color w:val="333333"/>
          <w:lang w:val="en"/>
        </w:rPr>
      </w:pPr>
      <w:r>
        <w:rPr>
          <w:rFonts w:ascii="Georgia" w:eastAsia="Times New Roman" w:hAnsi="Georgia"/>
          <w:color w:val="333333"/>
          <w:lang w:val="en"/>
        </w:rPr>
        <w:t xml:space="preserve">50 per cent using a global emissions budget that gives a 67 per cent chance </w:t>
      </w:r>
    </w:p>
    <w:p w:rsidR="00000000" w:rsidRDefault="00605C12">
      <w:pPr>
        <w:numPr>
          <w:ilvl w:val="0"/>
          <w:numId w:val="7"/>
        </w:numPr>
        <w:spacing w:before="100" w:beforeAutospacing="1" w:after="100" w:afterAutospacing="1" w:line="300" w:lineRule="atLeast"/>
        <w:ind w:left="375"/>
        <w:divId w:val="2119138065"/>
        <w:rPr>
          <w:rFonts w:ascii="Georgia" w:eastAsia="Times New Roman" w:hAnsi="Georgia"/>
          <w:color w:val="333333"/>
          <w:lang w:val="en"/>
        </w:rPr>
      </w:pPr>
      <w:r>
        <w:rPr>
          <w:rFonts w:ascii="Georgia" w:eastAsia="Times New Roman" w:hAnsi="Georgia"/>
          <w:color w:val="333333"/>
          <w:lang w:val="en"/>
        </w:rPr>
        <w:t>60 per cent using a global emissions budget that gives a 75 per cent chance.</w:t>
      </w:r>
    </w:p>
    <w:p w:rsidR="00000000" w:rsidRDefault="00605C12">
      <w:pPr>
        <w:pStyle w:val="NormalWeb"/>
        <w:spacing w:line="300" w:lineRule="atLeast"/>
        <w:divId w:val="2119138065"/>
        <w:rPr>
          <w:rFonts w:ascii="Georgia" w:hAnsi="Georgia"/>
          <w:color w:val="333333"/>
          <w:lang w:val="en"/>
        </w:rPr>
      </w:pPr>
      <w:r>
        <w:rPr>
          <w:rFonts w:ascii="Georgia" w:hAnsi="Georgia"/>
          <w:color w:val="333333"/>
          <w:lang w:val="en"/>
        </w:rPr>
        <w:t>These 2030 reduction levels—which form the recommended trajectory range—are calculated by applying Australia’s share of the budget under modified contraction and convergence (0.97 per cent) to different global emissions budgets, then applying straight-line</w:t>
      </w:r>
      <w:r>
        <w:rPr>
          <w:rFonts w:ascii="Georgia" w:hAnsi="Georgia"/>
          <w:color w:val="333333"/>
          <w:lang w:val="en"/>
        </w:rPr>
        <w:t xml:space="preserve"> trajectories from 19 per cent reductions in 2020 until the budget is exhausted.</w:t>
      </w:r>
    </w:p>
    <w:p w:rsidR="00000000" w:rsidRDefault="00605C12">
      <w:pPr>
        <w:pStyle w:val="NormalWeb"/>
        <w:spacing w:line="300" w:lineRule="atLeast"/>
        <w:divId w:val="2119138065"/>
        <w:rPr>
          <w:rFonts w:ascii="Georgia" w:hAnsi="Georgia"/>
          <w:color w:val="333333"/>
          <w:lang w:val="en"/>
        </w:rPr>
      </w:pPr>
      <w:r>
        <w:rPr>
          <w:rFonts w:ascii="Georgia" w:hAnsi="Georgia"/>
          <w:color w:val="333333"/>
          <w:lang w:val="en"/>
        </w:rPr>
        <w:t xml:space="preserve">This is broadly consistent with other studies. </w:t>
      </w:r>
      <w:proofErr w:type="spellStart"/>
      <w:r>
        <w:rPr>
          <w:rFonts w:ascii="Georgia" w:hAnsi="Georgia"/>
          <w:color w:val="333333"/>
          <w:lang w:val="en"/>
        </w:rPr>
        <w:t>Höhne</w:t>
      </w:r>
      <w:proofErr w:type="spellEnd"/>
      <w:r>
        <w:rPr>
          <w:rFonts w:ascii="Georgia" w:hAnsi="Georgia"/>
          <w:color w:val="333333"/>
          <w:lang w:val="en"/>
        </w:rPr>
        <w:t xml:space="preserve"> et al. (2014) have examined over 40 studies on allocation methods and focused on what they imply for 2030 targets. The res</w:t>
      </w:r>
      <w:r>
        <w:rPr>
          <w:rFonts w:ascii="Georgia" w:hAnsi="Georgia"/>
          <w:color w:val="333333"/>
          <w:lang w:val="en"/>
        </w:rPr>
        <w:t xml:space="preserve">ults show that to </w:t>
      </w:r>
      <w:proofErr w:type="spellStart"/>
      <w:r>
        <w:rPr>
          <w:rFonts w:ascii="Georgia" w:hAnsi="Georgia"/>
          <w:color w:val="333333"/>
          <w:lang w:val="en"/>
        </w:rPr>
        <w:t>stabilise</w:t>
      </w:r>
      <w:proofErr w:type="spellEnd"/>
      <w:r>
        <w:rPr>
          <w:rFonts w:ascii="Georgia" w:hAnsi="Georgia"/>
          <w:color w:val="333333"/>
          <w:lang w:val="en"/>
        </w:rPr>
        <w:t xml:space="preserve"> greenhouse gas concentrations at 450 ppm CO</w:t>
      </w:r>
      <w:r>
        <w:rPr>
          <w:rFonts w:ascii="Georgia" w:hAnsi="Georgia"/>
          <w:color w:val="333333"/>
          <w:sz w:val="18"/>
          <w:szCs w:val="18"/>
          <w:vertAlign w:val="subscript"/>
          <w:lang w:val="en"/>
        </w:rPr>
        <w:t>2</w:t>
      </w:r>
      <w:r>
        <w:rPr>
          <w:rFonts w:ascii="Georgia" w:hAnsi="Georgia"/>
          <w:color w:val="333333"/>
          <w:lang w:val="en"/>
        </w:rPr>
        <w:t>-e (which gives roughly a 50 per cent chance of staying below 2 degrees), required emissions reductions relative to 2010 levels are:</w:t>
      </w:r>
    </w:p>
    <w:p w:rsidR="00000000" w:rsidRDefault="00605C12">
      <w:pPr>
        <w:numPr>
          <w:ilvl w:val="0"/>
          <w:numId w:val="8"/>
        </w:numPr>
        <w:spacing w:before="100" w:beforeAutospacing="1" w:after="100" w:afterAutospacing="1" w:line="300" w:lineRule="atLeast"/>
        <w:ind w:left="375"/>
        <w:divId w:val="2119138065"/>
        <w:rPr>
          <w:rFonts w:ascii="Georgia" w:eastAsia="Times New Roman" w:hAnsi="Georgia"/>
          <w:color w:val="333333"/>
          <w:lang w:val="en"/>
        </w:rPr>
      </w:pPr>
      <w:r>
        <w:rPr>
          <w:rFonts w:ascii="Georgia" w:eastAsia="Times New Roman" w:hAnsi="Georgia"/>
          <w:color w:val="333333"/>
          <w:lang w:val="en"/>
        </w:rPr>
        <w:t>approximately 50 per cent for countries that were O</w:t>
      </w:r>
      <w:r>
        <w:rPr>
          <w:rFonts w:ascii="Georgia" w:eastAsia="Times New Roman" w:hAnsi="Georgia"/>
          <w:color w:val="333333"/>
          <w:lang w:val="en"/>
        </w:rPr>
        <w:t>ECD members in 1990 (‘OECD 1990’, including North America, Western Europe, Japan, Australia, New Zealand)—with a range of 37–75 per cent reductions</w:t>
      </w:r>
    </w:p>
    <w:p w:rsidR="00000000" w:rsidRDefault="00605C12">
      <w:pPr>
        <w:numPr>
          <w:ilvl w:val="0"/>
          <w:numId w:val="8"/>
        </w:numPr>
        <w:spacing w:before="100" w:beforeAutospacing="1" w:after="100" w:afterAutospacing="1" w:line="300" w:lineRule="atLeast"/>
        <w:ind w:left="375"/>
        <w:divId w:val="2119138065"/>
        <w:rPr>
          <w:rFonts w:ascii="Georgia" w:eastAsia="Times New Roman" w:hAnsi="Georgia"/>
          <w:color w:val="333333"/>
          <w:lang w:val="en"/>
        </w:rPr>
      </w:pPr>
      <w:r>
        <w:rPr>
          <w:rFonts w:ascii="Georgia" w:eastAsia="Times New Roman" w:hAnsi="Georgia"/>
          <w:color w:val="333333"/>
          <w:lang w:val="en"/>
        </w:rPr>
        <w:t>roughly 33 per cent for Economies in Transition (Eastern Europe, Russian Federation)—with a range of 28–53 p</w:t>
      </w:r>
      <w:r>
        <w:rPr>
          <w:rFonts w:ascii="Georgia" w:eastAsia="Times New Roman" w:hAnsi="Georgia"/>
          <w:color w:val="333333"/>
          <w:lang w:val="en"/>
        </w:rPr>
        <w:t>er cent reductions</w:t>
      </w:r>
    </w:p>
    <w:p w:rsidR="00000000" w:rsidRDefault="00605C12">
      <w:pPr>
        <w:numPr>
          <w:ilvl w:val="0"/>
          <w:numId w:val="8"/>
        </w:numPr>
        <w:spacing w:before="100" w:beforeAutospacing="1" w:after="100" w:afterAutospacing="1" w:line="300" w:lineRule="atLeast"/>
        <w:ind w:left="375"/>
        <w:divId w:val="2119138065"/>
        <w:rPr>
          <w:rFonts w:ascii="Georgia" w:eastAsia="Times New Roman" w:hAnsi="Georgia"/>
          <w:color w:val="333333"/>
          <w:lang w:val="en"/>
        </w:rPr>
      </w:pPr>
      <w:proofErr w:type="gramStart"/>
      <w:r>
        <w:rPr>
          <w:rFonts w:ascii="Georgia" w:eastAsia="Times New Roman" w:hAnsi="Georgia"/>
          <w:color w:val="333333"/>
          <w:lang w:val="en"/>
        </w:rPr>
        <w:t>roughly</w:t>
      </w:r>
      <w:proofErr w:type="gramEnd"/>
      <w:r>
        <w:rPr>
          <w:rFonts w:ascii="Georgia" w:eastAsia="Times New Roman" w:hAnsi="Georgia"/>
          <w:color w:val="333333"/>
          <w:lang w:val="en"/>
        </w:rPr>
        <w:t xml:space="preserve"> returning to 2010 levels or slightly below for Asia (East, South and South-East Asia)—with a range between a 7 per cent increase and a 33 per cent reduction.</w:t>
      </w:r>
    </w:p>
    <w:p w:rsidR="00000000" w:rsidRDefault="00605C12">
      <w:pPr>
        <w:pStyle w:val="NormalWeb"/>
        <w:spacing w:line="300" w:lineRule="atLeast"/>
        <w:divId w:val="2119138065"/>
        <w:rPr>
          <w:rFonts w:ascii="Georgia" w:hAnsi="Georgia"/>
          <w:color w:val="333333"/>
          <w:lang w:val="en"/>
        </w:rPr>
      </w:pPr>
      <w:r>
        <w:rPr>
          <w:rFonts w:ascii="Georgia" w:hAnsi="Georgia"/>
          <w:color w:val="333333"/>
          <w:lang w:val="en"/>
        </w:rPr>
        <w:t xml:space="preserve">Their survey of equal per person emissions methods found a 2030 target </w:t>
      </w:r>
      <w:r>
        <w:rPr>
          <w:rFonts w:ascii="Georgia" w:hAnsi="Georgia"/>
          <w:color w:val="333333"/>
          <w:lang w:val="en"/>
        </w:rPr>
        <w:t xml:space="preserve">range of roughly 30–65 per cent reductions for OECD 1990, and roughly 20–65 per cent reductions for Japan, Australia and New Zealand as a sub-group. </w:t>
      </w:r>
    </w:p>
    <w:p w:rsidR="00000000" w:rsidRDefault="00605C12">
      <w:pPr>
        <w:pStyle w:val="NormalWeb"/>
        <w:spacing w:line="300" w:lineRule="atLeast"/>
        <w:divId w:val="2119138065"/>
        <w:rPr>
          <w:rFonts w:ascii="Georgia" w:hAnsi="Georgia"/>
          <w:color w:val="333333"/>
          <w:lang w:val="en"/>
        </w:rPr>
      </w:pPr>
      <w:r>
        <w:rPr>
          <w:rFonts w:ascii="Georgia" w:hAnsi="Georgia"/>
          <w:color w:val="333333"/>
          <w:lang w:val="en"/>
        </w:rPr>
        <w:lastRenderedPageBreak/>
        <w:t xml:space="preserve">These results are also broadly consistent with Professor </w:t>
      </w:r>
      <w:proofErr w:type="spellStart"/>
      <w:r>
        <w:rPr>
          <w:rFonts w:ascii="Georgia" w:hAnsi="Georgia"/>
          <w:color w:val="333333"/>
          <w:lang w:val="en"/>
        </w:rPr>
        <w:t>Garnaut’s</w:t>
      </w:r>
      <w:proofErr w:type="spellEnd"/>
      <w:r>
        <w:rPr>
          <w:rFonts w:ascii="Georgia" w:hAnsi="Georgia"/>
          <w:color w:val="333333"/>
          <w:lang w:val="en"/>
        </w:rPr>
        <w:t xml:space="preserve"> 2008 review, which suggested that Austr</w:t>
      </w:r>
      <w:r>
        <w:rPr>
          <w:rFonts w:ascii="Georgia" w:hAnsi="Georgia"/>
          <w:color w:val="333333"/>
          <w:lang w:val="en"/>
        </w:rPr>
        <w:t>alia should take on reduction targets of 25 per cent by 2020 and 90 per cent by 2050 below 2000 levels, in the context of global action giving an even (50 per cent) chance of staying below 2 degrees. Further, he found that if global action gave only an eve</w:t>
      </w:r>
      <w:r>
        <w:rPr>
          <w:rFonts w:ascii="Georgia" w:hAnsi="Georgia"/>
          <w:color w:val="333333"/>
          <w:lang w:val="en"/>
        </w:rPr>
        <w:t>n chance of staying below 3 degrees, Australia should still take on reduction targets of 10 per cent by 2020 and 80 per cent by 2050 (</w:t>
      </w:r>
      <w:proofErr w:type="spellStart"/>
      <w:r>
        <w:rPr>
          <w:rFonts w:ascii="Georgia" w:hAnsi="Georgia"/>
          <w:color w:val="333333"/>
          <w:lang w:val="en"/>
        </w:rPr>
        <w:t>Garnaut</w:t>
      </w:r>
      <w:proofErr w:type="spellEnd"/>
      <w:r>
        <w:rPr>
          <w:rFonts w:ascii="Georgia" w:hAnsi="Georgia"/>
          <w:color w:val="333333"/>
          <w:lang w:val="en"/>
        </w:rPr>
        <w:t xml:space="preserve"> 2008, p. 283). </w:t>
      </w:r>
    </w:p>
    <w:sectPr w:rsidR="00000000" w:rsidSect="00605C12">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1182B"/>
    <w:multiLevelType w:val="multilevel"/>
    <w:tmpl w:val="9F50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645413"/>
    <w:multiLevelType w:val="multilevel"/>
    <w:tmpl w:val="43AC7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394557"/>
    <w:multiLevelType w:val="multilevel"/>
    <w:tmpl w:val="CBF86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EE4939"/>
    <w:multiLevelType w:val="multilevel"/>
    <w:tmpl w:val="876E2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3C7DF1"/>
    <w:multiLevelType w:val="multilevel"/>
    <w:tmpl w:val="BD98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545A1B"/>
    <w:multiLevelType w:val="multilevel"/>
    <w:tmpl w:val="0168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D3560F"/>
    <w:multiLevelType w:val="multilevel"/>
    <w:tmpl w:val="7C928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017E0C"/>
    <w:multiLevelType w:val="multilevel"/>
    <w:tmpl w:val="AE568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6"/>
  </w:num>
  <w:num w:numId="4">
    <w:abstractNumId w:val="7"/>
  </w:num>
  <w:num w:numId="5">
    <w:abstractNumId w:val="5"/>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05C12"/>
    <w:rsid w:val="00605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EE89B4-7CDA-4AA8-BC39-DFD7BC914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50" w:after="150" w:line="600" w:lineRule="atLeast"/>
      <w:outlineLvl w:val="0"/>
    </w:pPr>
    <w:rPr>
      <w:rFonts w:ascii="inherit" w:hAnsi="inherit"/>
      <w:b/>
      <w:bCs/>
      <w:kern w:val="36"/>
      <w:sz w:val="54"/>
      <w:szCs w:val="54"/>
    </w:rPr>
  </w:style>
  <w:style w:type="paragraph" w:styleId="Heading2">
    <w:name w:val="heading 2"/>
    <w:basedOn w:val="Normal"/>
    <w:link w:val="Heading2Char"/>
    <w:uiPriority w:val="9"/>
    <w:qFormat/>
    <w:pPr>
      <w:spacing w:before="150" w:after="150" w:line="600" w:lineRule="atLeast"/>
      <w:outlineLvl w:val="1"/>
    </w:pPr>
    <w:rPr>
      <w:rFonts w:ascii="inherit" w:hAnsi="inherit"/>
      <w:b/>
      <w:bCs/>
      <w:sz w:val="31"/>
      <w:szCs w:val="31"/>
    </w:rPr>
  </w:style>
  <w:style w:type="paragraph" w:styleId="Heading3">
    <w:name w:val="heading 3"/>
    <w:basedOn w:val="Normal"/>
    <w:link w:val="Heading3Char"/>
    <w:uiPriority w:val="9"/>
    <w:qFormat/>
    <w:pPr>
      <w:spacing w:before="150" w:after="150" w:line="600" w:lineRule="atLeast"/>
      <w:outlineLvl w:val="2"/>
    </w:pPr>
    <w:rPr>
      <w:rFonts w:ascii="inherit" w:hAnsi="inherit"/>
      <w:b/>
      <w:bCs/>
      <w:sz w:val="29"/>
      <w:szCs w:val="29"/>
    </w:rPr>
  </w:style>
  <w:style w:type="paragraph" w:styleId="Heading4">
    <w:name w:val="heading 4"/>
    <w:basedOn w:val="Normal"/>
    <w:link w:val="Heading4Char"/>
    <w:uiPriority w:val="9"/>
    <w:qFormat/>
    <w:pPr>
      <w:spacing w:before="150" w:after="150" w:line="300" w:lineRule="atLeast"/>
      <w:outlineLvl w:val="3"/>
    </w:pPr>
    <w:rPr>
      <w:rFonts w:ascii="inherit" w:hAnsi="inherit"/>
      <w:b/>
      <w:bCs/>
      <w:sz w:val="26"/>
      <w:szCs w:val="26"/>
    </w:rPr>
  </w:style>
  <w:style w:type="paragraph" w:styleId="Heading5">
    <w:name w:val="heading 5"/>
    <w:basedOn w:val="Normal"/>
    <w:link w:val="Heading5Char"/>
    <w:uiPriority w:val="9"/>
    <w:qFormat/>
    <w:pPr>
      <w:spacing w:before="150" w:after="150" w:line="300" w:lineRule="atLeast"/>
      <w:outlineLvl w:val="4"/>
    </w:pPr>
    <w:rPr>
      <w:rFonts w:ascii="inherit" w:hAnsi="inherit"/>
      <w:b/>
      <w:bCs/>
      <w:sz w:val="21"/>
      <w:szCs w:val="21"/>
    </w:rPr>
  </w:style>
  <w:style w:type="paragraph" w:styleId="Heading6">
    <w:name w:val="heading 6"/>
    <w:basedOn w:val="Normal"/>
    <w:link w:val="Heading6Char"/>
    <w:uiPriority w:val="9"/>
    <w:qFormat/>
    <w:pPr>
      <w:spacing w:before="150" w:after="150" w:line="300" w:lineRule="atLeast"/>
      <w:outlineLvl w:val="5"/>
    </w:pPr>
    <w:rPr>
      <w:rFonts w:ascii="inherit" w:hAnsi="inherit"/>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88CC"/>
      <w:u w:val="none"/>
      <w:effect w:val="none"/>
    </w:rPr>
  </w:style>
  <w:style w:type="character" w:styleId="FollowedHyperlink">
    <w:name w:val="FollowedHyperlink"/>
    <w:basedOn w:val="DefaultParagraphFont"/>
    <w:uiPriority w:val="99"/>
    <w:semiHidden/>
    <w:unhideWhenUsed/>
    <w:rPr>
      <w:strike w:val="0"/>
      <w:dstrike w:val="0"/>
      <w:color w:val="0088CC"/>
      <w:u w:val="none"/>
      <w:effect w:val="none"/>
    </w:rPr>
  </w:style>
  <w:style w:type="paragraph" w:styleId="HTMLAddress">
    <w:name w:val="HTML Address"/>
    <w:basedOn w:val="Normal"/>
    <w:link w:val="HTMLAddressChar"/>
    <w:uiPriority w:val="99"/>
    <w:semiHidden/>
    <w:unhideWhenUsed/>
    <w:pPr>
      <w:spacing w:after="300" w:line="300" w:lineRule="atLeast"/>
    </w:pPr>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ite">
    <w:name w:val="HTML Cite"/>
    <w:basedOn w:val="DefaultParagraphFont"/>
    <w:uiPriority w:val="99"/>
    <w:semiHidden/>
    <w:unhideWhenUsed/>
    <w:rPr>
      <w:i w:val="0"/>
      <w:iCs w:val="0"/>
    </w:rPr>
  </w:style>
  <w:style w:type="character" w:styleId="HTMLCode">
    <w:name w:val="HTML Code"/>
    <w:basedOn w:val="DefaultParagraphFont"/>
    <w:uiPriority w:val="99"/>
    <w:semiHidden/>
    <w:unhideWhenUsed/>
    <w:rPr>
      <w:rFonts w:ascii="Consolas" w:eastAsiaTheme="minorEastAsia" w:hAnsi="Consolas" w:cs="Consolas" w:hint="default"/>
      <w:color w:val="DD1144"/>
      <w:sz w:val="18"/>
      <w:szCs w:val="18"/>
      <w:bdr w:val="single" w:sz="6" w:space="2" w:color="E1E1E8" w:frame="1"/>
      <w:shd w:val="clear" w:color="auto" w:fill="F7F7F9"/>
    </w:rPr>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uiPriority w:val="99"/>
    <w:semiHidden/>
    <w:unhideWhenUse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Pr>
      <w:rFonts w:ascii="Consolas" w:hAnsi="Consolas" w:cs="Consolas"/>
      <w:color w:val="333333"/>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after="150"/>
    </w:pPr>
  </w:style>
  <w:style w:type="paragraph" w:customStyle="1" w:styleId="error">
    <w:name w:val="error"/>
    <w:basedOn w:val="Normal"/>
    <w:pPr>
      <w:spacing w:after="150"/>
    </w:pPr>
    <w:rPr>
      <w:color w:val="8C2E0B"/>
    </w:rPr>
  </w:style>
  <w:style w:type="paragraph" w:customStyle="1" w:styleId="tabledrag-toggle-weight-wrapper">
    <w:name w:val="tabledrag-toggle-weight-wrapper"/>
    <w:basedOn w:val="Normal"/>
    <w:pPr>
      <w:spacing w:after="150"/>
      <w:jc w:val="right"/>
    </w:pPr>
  </w:style>
  <w:style w:type="paragraph" w:customStyle="1" w:styleId="ajax-progress-bar">
    <w:name w:val="ajax-progress-bar"/>
    <w:basedOn w:val="Normal"/>
    <w:pPr>
      <w:spacing w:after="150"/>
    </w:pPr>
  </w:style>
  <w:style w:type="paragraph" w:customStyle="1" w:styleId="nowrap">
    <w:name w:val="nowrap"/>
    <w:basedOn w:val="Normal"/>
    <w:pPr>
      <w:spacing w:after="150"/>
    </w:pPr>
  </w:style>
  <w:style w:type="paragraph" w:customStyle="1" w:styleId="element-hidden">
    <w:name w:val="element-hidden"/>
    <w:basedOn w:val="Normal"/>
    <w:pPr>
      <w:spacing w:after="150"/>
    </w:pPr>
    <w:rPr>
      <w:vanish/>
    </w:rPr>
  </w:style>
  <w:style w:type="paragraph" w:customStyle="1" w:styleId="element-invisible">
    <w:name w:val="element-invisible"/>
    <w:basedOn w:val="Normal"/>
    <w:pPr>
      <w:spacing w:after="150"/>
    </w:pPr>
  </w:style>
  <w:style w:type="paragraph" w:customStyle="1" w:styleId="ok">
    <w:name w:val="ok"/>
    <w:basedOn w:val="Normal"/>
    <w:pPr>
      <w:spacing w:after="150"/>
    </w:pPr>
    <w:rPr>
      <w:color w:val="234600"/>
    </w:rPr>
  </w:style>
  <w:style w:type="paragraph" w:customStyle="1" w:styleId="warning">
    <w:name w:val="warning"/>
    <w:basedOn w:val="Normal"/>
    <w:pPr>
      <w:spacing w:after="150"/>
    </w:pPr>
    <w:rPr>
      <w:color w:val="884400"/>
    </w:rPr>
  </w:style>
  <w:style w:type="paragraph" w:customStyle="1" w:styleId="form-item">
    <w:name w:val="form-item"/>
    <w:basedOn w:val="Normal"/>
    <w:pPr>
      <w:spacing w:before="240" w:after="240"/>
    </w:pPr>
  </w:style>
  <w:style w:type="paragraph" w:customStyle="1" w:styleId="form-actions">
    <w:name w:val="form-actions"/>
    <w:basedOn w:val="Normal"/>
    <w:pPr>
      <w:pBdr>
        <w:top w:val="single" w:sz="6" w:space="14" w:color="E5E5E5"/>
      </w:pBdr>
      <w:shd w:val="clear" w:color="auto" w:fill="F5F5F5"/>
      <w:spacing w:before="300" w:after="300"/>
    </w:pPr>
  </w:style>
  <w:style w:type="paragraph" w:customStyle="1" w:styleId="marker">
    <w:name w:val="marker"/>
    <w:basedOn w:val="Normal"/>
    <w:pPr>
      <w:spacing w:after="150"/>
    </w:pPr>
    <w:rPr>
      <w:color w:val="FF0000"/>
    </w:rPr>
  </w:style>
  <w:style w:type="paragraph" w:customStyle="1" w:styleId="form-required">
    <w:name w:val="form-required"/>
    <w:basedOn w:val="Normal"/>
    <w:pPr>
      <w:spacing w:after="150"/>
    </w:pPr>
    <w:rPr>
      <w:color w:val="FF0000"/>
    </w:rPr>
  </w:style>
  <w:style w:type="paragraph" w:customStyle="1" w:styleId="more-link">
    <w:name w:val="more-link"/>
    <w:basedOn w:val="Normal"/>
    <w:pPr>
      <w:spacing w:after="150"/>
      <w:jc w:val="right"/>
    </w:pPr>
  </w:style>
  <w:style w:type="paragraph" w:customStyle="1" w:styleId="more-help-link">
    <w:name w:val="more-help-link"/>
    <w:basedOn w:val="Normal"/>
    <w:pPr>
      <w:spacing w:after="150"/>
      <w:jc w:val="right"/>
    </w:pPr>
  </w:style>
  <w:style w:type="paragraph" w:customStyle="1" w:styleId="pager-current">
    <w:name w:val="pager-current"/>
    <w:basedOn w:val="Normal"/>
    <w:pPr>
      <w:spacing w:after="150"/>
    </w:pPr>
    <w:rPr>
      <w:b/>
      <w:bCs/>
    </w:rPr>
  </w:style>
  <w:style w:type="paragraph" w:customStyle="1" w:styleId="tabledrag-toggle-weight">
    <w:name w:val="tabledrag-toggle-weight"/>
    <w:basedOn w:val="Normal"/>
    <w:pPr>
      <w:spacing w:after="150"/>
    </w:pPr>
    <w:rPr>
      <w:sz w:val="22"/>
      <w:szCs w:val="22"/>
    </w:rPr>
  </w:style>
  <w:style w:type="paragraph" w:customStyle="1" w:styleId="progress">
    <w:name w:val="progress"/>
    <w:basedOn w:val="Normal"/>
    <w:pPr>
      <w:shd w:val="clear" w:color="auto" w:fill="F7F7F7"/>
      <w:spacing w:after="300"/>
    </w:pPr>
    <w:rPr>
      <w:b/>
      <w:bCs/>
    </w:rPr>
  </w:style>
  <w:style w:type="paragraph" w:customStyle="1" w:styleId="indented">
    <w:name w:val="indented"/>
    <w:basedOn w:val="Normal"/>
    <w:pPr>
      <w:spacing w:after="150"/>
      <w:ind w:left="375"/>
    </w:pPr>
  </w:style>
  <w:style w:type="paragraph" w:customStyle="1" w:styleId="comment-unpublished">
    <w:name w:val="comment-unpublished"/>
    <w:basedOn w:val="Normal"/>
    <w:pPr>
      <w:shd w:val="clear" w:color="auto" w:fill="FFF4F4"/>
      <w:spacing w:after="150"/>
    </w:pPr>
  </w:style>
  <w:style w:type="paragraph" w:customStyle="1" w:styleId="comment-preview">
    <w:name w:val="comment-preview"/>
    <w:basedOn w:val="Normal"/>
    <w:pPr>
      <w:shd w:val="clear" w:color="auto" w:fill="FFFFEA"/>
      <w:spacing w:after="150"/>
    </w:pPr>
  </w:style>
  <w:style w:type="paragraph" w:customStyle="1" w:styleId="container-inline-date">
    <w:name w:val="container-inline-date"/>
    <w:basedOn w:val="Normal"/>
    <w:pPr>
      <w:spacing w:after="150"/>
    </w:pPr>
  </w:style>
  <w:style w:type="paragraph" w:customStyle="1" w:styleId="calendarcontrol">
    <w:name w:val="calendar_control"/>
    <w:basedOn w:val="Normal"/>
  </w:style>
  <w:style w:type="paragraph" w:customStyle="1" w:styleId="calendarlinks">
    <w:name w:val="calendar_links"/>
    <w:basedOn w:val="Normal"/>
  </w:style>
  <w:style w:type="paragraph" w:customStyle="1" w:styleId="calendarheader">
    <w:name w:val="calendar_header"/>
    <w:basedOn w:val="Normal"/>
  </w:style>
  <w:style w:type="paragraph" w:customStyle="1" w:styleId="calendar">
    <w:name w:val="calendar"/>
    <w:basedOn w:val="Normal"/>
  </w:style>
  <w:style w:type="paragraph" w:customStyle="1" w:styleId="date-clear">
    <w:name w:val="date-clear"/>
    <w:basedOn w:val="Normal"/>
    <w:pPr>
      <w:spacing w:after="150"/>
    </w:pPr>
  </w:style>
  <w:style w:type="paragraph" w:customStyle="1" w:styleId="date-no-float">
    <w:name w:val="date-no-float"/>
    <w:basedOn w:val="Normal"/>
    <w:pPr>
      <w:spacing w:after="150"/>
    </w:pPr>
  </w:style>
  <w:style w:type="paragraph" w:customStyle="1" w:styleId="date-float">
    <w:name w:val="date-float"/>
    <w:basedOn w:val="Normal"/>
    <w:pPr>
      <w:spacing w:after="150"/>
    </w:pPr>
  </w:style>
  <w:style w:type="paragraph" w:customStyle="1" w:styleId="date-year-range-select">
    <w:name w:val="date-year-range-select"/>
    <w:basedOn w:val="Normal"/>
    <w:pPr>
      <w:spacing w:after="150"/>
      <w:ind w:right="240"/>
    </w:pPr>
  </w:style>
  <w:style w:type="paragraph" w:customStyle="1" w:styleId="ui-datepicker">
    <w:name w:val="ui-datepicker"/>
    <w:basedOn w:val="Normal"/>
    <w:pPr>
      <w:spacing w:after="150"/>
    </w:pPr>
  </w:style>
  <w:style w:type="paragraph" w:customStyle="1" w:styleId="ui-datepicker-row-break">
    <w:name w:val="ui-datepicker-row-break"/>
    <w:basedOn w:val="Normal"/>
    <w:pPr>
      <w:spacing w:after="150"/>
    </w:pPr>
  </w:style>
  <w:style w:type="paragraph" w:customStyle="1" w:styleId="ui-datepicker-rtl">
    <w:name w:val="ui-datepicker-rtl"/>
    <w:basedOn w:val="Normal"/>
    <w:pPr>
      <w:bidi/>
      <w:spacing w:after="150"/>
    </w:pPr>
  </w:style>
  <w:style w:type="paragraph" w:customStyle="1" w:styleId="node-unpublished">
    <w:name w:val="node-unpublished"/>
    <w:basedOn w:val="Normal"/>
    <w:pPr>
      <w:shd w:val="clear" w:color="auto" w:fill="FFF4F4"/>
      <w:spacing w:after="150"/>
    </w:pPr>
  </w:style>
  <w:style w:type="paragraph" w:customStyle="1" w:styleId="search-form">
    <w:name w:val="search-form"/>
    <w:basedOn w:val="Normal"/>
    <w:pPr>
      <w:spacing w:after="240"/>
    </w:pPr>
  </w:style>
  <w:style w:type="paragraph" w:customStyle="1" w:styleId="password-strength">
    <w:name w:val="password-strength"/>
    <w:basedOn w:val="Normal"/>
    <w:pPr>
      <w:spacing w:before="336" w:after="150"/>
    </w:pPr>
  </w:style>
  <w:style w:type="paragraph" w:customStyle="1" w:styleId="password-strength-title">
    <w:name w:val="password-strength-title"/>
    <w:basedOn w:val="Normal"/>
    <w:pPr>
      <w:spacing w:after="150"/>
    </w:pPr>
  </w:style>
  <w:style w:type="paragraph" w:customStyle="1" w:styleId="password-strength-text">
    <w:name w:val="password-strength-text"/>
    <w:basedOn w:val="Normal"/>
    <w:pPr>
      <w:spacing w:after="150"/>
    </w:pPr>
    <w:rPr>
      <w:b/>
      <w:bCs/>
    </w:rPr>
  </w:style>
  <w:style w:type="paragraph" w:customStyle="1" w:styleId="password-indicator">
    <w:name w:val="password-indicator"/>
    <w:basedOn w:val="Normal"/>
    <w:pPr>
      <w:shd w:val="clear" w:color="auto" w:fill="C4C4C4"/>
      <w:spacing w:after="150"/>
    </w:pPr>
  </w:style>
  <w:style w:type="paragraph" w:customStyle="1" w:styleId="confirm-parent">
    <w:name w:val="confirm-parent"/>
    <w:basedOn w:val="Normal"/>
  </w:style>
  <w:style w:type="paragraph" w:customStyle="1" w:styleId="password-parent">
    <w:name w:val="password-parent"/>
    <w:basedOn w:val="Normal"/>
  </w:style>
  <w:style w:type="paragraph" w:customStyle="1" w:styleId="profile">
    <w:name w:val="profile"/>
    <w:basedOn w:val="Normal"/>
    <w:pPr>
      <w:spacing w:before="240" w:after="240"/>
    </w:pPr>
  </w:style>
  <w:style w:type="paragraph" w:customStyle="1" w:styleId="views-exposed-widgets">
    <w:name w:val="views-exposed-widgets"/>
    <w:basedOn w:val="Normal"/>
    <w:pPr>
      <w:spacing w:after="120"/>
    </w:pPr>
  </w:style>
  <w:style w:type="paragraph" w:customStyle="1" w:styleId="views-align-left">
    <w:name w:val="views-align-left"/>
    <w:basedOn w:val="Normal"/>
    <w:pPr>
      <w:spacing w:after="150"/>
    </w:pPr>
  </w:style>
  <w:style w:type="paragraph" w:customStyle="1" w:styleId="views-align-right">
    <w:name w:val="views-align-right"/>
    <w:basedOn w:val="Normal"/>
    <w:pPr>
      <w:spacing w:after="150"/>
      <w:jc w:val="right"/>
    </w:pPr>
  </w:style>
  <w:style w:type="paragraph" w:customStyle="1" w:styleId="views-align-center">
    <w:name w:val="views-align-center"/>
    <w:basedOn w:val="Normal"/>
    <w:pPr>
      <w:spacing w:after="150"/>
      <w:jc w:val="center"/>
    </w:pPr>
  </w:style>
  <w:style w:type="paragraph" w:customStyle="1" w:styleId="ctools-locked">
    <w:name w:val="ctools-locked"/>
    <w:basedOn w:val="Normal"/>
    <w:pPr>
      <w:pBdr>
        <w:top w:val="single" w:sz="6" w:space="12" w:color="FF0000"/>
        <w:left w:val="single" w:sz="6" w:space="12" w:color="FF0000"/>
        <w:bottom w:val="single" w:sz="6" w:space="12" w:color="FF0000"/>
        <w:right w:val="single" w:sz="6" w:space="12" w:color="FF0000"/>
      </w:pBdr>
      <w:spacing w:after="150"/>
    </w:pPr>
    <w:rPr>
      <w:color w:val="FF0000"/>
    </w:rPr>
  </w:style>
  <w:style w:type="paragraph" w:customStyle="1" w:styleId="ctools-owns-lock">
    <w:name w:val="ctools-owns-lock"/>
    <w:basedOn w:val="Normal"/>
    <w:pPr>
      <w:pBdr>
        <w:top w:val="single" w:sz="6" w:space="12" w:color="F0C020"/>
        <w:left w:val="single" w:sz="6" w:space="12" w:color="F0C020"/>
        <w:bottom w:val="single" w:sz="6" w:space="12" w:color="F0C020"/>
        <w:right w:val="single" w:sz="6" w:space="12" w:color="F0C020"/>
      </w:pBdr>
      <w:shd w:val="clear" w:color="auto" w:fill="FFFFDD"/>
      <w:spacing w:after="150"/>
    </w:pPr>
  </w:style>
  <w:style w:type="paragraph" w:customStyle="1" w:styleId="hide-text">
    <w:name w:val="hide-text"/>
    <w:basedOn w:val="Normal"/>
    <w:pPr>
      <w:spacing w:after="150"/>
    </w:pPr>
  </w:style>
  <w:style w:type="paragraph" w:customStyle="1" w:styleId="input-block-level">
    <w:name w:val="input-block-level"/>
    <w:basedOn w:val="Normal"/>
    <w:pPr>
      <w:spacing w:after="150"/>
    </w:pPr>
  </w:style>
  <w:style w:type="paragraph" w:customStyle="1" w:styleId="img-polaroid">
    <w:name w:val="img-polaroid"/>
    <w:basedOn w:val="Normal"/>
    <w:pPr>
      <w:pBdr>
        <w:top w:val="single" w:sz="6" w:space="3" w:color="CCCCCC"/>
        <w:left w:val="single" w:sz="6" w:space="3" w:color="CCCCCC"/>
        <w:bottom w:val="single" w:sz="6" w:space="3" w:color="CCCCCC"/>
        <w:right w:val="single" w:sz="6" w:space="3" w:color="CCCCCC"/>
      </w:pBdr>
      <w:shd w:val="clear" w:color="auto" w:fill="FFFFFF"/>
      <w:spacing w:after="150"/>
    </w:pPr>
  </w:style>
  <w:style w:type="paragraph" w:customStyle="1" w:styleId="row">
    <w:name w:val="row"/>
    <w:basedOn w:val="Normal"/>
    <w:pPr>
      <w:spacing w:after="150"/>
      <w:ind w:left="-300"/>
    </w:pPr>
  </w:style>
  <w:style w:type="paragraph" w:customStyle="1" w:styleId="container">
    <w:name w:val="container"/>
    <w:basedOn w:val="Normal"/>
    <w:pPr>
      <w:spacing w:after="150"/>
    </w:pPr>
  </w:style>
  <w:style w:type="paragraph" w:customStyle="1" w:styleId="span12">
    <w:name w:val="span12"/>
    <w:basedOn w:val="Normal"/>
    <w:pPr>
      <w:spacing w:after="150"/>
    </w:pPr>
  </w:style>
  <w:style w:type="paragraph" w:customStyle="1" w:styleId="span11">
    <w:name w:val="span11"/>
    <w:basedOn w:val="Normal"/>
    <w:pPr>
      <w:spacing w:after="150"/>
    </w:pPr>
  </w:style>
  <w:style w:type="paragraph" w:customStyle="1" w:styleId="span10">
    <w:name w:val="span10"/>
    <w:basedOn w:val="Normal"/>
    <w:pPr>
      <w:spacing w:after="150"/>
    </w:pPr>
  </w:style>
  <w:style w:type="paragraph" w:customStyle="1" w:styleId="span9">
    <w:name w:val="span9"/>
    <w:basedOn w:val="Normal"/>
    <w:pPr>
      <w:spacing w:after="150"/>
    </w:pPr>
  </w:style>
  <w:style w:type="paragraph" w:customStyle="1" w:styleId="span8">
    <w:name w:val="span8"/>
    <w:basedOn w:val="Normal"/>
    <w:pPr>
      <w:spacing w:after="150"/>
    </w:pPr>
  </w:style>
  <w:style w:type="paragraph" w:customStyle="1" w:styleId="span7">
    <w:name w:val="span7"/>
    <w:basedOn w:val="Normal"/>
    <w:pPr>
      <w:spacing w:after="150"/>
    </w:pPr>
  </w:style>
  <w:style w:type="paragraph" w:customStyle="1" w:styleId="span6">
    <w:name w:val="span6"/>
    <w:basedOn w:val="Normal"/>
    <w:pPr>
      <w:spacing w:after="150"/>
    </w:pPr>
  </w:style>
  <w:style w:type="paragraph" w:customStyle="1" w:styleId="span5">
    <w:name w:val="span5"/>
    <w:basedOn w:val="Normal"/>
    <w:pPr>
      <w:spacing w:after="150"/>
    </w:pPr>
  </w:style>
  <w:style w:type="paragraph" w:customStyle="1" w:styleId="span4">
    <w:name w:val="span4"/>
    <w:basedOn w:val="Normal"/>
    <w:pPr>
      <w:spacing w:after="150"/>
    </w:pPr>
  </w:style>
  <w:style w:type="paragraph" w:customStyle="1" w:styleId="span3">
    <w:name w:val="span3"/>
    <w:basedOn w:val="Normal"/>
    <w:pPr>
      <w:spacing w:after="150"/>
    </w:pPr>
  </w:style>
  <w:style w:type="paragraph" w:customStyle="1" w:styleId="span2">
    <w:name w:val="span2"/>
    <w:basedOn w:val="Normal"/>
    <w:pPr>
      <w:spacing w:after="150"/>
    </w:pPr>
  </w:style>
  <w:style w:type="paragraph" w:customStyle="1" w:styleId="span1">
    <w:name w:val="span1"/>
    <w:basedOn w:val="Normal"/>
    <w:pPr>
      <w:spacing w:after="150"/>
    </w:pPr>
  </w:style>
  <w:style w:type="paragraph" w:customStyle="1" w:styleId="offset12">
    <w:name w:val="offset12"/>
    <w:basedOn w:val="Normal"/>
    <w:pPr>
      <w:spacing w:after="150"/>
      <w:ind w:left="14700"/>
    </w:pPr>
  </w:style>
  <w:style w:type="paragraph" w:customStyle="1" w:styleId="offset11">
    <w:name w:val="offset11"/>
    <w:basedOn w:val="Normal"/>
    <w:pPr>
      <w:spacing w:after="150"/>
      <w:ind w:left="13500"/>
    </w:pPr>
  </w:style>
  <w:style w:type="paragraph" w:customStyle="1" w:styleId="offset10">
    <w:name w:val="offset10"/>
    <w:basedOn w:val="Normal"/>
    <w:pPr>
      <w:spacing w:after="150"/>
      <w:ind w:left="12300"/>
    </w:pPr>
  </w:style>
  <w:style w:type="paragraph" w:customStyle="1" w:styleId="offset9">
    <w:name w:val="offset9"/>
    <w:basedOn w:val="Normal"/>
    <w:pPr>
      <w:spacing w:after="150"/>
      <w:ind w:left="11100"/>
    </w:pPr>
  </w:style>
  <w:style w:type="paragraph" w:customStyle="1" w:styleId="offset8">
    <w:name w:val="offset8"/>
    <w:basedOn w:val="Normal"/>
    <w:pPr>
      <w:spacing w:after="150"/>
      <w:ind w:left="9900"/>
    </w:pPr>
  </w:style>
  <w:style w:type="paragraph" w:customStyle="1" w:styleId="offset7">
    <w:name w:val="offset7"/>
    <w:basedOn w:val="Normal"/>
    <w:pPr>
      <w:spacing w:after="150"/>
      <w:ind w:left="8700"/>
    </w:pPr>
  </w:style>
  <w:style w:type="paragraph" w:customStyle="1" w:styleId="offset6">
    <w:name w:val="offset6"/>
    <w:basedOn w:val="Normal"/>
    <w:pPr>
      <w:spacing w:after="150"/>
      <w:ind w:left="7500"/>
    </w:pPr>
  </w:style>
  <w:style w:type="paragraph" w:customStyle="1" w:styleId="offset5">
    <w:name w:val="offset5"/>
    <w:basedOn w:val="Normal"/>
    <w:pPr>
      <w:spacing w:after="150"/>
      <w:ind w:left="6300"/>
    </w:pPr>
  </w:style>
  <w:style w:type="paragraph" w:customStyle="1" w:styleId="offset4">
    <w:name w:val="offset4"/>
    <w:basedOn w:val="Normal"/>
    <w:pPr>
      <w:spacing w:after="150"/>
      <w:ind w:left="5100"/>
    </w:pPr>
  </w:style>
  <w:style w:type="paragraph" w:customStyle="1" w:styleId="offset3">
    <w:name w:val="offset3"/>
    <w:basedOn w:val="Normal"/>
    <w:pPr>
      <w:spacing w:after="150"/>
      <w:ind w:left="3900"/>
    </w:pPr>
  </w:style>
  <w:style w:type="paragraph" w:customStyle="1" w:styleId="offset2">
    <w:name w:val="offset2"/>
    <w:basedOn w:val="Normal"/>
    <w:pPr>
      <w:spacing w:after="150"/>
      <w:ind w:left="2700"/>
    </w:pPr>
  </w:style>
  <w:style w:type="paragraph" w:customStyle="1" w:styleId="offset1">
    <w:name w:val="offset1"/>
    <w:basedOn w:val="Normal"/>
    <w:pPr>
      <w:spacing w:after="150"/>
      <w:ind w:left="1500"/>
    </w:pPr>
  </w:style>
  <w:style w:type="paragraph" w:customStyle="1" w:styleId="row-fluid">
    <w:name w:val="row-fluid"/>
    <w:basedOn w:val="Normal"/>
    <w:pPr>
      <w:spacing w:after="150"/>
    </w:pPr>
  </w:style>
  <w:style w:type="paragraph" w:customStyle="1" w:styleId="container-fluid">
    <w:name w:val="container-fluid"/>
    <w:basedOn w:val="Normal"/>
    <w:pPr>
      <w:shd w:val="clear" w:color="auto" w:fill="FFFFFF"/>
      <w:spacing w:after="150"/>
    </w:pPr>
  </w:style>
  <w:style w:type="paragraph" w:customStyle="1" w:styleId="lead">
    <w:name w:val="lead"/>
    <w:basedOn w:val="Normal"/>
    <w:pPr>
      <w:spacing w:after="300" w:line="450" w:lineRule="atLeast"/>
    </w:pPr>
    <w:rPr>
      <w:sz w:val="30"/>
      <w:szCs w:val="30"/>
    </w:rPr>
  </w:style>
  <w:style w:type="paragraph" w:customStyle="1" w:styleId="muted">
    <w:name w:val="muted"/>
    <w:basedOn w:val="Normal"/>
    <w:pPr>
      <w:spacing w:after="150"/>
    </w:pPr>
    <w:rPr>
      <w:color w:val="999999"/>
    </w:rPr>
  </w:style>
  <w:style w:type="paragraph" w:customStyle="1" w:styleId="page-header">
    <w:name w:val="page-header"/>
    <w:basedOn w:val="Normal"/>
    <w:pPr>
      <w:pBdr>
        <w:bottom w:val="single" w:sz="6" w:space="7" w:color="EEEEEE"/>
      </w:pBdr>
      <w:spacing w:before="300" w:after="450"/>
    </w:pPr>
  </w:style>
  <w:style w:type="paragraph" w:customStyle="1" w:styleId="uneditable-input">
    <w:name w:val="uneditable-input"/>
    <w:basedOn w:val="Normal"/>
    <w:pPr>
      <w:shd w:val="clear" w:color="auto" w:fill="FCFCFC"/>
      <w:spacing w:after="150"/>
    </w:pPr>
    <w:rPr>
      <w:color w:val="999999"/>
    </w:rPr>
  </w:style>
  <w:style w:type="paragraph" w:customStyle="1" w:styleId="uneditable-textarea">
    <w:name w:val="uneditable-textarea"/>
    <w:basedOn w:val="Normal"/>
    <w:pPr>
      <w:shd w:val="clear" w:color="auto" w:fill="FCFCFC"/>
      <w:spacing w:after="150"/>
    </w:pPr>
    <w:rPr>
      <w:color w:val="999999"/>
    </w:rPr>
  </w:style>
  <w:style w:type="paragraph" w:customStyle="1" w:styleId="radio">
    <w:name w:val="radio"/>
    <w:basedOn w:val="Normal"/>
    <w:pPr>
      <w:spacing w:after="150"/>
    </w:pPr>
  </w:style>
  <w:style w:type="paragraph" w:customStyle="1" w:styleId="checkbox">
    <w:name w:val="checkbox"/>
    <w:basedOn w:val="Normal"/>
    <w:pPr>
      <w:spacing w:after="150"/>
    </w:pPr>
  </w:style>
  <w:style w:type="paragraph" w:customStyle="1" w:styleId="input-mini">
    <w:name w:val="input-mini"/>
    <w:basedOn w:val="Normal"/>
    <w:pPr>
      <w:spacing w:after="150"/>
    </w:pPr>
  </w:style>
  <w:style w:type="paragraph" w:customStyle="1" w:styleId="input-small">
    <w:name w:val="input-small"/>
    <w:basedOn w:val="Normal"/>
    <w:pPr>
      <w:spacing w:after="150"/>
    </w:pPr>
  </w:style>
  <w:style w:type="paragraph" w:customStyle="1" w:styleId="input-medium">
    <w:name w:val="input-medium"/>
    <w:basedOn w:val="Normal"/>
    <w:pPr>
      <w:spacing w:after="150"/>
    </w:pPr>
  </w:style>
  <w:style w:type="paragraph" w:customStyle="1" w:styleId="input-large">
    <w:name w:val="input-large"/>
    <w:basedOn w:val="Normal"/>
    <w:pPr>
      <w:spacing w:after="150"/>
    </w:pPr>
  </w:style>
  <w:style w:type="paragraph" w:customStyle="1" w:styleId="input-xlarge">
    <w:name w:val="input-xlarge"/>
    <w:basedOn w:val="Normal"/>
    <w:pPr>
      <w:spacing w:after="150"/>
    </w:pPr>
  </w:style>
  <w:style w:type="paragraph" w:customStyle="1" w:styleId="input-xxlarge">
    <w:name w:val="input-xxlarge"/>
    <w:basedOn w:val="Normal"/>
    <w:pPr>
      <w:spacing w:after="150"/>
    </w:pPr>
  </w:style>
  <w:style w:type="paragraph" w:customStyle="1" w:styleId="help-block">
    <w:name w:val="help-block"/>
    <w:basedOn w:val="Normal"/>
    <w:pPr>
      <w:spacing w:after="150"/>
    </w:pPr>
    <w:rPr>
      <w:color w:val="595959"/>
    </w:rPr>
  </w:style>
  <w:style w:type="paragraph" w:customStyle="1" w:styleId="help-inline">
    <w:name w:val="help-inline"/>
    <w:basedOn w:val="Normal"/>
    <w:pPr>
      <w:spacing w:after="150"/>
      <w:textAlignment w:val="center"/>
    </w:pPr>
    <w:rPr>
      <w:color w:val="595959"/>
    </w:rPr>
  </w:style>
  <w:style w:type="paragraph" w:customStyle="1" w:styleId="input-append">
    <w:name w:val="input-append"/>
    <w:basedOn w:val="Normal"/>
    <w:pPr>
      <w:spacing w:after="75"/>
    </w:pPr>
    <w:rPr>
      <w:sz w:val="2"/>
      <w:szCs w:val="2"/>
    </w:rPr>
  </w:style>
  <w:style w:type="paragraph" w:customStyle="1" w:styleId="input-prepend">
    <w:name w:val="input-prepend"/>
    <w:basedOn w:val="Normal"/>
    <w:pPr>
      <w:spacing w:after="75"/>
    </w:pPr>
    <w:rPr>
      <w:sz w:val="2"/>
      <w:szCs w:val="2"/>
    </w:rPr>
  </w:style>
  <w:style w:type="paragraph" w:customStyle="1" w:styleId="control-group">
    <w:name w:val="control-group"/>
    <w:basedOn w:val="Normal"/>
    <w:pPr>
      <w:spacing w:after="150"/>
    </w:pPr>
  </w:style>
  <w:style w:type="paragraph" w:customStyle="1" w:styleId="table">
    <w:name w:val="table"/>
    <w:basedOn w:val="Normal"/>
    <w:pPr>
      <w:spacing w:after="300"/>
    </w:pPr>
  </w:style>
  <w:style w:type="paragraph" w:customStyle="1" w:styleId="table-bordered">
    <w:name w:val="table-bordered"/>
    <w:basedOn w:val="Normal"/>
    <w:pPr>
      <w:pBdr>
        <w:top w:val="single" w:sz="6" w:space="0" w:color="DDDDDD"/>
        <w:left w:val="single" w:sz="2" w:space="0" w:color="DDDDDD"/>
        <w:bottom w:val="single" w:sz="6" w:space="0" w:color="DDDDDD"/>
        <w:right w:val="single" w:sz="6" w:space="0" w:color="DDDDDD"/>
      </w:pBdr>
      <w:spacing w:after="150"/>
    </w:pPr>
  </w:style>
  <w:style w:type="paragraph" w:customStyle="1" w:styleId="icon-muted">
    <w:name w:val="icon-muted"/>
    <w:basedOn w:val="Normal"/>
    <w:pPr>
      <w:spacing w:after="150"/>
    </w:pPr>
    <w:rPr>
      <w:color w:val="EEEEEE"/>
    </w:rPr>
  </w:style>
  <w:style w:type="paragraph" w:customStyle="1" w:styleId="icon-border">
    <w:name w:val="icon-border"/>
    <w:basedOn w:val="Normal"/>
    <w:pPr>
      <w:pBdr>
        <w:top w:val="single" w:sz="6" w:space="2" w:color="EEEEEE"/>
        <w:left w:val="single" w:sz="6" w:space="3" w:color="EEEEEE"/>
        <w:bottom w:val="single" w:sz="6" w:space="2" w:color="EEEEEE"/>
        <w:right w:val="single" w:sz="6" w:space="3" w:color="EEEEEE"/>
      </w:pBdr>
      <w:spacing w:after="150"/>
    </w:pPr>
  </w:style>
  <w:style w:type="paragraph" w:customStyle="1" w:styleId="icon-2x">
    <w:name w:val="icon-2x"/>
    <w:basedOn w:val="Normal"/>
    <w:pPr>
      <w:spacing w:after="150"/>
    </w:pPr>
    <w:rPr>
      <w:sz w:val="48"/>
      <w:szCs w:val="48"/>
    </w:rPr>
  </w:style>
  <w:style w:type="paragraph" w:customStyle="1" w:styleId="icon-3x">
    <w:name w:val="icon-3x"/>
    <w:basedOn w:val="Normal"/>
    <w:pPr>
      <w:spacing w:after="150"/>
    </w:pPr>
    <w:rPr>
      <w:sz w:val="72"/>
      <w:szCs w:val="72"/>
    </w:rPr>
  </w:style>
  <w:style w:type="paragraph" w:customStyle="1" w:styleId="icon-4x">
    <w:name w:val="icon-4x"/>
    <w:basedOn w:val="Normal"/>
    <w:pPr>
      <w:spacing w:after="150"/>
    </w:pPr>
    <w:rPr>
      <w:sz w:val="96"/>
      <w:szCs w:val="96"/>
    </w:rPr>
  </w:style>
  <w:style w:type="paragraph" w:customStyle="1" w:styleId="icon-large">
    <w:name w:val="icon-large"/>
    <w:basedOn w:val="Normal"/>
    <w:pPr>
      <w:textAlignment w:val="center"/>
    </w:pPr>
    <w:rPr>
      <w:sz w:val="32"/>
      <w:szCs w:val="32"/>
    </w:rPr>
  </w:style>
  <w:style w:type="paragraph" w:customStyle="1" w:styleId="caret">
    <w:name w:val="caret"/>
    <w:basedOn w:val="Normal"/>
    <w:pPr>
      <w:pBdr>
        <w:top w:val="single" w:sz="24" w:space="0" w:color="000000"/>
      </w:pBdr>
      <w:spacing w:after="150"/>
      <w:textAlignment w:val="top"/>
    </w:pPr>
  </w:style>
  <w:style w:type="paragraph" w:customStyle="1" w:styleId="dropdown-menu">
    <w:name w:val="dropdown-menu"/>
    <w:basedOn w:val="Normal"/>
    <w:pPr>
      <w:pBdr>
        <w:top w:val="single" w:sz="6" w:space="4" w:color="CCCCCC"/>
        <w:left w:val="single" w:sz="6" w:space="0" w:color="CCCCCC"/>
        <w:bottom w:val="single" w:sz="6" w:space="4" w:color="CCCCCC"/>
        <w:right w:val="single" w:sz="6" w:space="0" w:color="CCCCCC"/>
      </w:pBdr>
      <w:shd w:val="clear" w:color="auto" w:fill="FFFFFF"/>
      <w:spacing w:before="30"/>
    </w:pPr>
    <w:rPr>
      <w:vanish/>
    </w:rPr>
  </w:style>
  <w:style w:type="paragraph" w:customStyle="1" w:styleId="typeahead">
    <w:name w:val="typeahead"/>
    <w:basedOn w:val="Normal"/>
    <w:pPr>
      <w:spacing w:before="30" w:after="150"/>
    </w:pPr>
  </w:style>
  <w:style w:type="paragraph" w:customStyle="1" w:styleId="well">
    <w:name w:val="well"/>
    <w:basedOn w:val="Normal"/>
    <w:pPr>
      <w:pBdr>
        <w:top w:val="single" w:sz="6" w:space="14" w:color="E3E3E3"/>
        <w:left w:val="single" w:sz="6" w:space="14" w:color="E3E3E3"/>
        <w:bottom w:val="single" w:sz="6" w:space="14" w:color="E3E3E3"/>
        <w:right w:val="single" w:sz="6" w:space="14" w:color="E3E3E3"/>
      </w:pBdr>
      <w:shd w:val="clear" w:color="auto" w:fill="F5F5F5"/>
      <w:spacing w:after="300"/>
    </w:pPr>
  </w:style>
  <w:style w:type="paragraph" w:customStyle="1" w:styleId="well-large">
    <w:name w:val="well-large"/>
    <w:basedOn w:val="Normal"/>
    <w:pPr>
      <w:spacing w:after="150"/>
    </w:pPr>
  </w:style>
  <w:style w:type="paragraph" w:customStyle="1" w:styleId="well-small">
    <w:name w:val="well-small"/>
    <w:basedOn w:val="Normal"/>
    <w:pPr>
      <w:spacing w:after="150"/>
    </w:pPr>
  </w:style>
  <w:style w:type="paragraph" w:customStyle="1" w:styleId="collapse">
    <w:name w:val="collapse"/>
    <w:basedOn w:val="Normal"/>
    <w:pPr>
      <w:spacing w:after="150"/>
    </w:pPr>
  </w:style>
  <w:style w:type="paragraph" w:customStyle="1" w:styleId="close">
    <w:name w:val="close"/>
    <w:basedOn w:val="Normal"/>
    <w:pPr>
      <w:spacing w:after="150" w:line="300" w:lineRule="atLeast"/>
    </w:pPr>
    <w:rPr>
      <w:b/>
      <w:bCs/>
      <w:color w:val="000000"/>
      <w:sz w:val="30"/>
      <w:szCs w:val="30"/>
    </w:rPr>
  </w:style>
  <w:style w:type="paragraph" w:customStyle="1" w:styleId="btn">
    <w:name w:val="btn"/>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jc w:val="center"/>
      <w:textAlignment w:val="center"/>
    </w:pPr>
    <w:rPr>
      <w:color w:val="333333"/>
      <w:sz w:val="21"/>
      <w:szCs w:val="21"/>
    </w:rPr>
  </w:style>
  <w:style w:type="paragraph" w:customStyle="1" w:styleId="btn-large">
    <w:name w:val="btn-large"/>
    <w:basedOn w:val="Normal"/>
    <w:pPr>
      <w:spacing w:after="150"/>
    </w:pPr>
  </w:style>
  <w:style w:type="paragraph" w:customStyle="1" w:styleId="btn-small">
    <w:name w:val="btn-small"/>
    <w:basedOn w:val="Normal"/>
    <w:pPr>
      <w:spacing w:after="150" w:line="270" w:lineRule="atLeast"/>
    </w:pPr>
    <w:rPr>
      <w:sz w:val="18"/>
      <w:szCs w:val="18"/>
    </w:rPr>
  </w:style>
  <w:style w:type="paragraph" w:customStyle="1" w:styleId="btn-mini">
    <w:name w:val="btn-mini"/>
    <w:basedOn w:val="Normal"/>
    <w:pPr>
      <w:spacing w:after="150" w:line="240" w:lineRule="atLeast"/>
    </w:pPr>
    <w:rPr>
      <w:sz w:val="17"/>
      <w:szCs w:val="17"/>
    </w:rPr>
  </w:style>
  <w:style w:type="paragraph" w:customStyle="1" w:styleId="btn-block">
    <w:name w:val="btn-block"/>
    <w:basedOn w:val="Normal"/>
    <w:pPr>
      <w:spacing w:after="150"/>
    </w:pPr>
  </w:style>
  <w:style w:type="paragraph" w:customStyle="1" w:styleId="btn-primary">
    <w:name w:val="btn-primary"/>
    <w:basedOn w:val="Normal"/>
    <w:pPr>
      <w:shd w:val="clear" w:color="auto" w:fill="006DCC"/>
      <w:spacing w:after="150"/>
    </w:pPr>
    <w:rPr>
      <w:color w:val="FFFFFF"/>
    </w:rPr>
  </w:style>
  <w:style w:type="paragraph" w:customStyle="1" w:styleId="btn-warning">
    <w:name w:val="btn-warning"/>
    <w:basedOn w:val="Normal"/>
    <w:pPr>
      <w:shd w:val="clear" w:color="auto" w:fill="FAA732"/>
      <w:spacing w:after="150"/>
    </w:pPr>
    <w:rPr>
      <w:color w:val="FFFFFF"/>
    </w:rPr>
  </w:style>
  <w:style w:type="paragraph" w:customStyle="1" w:styleId="btn-danger">
    <w:name w:val="btn-danger"/>
    <w:basedOn w:val="Normal"/>
    <w:pPr>
      <w:shd w:val="clear" w:color="auto" w:fill="DA4F49"/>
      <w:spacing w:after="150"/>
    </w:pPr>
    <w:rPr>
      <w:color w:val="FFFFFF"/>
    </w:rPr>
  </w:style>
  <w:style w:type="paragraph" w:customStyle="1" w:styleId="btn-success">
    <w:name w:val="btn-success"/>
    <w:basedOn w:val="Normal"/>
    <w:pPr>
      <w:shd w:val="clear" w:color="auto" w:fill="5BB75B"/>
      <w:spacing w:after="150"/>
    </w:pPr>
    <w:rPr>
      <w:color w:val="FFFFFF"/>
    </w:rPr>
  </w:style>
  <w:style w:type="paragraph" w:customStyle="1" w:styleId="btn-info">
    <w:name w:val="btn-info"/>
    <w:basedOn w:val="Normal"/>
    <w:pPr>
      <w:shd w:val="clear" w:color="auto" w:fill="49AFCD"/>
      <w:spacing w:after="150"/>
    </w:pPr>
    <w:rPr>
      <w:color w:val="FFFFFF"/>
    </w:rPr>
  </w:style>
  <w:style w:type="paragraph" w:customStyle="1" w:styleId="btn-inverse">
    <w:name w:val="btn-inverse"/>
    <w:basedOn w:val="Normal"/>
    <w:pPr>
      <w:shd w:val="clear" w:color="auto" w:fill="363636"/>
      <w:spacing w:after="150"/>
    </w:pPr>
    <w:rPr>
      <w:color w:val="FFFFFF"/>
    </w:rPr>
  </w:style>
  <w:style w:type="paragraph" w:customStyle="1" w:styleId="btn-link">
    <w:name w:val="btn-link"/>
    <w:basedOn w:val="Normal"/>
    <w:pPr>
      <w:spacing w:after="150"/>
    </w:pPr>
    <w:rPr>
      <w:color w:val="0088CC"/>
    </w:rPr>
  </w:style>
  <w:style w:type="paragraph" w:customStyle="1" w:styleId="btn-group">
    <w:name w:val="btn-group"/>
    <w:basedOn w:val="Normal"/>
    <w:pPr>
      <w:spacing w:after="150"/>
    </w:pPr>
    <w:rPr>
      <w:sz w:val="2"/>
      <w:szCs w:val="2"/>
    </w:rPr>
  </w:style>
  <w:style w:type="paragraph" w:customStyle="1" w:styleId="btn-toolbar">
    <w:name w:val="btn-toolbar"/>
    <w:basedOn w:val="Normal"/>
    <w:pPr>
      <w:spacing w:before="150" w:after="150"/>
    </w:pPr>
    <w:rPr>
      <w:sz w:val="2"/>
      <w:szCs w:val="2"/>
    </w:rPr>
  </w:style>
  <w:style w:type="paragraph" w:customStyle="1" w:styleId="alert">
    <w:name w:val="alert"/>
    <w:basedOn w:val="Normal"/>
    <w:pPr>
      <w:pBdr>
        <w:top w:val="single" w:sz="6" w:space="6" w:color="FBEED5"/>
        <w:left w:val="single" w:sz="6" w:space="11" w:color="FBEED5"/>
        <w:bottom w:val="single" w:sz="6" w:space="6" w:color="FBEED5"/>
        <w:right w:val="single" w:sz="6" w:space="26" w:color="FBEED5"/>
      </w:pBdr>
      <w:shd w:val="clear" w:color="auto" w:fill="FCF8E3"/>
      <w:spacing w:after="300"/>
    </w:pPr>
    <w:rPr>
      <w:color w:val="C09853"/>
    </w:rPr>
  </w:style>
  <w:style w:type="paragraph" w:customStyle="1" w:styleId="alert-success">
    <w:name w:val="alert-success"/>
    <w:basedOn w:val="Normal"/>
    <w:pPr>
      <w:shd w:val="clear" w:color="auto" w:fill="DFF0D8"/>
      <w:spacing w:after="150"/>
    </w:pPr>
    <w:rPr>
      <w:color w:val="468847"/>
    </w:rPr>
  </w:style>
  <w:style w:type="paragraph" w:customStyle="1" w:styleId="alert-danger">
    <w:name w:val="alert-danger"/>
    <w:basedOn w:val="Normal"/>
    <w:pPr>
      <w:shd w:val="clear" w:color="auto" w:fill="F2DEDE"/>
      <w:spacing w:after="150"/>
    </w:pPr>
    <w:rPr>
      <w:color w:val="B94A48"/>
    </w:rPr>
  </w:style>
  <w:style w:type="paragraph" w:customStyle="1" w:styleId="alert-error">
    <w:name w:val="alert-error"/>
    <w:basedOn w:val="Normal"/>
    <w:pPr>
      <w:shd w:val="clear" w:color="auto" w:fill="F2DEDE"/>
      <w:spacing w:after="150"/>
    </w:pPr>
    <w:rPr>
      <w:color w:val="B94A48"/>
    </w:rPr>
  </w:style>
  <w:style w:type="paragraph" w:customStyle="1" w:styleId="alert-info">
    <w:name w:val="alert-info"/>
    <w:basedOn w:val="Normal"/>
    <w:pPr>
      <w:shd w:val="clear" w:color="auto" w:fill="D9EDF7"/>
      <w:spacing w:after="150"/>
    </w:pPr>
    <w:rPr>
      <w:color w:val="3A87AD"/>
    </w:rPr>
  </w:style>
  <w:style w:type="paragraph" w:customStyle="1" w:styleId="alert-block">
    <w:name w:val="alert-block"/>
    <w:basedOn w:val="Normal"/>
    <w:pPr>
      <w:spacing w:after="150"/>
    </w:pPr>
  </w:style>
  <w:style w:type="paragraph" w:customStyle="1" w:styleId="nav">
    <w:name w:val="nav"/>
    <w:basedOn w:val="Normal"/>
    <w:pPr>
      <w:spacing w:after="300"/>
    </w:pPr>
  </w:style>
  <w:style w:type="paragraph" w:customStyle="1" w:styleId="nav-header">
    <w:name w:val="nav-header"/>
    <w:basedOn w:val="Normal"/>
    <w:pPr>
      <w:spacing w:after="150" w:line="300" w:lineRule="atLeast"/>
    </w:pPr>
    <w:rPr>
      <w:b/>
      <w:bCs/>
      <w:caps/>
      <w:color w:val="999999"/>
      <w:sz w:val="17"/>
      <w:szCs w:val="17"/>
    </w:rPr>
  </w:style>
  <w:style w:type="paragraph" w:customStyle="1" w:styleId="nav-list">
    <w:name w:val="nav-list"/>
    <w:basedOn w:val="Normal"/>
  </w:style>
  <w:style w:type="paragraph" w:customStyle="1" w:styleId="nav-tabs">
    <w:name w:val="nav-tabs"/>
    <w:basedOn w:val="Normal"/>
    <w:pPr>
      <w:pBdr>
        <w:bottom w:val="single" w:sz="6" w:space="0" w:color="DDDDDD"/>
      </w:pBdr>
      <w:spacing w:after="150"/>
    </w:pPr>
  </w:style>
  <w:style w:type="paragraph" w:customStyle="1" w:styleId="navbar">
    <w:name w:val="navbar"/>
    <w:basedOn w:val="Normal"/>
    <w:pPr>
      <w:spacing w:after="300"/>
    </w:pPr>
    <w:rPr>
      <w:color w:val="555555"/>
    </w:rPr>
  </w:style>
  <w:style w:type="paragraph" w:customStyle="1" w:styleId="navbar-inner">
    <w:name w:val="navbar-inner"/>
    <w:basedOn w:val="Normal"/>
    <w:pPr>
      <w:pBdr>
        <w:top w:val="single" w:sz="6" w:space="0" w:color="D4D4D4"/>
        <w:left w:val="single" w:sz="6" w:space="15" w:color="D4D4D4"/>
        <w:bottom w:val="single" w:sz="6" w:space="0" w:color="D4D4D4"/>
        <w:right w:val="single" w:sz="6" w:space="15" w:color="D4D4D4"/>
      </w:pBdr>
      <w:shd w:val="clear" w:color="auto" w:fill="FAFAFA"/>
      <w:spacing w:after="150"/>
    </w:pPr>
  </w:style>
  <w:style w:type="paragraph" w:customStyle="1" w:styleId="navbar-text">
    <w:name w:val="navbar-text"/>
    <w:basedOn w:val="Normal"/>
    <w:pPr>
      <w:spacing w:line="600" w:lineRule="atLeast"/>
    </w:pPr>
  </w:style>
  <w:style w:type="paragraph" w:customStyle="1" w:styleId="navbar-link">
    <w:name w:val="navbar-link"/>
    <w:basedOn w:val="Normal"/>
    <w:pPr>
      <w:spacing w:after="150"/>
    </w:pPr>
    <w:rPr>
      <w:color w:val="555555"/>
    </w:rPr>
  </w:style>
  <w:style w:type="paragraph" w:customStyle="1" w:styleId="navbar-form">
    <w:name w:val="navbar-form"/>
    <w:basedOn w:val="Normal"/>
  </w:style>
  <w:style w:type="paragraph" w:customStyle="1" w:styleId="navbar-search">
    <w:name w:val="navbar-search"/>
    <w:basedOn w:val="Normal"/>
    <w:pPr>
      <w:spacing w:before="75"/>
    </w:pPr>
  </w:style>
  <w:style w:type="paragraph" w:customStyle="1" w:styleId="navbar-static-top">
    <w:name w:val="navbar-static-top"/>
    <w:basedOn w:val="Normal"/>
  </w:style>
  <w:style w:type="paragraph" w:customStyle="1" w:styleId="navbar-fixed-top">
    <w:name w:val="navbar-fixed-top"/>
    <w:basedOn w:val="Normal"/>
  </w:style>
  <w:style w:type="paragraph" w:customStyle="1" w:styleId="navbar-fixed-bottom">
    <w:name w:val="navbar-fixed-bottom"/>
    <w:basedOn w:val="Normal"/>
  </w:style>
  <w:style w:type="paragraph" w:customStyle="1" w:styleId="navbar-inverse">
    <w:name w:val="navbar-inverse"/>
    <w:basedOn w:val="Normal"/>
    <w:pPr>
      <w:spacing w:after="150"/>
    </w:pPr>
    <w:rPr>
      <w:color w:val="999999"/>
    </w:r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after="300"/>
    </w:pPr>
  </w:style>
  <w:style w:type="paragraph" w:customStyle="1" w:styleId="pagination-centered">
    <w:name w:val="pagination-centered"/>
    <w:basedOn w:val="Normal"/>
    <w:pPr>
      <w:spacing w:after="150"/>
      <w:jc w:val="center"/>
    </w:pPr>
  </w:style>
  <w:style w:type="paragraph" w:customStyle="1" w:styleId="pagination-right">
    <w:name w:val="pagination-right"/>
    <w:basedOn w:val="Normal"/>
    <w:pPr>
      <w:spacing w:after="150"/>
      <w:jc w:val="right"/>
    </w:pPr>
  </w:style>
  <w:style w:type="paragraph" w:customStyle="1" w:styleId="pager">
    <w:name w:val="pager"/>
    <w:basedOn w:val="Normal"/>
    <w:pPr>
      <w:spacing w:before="300" w:after="300"/>
      <w:jc w:val="center"/>
    </w:pPr>
  </w:style>
  <w:style w:type="paragraph" w:customStyle="1" w:styleId="modal-backdrop">
    <w:name w:val="modal-backdrop"/>
    <w:basedOn w:val="Normal"/>
    <w:pPr>
      <w:shd w:val="clear" w:color="auto" w:fill="000000"/>
      <w:spacing w:after="150"/>
    </w:pPr>
  </w:style>
  <w:style w:type="paragraph" w:customStyle="1" w:styleId="modal">
    <w:name w:val="modal"/>
    <w:basedOn w:val="Normal"/>
    <w:pPr>
      <w:pBdr>
        <w:top w:val="single" w:sz="6" w:space="0" w:color="999999"/>
        <w:left w:val="single" w:sz="6" w:space="0" w:color="999999"/>
        <w:bottom w:val="single" w:sz="6" w:space="0" w:color="999999"/>
        <w:right w:val="single" w:sz="6" w:space="0" w:color="999999"/>
      </w:pBdr>
      <w:shd w:val="clear" w:color="auto" w:fill="FFFFFF"/>
      <w:ind w:left="-4200"/>
    </w:pPr>
  </w:style>
  <w:style w:type="paragraph" w:customStyle="1" w:styleId="modal-header">
    <w:name w:val="modal-header"/>
    <w:basedOn w:val="Normal"/>
    <w:pPr>
      <w:pBdr>
        <w:bottom w:val="single" w:sz="6" w:space="7" w:color="EEEEEE"/>
      </w:pBdr>
      <w:spacing w:after="150"/>
    </w:pPr>
  </w:style>
  <w:style w:type="paragraph" w:customStyle="1" w:styleId="modal-body">
    <w:name w:val="modal-body"/>
    <w:basedOn w:val="Normal"/>
    <w:pPr>
      <w:spacing w:after="150"/>
    </w:pPr>
  </w:style>
  <w:style w:type="paragraph" w:customStyle="1" w:styleId="modal-form">
    <w:name w:val="modal-form"/>
    <w:basedOn w:val="Normal"/>
  </w:style>
  <w:style w:type="paragraph" w:customStyle="1" w:styleId="modal-footer">
    <w:name w:val="modal-footer"/>
    <w:basedOn w:val="Normal"/>
    <w:pPr>
      <w:pBdr>
        <w:top w:val="single" w:sz="6" w:space="11" w:color="DDDDDD"/>
      </w:pBdr>
      <w:shd w:val="clear" w:color="auto" w:fill="F5F5F5"/>
      <w:jc w:val="right"/>
    </w:pPr>
  </w:style>
  <w:style w:type="paragraph" w:customStyle="1" w:styleId="tooltip">
    <w:name w:val="tooltip"/>
    <w:basedOn w:val="Normal"/>
    <w:pPr>
      <w:spacing w:after="150"/>
    </w:pPr>
    <w:rPr>
      <w:sz w:val="17"/>
      <w:szCs w:val="17"/>
    </w:rPr>
  </w:style>
  <w:style w:type="paragraph" w:customStyle="1" w:styleId="tooltip-inner">
    <w:name w:val="tooltip-inner"/>
    <w:basedOn w:val="Normal"/>
    <w:pPr>
      <w:shd w:val="clear" w:color="auto" w:fill="000000"/>
      <w:spacing w:after="150"/>
      <w:jc w:val="center"/>
    </w:pPr>
    <w:rPr>
      <w:color w:val="FFFFFF"/>
    </w:rPr>
  </w:style>
  <w:style w:type="paragraph" w:customStyle="1" w:styleId="tooltip-arrow">
    <w:name w:val="tooltip-arrow"/>
    <w:basedOn w:val="Normal"/>
    <w:pPr>
      <w:pBdr>
        <w:top w:val="single" w:sz="24" w:space="0" w:color="auto"/>
        <w:left w:val="single" w:sz="24" w:space="0" w:color="auto"/>
        <w:bottom w:val="single" w:sz="24" w:space="0" w:color="auto"/>
        <w:right w:val="single" w:sz="24" w:space="0" w:color="auto"/>
      </w:pBdr>
      <w:spacing w:after="150"/>
    </w:pPr>
  </w:style>
  <w:style w:type="paragraph" w:customStyle="1" w:styleId="popover">
    <w:name w:val="popover"/>
    <w:basedOn w:val="Normal"/>
    <w:pPr>
      <w:pBdr>
        <w:top w:val="single" w:sz="6" w:space="1" w:color="CCCCCC"/>
        <w:left w:val="single" w:sz="6" w:space="1" w:color="CCCCCC"/>
        <w:bottom w:val="single" w:sz="6" w:space="1" w:color="CCCCCC"/>
        <w:right w:val="single" w:sz="6" w:space="1" w:color="CCCCCC"/>
      </w:pBdr>
      <w:shd w:val="clear" w:color="auto" w:fill="FFFFFF"/>
      <w:spacing w:after="150"/>
    </w:pPr>
    <w:rPr>
      <w:vanish/>
    </w:rPr>
  </w:style>
  <w:style w:type="paragraph" w:customStyle="1" w:styleId="popover-title">
    <w:name w:val="popover-title"/>
    <w:basedOn w:val="Normal"/>
    <w:pPr>
      <w:pBdr>
        <w:bottom w:val="single" w:sz="6" w:space="6" w:color="EBEBEB"/>
      </w:pBdr>
      <w:shd w:val="clear" w:color="auto" w:fill="F7F7F7"/>
      <w:spacing w:line="270" w:lineRule="atLeast"/>
    </w:pPr>
    <w:rPr>
      <w:sz w:val="21"/>
      <w:szCs w:val="21"/>
    </w:rPr>
  </w:style>
  <w:style w:type="paragraph" w:customStyle="1" w:styleId="popover-content">
    <w:name w:val="popover-content"/>
    <w:basedOn w:val="Normal"/>
    <w:pPr>
      <w:spacing w:after="150"/>
    </w:pPr>
  </w:style>
  <w:style w:type="paragraph" w:customStyle="1" w:styleId="thumbnails">
    <w:name w:val="thumbnails"/>
    <w:basedOn w:val="Normal"/>
    <w:pPr>
      <w:spacing w:after="150"/>
      <w:ind w:left="-300"/>
    </w:pPr>
  </w:style>
  <w:style w:type="paragraph" w:customStyle="1" w:styleId="thumbnail">
    <w:name w:val="thumbnail"/>
    <w:basedOn w:val="Normal"/>
    <w:pPr>
      <w:pBdr>
        <w:top w:val="single" w:sz="6" w:space="3" w:color="DDDDDD"/>
        <w:left w:val="single" w:sz="6" w:space="3" w:color="DDDDDD"/>
        <w:bottom w:val="single" w:sz="6" w:space="3" w:color="DDDDDD"/>
        <w:right w:val="single" w:sz="6" w:space="3" w:color="DDDDDD"/>
      </w:pBdr>
      <w:spacing w:after="150"/>
    </w:pPr>
  </w:style>
  <w:style w:type="paragraph" w:customStyle="1" w:styleId="label">
    <w:name w:val="label"/>
    <w:basedOn w:val="Normal"/>
    <w:pPr>
      <w:shd w:val="clear" w:color="auto" w:fill="999999"/>
      <w:spacing w:after="150" w:line="210" w:lineRule="atLeast"/>
      <w:textAlignment w:val="baseline"/>
    </w:pPr>
    <w:rPr>
      <w:b/>
      <w:bCs/>
      <w:color w:val="FFFFFF"/>
      <w:sz w:val="18"/>
      <w:szCs w:val="18"/>
    </w:rPr>
  </w:style>
  <w:style w:type="paragraph" w:customStyle="1" w:styleId="badge">
    <w:name w:val="badge"/>
    <w:basedOn w:val="Normal"/>
    <w:pPr>
      <w:shd w:val="clear" w:color="auto" w:fill="999999"/>
      <w:spacing w:after="150" w:line="210" w:lineRule="atLeast"/>
      <w:textAlignment w:val="baseline"/>
    </w:pPr>
    <w:rPr>
      <w:b/>
      <w:bCs/>
      <w:color w:val="FFFFFF"/>
      <w:sz w:val="18"/>
      <w:szCs w:val="18"/>
    </w:rPr>
  </w:style>
  <w:style w:type="paragraph" w:customStyle="1" w:styleId="label-important">
    <w:name w:val="label-important"/>
    <w:basedOn w:val="Normal"/>
    <w:pPr>
      <w:shd w:val="clear" w:color="auto" w:fill="B94A48"/>
      <w:spacing w:after="150"/>
    </w:pPr>
  </w:style>
  <w:style w:type="paragraph" w:customStyle="1" w:styleId="badge-important">
    <w:name w:val="badge-important"/>
    <w:basedOn w:val="Normal"/>
    <w:pPr>
      <w:shd w:val="clear" w:color="auto" w:fill="B94A48"/>
      <w:spacing w:after="150"/>
    </w:pPr>
  </w:style>
  <w:style w:type="paragraph" w:customStyle="1" w:styleId="label-importanthref">
    <w:name w:val="label-important[href]"/>
    <w:basedOn w:val="Normal"/>
    <w:pPr>
      <w:shd w:val="clear" w:color="auto" w:fill="953B39"/>
      <w:spacing w:after="150"/>
    </w:pPr>
  </w:style>
  <w:style w:type="paragraph" w:customStyle="1" w:styleId="badge-importanthref">
    <w:name w:val="badge-important[href]"/>
    <w:basedOn w:val="Normal"/>
    <w:pPr>
      <w:shd w:val="clear" w:color="auto" w:fill="953B39"/>
      <w:spacing w:after="150"/>
    </w:pPr>
  </w:style>
  <w:style w:type="paragraph" w:customStyle="1" w:styleId="label-warning">
    <w:name w:val="label-warning"/>
    <w:basedOn w:val="Normal"/>
    <w:pPr>
      <w:shd w:val="clear" w:color="auto" w:fill="F89406"/>
      <w:spacing w:after="150"/>
    </w:pPr>
  </w:style>
  <w:style w:type="paragraph" w:customStyle="1" w:styleId="badge-warning">
    <w:name w:val="badge-warning"/>
    <w:basedOn w:val="Normal"/>
    <w:pPr>
      <w:shd w:val="clear" w:color="auto" w:fill="F89406"/>
      <w:spacing w:after="150"/>
    </w:pPr>
  </w:style>
  <w:style w:type="paragraph" w:customStyle="1" w:styleId="label-warninghref">
    <w:name w:val="label-warning[href]"/>
    <w:basedOn w:val="Normal"/>
    <w:pPr>
      <w:shd w:val="clear" w:color="auto" w:fill="C67605"/>
      <w:spacing w:after="150"/>
    </w:pPr>
  </w:style>
  <w:style w:type="paragraph" w:customStyle="1" w:styleId="badge-warninghref">
    <w:name w:val="badge-warning[href]"/>
    <w:basedOn w:val="Normal"/>
    <w:pPr>
      <w:shd w:val="clear" w:color="auto" w:fill="C67605"/>
      <w:spacing w:after="150"/>
    </w:pPr>
  </w:style>
  <w:style w:type="paragraph" w:customStyle="1" w:styleId="label-success">
    <w:name w:val="label-success"/>
    <w:basedOn w:val="Normal"/>
    <w:pPr>
      <w:shd w:val="clear" w:color="auto" w:fill="468847"/>
      <w:spacing w:after="150"/>
    </w:pPr>
  </w:style>
  <w:style w:type="paragraph" w:customStyle="1" w:styleId="badge-success">
    <w:name w:val="badge-success"/>
    <w:basedOn w:val="Normal"/>
    <w:pPr>
      <w:shd w:val="clear" w:color="auto" w:fill="468847"/>
      <w:spacing w:after="150"/>
    </w:pPr>
  </w:style>
  <w:style w:type="paragraph" w:customStyle="1" w:styleId="label-successhref">
    <w:name w:val="label-success[href]"/>
    <w:basedOn w:val="Normal"/>
    <w:pPr>
      <w:shd w:val="clear" w:color="auto" w:fill="356635"/>
      <w:spacing w:after="150"/>
    </w:pPr>
  </w:style>
  <w:style w:type="paragraph" w:customStyle="1" w:styleId="badge-successhref">
    <w:name w:val="badge-success[href]"/>
    <w:basedOn w:val="Normal"/>
    <w:pPr>
      <w:shd w:val="clear" w:color="auto" w:fill="356635"/>
      <w:spacing w:after="150"/>
    </w:pPr>
  </w:style>
  <w:style w:type="paragraph" w:customStyle="1" w:styleId="label-info">
    <w:name w:val="label-info"/>
    <w:basedOn w:val="Normal"/>
    <w:pPr>
      <w:shd w:val="clear" w:color="auto" w:fill="3A87AD"/>
      <w:spacing w:after="150"/>
    </w:pPr>
  </w:style>
  <w:style w:type="paragraph" w:customStyle="1" w:styleId="badge-info">
    <w:name w:val="badge-info"/>
    <w:basedOn w:val="Normal"/>
    <w:pPr>
      <w:shd w:val="clear" w:color="auto" w:fill="3A87AD"/>
      <w:spacing w:after="150"/>
    </w:pPr>
  </w:style>
  <w:style w:type="paragraph" w:customStyle="1" w:styleId="label-infohref">
    <w:name w:val="label-info[href]"/>
    <w:basedOn w:val="Normal"/>
    <w:pPr>
      <w:shd w:val="clear" w:color="auto" w:fill="2D6987"/>
      <w:spacing w:after="150"/>
    </w:pPr>
  </w:style>
  <w:style w:type="paragraph" w:customStyle="1" w:styleId="badge-infohref">
    <w:name w:val="badge-info[href]"/>
    <w:basedOn w:val="Normal"/>
    <w:pPr>
      <w:shd w:val="clear" w:color="auto" w:fill="2D6987"/>
      <w:spacing w:after="150"/>
    </w:pPr>
  </w:style>
  <w:style w:type="paragraph" w:customStyle="1" w:styleId="label-inverse">
    <w:name w:val="label-inverse"/>
    <w:basedOn w:val="Normal"/>
    <w:pPr>
      <w:shd w:val="clear" w:color="auto" w:fill="333333"/>
      <w:spacing w:after="150"/>
    </w:pPr>
  </w:style>
  <w:style w:type="paragraph" w:customStyle="1" w:styleId="badge-inverse">
    <w:name w:val="badge-inverse"/>
    <w:basedOn w:val="Normal"/>
    <w:pPr>
      <w:shd w:val="clear" w:color="auto" w:fill="333333"/>
      <w:spacing w:after="150"/>
    </w:pPr>
  </w:style>
  <w:style w:type="paragraph" w:customStyle="1" w:styleId="label-inversehref">
    <w:name w:val="label-inverse[href]"/>
    <w:basedOn w:val="Normal"/>
    <w:pPr>
      <w:shd w:val="clear" w:color="auto" w:fill="1A1A1A"/>
      <w:spacing w:after="150"/>
    </w:pPr>
  </w:style>
  <w:style w:type="paragraph" w:customStyle="1" w:styleId="badge-inversehref">
    <w:name w:val="badge-inverse[href]"/>
    <w:basedOn w:val="Normal"/>
    <w:pPr>
      <w:shd w:val="clear" w:color="auto" w:fill="1A1A1A"/>
      <w:spacing w:after="150"/>
    </w:pPr>
  </w:style>
  <w:style w:type="paragraph" w:customStyle="1" w:styleId="accordion">
    <w:name w:val="accordion"/>
    <w:basedOn w:val="Normal"/>
    <w:pPr>
      <w:spacing w:after="300"/>
    </w:pPr>
  </w:style>
  <w:style w:type="paragraph" w:customStyle="1" w:styleId="accordion-group">
    <w:name w:val="accordion-group"/>
    <w:basedOn w:val="Normal"/>
    <w:pPr>
      <w:pBdr>
        <w:top w:val="single" w:sz="6" w:space="0" w:color="E5E5E5"/>
        <w:left w:val="single" w:sz="6" w:space="0" w:color="E5E5E5"/>
        <w:bottom w:val="single" w:sz="6" w:space="0" w:color="E5E5E5"/>
        <w:right w:val="single" w:sz="6" w:space="0" w:color="E5E5E5"/>
      </w:pBdr>
      <w:spacing w:after="30"/>
    </w:pPr>
  </w:style>
  <w:style w:type="paragraph" w:customStyle="1" w:styleId="accordion-heading">
    <w:name w:val="accordion-heading"/>
    <w:basedOn w:val="Normal"/>
    <w:pPr>
      <w:spacing w:after="150"/>
    </w:pPr>
  </w:style>
  <w:style w:type="paragraph" w:customStyle="1" w:styleId="accordion-inner">
    <w:name w:val="accordion-inner"/>
    <w:basedOn w:val="Normal"/>
    <w:pPr>
      <w:pBdr>
        <w:top w:val="single" w:sz="6" w:space="7" w:color="E5E5E5"/>
      </w:pBdr>
      <w:spacing w:after="150"/>
    </w:pPr>
  </w:style>
  <w:style w:type="paragraph" w:customStyle="1" w:styleId="carousel">
    <w:name w:val="carousel"/>
    <w:basedOn w:val="Normal"/>
    <w:pPr>
      <w:spacing w:after="300"/>
    </w:pPr>
  </w:style>
  <w:style w:type="paragraph" w:customStyle="1" w:styleId="carousel-inner">
    <w:name w:val="carousel-inner"/>
    <w:basedOn w:val="Normal"/>
    <w:pPr>
      <w:spacing w:after="150"/>
    </w:pPr>
  </w:style>
  <w:style w:type="paragraph" w:customStyle="1" w:styleId="carousel-control">
    <w:name w:val="carousel-control"/>
    <w:basedOn w:val="Normal"/>
    <w:pPr>
      <w:pBdr>
        <w:top w:val="single" w:sz="18" w:space="0" w:color="FFFFFF"/>
        <w:left w:val="single" w:sz="18" w:space="0" w:color="FFFFFF"/>
        <w:bottom w:val="single" w:sz="18" w:space="0" w:color="FFFFFF"/>
        <w:right w:val="single" w:sz="18" w:space="0" w:color="FFFFFF"/>
      </w:pBdr>
      <w:shd w:val="clear" w:color="auto" w:fill="222222"/>
      <w:spacing w:after="150" w:line="450" w:lineRule="atLeast"/>
      <w:jc w:val="center"/>
    </w:pPr>
    <w:rPr>
      <w:color w:val="FFFFFF"/>
      <w:sz w:val="90"/>
      <w:szCs w:val="90"/>
    </w:rPr>
  </w:style>
  <w:style w:type="paragraph" w:customStyle="1" w:styleId="carousel-caption">
    <w:name w:val="carousel-caption"/>
    <w:basedOn w:val="Normal"/>
    <w:pPr>
      <w:shd w:val="clear" w:color="auto" w:fill="333333"/>
      <w:spacing w:after="150"/>
    </w:pPr>
  </w:style>
  <w:style w:type="paragraph" w:customStyle="1" w:styleId="hero-unit">
    <w:name w:val="hero-unit"/>
    <w:basedOn w:val="Normal"/>
    <w:pPr>
      <w:shd w:val="clear" w:color="auto" w:fill="EEEEEE"/>
      <w:spacing w:after="450"/>
    </w:pPr>
  </w:style>
  <w:style w:type="paragraph" w:customStyle="1" w:styleId="hide">
    <w:name w:val="hide"/>
    <w:basedOn w:val="Normal"/>
    <w:pPr>
      <w:spacing w:after="150"/>
    </w:pPr>
    <w:rPr>
      <w:vanish/>
    </w:rPr>
  </w:style>
  <w:style w:type="paragraph" w:customStyle="1" w:styleId="show">
    <w:name w:val="show"/>
    <w:basedOn w:val="Normal"/>
    <w:pPr>
      <w:spacing w:after="150"/>
    </w:pPr>
  </w:style>
  <w:style w:type="paragraph" w:customStyle="1" w:styleId="ir">
    <w:name w:val="ir"/>
    <w:basedOn w:val="Normal"/>
    <w:pPr>
      <w:spacing w:after="150"/>
    </w:pPr>
  </w:style>
  <w:style w:type="paragraph" w:customStyle="1" w:styleId="visually-hidden">
    <w:name w:val="visually-hidden"/>
    <w:basedOn w:val="Normal"/>
    <w:pPr>
      <w:ind w:left="-15" w:right="-15"/>
    </w:pPr>
  </w:style>
  <w:style w:type="paragraph" w:customStyle="1" w:styleId="hidden">
    <w:name w:val="hidden"/>
    <w:basedOn w:val="Normal"/>
    <w:pPr>
      <w:spacing w:after="150"/>
    </w:pPr>
    <w:rPr>
      <w:vanish/>
    </w:rPr>
  </w:style>
  <w:style w:type="paragraph" w:customStyle="1" w:styleId="assistme">
    <w:name w:val="assistme"/>
    <w:basedOn w:val="Normal"/>
    <w:pPr>
      <w:shd w:val="clear" w:color="auto" w:fill="333333"/>
      <w:spacing w:after="150"/>
      <w:jc w:val="right"/>
    </w:pPr>
  </w:style>
  <w:style w:type="paragraph" w:customStyle="1" w:styleId="masthead">
    <w:name w:val="masthead"/>
    <w:basedOn w:val="Normal"/>
    <w:pPr>
      <w:spacing w:after="1080"/>
    </w:pPr>
  </w:style>
  <w:style w:type="paragraph" w:customStyle="1" w:styleId="subhead">
    <w:name w:val="subhead"/>
    <w:basedOn w:val="Normal"/>
    <w:pPr>
      <w:spacing w:after="135"/>
    </w:pPr>
  </w:style>
  <w:style w:type="paragraph" w:customStyle="1" w:styleId="subnav">
    <w:name w:val="subnav"/>
    <w:basedOn w:val="Normal"/>
    <w:pPr>
      <w:pBdr>
        <w:top w:val="single" w:sz="6" w:space="0" w:color="E5E5E5"/>
        <w:left w:val="single" w:sz="6" w:space="0" w:color="E5E5E5"/>
        <w:bottom w:val="single" w:sz="6" w:space="0" w:color="E5E5E5"/>
        <w:right w:val="single" w:sz="6" w:space="0" w:color="E5E5E5"/>
      </w:pBdr>
      <w:shd w:val="clear" w:color="auto" w:fill="EEEEEE"/>
      <w:spacing w:after="150"/>
    </w:pPr>
  </w:style>
  <w:style w:type="paragraph" w:customStyle="1" w:styleId="bs-links">
    <w:name w:val="bs-links"/>
    <w:basedOn w:val="Normal"/>
    <w:pPr>
      <w:spacing w:before="540" w:after="540"/>
    </w:pPr>
  </w:style>
  <w:style w:type="paragraph" w:customStyle="1" w:styleId="quick-links">
    <w:name w:val="quick-links"/>
    <w:basedOn w:val="Normal"/>
    <w:pPr>
      <w:jc w:val="center"/>
    </w:pPr>
  </w:style>
  <w:style w:type="paragraph" w:customStyle="1" w:styleId="footer">
    <w:name w:val="footer"/>
    <w:basedOn w:val="Normal"/>
    <w:pPr>
      <w:pBdr>
        <w:top w:val="single" w:sz="6" w:space="26" w:color="E5E5E5"/>
      </w:pBdr>
      <w:spacing w:before="675" w:after="150"/>
    </w:pPr>
  </w:style>
  <w:style w:type="paragraph" w:customStyle="1" w:styleId="show-grid">
    <w:name w:val="show-grid"/>
    <w:basedOn w:val="Normal"/>
    <w:pPr>
      <w:spacing w:before="150" w:after="300"/>
    </w:pPr>
  </w:style>
  <w:style w:type="paragraph" w:customStyle="1" w:styleId="mini-layout">
    <w:name w:val="mini-layout"/>
    <w:basedOn w:val="Normal"/>
    <w:pPr>
      <w:pBdr>
        <w:top w:val="single" w:sz="6" w:space="0" w:color="DDDDDD"/>
        <w:left w:val="single" w:sz="6" w:space="0" w:color="DDDDDD"/>
        <w:bottom w:val="single" w:sz="6" w:space="0" w:color="DDDDDD"/>
        <w:right w:val="single" w:sz="6" w:space="0" w:color="DDDDDD"/>
      </w:pBdr>
      <w:spacing w:after="300"/>
    </w:pPr>
  </w:style>
  <w:style w:type="paragraph" w:customStyle="1" w:styleId="large-bird">
    <w:name w:val="large-bird"/>
    <w:basedOn w:val="Normal"/>
    <w:pPr>
      <w:spacing w:before="75"/>
      <w:ind w:left="4650"/>
    </w:pPr>
  </w:style>
  <w:style w:type="paragraph" w:customStyle="1" w:styleId="download-btn">
    <w:name w:val="download-btn"/>
    <w:basedOn w:val="Normal"/>
    <w:pPr>
      <w:spacing w:before="540" w:after="1620"/>
    </w:pPr>
  </w:style>
  <w:style w:type="paragraph" w:customStyle="1" w:styleId="swatch-col">
    <w:name w:val="swatch-col"/>
    <w:basedOn w:val="Normal"/>
    <w:pPr>
      <w:spacing w:after="150"/>
    </w:pPr>
  </w:style>
  <w:style w:type="paragraph" w:customStyle="1" w:styleId="swatch">
    <w:name w:val="swatch"/>
    <w:basedOn w:val="Normal"/>
  </w:style>
  <w:style w:type="paragraph" w:customStyle="1" w:styleId="swatch-bordered">
    <w:name w:val="swatch-bordered"/>
    <w:basedOn w:val="Normal"/>
    <w:pPr>
      <w:pBdr>
        <w:top w:val="single" w:sz="6" w:space="0" w:color="EEEEEE"/>
        <w:left w:val="single" w:sz="6" w:space="0" w:color="EEEEEE"/>
        <w:bottom w:val="single" w:sz="6" w:space="0" w:color="EEEEEE"/>
        <w:right w:val="single" w:sz="6" w:space="0" w:color="EEEEEE"/>
      </w:pBdr>
      <w:spacing w:after="150"/>
    </w:pPr>
  </w:style>
  <w:style w:type="paragraph" w:customStyle="1" w:styleId="marketing-byline">
    <w:name w:val="marketing-byline"/>
    <w:basedOn w:val="Normal"/>
    <w:pPr>
      <w:spacing w:after="405" w:line="360" w:lineRule="atLeast"/>
      <w:jc w:val="center"/>
    </w:pPr>
    <w:rPr>
      <w:color w:val="999999"/>
      <w:sz w:val="27"/>
      <w:szCs w:val="27"/>
    </w:rPr>
  </w:style>
  <w:style w:type="paragraph" w:customStyle="1" w:styleId="scrollspy-example">
    <w:name w:val="scrollspy-example"/>
    <w:basedOn w:val="Normal"/>
    <w:pPr>
      <w:spacing w:after="150"/>
    </w:pPr>
  </w:style>
  <w:style w:type="paragraph" w:customStyle="1" w:styleId="the-icons">
    <w:name w:val="the-icons"/>
    <w:basedOn w:val="Normal"/>
    <w:pPr>
      <w:spacing w:after="150"/>
    </w:pPr>
  </w:style>
  <w:style w:type="paragraph" w:customStyle="1" w:styleId="responsive-utilities-test">
    <w:name w:val="responsive-utilities-test"/>
    <w:basedOn w:val="Normal"/>
    <w:pPr>
      <w:spacing w:before="75" w:after="150"/>
    </w:pPr>
  </w:style>
  <w:style w:type="paragraph" w:customStyle="1" w:styleId="icon-giant">
    <w:name w:val="icon-giant"/>
    <w:basedOn w:val="Normal"/>
    <w:pPr>
      <w:spacing w:after="150"/>
      <w:textAlignment w:val="center"/>
    </w:pPr>
    <w:rPr>
      <w:sz w:val="48"/>
      <w:szCs w:val="48"/>
    </w:rPr>
  </w:style>
  <w:style w:type="paragraph" w:customStyle="1" w:styleId="icon-mega">
    <w:name w:val="icon-mega"/>
    <w:basedOn w:val="Normal"/>
    <w:pPr>
      <w:spacing w:after="150"/>
      <w:textAlignment w:val="center"/>
    </w:pPr>
    <w:rPr>
      <w:sz w:val="72"/>
      <w:szCs w:val="72"/>
    </w:rPr>
  </w:style>
  <w:style w:type="paragraph" w:customStyle="1" w:styleId="doc-list">
    <w:name w:val="doc-list"/>
    <w:basedOn w:val="Normal"/>
    <w:pPr>
      <w:spacing w:after="150"/>
    </w:pPr>
  </w:style>
  <w:style w:type="paragraph" w:customStyle="1" w:styleId="contactform">
    <w:name w:val="contactform"/>
    <w:basedOn w:val="Normal"/>
    <w:pPr>
      <w:spacing w:before="480" w:after="150"/>
    </w:pPr>
  </w:style>
  <w:style w:type="paragraph" w:customStyle="1" w:styleId="boardmemberlist">
    <w:name w:val="boardmemberlist"/>
    <w:basedOn w:val="Normal"/>
    <w:pPr>
      <w:spacing w:before="480" w:after="150"/>
    </w:pPr>
  </w:style>
  <w:style w:type="paragraph" w:customStyle="1" w:styleId="joblisting">
    <w:name w:val="joblisting"/>
    <w:basedOn w:val="Normal"/>
    <w:pPr>
      <w:pBdr>
        <w:top w:val="single" w:sz="6" w:space="12" w:color="333333"/>
        <w:left w:val="single" w:sz="6" w:space="12" w:color="333333"/>
        <w:bottom w:val="single" w:sz="6" w:space="12" w:color="333333"/>
        <w:right w:val="single" w:sz="6" w:space="12" w:color="333333"/>
      </w:pBdr>
      <w:spacing w:after="150"/>
    </w:pPr>
  </w:style>
  <w:style w:type="paragraph" w:customStyle="1" w:styleId="field-multiple-table">
    <w:name w:val="field-multiple-table"/>
    <w:basedOn w:val="Normal"/>
    <w:pPr>
      <w:spacing w:after="150"/>
    </w:pPr>
  </w:style>
  <w:style w:type="paragraph" w:customStyle="1" w:styleId="field-add-more-submit">
    <w:name w:val="field-add-more-submit"/>
    <w:basedOn w:val="Normal"/>
    <w:pPr>
      <w:spacing w:after="150"/>
    </w:pPr>
  </w:style>
  <w:style w:type="paragraph" w:customStyle="1" w:styleId="span13">
    <w:name w:val="span13"/>
    <w:basedOn w:val="Normal"/>
    <w:pPr>
      <w:spacing w:after="150"/>
    </w:pPr>
  </w:style>
  <w:style w:type="paragraph" w:customStyle="1" w:styleId="span14">
    <w:name w:val="span14"/>
    <w:basedOn w:val="Normal"/>
    <w:pPr>
      <w:spacing w:after="150"/>
    </w:pPr>
  </w:style>
  <w:style w:type="paragraph" w:customStyle="1" w:styleId="span15">
    <w:name w:val="span15"/>
    <w:basedOn w:val="Normal"/>
    <w:pPr>
      <w:spacing w:after="150"/>
    </w:pPr>
  </w:style>
  <w:style w:type="paragraph" w:customStyle="1" w:styleId="span16">
    <w:name w:val="span16"/>
    <w:basedOn w:val="Normal"/>
    <w:pPr>
      <w:spacing w:after="150"/>
    </w:pPr>
  </w:style>
  <w:style w:type="paragraph" w:customStyle="1" w:styleId="span17">
    <w:name w:val="span17"/>
    <w:basedOn w:val="Normal"/>
    <w:pPr>
      <w:spacing w:after="150"/>
    </w:pPr>
  </w:style>
  <w:style w:type="paragraph" w:customStyle="1" w:styleId="span18">
    <w:name w:val="span18"/>
    <w:basedOn w:val="Normal"/>
    <w:pPr>
      <w:spacing w:after="150"/>
    </w:pPr>
  </w:style>
  <w:style w:type="paragraph" w:customStyle="1" w:styleId="span19">
    <w:name w:val="span19"/>
    <w:basedOn w:val="Normal"/>
    <w:pPr>
      <w:spacing w:after="150"/>
    </w:pPr>
  </w:style>
  <w:style w:type="paragraph" w:customStyle="1" w:styleId="span20">
    <w:name w:val="span20"/>
    <w:basedOn w:val="Normal"/>
    <w:pPr>
      <w:spacing w:after="150"/>
    </w:pPr>
  </w:style>
  <w:style w:type="paragraph" w:customStyle="1" w:styleId="span21">
    <w:name w:val="span21"/>
    <w:basedOn w:val="Normal"/>
    <w:pPr>
      <w:spacing w:after="150"/>
    </w:pPr>
  </w:style>
  <w:style w:type="paragraph" w:customStyle="1" w:styleId="span22">
    <w:name w:val="span22"/>
    <w:basedOn w:val="Normal"/>
    <w:pPr>
      <w:spacing w:after="150"/>
    </w:pPr>
  </w:style>
  <w:style w:type="paragraph" w:customStyle="1" w:styleId="span23">
    <w:name w:val="span23"/>
    <w:basedOn w:val="Normal"/>
    <w:pPr>
      <w:spacing w:after="150"/>
    </w:pPr>
  </w:style>
  <w:style w:type="paragraph" w:customStyle="1" w:styleId="span24">
    <w:name w:val="span24"/>
    <w:basedOn w:val="Normal"/>
    <w:pPr>
      <w:spacing w:after="150"/>
    </w:pPr>
  </w:style>
  <w:style w:type="paragraph" w:customStyle="1" w:styleId="grippie">
    <w:name w:val="grippie"/>
    <w:basedOn w:val="Normal"/>
    <w:pPr>
      <w:spacing w:after="150"/>
    </w:pPr>
  </w:style>
  <w:style w:type="paragraph" w:customStyle="1" w:styleId="bar">
    <w:name w:val="bar"/>
    <w:basedOn w:val="Normal"/>
    <w:pPr>
      <w:spacing w:after="150"/>
    </w:pPr>
  </w:style>
  <w:style w:type="paragraph" w:customStyle="1" w:styleId="filled">
    <w:name w:val="filled"/>
    <w:basedOn w:val="Normal"/>
    <w:pPr>
      <w:spacing w:after="150"/>
    </w:pPr>
  </w:style>
  <w:style w:type="paragraph" w:customStyle="1" w:styleId="throbber">
    <w:name w:val="throbber"/>
    <w:basedOn w:val="Normal"/>
    <w:pPr>
      <w:spacing w:after="150"/>
    </w:pPr>
  </w:style>
  <w:style w:type="paragraph" w:customStyle="1" w:styleId="message">
    <w:name w:val="message"/>
    <w:basedOn w:val="Normal"/>
    <w:pPr>
      <w:spacing w:after="150"/>
    </w:pPr>
  </w:style>
  <w:style w:type="paragraph" w:customStyle="1" w:styleId="fieldset-wrapper">
    <w:name w:val="fieldset-wrapper"/>
    <w:basedOn w:val="Normal"/>
    <w:pPr>
      <w:spacing w:after="150"/>
    </w:pPr>
  </w:style>
  <w:style w:type="paragraph" w:customStyle="1" w:styleId="title">
    <w:name w:val="title"/>
    <w:basedOn w:val="Normal"/>
    <w:pPr>
      <w:spacing w:after="150"/>
    </w:pPr>
  </w:style>
  <w:style w:type="paragraph" w:customStyle="1" w:styleId="description">
    <w:name w:val="description"/>
    <w:basedOn w:val="Normal"/>
    <w:pPr>
      <w:spacing w:after="150"/>
    </w:pPr>
  </w:style>
  <w:style w:type="paragraph" w:customStyle="1" w:styleId="date-spacer">
    <w:name w:val="date-spacer"/>
    <w:basedOn w:val="Normal"/>
    <w:pPr>
      <w:spacing w:after="150"/>
    </w:pPr>
  </w:style>
  <w:style w:type="paragraph" w:customStyle="1" w:styleId="date-padding">
    <w:name w:val="date-padding"/>
    <w:basedOn w:val="Normal"/>
    <w:pPr>
      <w:spacing w:after="150"/>
    </w:pPr>
  </w:style>
  <w:style w:type="paragraph" w:customStyle="1" w:styleId="form-type-checkbox">
    <w:name w:val="form-type-checkbox"/>
    <w:basedOn w:val="Normal"/>
    <w:pPr>
      <w:spacing w:after="150"/>
    </w:pPr>
  </w:style>
  <w:style w:type="paragraph" w:customStyle="1" w:styleId="form-type-selectclasshour">
    <w:name w:val="form-type-select[class$=hour]"/>
    <w:basedOn w:val="Normal"/>
    <w:pPr>
      <w:spacing w:after="150"/>
    </w:pPr>
  </w:style>
  <w:style w:type="paragraph" w:customStyle="1" w:styleId="date-format-delete">
    <w:name w:val="date-format-delete"/>
    <w:basedOn w:val="Normal"/>
    <w:pPr>
      <w:spacing w:after="150"/>
    </w:pPr>
  </w:style>
  <w:style w:type="paragraph" w:customStyle="1" w:styleId="date-format-type">
    <w:name w:val="date-format-type"/>
    <w:basedOn w:val="Normal"/>
    <w:pPr>
      <w:spacing w:after="150"/>
    </w:pPr>
  </w:style>
  <w:style w:type="paragraph" w:customStyle="1" w:styleId="select-container">
    <w:name w:val="select-container"/>
    <w:basedOn w:val="Normal"/>
    <w:pPr>
      <w:spacing w:after="150"/>
    </w:pPr>
  </w:style>
  <w:style w:type="paragraph" w:customStyle="1" w:styleId="ui-datepicker-header">
    <w:name w:val="ui-datepicker-header"/>
    <w:basedOn w:val="Normal"/>
    <w:pPr>
      <w:spacing w:after="150"/>
    </w:pPr>
  </w:style>
  <w:style w:type="paragraph" w:customStyle="1" w:styleId="ui-datepicker-prev">
    <w:name w:val="ui-datepicker-prev"/>
    <w:basedOn w:val="Normal"/>
    <w:pPr>
      <w:spacing w:after="150"/>
    </w:pPr>
  </w:style>
  <w:style w:type="paragraph" w:customStyle="1" w:styleId="ui-datepicker-next">
    <w:name w:val="ui-datepicker-next"/>
    <w:basedOn w:val="Normal"/>
    <w:pPr>
      <w:spacing w:after="150"/>
    </w:pPr>
  </w:style>
  <w:style w:type="paragraph" w:customStyle="1" w:styleId="ui-datepicker-title">
    <w:name w:val="ui-datepicker-title"/>
    <w:basedOn w:val="Normal"/>
    <w:pPr>
      <w:spacing w:after="150"/>
    </w:pPr>
  </w:style>
  <w:style w:type="paragraph" w:customStyle="1" w:styleId="ui-datepicker-buttonpane">
    <w:name w:val="ui-datepicker-buttonpane"/>
    <w:basedOn w:val="Normal"/>
    <w:pPr>
      <w:spacing w:after="150"/>
    </w:pPr>
  </w:style>
  <w:style w:type="paragraph" w:customStyle="1" w:styleId="ui-datepicker-group">
    <w:name w:val="ui-datepicker-group"/>
    <w:basedOn w:val="Normal"/>
    <w:pPr>
      <w:spacing w:after="150"/>
    </w:pPr>
  </w:style>
  <w:style w:type="paragraph" w:customStyle="1" w:styleId="field-label">
    <w:name w:val="field-label"/>
    <w:basedOn w:val="Normal"/>
    <w:pPr>
      <w:spacing w:after="150"/>
    </w:pPr>
  </w:style>
  <w:style w:type="paragraph" w:customStyle="1" w:styleId="node">
    <w:name w:val="node"/>
    <w:basedOn w:val="Normal"/>
    <w:pPr>
      <w:spacing w:after="150"/>
    </w:pPr>
  </w:style>
  <w:style w:type="paragraph" w:customStyle="1" w:styleId="search-snippet-info">
    <w:name w:val="search-snippet-info"/>
    <w:basedOn w:val="Normal"/>
    <w:pPr>
      <w:spacing w:after="150"/>
    </w:pPr>
  </w:style>
  <w:style w:type="paragraph" w:customStyle="1" w:styleId="search-info">
    <w:name w:val="search-info"/>
    <w:basedOn w:val="Normal"/>
    <w:pPr>
      <w:spacing w:after="150"/>
    </w:pPr>
  </w:style>
  <w:style w:type="paragraph" w:customStyle="1" w:styleId="criterion">
    <w:name w:val="criterion"/>
    <w:basedOn w:val="Normal"/>
    <w:pPr>
      <w:spacing w:after="150"/>
    </w:pPr>
  </w:style>
  <w:style w:type="paragraph" w:customStyle="1" w:styleId="action">
    <w:name w:val="action"/>
    <w:basedOn w:val="Normal"/>
    <w:pPr>
      <w:spacing w:after="150"/>
    </w:pPr>
  </w:style>
  <w:style w:type="paragraph" w:customStyle="1" w:styleId="user-picture">
    <w:name w:val="user-picture"/>
    <w:basedOn w:val="Normal"/>
    <w:pPr>
      <w:spacing w:after="150"/>
    </w:pPr>
  </w:style>
  <w:style w:type="paragraph" w:customStyle="1" w:styleId="views-exposed-widget">
    <w:name w:val="views-exposed-widget"/>
    <w:basedOn w:val="Normal"/>
    <w:pPr>
      <w:spacing w:after="150"/>
    </w:pPr>
  </w:style>
  <w:style w:type="paragraph" w:customStyle="1" w:styleId="form-submit">
    <w:name w:val="form-submit"/>
    <w:basedOn w:val="Normal"/>
    <w:pPr>
      <w:spacing w:after="150"/>
    </w:pPr>
  </w:style>
  <w:style w:type="paragraph" w:customStyle="1" w:styleId="add-on">
    <w:name w:val="add-on"/>
    <w:basedOn w:val="Normal"/>
    <w:pPr>
      <w:spacing w:after="150"/>
    </w:pPr>
  </w:style>
  <w:style w:type="paragraph" w:customStyle="1" w:styleId="active">
    <w:name w:val="active"/>
    <w:basedOn w:val="Normal"/>
    <w:pPr>
      <w:spacing w:after="150"/>
    </w:pPr>
  </w:style>
  <w:style w:type="paragraph" w:customStyle="1" w:styleId="control-label">
    <w:name w:val="control-label"/>
    <w:basedOn w:val="Normal"/>
    <w:pPr>
      <w:spacing w:after="150"/>
    </w:pPr>
  </w:style>
  <w:style w:type="paragraph" w:customStyle="1" w:styleId="controls">
    <w:name w:val="controls"/>
    <w:basedOn w:val="Normal"/>
    <w:pPr>
      <w:spacing w:after="150"/>
    </w:pPr>
  </w:style>
  <w:style w:type="paragraph" w:customStyle="1" w:styleId="divider">
    <w:name w:val="divider"/>
    <w:basedOn w:val="Normal"/>
    <w:pPr>
      <w:spacing w:after="150"/>
    </w:pPr>
  </w:style>
  <w:style w:type="paragraph" w:customStyle="1" w:styleId="brand">
    <w:name w:val="brand"/>
    <w:basedOn w:val="Normal"/>
    <w:pPr>
      <w:spacing w:after="150"/>
    </w:pPr>
  </w:style>
  <w:style w:type="paragraph" w:customStyle="1" w:styleId="divider-vertical">
    <w:name w:val="divider-vertical"/>
    <w:basedOn w:val="Normal"/>
    <w:pPr>
      <w:spacing w:after="150"/>
    </w:pPr>
  </w:style>
  <w:style w:type="paragraph" w:customStyle="1" w:styleId="search-query">
    <w:name w:val="search-query"/>
    <w:basedOn w:val="Normal"/>
    <w:pPr>
      <w:spacing w:after="150"/>
    </w:pPr>
  </w:style>
  <w:style w:type="paragraph" w:customStyle="1" w:styleId="btn-navbar">
    <w:name w:val="btn-navbar"/>
    <w:basedOn w:val="Normal"/>
    <w:pPr>
      <w:spacing w:after="150"/>
    </w:pPr>
  </w:style>
  <w:style w:type="paragraph" w:customStyle="1" w:styleId="caption">
    <w:name w:val="caption"/>
    <w:basedOn w:val="Normal"/>
    <w:pPr>
      <w:spacing w:after="150"/>
    </w:pPr>
  </w:style>
  <w:style w:type="paragraph" w:customStyle="1" w:styleId="bar-danger">
    <w:name w:val="bar-danger"/>
    <w:basedOn w:val="Normal"/>
    <w:pPr>
      <w:spacing w:after="150"/>
    </w:pPr>
  </w:style>
  <w:style w:type="paragraph" w:customStyle="1" w:styleId="bar-success">
    <w:name w:val="bar-success"/>
    <w:basedOn w:val="Normal"/>
    <w:pPr>
      <w:spacing w:after="150"/>
    </w:pPr>
  </w:style>
  <w:style w:type="paragraph" w:customStyle="1" w:styleId="bar-info">
    <w:name w:val="bar-info"/>
    <w:basedOn w:val="Normal"/>
    <w:pPr>
      <w:spacing w:after="150"/>
    </w:pPr>
  </w:style>
  <w:style w:type="paragraph" w:customStyle="1" w:styleId="bar-warning">
    <w:name w:val="bar-warning"/>
    <w:basedOn w:val="Normal"/>
    <w:pPr>
      <w:spacing w:after="150"/>
    </w:pPr>
  </w:style>
  <w:style w:type="paragraph" w:customStyle="1" w:styleId="accordion-toggle">
    <w:name w:val="accordion-toggle"/>
    <w:basedOn w:val="Normal"/>
    <w:pPr>
      <w:spacing w:after="150"/>
    </w:pPr>
  </w:style>
  <w:style w:type="paragraph" w:customStyle="1" w:styleId="item">
    <w:name w:val="item"/>
    <w:basedOn w:val="Normal"/>
    <w:pPr>
      <w:spacing w:after="150"/>
    </w:pPr>
  </w:style>
  <w:style w:type="paragraph" w:customStyle="1" w:styleId="next">
    <w:name w:val="next"/>
    <w:basedOn w:val="Normal"/>
    <w:pPr>
      <w:spacing w:after="150"/>
    </w:pPr>
  </w:style>
  <w:style w:type="paragraph" w:customStyle="1" w:styleId="prev">
    <w:name w:val="prev"/>
    <w:basedOn w:val="Normal"/>
    <w:pPr>
      <w:spacing w:after="150"/>
    </w:pPr>
  </w:style>
  <w:style w:type="paragraph" w:customStyle="1" w:styleId="bs-icon">
    <w:name w:val="bs-icon"/>
    <w:basedOn w:val="Normal"/>
    <w:pPr>
      <w:spacing w:after="150"/>
    </w:pPr>
  </w:style>
  <w:style w:type="paragraph" w:customStyle="1" w:styleId="small-bs-icon">
    <w:name w:val="small-bs-icon"/>
    <w:basedOn w:val="Normal"/>
    <w:pPr>
      <w:spacing w:after="150"/>
    </w:pPr>
  </w:style>
  <w:style w:type="paragraph" w:customStyle="1" w:styleId="mini-layout-body">
    <w:name w:val="mini-layout-body"/>
    <w:basedOn w:val="Normal"/>
    <w:pPr>
      <w:spacing w:after="150"/>
    </w:pPr>
  </w:style>
  <w:style w:type="paragraph" w:customStyle="1" w:styleId="popover-wrapper">
    <w:name w:val="popover-wrapper"/>
    <w:basedOn w:val="Normal"/>
    <w:pPr>
      <w:spacing w:after="150"/>
    </w:pPr>
  </w:style>
  <w:style w:type="paragraph" w:customStyle="1" w:styleId="popover-menu-wrapper">
    <w:name w:val="popover-menu-wrapper"/>
    <w:basedOn w:val="Normal"/>
    <w:pPr>
      <w:spacing w:after="150"/>
    </w:pPr>
  </w:style>
  <w:style w:type="paragraph" w:customStyle="1" w:styleId="toggle-all">
    <w:name w:val="toggle-all"/>
    <w:basedOn w:val="Normal"/>
    <w:pPr>
      <w:spacing w:after="150"/>
    </w:pPr>
  </w:style>
  <w:style w:type="paragraph" w:customStyle="1" w:styleId="handle">
    <w:name w:val="handle"/>
    <w:basedOn w:val="Normal"/>
    <w:pPr>
      <w:spacing w:after="150"/>
    </w:pPr>
  </w:style>
  <w:style w:type="paragraph" w:customStyle="1" w:styleId="js-hide">
    <w:name w:val="js-hide"/>
    <w:basedOn w:val="Normal"/>
    <w:pPr>
      <w:spacing w:after="150"/>
    </w:pPr>
  </w:style>
  <w:style w:type="paragraph" w:customStyle="1" w:styleId="icon-bar">
    <w:name w:val="icon-bar"/>
    <w:basedOn w:val="Normal"/>
    <w:pPr>
      <w:spacing w:after="150"/>
    </w:pPr>
  </w:style>
  <w:style w:type="paragraph" w:customStyle="1" w:styleId="form-item-name">
    <w:name w:val="form-item-name"/>
    <w:basedOn w:val="Normal"/>
    <w:pPr>
      <w:spacing w:after="150"/>
    </w:pPr>
  </w:style>
  <w:style w:type="paragraph" w:customStyle="1" w:styleId="visible-phone">
    <w:name w:val="visible-phone"/>
    <w:basedOn w:val="Normal"/>
    <w:pPr>
      <w:spacing w:after="150"/>
    </w:pPr>
    <w:rPr>
      <w:vanish/>
    </w:rPr>
  </w:style>
  <w:style w:type="paragraph" w:customStyle="1" w:styleId="visible-tablet">
    <w:name w:val="visible-tablet"/>
    <w:basedOn w:val="Normal"/>
    <w:pPr>
      <w:spacing w:after="150"/>
    </w:pPr>
    <w:rPr>
      <w:vanish/>
    </w:rPr>
  </w:style>
  <w:style w:type="paragraph" w:customStyle="1" w:styleId="hidden-desktop">
    <w:name w:val="hidden-desktop"/>
    <w:basedOn w:val="Normal"/>
    <w:pPr>
      <w:spacing w:after="150"/>
    </w:pPr>
    <w:rPr>
      <w:vanish/>
    </w:rPr>
  </w:style>
  <w:style w:type="character" w:customStyle="1" w:styleId="summary">
    <w:name w:val="summary"/>
    <w:basedOn w:val="DefaultParagraphFont"/>
  </w:style>
  <w:style w:type="character" w:customStyle="1" w:styleId="month">
    <w:name w:val="month"/>
    <w:basedOn w:val="DefaultParagraphFont"/>
  </w:style>
  <w:style w:type="character" w:customStyle="1" w:styleId="day">
    <w:name w:val="day"/>
    <w:basedOn w:val="DefaultParagraphFont"/>
  </w:style>
  <w:style w:type="character" w:customStyle="1" w:styleId="year">
    <w:name w:val="year"/>
    <w:basedOn w:val="DefaultParagraphFont"/>
  </w:style>
  <w:style w:type="paragraph" w:customStyle="1" w:styleId="grippie1">
    <w:name w:val="grippie1"/>
    <w:basedOn w:val="Normal"/>
    <w:pPr>
      <w:pBdr>
        <w:top w:val="single" w:sz="2" w:space="0" w:color="DDDDDD"/>
        <w:left w:val="single" w:sz="6" w:space="0" w:color="DDDDDD"/>
        <w:bottom w:val="single" w:sz="6" w:space="0" w:color="DDDDDD"/>
        <w:right w:val="single" w:sz="6" w:space="0" w:color="DDDDDD"/>
      </w:pBdr>
      <w:spacing w:after="150"/>
    </w:pPr>
  </w:style>
  <w:style w:type="paragraph" w:customStyle="1" w:styleId="handle1">
    <w:name w:val="handle1"/>
    <w:basedOn w:val="Normal"/>
    <w:pPr>
      <w:ind w:left="120" w:right="120"/>
    </w:pPr>
  </w:style>
  <w:style w:type="paragraph" w:customStyle="1" w:styleId="bar1">
    <w:name w:val="bar1"/>
    <w:basedOn w:val="Normal"/>
    <w:pPr>
      <w:pBdr>
        <w:top w:val="single" w:sz="6" w:space="0" w:color="666666"/>
        <w:left w:val="single" w:sz="6" w:space="0" w:color="666666"/>
        <w:bottom w:val="single" w:sz="6" w:space="0" w:color="666666"/>
        <w:right w:val="single" w:sz="6" w:space="0" w:color="666666"/>
      </w:pBdr>
      <w:shd w:val="clear" w:color="auto" w:fill="0E90D2"/>
      <w:ind w:left="48" w:right="48"/>
      <w:jc w:val="center"/>
    </w:pPr>
    <w:rPr>
      <w:color w:val="FFFFFF"/>
      <w:sz w:val="18"/>
      <w:szCs w:val="18"/>
    </w:rPr>
  </w:style>
  <w:style w:type="paragraph" w:customStyle="1" w:styleId="filled1">
    <w:name w:val="filled1"/>
    <w:basedOn w:val="Normal"/>
    <w:pPr>
      <w:shd w:val="clear" w:color="auto" w:fill="0072B9"/>
      <w:spacing w:after="150"/>
    </w:pPr>
  </w:style>
  <w:style w:type="paragraph" w:customStyle="1" w:styleId="throbber1">
    <w:name w:val="throbber1"/>
    <w:basedOn w:val="Normal"/>
    <w:pPr>
      <w:spacing w:before="30" w:after="30"/>
      <w:ind w:left="30" w:right="30"/>
    </w:pPr>
  </w:style>
  <w:style w:type="paragraph" w:customStyle="1" w:styleId="message1">
    <w:name w:val="message1"/>
    <w:basedOn w:val="Normal"/>
    <w:pPr>
      <w:spacing w:after="150"/>
    </w:pPr>
  </w:style>
  <w:style w:type="paragraph" w:customStyle="1" w:styleId="throbber2">
    <w:name w:val="throbber2"/>
    <w:basedOn w:val="Normal"/>
    <w:pPr>
      <w:ind w:left="30" w:right="30"/>
    </w:pPr>
  </w:style>
  <w:style w:type="paragraph" w:customStyle="1" w:styleId="fieldset-wrapper1">
    <w:name w:val="fieldset-wrapper1"/>
    <w:basedOn w:val="Normal"/>
    <w:pPr>
      <w:spacing w:after="150"/>
    </w:pPr>
  </w:style>
  <w:style w:type="paragraph" w:customStyle="1" w:styleId="js-hide1">
    <w:name w:val="js-hide1"/>
    <w:basedOn w:val="Normal"/>
    <w:pPr>
      <w:spacing w:after="150"/>
    </w:pPr>
    <w:rPr>
      <w:vanish/>
    </w:rPr>
  </w:style>
  <w:style w:type="paragraph" w:customStyle="1" w:styleId="error1">
    <w:name w:val="error1"/>
    <w:basedOn w:val="Normal"/>
    <w:pPr>
      <w:spacing w:after="150"/>
    </w:pPr>
    <w:rPr>
      <w:color w:val="333333"/>
    </w:rPr>
  </w:style>
  <w:style w:type="paragraph" w:customStyle="1" w:styleId="title1">
    <w:name w:val="title1"/>
    <w:basedOn w:val="Normal"/>
    <w:pPr>
      <w:spacing w:after="150"/>
    </w:pPr>
    <w:rPr>
      <w:b/>
      <w:bCs/>
    </w:rPr>
  </w:style>
  <w:style w:type="paragraph" w:customStyle="1" w:styleId="form-item1">
    <w:name w:val="form-item1"/>
    <w:basedOn w:val="Normal"/>
  </w:style>
  <w:style w:type="paragraph" w:customStyle="1" w:styleId="form-item2">
    <w:name w:val="form-item2"/>
    <w:basedOn w:val="Normal"/>
  </w:style>
  <w:style w:type="paragraph" w:customStyle="1" w:styleId="description1">
    <w:name w:val="description1"/>
    <w:basedOn w:val="Normal"/>
    <w:pPr>
      <w:spacing w:after="150"/>
    </w:pPr>
    <w:rPr>
      <w:sz w:val="20"/>
      <w:szCs w:val="20"/>
    </w:rPr>
  </w:style>
  <w:style w:type="paragraph" w:customStyle="1" w:styleId="form-item3">
    <w:name w:val="form-item3"/>
    <w:basedOn w:val="Normal"/>
    <w:pPr>
      <w:spacing w:before="96" w:after="96"/>
    </w:pPr>
  </w:style>
  <w:style w:type="paragraph" w:customStyle="1" w:styleId="form-item4">
    <w:name w:val="form-item4"/>
    <w:basedOn w:val="Normal"/>
    <w:pPr>
      <w:spacing w:before="96" w:after="96"/>
    </w:pPr>
  </w:style>
  <w:style w:type="paragraph" w:customStyle="1" w:styleId="description2">
    <w:name w:val="description2"/>
    <w:basedOn w:val="Normal"/>
    <w:pPr>
      <w:spacing w:after="150"/>
      <w:ind w:left="576"/>
    </w:pPr>
  </w:style>
  <w:style w:type="paragraph" w:customStyle="1" w:styleId="description3">
    <w:name w:val="description3"/>
    <w:basedOn w:val="Normal"/>
    <w:pPr>
      <w:spacing w:after="150"/>
      <w:ind w:left="576"/>
    </w:pPr>
  </w:style>
  <w:style w:type="paragraph" w:customStyle="1" w:styleId="pager1">
    <w:name w:val="pager1"/>
    <w:basedOn w:val="Normal"/>
    <w:pPr>
      <w:spacing w:before="300" w:after="300"/>
      <w:jc w:val="center"/>
    </w:pPr>
  </w:style>
  <w:style w:type="character" w:customStyle="1" w:styleId="summary1">
    <w:name w:val="summary1"/>
    <w:basedOn w:val="DefaultParagraphFont"/>
    <w:rPr>
      <w:color w:val="999999"/>
      <w:sz w:val="22"/>
      <w:szCs w:val="22"/>
    </w:rPr>
  </w:style>
  <w:style w:type="paragraph" w:customStyle="1" w:styleId="form-item5">
    <w:name w:val="form-item5"/>
    <w:basedOn w:val="Normal"/>
  </w:style>
  <w:style w:type="paragraph" w:customStyle="1" w:styleId="description4">
    <w:name w:val="description4"/>
    <w:basedOn w:val="Normal"/>
    <w:pPr>
      <w:spacing w:after="150"/>
    </w:pPr>
  </w:style>
  <w:style w:type="paragraph" w:customStyle="1" w:styleId="date-spacer1">
    <w:name w:val="date-spacer1"/>
    <w:basedOn w:val="Normal"/>
    <w:pPr>
      <w:spacing w:after="150"/>
      <w:ind w:left="-75"/>
    </w:pPr>
  </w:style>
  <w:style w:type="paragraph" w:customStyle="1" w:styleId="form-item6">
    <w:name w:val="form-item6"/>
    <w:basedOn w:val="Normal"/>
  </w:style>
  <w:style w:type="paragraph" w:customStyle="1" w:styleId="date-padding1">
    <w:name w:val="date-padding1"/>
    <w:basedOn w:val="Normal"/>
    <w:pPr>
      <w:spacing w:after="150"/>
    </w:pPr>
  </w:style>
  <w:style w:type="paragraph" w:customStyle="1" w:styleId="date-padding2">
    <w:name w:val="date-padding2"/>
    <w:basedOn w:val="Normal"/>
    <w:pPr>
      <w:spacing w:after="150"/>
    </w:pPr>
  </w:style>
  <w:style w:type="paragraph" w:customStyle="1" w:styleId="form-type-checkbox1">
    <w:name w:val="form-type-checkbox1"/>
    <w:basedOn w:val="Normal"/>
    <w:pPr>
      <w:spacing w:after="150"/>
    </w:pPr>
  </w:style>
  <w:style w:type="paragraph" w:customStyle="1" w:styleId="form-type-selectclasshour1">
    <w:name w:val="form-type-select[class$=hour]1"/>
    <w:basedOn w:val="Normal"/>
    <w:pPr>
      <w:spacing w:after="150"/>
      <w:ind w:left="180"/>
    </w:pPr>
  </w:style>
  <w:style w:type="paragraph" w:customStyle="1" w:styleId="date-format-delete1">
    <w:name w:val="date-format-delete1"/>
    <w:basedOn w:val="Normal"/>
    <w:pPr>
      <w:spacing w:before="432" w:after="150"/>
      <w:ind w:left="360"/>
    </w:pPr>
  </w:style>
  <w:style w:type="paragraph" w:customStyle="1" w:styleId="date-format-type1">
    <w:name w:val="date-format-type1"/>
    <w:basedOn w:val="Normal"/>
    <w:pPr>
      <w:spacing w:after="150"/>
    </w:pPr>
  </w:style>
  <w:style w:type="paragraph" w:customStyle="1" w:styleId="select-container1">
    <w:name w:val="select-container1"/>
    <w:basedOn w:val="Normal"/>
    <w:pPr>
      <w:spacing w:after="150"/>
    </w:pPr>
  </w:style>
  <w:style w:type="character" w:customStyle="1" w:styleId="month1">
    <w:name w:val="month1"/>
    <w:basedOn w:val="DefaultParagraphFont"/>
    <w:rPr>
      <w:caps/>
      <w:vanish w:val="0"/>
      <w:webHidden w:val="0"/>
      <w:color w:val="FFFFFF"/>
      <w:sz w:val="22"/>
      <w:szCs w:val="22"/>
      <w:shd w:val="clear" w:color="auto" w:fill="B5BEBE"/>
      <w:specVanish w:val="0"/>
    </w:rPr>
  </w:style>
  <w:style w:type="character" w:customStyle="1" w:styleId="day1">
    <w:name w:val="day1"/>
    <w:basedOn w:val="DefaultParagraphFont"/>
    <w:rPr>
      <w:b/>
      <w:bCs/>
      <w:vanish w:val="0"/>
      <w:webHidden w:val="0"/>
      <w:sz w:val="48"/>
      <w:szCs w:val="48"/>
      <w:specVanish w:val="0"/>
    </w:rPr>
  </w:style>
  <w:style w:type="character" w:customStyle="1" w:styleId="year1">
    <w:name w:val="year1"/>
    <w:basedOn w:val="DefaultParagraphFont"/>
    <w:rPr>
      <w:vanish w:val="0"/>
      <w:webHidden w:val="0"/>
      <w:sz w:val="22"/>
      <w:szCs w:val="22"/>
      <w:specVanish w:val="0"/>
    </w:rPr>
  </w:style>
  <w:style w:type="paragraph" w:customStyle="1" w:styleId="form-type-checkbox2">
    <w:name w:val="form-type-checkbox2"/>
    <w:basedOn w:val="Normal"/>
    <w:pPr>
      <w:spacing w:after="150"/>
      <w:ind w:right="144"/>
    </w:pPr>
  </w:style>
  <w:style w:type="paragraph" w:customStyle="1" w:styleId="ui-datepicker-header1">
    <w:name w:val="ui-datepicker-header1"/>
    <w:basedOn w:val="Normal"/>
    <w:pPr>
      <w:spacing w:after="150"/>
    </w:pPr>
  </w:style>
  <w:style w:type="paragraph" w:customStyle="1" w:styleId="ui-datepicker-prev1">
    <w:name w:val="ui-datepicker-prev1"/>
    <w:basedOn w:val="Normal"/>
    <w:pPr>
      <w:spacing w:after="150"/>
    </w:pPr>
  </w:style>
  <w:style w:type="paragraph" w:customStyle="1" w:styleId="ui-datepicker-next1">
    <w:name w:val="ui-datepicker-next1"/>
    <w:basedOn w:val="Normal"/>
    <w:pPr>
      <w:spacing w:after="150"/>
    </w:pPr>
  </w:style>
  <w:style w:type="paragraph" w:customStyle="1" w:styleId="ui-datepicker-title1">
    <w:name w:val="ui-datepicker-title1"/>
    <w:basedOn w:val="Normal"/>
    <w:pPr>
      <w:spacing w:line="432" w:lineRule="atLeast"/>
      <w:ind w:left="552" w:right="552"/>
      <w:jc w:val="center"/>
    </w:pPr>
  </w:style>
  <w:style w:type="paragraph" w:customStyle="1" w:styleId="ui-datepicker-buttonpane1">
    <w:name w:val="ui-datepicker-buttonpane1"/>
    <w:basedOn w:val="Normal"/>
    <w:pPr>
      <w:spacing w:before="168"/>
    </w:pPr>
  </w:style>
  <w:style w:type="paragraph" w:customStyle="1" w:styleId="ui-datepicker-group1">
    <w:name w:val="ui-datepicker-group1"/>
    <w:basedOn w:val="Normal"/>
    <w:pPr>
      <w:spacing w:after="150"/>
    </w:pPr>
  </w:style>
  <w:style w:type="paragraph" w:customStyle="1" w:styleId="ui-datepicker-group2">
    <w:name w:val="ui-datepicker-group2"/>
    <w:basedOn w:val="Normal"/>
    <w:pPr>
      <w:spacing w:after="150"/>
    </w:pPr>
  </w:style>
  <w:style w:type="paragraph" w:customStyle="1" w:styleId="ui-datepicker-group3">
    <w:name w:val="ui-datepicker-group3"/>
    <w:basedOn w:val="Normal"/>
    <w:pPr>
      <w:spacing w:after="150"/>
    </w:pPr>
  </w:style>
  <w:style w:type="paragraph" w:customStyle="1" w:styleId="ui-datepicker-header2">
    <w:name w:val="ui-datepicker-header2"/>
    <w:basedOn w:val="Normal"/>
    <w:pPr>
      <w:spacing w:after="150"/>
    </w:pPr>
  </w:style>
  <w:style w:type="paragraph" w:customStyle="1" w:styleId="ui-datepicker-header3">
    <w:name w:val="ui-datepicker-header3"/>
    <w:basedOn w:val="Normal"/>
    <w:pPr>
      <w:spacing w:after="150"/>
    </w:pPr>
  </w:style>
  <w:style w:type="paragraph" w:customStyle="1" w:styleId="ui-datepicker-buttonpane2">
    <w:name w:val="ui-datepicker-buttonpane2"/>
    <w:basedOn w:val="Normal"/>
    <w:pPr>
      <w:spacing w:after="150"/>
    </w:pPr>
  </w:style>
  <w:style w:type="paragraph" w:customStyle="1" w:styleId="ui-datepicker-buttonpane3">
    <w:name w:val="ui-datepicker-buttonpane3"/>
    <w:basedOn w:val="Normal"/>
    <w:pPr>
      <w:spacing w:after="150"/>
    </w:pPr>
  </w:style>
  <w:style w:type="paragraph" w:customStyle="1" w:styleId="ui-datepicker-header4">
    <w:name w:val="ui-datepicker-header4"/>
    <w:basedOn w:val="Normal"/>
    <w:pPr>
      <w:spacing w:after="150"/>
    </w:pPr>
  </w:style>
  <w:style w:type="paragraph" w:customStyle="1" w:styleId="ui-datepicker-header5">
    <w:name w:val="ui-datepicker-header5"/>
    <w:basedOn w:val="Normal"/>
    <w:pPr>
      <w:spacing w:after="150"/>
    </w:pPr>
  </w:style>
  <w:style w:type="paragraph" w:customStyle="1" w:styleId="field-label1">
    <w:name w:val="field-label1"/>
    <w:basedOn w:val="Normal"/>
    <w:pPr>
      <w:spacing w:after="150"/>
    </w:pPr>
    <w:rPr>
      <w:b/>
      <w:bCs/>
    </w:rPr>
  </w:style>
  <w:style w:type="paragraph" w:customStyle="1" w:styleId="field-multiple-table1">
    <w:name w:val="field-multiple-table1"/>
    <w:basedOn w:val="Normal"/>
  </w:style>
  <w:style w:type="paragraph" w:customStyle="1" w:styleId="field-add-more-submit1">
    <w:name w:val="field-add-more-submit1"/>
    <w:basedOn w:val="Normal"/>
    <w:pPr>
      <w:spacing w:before="120"/>
    </w:pPr>
  </w:style>
  <w:style w:type="paragraph" w:customStyle="1" w:styleId="node1">
    <w:name w:val="node1"/>
    <w:basedOn w:val="Normal"/>
    <w:pPr>
      <w:shd w:val="clear" w:color="auto" w:fill="FFFFEA"/>
      <w:spacing w:after="150"/>
    </w:pPr>
  </w:style>
  <w:style w:type="paragraph" w:customStyle="1" w:styleId="title2">
    <w:name w:val="title2"/>
    <w:basedOn w:val="Normal"/>
    <w:pPr>
      <w:spacing w:after="150"/>
    </w:pPr>
    <w:rPr>
      <w:sz w:val="29"/>
      <w:szCs w:val="29"/>
    </w:rPr>
  </w:style>
  <w:style w:type="paragraph" w:customStyle="1" w:styleId="search-snippet-info1">
    <w:name w:val="search-snippet-info1"/>
    <w:basedOn w:val="Normal"/>
    <w:pPr>
      <w:spacing w:after="150"/>
    </w:pPr>
  </w:style>
  <w:style w:type="paragraph" w:customStyle="1" w:styleId="search-info1">
    <w:name w:val="search-info1"/>
    <w:basedOn w:val="Normal"/>
    <w:pPr>
      <w:spacing w:after="150"/>
    </w:pPr>
    <w:rPr>
      <w:sz w:val="20"/>
      <w:szCs w:val="20"/>
    </w:rPr>
  </w:style>
  <w:style w:type="paragraph" w:customStyle="1" w:styleId="criterion1">
    <w:name w:val="criterion1"/>
    <w:basedOn w:val="Normal"/>
    <w:pPr>
      <w:spacing w:after="150"/>
      <w:ind w:right="480"/>
    </w:pPr>
  </w:style>
  <w:style w:type="paragraph" w:customStyle="1" w:styleId="action1">
    <w:name w:val="action1"/>
    <w:basedOn w:val="Normal"/>
    <w:pPr>
      <w:spacing w:after="150"/>
    </w:pPr>
  </w:style>
  <w:style w:type="paragraph" w:customStyle="1" w:styleId="form-item7">
    <w:name w:val="form-item7"/>
    <w:basedOn w:val="Normal"/>
  </w:style>
  <w:style w:type="paragraph" w:customStyle="1" w:styleId="form-item8">
    <w:name w:val="form-item8"/>
    <w:basedOn w:val="Normal"/>
  </w:style>
  <w:style w:type="paragraph" w:customStyle="1" w:styleId="form-item-name1">
    <w:name w:val="form-item-name1"/>
    <w:basedOn w:val="Normal"/>
    <w:pPr>
      <w:spacing w:after="150"/>
      <w:ind w:right="240"/>
    </w:pPr>
  </w:style>
  <w:style w:type="paragraph" w:customStyle="1" w:styleId="user-picture1">
    <w:name w:val="user-picture1"/>
    <w:basedOn w:val="Normal"/>
    <w:pPr>
      <w:spacing w:after="240"/>
      <w:ind w:right="240"/>
    </w:pPr>
  </w:style>
  <w:style w:type="paragraph" w:customStyle="1" w:styleId="views-exposed-widget1">
    <w:name w:val="views-exposed-widget1"/>
    <w:basedOn w:val="Normal"/>
    <w:pPr>
      <w:spacing w:after="150"/>
    </w:pPr>
  </w:style>
  <w:style w:type="paragraph" w:customStyle="1" w:styleId="form-submit1">
    <w:name w:val="form-submit1"/>
    <w:basedOn w:val="Normal"/>
    <w:pPr>
      <w:spacing w:before="384"/>
    </w:pPr>
  </w:style>
  <w:style w:type="paragraph" w:customStyle="1" w:styleId="form-item9">
    <w:name w:val="form-item9"/>
    <w:basedOn w:val="Normal"/>
  </w:style>
  <w:style w:type="paragraph" w:customStyle="1" w:styleId="form-submit2">
    <w:name w:val="form-submit2"/>
    <w:basedOn w:val="Normal"/>
  </w:style>
  <w:style w:type="paragraph" w:customStyle="1" w:styleId="container1">
    <w:name w:val="container1"/>
    <w:basedOn w:val="Normal"/>
    <w:pPr>
      <w:spacing w:after="150"/>
    </w:pPr>
  </w:style>
  <w:style w:type="paragraph" w:customStyle="1" w:styleId="container2">
    <w:name w:val="container2"/>
    <w:basedOn w:val="Normal"/>
    <w:pPr>
      <w:spacing w:after="150"/>
    </w:pPr>
  </w:style>
  <w:style w:type="paragraph" w:customStyle="1" w:styleId="container3">
    <w:name w:val="container3"/>
    <w:basedOn w:val="Normal"/>
    <w:pPr>
      <w:spacing w:after="150"/>
    </w:pPr>
  </w:style>
  <w:style w:type="paragraph" w:customStyle="1" w:styleId="span121">
    <w:name w:val="span121"/>
    <w:basedOn w:val="Normal"/>
    <w:pPr>
      <w:spacing w:after="150"/>
    </w:pPr>
  </w:style>
  <w:style w:type="paragraph" w:customStyle="1" w:styleId="span111">
    <w:name w:val="span111"/>
    <w:basedOn w:val="Normal"/>
    <w:pPr>
      <w:spacing w:after="150"/>
    </w:pPr>
  </w:style>
  <w:style w:type="paragraph" w:customStyle="1" w:styleId="span101">
    <w:name w:val="span101"/>
    <w:basedOn w:val="Normal"/>
    <w:pPr>
      <w:spacing w:after="150"/>
    </w:pPr>
  </w:style>
  <w:style w:type="paragraph" w:customStyle="1" w:styleId="span91">
    <w:name w:val="span91"/>
    <w:basedOn w:val="Normal"/>
    <w:pPr>
      <w:spacing w:after="150"/>
    </w:pPr>
  </w:style>
  <w:style w:type="paragraph" w:customStyle="1" w:styleId="span81">
    <w:name w:val="span81"/>
    <w:basedOn w:val="Normal"/>
    <w:pPr>
      <w:spacing w:after="150"/>
    </w:pPr>
  </w:style>
  <w:style w:type="paragraph" w:customStyle="1" w:styleId="span71">
    <w:name w:val="span71"/>
    <w:basedOn w:val="Normal"/>
    <w:pPr>
      <w:spacing w:after="150"/>
    </w:pPr>
  </w:style>
  <w:style w:type="paragraph" w:customStyle="1" w:styleId="span61">
    <w:name w:val="span61"/>
    <w:basedOn w:val="Normal"/>
    <w:pPr>
      <w:spacing w:after="150"/>
    </w:pPr>
  </w:style>
  <w:style w:type="paragraph" w:customStyle="1" w:styleId="span51">
    <w:name w:val="span51"/>
    <w:basedOn w:val="Normal"/>
    <w:pPr>
      <w:spacing w:after="150"/>
    </w:pPr>
  </w:style>
  <w:style w:type="paragraph" w:customStyle="1" w:styleId="span41">
    <w:name w:val="span41"/>
    <w:basedOn w:val="Normal"/>
    <w:pPr>
      <w:spacing w:after="150"/>
    </w:pPr>
  </w:style>
  <w:style w:type="paragraph" w:customStyle="1" w:styleId="span31">
    <w:name w:val="span31"/>
    <w:basedOn w:val="Normal"/>
    <w:pPr>
      <w:spacing w:after="150"/>
    </w:pPr>
  </w:style>
  <w:style w:type="paragraph" w:customStyle="1" w:styleId="span25">
    <w:name w:val="span25"/>
    <w:basedOn w:val="Normal"/>
    <w:pPr>
      <w:spacing w:after="150"/>
    </w:pPr>
  </w:style>
  <w:style w:type="paragraph" w:customStyle="1" w:styleId="span110">
    <w:name w:val="span110"/>
    <w:basedOn w:val="Normal"/>
    <w:pPr>
      <w:spacing w:after="150"/>
    </w:pPr>
  </w:style>
  <w:style w:type="paragraph" w:customStyle="1" w:styleId="offset121">
    <w:name w:val="offset121"/>
    <w:basedOn w:val="Normal"/>
    <w:pPr>
      <w:spacing w:after="150"/>
      <w:ind w:left="27429"/>
    </w:pPr>
  </w:style>
  <w:style w:type="paragraph" w:customStyle="1" w:styleId="offset111">
    <w:name w:val="offset111"/>
    <w:basedOn w:val="Normal"/>
    <w:pPr>
      <w:spacing w:after="150"/>
      <w:ind w:left="25128"/>
    </w:pPr>
  </w:style>
  <w:style w:type="paragraph" w:customStyle="1" w:styleId="offset101">
    <w:name w:val="offset101"/>
    <w:basedOn w:val="Normal"/>
    <w:pPr>
      <w:spacing w:after="150"/>
      <w:ind w:left="22948"/>
    </w:pPr>
  </w:style>
  <w:style w:type="paragraph" w:customStyle="1" w:styleId="offset91">
    <w:name w:val="offset91"/>
    <w:basedOn w:val="Normal"/>
    <w:pPr>
      <w:spacing w:after="150"/>
      <w:ind w:left="20647"/>
    </w:pPr>
  </w:style>
  <w:style w:type="paragraph" w:customStyle="1" w:styleId="offset81">
    <w:name w:val="offset81"/>
    <w:basedOn w:val="Normal"/>
    <w:pPr>
      <w:spacing w:after="150"/>
      <w:ind w:left="18468"/>
    </w:pPr>
  </w:style>
  <w:style w:type="paragraph" w:customStyle="1" w:styleId="offset71">
    <w:name w:val="offset71"/>
    <w:basedOn w:val="Normal"/>
    <w:pPr>
      <w:spacing w:after="150"/>
      <w:ind w:left="16166"/>
    </w:pPr>
  </w:style>
  <w:style w:type="paragraph" w:customStyle="1" w:styleId="offset61">
    <w:name w:val="offset61"/>
    <w:basedOn w:val="Normal"/>
    <w:pPr>
      <w:spacing w:after="150"/>
      <w:ind w:left="13987"/>
    </w:pPr>
  </w:style>
  <w:style w:type="paragraph" w:customStyle="1" w:styleId="offset51">
    <w:name w:val="offset51"/>
    <w:basedOn w:val="Normal"/>
    <w:pPr>
      <w:spacing w:after="150"/>
      <w:ind w:left="11685"/>
    </w:pPr>
  </w:style>
  <w:style w:type="paragraph" w:customStyle="1" w:styleId="offset41">
    <w:name w:val="offset41"/>
    <w:basedOn w:val="Normal"/>
    <w:pPr>
      <w:spacing w:after="150"/>
      <w:ind w:left="9506"/>
    </w:pPr>
  </w:style>
  <w:style w:type="paragraph" w:customStyle="1" w:styleId="offset31">
    <w:name w:val="offset31"/>
    <w:basedOn w:val="Normal"/>
    <w:pPr>
      <w:spacing w:after="150"/>
      <w:ind w:left="7204"/>
    </w:pPr>
  </w:style>
  <w:style w:type="paragraph" w:customStyle="1" w:styleId="offset21">
    <w:name w:val="offset21"/>
    <w:basedOn w:val="Normal"/>
    <w:pPr>
      <w:spacing w:after="150"/>
      <w:ind w:left="5025"/>
    </w:pPr>
  </w:style>
  <w:style w:type="paragraph" w:customStyle="1" w:styleId="offset13">
    <w:name w:val="offset13"/>
    <w:basedOn w:val="Normal"/>
    <w:pPr>
      <w:spacing w:after="150"/>
      <w:ind w:left="2724"/>
    </w:pPr>
  </w:style>
  <w:style w:type="paragraph" w:customStyle="1" w:styleId="uneditable-input1">
    <w:name w:val="uneditable-input1"/>
    <w:basedOn w:val="Normal"/>
    <w:pPr>
      <w:shd w:val="clear" w:color="auto" w:fill="FCFCFC"/>
      <w:textAlignment w:val="top"/>
    </w:pPr>
    <w:rPr>
      <w:color w:val="999999"/>
      <w:sz w:val="21"/>
      <w:szCs w:val="21"/>
    </w:rPr>
  </w:style>
  <w:style w:type="paragraph" w:customStyle="1" w:styleId="uneditable-input2">
    <w:name w:val="uneditable-input2"/>
    <w:basedOn w:val="Normal"/>
    <w:pPr>
      <w:shd w:val="clear" w:color="auto" w:fill="FCFCFC"/>
      <w:textAlignment w:val="top"/>
    </w:pPr>
    <w:rPr>
      <w:color w:val="999999"/>
      <w:sz w:val="21"/>
      <w:szCs w:val="21"/>
    </w:rPr>
  </w:style>
  <w:style w:type="paragraph" w:customStyle="1" w:styleId="add-on1">
    <w:name w:val="add-on1"/>
    <w:basedOn w:val="Normal"/>
    <w:pPr>
      <w:pBdr>
        <w:top w:val="single" w:sz="6" w:space="3" w:color="CCCCCC"/>
        <w:left w:val="single" w:sz="6" w:space="4" w:color="CCCCCC"/>
        <w:bottom w:val="single" w:sz="6" w:space="3" w:color="CCCCCC"/>
        <w:right w:val="single" w:sz="6" w:space="4" w:color="CCCCCC"/>
      </w:pBdr>
      <w:shd w:val="clear" w:color="auto" w:fill="EEEEEE"/>
      <w:spacing w:after="150" w:line="300" w:lineRule="atLeast"/>
      <w:ind w:left="-15"/>
      <w:jc w:val="center"/>
      <w:textAlignment w:val="top"/>
    </w:pPr>
    <w:rPr>
      <w:sz w:val="21"/>
      <w:szCs w:val="21"/>
    </w:rPr>
  </w:style>
  <w:style w:type="paragraph" w:customStyle="1" w:styleId="add-on2">
    <w:name w:val="add-on2"/>
    <w:basedOn w:val="Normal"/>
    <w:pPr>
      <w:pBdr>
        <w:top w:val="single" w:sz="6" w:space="3" w:color="CCCCCC"/>
        <w:left w:val="single" w:sz="6" w:space="4" w:color="CCCCCC"/>
        <w:bottom w:val="single" w:sz="6" w:space="3" w:color="CCCCCC"/>
        <w:right w:val="single" w:sz="6" w:space="4" w:color="CCCCCC"/>
      </w:pBdr>
      <w:shd w:val="clear" w:color="auto" w:fill="EEEEEE"/>
      <w:spacing w:after="150" w:line="300" w:lineRule="atLeast"/>
      <w:ind w:left="-15" w:right="-15"/>
      <w:jc w:val="center"/>
      <w:textAlignment w:val="top"/>
    </w:pPr>
    <w:rPr>
      <w:sz w:val="21"/>
      <w:szCs w:val="21"/>
    </w:rPr>
  </w:style>
  <w:style w:type="paragraph" w:customStyle="1" w:styleId="btn1">
    <w:name w:val="btn1"/>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ind w:left="-15"/>
      <w:jc w:val="center"/>
      <w:textAlignment w:val="top"/>
    </w:pPr>
    <w:rPr>
      <w:color w:val="333333"/>
      <w:sz w:val="21"/>
      <w:szCs w:val="21"/>
    </w:rPr>
  </w:style>
  <w:style w:type="paragraph" w:customStyle="1" w:styleId="btn2">
    <w:name w:val="btn2"/>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ind w:left="-15" w:right="-15"/>
      <w:jc w:val="center"/>
      <w:textAlignment w:val="top"/>
    </w:pPr>
    <w:rPr>
      <w:color w:val="333333"/>
      <w:sz w:val="21"/>
      <w:szCs w:val="21"/>
    </w:rPr>
  </w:style>
  <w:style w:type="paragraph" w:customStyle="1" w:styleId="active1">
    <w:name w:val="active1"/>
    <w:basedOn w:val="Normal"/>
    <w:pPr>
      <w:shd w:val="clear" w:color="auto" w:fill="A9DBA9"/>
      <w:spacing w:after="150"/>
    </w:pPr>
  </w:style>
  <w:style w:type="paragraph" w:customStyle="1" w:styleId="active2">
    <w:name w:val="active2"/>
    <w:basedOn w:val="Normal"/>
    <w:pPr>
      <w:shd w:val="clear" w:color="auto" w:fill="A9DBA9"/>
      <w:spacing w:after="150"/>
    </w:pPr>
  </w:style>
  <w:style w:type="paragraph" w:customStyle="1" w:styleId="help-inline1">
    <w:name w:val="help-inline1"/>
    <w:basedOn w:val="Normal"/>
    <w:pPr>
      <w:textAlignment w:val="center"/>
    </w:pPr>
    <w:rPr>
      <w:color w:val="595959"/>
    </w:rPr>
  </w:style>
  <w:style w:type="paragraph" w:customStyle="1" w:styleId="uneditable-input3">
    <w:name w:val="uneditable-input3"/>
    <w:basedOn w:val="Normal"/>
    <w:pPr>
      <w:shd w:val="clear" w:color="auto" w:fill="FCFCFC"/>
      <w:textAlignment w:val="center"/>
    </w:pPr>
    <w:rPr>
      <w:color w:val="999999"/>
    </w:rPr>
  </w:style>
  <w:style w:type="paragraph" w:customStyle="1" w:styleId="input-prepend1">
    <w:name w:val="input-prepend1"/>
    <w:basedOn w:val="Normal"/>
    <w:pPr>
      <w:textAlignment w:val="center"/>
    </w:pPr>
    <w:rPr>
      <w:sz w:val="2"/>
      <w:szCs w:val="2"/>
    </w:rPr>
  </w:style>
  <w:style w:type="paragraph" w:customStyle="1" w:styleId="input-append1">
    <w:name w:val="input-append1"/>
    <w:basedOn w:val="Normal"/>
    <w:pPr>
      <w:textAlignment w:val="center"/>
    </w:pPr>
    <w:rPr>
      <w:sz w:val="2"/>
      <w:szCs w:val="2"/>
    </w:rPr>
  </w:style>
  <w:style w:type="paragraph" w:customStyle="1" w:styleId="help-inline2">
    <w:name w:val="help-inline2"/>
    <w:basedOn w:val="Normal"/>
    <w:pPr>
      <w:textAlignment w:val="center"/>
    </w:pPr>
    <w:rPr>
      <w:color w:val="595959"/>
    </w:rPr>
  </w:style>
  <w:style w:type="paragraph" w:customStyle="1" w:styleId="uneditable-input4">
    <w:name w:val="uneditable-input4"/>
    <w:basedOn w:val="Normal"/>
    <w:pPr>
      <w:shd w:val="clear" w:color="auto" w:fill="FCFCFC"/>
      <w:textAlignment w:val="center"/>
    </w:pPr>
    <w:rPr>
      <w:color w:val="999999"/>
    </w:rPr>
  </w:style>
  <w:style w:type="paragraph" w:customStyle="1" w:styleId="input-prepend2">
    <w:name w:val="input-prepend2"/>
    <w:basedOn w:val="Normal"/>
    <w:pPr>
      <w:textAlignment w:val="center"/>
    </w:pPr>
    <w:rPr>
      <w:sz w:val="2"/>
      <w:szCs w:val="2"/>
    </w:rPr>
  </w:style>
  <w:style w:type="paragraph" w:customStyle="1" w:styleId="input-append2">
    <w:name w:val="input-append2"/>
    <w:basedOn w:val="Normal"/>
    <w:pPr>
      <w:textAlignment w:val="center"/>
    </w:pPr>
    <w:rPr>
      <w:sz w:val="2"/>
      <w:szCs w:val="2"/>
    </w:rPr>
  </w:style>
  <w:style w:type="paragraph" w:customStyle="1" w:styleId="help-inline3">
    <w:name w:val="help-inline3"/>
    <w:basedOn w:val="Normal"/>
    <w:pPr>
      <w:textAlignment w:val="center"/>
    </w:pPr>
    <w:rPr>
      <w:color w:val="595959"/>
    </w:rPr>
  </w:style>
  <w:style w:type="paragraph" w:customStyle="1" w:styleId="uneditable-input5">
    <w:name w:val="uneditable-input5"/>
    <w:basedOn w:val="Normal"/>
    <w:pPr>
      <w:shd w:val="clear" w:color="auto" w:fill="FCFCFC"/>
      <w:textAlignment w:val="center"/>
    </w:pPr>
    <w:rPr>
      <w:color w:val="999999"/>
    </w:rPr>
  </w:style>
  <w:style w:type="paragraph" w:customStyle="1" w:styleId="input-prepend3">
    <w:name w:val="input-prepend3"/>
    <w:basedOn w:val="Normal"/>
    <w:pPr>
      <w:textAlignment w:val="center"/>
    </w:pPr>
    <w:rPr>
      <w:sz w:val="2"/>
      <w:szCs w:val="2"/>
    </w:rPr>
  </w:style>
  <w:style w:type="paragraph" w:customStyle="1" w:styleId="input-append3">
    <w:name w:val="input-append3"/>
    <w:basedOn w:val="Normal"/>
    <w:pPr>
      <w:textAlignment w:val="center"/>
    </w:pPr>
    <w:rPr>
      <w:sz w:val="2"/>
      <w:szCs w:val="2"/>
    </w:rPr>
  </w:style>
  <w:style w:type="paragraph" w:customStyle="1" w:styleId="hide1">
    <w:name w:val="hide1"/>
    <w:basedOn w:val="Normal"/>
    <w:pPr>
      <w:spacing w:after="150"/>
    </w:pPr>
    <w:rPr>
      <w:vanish/>
    </w:rPr>
  </w:style>
  <w:style w:type="paragraph" w:customStyle="1" w:styleId="hide2">
    <w:name w:val="hide2"/>
    <w:basedOn w:val="Normal"/>
    <w:pPr>
      <w:spacing w:after="150"/>
    </w:pPr>
    <w:rPr>
      <w:vanish/>
    </w:rPr>
  </w:style>
  <w:style w:type="paragraph" w:customStyle="1" w:styleId="hide3">
    <w:name w:val="hide3"/>
    <w:basedOn w:val="Normal"/>
    <w:pPr>
      <w:spacing w:after="150"/>
    </w:pPr>
    <w:rPr>
      <w:vanish/>
    </w:rPr>
  </w:style>
  <w:style w:type="paragraph" w:customStyle="1" w:styleId="radio1">
    <w:name w:val="radio1"/>
    <w:basedOn w:val="Normal"/>
    <w:pPr>
      <w:textAlignment w:val="center"/>
    </w:pPr>
  </w:style>
  <w:style w:type="paragraph" w:customStyle="1" w:styleId="checkbox1">
    <w:name w:val="checkbox1"/>
    <w:basedOn w:val="Normal"/>
    <w:pPr>
      <w:textAlignment w:val="center"/>
    </w:pPr>
  </w:style>
  <w:style w:type="paragraph" w:customStyle="1" w:styleId="radio2">
    <w:name w:val="radio2"/>
    <w:basedOn w:val="Normal"/>
    <w:pPr>
      <w:textAlignment w:val="center"/>
    </w:pPr>
  </w:style>
  <w:style w:type="paragraph" w:customStyle="1" w:styleId="checkbox2">
    <w:name w:val="checkbox2"/>
    <w:basedOn w:val="Normal"/>
    <w:pPr>
      <w:textAlignment w:val="center"/>
    </w:pPr>
  </w:style>
  <w:style w:type="paragraph" w:customStyle="1" w:styleId="control-group1">
    <w:name w:val="control-group1"/>
    <w:basedOn w:val="Normal"/>
    <w:pPr>
      <w:spacing w:after="300"/>
    </w:pPr>
  </w:style>
  <w:style w:type="paragraph" w:customStyle="1" w:styleId="control-label1">
    <w:name w:val="control-label1"/>
    <w:basedOn w:val="Normal"/>
    <w:pPr>
      <w:spacing w:after="150"/>
      <w:jc w:val="right"/>
    </w:pPr>
  </w:style>
  <w:style w:type="paragraph" w:customStyle="1" w:styleId="controls1">
    <w:name w:val="controls1"/>
    <w:basedOn w:val="Normal"/>
    <w:pPr>
      <w:spacing w:after="150"/>
      <w:ind w:left="2400"/>
    </w:pPr>
  </w:style>
  <w:style w:type="paragraph" w:customStyle="1" w:styleId="help-block1">
    <w:name w:val="help-block1"/>
    <w:basedOn w:val="Normal"/>
    <w:pPr>
      <w:spacing w:before="150"/>
    </w:pPr>
    <w:rPr>
      <w:color w:val="595959"/>
    </w:rPr>
  </w:style>
  <w:style w:type="paragraph" w:customStyle="1" w:styleId="form-actions1">
    <w:name w:val="form-actions1"/>
    <w:basedOn w:val="Normal"/>
    <w:pPr>
      <w:pBdr>
        <w:top w:val="single" w:sz="6" w:space="14" w:color="E5E5E5"/>
      </w:pBdr>
      <w:shd w:val="clear" w:color="auto" w:fill="F5F5F5"/>
      <w:spacing w:before="300" w:after="300"/>
    </w:pPr>
  </w:style>
  <w:style w:type="paragraph" w:customStyle="1" w:styleId="span112">
    <w:name w:val="span112"/>
    <w:basedOn w:val="Normal"/>
    <w:pPr>
      <w:spacing w:after="150"/>
    </w:pPr>
  </w:style>
  <w:style w:type="paragraph" w:customStyle="1" w:styleId="span26">
    <w:name w:val="span26"/>
    <w:basedOn w:val="Normal"/>
    <w:pPr>
      <w:spacing w:after="150"/>
    </w:pPr>
  </w:style>
  <w:style w:type="paragraph" w:customStyle="1" w:styleId="span32">
    <w:name w:val="span32"/>
    <w:basedOn w:val="Normal"/>
    <w:pPr>
      <w:spacing w:after="150"/>
    </w:pPr>
  </w:style>
  <w:style w:type="paragraph" w:customStyle="1" w:styleId="span42">
    <w:name w:val="span42"/>
    <w:basedOn w:val="Normal"/>
    <w:pPr>
      <w:spacing w:after="150"/>
    </w:pPr>
  </w:style>
  <w:style w:type="paragraph" w:customStyle="1" w:styleId="span52">
    <w:name w:val="span52"/>
    <w:basedOn w:val="Normal"/>
    <w:pPr>
      <w:spacing w:after="150"/>
    </w:pPr>
  </w:style>
  <w:style w:type="paragraph" w:customStyle="1" w:styleId="span62">
    <w:name w:val="span62"/>
    <w:basedOn w:val="Normal"/>
    <w:pPr>
      <w:spacing w:after="150"/>
    </w:pPr>
  </w:style>
  <w:style w:type="paragraph" w:customStyle="1" w:styleId="span72">
    <w:name w:val="span72"/>
    <w:basedOn w:val="Normal"/>
    <w:pPr>
      <w:spacing w:after="150"/>
    </w:pPr>
  </w:style>
  <w:style w:type="paragraph" w:customStyle="1" w:styleId="span82">
    <w:name w:val="span82"/>
    <w:basedOn w:val="Normal"/>
    <w:pPr>
      <w:spacing w:after="150"/>
    </w:pPr>
  </w:style>
  <w:style w:type="paragraph" w:customStyle="1" w:styleId="span92">
    <w:name w:val="span92"/>
    <w:basedOn w:val="Normal"/>
    <w:pPr>
      <w:spacing w:after="150"/>
    </w:pPr>
  </w:style>
  <w:style w:type="paragraph" w:customStyle="1" w:styleId="span102">
    <w:name w:val="span102"/>
    <w:basedOn w:val="Normal"/>
    <w:pPr>
      <w:spacing w:after="150"/>
    </w:pPr>
  </w:style>
  <w:style w:type="paragraph" w:customStyle="1" w:styleId="span113">
    <w:name w:val="span113"/>
    <w:basedOn w:val="Normal"/>
    <w:pPr>
      <w:spacing w:after="150"/>
    </w:pPr>
  </w:style>
  <w:style w:type="paragraph" w:customStyle="1" w:styleId="span122">
    <w:name w:val="span122"/>
    <w:basedOn w:val="Normal"/>
    <w:pPr>
      <w:spacing w:after="150"/>
    </w:pPr>
  </w:style>
  <w:style w:type="paragraph" w:customStyle="1" w:styleId="span131">
    <w:name w:val="span131"/>
    <w:basedOn w:val="Normal"/>
    <w:pPr>
      <w:spacing w:after="150"/>
    </w:pPr>
  </w:style>
  <w:style w:type="paragraph" w:customStyle="1" w:styleId="span141">
    <w:name w:val="span141"/>
    <w:basedOn w:val="Normal"/>
    <w:pPr>
      <w:spacing w:after="150"/>
    </w:pPr>
  </w:style>
  <w:style w:type="paragraph" w:customStyle="1" w:styleId="span151">
    <w:name w:val="span151"/>
    <w:basedOn w:val="Normal"/>
    <w:pPr>
      <w:spacing w:after="150"/>
    </w:pPr>
  </w:style>
  <w:style w:type="paragraph" w:customStyle="1" w:styleId="span161">
    <w:name w:val="span161"/>
    <w:basedOn w:val="Normal"/>
    <w:pPr>
      <w:spacing w:after="150"/>
    </w:pPr>
  </w:style>
  <w:style w:type="paragraph" w:customStyle="1" w:styleId="span171">
    <w:name w:val="span171"/>
    <w:basedOn w:val="Normal"/>
    <w:pPr>
      <w:spacing w:after="150"/>
    </w:pPr>
  </w:style>
  <w:style w:type="paragraph" w:customStyle="1" w:styleId="span181">
    <w:name w:val="span181"/>
    <w:basedOn w:val="Normal"/>
    <w:pPr>
      <w:spacing w:after="150"/>
    </w:pPr>
  </w:style>
  <w:style w:type="paragraph" w:customStyle="1" w:styleId="span191">
    <w:name w:val="span191"/>
    <w:basedOn w:val="Normal"/>
    <w:pPr>
      <w:spacing w:after="150"/>
    </w:pPr>
  </w:style>
  <w:style w:type="paragraph" w:customStyle="1" w:styleId="span201">
    <w:name w:val="span201"/>
    <w:basedOn w:val="Normal"/>
    <w:pPr>
      <w:spacing w:after="150"/>
    </w:pPr>
  </w:style>
  <w:style w:type="paragraph" w:customStyle="1" w:styleId="span211">
    <w:name w:val="span211"/>
    <w:basedOn w:val="Normal"/>
    <w:pPr>
      <w:spacing w:after="150"/>
    </w:pPr>
  </w:style>
  <w:style w:type="paragraph" w:customStyle="1" w:styleId="span221">
    <w:name w:val="span221"/>
    <w:basedOn w:val="Normal"/>
    <w:pPr>
      <w:spacing w:after="150"/>
    </w:pPr>
  </w:style>
  <w:style w:type="paragraph" w:customStyle="1" w:styleId="span231">
    <w:name w:val="span231"/>
    <w:basedOn w:val="Normal"/>
    <w:pPr>
      <w:spacing w:after="150"/>
    </w:pPr>
  </w:style>
  <w:style w:type="paragraph" w:customStyle="1" w:styleId="span241">
    <w:name w:val="span241"/>
    <w:basedOn w:val="Normal"/>
    <w:pPr>
      <w:spacing w:after="150"/>
    </w:pPr>
  </w:style>
  <w:style w:type="paragraph" w:customStyle="1" w:styleId="caret1">
    <w:name w:val="caret1"/>
    <w:basedOn w:val="Normal"/>
    <w:pPr>
      <w:pBdr>
        <w:top w:val="single" w:sz="24" w:space="0" w:color="000000"/>
      </w:pBdr>
      <w:spacing w:before="120" w:after="150"/>
      <w:ind w:left="30"/>
      <w:textAlignment w:val="top"/>
    </w:pPr>
  </w:style>
  <w:style w:type="paragraph" w:customStyle="1" w:styleId="divider1">
    <w:name w:val="divider1"/>
    <w:basedOn w:val="Normal"/>
    <w:pPr>
      <w:pBdr>
        <w:bottom w:val="single" w:sz="6" w:space="0" w:color="FFFFFF"/>
      </w:pBdr>
      <w:shd w:val="clear" w:color="auto" w:fill="E5E5E5"/>
      <w:spacing w:before="135" w:after="135"/>
      <w:ind w:left="15" w:right="15"/>
    </w:pPr>
  </w:style>
  <w:style w:type="paragraph" w:customStyle="1" w:styleId="caret2">
    <w:name w:val="caret2"/>
    <w:basedOn w:val="Normal"/>
    <w:pPr>
      <w:pBdr>
        <w:bottom w:val="single" w:sz="24" w:space="0" w:color="000000"/>
      </w:pBdr>
      <w:spacing w:after="150"/>
      <w:textAlignment w:val="top"/>
    </w:pPr>
  </w:style>
  <w:style w:type="paragraph" w:customStyle="1" w:styleId="caret3">
    <w:name w:val="caret3"/>
    <w:basedOn w:val="Normal"/>
    <w:pPr>
      <w:pBdr>
        <w:bottom w:val="single" w:sz="24" w:space="0" w:color="000000"/>
      </w:pBdr>
      <w:spacing w:before="120" w:after="150"/>
      <w:ind w:left="30"/>
      <w:textAlignment w:val="top"/>
    </w:pPr>
  </w:style>
  <w:style w:type="paragraph" w:customStyle="1" w:styleId="dropdown-menu1">
    <w:name w:val="dropdown-menu1"/>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rPr>
  </w:style>
  <w:style w:type="paragraph" w:customStyle="1" w:styleId="dropdown-menu2">
    <w:name w:val="dropdown-menu2"/>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rPr>
  </w:style>
  <w:style w:type="paragraph" w:customStyle="1" w:styleId="dropdown-menu3">
    <w:name w:val="dropdown-menu3"/>
    <w:basedOn w:val="Normal"/>
    <w:pPr>
      <w:pBdr>
        <w:top w:val="single" w:sz="6" w:space="4" w:color="CCCCCC"/>
        <w:left w:val="single" w:sz="6" w:space="0" w:color="CCCCCC"/>
        <w:bottom w:val="single" w:sz="6" w:space="4" w:color="CCCCCC"/>
        <w:right w:val="single" w:sz="6" w:space="0" w:color="CCCCCC"/>
      </w:pBdr>
      <w:shd w:val="clear" w:color="auto" w:fill="FFFFFF"/>
      <w:spacing w:before="30"/>
    </w:pPr>
  </w:style>
  <w:style w:type="paragraph" w:customStyle="1" w:styleId="nav-header1">
    <w:name w:val="nav-header1"/>
    <w:basedOn w:val="Normal"/>
    <w:pPr>
      <w:spacing w:after="150" w:line="300" w:lineRule="atLeast"/>
    </w:pPr>
    <w:rPr>
      <w:b/>
      <w:bCs/>
      <w:caps/>
      <w:color w:val="999999"/>
      <w:sz w:val="17"/>
      <w:szCs w:val="17"/>
    </w:rPr>
  </w:style>
  <w:style w:type="paragraph" w:customStyle="1" w:styleId="caret4">
    <w:name w:val="caret4"/>
    <w:basedOn w:val="Normal"/>
    <w:pPr>
      <w:pBdr>
        <w:top w:val="single" w:sz="24" w:space="0" w:color="000000"/>
      </w:pBdr>
      <w:spacing w:before="120" w:after="150"/>
      <w:textAlignment w:val="top"/>
    </w:pPr>
  </w:style>
  <w:style w:type="paragraph" w:customStyle="1" w:styleId="caret5">
    <w:name w:val="caret5"/>
    <w:basedOn w:val="Normal"/>
    <w:pPr>
      <w:pBdr>
        <w:top w:val="single" w:sz="24" w:space="0" w:color="000000"/>
      </w:pBdr>
      <w:spacing w:before="90" w:after="150"/>
      <w:textAlignment w:val="top"/>
    </w:pPr>
  </w:style>
  <w:style w:type="paragraph" w:customStyle="1" w:styleId="caret6">
    <w:name w:val="caret6"/>
    <w:basedOn w:val="Normal"/>
    <w:pPr>
      <w:pBdr>
        <w:top w:val="single" w:sz="24" w:space="0" w:color="000000"/>
      </w:pBdr>
      <w:spacing w:before="90" w:after="150"/>
      <w:textAlignment w:val="top"/>
    </w:pPr>
  </w:style>
  <w:style w:type="paragraph" w:customStyle="1" w:styleId="caret7">
    <w:name w:val="caret7"/>
    <w:basedOn w:val="Normal"/>
    <w:pPr>
      <w:pBdr>
        <w:top w:val="single" w:sz="36" w:space="0" w:color="000000"/>
      </w:pBdr>
      <w:spacing w:before="90" w:after="150"/>
      <w:textAlignment w:val="top"/>
    </w:pPr>
  </w:style>
  <w:style w:type="paragraph" w:customStyle="1" w:styleId="caret8">
    <w:name w:val="caret8"/>
    <w:basedOn w:val="Normal"/>
    <w:pPr>
      <w:pBdr>
        <w:bottom w:val="single" w:sz="36" w:space="0" w:color="000000"/>
      </w:pBdr>
      <w:spacing w:before="90" w:after="150"/>
      <w:textAlignment w:val="top"/>
    </w:pPr>
  </w:style>
  <w:style w:type="paragraph" w:customStyle="1" w:styleId="caret9">
    <w:name w:val="caret9"/>
    <w:basedOn w:val="Normal"/>
    <w:pPr>
      <w:pBdr>
        <w:top w:val="single" w:sz="24" w:space="0" w:color="FFFFFF"/>
      </w:pBdr>
      <w:spacing w:after="150"/>
      <w:textAlignment w:val="top"/>
    </w:pPr>
  </w:style>
  <w:style w:type="paragraph" w:customStyle="1" w:styleId="caret10">
    <w:name w:val="caret10"/>
    <w:basedOn w:val="Normal"/>
    <w:pPr>
      <w:pBdr>
        <w:top w:val="single" w:sz="24" w:space="0" w:color="FFFFFF"/>
      </w:pBdr>
      <w:spacing w:after="150"/>
      <w:textAlignment w:val="top"/>
    </w:pPr>
  </w:style>
  <w:style w:type="paragraph" w:customStyle="1" w:styleId="caret11">
    <w:name w:val="caret11"/>
    <w:basedOn w:val="Normal"/>
    <w:pPr>
      <w:pBdr>
        <w:top w:val="single" w:sz="24" w:space="0" w:color="FFFFFF"/>
      </w:pBdr>
      <w:spacing w:after="150"/>
      <w:textAlignment w:val="top"/>
    </w:pPr>
  </w:style>
  <w:style w:type="paragraph" w:customStyle="1" w:styleId="caret12">
    <w:name w:val="caret12"/>
    <w:basedOn w:val="Normal"/>
    <w:pPr>
      <w:pBdr>
        <w:top w:val="single" w:sz="24" w:space="0" w:color="FFFFFF"/>
      </w:pBdr>
      <w:spacing w:after="150"/>
      <w:textAlignment w:val="top"/>
    </w:pPr>
  </w:style>
  <w:style w:type="paragraph" w:customStyle="1" w:styleId="caret13">
    <w:name w:val="caret13"/>
    <w:basedOn w:val="Normal"/>
    <w:pPr>
      <w:pBdr>
        <w:top w:val="single" w:sz="24" w:space="0" w:color="FFFFFF"/>
      </w:pBdr>
      <w:spacing w:after="150"/>
      <w:textAlignment w:val="top"/>
    </w:pPr>
  </w:style>
  <w:style w:type="paragraph" w:customStyle="1" w:styleId="caret14">
    <w:name w:val="caret14"/>
    <w:basedOn w:val="Normal"/>
    <w:pPr>
      <w:pBdr>
        <w:top w:val="single" w:sz="24" w:space="0" w:color="FFFFFF"/>
      </w:pBdr>
      <w:spacing w:after="150"/>
      <w:textAlignment w:val="top"/>
    </w:pPr>
  </w:style>
  <w:style w:type="paragraph" w:customStyle="1" w:styleId="btn3">
    <w:name w:val="btn3"/>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jc w:val="center"/>
      <w:textAlignment w:val="center"/>
    </w:pPr>
    <w:rPr>
      <w:color w:val="333333"/>
      <w:sz w:val="21"/>
      <w:szCs w:val="21"/>
    </w:rPr>
  </w:style>
  <w:style w:type="paragraph" w:customStyle="1" w:styleId="close1">
    <w:name w:val="close1"/>
    <w:basedOn w:val="Normal"/>
    <w:pPr>
      <w:spacing w:after="150" w:line="300" w:lineRule="atLeast"/>
    </w:pPr>
    <w:rPr>
      <w:b/>
      <w:bCs/>
      <w:color w:val="000000"/>
      <w:sz w:val="30"/>
      <w:szCs w:val="30"/>
    </w:rPr>
  </w:style>
  <w:style w:type="paragraph" w:customStyle="1" w:styleId="divider2">
    <w:name w:val="divider2"/>
    <w:basedOn w:val="Normal"/>
    <w:pPr>
      <w:pBdr>
        <w:bottom w:val="single" w:sz="6" w:space="0" w:color="FFFFFF"/>
      </w:pBdr>
      <w:shd w:val="clear" w:color="auto" w:fill="E5E5E5"/>
      <w:spacing w:before="135" w:after="135"/>
      <w:ind w:left="15" w:right="15"/>
    </w:pPr>
  </w:style>
  <w:style w:type="paragraph" w:customStyle="1" w:styleId="caret15">
    <w:name w:val="caret15"/>
    <w:basedOn w:val="Normal"/>
    <w:pPr>
      <w:pBdr>
        <w:top w:val="single" w:sz="24" w:space="0" w:color="0088CC"/>
      </w:pBdr>
      <w:spacing w:before="90" w:after="150"/>
      <w:textAlignment w:val="top"/>
    </w:pPr>
  </w:style>
  <w:style w:type="paragraph" w:customStyle="1" w:styleId="caret16">
    <w:name w:val="caret16"/>
    <w:basedOn w:val="Normal"/>
    <w:pPr>
      <w:pBdr>
        <w:top w:val="single" w:sz="24" w:space="0" w:color="005580"/>
      </w:pBdr>
      <w:spacing w:before="90" w:after="150"/>
      <w:textAlignment w:val="top"/>
    </w:pPr>
  </w:style>
  <w:style w:type="paragraph" w:customStyle="1" w:styleId="caret17">
    <w:name w:val="caret17"/>
    <w:basedOn w:val="Normal"/>
    <w:pPr>
      <w:pBdr>
        <w:top w:val="single" w:sz="24" w:space="0" w:color="000000"/>
      </w:pBdr>
      <w:spacing w:before="120" w:after="150"/>
      <w:textAlignment w:val="top"/>
    </w:pPr>
  </w:style>
  <w:style w:type="paragraph" w:customStyle="1" w:styleId="caret18">
    <w:name w:val="caret18"/>
    <w:basedOn w:val="Normal"/>
    <w:pPr>
      <w:pBdr>
        <w:top w:val="single" w:sz="24" w:space="0" w:color="FFFFFF"/>
      </w:pBdr>
      <w:spacing w:before="90" w:after="150"/>
      <w:textAlignment w:val="top"/>
    </w:pPr>
  </w:style>
  <w:style w:type="paragraph" w:customStyle="1" w:styleId="caret19">
    <w:name w:val="caret19"/>
    <w:basedOn w:val="Normal"/>
    <w:pPr>
      <w:pBdr>
        <w:top w:val="single" w:sz="24" w:space="0" w:color="555555"/>
      </w:pBdr>
      <w:spacing w:before="120" w:after="150"/>
      <w:textAlignment w:val="top"/>
    </w:pPr>
  </w:style>
  <w:style w:type="paragraph" w:customStyle="1" w:styleId="container4">
    <w:name w:val="container4"/>
    <w:basedOn w:val="Normal"/>
    <w:pPr>
      <w:spacing w:after="150"/>
    </w:pPr>
  </w:style>
  <w:style w:type="paragraph" w:customStyle="1" w:styleId="brand1">
    <w:name w:val="brand1"/>
    <w:basedOn w:val="Normal"/>
    <w:pPr>
      <w:spacing w:after="150"/>
      <w:ind w:left="-300"/>
    </w:pPr>
    <w:rPr>
      <w:color w:val="555555"/>
      <w:sz w:val="30"/>
      <w:szCs w:val="30"/>
    </w:rPr>
  </w:style>
  <w:style w:type="paragraph" w:customStyle="1" w:styleId="brand2">
    <w:name w:val="brand2"/>
    <w:basedOn w:val="Normal"/>
    <w:pPr>
      <w:spacing w:after="150"/>
      <w:ind w:left="-300"/>
    </w:pPr>
    <w:rPr>
      <w:color w:val="555555"/>
      <w:sz w:val="30"/>
      <w:szCs w:val="30"/>
    </w:rPr>
  </w:style>
  <w:style w:type="paragraph" w:customStyle="1" w:styleId="divider-vertical1">
    <w:name w:val="divider-vertical1"/>
    <w:basedOn w:val="Normal"/>
    <w:pPr>
      <w:pBdr>
        <w:left w:val="single" w:sz="6" w:space="0" w:color="F2F2F2"/>
        <w:right w:val="single" w:sz="6" w:space="0" w:color="FFFFFF"/>
      </w:pBdr>
      <w:ind w:left="135" w:right="135"/>
    </w:pPr>
  </w:style>
  <w:style w:type="paragraph" w:customStyle="1" w:styleId="btn4">
    <w:name w:val="btn4"/>
    <w:basedOn w:val="Normal"/>
    <w:pPr>
      <w:pBdr>
        <w:top w:val="single" w:sz="6" w:space="3" w:color="C5C5C5"/>
        <w:left w:val="single" w:sz="6" w:space="11" w:color="C5C5C5"/>
        <w:bottom w:val="single" w:sz="6" w:space="3" w:color="C5C5C5"/>
        <w:right w:val="single" w:sz="6" w:space="11" w:color="C5C5C5"/>
      </w:pBdr>
      <w:shd w:val="clear" w:color="auto" w:fill="F5F5F5"/>
      <w:spacing w:before="90" w:line="300" w:lineRule="atLeast"/>
      <w:jc w:val="center"/>
      <w:textAlignment w:val="center"/>
    </w:pPr>
    <w:rPr>
      <w:color w:val="333333"/>
      <w:sz w:val="21"/>
      <w:szCs w:val="21"/>
    </w:rPr>
  </w:style>
  <w:style w:type="paragraph" w:customStyle="1" w:styleId="btn-group1">
    <w:name w:val="btn-group1"/>
    <w:basedOn w:val="Normal"/>
    <w:pPr>
      <w:spacing w:before="90" w:after="150"/>
    </w:pPr>
    <w:rPr>
      <w:sz w:val="2"/>
      <w:szCs w:val="2"/>
    </w:rPr>
  </w:style>
  <w:style w:type="paragraph" w:customStyle="1" w:styleId="btn5">
    <w:name w:val="btn5"/>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jc w:val="center"/>
      <w:textAlignment w:val="center"/>
    </w:pPr>
    <w:rPr>
      <w:color w:val="333333"/>
      <w:sz w:val="21"/>
      <w:szCs w:val="21"/>
    </w:rPr>
  </w:style>
  <w:style w:type="paragraph" w:customStyle="1" w:styleId="radio3">
    <w:name w:val="radio3"/>
    <w:basedOn w:val="Normal"/>
    <w:pPr>
      <w:spacing w:before="75" w:after="150"/>
    </w:pPr>
  </w:style>
  <w:style w:type="paragraph" w:customStyle="1" w:styleId="checkbox3">
    <w:name w:val="checkbox3"/>
    <w:basedOn w:val="Normal"/>
    <w:pPr>
      <w:spacing w:before="75" w:after="150"/>
    </w:pPr>
  </w:style>
  <w:style w:type="paragraph" w:customStyle="1" w:styleId="btn6">
    <w:name w:val="btn6"/>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jc w:val="center"/>
      <w:textAlignment w:val="center"/>
    </w:pPr>
    <w:rPr>
      <w:color w:val="333333"/>
      <w:sz w:val="21"/>
      <w:szCs w:val="21"/>
    </w:rPr>
  </w:style>
  <w:style w:type="paragraph" w:customStyle="1" w:styleId="input-append4">
    <w:name w:val="input-append4"/>
    <w:basedOn w:val="Normal"/>
    <w:pPr>
      <w:spacing w:before="90" w:after="75"/>
    </w:pPr>
    <w:rPr>
      <w:sz w:val="2"/>
      <w:szCs w:val="2"/>
    </w:rPr>
  </w:style>
  <w:style w:type="paragraph" w:customStyle="1" w:styleId="input-prepend4">
    <w:name w:val="input-prepend4"/>
    <w:basedOn w:val="Normal"/>
    <w:pPr>
      <w:spacing w:before="90" w:after="75"/>
    </w:pPr>
    <w:rPr>
      <w:sz w:val="2"/>
      <w:szCs w:val="2"/>
    </w:rPr>
  </w:style>
  <w:style w:type="paragraph" w:customStyle="1" w:styleId="search-query1">
    <w:name w:val="search-query1"/>
    <w:basedOn w:val="Normal"/>
    <w:rPr>
      <w:rFonts w:ascii="Helvetica" w:hAnsi="Helvetica"/>
      <w:sz w:val="20"/>
      <w:szCs w:val="20"/>
    </w:rPr>
  </w:style>
  <w:style w:type="paragraph" w:customStyle="1" w:styleId="navbar-inner1">
    <w:name w:val="navbar-inner1"/>
    <w:basedOn w:val="Normal"/>
    <w:pPr>
      <w:shd w:val="clear" w:color="auto" w:fill="FAFAFA"/>
      <w:spacing w:after="150"/>
    </w:pPr>
  </w:style>
  <w:style w:type="paragraph" w:customStyle="1" w:styleId="navbar-inner2">
    <w:name w:val="navbar-inner2"/>
    <w:basedOn w:val="Normal"/>
    <w:pPr>
      <w:shd w:val="clear" w:color="auto" w:fill="FAFAFA"/>
      <w:spacing w:after="150"/>
    </w:pPr>
  </w:style>
  <w:style w:type="paragraph" w:customStyle="1" w:styleId="navbar-inner3">
    <w:name w:val="navbar-inner3"/>
    <w:basedOn w:val="Normal"/>
    <w:pPr>
      <w:shd w:val="clear" w:color="auto" w:fill="FAFAFA"/>
      <w:spacing w:after="150"/>
    </w:pPr>
  </w:style>
  <w:style w:type="paragraph" w:customStyle="1" w:styleId="nav1">
    <w:name w:val="nav1"/>
    <w:basedOn w:val="Normal"/>
    <w:pPr>
      <w:ind w:right="150"/>
    </w:pPr>
  </w:style>
  <w:style w:type="paragraph" w:customStyle="1" w:styleId="caret20">
    <w:name w:val="caret20"/>
    <w:basedOn w:val="Normal"/>
    <w:pPr>
      <w:pBdr>
        <w:top w:val="single" w:sz="24" w:space="0" w:color="0088CC"/>
      </w:pBdr>
      <w:spacing w:before="120" w:after="150"/>
      <w:textAlignment w:val="top"/>
    </w:pPr>
  </w:style>
  <w:style w:type="paragraph" w:customStyle="1" w:styleId="btn-navbar1">
    <w:name w:val="btn-navbar1"/>
    <w:basedOn w:val="Normal"/>
    <w:pPr>
      <w:shd w:val="clear" w:color="auto" w:fill="EDEDED"/>
      <w:spacing w:after="150"/>
      <w:ind w:left="75" w:right="75"/>
    </w:pPr>
    <w:rPr>
      <w:vanish/>
      <w:color w:val="FFFFFF"/>
    </w:rPr>
  </w:style>
  <w:style w:type="paragraph" w:customStyle="1" w:styleId="icon-bar1">
    <w:name w:val="icon-bar1"/>
    <w:basedOn w:val="Normal"/>
    <w:pPr>
      <w:shd w:val="clear" w:color="auto" w:fill="F5F5F5"/>
      <w:spacing w:after="150"/>
    </w:pPr>
  </w:style>
  <w:style w:type="paragraph" w:customStyle="1" w:styleId="navbar-inner4">
    <w:name w:val="navbar-inner4"/>
    <w:basedOn w:val="Normal"/>
    <w:pPr>
      <w:pBdr>
        <w:top w:val="single" w:sz="6" w:space="0" w:color="252525"/>
        <w:left w:val="single" w:sz="6" w:space="15" w:color="252525"/>
        <w:bottom w:val="single" w:sz="6" w:space="0" w:color="252525"/>
        <w:right w:val="single" w:sz="6" w:space="15" w:color="252525"/>
      </w:pBdr>
      <w:shd w:val="clear" w:color="auto" w:fill="1B1B1B"/>
      <w:spacing w:after="150"/>
    </w:pPr>
  </w:style>
  <w:style w:type="paragraph" w:customStyle="1" w:styleId="navbar-link1">
    <w:name w:val="navbar-link1"/>
    <w:basedOn w:val="Normal"/>
    <w:pPr>
      <w:spacing w:after="150"/>
    </w:pPr>
    <w:rPr>
      <w:color w:val="999999"/>
    </w:rPr>
  </w:style>
  <w:style w:type="paragraph" w:customStyle="1" w:styleId="navbar-link2">
    <w:name w:val="navbar-link2"/>
    <w:basedOn w:val="Normal"/>
    <w:pPr>
      <w:spacing w:after="150"/>
    </w:pPr>
    <w:rPr>
      <w:color w:val="FFFFFF"/>
    </w:rPr>
  </w:style>
  <w:style w:type="paragraph" w:customStyle="1" w:styleId="divider-vertical2">
    <w:name w:val="divider-vertical2"/>
    <w:basedOn w:val="Normal"/>
    <w:pPr>
      <w:spacing w:after="150"/>
    </w:pPr>
  </w:style>
  <w:style w:type="paragraph" w:customStyle="1" w:styleId="search-query2">
    <w:name w:val="search-query2"/>
    <w:basedOn w:val="Normal"/>
    <w:pPr>
      <w:shd w:val="clear" w:color="auto" w:fill="515151"/>
    </w:pPr>
    <w:rPr>
      <w:rFonts w:ascii="Helvetica" w:hAnsi="Helvetica"/>
      <w:color w:val="FFFFFF"/>
      <w:sz w:val="20"/>
      <w:szCs w:val="20"/>
    </w:rPr>
  </w:style>
  <w:style w:type="paragraph" w:customStyle="1" w:styleId="btn-navbar2">
    <w:name w:val="btn-navbar2"/>
    <w:basedOn w:val="Normal"/>
    <w:pPr>
      <w:shd w:val="clear" w:color="auto" w:fill="0E0E0E"/>
      <w:spacing w:after="150"/>
    </w:pPr>
    <w:rPr>
      <w:color w:val="FFFFFF"/>
    </w:rPr>
  </w:style>
  <w:style w:type="paragraph" w:customStyle="1" w:styleId="divider3">
    <w:name w:val="divider3"/>
    <w:basedOn w:val="Normal"/>
    <w:pPr>
      <w:spacing w:after="150"/>
    </w:pPr>
    <w:rPr>
      <w:color w:val="CCCCCC"/>
    </w:rPr>
  </w:style>
  <w:style w:type="paragraph" w:customStyle="1" w:styleId="active3">
    <w:name w:val="active3"/>
    <w:basedOn w:val="Normal"/>
    <w:pPr>
      <w:spacing w:after="150"/>
    </w:pPr>
    <w:rPr>
      <w:color w:val="999999"/>
    </w:rPr>
  </w:style>
  <w:style w:type="paragraph" w:customStyle="1" w:styleId="close2">
    <w:name w:val="close2"/>
    <w:basedOn w:val="Normal"/>
    <w:pPr>
      <w:spacing w:before="30" w:after="150" w:line="300" w:lineRule="atLeast"/>
    </w:pPr>
    <w:rPr>
      <w:b/>
      <w:bCs/>
      <w:color w:val="000000"/>
      <w:sz w:val="30"/>
      <w:szCs w:val="30"/>
    </w:rPr>
  </w:style>
  <w:style w:type="paragraph" w:customStyle="1" w:styleId="thumbnails1">
    <w:name w:val="thumbnails1"/>
    <w:basedOn w:val="Normal"/>
    <w:pPr>
      <w:spacing w:after="150"/>
    </w:pPr>
  </w:style>
  <w:style w:type="paragraph" w:customStyle="1" w:styleId="caption1">
    <w:name w:val="caption1"/>
    <w:basedOn w:val="Normal"/>
    <w:pPr>
      <w:spacing w:after="150"/>
    </w:pPr>
    <w:rPr>
      <w:color w:val="555555"/>
    </w:rPr>
  </w:style>
  <w:style w:type="paragraph" w:customStyle="1" w:styleId="bar2">
    <w:name w:val="bar2"/>
    <w:basedOn w:val="Normal"/>
    <w:pPr>
      <w:shd w:val="clear" w:color="auto" w:fill="149BDF"/>
      <w:spacing w:after="150"/>
    </w:pPr>
  </w:style>
  <w:style w:type="paragraph" w:customStyle="1" w:styleId="bar3">
    <w:name w:val="bar3"/>
    <w:basedOn w:val="Normal"/>
    <w:pPr>
      <w:shd w:val="clear" w:color="auto" w:fill="DD514C"/>
      <w:spacing w:after="150"/>
    </w:pPr>
  </w:style>
  <w:style w:type="paragraph" w:customStyle="1" w:styleId="bar-danger1">
    <w:name w:val="bar-danger1"/>
    <w:basedOn w:val="Normal"/>
    <w:pPr>
      <w:shd w:val="clear" w:color="auto" w:fill="DD514C"/>
      <w:spacing w:after="150"/>
    </w:pPr>
  </w:style>
  <w:style w:type="paragraph" w:customStyle="1" w:styleId="bar4">
    <w:name w:val="bar4"/>
    <w:basedOn w:val="Normal"/>
    <w:pPr>
      <w:shd w:val="clear" w:color="auto" w:fill="5EB95E"/>
      <w:spacing w:after="150"/>
    </w:pPr>
  </w:style>
  <w:style w:type="paragraph" w:customStyle="1" w:styleId="bar-success1">
    <w:name w:val="bar-success1"/>
    <w:basedOn w:val="Normal"/>
    <w:pPr>
      <w:shd w:val="clear" w:color="auto" w:fill="5EB95E"/>
      <w:spacing w:after="150"/>
    </w:pPr>
  </w:style>
  <w:style w:type="paragraph" w:customStyle="1" w:styleId="bar5">
    <w:name w:val="bar5"/>
    <w:basedOn w:val="Normal"/>
    <w:pPr>
      <w:shd w:val="clear" w:color="auto" w:fill="4BB1CF"/>
      <w:spacing w:after="150"/>
    </w:pPr>
  </w:style>
  <w:style w:type="paragraph" w:customStyle="1" w:styleId="bar-info1">
    <w:name w:val="bar-info1"/>
    <w:basedOn w:val="Normal"/>
    <w:pPr>
      <w:shd w:val="clear" w:color="auto" w:fill="4BB1CF"/>
      <w:spacing w:after="150"/>
    </w:pPr>
  </w:style>
  <w:style w:type="paragraph" w:customStyle="1" w:styleId="bar6">
    <w:name w:val="bar6"/>
    <w:basedOn w:val="Normal"/>
    <w:pPr>
      <w:shd w:val="clear" w:color="auto" w:fill="FAA732"/>
      <w:spacing w:after="150"/>
    </w:pPr>
  </w:style>
  <w:style w:type="paragraph" w:customStyle="1" w:styleId="bar-warning1">
    <w:name w:val="bar-warning1"/>
    <w:basedOn w:val="Normal"/>
    <w:pPr>
      <w:shd w:val="clear" w:color="auto" w:fill="FAA732"/>
      <w:spacing w:after="150"/>
    </w:pPr>
  </w:style>
  <w:style w:type="paragraph" w:customStyle="1" w:styleId="accordion-toggle1">
    <w:name w:val="accordion-toggle1"/>
    <w:basedOn w:val="Normal"/>
    <w:pPr>
      <w:spacing w:after="150"/>
    </w:pPr>
  </w:style>
  <w:style w:type="paragraph" w:customStyle="1" w:styleId="item1">
    <w:name w:val="item1"/>
    <w:basedOn w:val="Normal"/>
    <w:pPr>
      <w:spacing w:after="150"/>
    </w:pPr>
    <w:rPr>
      <w:vanish/>
    </w:rPr>
  </w:style>
  <w:style w:type="paragraph" w:customStyle="1" w:styleId="active4">
    <w:name w:val="active4"/>
    <w:basedOn w:val="Normal"/>
    <w:pPr>
      <w:spacing w:after="150"/>
    </w:pPr>
  </w:style>
  <w:style w:type="paragraph" w:customStyle="1" w:styleId="next1">
    <w:name w:val="next1"/>
    <w:basedOn w:val="Normal"/>
    <w:pPr>
      <w:spacing w:after="150"/>
    </w:pPr>
  </w:style>
  <w:style w:type="paragraph" w:customStyle="1" w:styleId="prev1">
    <w:name w:val="prev1"/>
    <w:basedOn w:val="Normal"/>
    <w:pPr>
      <w:spacing w:after="150"/>
    </w:pPr>
  </w:style>
  <w:style w:type="paragraph" w:customStyle="1" w:styleId="brand3">
    <w:name w:val="brand3"/>
    <w:basedOn w:val="Normal"/>
    <w:pPr>
      <w:spacing w:after="150"/>
      <w:ind w:left="300"/>
    </w:pPr>
    <w:rPr>
      <w:b/>
      <w:bCs/>
      <w:color w:val="000000"/>
    </w:rPr>
  </w:style>
  <w:style w:type="paragraph" w:customStyle="1" w:styleId="brand4">
    <w:name w:val="brand4"/>
    <w:basedOn w:val="Normal"/>
    <w:pPr>
      <w:spacing w:after="150"/>
      <w:ind w:left="300"/>
    </w:pPr>
    <w:rPr>
      <w:b/>
      <w:bCs/>
      <w:color w:val="000000"/>
    </w:rPr>
  </w:style>
  <w:style w:type="paragraph" w:customStyle="1" w:styleId="btn-large1">
    <w:name w:val="btn-large1"/>
    <w:basedOn w:val="Normal"/>
    <w:pPr>
      <w:spacing w:after="270"/>
      <w:ind w:right="150"/>
    </w:pPr>
    <w:rPr>
      <w:sz w:val="30"/>
      <w:szCs w:val="30"/>
    </w:rPr>
  </w:style>
  <w:style w:type="paragraph" w:customStyle="1" w:styleId="nav2">
    <w:name w:val="nav2"/>
    <w:basedOn w:val="Normal"/>
  </w:style>
  <w:style w:type="paragraph" w:customStyle="1" w:styleId="row1">
    <w:name w:val="row1"/>
    <w:basedOn w:val="Normal"/>
    <w:pPr>
      <w:spacing w:after="135"/>
      <w:ind w:left="-300" w:right="150"/>
    </w:pPr>
  </w:style>
  <w:style w:type="paragraph" w:customStyle="1" w:styleId="bs-icon1">
    <w:name w:val="bs-icon1"/>
    <w:basedOn w:val="Normal"/>
    <w:pPr>
      <w:spacing w:before="105"/>
      <w:ind w:right="150"/>
    </w:pPr>
  </w:style>
  <w:style w:type="paragraph" w:customStyle="1" w:styleId="small-bs-icon1">
    <w:name w:val="small-bs-icon1"/>
    <w:basedOn w:val="Normal"/>
    <w:pPr>
      <w:spacing w:before="60"/>
      <w:ind w:right="75"/>
    </w:pPr>
  </w:style>
  <w:style w:type="paragraph" w:customStyle="1" w:styleId="show-grid1">
    <w:name w:val="show-grid1"/>
    <w:basedOn w:val="Normal"/>
  </w:style>
  <w:style w:type="paragraph" w:customStyle="1" w:styleId="mini-layout-body1">
    <w:name w:val="mini-layout-body1"/>
    <w:basedOn w:val="Normal"/>
    <w:pPr>
      <w:shd w:val="clear" w:color="auto" w:fill="DCEAF4"/>
    </w:pPr>
  </w:style>
  <w:style w:type="paragraph" w:customStyle="1" w:styleId="popover1">
    <w:name w:val="popover1"/>
    <w:basedOn w:val="Normal"/>
    <w:pPr>
      <w:pBdr>
        <w:top w:val="single" w:sz="6" w:space="1" w:color="CCCCCC"/>
        <w:left w:val="single" w:sz="6" w:space="1" w:color="CCCCCC"/>
        <w:bottom w:val="single" w:sz="6" w:space="1" w:color="CCCCCC"/>
        <w:right w:val="single" w:sz="6" w:space="1" w:color="CCCCCC"/>
      </w:pBdr>
      <w:shd w:val="clear" w:color="auto" w:fill="FFFFFF"/>
      <w:spacing w:after="150"/>
    </w:pPr>
  </w:style>
  <w:style w:type="paragraph" w:customStyle="1" w:styleId="popover-wrapper1">
    <w:name w:val="popover-wrapper1"/>
    <w:basedOn w:val="Normal"/>
    <w:pPr>
      <w:spacing w:after="150"/>
      <w:ind w:left="825"/>
    </w:pPr>
  </w:style>
  <w:style w:type="paragraph" w:customStyle="1" w:styleId="popover-menu-wrapper1">
    <w:name w:val="popover-menu-wrapper1"/>
    <w:basedOn w:val="Normal"/>
    <w:pPr>
      <w:spacing w:after="150"/>
    </w:pPr>
  </w:style>
  <w:style w:type="paragraph" w:customStyle="1" w:styleId="page-header1">
    <w:name w:val="page-header1"/>
    <w:basedOn w:val="Normal"/>
    <w:pPr>
      <w:pBdr>
        <w:bottom w:val="single" w:sz="6" w:space="7" w:color="EEEEEE"/>
      </w:pBdr>
      <w:spacing w:before="540" w:after="450"/>
    </w:pPr>
  </w:style>
  <w:style w:type="paragraph" w:customStyle="1" w:styleId="toggle-all1">
    <w:name w:val="toggle-all1"/>
    <w:basedOn w:val="Normal"/>
    <w:pPr>
      <w:spacing w:before="75" w:after="150"/>
    </w:pPr>
  </w:style>
  <w:style w:type="paragraph" w:customStyle="1" w:styleId="checkbox4">
    <w:name w:val="checkbox4"/>
    <w:basedOn w:val="Normal"/>
    <w:pPr>
      <w:shd w:val="clear" w:color="auto" w:fill="F9F9F9"/>
      <w:spacing w:after="150"/>
    </w:pPr>
    <w:rPr>
      <w:color w:val="555555"/>
    </w:rPr>
  </w:style>
  <w:style w:type="paragraph" w:customStyle="1" w:styleId="checkbox5">
    <w:name w:val="checkbox5"/>
    <w:basedOn w:val="Normal"/>
    <w:pPr>
      <w:shd w:val="clear" w:color="auto" w:fill="F5F5F5"/>
      <w:spacing w:after="150"/>
    </w:pPr>
    <w:rPr>
      <w:color w:val="333333"/>
    </w:rPr>
  </w:style>
  <w:style w:type="paragraph" w:customStyle="1" w:styleId="btn7">
    <w:name w:val="btn7"/>
    <w:basedOn w:val="Normal"/>
    <w:pPr>
      <w:pBdr>
        <w:top w:val="single" w:sz="6" w:space="3" w:color="C5C5C5"/>
        <w:left w:val="single" w:sz="6" w:space="11" w:color="C5C5C5"/>
        <w:bottom w:val="single" w:sz="6" w:space="3" w:color="C5C5C5"/>
        <w:right w:val="single" w:sz="6" w:space="11" w:color="C5C5C5"/>
      </w:pBdr>
      <w:shd w:val="clear" w:color="auto" w:fill="F5F5F5"/>
      <w:spacing w:after="405"/>
      <w:jc w:val="center"/>
      <w:textAlignment w:val="center"/>
    </w:pPr>
    <w:rPr>
      <w:color w:val="333333"/>
      <w:sz w:val="45"/>
      <w:szCs w:val="45"/>
    </w:rPr>
  </w:style>
  <w:style w:type="paragraph" w:customStyle="1" w:styleId="thumbnail1">
    <w:name w:val="thumbnail1"/>
    <w:basedOn w:val="Normal"/>
    <w:pPr>
      <w:pBdr>
        <w:top w:val="single" w:sz="6" w:space="3" w:color="DDDDDD"/>
        <w:left w:val="single" w:sz="6" w:space="3" w:color="DDDDDD"/>
        <w:bottom w:val="single" w:sz="6" w:space="3" w:color="DDDDDD"/>
        <w:right w:val="single" w:sz="6" w:space="3" w:color="DDDDDD"/>
      </w:pBdr>
      <w:shd w:val="clear" w:color="auto" w:fill="FFFFFF"/>
      <w:spacing w:after="135"/>
    </w:pPr>
  </w:style>
  <w:style w:type="paragraph" w:customStyle="1" w:styleId="span33">
    <w:name w:val="span33"/>
    <w:basedOn w:val="Normal"/>
    <w:pPr>
      <w:spacing w:after="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1380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image" Target="http://climatechangeauthority.gov.au/sites/all/themes/cca/img/background-circle-sm.png" TargetMode="Externa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2645</Words>
  <Characters>14982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CCA_TargetsAndProgressReportChapter3</vt:lpstr>
    </vt:vector>
  </TitlesOfParts>
  <Company/>
  <LinksUpToDate>false</LinksUpToDate>
  <CharactersWithSpaces>17592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CCA_TargetsAndProgressReportChapter3</dc:title>
  <dc:subject/>
  <dc:creator>rockwell</dc:creator>
  <cp:keywords/>
  <dc:description/>
  <cp:lastModifiedBy>rockwell</cp:lastModifiedBy>
  <cp:revision>2</cp:revision>
  <dcterms:created xsi:type="dcterms:W3CDTF">2014-03-04T06:06:00Z</dcterms:created>
  <dcterms:modified xsi:type="dcterms:W3CDTF">2014-03-04T06:06:00Z</dcterms:modified>
</cp:coreProperties>
</file>