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65" w:rsidRDefault="00044FCB">
      <w:pPr>
        <w:pStyle w:val="Heading1"/>
        <w:divId w:val="997078683"/>
        <w:rPr>
          <w:rFonts w:eastAsia="Times New Roman"/>
        </w:rPr>
      </w:pPr>
      <w:r>
        <w:rPr>
          <w:rFonts w:eastAsia="Times New Roman"/>
        </w:rPr>
        <w:t>References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>1. Introduction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Climate Change Authority Act 2011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Carbon Credits (Carbon Farming Initiative) Act 2011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Carbon Credits (Carbon Farming Initiative) Regulations 2011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Climate Change Authority 2014,</w:t>
      </w:r>
      <w:r>
        <w:t xml:space="preserve"> </w:t>
      </w:r>
      <w:r>
        <w:rPr>
          <w:rStyle w:val="Emphasis"/>
        </w:rPr>
        <w:t>Targets and Progress Review</w:t>
      </w:r>
      <w:r>
        <w:t>, Melbourne.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ClimateWorks</w:t>
      </w:r>
      <w:proofErr w:type="spellEnd"/>
      <w:r>
        <w:rPr>
          <w:rStyle w:val="Strong"/>
        </w:rPr>
        <w:t xml:space="preserve"> 2010,</w:t>
      </w:r>
      <w:r>
        <w:t xml:space="preserve"> </w:t>
      </w:r>
      <w:r>
        <w:rPr>
          <w:rStyle w:val="Emphasis"/>
        </w:rPr>
        <w:t>Low Carbon Growth Plan</w:t>
      </w:r>
      <w:r>
        <w:t xml:space="preserve">, </w:t>
      </w:r>
      <w:proofErr w:type="spellStart"/>
      <w:r>
        <w:t>ClimateWorks</w:t>
      </w:r>
      <w:proofErr w:type="spellEnd"/>
      <w:r>
        <w:t xml:space="preserve"> Australia, Melbourne.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ClimateWorks</w:t>
      </w:r>
      <w:proofErr w:type="spellEnd"/>
      <w:r>
        <w:rPr>
          <w:rStyle w:val="Strong"/>
        </w:rPr>
        <w:t xml:space="preserve"> 2013,</w:t>
      </w:r>
      <w:r>
        <w:t xml:space="preserve"> </w:t>
      </w:r>
      <w:r>
        <w:rPr>
          <w:rStyle w:val="Emphasis"/>
        </w:rPr>
        <w:t xml:space="preserve">Tracking Progress </w:t>
      </w:r>
      <w:proofErr w:type="gramStart"/>
      <w:r>
        <w:rPr>
          <w:rStyle w:val="Emphasis"/>
        </w:rPr>
        <w:t>Towards</w:t>
      </w:r>
      <w:proofErr w:type="gramEnd"/>
      <w:r>
        <w:rPr>
          <w:rStyle w:val="Emphasis"/>
        </w:rPr>
        <w:t xml:space="preserve"> a Low Carbon Economy</w:t>
      </w:r>
      <w:r>
        <w:t>, Melbourne.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Climate Change and Energy Efficiency (DCCEE) 2012,</w:t>
      </w:r>
      <w:r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Carbon Farming Initiative Handbook</w:t>
      </w:r>
      <w:r>
        <w:t>, Canberra.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Environment (DOE) 2013,</w:t>
      </w:r>
      <w:r>
        <w:t xml:space="preserve"> </w:t>
      </w:r>
      <w:r>
        <w:rPr>
          <w:rStyle w:val="Emphasis"/>
        </w:rPr>
        <w:t>Emissions Reduction Fund Green Paper</w:t>
      </w:r>
      <w:r>
        <w:t>, Canberra.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Treasury and Department of Industry, Innovation, Climate Change, Science, Research and Tertiary Education (DIICCSRTE) 2013,</w:t>
      </w:r>
      <w:r>
        <w:t xml:space="preserve"> </w:t>
      </w:r>
      <w:r>
        <w:rPr>
          <w:rStyle w:val="Emphasis"/>
        </w:rPr>
        <w:t>Climate Change Mitigation Scenarios</w:t>
      </w:r>
      <w:r>
        <w:t>, modelling report to the Climate Change Authority in support of its Caps and Targets Review, Canberra.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>2. Key characteristics of baseline and credit schemes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(Generation) No. 2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Energy Savings Scheme (ESS),</w:t>
      </w:r>
      <w:r>
        <w:t xml:space="preserve"> </w:t>
      </w:r>
      <w:r>
        <w:rPr>
          <w:rStyle w:val="Emphasis"/>
        </w:rPr>
        <w:t>Projects and equipment</w:t>
      </w:r>
      <w:r>
        <w:t>, viewed 4 March 2014, www.ess.nsw.gov.au/Home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>3. Coverage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Australian Government 2013,</w:t>
      </w:r>
      <w:r>
        <w:t xml:space="preserve"> </w:t>
      </w:r>
      <w:r>
        <w:rPr>
          <w:rStyle w:val="Emphasis"/>
        </w:rPr>
        <w:t>Carbon Farming Initiative: The first 18 months, Fact Sheet</w:t>
      </w:r>
      <w:r>
        <w:t>, viewed 11 March 2014, www.climatechange.gov.au/sites/climatechange/files/documents/07_2013/cfi-the-first-18-months.pdf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The Australia Institute 2008,</w:t>
      </w:r>
      <w:r>
        <w:t xml:space="preserve"> </w:t>
      </w:r>
      <w:r>
        <w:rPr>
          <w:rStyle w:val="Emphasis"/>
        </w:rPr>
        <w:t>Agriculture and Emissions Trading, The impossible dream?</w:t>
      </w:r>
      <w:r>
        <w:t xml:space="preserve"> Saddler and King Canberra.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Australian Bureau of Agricultural and Resource Economics and Science (ABARES) 2011,</w:t>
      </w:r>
      <w:r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economics of Australian agriculture’s participation in carbon-offset markets</w:t>
      </w:r>
      <w:r>
        <w:t>, Canberra.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Clean Energy Regulator (CER) 2014,</w:t>
      </w:r>
      <w:r>
        <w:t xml:space="preserve"> R</w:t>
      </w:r>
      <w:r>
        <w:rPr>
          <w:rStyle w:val="Emphasis"/>
        </w:rPr>
        <w:t>egister of Offset Projects 2014</w:t>
      </w:r>
      <w:r>
        <w:t>, viewed 28 February 2014, www.cleanenergyregulator.gov.au/Carbon-Farming-Initiative/Register-of-Offsets-Projects/Pages/default.aspx</w:t>
      </w:r>
    </w:p>
    <w:p w:rsidR="00A66565" w:rsidRPr="00044FCB" w:rsidRDefault="00044FCB">
      <w:pPr>
        <w:pStyle w:val="NormalWeb"/>
        <w:divId w:val="997078683"/>
        <w:rPr>
          <w:color w:val="000000" w:themeColor="text1"/>
        </w:rPr>
      </w:pPr>
      <w:r w:rsidRPr="00044FCB">
        <w:rPr>
          <w:rStyle w:val="Strong"/>
          <w:color w:val="000000" w:themeColor="text1"/>
        </w:rPr>
        <w:t>Department of the Environment 2014,</w:t>
      </w:r>
      <w:r w:rsidRPr="00044FCB">
        <w:rPr>
          <w:color w:val="000000" w:themeColor="text1"/>
        </w:rPr>
        <w:t xml:space="preserve"> </w:t>
      </w:r>
      <w:r w:rsidRPr="00044FCB">
        <w:rPr>
          <w:rStyle w:val="Emphasis"/>
          <w:color w:val="000000" w:themeColor="text1"/>
        </w:rPr>
        <w:t>CFI Methodologies</w:t>
      </w:r>
      <w:r w:rsidRPr="00044FCB">
        <w:rPr>
          <w:color w:val="000000" w:themeColor="text1"/>
        </w:rPr>
        <w:t xml:space="preserve">, viewed 28 February 2014, </w:t>
      </w:r>
      <w:hyperlink r:id="rId4" w:history="1">
        <w:r w:rsidRPr="00044FCB">
          <w:rPr>
            <w:rStyle w:val="Hyperlink"/>
            <w:color w:val="000000" w:themeColor="text1"/>
            <w:u w:val="none"/>
          </w:rPr>
          <w:t>http://www.climatechange.gov.au/reducing-carbon/carbon-farming-initiative/methodologies</w:t>
        </w:r>
      </w:hyperlink>
    </w:p>
    <w:p w:rsidR="00A66565" w:rsidRDefault="00044FCB">
      <w:pPr>
        <w:pStyle w:val="NormalWeb"/>
        <w:divId w:val="997078683"/>
      </w:pPr>
      <w:r>
        <w:rPr>
          <w:rStyle w:val="Strong"/>
        </w:rPr>
        <w:t>California Air Resources Board 2014,</w:t>
      </w:r>
      <w:r>
        <w:t xml:space="preserve"> ARB Offset Credits Issued: www.arb.ca.gov/cc/capandtrade/offsets/issuance/arb_offset_credit_issuance_table.pdf, viewed on 8 March 2014.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Independent Pricing and Regulatory Tribunal (IPART) 2012,</w:t>
      </w:r>
      <w:r>
        <w:t xml:space="preserve"> </w:t>
      </w:r>
      <w:r>
        <w:rPr>
          <w:rStyle w:val="Emphasis"/>
        </w:rPr>
        <w:t>Compliance and Operation of the NSW Greenhouse Gas Reduction Scheme during 2012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Independent Pricing and Regulatory Tribunal (IPART) 2013,</w:t>
      </w:r>
      <w:r>
        <w:t xml:space="preserve"> </w:t>
      </w:r>
      <w:r>
        <w:rPr>
          <w:rStyle w:val="Emphasis"/>
        </w:rPr>
        <w:t>Compliance and Operation of the NSW Greenhouse Energy Savings Scheme during 2012</w:t>
      </w:r>
      <w:r>
        <w:t>, New South Wales.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Wara</w:t>
      </w:r>
      <w:proofErr w:type="spellEnd"/>
      <w:r>
        <w:rPr>
          <w:rStyle w:val="Strong"/>
        </w:rPr>
        <w:t>, M 2006,</w:t>
      </w:r>
      <w:r>
        <w:t xml:space="preserve"> </w:t>
      </w:r>
      <w:proofErr w:type="gramStart"/>
      <w:r>
        <w:rPr>
          <w:rStyle w:val="Emphasis"/>
        </w:rPr>
        <w:t>Measuring</w:t>
      </w:r>
      <w:proofErr w:type="gramEnd"/>
      <w:r>
        <w:rPr>
          <w:rStyle w:val="Emphasis"/>
        </w:rPr>
        <w:t xml:space="preserve"> the Clean Development Mechanism’s Performance and Potential</w:t>
      </w:r>
      <w:r>
        <w:t>, Working Paper # 56, Program on Energy and Sustainable Development, Stanford California.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Additionality</w:t>
      </w:r>
      <w:proofErr w:type="spellEnd"/>
    </w:p>
    <w:p w:rsidR="00A66565" w:rsidRDefault="00044FCB">
      <w:pPr>
        <w:pStyle w:val="NormalWeb"/>
        <w:divId w:val="997078683"/>
      </w:pPr>
      <w:r>
        <w:rPr>
          <w:rStyle w:val="Strong"/>
        </w:rPr>
        <w:t>Administrative Appeals of Tribunal Australia 2014,</w:t>
      </w:r>
      <w:r>
        <w:t xml:space="preserve"> Charles IFE Pty Ltd and Domestic Offsets Integrity Committee [2014] AATA 33.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 Government 2013,</w:t>
      </w:r>
      <w:r>
        <w:t xml:space="preserve"> </w:t>
      </w:r>
      <w:r>
        <w:rPr>
          <w:rStyle w:val="Emphasis"/>
        </w:rPr>
        <w:t>Technical Guidance for Offset Project Developers</w:t>
      </w:r>
      <w:r>
        <w:t xml:space="preserve">, version 4, Specified Gas Emitters Regulation, Alberta. 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Carbon Credits (Carbon Farming Initiative Bill) 2011,</w:t>
      </w:r>
      <w:r>
        <w:t xml:space="preserve"> </w:t>
      </w:r>
      <w:r>
        <w:rPr>
          <w:rStyle w:val="Emphasis"/>
        </w:rPr>
        <w:t>Explanatory Memorandum,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ClimateWorks</w:t>
      </w:r>
      <w:proofErr w:type="spellEnd"/>
      <w:r>
        <w:rPr>
          <w:rStyle w:val="Strong"/>
        </w:rPr>
        <w:t xml:space="preserve"> 2013,</w:t>
      </w:r>
      <w:r>
        <w:t xml:space="preserve"> </w:t>
      </w:r>
      <w:r>
        <w:rPr>
          <w:rStyle w:val="Emphasis"/>
        </w:rPr>
        <w:t xml:space="preserve">Tracking Progress </w:t>
      </w:r>
      <w:proofErr w:type="gramStart"/>
      <w:r>
        <w:rPr>
          <w:rStyle w:val="Emphasis"/>
        </w:rPr>
        <w:t>Towards</w:t>
      </w:r>
      <w:proofErr w:type="gramEnd"/>
      <w:r>
        <w:rPr>
          <w:rStyle w:val="Emphasis"/>
        </w:rPr>
        <w:t xml:space="preserve"> a Low Carbon Economy – Special Report</w:t>
      </w:r>
      <w:r>
        <w:t xml:space="preserve">, </w:t>
      </w:r>
      <w:proofErr w:type="spellStart"/>
      <w:r>
        <w:t>ClimateWorks</w:t>
      </w:r>
      <w:proofErr w:type="spellEnd"/>
      <w:r>
        <w:t>, Melbourne.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Agriculture, Fisheries, and Forestry (DAFF)</w:t>
      </w:r>
      <w:r>
        <w:t xml:space="preserve"> </w:t>
      </w:r>
      <w:r>
        <w:rPr>
          <w:rStyle w:val="Strong"/>
        </w:rPr>
        <w:t>ABARES 2012,</w:t>
      </w:r>
      <w:r>
        <w:t xml:space="preserve"> </w:t>
      </w:r>
      <w:r>
        <w:rPr>
          <w:rStyle w:val="Emphasis"/>
        </w:rPr>
        <w:t xml:space="preserve">the Carbon Farming Initiative - a proposed common practice framework for assessing </w:t>
      </w:r>
      <w:proofErr w:type="spellStart"/>
      <w:r>
        <w:rPr>
          <w:rStyle w:val="Emphasis"/>
        </w:rPr>
        <w:t>additionality</w:t>
      </w:r>
      <w:proofErr w:type="spellEnd"/>
      <w:r>
        <w:rPr>
          <w:rStyle w:val="Emphasis"/>
        </w:rPr>
        <w:t>, Technical Report 12.2</w:t>
      </w:r>
      <w:r>
        <w:t>, 2012.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Climate Change and Energy Efficiency (DCCEE) 2012a,</w:t>
      </w:r>
      <w:r>
        <w:t xml:space="preserve"> </w:t>
      </w:r>
      <w:r>
        <w:rPr>
          <w:rStyle w:val="Emphasis"/>
        </w:rPr>
        <w:t>The Positive list Carbon Farming Initiative</w:t>
      </w:r>
      <w:r>
        <w:t>, viewed 10 February 2014, www.climatechange.gov.au/sites/climatechange/files/files/reducing-carbon/cfi/cfi-positive-list-brochure.pdf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DCCEE 2012b,</w:t>
      </w:r>
      <w:r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Carbon Farming Initiative Handbook</w:t>
      </w:r>
      <w:r>
        <w:t xml:space="preserve">, Canberra. 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the Environment (DoE) 2014a,</w:t>
      </w:r>
      <w:r>
        <w:t xml:space="preserve"> </w:t>
      </w:r>
      <w:r>
        <w:rPr>
          <w:rStyle w:val="Emphasis"/>
        </w:rPr>
        <w:t>Activities not approved for the positive list</w:t>
      </w:r>
      <w:r>
        <w:t>, Viewed 11 February 2014, www.climatechange.gov.au/reducing-carbon/carbon-farming-initiative/activities-eligible-and-excluded/positive-list/activities-not-approved-positive-list.</w:t>
      </w:r>
    </w:p>
    <w:p w:rsidR="00A45F2F" w:rsidRDefault="00A45F2F">
      <w:pPr>
        <w:rPr>
          <w:rStyle w:val="Strong"/>
        </w:rPr>
      </w:pPr>
      <w:r>
        <w:rPr>
          <w:rStyle w:val="Strong"/>
        </w:rPr>
        <w:br w:type="page"/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United Nations Framework Convention on Climate Change (UNFCCC) 2004,</w:t>
      </w:r>
      <w:r>
        <w:t xml:space="preserve"> </w:t>
      </w:r>
      <w:r>
        <w:rPr>
          <w:rStyle w:val="Emphasis"/>
        </w:rPr>
        <w:t xml:space="preserve">Methodological tool: Tool for the demonstration and assessment of </w:t>
      </w:r>
      <w:proofErr w:type="spellStart"/>
      <w:r>
        <w:rPr>
          <w:rStyle w:val="Emphasis"/>
        </w:rPr>
        <w:t>additionality</w:t>
      </w:r>
      <w:proofErr w:type="spellEnd"/>
      <w:r>
        <w:t>, Version 07.0.0, viewed 26 February 2014, http://cdm.unfccc.int/methodologies/PAmethodologies/tools/am-tool-01-v7.0.0.pdf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>5. Baseline setting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 Environment 2012,</w:t>
      </w:r>
      <w:r>
        <w:t xml:space="preserve"> </w:t>
      </w:r>
      <w:r>
        <w:rPr>
          <w:rStyle w:val="Emphasis"/>
        </w:rPr>
        <w:t>Quantification Protocol for Solution Gas Conservation</w:t>
      </w:r>
      <w:r>
        <w:t>, Version 1.0, Specified Gas Emitters Regulation, Alberta.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Clean Development Mechanism (CDM) Executive Board 2010,</w:t>
      </w:r>
      <w:r>
        <w:t xml:space="preserve"> </w:t>
      </w:r>
      <w:r>
        <w:rPr>
          <w:rStyle w:val="Emphasis"/>
        </w:rPr>
        <w:t>Manufacturing of energy efficient domestic refrigerators</w:t>
      </w:r>
      <w:r>
        <w:t xml:space="preserve">, </w:t>
      </w:r>
      <w:proofErr w:type="gramStart"/>
      <w:r>
        <w:t>Approved</w:t>
      </w:r>
      <w:proofErr w:type="gramEnd"/>
      <w:r>
        <w:t xml:space="preserve"> baseline and monitoring methodology AM0070, Version 3.1.0.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CDM Executive Board 2011,</w:t>
      </w:r>
      <w:r>
        <w:t xml:space="preserve"> </w:t>
      </w:r>
      <w:r>
        <w:rPr>
          <w:rStyle w:val="Emphasis"/>
        </w:rPr>
        <w:t>Co-firing of biomass residues for heat generation and/or electricity generation in grid connected power plants</w:t>
      </w:r>
      <w:r>
        <w:t>, Approved consolidated baseline and monitoring methodology ACM0020, Version 1.0.0.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CDM Executive Board 2011b,</w:t>
      </w:r>
      <w:r>
        <w:t xml:space="preserve"> </w:t>
      </w:r>
      <w:r>
        <w:rPr>
          <w:rStyle w:val="Emphasis"/>
        </w:rPr>
        <w:t>Methodology for improved electrical energy efficiency of an existing submerged electric arc furnace used for the production of silicon and ferry alloys</w:t>
      </w:r>
      <w:r>
        <w:t>, Approved baseline and monitoring methodology AM0038, Version 03.0.0.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CDM Executive Board 2012,</w:t>
      </w:r>
      <w:r>
        <w:t xml:space="preserve"> </w:t>
      </w:r>
      <w:r>
        <w:rPr>
          <w:rStyle w:val="Emphasis"/>
        </w:rPr>
        <w:t xml:space="preserve">Capture and </w:t>
      </w:r>
      <w:proofErr w:type="spellStart"/>
      <w:r>
        <w:rPr>
          <w:rStyle w:val="Emphasis"/>
        </w:rPr>
        <w:t>utilisation</w:t>
      </w:r>
      <w:proofErr w:type="spellEnd"/>
      <w:r>
        <w:rPr>
          <w:rStyle w:val="Emphasis"/>
        </w:rPr>
        <w:t xml:space="preserve"> or destruction of mine methane (excluding coal mines) or non-mine methane 2012</w:t>
      </w:r>
      <w:r>
        <w:t>, Approved baseline and monitoring methodology AM0064, Version 03.0.0.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CDM Executive Board 2012b,</w:t>
      </w:r>
      <w:r>
        <w:t xml:space="preserve"> </w:t>
      </w:r>
      <w:r>
        <w:rPr>
          <w:rStyle w:val="Emphasis"/>
        </w:rPr>
        <w:t>Introduction of low-emission vehicles/technologies to commercial vehicle fleets</w:t>
      </w:r>
      <w:r>
        <w:t>, AMS-III.S. Version 04.0.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CDM Executive Board 2012c,</w:t>
      </w:r>
      <w:r>
        <w:t xml:space="preserve"> </w:t>
      </w:r>
      <w:r>
        <w:rPr>
          <w:rStyle w:val="Emphasis"/>
        </w:rPr>
        <w:t>Methane recovery in agricultural activities at household/small farm level</w:t>
      </w:r>
      <w:r>
        <w:t>, AMS-III.R, Version 03.0.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the Environment (DoE) 2014b,</w:t>
      </w:r>
      <w:r>
        <w:t xml:space="preserve"> </w:t>
      </w:r>
      <w:r>
        <w:rPr>
          <w:rStyle w:val="Emphasis"/>
        </w:rPr>
        <w:t>Methodology Determinations</w:t>
      </w:r>
      <w:r>
        <w:t>, viewed 13 February 2014, www.climatechange.gov.au/reducing-carbon/carbon-farming-initiative/methodologies/methodology-determinations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DoE 2013,</w:t>
      </w:r>
      <w:r>
        <w:t xml:space="preserve"> </w:t>
      </w:r>
      <w:r>
        <w:rPr>
          <w:rStyle w:val="Emphasis"/>
        </w:rPr>
        <w:t>Guide for submitting Methodologies</w:t>
      </w:r>
      <w:r>
        <w:t>, viewed 13 February 2014, www.climatechange.gov.au/reducing-carbon/carbon-farming-initiative/methodologies/guidelines-submitting-methodologies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Energy Savings Scheme (ESS) 2014,</w:t>
      </w:r>
      <w:r>
        <w:t xml:space="preserve"> website, viewed 4 March 2014, www.ess.nsw.gov.au/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(Carbon Sequestration) No. 5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Ministry of Power 2012,</w:t>
      </w:r>
      <w:r>
        <w:rPr>
          <w:rStyle w:val="Emphasis"/>
        </w:rPr>
        <w:t xml:space="preserve"> </w:t>
      </w:r>
      <w:r>
        <w:t>‘Energy Conservation Rules’,</w:t>
      </w:r>
      <w:r>
        <w:rPr>
          <w:rStyle w:val="Emphasis"/>
        </w:rPr>
        <w:t xml:space="preserve"> Gazette of India</w:t>
      </w:r>
      <w:r>
        <w:t>, Extraordinary, Part II, Section 3, Sub-section (</w:t>
      </w:r>
      <w:proofErr w:type="spellStart"/>
      <w:r>
        <w:t>i</w:t>
      </w:r>
      <w:proofErr w:type="spellEnd"/>
      <w:r>
        <w:t>), New Delhi, 30 March.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Partnership for Market Readiness (PMR) 2012,</w:t>
      </w:r>
      <w:r>
        <w:t xml:space="preserve"> </w:t>
      </w:r>
      <w:r>
        <w:rPr>
          <w:rStyle w:val="Emphasis"/>
        </w:rPr>
        <w:t>PMR Technical Note 1: Crediting mechanisms overview</w:t>
      </w:r>
      <w:r>
        <w:t>, PMR Technical Note 1 (1 December 2012), Germany.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PMR 2012b,</w:t>
      </w:r>
      <w:r>
        <w:rPr>
          <w:rStyle w:val="Emphasis"/>
        </w:rPr>
        <w:t xml:space="preserve"> PMR Technical Note 3: The nuts and bolts of baseline setting: why, what, and how</w:t>
      </w:r>
      <w:proofErr w:type="gramStart"/>
      <w:r>
        <w:rPr>
          <w:rStyle w:val="Emphasis"/>
        </w:rPr>
        <w:t>?</w:t>
      </w:r>
      <w:r>
        <w:t>,</w:t>
      </w:r>
      <w:proofErr w:type="gramEnd"/>
      <w:r>
        <w:t xml:space="preserve"> PMR Technical Note 3 (16 August 2012), Prepared by Derik </w:t>
      </w:r>
      <w:proofErr w:type="spellStart"/>
      <w:r>
        <w:t>Broekhoff</w:t>
      </w:r>
      <w:proofErr w:type="spellEnd"/>
      <w:r>
        <w:t xml:space="preserve"> for the PMR Secretariat, Germany.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PMR 2013</w:t>
      </w:r>
      <w:r>
        <w:t xml:space="preserve"> </w:t>
      </w:r>
      <w:r>
        <w:rPr>
          <w:rStyle w:val="Emphasis"/>
        </w:rPr>
        <w:t>Draft Technical Note 5: Options and guidance for the development of baselines</w:t>
      </w:r>
      <w:r>
        <w:t xml:space="preserve">, Technical Note 5 (October 2013), Prepared by Derik </w:t>
      </w:r>
      <w:proofErr w:type="spellStart"/>
      <w:r>
        <w:t>Broekhoff</w:t>
      </w:r>
      <w:proofErr w:type="spellEnd"/>
      <w:r>
        <w:t xml:space="preserve"> and Michael Lazarus for the PMR Secretariat, Germany.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Prag</w:t>
      </w:r>
      <w:proofErr w:type="spellEnd"/>
      <w:r>
        <w:rPr>
          <w:rStyle w:val="Strong"/>
        </w:rPr>
        <w:t xml:space="preserve">, A &amp; </w:t>
      </w:r>
      <w:proofErr w:type="spellStart"/>
      <w:r>
        <w:rPr>
          <w:rStyle w:val="Strong"/>
        </w:rPr>
        <w:t>Briner</w:t>
      </w:r>
      <w:proofErr w:type="spellEnd"/>
      <w:r>
        <w:rPr>
          <w:rStyle w:val="Strong"/>
        </w:rPr>
        <w:t>, G 2012,</w:t>
      </w:r>
      <w:r>
        <w:t xml:space="preserve"> </w:t>
      </w:r>
      <w:r>
        <w:rPr>
          <w:rStyle w:val="Emphasis"/>
        </w:rPr>
        <w:t>Crossing the Threshold: Ambitious Baselines for the UNFCCC New Market Mechanism</w:t>
      </w:r>
      <w:r>
        <w:t>, OECD/IEA Project for the Climate Change Expert Group on the UNFCCC.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United Nations Framework Convention on Climate Change (UNFCCC),</w:t>
      </w:r>
      <w:r>
        <w:t xml:space="preserve"> Clean Development Mechanism website, viewed 4 March 2014, http://cdm.unfccc.int/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UNFCCCb</w:t>
      </w:r>
      <w:proofErr w:type="spellEnd"/>
      <w:r>
        <w:rPr>
          <w:rStyle w:val="Strong"/>
        </w:rPr>
        <w:t>,</w:t>
      </w:r>
      <w:r>
        <w:t xml:space="preserve"> Clean Development Mechanism Rulebook website, viewed 4 March 2014, http://cdmrulebook.org/</w:t>
      </w:r>
    </w:p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t>Appendix A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Carbon Farming Initiative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Agriculture, Fisheries, and Forestry ABARES 2012,</w:t>
      </w:r>
      <w:r>
        <w:t xml:space="preserve"> </w:t>
      </w:r>
      <w:r>
        <w:rPr>
          <w:rStyle w:val="Emphasis"/>
        </w:rPr>
        <w:t xml:space="preserve">The Carbon Farming Initiative - a proposed common practice framework for assessing </w:t>
      </w:r>
      <w:proofErr w:type="spellStart"/>
      <w:r>
        <w:rPr>
          <w:rStyle w:val="Emphasis"/>
        </w:rPr>
        <w:t>additionality</w:t>
      </w:r>
      <w:proofErr w:type="spellEnd"/>
      <w:r>
        <w:rPr>
          <w:rStyle w:val="Emphasis"/>
        </w:rPr>
        <w:t xml:space="preserve">, </w:t>
      </w:r>
      <w:r>
        <w:t>Technical Report 12.2.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Climate Change and Energy Efficiency 2012a,</w:t>
      </w:r>
      <w:r>
        <w:t xml:space="preserve"> </w:t>
      </w:r>
      <w:r>
        <w:rPr>
          <w:rStyle w:val="Emphasis"/>
        </w:rPr>
        <w:t>The Positive list Carbon Farming Initiative</w:t>
      </w:r>
      <w:r>
        <w:t>, viewed 10 February 2014, www.climatechange.gov.au/sites/climatechange/files/files/reducing-carbon/cfi/cfi-positive-list-brochure.pdf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Climate Change and Energy Efficiency 2012b,</w:t>
      </w:r>
      <w:r>
        <w:t xml:space="preserve">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Carbon Farming Initiative Handbook</w:t>
      </w:r>
      <w:r>
        <w:t xml:space="preserve">, Canberra. 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Climate Change and Energy Efficiency 2013,</w:t>
      </w:r>
      <w:r>
        <w:t xml:space="preserve"> </w:t>
      </w:r>
      <w:r>
        <w:rPr>
          <w:rStyle w:val="Emphasis"/>
        </w:rPr>
        <w:t>Carbon Farming Initiative Guidelines for Submitting Methodologies</w:t>
      </w:r>
      <w:r>
        <w:t>, viewed 13 February 2014, www.climatechange.gov.au/reducing-carbon/carbon-farming-initiative/methodologies/guidelines-submitting-methodologies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the Environment 2014a</w:t>
      </w:r>
      <w:r>
        <w:t xml:space="preserve">, </w:t>
      </w:r>
      <w:r>
        <w:rPr>
          <w:rStyle w:val="Emphasis"/>
        </w:rPr>
        <w:t>Activities not approved for the positive list</w:t>
      </w:r>
      <w:r>
        <w:t>, viewed 11 February 2014, www.climatechange.gov.au/reducing-carbon/carbon-farming-initiative/activities-eligible-and-excluded/positive-list/activities-not-approved-positive-list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Department of the Environment 2014b,</w:t>
      </w:r>
      <w:r>
        <w:t xml:space="preserve"> </w:t>
      </w:r>
      <w:r>
        <w:rPr>
          <w:rStyle w:val="Emphasis"/>
        </w:rPr>
        <w:t>Methodology Determinations</w:t>
      </w:r>
      <w:r>
        <w:t>, viewed 13 February 2014, www.climatechange.gov.au/reducingcarbon/carbonfarminginitiative/methodologies/methodology-determinations</w:t>
      </w:r>
    </w:p>
    <w:p w:rsidR="00A45F2F" w:rsidRDefault="00A45F2F">
      <w:pPr>
        <w:rPr>
          <w:rStyle w:val="Strong"/>
        </w:rPr>
      </w:pPr>
      <w:r>
        <w:rPr>
          <w:rStyle w:val="Strong"/>
        </w:rPr>
        <w:br w:type="page"/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New South Wales Greenhouse Gas Reduction Scheme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Electricity Supply Amendment (Greenhouse Gas Emission Reduction) Act 2002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Electricity Supply Amendment (Greenhouse Gas Emission Reduction) Regulation 2002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Electricity (Greenhouse Gas Emissions) Act 2004</w:t>
      </w:r>
      <w:r>
        <w:t xml:space="preserve"> (ACT).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Electricity (Greenhouse Gas Emissions) Regulation 2004</w:t>
      </w:r>
      <w:r>
        <w:t xml:space="preserve"> (ACT).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(Compliance) No.1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(Generation) No. 2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(Demand Side Abatement) No. 3 of 2003 (1 July 2009)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(Large User Abatement Certificates) No. 4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Greenhouse Gas Benchmark Rule (Carbon Sequestration) No. 5 of 2003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Greenhouse Gas Reduction Scheme 2014,</w:t>
      </w:r>
      <w:r>
        <w:t xml:space="preserve"> website, viewed 26 February 2014, www.greenhousegas.nsw.gov.au/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Independent Pricing and Regulatory Tribunal (IPART) 2012,</w:t>
      </w:r>
      <w:r>
        <w:t xml:space="preserve"> </w:t>
      </w:r>
      <w:r>
        <w:rPr>
          <w:rStyle w:val="Emphasis"/>
        </w:rPr>
        <w:t>Compliance and Operation of the NSW Greenhouse Gas Reduction Scheme during 2012: Report to Minister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IPART 2013,</w:t>
      </w:r>
      <w:r>
        <w:t xml:space="preserve"> NSW </w:t>
      </w:r>
      <w:r>
        <w:rPr>
          <w:rStyle w:val="Emphasis"/>
        </w:rPr>
        <w:t>Greenhouse Reduction Scheme: Strengths, weaknesses and lessons learned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New South Wales (NSW) Government 2011,</w:t>
      </w:r>
      <w:r>
        <w:t xml:space="preserve"> </w:t>
      </w:r>
      <w:r>
        <w:rPr>
          <w:rStyle w:val="Emphasis"/>
        </w:rPr>
        <w:t>Introduction to GGAS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New South Wales Energy Saving Scheme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Independent Pricing and Regulatory Tribunal (IPART) 2013,</w:t>
      </w:r>
      <w:r>
        <w:t xml:space="preserve"> </w:t>
      </w:r>
      <w:r>
        <w:rPr>
          <w:rStyle w:val="Emphasis"/>
        </w:rPr>
        <w:t>Guide to Completing the Annual Energy Saving Statement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Energy Savings Scheme (ESS) 2014,</w:t>
      </w:r>
      <w:r>
        <w:t xml:space="preserve"> website, viewed 4 March 2014, www.ess.nsw.gov.au/Home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New South Wales (NSW) Government 2009,</w:t>
      </w:r>
      <w:r>
        <w:t xml:space="preserve"> </w:t>
      </w:r>
      <w:r>
        <w:rPr>
          <w:rStyle w:val="Emphasis"/>
        </w:rPr>
        <w:t>Preparing for the Energy Savings Scheme</w:t>
      </w:r>
      <w:r>
        <w:t>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NSW Government 2011,</w:t>
      </w:r>
      <w:r>
        <w:t xml:space="preserve"> ‘Energy Savings Scheme Rule of 2009’, Special Supplement, </w:t>
      </w:r>
      <w:r>
        <w:rPr>
          <w:rStyle w:val="Emphasis"/>
        </w:rPr>
        <w:t>Government Gazette</w:t>
      </w:r>
      <w:r>
        <w:t>, No. 131, New South Wales.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Electricity Supply (General) Regulation 2001</w:t>
      </w:r>
      <w:r>
        <w:t xml:space="preserve"> (NSW).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The Clean Development Mechanism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International Emissions Trading Association (IETA) 2009,</w:t>
      </w:r>
      <w:r>
        <w:t xml:space="preserve"> </w:t>
      </w:r>
      <w:r>
        <w:rPr>
          <w:rStyle w:val="Emphasis"/>
        </w:rPr>
        <w:t>Multi-Project, Standardized Baselines and Beyond: Explaining a key issue in the reform of the Clean Development Mechanism</w:t>
      </w:r>
      <w:r>
        <w:t>, IETA Climate Challenges, Market Solutions, Geneva, Switzerland.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United Nations Framework Convention on Climate Change (UNFCCC) 2004,</w:t>
      </w:r>
      <w:r>
        <w:t xml:space="preserve"> </w:t>
      </w:r>
      <w:r>
        <w:rPr>
          <w:rStyle w:val="Emphasis"/>
        </w:rPr>
        <w:t xml:space="preserve">Methodological tool: Tool for the demonstration and assessment of </w:t>
      </w:r>
      <w:proofErr w:type="spellStart"/>
      <w:r>
        <w:rPr>
          <w:rStyle w:val="Emphasis"/>
        </w:rPr>
        <w:t>additionality</w:t>
      </w:r>
      <w:proofErr w:type="spellEnd"/>
      <w:r>
        <w:t>, Version 07.0.0, viewed 26 February 2014, http://cdm.unfccc.int/methodologies/PAmethodologies/tools/am-tool-01-v7.0.0.pdf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2011,</w:t>
      </w:r>
      <w:r>
        <w:t xml:space="preserve"> Annex 6: </w:t>
      </w:r>
      <w:r>
        <w:rPr>
          <w:rStyle w:val="Emphasis"/>
        </w:rPr>
        <w:t>Guidelines on the Consideration of Suppressed Demand in CDM Methodologies</w:t>
      </w:r>
      <w:r>
        <w:t>, viewed 26 February 2014, http://cdm.unfccc.int/filestorage/9/D/8/9D86VZY2RQTNUGOW7EKSCA4MHFLI05/eb62_repan06.pdf?t=S298bjFuMTVzfDBGwIEHOYhT-D_B8O8nGkrx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2011b</w:t>
      </w:r>
      <w:r>
        <w:t xml:space="preserve"> </w:t>
      </w:r>
      <w:r>
        <w:rPr>
          <w:rStyle w:val="Emphasis"/>
        </w:rPr>
        <w:t>Annex 8: Guideline for the Establishment of Sector Specific Standardized Baselines</w:t>
      </w:r>
      <w:r>
        <w:t>, Version 1.0, viewed 26 February 2014, http://cdm.unfccc.int/filestorage/4/I/Y/4IY1RB7DMKLWPGF59XC3UE6JNH8Q2A/eb62_repan08.pdf?t=Vnh8bjFuMWJ2fDDZTLGL3joCY10DJZbp0sbY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2012,</w:t>
      </w:r>
      <w:r>
        <w:t xml:space="preserve"> </w:t>
      </w:r>
      <w:r>
        <w:rPr>
          <w:rStyle w:val="Emphasis"/>
        </w:rPr>
        <w:t xml:space="preserve">Annex 27 Guidelines on the Demonstration of </w:t>
      </w:r>
      <w:proofErr w:type="spellStart"/>
      <w:r>
        <w:rPr>
          <w:rStyle w:val="Emphasis"/>
        </w:rPr>
        <w:t>Additionality</w:t>
      </w:r>
      <w:proofErr w:type="spellEnd"/>
      <w:r>
        <w:rPr>
          <w:rStyle w:val="Emphasis"/>
        </w:rPr>
        <w:t xml:space="preserve"> of Small-Scale Project Activities</w:t>
      </w:r>
      <w:r>
        <w:t>, Version 09.0.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2012b,</w:t>
      </w:r>
      <w:r>
        <w:t xml:space="preserve"> </w:t>
      </w:r>
      <w:r>
        <w:rPr>
          <w:rStyle w:val="Emphasis"/>
        </w:rPr>
        <w:t xml:space="preserve">Methodological tool: Combined tool to identify the baseline scenario and demonstrate </w:t>
      </w:r>
      <w:proofErr w:type="spellStart"/>
      <w:r>
        <w:rPr>
          <w:rStyle w:val="Emphasis"/>
        </w:rPr>
        <w:t>additionality</w:t>
      </w:r>
      <w:proofErr w:type="spellEnd"/>
      <w:r>
        <w:t>, Version 05.0.0.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2013,</w:t>
      </w:r>
      <w:r>
        <w:t xml:space="preserve"> </w:t>
      </w:r>
      <w:r>
        <w:rPr>
          <w:rStyle w:val="Emphasis"/>
        </w:rPr>
        <w:t>CDM Methodology Booklet</w:t>
      </w:r>
      <w:r>
        <w:t>, Fifth Edition, Bonn, Germany.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2014,</w:t>
      </w:r>
      <w:r>
        <w:t xml:space="preserve"> Clean Development Mechanism website, viewed 4 March 2014, http://cdm.unfccc.int/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UNFCCC 2014b,</w:t>
      </w:r>
      <w:r>
        <w:t xml:space="preserve"> Clean Development Mechanism Rulebook website, viewed 4 March 2014, http://cdmrulebook.org/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China’s Certified Emissions Reduction Scheme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Carbon Market Watch 2013,</w:t>
      </w:r>
      <w:r>
        <w:t xml:space="preserve"> </w:t>
      </w:r>
      <w:proofErr w:type="spellStart"/>
      <w:r>
        <w:rPr>
          <w:rStyle w:val="Emphasis"/>
        </w:rPr>
        <w:t>Scrutinising</w:t>
      </w:r>
      <w:proofErr w:type="spellEnd"/>
      <w:r>
        <w:rPr>
          <w:rStyle w:val="Emphasis"/>
        </w:rPr>
        <w:t xml:space="preserve"> Carbon Markets</w:t>
      </w:r>
      <w:r>
        <w:t>, Newsletter, Issue 3, May 2013, Brussels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ClimateBridge</w:t>
      </w:r>
      <w:proofErr w:type="spellEnd"/>
      <w:r>
        <w:rPr>
          <w:rStyle w:val="Strong"/>
        </w:rPr>
        <w:t xml:space="preserve"> 2013,</w:t>
      </w:r>
      <w:r>
        <w:t xml:space="preserve"> </w:t>
      </w:r>
      <w:r>
        <w:rPr>
          <w:rStyle w:val="Emphasis"/>
        </w:rPr>
        <w:t>Bridge to China’s Carbon Market</w:t>
      </w:r>
      <w:r>
        <w:t>, Issue 3, June 2013, China.</w:t>
      </w:r>
    </w:p>
    <w:p w:rsidR="00A66565" w:rsidRDefault="00044FCB">
      <w:pPr>
        <w:pStyle w:val="NormalWeb"/>
        <w:divId w:val="997078683"/>
      </w:pPr>
      <w:proofErr w:type="spellStart"/>
      <w:r>
        <w:rPr>
          <w:rStyle w:val="Strong"/>
        </w:rPr>
        <w:t>ClimateBridge</w:t>
      </w:r>
      <w:proofErr w:type="spellEnd"/>
      <w:r>
        <w:rPr>
          <w:rStyle w:val="Strong"/>
        </w:rPr>
        <w:t xml:space="preserve"> 2013b,</w:t>
      </w:r>
      <w:r>
        <w:t xml:space="preserve"> </w:t>
      </w:r>
      <w:r>
        <w:rPr>
          <w:rStyle w:val="Emphasis"/>
        </w:rPr>
        <w:t>Bridge to China’s Carbon Market</w:t>
      </w:r>
      <w:r>
        <w:t>, Issue 5, October 2013, China.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The Climate Group 2012,</w:t>
      </w:r>
      <w:r>
        <w:t xml:space="preserve"> </w:t>
      </w:r>
      <w:r>
        <w:rPr>
          <w:rStyle w:val="Emphasis"/>
        </w:rPr>
        <w:t>The Interim Regulation of Voluntary Greenhouse Gases Emission Trading in China</w:t>
      </w:r>
      <w:r>
        <w:t>, Translated government document, July 2012, viewed 3 March 2014, http://thecleanrevolution.org/_assets/files/Interim-Regulation-of-Voluntary-Greenhouse-Gases-Emission-Trading-in-China%281%29.pdf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The National Development and Reform Commission (NDRC) 2013,</w:t>
      </w:r>
      <w:r>
        <w:t xml:space="preserve"> </w:t>
      </w:r>
      <w:r>
        <w:rPr>
          <w:rStyle w:val="Emphasis"/>
        </w:rPr>
        <w:t>China’s Policies and Actions for Addressing Climate Change</w:t>
      </w:r>
      <w:r>
        <w:t>, The People’s Republic of China, Beijing.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NDRC 2014,</w:t>
      </w:r>
      <w:r>
        <w:t xml:space="preserve"> website, viewed 4 March 2014, http://203.207.195.145:92/sdxm.aspx?clmId=163&amp;page=0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Yin, D 2013,</w:t>
      </w:r>
      <w:r>
        <w:t xml:space="preserve"> ‘China’s Carbon Emissions Traders Await Offset Demand’, </w:t>
      </w:r>
      <w:r>
        <w:rPr>
          <w:rStyle w:val="Emphasis"/>
        </w:rPr>
        <w:t>Ecosystems Marketplace</w:t>
      </w:r>
      <w:r>
        <w:t>, viewed 3 March 2014, www.ecosystemmarketplace.com/pages/dynamic/article.page.php?page_id=9820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India’s Perform Achieve Trade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 xml:space="preserve">Bloomberg New Energy Finance (BNEF) 2013 </w:t>
      </w:r>
      <w:r>
        <w:rPr>
          <w:rStyle w:val="Emphasis"/>
        </w:rPr>
        <w:t>India – energy efficiency – research note,</w:t>
      </w:r>
      <w:r>
        <w:rPr>
          <w:rStyle w:val="Strong"/>
        </w:rPr>
        <w:t xml:space="preserve"> </w:t>
      </w:r>
      <w:r>
        <w:t>20 April.</w:t>
      </w:r>
      <w:r>
        <w:rPr>
          <w:rStyle w:val="Strong"/>
        </w:rPr>
        <w:t xml:space="preserve"> 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Bureau of Energy Efficiency 2012,</w:t>
      </w:r>
      <w:r>
        <w:t xml:space="preserve"> </w:t>
      </w:r>
      <w:r>
        <w:rPr>
          <w:rStyle w:val="Emphasis"/>
        </w:rPr>
        <w:t>PAT: Perform, Achieve and Trade</w:t>
      </w:r>
      <w:r>
        <w:t>, Ministry of Power, Government of India.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Climate and Development Knowledge Index 2013,</w:t>
      </w:r>
      <w:r>
        <w:t xml:space="preserve"> </w:t>
      </w:r>
      <w:proofErr w:type="gramStart"/>
      <w:r>
        <w:rPr>
          <w:rStyle w:val="Emphasis"/>
        </w:rPr>
        <w:t>Creating</w:t>
      </w:r>
      <w:proofErr w:type="gramEnd"/>
      <w:r>
        <w:rPr>
          <w:rStyle w:val="Emphasis"/>
        </w:rPr>
        <w:t xml:space="preserve"> market support for energy efficiency: India’s Perform Achieve and Trade scheme</w:t>
      </w:r>
      <w:r>
        <w:t>, World Resources Institute, United Kingdom.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 xml:space="preserve">Khan, M, </w:t>
      </w:r>
      <w:proofErr w:type="spellStart"/>
      <w:r>
        <w:rPr>
          <w:rStyle w:val="Strong"/>
        </w:rPr>
        <w:t>Tanwar</w:t>
      </w:r>
      <w:proofErr w:type="spellEnd"/>
      <w:r>
        <w:rPr>
          <w:rStyle w:val="Strong"/>
        </w:rPr>
        <w:t>, N, Shankar, S &amp; Climate Connect 2011,</w:t>
      </w:r>
      <w:r>
        <w:t xml:space="preserve"> </w:t>
      </w:r>
      <w:r>
        <w:rPr>
          <w:rStyle w:val="Emphasis"/>
        </w:rPr>
        <w:t>Primer to India’s Perform, Achieve and Trade Scheme for Enhanced Energy Efﬁciency</w:t>
      </w:r>
      <w:r>
        <w:t>, in Greenhouse Gas Market Report 2011: Asia Paciﬁc Market On The Rise, IETA, Geneva.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Ministry of Power 2012,</w:t>
      </w:r>
      <w:r>
        <w:t xml:space="preserve"> ‘Energy Conservation Rules’, </w:t>
      </w:r>
      <w:r>
        <w:rPr>
          <w:rStyle w:val="Emphasis"/>
        </w:rPr>
        <w:t>Gazette of India</w:t>
      </w:r>
      <w:r>
        <w:t>, Extraordinary, Part II, Section 3, Sub-section (</w:t>
      </w:r>
      <w:proofErr w:type="spellStart"/>
      <w:r>
        <w:t>i</w:t>
      </w:r>
      <w:proofErr w:type="spellEnd"/>
      <w:r>
        <w:t>), New Delhi, 30 March.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Regan, K &amp; Mehta, N 2012,</w:t>
      </w:r>
      <w:r>
        <w:t xml:space="preserve"> </w:t>
      </w:r>
      <w:r>
        <w:rPr>
          <w:rStyle w:val="Emphasis"/>
        </w:rPr>
        <w:t>International finance and the PAT scheme</w:t>
      </w:r>
      <w:r>
        <w:t xml:space="preserve">, </w:t>
      </w:r>
      <w:proofErr w:type="spellStart"/>
      <w:r>
        <w:t>Verco</w:t>
      </w:r>
      <w:proofErr w:type="spellEnd"/>
      <w:r>
        <w:t xml:space="preserve"> Global, viewed 6 January 2014, www.vercoglobal.com/images/uploads/insightsreports/International_finance_and_the_PAT_scheme.pdf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Alberta’s Specified Greenhouse Gas Reduction Scheme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Auditor General Alberta 2011,</w:t>
      </w:r>
      <w:r>
        <w:t xml:space="preserve"> ‘Climate Change and Emissions Management Fund - Use of Offsets - Follow-up Audit’, in </w:t>
      </w:r>
      <w:r>
        <w:rPr>
          <w:rStyle w:val="Emphasis"/>
        </w:rPr>
        <w:t>Report of the Auditor General of Alberta</w:t>
      </w:r>
      <w:r>
        <w:t>, Edmonton, Alberta.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 Government 2012,</w:t>
      </w:r>
      <w:r>
        <w:t xml:space="preserve"> </w:t>
      </w:r>
      <w:r>
        <w:rPr>
          <w:rStyle w:val="Emphasis"/>
        </w:rPr>
        <w:t>Technical Guidance for Completing Specified Gas Baseline Emission Intensity Applications</w:t>
      </w:r>
      <w:r>
        <w:t>, Version 4, Specified Gas Emitters Regulation, Alberta.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 Government 2013,</w:t>
      </w:r>
      <w:r>
        <w:t xml:space="preserve"> </w:t>
      </w:r>
      <w:r>
        <w:rPr>
          <w:rStyle w:val="Emphasis"/>
        </w:rPr>
        <w:t>Technical Guidance for Offset Project Developers</w:t>
      </w:r>
      <w:r>
        <w:t>, Version 4, Specified Gas Emitters Regulation, Alberta.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Alberta Government 2013b,</w:t>
      </w:r>
      <w:r>
        <w:t xml:space="preserve"> </w:t>
      </w:r>
      <w:r>
        <w:rPr>
          <w:rStyle w:val="Emphasis"/>
        </w:rPr>
        <w:t>2013 Large Final Emitter Update</w:t>
      </w:r>
      <w:r>
        <w:t>, Presentation for Air and Climate Change Policy Branch Environment and Sustainable Resource Development, viewed 3 March 2014, http://environment.gov.ab.ca/info/library/8735.pdf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lastRenderedPageBreak/>
        <w:t>Environment and Sustainable Resource Development,</w:t>
      </w:r>
      <w:r>
        <w:t xml:space="preserve"> Alberta-based Offset Credit System Website, viewed 4 March 2014, http://environment.alberta.ca/0923.html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International Institute for Sustainable Development 2011,</w:t>
      </w:r>
      <w:r>
        <w:t xml:space="preserve"> </w:t>
      </w:r>
      <w:r>
        <w:rPr>
          <w:rStyle w:val="Emphasis"/>
        </w:rPr>
        <w:t>Regulating Carbon Emissions in Canada Offsets and Canada’s GHG Regulations: Reducing costs, improving competitiveness and lowering emissions</w:t>
      </w:r>
      <w:r>
        <w:t>, Policy Brief for the Industry Provincial Offsets Group (IPOG), IISD’s Climate Change and Energy Program, Manitoba, Canada.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Specified Gas Emitters Regulation 2007,</w:t>
      </w:r>
      <w:r>
        <w:t xml:space="preserve"> Alberta Regulation 139/2007, Alberta, Canada.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California’s Air Resources Board Compliance Offsets Scheme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ARB Offset Credit Issuance,</w:t>
      </w:r>
      <w:r>
        <w:t xml:space="preserve"> viewed 3 March 2014, www.arb.ca.gov/cc/capandtrade/offsets/issuance/issuance.htm</w:t>
      </w:r>
    </w:p>
    <w:p w:rsidR="00A66565" w:rsidRDefault="00044FCB">
      <w:pPr>
        <w:pStyle w:val="NormalWeb"/>
        <w:divId w:val="997078683"/>
      </w:pPr>
      <w:r>
        <w:rPr>
          <w:rStyle w:val="Strong"/>
          <w:i/>
          <w:iCs/>
        </w:rPr>
        <w:t>Article 5: California Cap On Greenhouse Gas Emissions And Market-Based Compliance Mechanisms, Subchapter 10 Climate Change,</w:t>
      </w:r>
      <w:r>
        <w:t xml:space="preserve"> Article 5, Sections 95800 to 96023, Title 17, California Code of Regulations,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Air Resources Board (ARB) 2011,</w:t>
      </w:r>
      <w:r>
        <w:t xml:space="preserve"> </w:t>
      </w:r>
      <w:r>
        <w:rPr>
          <w:rStyle w:val="Emphasis"/>
        </w:rPr>
        <w:t>Compliance Offset Protocol Ozone Depleting Substances Projects: Destruction of U.S. ozone depleting substances banks</w:t>
      </w:r>
      <w:r>
        <w:t>, 20 October,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2011b,</w:t>
      </w:r>
      <w:r>
        <w:t xml:space="preserve"> </w:t>
      </w:r>
      <w:r>
        <w:rPr>
          <w:rStyle w:val="Emphasis"/>
        </w:rPr>
        <w:t>Compliance Offset Protocol Livestock Projects: Capturing and destroying methane from manure management systems</w:t>
      </w:r>
      <w:r>
        <w:t>, 20 October,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2011c,</w:t>
      </w:r>
      <w:r>
        <w:t xml:space="preserve"> </w:t>
      </w:r>
      <w:r>
        <w:rPr>
          <w:rStyle w:val="Emphasis"/>
        </w:rPr>
        <w:t>Compliance Offset Protocol Urban Forest Projects</w:t>
      </w:r>
      <w:r>
        <w:t>, 20 October,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2011d,</w:t>
      </w:r>
      <w:r>
        <w:t xml:space="preserve"> </w:t>
      </w:r>
      <w:r>
        <w:rPr>
          <w:rStyle w:val="Emphasis"/>
        </w:rPr>
        <w:t>Compliance Offset Protocol U.S. Forest Projects</w:t>
      </w:r>
      <w:r>
        <w:t>, 20 October,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2012,</w:t>
      </w:r>
      <w:r>
        <w:t xml:space="preserve"> ‘Chapter 1: How Does The Cap-And-Trade Program Work?</w:t>
      </w:r>
      <w:proofErr w:type="gramStart"/>
      <w:r>
        <w:t>’,</w:t>
      </w:r>
      <w:proofErr w:type="gramEnd"/>
      <w:r>
        <w:t xml:space="preserve"> </w:t>
      </w:r>
      <w:r>
        <w:rPr>
          <w:rStyle w:val="Emphasis"/>
        </w:rPr>
        <w:t>Cap-and-Trade Regulation Instructional Guidance</w:t>
      </w:r>
      <w:r>
        <w:t>, California Code of Regulations.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2012b,</w:t>
      </w:r>
      <w:r>
        <w:t xml:space="preserve"> ‘Chapter 6: What Are The Requirements For Offset Credits And How Are They Issued?</w:t>
      </w:r>
      <w:proofErr w:type="gramStart"/>
      <w:r>
        <w:t>’,</w:t>
      </w:r>
      <w:proofErr w:type="gramEnd"/>
      <w:r>
        <w:t xml:space="preserve"> </w:t>
      </w:r>
      <w:r>
        <w:rPr>
          <w:rStyle w:val="Emphasis"/>
        </w:rPr>
        <w:t>Cap-and-Trade Regulation Instructional Guidance</w:t>
      </w:r>
      <w:r>
        <w:t>, California Code of Regulations.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2013,</w:t>
      </w:r>
      <w:r>
        <w:t xml:space="preserve"> </w:t>
      </w:r>
      <w:r>
        <w:rPr>
          <w:rStyle w:val="Emphasis"/>
        </w:rPr>
        <w:t>Proposed Amendments to the California Cap On Greenhouse Gas Emissions and Market-Based Compliance Mechanisms</w:t>
      </w:r>
      <w:r>
        <w:t>, Staff Report: Initial Statement of Reasons, Public hearing to consider proposed amendments to the California cap-and-trade program, California.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California ARB 2014,</w:t>
      </w:r>
      <w:r>
        <w:t xml:space="preserve"> Compliance Offset Program website, viewed 4 March 2014, www.arb.ca.gov/cc/capandtrade/offsets/offsets.htm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Global Warming Solutions Act of 2006</w:t>
      </w:r>
      <w:r>
        <w:t xml:space="preserve"> (California).</w:t>
      </w:r>
    </w:p>
    <w:p w:rsidR="00A45F2F" w:rsidRDefault="00A45F2F">
      <w:pPr>
        <w:rPr>
          <w:rFonts w:eastAsia="Times New Roman"/>
          <w:b/>
          <w:bCs/>
          <w:sz w:val="20"/>
          <w:szCs w:val="20"/>
        </w:rPr>
      </w:pPr>
      <w:bookmarkStart w:id="0" w:name="_GoBack"/>
      <w:r>
        <w:rPr>
          <w:rFonts w:eastAsia="Times New Roman"/>
        </w:rPr>
        <w:br w:type="page"/>
      </w:r>
    </w:p>
    <w:bookmarkEnd w:id="0"/>
    <w:p w:rsidR="00A66565" w:rsidRDefault="00044FCB">
      <w:pPr>
        <w:pStyle w:val="Heading5"/>
        <w:divId w:val="997078683"/>
        <w:rPr>
          <w:rFonts w:eastAsia="Times New Roman"/>
        </w:rPr>
      </w:pPr>
      <w:r>
        <w:rPr>
          <w:rFonts w:eastAsia="Times New Roman"/>
        </w:rPr>
        <w:lastRenderedPageBreak/>
        <w:t>Appendix B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>Climate Change Authority 2014,</w:t>
      </w:r>
      <w:r>
        <w:t xml:space="preserve"> </w:t>
      </w:r>
      <w:r>
        <w:rPr>
          <w:rStyle w:val="Emphasis"/>
        </w:rPr>
        <w:t>Targets and Progress Review</w:t>
      </w:r>
      <w:r>
        <w:t>, Melbourne.</w:t>
      </w:r>
    </w:p>
    <w:p w:rsidR="00A66565" w:rsidRDefault="00044FCB">
      <w:pPr>
        <w:pStyle w:val="NormalWeb"/>
        <w:divId w:val="997078683"/>
      </w:pPr>
      <w:r>
        <w:rPr>
          <w:rStyle w:val="Strong"/>
        </w:rPr>
        <w:t xml:space="preserve">Treasury and Department of Industry, Innovation, Climate Change, Science, Research and Tertiary Education (DIICCSRTE) 2013, </w:t>
      </w:r>
      <w:r>
        <w:rPr>
          <w:rStyle w:val="Emphasis"/>
        </w:rPr>
        <w:t>Climate Change Mitigation Scenarios</w:t>
      </w:r>
      <w:r>
        <w:t>, modelling report to the Climate Change Authority in support of its Caps and Targets Review, Canberra.</w:t>
      </w:r>
    </w:p>
    <w:sectPr w:rsidR="00A66565" w:rsidSect="00A45F2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B"/>
    <w:rsid w:val="00044FCB"/>
    <w:rsid w:val="00A45F2F"/>
    <w:rsid w:val="00A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DB0C-7B27-4AA2-88E2-A177B26C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matechange.gov.au/reducing-carbon/carbon-farming-initiative/methodolo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2003</Words>
  <Characters>15159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CCA_CFIStudyPublicReportReferences</vt:lpstr>
    </vt:vector>
  </TitlesOfParts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CCA_CFIStudyPublicReportReferences</dc:title>
  <dc:subject/>
  <dc:creator>Jenny McLaren</dc:creator>
  <cp:keywords/>
  <dc:description/>
  <cp:lastModifiedBy>Jenny McLaren</cp:lastModifiedBy>
  <cp:revision>3</cp:revision>
  <dcterms:created xsi:type="dcterms:W3CDTF">2014-04-09T03:27:00Z</dcterms:created>
  <dcterms:modified xsi:type="dcterms:W3CDTF">2014-04-09T04:55:00Z</dcterms:modified>
</cp:coreProperties>
</file>