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9151BC">
      <w:pPr>
        <w:pStyle w:val="Heading1"/>
        <w:divId w:val="107353698"/>
        <w:rPr>
          <w:rFonts w:eastAsia="Times New Roman"/>
        </w:rPr>
      </w:pPr>
      <w:bookmarkStart w:id="0" w:name="_GoBack"/>
      <w:bookmarkEnd w:id="0"/>
      <w:r>
        <w:rPr>
          <w:rFonts w:eastAsia="Times New Roman"/>
        </w:rPr>
        <w:t>Appendix B issues for future reviews</w:t>
      </w:r>
    </w:p>
    <w:p w:rsidR="00000000" w:rsidRDefault="009151BC">
      <w:pPr>
        <w:pStyle w:val="NormalWeb"/>
        <w:divId w:val="107353698"/>
      </w:pPr>
      <w:r>
        <w:t>This appendix summarises issues raised that were not considered in this review, but that could be considered in future reviews.</w:t>
      </w:r>
    </w:p>
    <w:p w:rsidR="00000000" w:rsidRDefault="009151BC">
      <w:pPr>
        <w:pStyle w:val="Heading2"/>
        <w:divId w:val="107353698"/>
        <w:rPr>
          <w:rFonts w:eastAsia="Times New Roman"/>
        </w:rPr>
      </w:pPr>
      <w:r>
        <w:rPr>
          <w:rFonts w:eastAsia="Times New Roman"/>
        </w:rPr>
        <w:t>B.1 25-year permanence option</w:t>
      </w:r>
    </w:p>
    <w:p w:rsidR="00000000" w:rsidRDefault="009151BC">
      <w:pPr>
        <w:pStyle w:val="NormalWeb"/>
        <w:divId w:val="107353698"/>
      </w:pPr>
      <w:r>
        <w:t>Under the CFI, sequestration projects were subject to a 100-year permanence obligation. Several stakeholders noted that this obligation acted as a barrier to participation for some types of projects, in part due to concerns about the potential adverse effe</w:t>
      </w:r>
      <w:r>
        <w:t>cts on future generations of landholders.</w:t>
      </w:r>
    </w:p>
    <w:p w:rsidR="00000000" w:rsidRDefault="009151BC">
      <w:pPr>
        <w:pStyle w:val="NormalWeb"/>
        <w:divId w:val="107353698"/>
      </w:pPr>
      <w:r>
        <w:t>To address this concern, the ERF includes a 25-year permanence option. The number of credits issued for projects that take up this option will be discounted by 20 per cent relative to 100-year projects. This discou</w:t>
      </w:r>
      <w:r>
        <w:t>nt reflects the potential cost to government of replacing carbon stores if 25-year projects are later discontinued.</w:t>
      </w:r>
    </w:p>
    <w:p w:rsidR="00000000" w:rsidRDefault="009151BC">
      <w:pPr>
        <w:pStyle w:val="NormalWeb"/>
        <w:divId w:val="107353698"/>
      </w:pPr>
      <w:r>
        <w:t>Although several stakeholders supported the 25-year permanence option, there are issues to consider:</w:t>
      </w:r>
    </w:p>
    <w:p w:rsidR="00000000" w:rsidRDefault="009151BC">
      <w:pPr>
        <w:numPr>
          <w:ilvl w:val="0"/>
          <w:numId w:val="1"/>
        </w:numPr>
        <w:spacing w:before="100" w:beforeAutospacing="1" w:after="100" w:afterAutospacing="1"/>
        <w:divId w:val="107353698"/>
        <w:rPr>
          <w:rFonts w:eastAsia="Times New Roman"/>
        </w:rPr>
      </w:pPr>
      <w:r>
        <w:rPr>
          <w:rFonts w:eastAsia="Times New Roman"/>
        </w:rPr>
        <w:t>Discount calculations are very sensitiv</w:t>
      </w:r>
      <w:r>
        <w:rPr>
          <w:rFonts w:eastAsia="Times New Roman"/>
        </w:rPr>
        <w:t>e to assumptions about future carbon prices, and the probability, timing and pace of reversal (Macintosh 2012). The appropriateness of the 20 per cent discount depends on whether these underlying assumptions are reasonable, given available information, and</w:t>
      </w:r>
      <w:r>
        <w:rPr>
          <w:rFonts w:eastAsia="Times New Roman"/>
        </w:rPr>
        <w:t xml:space="preserve"> the level of financial risk the government (and public) is willing to accept.</w:t>
      </w:r>
    </w:p>
    <w:p w:rsidR="00000000" w:rsidRDefault="009151BC">
      <w:pPr>
        <w:numPr>
          <w:ilvl w:val="0"/>
          <w:numId w:val="1"/>
        </w:numPr>
        <w:spacing w:before="100" w:beforeAutospacing="1" w:after="100" w:afterAutospacing="1"/>
        <w:divId w:val="107353698"/>
        <w:rPr>
          <w:rFonts w:eastAsia="Times New Roman"/>
        </w:rPr>
      </w:pPr>
      <w:r>
        <w:rPr>
          <w:rFonts w:eastAsia="Times New Roman"/>
        </w:rPr>
        <w:t>Using a uniform discount of 20 per cent reduces administrative complexity but may not reflect differences in risks across different types of projects.</w:t>
      </w:r>
    </w:p>
    <w:p w:rsidR="00000000" w:rsidRDefault="009151BC">
      <w:pPr>
        <w:numPr>
          <w:ilvl w:val="0"/>
          <w:numId w:val="1"/>
        </w:numPr>
        <w:spacing w:before="100" w:beforeAutospacing="1" w:after="100" w:afterAutospacing="1"/>
        <w:divId w:val="107353698"/>
        <w:rPr>
          <w:rFonts w:eastAsia="Times New Roman"/>
        </w:rPr>
      </w:pPr>
      <w:r>
        <w:rPr>
          <w:rFonts w:eastAsia="Times New Roman"/>
        </w:rPr>
        <w:t>Without a binding cap or a</w:t>
      </w:r>
      <w:r>
        <w:rPr>
          <w:rFonts w:eastAsia="Times New Roman"/>
        </w:rPr>
        <w:t>n obligation for future governments to replace any carbon stores that are reversed, the environment may ultimately bear the cost.</w:t>
      </w:r>
    </w:p>
    <w:p w:rsidR="00000000" w:rsidRDefault="009151BC">
      <w:pPr>
        <w:pStyle w:val="Heading2"/>
        <w:divId w:val="107353698"/>
        <w:rPr>
          <w:rFonts w:eastAsia="Times New Roman"/>
        </w:rPr>
      </w:pPr>
      <w:r>
        <w:rPr>
          <w:rFonts w:eastAsia="Times New Roman"/>
        </w:rPr>
        <w:t>B.2 Deductions for risk of reversal and leakage</w:t>
      </w:r>
    </w:p>
    <w:p w:rsidR="00000000" w:rsidRDefault="009151BC">
      <w:pPr>
        <w:pStyle w:val="NormalWeb"/>
        <w:divId w:val="107353698"/>
      </w:pPr>
      <w:r>
        <w:t>Under the CFI, a risk of reversal buffer of five per cent was applied to all s</w:t>
      </w:r>
      <w:r>
        <w:t>equestration projects, meaning that for every 100 tonnes of carbon stored by a project, 95 credits were issued. This risk buffer was to account for some carbon stores being temporarily lost, for example through bushfire. The risk of reversal buffer is unch</w:t>
      </w:r>
      <w:r>
        <w:t>anged under the ERF.</w:t>
      </w:r>
    </w:p>
    <w:p w:rsidR="00000000" w:rsidRDefault="009151BC">
      <w:pPr>
        <w:pStyle w:val="NormalWeb"/>
        <w:divId w:val="107353698"/>
      </w:pPr>
      <w:r>
        <w:t>Fares Rural (sub. 3, p. 6) submitted that the risk of reversal buffer should be set at a lower level based on the real incidence of fire and other reversal in Australia.</w:t>
      </w:r>
    </w:p>
    <w:p w:rsidR="00000000" w:rsidRDefault="009151BC">
      <w:pPr>
        <w:pStyle w:val="NormalWeb"/>
        <w:divId w:val="107353698"/>
      </w:pPr>
      <w:r>
        <w:t>Under the CFI, methods can apply a deduction to credits for leaka</w:t>
      </w:r>
      <w:r>
        <w:t>ge, which refers to the risk that the project will trigger an increase in emissions from sources, or reduction in removals by sinks, that occurs outside the project boundary. In practice, no CFI methods included a deduction for leakage.</w:t>
      </w:r>
    </w:p>
    <w:p w:rsidR="00000000" w:rsidRDefault="009151BC">
      <w:pPr>
        <w:pStyle w:val="NormalWeb"/>
        <w:divId w:val="107353698"/>
      </w:pPr>
      <w:r>
        <w:lastRenderedPageBreak/>
        <w:t>As noted in Chapter</w:t>
      </w:r>
      <w:r>
        <w:t xml:space="preserve"> 2, leakage can be influenced by various factors (including commodity prices) and can occur at different spatial scales and over time. Consequently, it is difficult to estimate.</w:t>
      </w:r>
    </w:p>
    <w:p w:rsidR="00000000" w:rsidRDefault="009151BC">
      <w:pPr>
        <w:pStyle w:val="Heading2"/>
        <w:divId w:val="107353698"/>
        <w:rPr>
          <w:rFonts w:eastAsia="Times New Roman"/>
        </w:rPr>
      </w:pPr>
      <w:r>
        <w:rPr>
          <w:rFonts w:eastAsia="Times New Roman"/>
        </w:rPr>
        <w:t>B.3 Project aggregation</w:t>
      </w:r>
    </w:p>
    <w:p w:rsidR="00000000" w:rsidRDefault="009151BC">
      <w:pPr>
        <w:pStyle w:val="NormalWeb"/>
        <w:divId w:val="107353698"/>
      </w:pPr>
      <w:r>
        <w:t>The ERF aims to support aggregation in the land sector</w:t>
      </w:r>
      <w:r>
        <w:t xml:space="preserve"> by relaxing the requirement that project developers need to own the land (or hold another relevant property right).</w:t>
      </w:r>
    </w:p>
    <w:p w:rsidR="00000000" w:rsidRDefault="009151BC">
      <w:pPr>
        <w:pStyle w:val="NormalWeb"/>
        <w:divId w:val="107353698"/>
      </w:pPr>
      <w:r>
        <w:t>The National Farmers’ Federation noted there are benefits and risks associated with participation in an aggregated project; risks include t</w:t>
      </w:r>
      <w:r>
        <w:t>hat individuals could be misled into participation by unscrupulous aggregators. To address this risk, National Farmers’ Federation proposed a consumer protection framework similar to the model used for residential tenancy (sub. 5, pp. 2-3).</w:t>
      </w:r>
    </w:p>
    <w:p w:rsidR="00000000" w:rsidRDefault="009151BC">
      <w:pPr>
        <w:pStyle w:val="NormalWeb"/>
        <w:divId w:val="107353698"/>
      </w:pPr>
      <w:r>
        <w:t>RAMP Carbon adv</w:t>
      </w:r>
      <w:r>
        <w:t>ocated the development of a dedicated mechanism to promote aggregation, similar to the programmatic approach under the Clean Development Mechanism or accredited certificate provider under GGAS/ESS. To the extent this is not feasible in the short term, RAMP</w:t>
      </w:r>
      <w:r>
        <w:t xml:space="preserve"> Carbon suggested an interim step would be to create flexibility within the legislative rules to allow less stringent audit requirements for project aggregators (sub. 15, p. 4).</w:t>
      </w:r>
    </w:p>
    <w:p w:rsidR="00000000" w:rsidRDefault="009151BC">
      <w:pPr>
        <w:pStyle w:val="Heading2"/>
        <w:divId w:val="107353698"/>
        <w:rPr>
          <w:rFonts w:eastAsia="Times New Roman"/>
        </w:rPr>
      </w:pPr>
      <w:r>
        <w:rPr>
          <w:rFonts w:eastAsia="Times New Roman"/>
        </w:rPr>
        <w:t>B.4 Negative list</w:t>
      </w:r>
    </w:p>
    <w:p w:rsidR="00000000" w:rsidRDefault="009151BC">
      <w:pPr>
        <w:pStyle w:val="NormalWeb"/>
        <w:divId w:val="107353698"/>
      </w:pPr>
      <w:r>
        <w:t xml:space="preserve">Poorly designed projects can lead to perverse outcomes (for </w:t>
      </w:r>
      <w:r>
        <w:t>example a forest project may put excessive pressure on water resources). Like the CFI, the ERF manages negative impacts through requirements to:</w:t>
      </w:r>
    </w:p>
    <w:p w:rsidR="00000000" w:rsidRDefault="009151BC">
      <w:pPr>
        <w:numPr>
          <w:ilvl w:val="0"/>
          <w:numId w:val="2"/>
        </w:numPr>
        <w:spacing w:before="100" w:beforeAutospacing="1" w:after="100" w:afterAutospacing="1"/>
        <w:divId w:val="107353698"/>
        <w:rPr>
          <w:rFonts w:eastAsia="Times New Roman"/>
        </w:rPr>
      </w:pPr>
      <w:r>
        <w:rPr>
          <w:rFonts w:eastAsia="Times New Roman"/>
        </w:rPr>
        <w:t xml:space="preserve">hold required water, planning and environmental approvals </w:t>
      </w:r>
    </w:p>
    <w:p w:rsidR="00000000" w:rsidRDefault="009151BC">
      <w:pPr>
        <w:numPr>
          <w:ilvl w:val="0"/>
          <w:numId w:val="2"/>
        </w:numPr>
        <w:spacing w:before="100" w:beforeAutospacing="1" w:after="100" w:afterAutospacing="1"/>
        <w:divId w:val="107353698"/>
        <w:rPr>
          <w:rFonts w:eastAsia="Times New Roman"/>
        </w:rPr>
      </w:pPr>
      <w:r>
        <w:rPr>
          <w:rFonts w:eastAsia="Times New Roman"/>
        </w:rPr>
        <w:t>take account of regional natural resource management</w:t>
      </w:r>
      <w:r>
        <w:rPr>
          <w:rFonts w:eastAsia="Times New Roman"/>
        </w:rPr>
        <w:t xml:space="preserve"> plans. </w:t>
      </w:r>
    </w:p>
    <w:p w:rsidR="00000000" w:rsidRDefault="009151BC">
      <w:pPr>
        <w:pStyle w:val="NormalWeb"/>
        <w:divId w:val="107353698"/>
      </w:pPr>
      <w:r>
        <w:t>It also excludes projects that could pose social and environmental risks (via the ‘negative list’).</w:t>
      </w:r>
    </w:p>
    <w:p w:rsidR="00000000" w:rsidRDefault="009151BC">
      <w:pPr>
        <w:pStyle w:val="NormalWeb"/>
        <w:divId w:val="107353698"/>
      </w:pPr>
      <w:r>
        <w:t>In principle, where the concerns apply generally (and are not unique to ERF projects) other policies should address them. For example, an afforesta</w:t>
      </w:r>
      <w:r>
        <w:t>tion project under ERF could draw up large volumes of water, thereby degrading local wetlands and/or depleting water resources available to towns or irrigators. This problem could arise with any afforestation project—not just one supported by the ERF. An a</w:t>
      </w:r>
      <w:r>
        <w:t>ppropriate response would be to have a general policy that included, for example, a requirement for forest plantations in particular areas to buy a water licence. ERF and non ERF projects would all have to comply with this requirement.</w:t>
      </w:r>
    </w:p>
    <w:p w:rsidR="00000000" w:rsidRDefault="009151BC">
      <w:pPr>
        <w:pStyle w:val="NormalWeb"/>
        <w:divId w:val="107353698"/>
      </w:pPr>
      <w:r>
        <w:t>In practice, however</w:t>
      </w:r>
      <w:r>
        <w:t>, such general policies are not always in place. As a result, the ERF could reasonably play a role in mitigating negative impacts, either by making some types of projects ineligible or by putting obligations into methods. This should be the exception rathe</w:t>
      </w:r>
      <w:r>
        <w:t>r than the rule.</w:t>
      </w:r>
    </w:p>
    <w:p w:rsidR="00000000" w:rsidRDefault="009151BC">
      <w:pPr>
        <w:pStyle w:val="Heading2"/>
        <w:divId w:val="107353698"/>
        <w:rPr>
          <w:rFonts w:eastAsia="Times New Roman"/>
        </w:rPr>
      </w:pPr>
      <w:r>
        <w:rPr>
          <w:rFonts w:eastAsia="Times New Roman"/>
        </w:rPr>
        <w:lastRenderedPageBreak/>
        <w:t>B.5 Improving transparency</w:t>
      </w:r>
    </w:p>
    <w:p w:rsidR="00000000" w:rsidRDefault="009151BC">
      <w:pPr>
        <w:pStyle w:val="NormalWeb"/>
        <w:divId w:val="107353698"/>
      </w:pPr>
      <w:r>
        <w:t>The ERF includes a number of measures to promote transparency and provide opportunities for public input to methods and reviews. Stakeholders identified some opportunities for improvement, including:</w:t>
      </w:r>
    </w:p>
    <w:p w:rsidR="00000000" w:rsidRDefault="009151BC">
      <w:pPr>
        <w:numPr>
          <w:ilvl w:val="0"/>
          <w:numId w:val="3"/>
        </w:numPr>
        <w:spacing w:before="100" w:beforeAutospacing="1" w:after="100" w:afterAutospacing="1"/>
        <w:divId w:val="107353698"/>
        <w:rPr>
          <w:rFonts w:eastAsia="Times New Roman"/>
        </w:rPr>
      </w:pPr>
      <w:r>
        <w:rPr>
          <w:rFonts w:eastAsia="Times New Roman"/>
        </w:rPr>
        <w:t>reviewing the outcomes achieved and the effectiveness of the Carbon Farming Futures – Extension and Outreach program (National Farmers’ Federation, sub. 5, p. 1)</w:t>
      </w:r>
    </w:p>
    <w:p w:rsidR="00000000" w:rsidRDefault="009151BC">
      <w:pPr>
        <w:numPr>
          <w:ilvl w:val="0"/>
          <w:numId w:val="3"/>
        </w:numPr>
        <w:spacing w:before="100" w:beforeAutospacing="1" w:after="100" w:afterAutospacing="1"/>
        <w:divId w:val="107353698"/>
        <w:rPr>
          <w:rFonts w:eastAsia="Times New Roman"/>
        </w:rPr>
      </w:pPr>
      <w:r>
        <w:rPr>
          <w:rFonts w:eastAsia="Times New Roman"/>
        </w:rPr>
        <w:t>publishing the Minister’s final decisions on methods, along with the ERAC’s advice</w:t>
      </w:r>
    </w:p>
    <w:p w:rsidR="00000000" w:rsidRDefault="009151BC">
      <w:pPr>
        <w:numPr>
          <w:ilvl w:val="0"/>
          <w:numId w:val="3"/>
        </w:numPr>
        <w:spacing w:before="100" w:beforeAutospacing="1" w:after="100" w:afterAutospacing="1"/>
        <w:divId w:val="107353698"/>
        <w:rPr>
          <w:rFonts w:eastAsia="Times New Roman"/>
        </w:rPr>
      </w:pPr>
      <w:r>
        <w:rPr>
          <w:rFonts w:eastAsia="Times New Roman"/>
        </w:rPr>
        <w:t xml:space="preserve">publishing </w:t>
      </w:r>
      <w:r>
        <w:rPr>
          <w:rFonts w:eastAsia="Times New Roman"/>
        </w:rPr>
        <w:t>the reasons for prioritising or not prioritising particular methods, along with any accompanying analysis</w:t>
      </w:r>
    </w:p>
    <w:p w:rsidR="009151BC" w:rsidRDefault="009151BC">
      <w:pPr>
        <w:numPr>
          <w:ilvl w:val="0"/>
          <w:numId w:val="3"/>
        </w:numPr>
        <w:spacing w:before="100" w:beforeAutospacing="1" w:after="100" w:afterAutospacing="1"/>
        <w:divId w:val="107353698"/>
        <w:rPr>
          <w:rFonts w:eastAsia="Times New Roman"/>
        </w:rPr>
      </w:pPr>
      <w:r>
        <w:rPr>
          <w:rFonts w:eastAsia="Times New Roman"/>
        </w:rPr>
        <w:t>formalising arrangements for individuals outside the technical working groups to contribute to method development (Law Council of Australia 2014, p. 5</w:t>
      </w:r>
      <w:r>
        <w:rPr>
          <w:rFonts w:eastAsia="Times New Roman"/>
        </w:rPr>
        <w:t>).</w:t>
      </w:r>
    </w:p>
    <w:sectPr w:rsidR="009151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C3CF1"/>
    <w:multiLevelType w:val="multilevel"/>
    <w:tmpl w:val="6772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F47D4C"/>
    <w:multiLevelType w:val="multilevel"/>
    <w:tmpl w:val="50B22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B01316"/>
    <w:multiLevelType w:val="multilevel"/>
    <w:tmpl w:val="A8C0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80572"/>
    <w:rsid w:val="00880572"/>
    <w:rsid w:val="00915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432FF9-4C93-4AC1-9E00-F870DB49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536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CCA_CFIStudyPublicReportAppendixA</vt:lpstr>
    </vt:vector>
  </TitlesOfParts>
  <Company/>
  <LinksUpToDate>false</LinksUpToDate>
  <CharactersWithSpaces>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CCA_CFIStudyPublicReportAppendixA</dc:title>
  <dc:subject/>
  <dc:creator>Jenny McLaren</dc:creator>
  <cp:keywords/>
  <dc:description/>
  <cp:lastModifiedBy>Jenny McLaren</cp:lastModifiedBy>
  <cp:revision>2</cp:revision>
  <dcterms:created xsi:type="dcterms:W3CDTF">2015-04-08T23:42:00Z</dcterms:created>
  <dcterms:modified xsi:type="dcterms:W3CDTF">2015-04-08T23:42:00Z</dcterms:modified>
</cp:coreProperties>
</file>