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C4BAF">
      <w:pPr>
        <w:pStyle w:val="Heading1"/>
        <w:divId w:val="2132476390"/>
        <w:rPr>
          <w:rFonts w:eastAsia="Times New Roman"/>
        </w:rPr>
      </w:pPr>
      <w:bookmarkStart w:id="0" w:name="_GoBack"/>
      <w:bookmarkEnd w:id="0"/>
      <w:r>
        <w:rPr>
          <w:rFonts w:eastAsia="Times New Roman"/>
        </w:rPr>
        <w:t>Appendix A public consultation</w:t>
      </w:r>
    </w:p>
    <w:p w:rsidR="00000000" w:rsidRDefault="006C4BAF">
      <w:pPr>
        <w:pStyle w:val="NormalWeb"/>
        <w:divId w:val="2132476390"/>
      </w:pPr>
      <w:r>
        <w:t>The Authority is required to conduct public consultation for all of its reviews. Throughout this review, the Authority consulted with a wide range of interested parties, including carbon farming participants, industry and government.</w:t>
      </w:r>
    </w:p>
    <w:p w:rsidR="00000000" w:rsidRDefault="006C4BAF">
      <w:pPr>
        <w:pStyle w:val="NormalWeb"/>
        <w:divId w:val="2132476390"/>
      </w:pPr>
      <w:r>
        <w:t>On 17 October 2014, th</w:t>
      </w:r>
      <w:r>
        <w:t>e Authority released an issues paper, which can be accessed on the Authority’s website. As part of the issues paper submissions process, the Authority received 17 stakeholder submissions. Three submissions were confidential.</w:t>
      </w:r>
    </w:p>
    <w:p w:rsidR="00000000" w:rsidRDefault="006C4BAF">
      <w:pPr>
        <w:pStyle w:val="NormalWeb"/>
        <w:divId w:val="2132476390"/>
      </w:pPr>
      <w:r>
        <w:t>Table 5 lists the individuals a</w:t>
      </w:r>
      <w:r>
        <w:t>nd organisations that provided submissions. These submissions are available on the Authority’s website: http://www.climatechangeauthority.gov.au/submissions/submissions-received.</w:t>
      </w:r>
    </w:p>
    <w:p w:rsidR="00000000" w:rsidRDefault="006C4BAF">
      <w:pPr>
        <w:pStyle w:val="NormalWeb"/>
        <w:divId w:val="2132476390"/>
      </w:pPr>
      <w:r>
        <w:t>The Authority also held a stakeholder roundtable in Canberra on 25 November 2</w:t>
      </w:r>
      <w:r>
        <w:t>014. This roundtable tested the review's preliminary conclusions with 24 stakeholders.</w:t>
      </w:r>
    </w:p>
    <w:p w:rsidR="00000000" w:rsidRDefault="006C4BAF">
      <w:pPr>
        <w:pStyle w:val="NormalWeb"/>
        <w:divId w:val="2132476390"/>
      </w:pPr>
      <w:r>
        <w:t xml:space="preserve">In addition to specific consultation activities, the Authority conducted less formal consultation with interested parties and government agencies. The Authority held 20 </w:t>
      </w:r>
      <w:r>
        <w:t>one on one meetings with stakeholders over the course of the review.</w:t>
      </w:r>
    </w:p>
    <w:p w:rsidR="00000000" w:rsidRDefault="006C4BAF">
      <w:pPr>
        <w:pStyle w:val="Heading2"/>
        <w:divId w:val="2132476390"/>
        <w:rPr>
          <w:rFonts w:eastAsia="Times New Roman"/>
        </w:rPr>
      </w:pPr>
      <w:r>
        <w:rPr>
          <w:rStyle w:val="Strong"/>
          <w:rFonts w:eastAsia="Times New Roman"/>
          <w:b/>
          <w:bCs/>
        </w:rPr>
        <w:t>Table 5:</w:t>
      </w:r>
      <w:r>
        <w:rPr>
          <w:rFonts w:eastAsia="Times New Roman"/>
        </w:rPr>
        <w:t xml:space="preserve"> Submissions received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1"/>
        <w:gridCol w:w="1785"/>
        <w:gridCol w:w="2734"/>
        <w:gridCol w:w="1800"/>
      </w:tblGrid>
      <w:tr w:rsidR="00000000">
        <w:trPr>
          <w:divId w:val="2132476390"/>
          <w:tblHeader/>
          <w:tblCellSpacing w:w="15" w:type="dxa"/>
        </w:trPr>
        <w:tc>
          <w:tcPr>
            <w:tcW w:w="0" w:type="auto"/>
            <w:vAlign w:val="center"/>
            <w:hideMark/>
          </w:tcPr>
          <w:p w:rsidR="00000000" w:rsidRDefault="006C4BAF">
            <w:pPr>
              <w:pStyle w:val="NormalWeb"/>
            </w:pPr>
            <w:r>
              <w:rPr>
                <w:rStyle w:val="Strong"/>
              </w:rPr>
              <w:t>Received from</w:t>
            </w:r>
          </w:p>
        </w:tc>
        <w:tc>
          <w:tcPr>
            <w:tcW w:w="0" w:type="auto"/>
            <w:vAlign w:val="center"/>
            <w:hideMark/>
          </w:tcPr>
          <w:p w:rsidR="00000000" w:rsidRDefault="006C4BAF">
            <w:pPr>
              <w:pStyle w:val="NormalWeb"/>
            </w:pPr>
            <w:r>
              <w:rPr>
                <w:rStyle w:val="Strong"/>
              </w:rPr>
              <w:t>Submission number</w:t>
            </w:r>
          </w:p>
        </w:tc>
        <w:tc>
          <w:tcPr>
            <w:tcW w:w="0" w:type="auto"/>
            <w:vAlign w:val="center"/>
            <w:hideMark/>
          </w:tcPr>
          <w:p w:rsidR="00000000" w:rsidRDefault="006C4BAF">
            <w:pPr>
              <w:pStyle w:val="NormalWeb"/>
            </w:pPr>
            <w:r>
              <w:rPr>
                <w:rStyle w:val="Strong"/>
              </w:rPr>
              <w:t>Received from</w:t>
            </w:r>
          </w:p>
        </w:tc>
        <w:tc>
          <w:tcPr>
            <w:tcW w:w="0" w:type="auto"/>
            <w:vAlign w:val="center"/>
            <w:hideMark/>
          </w:tcPr>
          <w:p w:rsidR="00000000" w:rsidRDefault="006C4BAF">
            <w:pPr>
              <w:pStyle w:val="NormalWeb"/>
            </w:pPr>
            <w:r>
              <w:rPr>
                <w:rStyle w:val="Strong"/>
              </w:rPr>
              <w:t>Submission number</w:t>
            </w:r>
          </w:p>
        </w:tc>
      </w:tr>
      <w:tr w:rsidR="00000000">
        <w:trPr>
          <w:divId w:val="2132476390"/>
          <w:tblCellSpacing w:w="15" w:type="dxa"/>
        </w:trPr>
        <w:tc>
          <w:tcPr>
            <w:tcW w:w="0" w:type="auto"/>
            <w:vAlign w:val="center"/>
            <w:hideMark/>
          </w:tcPr>
          <w:p w:rsidR="00000000" w:rsidRDefault="006C4BAF">
            <w:pPr>
              <w:pStyle w:val="NormalWeb"/>
            </w:pPr>
            <w:r>
              <w:t>Australian Dairy Industry Council</w:t>
            </w:r>
          </w:p>
        </w:tc>
        <w:tc>
          <w:tcPr>
            <w:tcW w:w="0" w:type="auto"/>
            <w:vAlign w:val="center"/>
            <w:hideMark/>
          </w:tcPr>
          <w:p w:rsidR="00000000" w:rsidRDefault="006C4BAF">
            <w:pPr>
              <w:pStyle w:val="NormalWeb"/>
            </w:pPr>
            <w:r>
              <w:t>1</w:t>
            </w:r>
          </w:p>
        </w:tc>
        <w:tc>
          <w:tcPr>
            <w:tcW w:w="0" w:type="auto"/>
            <w:vAlign w:val="center"/>
            <w:hideMark/>
          </w:tcPr>
          <w:p w:rsidR="00000000" w:rsidRDefault="006C4BAF">
            <w:pPr>
              <w:pStyle w:val="NormalWeb"/>
            </w:pPr>
            <w:r>
              <w:t>Greenhouse Gas Consulting Services</w:t>
            </w:r>
          </w:p>
        </w:tc>
        <w:tc>
          <w:tcPr>
            <w:tcW w:w="0" w:type="auto"/>
            <w:vAlign w:val="center"/>
            <w:hideMark/>
          </w:tcPr>
          <w:p w:rsidR="00000000" w:rsidRDefault="006C4BAF">
            <w:pPr>
              <w:pStyle w:val="NormalWeb"/>
            </w:pPr>
            <w:r>
              <w:t>17</w:t>
            </w:r>
          </w:p>
        </w:tc>
      </w:tr>
      <w:tr w:rsidR="00000000">
        <w:trPr>
          <w:divId w:val="2132476390"/>
          <w:tblCellSpacing w:w="15" w:type="dxa"/>
        </w:trPr>
        <w:tc>
          <w:tcPr>
            <w:tcW w:w="0" w:type="auto"/>
            <w:vAlign w:val="center"/>
            <w:hideMark/>
          </w:tcPr>
          <w:p w:rsidR="00000000" w:rsidRDefault="006C4BAF">
            <w:pPr>
              <w:pStyle w:val="NormalWeb"/>
            </w:pPr>
            <w:r>
              <w:t>Australian Indust</w:t>
            </w:r>
            <w:r>
              <w:t>ry Greenhouse Network</w:t>
            </w:r>
          </w:p>
        </w:tc>
        <w:tc>
          <w:tcPr>
            <w:tcW w:w="0" w:type="auto"/>
            <w:vAlign w:val="center"/>
            <w:hideMark/>
          </w:tcPr>
          <w:p w:rsidR="00000000" w:rsidRDefault="006C4BAF">
            <w:pPr>
              <w:pStyle w:val="NormalWeb"/>
            </w:pPr>
            <w:r>
              <w:t>13</w:t>
            </w:r>
          </w:p>
        </w:tc>
        <w:tc>
          <w:tcPr>
            <w:tcW w:w="0" w:type="auto"/>
            <w:vAlign w:val="center"/>
            <w:hideMark/>
          </w:tcPr>
          <w:p w:rsidR="00000000" w:rsidRDefault="006C4BAF">
            <w:pPr>
              <w:pStyle w:val="NormalWeb"/>
            </w:pPr>
            <w:r>
              <w:t>Growcom</w:t>
            </w:r>
          </w:p>
        </w:tc>
        <w:tc>
          <w:tcPr>
            <w:tcW w:w="0" w:type="auto"/>
            <w:vAlign w:val="center"/>
            <w:hideMark/>
          </w:tcPr>
          <w:p w:rsidR="00000000" w:rsidRDefault="006C4BAF">
            <w:pPr>
              <w:pStyle w:val="NormalWeb"/>
            </w:pPr>
            <w:r>
              <w:t>10</w:t>
            </w:r>
          </w:p>
        </w:tc>
      </w:tr>
      <w:tr w:rsidR="00000000">
        <w:trPr>
          <w:divId w:val="2132476390"/>
          <w:tblCellSpacing w:w="15" w:type="dxa"/>
        </w:trPr>
        <w:tc>
          <w:tcPr>
            <w:tcW w:w="0" w:type="auto"/>
            <w:vAlign w:val="center"/>
            <w:hideMark/>
          </w:tcPr>
          <w:p w:rsidR="00000000" w:rsidRDefault="006C4BAF">
            <w:pPr>
              <w:pStyle w:val="NormalWeb"/>
            </w:pPr>
            <w:r>
              <w:t>Australian Forest Products Association</w:t>
            </w:r>
          </w:p>
        </w:tc>
        <w:tc>
          <w:tcPr>
            <w:tcW w:w="0" w:type="auto"/>
            <w:vAlign w:val="center"/>
            <w:hideMark/>
          </w:tcPr>
          <w:p w:rsidR="00000000" w:rsidRDefault="006C4BAF">
            <w:pPr>
              <w:pStyle w:val="NormalWeb"/>
            </w:pPr>
            <w:r>
              <w:t>9</w:t>
            </w:r>
          </w:p>
        </w:tc>
        <w:tc>
          <w:tcPr>
            <w:tcW w:w="0" w:type="auto"/>
            <w:vAlign w:val="center"/>
            <w:hideMark/>
          </w:tcPr>
          <w:p w:rsidR="00000000" w:rsidRDefault="006C4BAF">
            <w:pPr>
              <w:pStyle w:val="NormalWeb"/>
            </w:pPr>
            <w:r>
              <w:t>Kimberley Land Council</w:t>
            </w:r>
          </w:p>
        </w:tc>
        <w:tc>
          <w:tcPr>
            <w:tcW w:w="0" w:type="auto"/>
            <w:vAlign w:val="center"/>
            <w:hideMark/>
          </w:tcPr>
          <w:p w:rsidR="00000000" w:rsidRDefault="006C4BAF">
            <w:pPr>
              <w:pStyle w:val="NormalWeb"/>
            </w:pPr>
            <w:r>
              <w:t>12</w:t>
            </w:r>
          </w:p>
        </w:tc>
      </w:tr>
      <w:tr w:rsidR="00000000">
        <w:trPr>
          <w:divId w:val="2132476390"/>
          <w:tblCellSpacing w:w="15" w:type="dxa"/>
        </w:trPr>
        <w:tc>
          <w:tcPr>
            <w:tcW w:w="0" w:type="auto"/>
            <w:vAlign w:val="center"/>
            <w:hideMark/>
          </w:tcPr>
          <w:p w:rsidR="00000000" w:rsidRDefault="006C4BAF">
            <w:pPr>
              <w:pStyle w:val="NormalWeb"/>
            </w:pPr>
            <w:r>
              <w:t>Clear Environment</w:t>
            </w:r>
          </w:p>
        </w:tc>
        <w:tc>
          <w:tcPr>
            <w:tcW w:w="0" w:type="auto"/>
            <w:vAlign w:val="center"/>
            <w:hideMark/>
          </w:tcPr>
          <w:p w:rsidR="00000000" w:rsidRDefault="006C4BAF">
            <w:pPr>
              <w:pStyle w:val="NormalWeb"/>
            </w:pPr>
            <w:r>
              <w:t>6</w:t>
            </w:r>
          </w:p>
        </w:tc>
        <w:tc>
          <w:tcPr>
            <w:tcW w:w="0" w:type="auto"/>
            <w:vAlign w:val="center"/>
            <w:hideMark/>
          </w:tcPr>
          <w:p w:rsidR="00000000" w:rsidRDefault="006C4BAF">
            <w:pPr>
              <w:pStyle w:val="NormalWeb"/>
            </w:pPr>
            <w:r>
              <w:t>LMS Energy</w:t>
            </w:r>
          </w:p>
        </w:tc>
        <w:tc>
          <w:tcPr>
            <w:tcW w:w="0" w:type="auto"/>
            <w:vAlign w:val="center"/>
            <w:hideMark/>
          </w:tcPr>
          <w:p w:rsidR="00000000" w:rsidRDefault="006C4BAF">
            <w:pPr>
              <w:pStyle w:val="NormalWeb"/>
            </w:pPr>
            <w:r>
              <w:t>2</w:t>
            </w:r>
          </w:p>
        </w:tc>
      </w:tr>
      <w:tr w:rsidR="00000000">
        <w:trPr>
          <w:divId w:val="2132476390"/>
          <w:tblCellSpacing w:w="15" w:type="dxa"/>
        </w:trPr>
        <w:tc>
          <w:tcPr>
            <w:tcW w:w="0" w:type="auto"/>
            <w:vAlign w:val="center"/>
            <w:hideMark/>
          </w:tcPr>
          <w:p w:rsidR="00000000" w:rsidRDefault="006C4BAF">
            <w:pPr>
              <w:pStyle w:val="NormalWeb"/>
            </w:pPr>
            <w:r>
              <w:t>Country Carbon</w:t>
            </w:r>
          </w:p>
        </w:tc>
        <w:tc>
          <w:tcPr>
            <w:tcW w:w="0" w:type="auto"/>
            <w:vAlign w:val="center"/>
            <w:hideMark/>
          </w:tcPr>
          <w:p w:rsidR="00000000" w:rsidRDefault="006C4BAF">
            <w:pPr>
              <w:pStyle w:val="NormalWeb"/>
            </w:pPr>
            <w:r>
              <w:t>7</w:t>
            </w:r>
          </w:p>
        </w:tc>
        <w:tc>
          <w:tcPr>
            <w:tcW w:w="0" w:type="auto"/>
            <w:vAlign w:val="center"/>
            <w:hideMark/>
          </w:tcPr>
          <w:p w:rsidR="00000000" w:rsidRDefault="006C4BAF">
            <w:pPr>
              <w:pStyle w:val="NormalWeb"/>
            </w:pPr>
            <w:r>
              <w:t>National Farmers’ Federation</w:t>
            </w:r>
          </w:p>
        </w:tc>
        <w:tc>
          <w:tcPr>
            <w:tcW w:w="0" w:type="auto"/>
            <w:vAlign w:val="center"/>
            <w:hideMark/>
          </w:tcPr>
          <w:p w:rsidR="00000000" w:rsidRDefault="006C4BAF">
            <w:pPr>
              <w:pStyle w:val="NormalWeb"/>
            </w:pPr>
            <w:r>
              <w:t>5</w:t>
            </w:r>
          </w:p>
        </w:tc>
      </w:tr>
      <w:tr w:rsidR="00000000">
        <w:trPr>
          <w:divId w:val="2132476390"/>
          <w:tblCellSpacing w:w="15" w:type="dxa"/>
        </w:trPr>
        <w:tc>
          <w:tcPr>
            <w:tcW w:w="0" w:type="auto"/>
            <w:vAlign w:val="center"/>
            <w:hideMark/>
          </w:tcPr>
          <w:p w:rsidR="00000000" w:rsidRDefault="006C4BAF">
            <w:pPr>
              <w:pStyle w:val="NormalWeb"/>
            </w:pPr>
            <w:r>
              <w:t>Fares Rural</w:t>
            </w:r>
          </w:p>
        </w:tc>
        <w:tc>
          <w:tcPr>
            <w:tcW w:w="0" w:type="auto"/>
            <w:vAlign w:val="center"/>
            <w:hideMark/>
          </w:tcPr>
          <w:p w:rsidR="00000000" w:rsidRDefault="006C4BAF">
            <w:pPr>
              <w:pStyle w:val="NormalWeb"/>
            </w:pPr>
            <w:r>
              <w:t>3</w:t>
            </w:r>
          </w:p>
        </w:tc>
        <w:tc>
          <w:tcPr>
            <w:tcW w:w="0" w:type="auto"/>
            <w:vAlign w:val="center"/>
            <w:hideMark/>
          </w:tcPr>
          <w:p w:rsidR="00000000" w:rsidRDefault="006C4BAF">
            <w:pPr>
              <w:pStyle w:val="NormalWeb"/>
            </w:pPr>
            <w:r>
              <w:t>National Native Title Council</w:t>
            </w:r>
          </w:p>
        </w:tc>
        <w:tc>
          <w:tcPr>
            <w:tcW w:w="0" w:type="auto"/>
            <w:vAlign w:val="center"/>
            <w:hideMark/>
          </w:tcPr>
          <w:p w:rsidR="00000000" w:rsidRDefault="006C4BAF">
            <w:pPr>
              <w:pStyle w:val="NormalWeb"/>
            </w:pPr>
            <w:r>
              <w:t>14</w:t>
            </w:r>
          </w:p>
        </w:tc>
      </w:tr>
      <w:tr w:rsidR="00000000">
        <w:trPr>
          <w:divId w:val="2132476390"/>
          <w:tblCellSpacing w:w="15" w:type="dxa"/>
        </w:trPr>
        <w:tc>
          <w:tcPr>
            <w:tcW w:w="0" w:type="auto"/>
            <w:vAlign w:val="center"/>
            <w:hideMark/>
          </w:tcPr>
          <w:p w:rsidR="00000000" w:rsidRDefault="006C4BAF">
            <w:pPr>
              <w:pStyle w:val="NormalWeb"/>
            </w:pPr>
            <w:r>
              <w:t>Government of Western Australia</w:t>
            </w:r>
          </w:p>
        </w:tc>
        <w:tc>
          <w:tcPr>
            <w:tcW w:w="0" w:type="auto"/>
            <w:vAlign w:val="center"/>
            <w:hideMark/>
          </w:tcPr>
          <w:p w:rsidR="00000000" w:rsidRDefault="006C4BAF">
            <w:pPr>
              <w:pStyle w:val="NormalWeb"/>
            </w:pPr>
            <w:r>
              <w:t>4</w:t>
            </w:r>
          </w:p>
        </w:tc>
        <w:tc>
          <w:tcPr>
            <w:tcW w:w="0" w:type="auto"/>
            <w:vAlign w:val="center"/>
            <w:hideMark/>
          </w:tcPr>
          <w:p w:rsidR="00000000" w:rsidRDefault="006C4BAF">
            <w:pPr>
              <w:pStyle w:val="NormalWeb"/>
            </w:pPr>
            <w:r>
              <w:t>RAMP Carbon</w:t>
            </w:r>
          </w:p>
        </w:tc>
        <w:tc>
          <w:tcPr>
            <w:tcW w:w="0" w:type="auto"/>
            <w:vAlign w:val="center"/>
            <w:hideMark/>
          </w:tcPr>
          <w:p w:rsidR="00000000" w:rsidRDefault="006C4BAF">
            <w:pPr>
              <w:pStyle w:val="NormalWeb"/>
            </w:pPr>
            <w:r>
              <w:t>15</w:t>
            </w:r>
          </w:p>
        </w:tc>
      </w:tr>
    </w:tbl>
    <w:p w:rsidR="006C4BAF" w:rsidRDefault="006C4BAF">
      <w:pPr>
        <w:divId w:val="2132476390"/>
        <w:rPr>
          <w:rFonts w:eastAsia="Times New Roman"/>
        </w:rPr>
      </w:pPr>
    </w:p>
    <w:sectPr w:rsidR="006C4B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B2A6E"/>
    <w:rsid w:val="006C4BAF"/>
    <w:rsid w:val="00CB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3BE2C9-6B3E-4F9C-86EA-6A418367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763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CCA_CFIStudyPublicReportAppendixA</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CCA_CFIStudyPublicReportAppendixA</dc:title>
  <dc:subject/>
  <dc:creator>Jenny McLaren</dc:creator>
  <cp:keywords/>
  <dc:description/>
  <cp:lastModifiedBy>Jenny McLaren</cp:lastModifiedBy>
  <cp:revision>2</cp:revision>
  <dcterms:created xsi:type="dcterms:W3CDTF">2015-04-08T23:41:00Z</dcterms:created>
  <dcterms:modified xsi:type="dcterms:W3CDTF">2015-04-08T23:41:00Z</dcterms:modified>
</cp:coreProperties>
</file>