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p w:rsidR="007342A1" w:rsidRPr="00360168" w:rsidRDefault="007342A1" w:rsidP="00D035C2">
      <w:pPr>
        <w:pStyle w:val="BodyText"/>
        <w:spacing w:before="0" w:line="14" w:lineRule="exact"/>
        <w:ind w:left="-1985"/>
        <w:rPr>
          <w:color w:val="FFFFFF" w:themeColor="background1"/>
        </w:rPr>
      </w:pPr>
      <w:r>
        <w:rPr>
          <w:noProof/>
        </w:rPr>
        <w:drawing>
          <wp:anchor distT="0" distB="0" distL="114300" distR="114300" simplePos="0" relativeHeight="251664384" behindDoc="1" locked="0" layoutInCell="0" allowOverlap="1" wp14:anchorId="465F0475" wp14:editId="463AE554">
            <wp:simplePos x="0" y="0"/>
            <wp:positionH relativeFrom="page">
              <wp:posOffset>0</wp:posOffset>
            </wp:positionH>
            <wp:positionV relativeFrom="page">
              <wp:posOffset>0</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rsidR="007342A1" w:rsidRPr="0097484C" w:rsidRDefault="007342A1" w:rsidP="00D035C2">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rsidR="007342A1" w:rsidRDefault="007342A1" w:rsidP="00D035C2">
      <w:pPr>
        <w:pStyle w:val="Confidential"/>
        <w:framePr w:hSpace="181" w:wrap="around" w:vAnchor="page" w:hAnchor="page" w:x="7210" w:y="831"/>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84"/>
        <w:gridCol w:w="2954"/>
      </w:tblGrid>
      <w:tr w:rsidR="007342A1" w:rsidTr="00D035C2">
        <w:trPr>
          <w:cantSplit/>
          <w:trHeight w:val="1968"/>
        </w:trPr>
        <w:tc>
          <w:tcPr>
            <w:tcW w:w="7938" w:type="dxa"/>
            <w:gridSpan w:val="2"/>
          </w:tcPr>
          <w:p w:rsidR="007342A1" w:rsidRDefault="007342A1" w:rsidP="00D035C2">
            <w:pPr>
              <w:pStyle w:val="BodyText"/>
              <w:spacing w:before="0"/>
            </w:pPr>
          </w:p>
        </w:tc>
      </w:tr>
      <w:tr w:rsidR="007342A1" w:rsidTr="00D035C2">
        <w:trPr>
          <w:cantSplit/>
          <w:trHeight w:val="2988"/>
        </w:trPr>
        <w:tc>
          <w:tcPr>
            <w:tcW w:w="7938" w:type="dxa"/>
            <w:gridSpan w:val="2"/>
          </w:tcPr>
          <w:p w:rsidR="007342A1" w:rsidRDefault="007342A1" w:rsidP="00D035C2">
            <w:pPr>
              <w:pStyle w:val="Reporttype"/>
            </w:pPr>
            <w:r>
              <w:t>report</w:t>
            </w:r>
          </w:p>
          <w:p w:rsidR="007342A1" w:rsidRDefault="007342A1" w:rsidP="00D035C2">
            <w:pPr>
              <w:pStyle w:val="Title"/>
            </w:pPr>
            <w:r>
              <w:t>Australian agricultural emissions projections</w:t>
            </w:r>
          </w:p>
          <w:p w:rsidR="007342A1" w:rsidRPr="0089278E" w:rsidRDefault="00301CA5" w:rsidP="00D035C2">
            <w:pPr>
              <w:pStyle w:val="Subtitle"/>
            </w:pPr>
            <w:r>
              <w:t>T</w:t>
            </w:r>
            <w:r w:rsidR="004D66B9">
              <w:t>o 2050</w:t>
            </w:r>
          </w:p>
        </w:tc>
      </w:tr>
      <w:tr w:rsidR="007342A1" w:rsidTr="00D035C2">
        <w:trPr>
          <w:cantSplit/>
          <w:trHeight w:hRule="exact" w:val="3640"/>
        </w:trPr>
        <w:tc>
          <w:tcPr>
            <w:tcW w:w="4984" w:type="dxa"/>
          </w:tcPr>
          <w:p w:rsidR="007342A1" w:rsidRDefault="007342A1" w:rsidP="00D035C2">
            <w:pPr>
              <w:pStyle w:val="Chart"/>
            </w:pPr>
          </w:p>
        </w:tc>
        <w:tc>
          <w:tcPr>
            <w:tcW w:w="2954" w:type="dxa"/>
          </w:tcPr>
          <w:p w:rsidR="007342A1" w:rsidRDefault="007342A1" w:rsidP="00D035C2">
            <w:pPr>
              <w:pStyle w:val="BodyText"/>
            </w:pPr>
          </w:p>
        </w:tc>
      </w:tr>
      <w:tr w:rsidR="007342A1" w:rsidTr="00D035C2">
        <w:trPr>
          <w:cantSplit/>
          <w:trHeight w:val="4224"/>
        </w:trPr>
        <w:tc>
          <w:tcPr>
            <w:tcW w:w="7938" w:type="dxa"/>
            <w:gridSpan w:val="2"/>
          </w:tcPr>
          <w:p w:rsidR="007342A1" w:rsidRDefault="007342A1" w:rsidP="00D035C2">
            <w:pPr>
              <w:pStyle w:val="Client"/>
              <w:spacing w:before="280"/>
            </w:pPr>
            <w:r w:rsidRPr="001647E4">
              <w:t>Prepared for</w:t>
            </w:r>
          </w:p>
          <w:p w:rsidR="007342A1" w:rsidRDefault="007342A1" w:rsidP="00D035C2">
            <w:pPr>
              <w:pStyle w:val="Client"/>
            </w:pPr>
            <w:r>
              <w:t>Department of Industry, Innovation, Climate Change, Science, Research and Tertiary Education</w:t>
            </w:r>
          </w:p>
          <w:p w:rsidR="007342A1" w:rsidRPr="009E7DDD" w:rsidRDefault="009C507C" w:rsidP="00D035C2">
            <w:pPr>
              <w:pStyle w:val="Date"/>
            </w:pPr>
            <w:r>
              <w:rPr>
                <w:rFonts w:eastAsiaTheme="minorEastAsia" w:hint="eastAsia"/>
                <w:lang w:eastAsia="zh-CN"/>
              </w:rPr>
              <w:t>Octobe</w:t>
            </w:r>
            <w:r w:rsidR="00AE54B3">
              <w:t>r</w:t>
            </w:r>
            <w:r w:rsidR="007342A1">
              <w:t xml:space="preserve"> 2013</w:t>
            </w:r>
          </w:p>
        </w:tc>
      </w:tr>
      <w:tr w:rsidR="007342A1" w:rsidTr="00D035C2">
        <w:trPr>
          <w:cantSplit/>
          <w:trHeight w:val="419"/>
        </w:trPr>
        <w:tc>
          <w:tcPr>
            <w:tcW w:w="7938" w:type="dxa"/>
            <w:gridSpan w:val="2"/>
          </w:tcPr>
          <w:p w:rsidR="007342A1" w:rsidRPr="00F062BF" w:rsidRDefault="007342A1" w:rsidP="00D035C2">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rsidR="007342A1" w:rsidRPr="00DA40B0" w:rsidRDefault="007342A1" w:rsidP="00D035C2">
            <w:pPr>
              <w:pStyle w:val="BodyText"/>
              <w:spacing w:before="0"/>
              <w:rPr>
                <w:i/>
                <w:color w:val="9B917E" w:themeColor="accent4"/>
                <w:spacing w:val="10"/>
                <w:sz w:val="25"/>
              </w:rPr>
            </w:pPr>
            <w:r w:rsidRPr="00DA40B0">
              <w:rPr>
                <w:i/>
                <w:color w:val="9B917E" w:themeColor="accent4"/>
                <w:spacing w:val="10"/>
                <w:sz w:val="25"/>
              </w:rPr>
              <w:t>www.TheCIE.com.au</w:t>
            </w:r>
          </w:p>
        </w:tc>
      </w:tr>
    </w:tbl>
    <w:p w:rsidR="007342A1" w:rsidRDefault="007342A1" w:rsidP="00D035C2">
      <w:pPr>
        <w:pStyle w:val="BodyText"/>
        <w:spacing w:before="0" w:line="14" w:lineRule="exact"/>
      </w:pPr>
      <w:r>
        <w:rPr>
          <w:noProof/>
        </w:rPr>
        <mc:AlternateContent>
          <mc:Choice Requires="wps">
            <w:drawing>
              <wp:anchor distT="0" distB="0" distL="114300" distR="114300" simplePos="0" relativeHeight="251665408" behindDoc="0" locked="0" layoutInCell="0" allowOverlap="1" wp14:anchorId="6146048B" wp14:editId="5629336B">
                <wp:simplePos x="0" y="0"/>
                <wp:positionH relativeFrom="page">
                  <wp:posOffset>0</wp:posOffset>
                </wp:positionH>
                <wp:positionV relativeFrom="page">
                  <wp:posOffset>10151110</wp:posOffset>
                </wp:positionV>
                <wp:extent cx="7560000" cy="540000"/>
                <wp:effectExtent l="0" t="0" r="3175" b="0"/>
                <wp:wrapNone/>
                <wp:docPr id="12" name="Rectangle 12"/>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799.3pt;width:595.3pt;height: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" o:allowincell="f" fillcolor="white [3212]" stroked="f" strokeweight="2pt">
                <w10:wrap anchorx="page" anchory="page"/>
              </v:rect>
            </w:pict>
          </mc:Fallback>
        </mc:AlternateContent>
      </w:r>
    </w:p>
    <w:p w:rsidR="007342A1" w:rsidRDefault="007342A1" w:rsidP="00D035C2">
      <w:pPr>
        <w:pStyle w:val="BodyText"/>
        <w:pageBreakBefore/>
        <w:spacing w:before="0"/>
        <w:sectPr w:rsidR="007342A1" w:rsidSect="00D035C2">
          <w:headerReference w:type="even" r:id="rId10"/>
          <w:headerReference w:type="default" r:id="rId11"/>
          <w:footerReference w:type="even" r:id="rId12"/>
          <w:footerReference w:type="default" r:id="rId13"/>
          <w:pgSz w:w="11906" w:h="16838" w:code="9"/>
          <w:pgMar w:top="2268" w:right="1701" w:bottom="851" w:left="1928" w:header="680" w:footer="680" w:gutter="0"/>
          <w:cols w:space="708"/>
          <w:docGrid w:linePitch="360"/>
        </w:sectPr>
      </w:pPr>
    </w:p>
    <w:p w:rsidR="007342A1" w:rsidRDefault="007342A1" w:rsidP="00D035C2">
      <w:pPr>
        <w:pStyle w:val="BodyText"/>
        <w:pageBreakBefore/>
        <w:spacing w:before="0"/>
      </w:pPr>
      <w:r>
        <w:lastRenderedPageBreak/>
        <w:t>The Centre for International Economics is a private economic research agency that provides professional, independent and timely analysis of international and domestic events and policies.</w:t>
      </w:r>
    </w:p>
    <w:p w:rsidR="007342A1" w:rsidRDefault="007342A1" w:rsidP="00D035C2">
      <w:pPr>
        <w:pStyle w:val="BodyText"/>
      </w:pPr>
      <w:r>
        <w:t xml:space="preserve">The CIE’s professional </w:t>
      </w:r>
      <w:proofErr w:type="gramStart"/>
      <w:r>
        <w:t>staff arrange</w:t>
      </w:r>
      <w:proofErr w:type="gramEnd"/>
      <w:r>
        <w:t>, undertake and publish commissioned economic research and analysis for industry, corporations, governments, international agencies and individuals.</w:t>
      </w:r>
    </w:p>
    <w:p w:rsidR="007342A1" w:rsidRPr="00511766" w:rsidRDefault="007342A1" w:rsidP="00D035C2">
      <w:pPr>
        <w:pStyle w:val="BodyText"/>
        <w:spacing w:before="1200"/>
      </w:pPr>
      <w:r w:rsidRPr="00511766">
        <w:t xml:space="preserve">© Centre for International Economics </w:t>
      </w:r>
      <w:r w:rsidRPr="00511766">
        <w:fldChar w:fldCharType="begin"/>
      </w:r>
      <w:r w:rsidRPr="00511766">
        <w:instrText xml:space="preserve"> SAVEDATE  \@ "yyyy"  \* MERGEFORMAT </w:instrText>
      </w:r>
      <w:r w:rsidRPr="00511766">
        <w:fldChar w:fldCharType="separate"/>
      </w:r>
      <w:r w:rsidR="00927DCC">
        <w:rPr>
          <w:noProof/>
        </w:rPr>
        <w:t>2013</w:t>
      </w:r>
      <w:r w:rsidRPr="00511766">
        <w:fldChar w:fldCharType="end"/>
      </w:r>
    </w:p>
    <w:p w:rsidR="007342A1" w:rsidRPr="00511766" w:rsidRDefault="007342A1" w:rsidP="00D035C2">
      <w:pPr>
        <w:pStyle w:val="BodyText"/>
        <w:spacing w:before="80"/>
      </w:pPr>
      <w:r w:rsidRPr="00511766">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7342A1" w:rsidTr="00D035C2">
        <w:tc>
          <w:tcPr>
            <w:tcW w:w="3969" w:type="dxa"/>
          </w:tcPr>
          <w:p w:rsidR="007342A1" w:rsidRPr="009E7DDD" w:rsidRDefault="007342A1" w:rsidP="00D035C2">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Canberra</w:t>
            </w:r>
          </w:p>
          <w:p w:rsidR="007342A1" w:rsidRPr="007248CB" w:rsidRDefault="007342A1" w:rsidP="00D035C2">
            <w:pPr>
              <w:pStyle w:val="BodyText"/>
              <w:spacing w:before="0" w:line="260" w:lineRule="atLeast"/>
              <w:rPr>
                <w:sz w:val="19"/>
              </w:rPr>
            </w:pPr>
            <w:r w:rsidRPr="007248CB">
              <w:rPr>
                <w:sz w:val="19"/>
              </w:rPr>
              <w:t>Centre for International Economics</w:t>
            </w:r>
          </w:p>
          <w:p w:rsidR="007342A1" w:rsidRPr="007248CB" w:rsidRDefault="007342A1" w:rsidP="00D035C2">
            <w:pPr>
              <w:pStyle w:val="BodyText"/>
              <w:spacing w:before="0" w:line="260" w:lineRule="atLeast"/>
              <w:rPr>
                <w:sz w:val="19"/>
              </w:rPr>
            </w:pPr>
            <w:r w:rsidRPr="007248CB">
              <w:rPr>
                <w:sz w:val="19"/>
              </w:rPr>
              <w:t>Ground Floor, 11 Lancaster Place</w:t>
            </w:r>
          </w:p>
          <w:p w:rsidR="007342A1" w:rsidRPr="007248CB" w:rsidRDefault="007342A1" w:rsidP="00D035C2">
            <w:pPr>
              <w:pStyle w:val="BodyText"/>
              <w:spacing w:before="0" w:line="260" w:lineRule="atLeast"/>
              <w:rPr>
                <w:sz w:val="19"/>
              </w:rPr>
            </w:pPr>
            <w:r w:rsidRPr="007248CB">
              <w:rPr>
                <w:sz w:val="19"/>
              </w:rPr>
              <w:t>Majura Park</w:t>
            </w:r>
          </w:p>
          <w:p w:rsidR="007342A1" w:rsidRPr="007248CB" w:rsidRDefault="007342A1" w:rsidP="00D035C2">
            <w:pPr>
              <w:pStyle w:val="BodyText"/>
              <w:spacing w:before="0" w:line="260" w:lineRule="atLeast"/>
              <w:rPr>
                <w:sz w:val="19"/>
              </w:rPr>
            </w:pPr>
            <w:r w:rsidRPr="007248CB">
              <w:rPr>
                <w:sz w:val="19"/>
              </w:rPr>
              <w:t>Canberra</w:t>
            </w:r>
            <w:r>
              <w:rPr>
                <w:sz w:val="19"/>
              </w:rPr>
              <w:t> </w:t>
            </w:r>
            <w:r>
              <w:rPr>
                <w:sz w:val="19"/>
              </w:rPr>
              <w:t>ACT</w:t>
            </w:r>
            <w:r>
              <w:rPr>
                <w:sz w:val="19"/>
              </w:rPr>
              <w:t> </w:t>
            </w:r>
            <w:r w:rsidRPr="007248CB">
              <w:rPr>
                <w:sz w:val="19"/>
              </w:rPr>
              <w:t>2609</w:t>
            </w:r>
          </w:p>
          <w:p w:rsidR="007342A1" w:rsidRPr="007248CB" w:rsidRDefault="007342A1" w:rsidP="00D035C2">
            <w:pPr>
              <w:pStyle w:val="BodyText"/>
              <w:spacing w:before="100" w:line="260" w:lineRule="atLeast"/>
              <w:rPr>
                <w:sz w:val="19"/>
              </w:rPr>
            </w:pPr>
            <w:r w:rsidRPr="007248CB">
              <w:rPr>
                <w:sz w:val="19"/>
              </w:rPr>
              <w:t>GPO Box 2203</w:t>
            </w:r>
          </w:p>
          <w:p w:rsidR="007342A1" w:rsidRPr="007248CB" w:rsidRDefault="007342A1" w:rsidP="00D035C2">
            <w:pPr>
              <w:pStyle w:val="BodyText"/>
              <w:spacing w:before="0" w:line="260" w:lineRule="atLeast"/>
              <w:rPr>
                <w:sz w:val="19"/>
              </w:rPr>
            </w:pPr>
            <w:r w:rsidRPr="007248CB">
              <w:rPr>
                <w:sz w:val="19"/>
              </w:rPr>
              <w:t>Canberra</w:t>
            </w:r>
            <w:r>
              <w:rPr>
                <w:sz w:val="19"/>
              </w:rPr>
              <w:t> </w:t>
            </w:r>
            <w:r w:rsidRPr="007248CB">
              <w:rPr>
                <w:sz w:val="19"/>
              </w:rPr>
              <w:t>ACT</w:t>
            </w:r>
            <w:r>
              <w:rPr>
                <w:sz w:val="19"/>
              </w:rPr>
              <w:t> </w:t>
            </w:r>
            <w:r w:rsidRPr="007248CB">
              <w:rPr>
                <w:sz w:val="19"/>
              </w:rPr>
              <w:t>Australia</w:t>
            </w:r>
            <w:r>
              <w:rPr>
                <w:sz w:val="19"/>
              </w:rPr>
              <w:t> </w:t>
            </w:r>
            <w:r w:rsidRPr="007248CB">
              <w:rPr>
                <w:sz w:val="19"/>
              </w:rPr>
              <w:t>2601</w:t>
            </w:r>
          </w:p>
          <w:p w:rsidR="007342A1" w:rsidRPr="007248CB" w:rsidRDefault="007342A1" w:rsidP="00D035C2">
            <w:pPr>
              <w:pStyle w:val="BodyText"/>
              <w:tabs>
                <w:tab w:val="left" w:pos="993"/>
              </w:tabs>
              <w:spacing w:before="100" w:line="260" w:lineRule="atLeast"/>
              <w:rPr>
                <w:sz w:val="19"/>
              </w:rPr>
            </w:pPr>
            <w:r>
              <w:rPr>
                <w:sz w:val="19"/>
              </w:rPr>
              <w:t>Telephone</w:t>
            </w:r>
            <w:r>
              <w:rPr>
                <w:sz w:val="19"/>
              </w:rPr>
              <w:tab/>
            </w:r>
            <w:r w:rsidRPr="007248CB">
              <w:rPr>
                <w:sz w:val="19"/>
              </w:rPr>
              <w:t>+61 2 6245 7800</w:t>
            </w:r>
          </w:p>
          <w:p w:rsidR="007342A1" w:rsidRPr="007248CB" w:rsidRDefault="007342A1" w:rsidP="00D035C2">
            <w:pPr>
              <w:pStyle w:val="BodyText"/>
              <w:tabs>
                <w:tab w:val="left" w:pos="993"/>
              </w:tabs>
              <w:spacing w:before="0" w:line="260" w:lineRule="atLeast"/>
              <w:rPr>
                <w:sz w:val="19"/>
              </w:rPr>
            </w:pPr>
            <w:r w:rsidRPr="007248CB">
              <w:rPr>
                <w:sz w:val="19"/>
              </w:rPr>
              <w:t xml:space="preserve">Facsimile </w:t>
            </w:r>
            <w:r>
              <w:rPr>
                <w:sz w:val="19"/>
              </w:rPr>
              <w:tab/>
            </w:r>
            <w:r w:rsidRPr="007248CB">
              <w:rPr>
                <w:sz w:val="19"/>
              </w:rPr>
              <w:t>+61 2 6245 7888</w:t>
            </w:r>
          </w:p>
          <w:p w:rsidR="007342A1" w:rsidRPr="007248CB" w:rsidRDefault="007342A1" w:rsidP="00D035C2">
            <w:pPr>
              <w:pStyle w:val="BodyText"/>
              <w:tabs>
                <w:tab w:val="left" w:pos="993"/>
              </w:tabs>
              <w:spacing w:before="0" w:line="260" w:lineRule="atLeast"/>
              <w:rPr>
                <w:sz w:val="19"/>
              </w:rPr>
            </w:pPr>
            <w:r w:rsidRPr="007248CB">
              <w:rPr>
                <w:sz w:val="19"/>
              </w:rPr>
              <w:t>Ema</w:t>
            </w:r>
            <w:r>
              <w:rPr>
                <w:sz w:val="19"/>
              </w:rPr>
              <w:t>il</w:t>
            </w:r>
            <w:r>
              <w:rPr>
                <w:sz w:val="19"/>
              </w:rPr>
              <w:tab/>
            </w:r>
            <w:r w:rsidRPr="007248CB">
              <w:rPr>
                <w:sz w:val="19"/>
              </w:rPr>
              <w:t>cie@TheCIE.com.au</w:t>
            </w:r>
          </w:p>
          <w:p w:rsidR="007342A1" w:rsidRDefault="007342A1" w:rsidP="00D035C2">
            <w:pPr>
              <w:pStyle w:val="BodyText"/>
              <w:tabs>
                <w:tab w:val="left" w:pos="993"/>
              </w:tabs>
              <w:spacing w:before="100" w:line="260" w:lineRule="atLeast"/>
              <w:rPr>
                <w:rFonts w:ascii="Franklin Gothic Demi" w:hAnsi="Franklin Gothic Demi"/>
                <w:color w:val="9B917E" w:themeColor="accent4"/>
                <w:sz w:val="19"/>
              </w:rPr>
            </w:pPr>
            <w:r>
              <w:rPr>
                <w:sz w:val="19"/>
              </w:rPr>
              <w:t>Website</w:t>
            </w:r>
            <w:r>
              <w:rPr>
                <w:sz w:val="19"/>
              </w:rPr>
              <w:tab/>
            </w:r>
            <w:r w:rsidRPr="007248CB">
              <w:rPr>
                <w:sz w:val="19"/>
              </w:rPr>
              <w:t>www.TheCIE.com.au</w:t>
            </w:r>
          </w:p>
        </w:tc>
        <w:tc>
          <w:tcPr>
            <w:tcW w:w="4077" w:type="dxa"/>
          </w:tcPr>
          <w:p w:rsidR="007342A1" w:rsidRPr="009E7DDD" w:rsidRDefault="007342A1" w:rsidP="00D035C2">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Sydney</w:t>
            </w:r>
          </w:p>
          <w:p w:rsidR="007342A1" w:rsidRPr="007248CB" w:rsidRDefault="007342A1" w:rsidP="00D035C2">
            <w:pPr>
              <w:pStyle w:val="BodyText"/>
              <w:spacing w:before="0" w:line="260" w:lineRule="atLeast"/>
              <w:rPr>
                <w:sz w:val="19"/>
              </w:rPr>
            </w:pPr>
            <w:r w:rsidRPr="007248CB">
              <w:rPr>
                <w:sz w:val="19"/>
              </w:rPr>
              <w:t>Centre for International Economics</w:t>
            </w:r>
          </w:p>
          <w:p w:rsidR="007342A1" w:rsidRPr="007248CB" w:rsidRDefault="007342A1" w:rsidP="00D035C2">
            <w:pPr>
              <w:pStyle w:val="BodyText"/>
              <w:spacing w:before="0" w:line="260" w:lineRule="atLeast"/>
              <w:rPr>
                <w:sz w:val="19"/>
              </w:rPr>
            </w:pPr>
            <w:r w:rsidRPr="007248CB">
              <w:rPr>
                <w:sz w:val="19"/>
              </w:rPr>
              <w:t xml:space="preserve">Suite </w:t>
            </w:r>
            <w:r>
              <w:rPr>
                <w:sz w:val="19"/>
              </w:rPr>
              <w:t>1</w:t>
            </w:r>
            <w:r w:rsidRPr="007248CB">
              <w:rPr>
                <w:sz w:val="19"/>
              </w:rPr>
              <w:t>, Level 16, 1 York Street</w:t>
            </w:r>
          </w:p>
          <w:p w:rsidR="007342A1" w:rsidRDefault="007342A1" w:rsidP="00D035C2">
            <w:pPr>
              <w:pStyle w:val="BodyText"/>
              <w:spacing w:before="0" w:line="260" w:lineRule="atLeast"/>
              <w:rPr>
                <w:sz w:val="19"/>
              </w:rPr>
            </w:pPr>
            <w:r w:rsidRPr="007248CB">
              <w:rPr>
                <w:sz w:val="19"/>
              </w:rPr>
              <w:t>Sydney</w:t>
            </w:r>
            <w:r w:rsidRPr="007248CB">
              <w:rPr>
                <w:rFonts w:cs="Book Antiqua"/>
                <w:sz w:val="19"/>
              </w:rPr>
              <w:t> </w:t>
            </w:r>
            <w:r w:rsidRPr="007248CB">
              <w:rPr>
                <w:sz w:val="19"/>
              </w:rPr>
              <w:t>NSW 2000</w:t>
            </w:r>
          </w:p>
          <w:p w:rsidR="007342A1" w:rsidRPr="007248CB" w:rsidRDefault="007342A1" w:rsidP="00D035C2">
            <w:pPr>
              <w:pStyle w:val="BodyText"/>
              <w:spacing w:before="0" w:line="260" w:lineRule="atLeast"/>
              <w:rPr>
                <w:sz w:val="19"/>
              </w:rPr>
            </w:pPr>
          </w:p>
          <w:p w:rsidR="007342A1" w:rsidRPr="007248CB" w:rsidRDefault="007342A1" w:rsidP="00D035C2">
            <w:pPr>
              <w:pStyle w:val="BodyText"/>
              <w:spacing w:before="100" w:line="260" w:lineRule="atLeast"/>
              <w:rPr>
                <w:sz w:val="19"/>
              </w:rPr>
            </w:pPr>
            <w:r w:rsidRPr="007248CB">
              <w:rPr>
                <w:sz w:val="19"/>
              </w:rPr>
              <w:t>GPO Box 397</w:t>
            </w:r>
          </w:p>
          <w:p w:rsidR="007342A1" w:rsidRPr="007248CB" w:rsidRDefault="007342A1" w:rsidP="00D035C2">
            <w:pPr>
              <w:pStyle w:val="BodyText"/>
              <w:spacing w:before="0" w:line="260" w:lineRule="atLeast"/>
              <w:rPr>
                <w:sz w:val="19"/>
              </w:rPr>
            </w:pPr>
            <w:r w:rsidRPr="007248CB">
              <w:rPr>
                <w:sz w:val="19"/>
              </w:rPr>
              <w:t>Sydney</w:t>
            </w:r>
            <w:r w:rsidRPr="007248CB">
              <w:rPr>
                <w:rFonts w:cs="Book Antiqua"/>
                <w:sz w:val="19"/>
              </w:rPr>
              <w:t> </w:t>
            </w:r>
            <w:r w:rsidRPr="007248CB">
              <w:rPr>
                <w:sz w:val="19"/>
              </w:rPr>
              <w:t>NSW</w:t>
            </w:r>
            <w:r w:rsidRPr="007248CB">
              <w:rPr>
                <w:rFonts w:cs="Book Antiqua"/>
                <w:sz w:val="19"/>
              </w:rPr>
              <w:t> </w:t>
            </w:r>
            <w:r w:rsidRPr="007248CB">
              <w:rPr>
                <w:sz w:val="19"/>
              </w:rPr>
              <w:t>Australia</w:t>
            </w:r>
            <w:r w:rsidRPr="007248CB">
              <w:rPr>
                <w:rFonts w:cs="Book Antiqua"/>
                <w:sz w:val="19"/>
              </w:rPr>
              <w:t> </w:t>
            </w:r>
            <w:r w:rsidRPr="007248CB">
              <w:rPr>
                <w:sz w:val="19"/>
              </w:rPr>
              <w:t>2001</w:t>
            </w:r>
          </w:p>
          <w:p w:rsidR="007342A1" w:rsidRPr="007248CB" w:rsidRDefault="007342A1" w:rsidP="00D035C2">
            <w:pPr>
              <w:pStyle w:val="BodyText"/>
              <w:tabs>
                <w:tab w:val="left" w:pos="-1077"/>
                <w:tab w:val="left" w:pos="993"/>
              </w:tabs>
              <w:spacing w:before="100" w:line="260" w:lineRule="atLeast"/>
              <w:rPr>
                <w:sz w:val="19"/>
              </w:rPr>
            </w:pPr>
            <w:r>
              <w:rPr>
                <w:sz w:val="19"/>
              </w:rPr>
              <w:t>Telephone</w:t>
            </w:r>
            <w:r>
              <w:rPr>
                <w:sz w:val="19"/>
              </w:rPr>
              <w:tab/>
            </w:r>
            <w:r w:rsidRPr="007248CB">
              <w:rPr>
                <w:sz w:val="19"/>
              </w:rPr>
              <w:t>+61 2 9250 0800</w:t>
            </w:r>
          </w:p>
          <w:p w:rsidR="007342A1" w:rsidRPr="007248CB" w:rsidRDefault="007342A1" w:rsidP="00D035C2">
            <w:pPr>
              <w:pStyle w:val="BodyText"/>
              <w:tabs>
                <w:tab w:val="left" w:pos="-1077"/>
                <w:tab w:val="left" w:pos="993"/>
              </w:tabs>
              <w:spacing w:before="0" w:line="260" w:lineRule="atLeast"/>
              <w:rPr>
                <w:sz w:val="19"/>
              </w:rPr>
            </w:pPr>
            <w:r w:rsidRPr="007248CB">
              <w:rPr>
                <w:sz w:val="19"/>
              </w:rPr>
              <w:t>Facsimile</w:t>
            </w:r>
            <w:r w:rsidRPr="007248CB">
              <w:rPr>
                <w:sz w:val="19"/>
              </w:rPr>
              <w:tab/>
              <w:t>+61 2 9250 0888</w:t>
            </w:r>
          </w:p>
          <w:p w:rsidR="007342A1" w:rsidRPr="007248CB" w:rsidRDefault="007342A1" w:rsidP="00D035C2">
            <w:pPr>
              <w:pStyle w:val="BodyText"/>
              <w:tabs>
                <w:tab w:val="left" w:pos="-1077"/>
                <w:tab w:val="left" w:pos="993"/>
              </w:tabs>
              <w:spacing w:before="0" w:line="260" w:lineRule="atLeast"/>
              <w:rPr>
                <w:sz w:val="19"/>
              </w:rPr>
            </w:pPr>
            <w:r w:rsidRPr="007248CB">
              <w:rPr>
                <w:sz w:val="19"/>
              </w:rPr>
              <w:t>Email</w:t>
            </w:r>
            <w:r w:rsidRPr="007248CB">
              <w:rPr>
                <w:sz w:val="19"/>
              </w:rPr>
              <w:tab/>
            </w:r>
            <w:hyperlink r:id="rId14" w:history="1">
              <w:r w:rsidRPr="007248CB">
                <w:rPr>
                  <w:sz w:val="19"/>
                </w:rPr>
                <w:t>ciesyd@TheCIE.com.au</w:t>
              </w:r>
            </w:hyperlink>
          </w:p>
          <w:p w:rsidR="007342A1" w:rsidRDefault="007342A1" w:rsidP="00D035C2">
            <w:pPr>
              <w:pStyle w:val="BodyText"/>
              <w:tabs>
                <w:tab w:val="left" w:pos="993"/>
              </w:tabs>
              <w:spacing w:before="100" w:line="260" w:lineRule="atLeast"/>
              <w:rPr>
                <w:rFonts w:ascii="Franklin Gothic Demi" w:hAnsi="Franklin Gothic Demi"/>
                <w:color w:val="9B917E" w:themeColor="accent4"/>
                <w:sz w:val="19"/>
              </w:rPr>
            </w:pPr>
            <w:r w:rsidRPr="007248CB">
              <w:rPr>
                <w:sz w:val="19"/>
              </w:rPr>
              <w:t>Website</w:t>
            </w:r>
            <w:r w:rsidRPr="007248CB">
              <w:rPr>
                <w:sz w:val="19"/>
              </w:rPr>
              <w:tab/>
            </w:r>
            <w:hyperlink r:id="rId15" w:history="1">
              <w:r w:rsidRPr="007248CB">
                <w:rPr>
                  <w:sz w:val="19"/>
                </w:rPr>
                <w:t>www.TheCIE.com.au</w:t>
              </w:r>
            </w:hyperlink>
          </w:p>
        </w:tc>
      </w:tr>
    </w:tbl>
    <w:p w:rsidR="007342A1" w:rsidRPr="00375BA6" w:rsidRDefault="007342A1" w:rsidP="00BA4EEA">
      <w:pPr>
        <w:pStyle w:val="BodyText"/>
        <w:spacing w:before="3360"/>
        <w:rPr>
          <w:rFonts w:ascii="Franklin Gothic Demi" w:hAnsi="Franklin Gothic Demi"/>
          <w:caps/>
          <w:spacing w:val="10"/>
          <w:szCs w:val="22"/>
        </w:rPr>
      </w:pPr>
      <w:r w:rsidRPr="00375BA6">
        <w:rPr>
          <w:rFonts w:ascii="Franklin Gothic Demi" w:hAnsi="Franklin Gothic Demi"/>
          <w:caps/>
          <w:spacing w:val="10"/>
          <w:szCs w:val="22"/>
        </w:rPr>
        <w:t>Disclaimer</w:t>
      </w:r>
    </w:p>
    <w:p w:rsidR="007342A1" w:rsidRDefault="007342A1" w:rsidP="00D035C2">
      <w:pPr>
        <w:pStyle w:val="BodyText"/>
        <w:tabs>
          <w:tab w:val="left" w:pos="-1077"/>
          <w:tab w:val="left" w:pos="1418"/>
          <w:tab w:val="left" w:pos="2155"/>
        </w:tabs>
        <w:spacing w:before="100"/>
      </w:pPr>
      <w:r>
        <w:t>While the CIE endeavours to provide reliable analysis and believes the material it presents is accurate</w:t>
      </w:r>
      <w:r w:rsidR="00BA4EEA">
        <w:t xml:space="preserve"> and based on a diligent application of the methodologies described, </w:t>
      </w:r>
      <w:r>
        <w:t>it will not be liable for any party acting on such information.</w:t>
      </w:r>
      <w:r w:rsidR="00BA4EEA">
        <w:t xml:space="preserve"> </w:t>
      </w:r>
      <w:r w:rsidR="00BA4EEA" w:rsidRPr="00BA4EEA">
        <w:t>Projections of the future involve inherent uncertainties, and projections by themselves cannot suggest any particular course of action. Readers should not rely on the projections presented here for particular actions or decisions.</w:t>
      </w:r>
    </w:p>
    <w:p w:rsidR="007342A1" w:rsidRDefault="007342A1" w:rsidP="00D035C2">
      <w:pPr>
        <w:pStyle w:val="Contents"/>
        <w:sectPr w:rsidR="007342A1" w:rsidSect="00D035C2">
          <w:headerReference w:type="even" r:id="rId16"/>
          <w:footerReference w:type="even" r:id="rId17"/>
          <w:pgSz w:w="11906" w:h="16838" w:code="9"/>
          <w:pgMar w:top="2268" w:right="1701" w:bottom="1418" w:left="2268" w:header="680" w:footer="680" w:gutter="0"/>
          <w:cols w:space="708"/>
          <w:docGrid w:linePitch="360"/>
        </w:sectPr>
      </w:pPr>
    </w:p>
    <w:p w:rsidR="007342A1" w:rsidRDefault="007342A1" w:rsidP="00D035C2">
      <w:pPr>
        <w:pStyle w:val="Contents"/>
      </w:pPr>
      <w:r>
        <w:lastRenderedPageBreak/>
        <w:t>Contents</w:t>
      </w:r>
    </w:p>
    <w:p w:rsidR="00055C66" w:rsidRDefault="007342A1">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1,1,Heading 2,2,Heading </w:instrText>
      </w:r>
      <w:r>
        <w:instrText>6</w:instrText>
      </w:r>
      <w:r w:rsidRPr="00876B40">
        <w:instrText xml:space="preserve">,1,Part Title,4" </w:instrText>
      </w:r>
      <w:r w:rsidRPr="00876B40">
        <w:fldChar w:fldCharType="separate"/>
      </w:r>
      <w:r w:rsidR="00055C66">
        <w:rPr>
          <w:noProof/>
        </w:rPr>
        <w:t>1</w:t>
      </w:r>
      <w:r w:rsidR="00055C66">
        <w:rPr>
          <w:rFonts w:asciiTheme="minorHAnsi" w:eastAsiaTheme="minorEastAsia" w:hAnsiTheme="minorHAnsi" w:cstheme="minorBidi"/>
          <w:noProof/>
          <w:sz w:val="22"/>
          <w:szCs w:val="22"/>
        </w:rPr>
        <w:tab/>
      </w:r>
      <w:r w:rsidR="00055C66">
        <w:rPr>
          <w:noProof/>
        </w:rPr>
        <w:t>Introduction</w:t>
      </w:r>
      <w:r w:rsidR="00055C66">
        <w:rPr>
          <w:noProof/>
        </w:rPr>
        <w:tab/>
      </w:r>
      <w:r w:rsidR="00055C66">
        <w:rPr>
          <w:noProof/>
        </w:rPr>
        <w:fldChar w:fldCharType="begin"/>
      </w:r>
      <w:r w:rsidR="00055C66">
        <w:rPr>
          <w:noProof/>
        </w:rPr>
        <w:instrText xml:space="preserve"> PAGEREF _Toc366052845 \h </w:instrText>
      </w:r>
      <w:r w:rsidR="00055C66">
        <w:rPr>
          <w:noProof/>
        </w:rPr>
      </w:r>
      <w:r w:rsidR="00055C66">
        <w:rPr>
          <w:noProof/>
        </w:rPr>
        <w:fldChar w:fldCharType="separate"/>
      </w:r>
      <w:r w:rsidR="00927DCC">
        <w:rPr>
          <w:noProof/>
        </w:rPr>
        <w:t>1</w:t>
      </w:r>
      <w:r w:rsidR="00055C66">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This report</w:t>
      </w:r>
      <w:r>
        <w:rPr>
          <w:noProof/>
        </w:rPr>
        <w:tab/>
      </w:r>
      <w:r>
        <w:rPr>
          <w:noProof/>
        </w:rPr>
        <w:fldChar w:fldCharType="begin"/>
      </w:r>
      <w:r>
        <w:rPr>
          <w:noProof/>
        </w:rPr>
        <w:instrText xml:space="preserve"> PAGEREF _Toc366052846 \h </w:instrText>
      </w:r>
      <w:r>
        <w:rPr>
          <w:noProof/>
        </w:rPr>
      </w:r>
      <w:r>
        <w:rPr>
          <w:noProof/>
        </w:rPr>
        <w:fldChar w:fldCharType="separate"/>
      </w:r>
      <w:r w:rsidR="00927DCC">
        <w:rPr>
          <w:noProof/>
        </w:rPr>
        <w:t>1</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Core projections methodology</w:t>
      </w:r>
      <w:r>
        <w:rPr>
          <w:noProof/>
        </w:rPr>
        <w:tab/>
      </w:r>
      <w:r>
        <w:rPr>
          <w:noProof/>
        </w:rPr>
        <w:fldChar w:fldCharType="begin"/>
      </w:r>
      <w:r>
        <w:rPr>
          <w:noProof/>
        </w:rPr>
        <w:instrText xml:space="preserve"> PAGEREF _Toc366052847 \h </w:instrText>
      </w:r>
      <w:r>
        <w:rPr>
          <w:noProof/>
        </w:rPr>
      </w:r>
      <w:r>
        <w:rPr>
          <w:noProof/>
        </w:rPr>
        <w:fldChar w:fldCharType="separate"/>
      </w:r>
      <w:r w:rsidR="00927DCC">
        <w:rPr>
          <w:noProof/>
        </w:rPr>
        <w:t>1</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The models</w:t>
      </w:r>
      <w:r>
        <w:rPr>
          <w:noProof/>
        </w:rPr>
        <w:tab/>
      </w:r>
      <w:r>
        <w:rPr>
          <w:noProof/>
        </w:rPr>
        <w:fldChar w:fldCharType="begin"/>
      </w:r>
      <w:r>
        <w:rPr>
          <w:noProof/>
        </w:rPr>
        <w:instrText xml:space="preserve"> PAGEREF _Toc366052848 \h </w:instrText>
      </w:r>
      <w:r>
        <w:rPr>
          <w:noProof/>
        </w:rPr>
      </w:r>
      <w:r>
        <w:rPr>
          <w:noProof/>
        </w:rPr>
        <w:fldChar w:fldCharType="separate"/>
      </w:r>
      <w:r w:rsidR="00927DCC">
        <w:rPr>
          <w:noProof/>
        </w:rPr>
        <w:t>3</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Key projection results</w:t>
      </w:r>
      <w:r>
        <w:rPr>
          <w:noProof/>
        </w:rPr>
        <w:tab/>
      </w:r>
      <w:r>
        <w:rPr>
          <w:noProof/>
        </w:rPr>
        <w:fldChar w:fldCharType="begin"/>
      </w:r>
      <w:r>
        <w:rPr>
          <w:noProof/>
        </w:rPr>
        <w:instrText xml:space="preserve"> PAGEREF _Toc366052849 \h </w:instrText>
      </w:r>
      <w:r>
        <w:rPr>
          <w:noProof/>
        </w:rPr>
      </w:r>
      <w:r>
        <w:rPr>
          <w:noProof/>
        </w:rPr>
        <w:fldChar w:fldCharType="separate"/>
      </w:r>
      <w:r w:rsidR="00927DCC">
        <w:rPr>
          <w:noProof/>
        </w:rPr>
        <w:t>5</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Emissions projections in the context of history</w:t>
      </w:r>
      <w:r>
        <w:rPr>
          <w:noProof/>
        </w:rPr>
        <w:tab/>
      </w:r>
      <w:r>
        <w:rPr>
          <w:noProof/>
        </w:rPr>
        <w:fldChar w:fldCharType="begin"/>
      </w:r>
      <w:r>
        <w:rPr>
          <w:noProof/>
        </w:rPr>
        <w:instrText xml:space="preserve"> PAGEREF _Toc366052850 \h </w:instrText>
      </w:r>
      <w:r>
        <w:rPr>
          <w:noProof/>
        </w:rPr>
      </w:r>
      <w:r>
        <w:rPr>
          <w:noProof/>
        </w:rPr>
        <w:fldChar w:fldCharType="separate"/>
      </w:r>
      <w:r w:rsidR="00927DCC">
        <w:rPr>
          <w:noProof/>
        </w:rPr>
        <w:t>5</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The broad composition of agricultural emissions</w:t>
      </w:r>
      <w:r>
        <w:rPr>
          <w:noProof/>
        </w:rPr>
        <w:tab/>
      </w:r>
      <w:r>
        <w:rPr>
          <w:noProof/>
        </w:rPr>
        <w:fldChar w:fldCharType="begin"/>
      </w:r>
      <w:r>
        <w:rPr>
          <w:noProof/>
        </w:rPr>
        <w:instrText xml:space="preserve"> PAGEREF _Toc366052851 \h </w:instrText>
      </w:r>
      <w:r>
        <w:rPr>
          <w:noProof/>
        </w:rPr>
      </w:r>
      <w:r>
        <w:rPr>
          <w:noProof/>
        </w:rPr>
        <w:fldChar w:fldCharType="separate"/>
      </w:r>
      <w:r w:rsidR="00927DCC">
        <w:rPr>
          <w:noProof/>
        </w:rPr>
        <w:t>6</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Projections in the context of recent history</w:t>
      </w:r>
      <w:r>
        <w:rPr>
          <w:noProof/>
        </w:rPr>
        <w:tab/>
      </w:r>
      <w:r>
        <w:rPr>
          <w:noProof/>
        </w:rPr>
        <w:fldChar w:fldCharType="begin"/>
      </w:r>
      <w:r>
        <w:rPr>
          <w:noProof/>
        </w:rPr>
        <w:instrText xml:space="preserve"> PAGEREF _Toc366052852 \h </w:instrText>
      </w:r>
      <w:r>
        <w:rPr>
          <w:noProof/>
        </w:rPr>
      </w:r>
      <w:r>
        <w:rPr>
          <w:noProof/>
        </w:rPr>
        <w:fldChar w:fldCharType="separate"/>
      </w:r>
      <w:r w:rsidR="00927DCC">
        <w:rPr>
          <w:noProof/>
        </w:rPr>
        <w:t>10</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Sector and subsector emissions projections</w:t>
      </w:r>
      <w:r>
        <w:rPr>
          <w:noProof/>
        </w:rPr>
        <w:tab/>
      </w:r>
      <w:r>
        <w:rPr>
          <w:noProof/>
        </w:rPr>
        <w:fldChar w:fldCharType="begin"/>
      </w:r>
      <w:r>
        <w:rPr>
          <w:noProof/>
        </w:rPr>
        <w:instrText xml:space="preserve"> PAGEREF _Toc366052853 \h </w:instrText>
      </w:r>
      <w:r>
        <w:rPr>
          <w:noProof/>
        </w:rPr>
      </w:r>
      <w:r>
        <w:rPr>
          <w:noProof/>
        </w:rPr>
        <w:fldChar w:fldCharType="separate"/>
      </w:r>
      <w:r w:rsidR="00927DCC">
        <w:rPr>
          <w:noProof/>
        </w:rPr>
        <w:t>13</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Overview of emissions by sector and subsector</w:t>
      </w:r>
      <w:r>
        <w:rPr>
          <w:noProof/>
        </w:rPr>
        <w:tab/>
      </w:r>
      <w:r>
        <w:rPr>
          <w:noProof/>
        </w:rPr>
        <w:fldChar w:fldCharType="begin"/>
      </w:r>
      <w:r>
        <w:rPr>
          <w:noProof/>
        </w:rPr>
        <w:instrText xml:space="preserve"> PAGEREF _Toc366052854 \h </w:instrText>
      </w:r>
      <w:r>
        <w:rPr>
          <w:noProof/>
        </w:rPr>
      </w:r>
      <w:r>
        <w:rPr>
          <w:noProof/>
        </w:rPr>
        <w:fldChar w:fldCharType="separate"/>
      </w:r>
      <w:r w:rsidR="00927DCC">
        <w:rPr>
          <w:noProof/>
        </w:rPr>
        <w:t>13</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Livestock related emissions</w:t>
      </w:r>
      <w:r>
        <w:rPr>
          <w:noProof/>
        </w:rPr>
        <w:tab/>
      </w:r>
      <w:r>
        <w:rPr>
          <w:noProof/>
        </w:rPr>
        <w:fldChar w:fldCharType="begin"/>
      </w:r>
      <w:r>
        <w:rPr>
          <w:noProof/>
        </w:rPr>
        <w:instrText xml:space="preserve"> PAGEREF _Toc366052855 \h </w:instrText>
      </w:r>
      <w:r>
        <w:rPr>
          <w:noProof/>
        </w:rPr>
      </w:r>
      <w:r>
        <w:rPr>
          <w:noProof/>
        </w:rPr>
        <w:fldChar w:fldCharType="separate"/>
      </w:r>
      <w:r w:rsidR="00927DCC">
        <w:rPr>
          <w:noProof/>
        </w:rPr>
        <w:t>15</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Agricultural soils</w:t>
      </w:r>
      <w:r>
        <w:rPr>
          <w:noProof/>
        </w:rPr>
        <w:tab/>
      </w:r>
      <w:r>
        <w:rPr>
          <w:noProof/>
        </w:rPr>
        <w:fldChar w:fldCharType="begin"/>
      </w:r>
      <w:r>
        <w:rPr>
          <w:noProof/>
        </w:rPr>
        <w:instrText xml:space="preserve"> PAGEREF _Toc366052856 \h </w:instrText>
      </w:r>
      <w:r>
        <w:rPr>
          <w:noProof/>
        </w:rPr>
      </w:r>
      <w:r>
        <w:rPr>
          <w:noProof/>
        </w:rPr>
        <w:fldChar w:fldCharType="separate"/>
      </w:r>
      <w:r w:rsidR="00927DCC">
        <w:rPr>
          <w:noProof/>
        </w:rPr>
        <w:t>17</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Crop emissions</w:t>
      </w:r>
      <w:r>
        <w:rPr>
          <w:noProof/>
        </w:rPr>
        <w:tab/>
      </w:r>
      <w:r>
        <w:rPr>
          <w:noProof/>
        </w:rPr>
        <w:fldChar w:fldCharType="begin"/>
      </w:r>
      <w:r>
        <w:rPr>
          <w:noProof/>
        </w:rPr>
        <w:instrText xml:space="preserve"> PAGEREF _Toc366052857 \h </w:instrText>
      </w:r>
      <w:r>
        <w:rPr>
          <w:noProof/>
        </w:rPr>
      </w:r>
      <w:r>
        <w:rPr>
          <w:noProof/>
        </w:rPr>
        <w:fldChar w:fldCharType="separate"/>
      </w:r>
      <w:r w:rsidR="00927DCC">
        <w:rPr>
          <w:noProof/>
        </w:rPr>
        <w:t>17</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Model based results</w:t>
      </w:r>
      <w:r>
        <w:rPr>
          <w:noProof/>
        </w:rPr>
        <w:tab/>
      </w:r>
      <w:r>
        <w:rPr>
          <w:noProof/>
        </w:rPr>
        <w:fldChar w:fldCharType="begin"/>
      </w:r>
      <w:r>
        <w:rPr>
          <w:noProof/>
        </w:rPr>
        <w:instrText xml:space="preserve"> PAGEREF _Toc366052858 \h </w:instrText>
      </w:r>
      <w:r>
        <w:rPr>
          <w:noProof/>
        </w:rPr>
      </w:r>
      <w:r>
        <w:rPr>
          <w:noProof/>
        </w:rPr>
        <w:fldChar w:fldCharType="separate"/>
      </w:r>
      <w:r w:rsidR="00927DCC">
        <w:rPr>
          <w:noProof/>
        </w:rPr>
        <w:t>19</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Meat industries</w:t>
      </w:r>
      <w:r>
        <w:rPr>
          <w:noProof/>
        </w:rPr>
        <w:tab/>
      </w:r>
      <w:r>
        <w:rPr>
          <w:noProof/>
        </w:rPr>
        <w:fldChar w:fldCharType="begin"/>
      </w:r>
      <w:r>
        <w:rPr>
          <w:noProof/>
        </w:rPr>
        <w:instrText xml:space="preserve"> PAGEREF _Toc366052859 \h </w:instrText>
      </w:r>
      <w:r>
        <w:rPr>
          <w:noProof/>
        </w:rPr>
      </w:r>
      <w:r>
        <w:rPr>
          <w:noProof/>
        </w:rPr>
        <w:fldChar w:fldCharType="separate"/>
      </w:r>
      <w:r w:rsidR="00927DCC">
        <w:rPr>
          <w:noProof/>
        </w:rPr>
        <w:t>19</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Dairy industry</w:t>
      </w:r>
      <w:r>
        <w:rPr>
          <w:noProof/>
        </w:rPr>
        <w:tab/>
      </w:r>
      <w:r>
        <w:rPr>
          <w:noProof/>
        </w:rPr>
        <w:fldChar w:fldCharType="begin"/>
      </w:r>
      <w:r>
        <w:rPr>
          <w:noProof/>
        </w:rPr>
        <w:instrText xml:space="preserve"> PAGEREF _Toc366052860 \h </w:instrText>
      </w:r>
      <w:r>
        <w:rPr>
          <w:noProof/>
        </w:rPr>
      </w:r>
      <w:r>
        <w:rPr>
          <w:noProof/>
        </w:rPr>
        <w:fldChar w:fldCharType="separate"/>
      </w:r>
      <w:r w:rsidR="00927DCC">
        <w:rPr>
          <w:noProof/>
        </w:rPr>
        <w:t>24</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Grain industries</w:t>
      </w:r>
      <w:r>
        <w:rPr>
          <w:noProof/>
        </w:rPr>
        <w:tab/>
      </w:r>
      <w:r>
        <w:rPr>
          <w:noProof/>
        </w:rPr>
        <w:fldChar w:fldCharType="begin"/>
      </w:r>
      <w:r>
        <w:rPr>
          <w:noProof/>
        </w:rPr>
        <w:instrText xml:space="preserve"> PAGEREF _Toc366052861 \h </w:instrText>
      </w:r>
      <w:r>
        <w:rPr>
          <w:noProof/>
        </w:rPr>
      </w:r>
      <w:r>
        <w:rPr>
          <w:noProof/>
        </w:rPr>
        <w:fldChar w:fldCharType="separate"/>
      </w:r>
      <w:r w:rsidR="00927DCC">
        <w:rPr>
          <w:noProof/>
        </w:rPr>
        <w:t>25</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Other crops</w:t>
      </w:r>
      <w:r>
        <w:rPr>
          <w:noProof/>
        </w:rPr>
        <w:tab/>
      </w:r>
      <w:r>
        <w:rPr>
          <w:noProof/>
        </w:rPr>
        <w:fldChar w:fldCharType="begin"/>
      </w:r>
      <w:r>
        <w:rPr>
          <w:noProof/>
        </w:rPr>
        <w:instrText xml:space="preserve"> PAGEREF _Toc366052862 \h </w:instrText>
      </w:r>
      <w:r>
        <w:rPr>
          <w:noProof/>
        </w:rPr>
      </w:r>
      <w:r>
        <w:rPr>
          <w:noProof/>
        </w:rPr>
        <w:fldChar w:fldCharType="separate"/>
      </w:r>
      <w:r w:rsidR="00927DCC">
        <w:rPr>
          <w:noProof/>
        </w:rPr>
        <w:t>27</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Fertiliser use</w:t>
      </w:r>
      <w:r>
        <w:rPr>
          <w:noProof/>
        </w:rPr>
        <w:tab/>
      </w:r>
      <w:r>
        <w:rPr>
          <w:noProof/>
        </w:rPr>
        <w:fldChar w:fldCharType="begin"/>
      </w:r>
      <w:r>
        <w:rPr>
          <w:noProof/>
        </w:rPr>
        <w:instrText xml:space="preserve"> PAGEREF _Toc366052863 \h </w:instrText>
      </w:r>
      <w:r>
        <w:rPr>
          <w:noProof/>
        </w:rPr>
      </w:r>
      <w:r>
        <w:rPr>
          <w:noProof/>
        </w:rPr>
        <w:fldChar w:fldCharType="separate"/>
      </w:r>
      <w:r w:rsidR="00927DCC">
        <w:rPr>
          <w:noProof/>
        </w:rPr>
        <w:t>31</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Sensitivity analysis</w:t>
      </w:r>
      <w:r>
        <w:rPr>
          <w:noProof/>
        </w:rPr>
        <w:tab/>
      </w:r>
      <w:r>
        <w:rPr>
          <w:noProof/>
        </w:rPr>
        <w:fldChar w:fldCharType="begin"/>
      </w:r>
      <w:r>
        <w:rPr>
          <w:noProof/>
        </w:rPr>
        <w:instrText xml:space="preserve"> PAGEREF _Toc366052864 \h </w:instrText>
      </w:r>
      <w:r>
        <w:rPr>
          <w:noProof/>
        </w:rPr>
      </w:r>
      <w:r>
        <w:rPr>
          <w:noProof/>
        </w:rPr>
        <w:fldChar w:fldCharType="separate"/>
      </w:r>
      <w:r w:rsidR="00927DCC">
        <w:rPr>
          <w:noProof/>
        </w:rPr>
        <w:t>32</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rPr>
        <w:t>Variables for sensitivity analysis</w:t>
      </w:r>
      <w:r>
        <w:rPr>
          <w:noProof/>
        </w:rPr>
        <w:tab/>
      </w:r>
      <w:r>
        <w:rPr>
          <w:noProof/>
        </w:rPr>
        <w:fldChar w:fldCharType="begin"/>
      </w:r>
      <w:r>
        <w:rPr>
          <w:noProof/>
        </w:rPr>
        <w:instrText xml:space="preserve"> PAGEREF _Toc366052865 \h </w:instrText>
      </w:r>
      <w:r>
        <w:rPr>
          <w:noProof/>
        </w:rPr>
      </w:r>
      <w:r>
        <w:rPr>
          <w:noProof/>
        </w:rPr>
        <w:fldChar w:fldCharType="separate"/>
      </w:r>
      <w:r w:rsidR="00927DCC">
        <w:rPr>
          <w:noProof/>
        </w:rPr>
        <w:t>32</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lang w:eastAsia="en-US"/>
        </w:rPr>
        <w:t>Sensitivity analysis results</w:t>
      </w:r>
      <w:r>
        <w:rPr>
          <w:noProof/>
        </w:rPr>
        <w:tab/>
      </w:r>
      <w:r>
        <w:rPr>
          <w:noProof/>
        </w:rPr>
        <w:fldChar w:fldCharType="begin"/>
      </w:r>
      <w:r>
        <w:rPr>
          <w:noProof/>
        </w:rPr>
        <w:instrText xml:space="preserve"> PAGEREF _Toc366052866 \h </w:instrText>
      </w:r>
      <w:r>
        <w:rPr>
          <w:noProof/>
        </w:rPr>
      </w:r>
      <w:r>
        <w:rPr>
          <w:noProof/>
        </w:rPr>
        <w:fldChar w:fldCharType="separate"/>
      </w:r>
      <w:r w:rsidR="00927DCC">
        <w:rPr>
          <w:noProof/>
        </w:rPr>
        <w:t>33</w:t>
      </w:r>
      <w:r>
        <w:rPr>
          <w:noProof/>
        </w:rPr>
        <w:fldChar w:fldCharType="end"/>
      </w:r>
    </w:p>
    <w:p w:rsidR="00055C66" w:rsidRDefault="00055C66">
      <w:pPr>
        <w:pStyle w:val="TOC2"/>
        <w:rPr>
          <w:rFonts w:asciiTheme="minorHAnsi" w:eastAsiaTheme="minorEastAsia" w:hAnsiTheme="minorHAnsi" w:cstheme="minorBidi"/>
          <w:noProof/>
          <w:sz w:val="22"/>
          <w:szCs w:val="22"/>
        </w:rPr>
      </w:pPr>
      <w:r>
        <w:rPr>
          <w:noProof/>
          <w:lang w:eastAsia="en-US"/>
        </w:rPr>
        <w:t>Land clearing in Queensland</w:t>
      </w:r>
      <w:r>
        <w:rPr>
          <w:noProof/>
        </w:rPr>
        <w:tab/>
      </w:r>
      <w:r>
        <w:rPr>
          <w:noProof/>
        </w:rPr>
        <w:fldChar w:fldCharType="begin"/>
      </w:r>
      <w:r>
        <w:rPr>
          <w:noProof/>
        </w:rPr>
        <w:instrText xml:space="preserve"> PAGEREF _Toc366052867 \h </w:instrText>
      </w:r>
      <w:r>
        <w:rPr>
          <w:noProof/>
        </w:rPr>
      </w:r>
      <w:r>
        <w:rPr>
          <w:noProof/>
        </w:rPr>
        <w:fldChar w:fldCharType="separate"/>
      </w:r>
      <w:r w:rsidR="00927DCC">
        <w:rPr>
          <w:noProof/>
        </w:rPr>
        <w:t>36</w:t>
      </w:r>
      <w:r>
        <w:rPr>
          <w:noProof/>
        </w:rPr>
        <w:fldChar w:fldCharType="end"/>
      </w:r>
    </w:p>
    <w:p w:rsidR="00055C66" w:rsidRDefault="00055C66">
      <w:pPr>
        <w:pStyle w:val="TOC4"/>
        <w:rPr>
          <w:rFonts w:asciiTheme="minorHAnsi" w:eastAsiaTheme="minorEastAsia" w:hAnsiTheme="minorHAnsi" w:cstheme="minorBidi"/>
          <w:caps w:val="0"/>
          <w:noProof/>
          <w:color w:val="auto"/>
          <w:spacing w:val="0"/>
          <w:szCs w:val="22"/>
        </w:rPr>
      </w:pPr>
      <w:r>
        <w:rPr>
          <w:noProof/>
        </w:rPr>
        <w:t>Appendixes</w:t>
      </w:r>
      <w:r>
        <w:rPr>
          <w:noProof/>
        </w:rPr>
        <w:tab/>
      </w:r>
      <w:r>
        <w:rPr>
          <w:noProof/>
        </w:rPr>
        <w:fldChar w:fldCharType="begin"/>
      </w:r>
      <w:r>
        <w:rPr>
          <w:noProof/>
        </w:rPr>
        <w:instrText xml:space="preserve"> PAGEREF _Toc366052868 \h </w:instrText>
      </w:r>
      <w:r>
        <w:rPr>
          <w:noProof/>
        </w:rPr>
      </w:r>
      <w:r>
        <w:rPr>
          <w:noProof/>
        </w:rPr>
        <w:fldChar w:fldCharType="separate"/>
      </w:r>
      <w:r w:rsidR="00927DCC">
        <w:rPr>
          <w:noProof/>
        </w:rPr>
        <w:t>37</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The models</w:t>
      </w:r>
      <w:r>
        <w:rPr>
          <w:noProof/>
        </w:rPr>
        <w:tab/>
      </w:r>
      <w:r>
        <w:rPr>
          <w:noProof/>
        </w:rPr>
        <w:fldChar w:fldCharType="begin"/>
      </w:r>
      <w:r>
        <w:rPr>
          <w:noProof/>
        </w:rPr>
        <w:instrText xml:space="preserve"> PAGEREF _Toc366052869 \h </w:instrText>
      </w:r>
      <w:r>
        <w:rPr>
          <w:noProof/>
        </w:rPr>
      </w:r>
      <w:r>
        <w:rPr>
          <w:noProof/>
        </w:rPr>
        <w:fldChar w:fldCharType="separate"/>
      </w:r>
      <w:r w:rsidR="00927DCC">
        <w:rPr>
          <w:noProof/>
        </w:rPr>
        <w:t>39</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Key assumptions for the central reference case</w:t>
      </w:r>
      <w:r>
        <w:rPr>
          <w:noProof/>
        </w:rPr>
        <w:tab/>
      </w:r>
      <w:r>
        <w:rPr>
          <w:noProof/>
        </w:rPr>
        <w:fldChar w:fldCharType="begin"/>
      </w:r>
      <w:r>
        <w:rPr>
          <w:noProof/>
        </w:rPr>
        <w:instrText xml:space="preserve"> PAGEREF _Toc366052870 \h </w:instrText>
      </w:r>
      <w:r>
        <w:rPr>
          <w:noProof/>
        </w:rPr>
      </w:r>
      <w:r>
        <w:rPr>
          <w:noProof/>
        </w:rPr>
        <w:fldChar w:fldCharType="separate"/>
      </w:r>
      <w:r w:rsidR="00927DCC">
        <w:rPr>
          <w:noProof/>
        </w:rPr>
        <w:t>44</w:t>
      </w:r>
      <w:r>
        <w:rPr>
          <w:noProof/>
        </w:rPr>
        <w:fldChar w:fldCharType="end"/>
      </w:r>
    </w:p>
    <w:p w:rsidR="00055C66" w:rsidRDefault="00055C66">
      <w:pPr>
        <w:pStyle w:val="TOC1"/>
        <w:rPr>
          <w:rFonts w:asciiTheme="minorHAnsi" w:eastAsiaTheme="minorEastAsia" w:hAnsiTheme="minorHAnsi" w:cstheme="minorBidi"/>
          <w:noProof/>
          <w:sz w:val="22"/>
          <w:szCs w:val="22"/>
        </w:rPr>
      </w:pPr>
      <w:r>
        <w:rPr>
          <w:noProof/>
        </w:rPr>
        <w:t>C</w:t>
      </w:r>
      <w:r>
        <w:rPr>
          <w:rFonts w:asciiTheme="minorHAnsi" w:eastAsiaTheme="minorEastAsia" w:hAnsiTheme="minorHAnsi" w:cstheme="minorBidi"/>
          <w:noProof/>
          <w:sz w:val="22"/>
          <w:szCs w:val="22"/>
        </w:rPr>
        <w:tab/>
      </w:r>
      <w:r>
        <w:rPr>
          <w:noProof/>
        </w:rPr>
        <w:t>Sensitivity analysis</w:t>
      </w:r>
      <w:r>
        <w:rPr>
          <w:noProof/>
        </w:rPr>
        <w:tab/>
      </w:r>
      <w:r>
        <w:rPr>
          <w:noProof/>
        </w:rPr>
        <w:fldChar w:fldCharType="begin"/>
      </w:r>
      <w:r>
        <w:rPr>
          <w:noProof/>
        </w:rPr>
        <w:instrText xml:space="preserve"> PAGEREF _Toc366052871 \h </w:instrText>
      </w:r>
      <w:r>
        <w:rPr>
          <w:noProof/>
        </w:rPr>
      </w:r>
      <w:r>
        <w:rPr>
          <w:noProof/>
        </w:rPr>
        <w:fldChar w:fldCharType="separate"/>
      </w:r>
      <w:r w:rsidR="00927DCC">
        <w:rPr>
          <w:noProof/>
        </w:rPr>
        <w:t>48</w:t>
      </w:r>
      <w:r>
        <w:rPr>
          <w:noProof/>
        </w:rPr>
        <w:fldChar w:fldCharType="end"/>
      </w:r>
    </w:p>
    <w:p w:rsidR="007342A1" w:rsidRPr="002B76B3" w:rsidRDefault="007342A1" w:rsidP="00D035C2">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rsidR="00055C66" w:rsidRDefault="007342A1">
      <w:pPr>
        <w:pStyle w:val="TableofFigures"/>
        <w:rPr>
          <w:rFonts w:eastAsiaTheme="minorEastAsia" w:cstheme="minorBidi"/>
          <w:noProof/>
          <w:sz w:val="22"/>
          <w:szCs w:val="22"/>
        </w:rPr>
      </w:pPr>
      <w:r>
        <w:fldChar w:fldCharType="begin"/>
      </w:r>
      <w:r>
        <w:instrText xml:space="preserve"> TOC \t "Caption" \c </w:instrText>
      </w:r>
      <w:r>
        <w:fldChar w:fldCharType="separate"/>
      </w:r>
      <w:r w:rsidR="00055C66">
        <w:rPr>
          <w:noProof/>
        </w:rPr>
        <w:t>2.1</w:t>
      </w:r>
      <w:r w:rsidR="00055C66">
        <w:rPr>
          <w:rFonts w:eastAsiaTheme="minorEastAsia" w:cstheme="minorBidi"/>
          <w:noProof/>
          <w:sz w:val="22"/>
          <w:szCs w:val="22"/>
        </w:rPr>
        <w:tab/>
      </w:r>
      <w:r w:rsidR="00055C66">
        <w:rPr>
          <w:noProof/>
        </w:rPr>
        <w:t>Total agricultural emissions (excluding prescribed burning of savannas): 1990 to 2050</w:t>
      </w:r>
      <w:r w:rsidR="00055C66">
        <w:rPr>
          <w:noProof/>
        </w:rPr>
        <w:tab/>
      </w:r>
      <w:r w:rsidR="00055C66">
        <w:rPr>
          <w:noProof/>
        </w:rPr>
        <w:fldChar w:fldCharType="begin"/>
      </w:r>
      <w:r w:rsidR="00055C66">
        <w:rPr>
          <w:noProof/>
        </w:rPr>
        <w:instrText xml:space="preserve"> PAGEREF _Toc366052872 \h </w:instrText>
      </w:r>
      <w:r w:rsidR="00055C66">
        <w:rPr>
          <w:noProof/>
        </w:rPr>
      </w:r>
      <w:r w:rsidR="00055C66">
        <w:rPr>
          <w:noProof/>
        </w:rPr>
        <w:fldChar w:fldCharType="separate"/>
      </w:r>
      <w:r w:rsidR="00927DCC">
        <w:rPr>
          <w:noProof/>
        </w:rPr>
        <w:t>5</w:t>
      </w:r>
      <w:r w:rsidR="00055C66">
        <w:rPr>
          <w:noProof/>
        </w:rPr>
        <w:fldChar w:fldCharType="end"/>
      </w:r>
    </w:p>
    <w:p w:rsidR="00055C66" w:rsidRDefault="00055C66">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Emissions by broad sector 1990 to 2050</w:t>
      </w:r>
      <w:r>
        <w:rPr>
          <w:noProof/>
        </w:rPr>
        <w:tab/>
      </w:r>
      <w:r>
        <w:rPr>
          <w:noProof/>
        </w:rPr>
        <w:fldChar w:fldCharType="begin"/>
      </w:r>
      <w:r>
        <w:rPr>
          <w:noProof/>
        </w:rPr>
        <w:instrText xml:space="preserve"> PAGEREF _Toc366052873 \h </w:instrText>
      </w:r>
      <w:r>
        <w:rPr>
          <w:noProof/>
        </w:rPr>
      </w:r>
      <w:r>
        <w:rPr>
          <w:noProof/>
        </w:rPr>
        <w:fldChar w:fldCharType="separate"/>
      </w:r>
      <w:r w:rsidR="00927DCC">
        <w:rPr>
          <w:noProof/>
        </w:rPr>
        <w:t>6</w:t>
      </w:r>
      <w:r>
        <w:rPr>
          <w:noProof/>
        </w:rPr>
        <w:fldChar w:fldCharType="end"/>
      </w:r>
    </w:p>
    <w:p w:rsidR="00055C66" w:rsidRDefault="00055C66">
      <w:pPr>
        <w:pStyle w:val="TableofFigures"/>
        <w:rPr>
          <w:rFonts w:eastAsiaTheme="minorEastAsia" w:cstheme="minorBidi"/>
          <w:noProof/>
          <w:sz w:val="22"/>
          <w:szCs w:val="22"/>
        </w:rPr>
      </w:pPr>
      <w:r>
        <w:rPr>
          <w:noProof/>
        </w:rPr>
        <w:lastRenderedPageBreak/>
        <w:t>2.3</w:t>
      </w:r>
      <w:r>
        <w:rPr>
          <w:rFonts w:eastAsiaTheme="minorEastAsia" w:cstheme="minorBidi"/>
          <w:noProof/>
          <w:sz w:val="22"/>
          <w:szCs w:val="22"/>
        </w:rPr>
        <w:tab/>
      </w:r>
      <w:r>
        <w:rPr>
          <w:noProof/>
        </w:rPr>
        <w:t>Emissions by broad sector</w:t>
      </w:r>
      <w:r>
        <w:rPr>
          <w:noProof/>
        </w:rPr>
        <w:tab/>
      </w:r>
      <w:r>
        <w:rPr>
          <w:noProof/>
        </w:rPr>
        <w:fldChar w:fldCharType="begin"/>
      </w:r>
      <w:r>
        <w:rPr>
          <w:noProof/>
        </w:rPr>
        <w:instrText xml:space="preserve"> PAGEREF _Toc366052874 \h </w:instrText>
      </w:r>
      <w:r>
        <w:rPr>
          <w:noProof/>
        </w:rPr>
      </w:r>
      <w:r>
        <w:rPr>
          <w:noProof/>
        </w:rPr>
        <w:fldChar w:fldCharType="separate"/>
      </w:r>
      <w:r w:rsidR="00927DCC">
        <w:rPr>
          <w:noProof/>
        </w:rPr>
        <w:t>7</w:t>
      </w:r>
      <w:r>
        <w:rPr>
          <w:noProof/>
        </w:rPr>
        <w:fldChar w:fldCharType="end"/>
      </w:r>
    </w:p>
    <w:p w:rsidR="00055C66" w:rsidRDefault="00055C66">
      <w:pPr>
        <w:pStyle w:val="TableofFigures"/>
        <w:rPr>
          <w:rFonts w:eastAsiaTheme="minorEastAsia" w:cstheme="minorBidi"/>
          <w:noProof/>
          <w:sz w:val="22"/>
          <w:szCs w:val="22"/>
        </w:rPr>
      </w:pPr>
      <w:r>
        <w:rPr>
          <w:noProof/>
        </w:rPr>
        <w:t>2.4</w:t>
      </w:r>
      <w:r>
        <w:rPr>
          <w:rFonts w:eastAsiaTheme="minorEastAsia" w:cstheme="minorBidi"/>
          <w:noProof/>
          <w:sz w:val="22"/>
          <w:szCs w:val="22"/>
        </w:rPr>
        <w:tab/>
      </w:r>
      <w:r>
        <w:rPr>
          <w:noProof/>
        </w:rPr>
        <w:t>Summary of emissions and key drivers</w:t>
      </w:r>
      <w:r>
        <w:rPr>
          <w:noProof/>
        </w:rPr>
        <w:tab/>
      </w:r>
      <w:r>
        <w:rPr>
          <w:noProof/>
        </w:rPr>
        <w:fldChar w:fldCharType="begin"/>
      </w:r>
      <w:r>
        <w:rPr>
          <w:noProof/>
        </w:rPr>
        <w:instrText xml:space="preserve"> PAGEREF _Toc366052875 \h </w:instrText>
      </w:r>
      <w:r>
        <w:rPr>
          <w:noProof/>
        </w:rPr>
      </w:r>
      <w:r>
        <w:rPr>
          <w:noProof/>
        </w:rPr>
        <w:fldChar w:fldCharType="separate"/>
      </w:r>
      <w:r w:rsidR="00927DCC">
        <w:rPr>
          <w:noProof/>
        </w:rPr>
        <w:t>8</w:t>
      </w:r>
      <w:r>
        <w:rPr>
          <w:noProof/>
        </w:rPr>
        <w:fldChar w:fldCharType="end"/>
      </w:r>
    </w:p>
    <w:p w:rsidR="00055C66" w:rsidRDefault="00055C66">
      <w:pPr>
        <w:pStyle w:val="TableofFigures"/>
        <w:rPr>
          <w:rFonts w:eastAsiaTheme="minorEastAsia" w:cstheme="minorBidi"/>
          <w:noProof/>
          <w:sz w:val="22"/>
          <w:szCs w:val="22"/>
        </w:rPr>
      </w:pPr>
      <w:r>
        <w:rPr>
          <w:noProof/>
        </w:rPr>
        <w:t>2.5</w:t>
      </w:r>
      <w:r>
        <w:rPr>
          <w:rFonts w:eastAsiaTheme="minorEastAsia" w:cstheme="minorBidi"/>
          <w:noProof/>
          <w:sz w:val="22"/>
          <w:szCs w:val="22"/>
        </w:rPr>
        <w:tab/>
      </w:r>
      <w:r>
        <w:rPr>
          <w:noProof/>
        </w:rPr>
        <w:t>Projected annual growth rate of agricultural emissions between 2012 and 2030</w:t>
      </w:r>
      <w:r>
        <w:rPr>
          <w:noProof/>
        </w:rPr>
        <w:tab/>
      </w:r>
      <w:r>
        <w:rPr>
          <w:noProof/>
        </w:rPr>
        <w:fldChar w:fldCharType="begin"/>
      </w:r>
      <w:r>
        <w:rPr>
          <w:noProof/>
        </w:rPr>
        <w:instrText xml:space="preserve"> PAGEREF _Toc366052876 \h </w:instrText>
      </w:r>
      <w:r>
        <w:rPr>
          <w:noProof/>
        </w:rPr>
      </w:r>
      <w:r>
        <w:rPr>
          <w:noProof/>
        </w:rPr>
        <w:fldChar w:fldCharType="separate"/>
      </w:r>
      <w:r w:rsidR="00927DCC">
        <w:rPr>
          <w:noProof/>
        </w:rPr>
        <w:t>9</w:t>
      </w:r>
      <w:r>
        <w:rPr>
          <w:noProof/>
        </w:rPr>
        <w:fldChar w:fldCharType="end"/>
      </w:r>
    </w:p>
    <w:p w:rsidR="00055C66" w:rsidRDefault="00055C66">
      <w:pPr>
        <w:pStyle w:val="TableofFigures"/>
        <w:rPr>
          <w:rFonts w:eastAsiaTheme="minorEastAsia" w:cstheme="minorBidi"/>
          <w:noProof/>
          <w:sz w:val="22"/>
          <w:szCs w:val="22"/>
        </w:rPr>
      </w:pPr>
      <w:r>
        <w:rPr>
          <w:noProof/>
        </w:rPr>
        <w:t>3.1</w:t>
      </w:r>
      <w:r>
        <w:rPr>
          <w:rFonts w:eastAsiaTheme="minorEastAsia" w:cstheme="minorBidi"/>
          <w:noProof/>
          <w:sz w:val="22"/>
          <w:szCs w:val="22"/>
        </w:rPr>
        <w:tab/>
      </w:r>
      <w:r>
        <w:rPr>
          <w:noProof/>
        </w:rPr>
        <w:t>Agricultural emissions by sector and subsector</w:t>
      </w:r>
      <w:r>
        <w:rPr>
          <w:noProof/>
        </w:rPr>
        <w:tab/>
      </w:r>
      <w:r>
        <w:rPr>
          <w:noProof/>
        </w:rPr>
        <w:fldChar w:fldCharType="begin"/>
      </w:r>
      <w:r>
        <w:rPr>
          <w:noProof/>
        </w:rPr>
        <w:instrText xml:space="preserve"> PAGEREF _Toc366052877 \h </w:instrText>
      </w:r>
      <w:r>
        <w:rPr>
          <w:noProof/>
        </w:rPr>
      </w:r>
      <w:r>
        <w:rPr>
          <w:noProof/>
        </w:rPr>
        <w:fldChar w:fldCharType="separate"/>
      </w:r>
      <w:r w:rsidR="00927DCC">
        <w:rPr>
          <w:noProof/>
        </w:rPr>
        <w:t>14</w:t>
      </w:r>
      <w:r>
        <w:rPr>
          <w:noProof/>
        </w:rPr>
        <w:fldChar w:fldCharType="end"/>
      </w:r>
    </w:p>
    <w:p w:rsidR="00055C66" w:rsidRDefault="00055C66">
      <w:pPr>
        <w:pStyle w:val="TableofFigures"/>
        <w:rPr>
          <w:rFonts w:eastAsiaTheme="minorEastAsia" w:cstheme="minorBidi"/>
          <w:noProof/>
          <w:sz w:val="22"/>
          <w:szCs w:val="22"/>
        </w:rPr>
      </w:pPr>
      <w:r>
        <w:rPr>
          <w:noProof/>
        </w:rPr>
        <w:t>3.2</w:t>
      </w:r>
      <w:r>
        <w:rPr>
          <w:rFonts w:eastAsiaTheme="minorEastAsia" w:cstheme="minorBidi"/>
          <w:noProof/>
          <w:sz w:val="22"/>
          <w:szCs w:val="22"/>
        </w:rPr>
        <w:tab/>
      </w:r>
      <w:r>
        <w:rPr>
          <w:noProof/>
        </w:rPr>
        <w:t>Livestock emissions</w:t>
      </w:r>
      <w:r>
        <w:rPr>
          <w:noProof/>
        </w:rPr>
        <w:tab/>
      </w:r>
      <w:r>
        <w:rPr>
          <w:noProof/>
        </w:rPr>
        <w:fldChar w:fldCharType="begin"/>
      </w:r>
      <w:r>
        <w:rPr>
          <w:noProof/>
        </w:rPr>
        <w:instrText xml:space="preserve"> PAGEREF _Toc366052878 \h </w:instrText>
      </w:r>
      <w:r>
        <w:rPr>
          <w:noProof/>
        </w:rPr>
      </w:r>
      <w:r>
        <w:rPr>
          <w:noProof/>
        </w:rPr>
        <w:fldChar w:fldCharType="separate"/>
      </w:r>
      <w:r w:rsidR="00927DCC">
        <w:rPr>
          <w:noProof/>
        </w:rPr>
        <w:t>15</w:t>
      </w:r>
      <w:r>
        <w:rPr>
          <w:noProof/>
        </w:rPr>
        <w:fldChar w:fldCharType="end"/>
      </w:r>
    </w:p>
    <w:p w:rsidR="00055C66" w:rsidRDefault="00055C66">
      <w:pPr>
        <w:pStyle w:val="TableofFigures"/>
        <w:rPr>
          <w:rFonts w:eastAsiaTheme="minorEastAsia" w:cstheme="minorBidi"/>
          <w:noProof/>
          <w:sz w:val="22"/>
          <w:szCs w:val="22"/>
        </w:rPr>
      </w:pPr>
      <w:r>
        <w:rPr>
          <w:noProof/>
        </w:rPr>
        <w:t>3.3</w:t>
      </w:r>
      <w:r>
        <w:rPr>
          <w:rFonts w:eastAsiaTheme="minorEastAsia" w:cstheme="minorBidi"/>
          <w:noProof/>
          <w:sz w:val="22"/>
          <w:szCs w:val="22"/>
        </w:rPr>
        <w:tab/>
      </w:r>
      <w:r>
        <w:rPr>
          <w:noProof/>
        </w:rPr>
        <w:t>Enteric fermentation</w:t>
      </w:r>
      <w:r>
        <w:rPr>
          <w:noProof/>
        </w:rPr>
        <w:tab/>
      </w:r>
      <w:r>
        <w:rPr>
          <w:noProof/>
        </w:rPr>
        <w:fldChar w:fldCharType="begin"/>
      </w:r>
      <w:r>
        <w:rPr>
          <w:noProof/>
        </w:rPr>
        <w:instrText xml:space="preserve"> PAGEREF _Toc366052879 \h </w:instrText>
      </w:r>
      <w:r>
        <w:rPr>
          <w:noProof/>
        </w:rPr>
      </w:r>
      <w:r>
        <w:rPr>
          <w:noProof/>
        </w:rPr>
        <w:fldChar w:fldCharType="separate"/>
      </w:r>
      <w:r w:rsidR="00927DCC">
        <w:rPr>
          <w:noProof/>
        </w:rPr>
        <w:t>16</w:t>
      </w:r>
      <w:r>
        <w:rPr>
          <w:noProof/>
        </w:rPr>
        <w:fldChar w:fldCharType="end"/>
      </w:r>
    </w:p>
    <w:p w:rsidR="00055C66" w:rsidRDefault="00055C66">
      <w:pPr>
        <w:pStyle w:val="TableofFigures"/>
        <w:rPr>
          <w:rFonts w:eastAsiaTheme="minorEastAsia" w:cstheme="minorBidi"/>
          <w:noProof/>
          <w:sz w:val="22"/>
          <w:szCs w:val="22"/>
        </w:rPr>
      </w:pPr>
      <w:r>
        <w:rPr>
          <w:noProof/>
        </w:rPr>
        <w:t>3.4</w:t>
      </w:r>
      <w:r>
        <w:rPr>
          <w:rFonts w:eastAsiaTheme="minorEastAsia" w:cstheme="minorBidi"/>
          <w:noProof/>
          <w:sz w:val="22"/>
          <w:szCs w:val="22"/>
        </w:rPr>
        <w:tab/>
      </w:r>
      <w:r>
        <w:rPr>
          <w:noProof/>
        </w:rPr>
        <w:t>Manure Management</w:t>
      </w:r>
      <w:r>
        <w:rPr>
          <w:noProof/>
        </w:rPr>
        <w:tab/>
      </w:r>
      <w:r>
        <w:rPr>
          <w:noProof/>
        </w:rPr>
        <w:fldChar w:fldCharType="begin"/>
      </w:r>
      <w:r>
        <w:rPr>
          <w:noProof/>
        </w:rPr>
        <w:instrText xml:space="preserve"> PAGEREF _Toc366052880 \h </w:instrText>
      </w:r>
      <w:r>
        <w:rPr>
          <w:noProof/>
        </w:rPr>
      </w:r>
      <w:r>
        <w:rPr>
          <w:noProof/>
        </w:rPr>
        <w:fldChar w:fldCharType="separate"/>
      </w:r>
      <w:r w:rsidR="00927DCC">
        <w:rPr>
          <w:noProof/>
        </w:rPr>
        <w:t>17</w:t>
      </w:r>
      <w:r>
        <w:rPr>
          <w:noProof/>
        </w:rPr>
        <w:fldChar w:fldCharType="end"/>
      </w:r>
    </w:p>
    <w:p w:rsidR="00055C66" w:rsidRDefault="00055C66">
      <w:pPr>
        <w:pStyle w:val="TableofFigures"/>
        <w:rPr>
          <w:rFonts w:eastAsiaTheme="minorEastAsia" w:cstheme="minorBidi"/>
          <w:noProof/>
          <w:sz w:val="22"/>
          <w:szCs w:val="22"/>
        </w:rPr>
      </w:pPr>
      <w:r>
        <w:rPr>
          <w:noProof/>
        </w:rPr>
        <w:t>3.5</w:t>
      </w:r>
      <w:r>
        <w:rPr>
          <w:rFonts w:eastAsiaTheme="minorEastAsia" w:cstheme="minorBidi"/>
          <w:noProof/>
          <w:sz w:val="22"/>
          <w:szCs w:val="22"/>
        </w:rPr>
        <w:tab/>
      </w:r>
      <w:r>
        <w:rPr>
          <w:noProof/>
        </w:rPr>
        <w:t>Agricultural soils</w:t>
      </w:r>
      <w:r>
        <w:rPr>
          <w:noProof/>
        </w:rPr>
        <w:tab/>
      </w:r>
      <w:r>
        <w:rPr>
          <w:noProof/>
        </w:rPr>
        <w:fldChar w:fldCharType="begin"/>
      </w:r>
      <w:r>
        <w:rPr>
          <w:noProof/>
        </w:rPr>
        <w:instrText xml:space="preserve"> PAGEREF _Toc366052881 \h </w:instrText>
      </w:r>
      <w:r>
        <w:rPr>
          <w:noProof/>
        </w:rPr>
      </w:r>
      <w:r>
        <w:rPr>
          <w:noProof/>
        </w:rPr>
        <w:fldChar w:fldCharType="separate"/>
      </w:r>
      <w:r w:rsidR="00927DCC">
        <w:rPr>
          <w:noProof/>
        </w:rPr>
        <w:t>17</w:t>
      </w:r>
      <w:r>
        <w:rPr>
          <w:noProof/>
        </w:rPr>
        <w:fldChar w:fldCharType="end"/>
      </w:r>
    </w:p>
    <w:p w:rsidR="00055C66" w:rsidRDefault="00055C66">
      <w:pPr>
        <w:pStyle w:val="TableofFigures"/>
        <w:rPr>
          <w:rFonts w:eastAsiaTheme="minorEastAsia" w:cstheme="minorBidi"/>
          <w:noProof/>
          <w:sz w:val="22"/>
          <w:szCs w:val="22"/>
        </w:rPr>
      </w:pPr>
      <w:r>
        <w:rPr>
          <w:noProof/>
        </w:rPr>
        <w:t>3.6</w:t>
      </w:r>
      <w:r>
        <w:rPr>
          <w:rFonts w:eastAsiaTheme="minorEastAsia" w:cstheme="minorBidi"/>
          <w:noProof/>
          <w:sz w:val="22"/>
          <w:szCs w:val="22"/>
        </w:rPr>
        <w:tab/>
      </w:r>
      <w:r>
        <w:rPr>
          <w:noProof/>
        </w:rPr>
        <w:t>Crop emissions</w:t>
      </w:r>
      <w:r>
        <w:rPr>
          <w:noProof/>
        </w:rPr>
        <w:tab/>
      </w:r>
      <w:r>
        <w:rPr>
          <w:noProof/>
        </w:rPr>
        <w:fldChar w:fldCharType="begin"/>
      </w:r>
      <w:r>
        <w:rPr>
          <w:noProof/>
        </w:rPr>
        <w:instrText xml:space="preserve"> PAGEREF _Toc366052882 \h </w:instrText>
      </w:r>
      <w:r>
        <w:rPr>
          <w:noProof/>
        </w:rPr>
      </w:r>
      <w:r>
        <w:rPr>
          <w:noProof/>
        </w:rPr>
        <w:fldChar w:fldCharType="separate"/>
      </w:r>
      <w:r w:rsidR="00927DCC">
        <w:rPr>
          <w:noProof/>
        </w:rPr>
        <w:t>18</w:t>
      </w:r>
      <w:r>
        <w:rPr>
          <w:noProof/>
        </w:rPr>
        <w:fldChar w:fldCharType="end"/>
      </w:r>
    </w:p>
    <w:p w:rsidR="00055C66" w:rsidRDefault="00055C66">
      <w:pPr>
        <w:pStyle w:val="TableofFigures"/>
        <w:rPr>
          <w:rFonts w:eastAsiaTheme="minorEastAsia" w:cstheme="minorBidi"/>
          <w:noProof/>
          <w:sz w:val="22"/>
          <w:szCs w:val="22"/>
        </w:rPr>
      </w:pPr>
      <w:r>
        <w:rPr>
          <w:noProof/>
        </w:rPr>
        <w:t>3.7</w:t>
      </w:r>
      <w:r>
        <w:rPr>
          <w:rFonts w:eastAsiaTheme="minorEastAsia" w:cstheme="minorBidi"/>
          <w:noProof/>
          <w:sz w:val="22"/>
          <w:szCs w:val="22"/>
        </w:rPr>
        <w:tab/>
      </w:r>
      <w:r>
        <w:rPr>
          <w:noProof/>
        </w:rPr>
        <w:t>Field burning of agricultural residues</w:t>
      </w:r>
      <w:r>
        <w:rPr>
          <w:noProof/>
        </w:rPr>
        <w:tab/>
      </w:r>
      <w:r>
        <w:rPr>
          <w:noProof/>
        </w:rPr>
        <w:fldChar w:fldCharType="begin"/>
      </w:r>
      <w:r>
        <w:rPr>
          <w:noProof/>
        </w:rPr>
        <w:instrText xml:space="preserve"> PAGEREF _Toc366052883 \h </w:instrText>
      </w:r>
      <w:r>
        <w:rPr>
          <w:noProof/>
        </w:rPr>
      </w:r>
      <w:r>
        <w:rPr>
          <w:noProof/>
        </w:rPr>
        <w:fldChar w:fldCharType="separate"/>
      </w:r>
      <w:r w:rsidR="00927DCC">
        <w:rPr>
          <w:noProof/>
        </w:rPr>
        <w:t>18</w:t>
      </w:r>
      <w:r>
        <w:rPr>
          <w:noProof/>
        </w:rPr>
        <w:fldChar w:fldCharType="end"/>
      </w:r>
    </w:p>
    <w:p w:rsidR="00055C66" w:rsidRDefault="00055C66">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Projected meat production: the central reference case</w:t>
      </w:r>
      <w:r>
        <w:rPr>
          <w:noProof/>
        </w:rPr>
        <w:tab/>
      </w:r>
      <w:r>
        <w:rPr>
          <w:noProof/>
        </w:rPr>
        <w:fldChar w:fldCharType="begin"/>
      </w:r>
      <w:r>
        <w:rPr>
          <w:noProof/>
        </w:rPr>
        <w:instrText xml:space="preserve"> PAGEREF _Toc366052884 \h </w:instrText>
      </w:r>
      <w:r>
        <w:rPr>
          <w:noProof/>
        </w:rPr>
      </w:r>
      <w:r>
        <w:rPr>
          <w:noProof/>
        </w:rPr>
        <w:fldChar w:fldCharType="separate"/>
      </w:r>
      <w:r w:rsidR="00927DCC">
        <w:rPr>
          <w:noProof/>
        </w:rPr>
        <w:t>20</w:t>
      </w:r>
      <w:r>
        <w:rPr>
          <w:noProof/>
        </w:rPr>
        <w:fldChar w:fldCharType="end"/>
      </w:r>
    </w:p>
    <w:p w:rsidR="00055C66" w:rsidRDefault="00055C66">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Projected meat exports: the central reference case</w:t>
      </w:r>
      <w:r>
        <w:rPr>
          <w:noProof/>
        </w:rPr>
        <w:tab/>
      </w:r>
      <w:r>
        <w:rPr>
          <w:noProof/>
        </w:rPr>
        <w:fldChar w:fldCharType="begin"/>
      </w:r>
      <w:r>
        <w:rPr>
          <w:noProof/>
        </w:rPr>
        <w:instrText xml:space="preserve"> PAGEREF _Toc366052885 \h </w:instrText>
      </w:r>
      <w:r>
        <w:rPr>
          <w:noProof/>
        </w:rPr>
      </w:r>
      <w:r>
        <w:rPr>
          <w:noProof/>
        </w:rPr>
        <w:fldChar w:fldCharType="separate"/>
      </w:r>
      <w:r w:rsidR="00927DCC">
        <w:rPr>
          <w:noProof/>
        </w:rPr>
        <w:t>21</w:t>
      </w:r>
      <w:r>
        <w:rPr>
          <w:noProof/>
        </w:rPr>
        <w:fldChar w:fldCharType="end"/>
      </w:r>
    </w:p>
    <w:p w:rsidR="00055C66" w:rsidRDefault="00055C66">
      <w:pPr>
        <w:pStyle w:val="TableofFigures"/>
        <w:rPr>
          <w:rFonts w:eastAsiaTheme="minorEastAsia" w:cstheme="minorBidi"/>
          <w:noProof/>
          <w:sz w:val="22"/>
          <w:szCs w:val="22"/>
        </w:rPr>
      </w:pPr>
      <w:r>
        <w:rPr>
          <w:noProof/>
        </w:rPr>
        <w:t>4.3</w:t>
      </w:r>
      <w:r>
        <w:rPr>
          <w:rFonts w:eastAsiaTheme="minorEastAsia" w:cstheme="minorBidi"/>
          <w:noProof/>
          <w:sz w:val="22"/>
          <w:szCs w:val="22"/>
        </w:rPr>
        <w:tab/>
      </w:r>
      <w:r>
        <w:rPr>
          <w:noProof/>
        </w:rPr>
        <w:t>Projected beef cattle numbers: the central reference case</w:t>
      </w:r>
      <w:r>
        <w:rPr>
          <w:noProof/>
        </w:rPr>
        <w:tab/>
      </w:r>
      <w:r>
        <w:rPr>
          <w:noProof/>
        </w:rPr>
        <w:fldChar w:fldCharType="begin"/>
      </w:r>
      <w:r>
        <w:rPr>
          <w:noProof/>
        </w:rPr>
        <w:instrText xml:space="preserve"> PAGEREF _Toc366052886 \h </w:instrText>
      </w:r>
      <w:r>
        <w:rPr>
          <w:noProof/>
        </w:rPr>
      </w:r>
      <w:r>
        <w:rPr>
          <w:noProof/>
        </w:rPr>
        <w:fldChar w:fldCharType="separate"/>
      </w:r>
      <w:r w:rsidR="00927DCC">
        <w:rPr>
          <w:noProof/>
        </w:rPr>
        <w:t>22</w:t>
      </w:r>
      <w:r>
        <w:rPr>
          <w:noProof/>
        </w:rPr>
        <w:fldChar w:fldCharType="end"/>
      </w:r>
    </w:p>
    <w:p w:rsidR="00055C66" w:rsidRDefault="00055C66">
      <w:pPr>
        <w:pStyle w:val="TableofFigures"/>
        <w:rPr>
          <w:rFonts w:eastAsiaTheme="minorEastAsia" w:cstheme="minorBidi"/>
          <w:noProof/>
          <w:sz w:val="22"/>
          <w:szCs w:val="22"/>
        </w:rPr>
      </w:pPr>
      <w:r>
        <w:rPr>
          <w:noProof/>
        </w:rPr>
        <w:t>4.4</w:t>
      </w:r>
      <w:r>
        <w:rPr>
          <w:rFonts w:eastAsiaTheme="minorEastAsia" w:cstheme="minorBidi"/>
          <w:noProof/>
          <w:sz w:val="22"/>
          <w:szCs w:val="22"/>
        </w:rPr>
        <w:tab/>
      </w:r>
      <w:r>
        <w:rPr>
          <w:noProof/>
        </w:rPr>
        <w:t>Projected sheep, pig and poultry numbers – the central reference case</w:t>
      </w:r>
      <w:r>
        <w:rPr>
          <w:noProof/>
        </w:rPr>
        <w:tab/>
      </w:r>
      <w:r>
        <w:rPr>
          <w:noProof/>
        </w:rPr>
        <w:fldChar w:fldCharType="begin"/>
      </w:r>
      <w:r>
        <w:rPr>
          <w:noProof/>
        </w:rPr>
        <w:instrText xml:space="preserve"> PAGEREF _Toc366052887 \h </w:instrText>
      </w:r>
      <w:r>
        <w:rPr>
          <w:noProof/>
        </w:rPr>
      </w:r>
      <w:r>
        <w:rPr>
          <w:noProof/>
        </w:rPr>
        <w:fldChar w:fldCharType="separate"/>
      </w:r>
      <w:r w:rsidR="00927DCC">
        <w:rPr>
          <w:noProof/>
        </w:rPr>
        <w:t>23</w:t>
      </w:r>
      <w:r>
        <w:rPr>
          <w:noProof/>
        </w:rPr>
        <w:fldChar w:fldCharType="end"/>
      </w:r>
    </w:p>
    <w:p w:rsidR="00055C66" w:rsidRDefault="00055C66">
      <w:pPr>
        <w:pStyle w:val="TableofFigures"/>
        <w:rPr>
          <w:rFonts w:eastAsiaTheme="minorEastAsia" w:cstheme="minorBidi"/>
          <w:noProof/>
          <w:sz w:val="22"/>
          <w:szCs w:val="22"/>
        </w:rPr>
      </w:pPr>
      <w:r>
        <w:rPr>
          <w:noProof/>
        </w:rPr>
        <w:t>4.5</w:t>
      </w:r>
      <w:r>
        <w:rPr>
          <w:rFonts w:eastAsiaTheme="minorEastAsia" w:cstheme="minorBidi"/>
          <w:noProof/>
          <w:sz w:val="22"/>
          <w:szCs w:val="22"/>
        </w:rPr>
        <w:tab/>
      </w:r>
      <w:r>
        <w:rPr>
          <w:noProof/>
        </w:rPr>
        <w:t>Projected milk production by state – the central reference case</w:t>
      </w:r>
      <w:r>
        <w:rPr>
          <w:noProof/>
        </w:rPr>
        <w:tab/>
      </w:r>
      <w:r>
        <w:rPr>
          <w:noProof/>
        </w:rPr>
        <w:fldChar w:fldCharType="begin"/>
      </w:r>
      <w:r>
        <w:rPr>
          <w:noProof/>
        </w:rPr>
        <w:instrText xml:space="preserve"> PAGEREF _Toc366052888 \h </w:instrText>
      </w:r>
      <w:r>
        <w:rPr>
          <w:noProof/>
        </w:rPr>
      </w:r>
      <w:r>
        <w:rPr>
          <w:noProof/>
        </w:rPr>
        <w:fldChar w:fldCharType="separate"/>
      </w:r>
      <w:r w:rsidR="00927DCC">
        <w:rPr>
          <w:noProof/>
        </w:rPr>
        <w:t>24</w:t>
      </w:r>
      <w:r>
        <w:rPr>
          <w:noProof/>
        </w:rPr>
        <w:fldChar w:fldCharType="end"/>
      </w:r>
    </w:p>
    <w:p w:rsidR="00055C66" w:rsidRDefault="00055C66">
      <w:pPr>
        <w:pStyle w:val="TableofFigures"/>
        <w:rPr>
          <w:rFonts w:eastAsiaTheme="minorEastAsia" w:cstheme="minorBidi"/>
          <w:noProof/>
          <w:sz w:val="22"/>
          <w:szCs w:val="22"/>
        </w:rPr>
      </w:pPr>
      <w:r>
        <w:rPr>
          <w:noProof/>
        </w:rPr>
        <w:t>4.6</w:t>
      </w:r>
      <w:r>
        <w:rPr>
          <w:rFonts w:eastAsiaTheme="minorEastAsia" w:cstheme="minorBidi"/>
          <w:noProof/>
          <w:sz w:val="22"/>
          <w:szCs w:val="22"/>
        </w:rPr>
        <w:tab/>
      </w:r>
      <w:r>
        <w:rPr>
          <w:noProof/>
        </w:rPr>
        <w:t>Projected use of Australian milk, index of quantity: central reference case</w:t>
      </w:r>
      <w:r>
        <w:rPr>
          <w:noProof/>
        </w:rPr>
        <w:tab/>
      </w:r>
      <w:r>
        <w:rPr>
          <w:noProof/>
        </w:rPr>
        <w:fldChar w:fldCharType="begin"/>
      </w:r>
      <w:r>
        <w:rPr>
          <w:noProof/>
        </w:rPr>
        <w:instrText xml:space="preserve"> PAGEREF _Toc366052889 \h </w:instrText>
      </w:r>
      <w:r>
        <w:rPr>
          <w:noProof/>
        </w:rPr>
      </w:r>
      <w:r>
        <w:rPr>
          <w:noProof/>
        </w:rPr>
        <w:fldChar w:fldCharType="separate"/>
      </w:r>
      <w:r w:rsidR="00927DCC">
        <w:rPr>
          <w:noProof/>
        </w:rPr>
        <w:t>24</w:t>
      </w:r>
      <w:r>
        <w:rPr>
          <w:noProof/>
        </w:rPr>
        <w:fldChar w:fldCharType="end"/>
      </w:r>
    </w:p>
    <w:p w:rsidR="00055C66" w:rsidRDefault="00055C66">
      <w:pPr>
        <w:pStyle w:val="TableofFigures"/>
        <w:rPr>
          <w:rFonts w:eastAsiaTheme="minorEastAsia" w:cstheme="minorBidi"/>
          <w:noProof/>
          <w:sz w:val="22"/>
          <w:szCs w:val="22"/>
        </w:rPr>
      </w:pPr>
      <w:r>
        <w:rPr>
          <w:noProof/>
        </w:rPr>
        <w:t>4.7</w:t>
      </w:r>
      <w:r>
        <w:rPr>
          <w:rFonts w:eastAsiaTheme="minorEastAsia" w:cstheme="minorBidi"/>
          <w:noProof/>
          <w:sz w:val="22"/>
          <w:szCs w:val="22"/>
        </w:rPr>
        <w:tab/>
      </w:r>
      <w:r>
        <w:rPr>
          <w:noProof/>
        </w:rPr>
        <w:t>Projected dairy cattle numbers by state: the central reference case</w:t>
      </w:r>
      <w:r>
        <w:rPr>
          <w:noProof/>
        </w:rPr>
        <w:tab/>
      </w:r>
      <w:r>
        <w:rPr>
          <w:noProof/>
        </w:rPr>
        <w:fldChar w:fldCharType="begin"/>
      </w:r>
      <w:r>
        <w:rPr>
          <w:noProof/>
        </w:rPr>
        <w:instrText xml:space="preserve"> PAGEREF _Toc366052890 \h </w:instrText>
      </w:r>
      <w:r>
        <w:rPr>
          <w:noProof/>
        </w:rPr>
      </w:r>
      <w:r>
        <w:rPr>
          <w:noProof/>
        </w:rPr>
        <w:fldChar w:fldCharType="separate"/>
      </w:r>
      <w:r w:rsidR="00927DCC">
        <w:rPr>
          <w:noProof/>
        </w:rPr>
        <w:t>25</w:t>
      </w:r>
      <w:r>
        <w:rPr>
          <w:noProof/>
        </w:rPr>
        <w:fldChar w:fldCharType="end"/>
      </w:r>
    </w:p>
    <w:p w:rsidR="00055C66" w:rsidRDefault="00055C66">
      <w:pPr>
        <w:pStyle w:val="TableofFigures"/>
        <w:rPr>
          <w:rFonts w:eastAsiaTheme="minorEastAsia" w:cstheme="minorBidi"/>
          <w:noProof/>
          <w:sz w:val="22"/>
          <w:szCs w:val="22"/>
        </w:rPr>
      </w:pPr>
      <w:r>
        <w:rPr>
          <w:noProof/>
        </w:rPr>
        <w:t>4.8</w:t>
      </w:r>
      <w:r>
        <w:rPr>
          <w:rFonts w:eastAsiaTheme="minorEastAsia" w:cstheme="minorBidi"/>
          <w:noProof/>
          <w:sz w:val="22"/>
          <w:szCs w:val="22"/>
        </w:rPr>
        <w:tab/>
      </w:r>
      <w:r>
        <w:rPr>
          <w:noProof/>
        </w:rPr>
        <w:t>Projected grain production: the central reference case</w:t>
      </w:r>
      <w:r>
        <w:rPr>
          <w:noProof/>
        </w:rPr>
        <w:tab/>
      </w:r>
      <w:r>
        <w:rPr>
          <w:noProof/>
        </w:rPr>
        <w:fldChar w:fldCharType="begin"/>
      </w:r>
      <w:r>
        <w:rPr>
          <w:noProof/>
        </w:rPr>
        <w:instrText xml:space="preserve"> PAGEREF _Toc366052891 \h </w:instrText>
      </w:r>
      <w:r>
        <w:rPr>
          <w:noProof/>
        </w:rPr>
      </w:r>
      <w:r>
        <w:rPr>
          <w:noProof/>
        </w:rPr>
        <w:fldChar w:fldCharType="separate"/>
      </w:r>
      <w:r w:rsidR="00927DCC">
        <w:rPr>
          <w:noProof/>
        </w:rPr>
        <w:t>26</w:t>
      </w:r>
      <w:r>
        <w:rPr>
          <w:noProof/>
        </w:rPr>
        <w:fldChar w:fldCharType="end"/>
      </w:r>
    </w:p>
    <w:p w:rsidR="00055C66" w:rsidRDefault="00055C66">
      <w:pPr>
        <w:pStyle w:val="TableofFigures"/>
        <w:rPr>
          <w:rFonts w:eastAsiaTheme="minorEastAsia" w:cstheme="minorBidi"/>
          <w:noProof/>
          <w:sz w:val="22"/>
          <w:szCs w:val="22"/>
        </w:rPr>
      </w:pPr>
      <w:r>
        <w:rPr>
          <w:noProof/>
        </w:rPr>
        <w:t>4.9</w:t>
      </w:r>
      <w:r>
        <w:rPr>
          <w:rFonts w:eastAsiaTheme="minorEastAsia" w:cstheme="minorBidi"/>
          <w:noProof/>
          <w:sz w:val="22"/>
          <w:szCs w:val="22"/>
        </w:rPr>
        <w:tab/>
      </w:r>
      <w:r>
        <w:rPr>
          <w:noProof/>
        </w:rPr>
        <w:t>Rice cultivation area and yield</w:t>
      </w:r>
      <w:r>
        <w:rPr>
          <w:noProof/>
        </w:rPr>
        <w:tab/>
      </w:r>
      <w:r>
        <w:rPr>
          <w:noProof/>
        </w:rPr>
        <w:fldChar w:fldCharType="begin"/>
      </w:r>
      <w:r>
        <w:rPr>
          <w:noProof/>
        </w:rPr>
        <w:instrText xml:space="preserve"> PAGEREF _Toc366052892 \h </w:instrText>
      </w:r>
      <w:r>
        <w:rPr>
          <w:noProof/>
        </w:rPr>
      </w:r>
      <w:r>
        <w:rPr>
          <w:noProof/>
        </w:rPr>
        <w:fldChar w:fldCharType="separate"/>
      </w:r>
      <w:r w:rsidR="00927DCC">
        <w:rPr>
          <w:noProof/>
        </w:rPr>
        <w:t>27</w:t>
      </w:r>
      <w:r>
        <w:rPr>
          <w:noProof/>
        </w:rPr>
        <w:fldChar w:fldCharType="end"/>
      </w:r>
    </w:p>
    <w:p w:rsidR="00055C66" w:rsidRDefault="00055C66">
      <w:pPr>
        <w:pStyle w:val="TableofFigures"/>
        <w:rPr>
          <w:rFonts w:eastAsiaTheme="minorEastAsia" w:cstheme="minorBidi"/>
          <w:noProof/>
          <w:sz w:val="22"/>
          <w:szCs w:val="22"/>
        </w:rPr>
      </w:pPr>
      <w:r>
        <w:rPr>
          <w:noProof/>
        </w:rPr>
        <w:t>4.10</w:t>
      </w:r>
      <w:r>
        <w:rPr>
          <w:rFonts w:eastAsiaTheme="minorEastAsia" w:cstheme="minorBidi"/>
          <w:noProof/>
          <w:sz w:val="22"/>
          <w:szCs w:val="22"/>
        </w:rPr>
        <w:tab/>
      </w:r>
      <w:r>
        <w:rPr>
          <w:noProof/>
        </w:rPr>
        <w:t>Rice production</w:t>
      </w:r>
      <w:r>
        <w:rPr>
          <w:noProof/>
        </w:rPr>
        <w:tab/>
      </w:r>
      <w:r>
        <w:rPr>
          <w:noProof/>
        </w:rPr>
        <w:fldChar w:fldCharType="begin"/>
      </w:r>
      <w:r>
        <w:rPr>
          <w:noProof/>
        </w:rPr>
        <w:instrText xml:space="preserve"> PAGEREF _Toc366052893 \h </w:instrText>
      </w:r>
      <w:r>
        <w:rPr>
          <w:noProof/>
        </w:rPr>
      </w:r>
      <w:r>
        <w:rPr>
          <w:noProof/>
        </w:rPr>
        <w:fldChar w:fldCharType="separate"/>
      </w:r>
      <w:r w:rsidR="00927DCC">
        <w:rPr>
          <w:noProof/>
        </w:rPr>
        <w:t>28</w:t>
      </w:r>
      <w:r>
        <w:rPr>
          <w:noProof/>
        </w:rPr>
        <w:fldChar w:fldCharType="end"/>
      </w:r>
    </w:p>
    <w:p w:rsidR="00055C66" w:rsidRDefault="00055C66">
      <w:pPr>
        <w:pStyle w:val="TableofFigures"/>
        <w:rPr>
          <w:rFonts w:eastAsiaTheme="minorEastAsia" w:cstheme="minorBidi"/>
          <w:noProof/>
          <w:sz w:val="22"/>
          <w:szCs w:val="22"/>
        </w:rPr>
      </w:pPr>
      <w:r>
        <w:rPr>
          <w:noProof/>
        </w:rPr>
        <w:t>4.11</w:t>
      </w:r>
      <w:r>
        <w:rPr>
          <w:rFonts w:eastAsiaTheme="minorEastAsia" w:cstheme="minorBidi"/>
          <w:noProof/>
          <w:sz w:val="22"/>
          <w:szCs w:val="22"/>
        </w:rPr>
        <w:tab/>
      </w:r>
      <w:r>
        <w:rPr>
          <w:noProof/>
        </w:rPr>
        <w:t>Sugarcane cultivation area and cane yield</w:t>
      </w:r>
      <w:r>
        <w:rPr>
          <w:noProof/>
        </w:rPr>
        <w:tab/>
      </w:r>
      <w:r>
        <w:rPr>
          <w:noProof/>
        </w:rPr>
        <w:fldChar w:fldCharType="begin"/>
      </w:r>
      <w:r>
        <w:rPr>
          <w:noProof/>
        </w:rPr>
        <w:instrText xml:space="preserve"> PAGEREF _Toc366052894 \h </w:instrText>
      </w:r>
      <w:r>
        <w:rPr>
          <w:noProof/>
        </w:rPr>
      </w:r>
      <w:r>
        <w:rPr>
          <w:noProof/>
        </w:rPr>
        <w:fldChar w:fldCharType="separate"/>
      </w:r>
      <w:r w:rsidR="00927DCC">
        <w:rPr>
          <w:noProof/>
        </w:rPr>
        <w:t>29</w:t>
      </w:r>
      <w:r>
        <w:rPr>
          <w:noProof/>
        </w:rPr>
        <w:fldChar w:fldCharType="end"/>
      </w:r>
    </w:p>
    <w:p w:rsidR="00055C66" w:rsidRDefault="00055C66">
      <w:pPr>
        <w:pStyle w:val="TableofFigures"/>
        <w:rPr>
          <w:rFonts w:eastAsiaTheme="minorEastAsia" w:cstheme="minorBidi"/>
          <w:noProof/>
          <w:sz w:val="22"/>
          <w:szCs w:val="22"/>
        </w:rPr>
      </w:pPr>
      <w:r>
        <w:rPr>
          <w:noProof/>
        </w:rPr>
        <w:t>4.12</w:t>
      </w:r>
      <w:r>
        <w:rPr>
          <w:rFonts w:eastAsiaTheme="minorEastAsia" w:cstheme="minorBidi"/>
          <w:noProof/>
          <w:sz w:val="22"/>
          <w:szCs w:val="22"/>
        </w:rPr>
        <w:tab/>
      </w:r>
      <w:r>
        <w:rPr>
          <w:noProof/>
        </w:rPr>
        <w:t>Sugarcane crushed</w:t>
      </w:r>
      <w:r>
        <w:rPr>
          <w:noProof/>
        </w:rPr>
        <w:tab/>
      </w:r>
      <w:r>
        <w:rPr>
          <w:noProof/>
        </w:rPr>
        <w:fldChar w:fldCharType="begin"/>
      </w:r>
      <w:r>
        <w:rPr>
          <w:noProof/>
        </w:rPr>
        <w:instrText xml:space="preserve"> PAGEREF _Toc366052895 \h </w:instrText>
      </w:r>
      <w:r>
        <w:rPr>
          <w:noProof/>
        </w:rPr>
      </w:r>
      <w:r>
        <w:rPr>
          <w:noProof/>
        </w:rPr>
        <w:fldChar w:fldCharType="separate"/>
      </w:r>
      <w:r w:rsidR="00927DCC">
        <w:rPr>
          <w:noProof/>
        </w:rPr>
        <w:t>30</w:t>
      </w:r>
      <w:r>
        <w:rPr>
          <w:noProof/>
        </w:rPr>
        <w:fldChar w:fldCharType="end"/>
      </w:r>
    </w:p>
    <w:p w:rsidR="00055C66" w:rsidRDefault="00055C66">
      <w:pPr>
        <w:pStyle w:val="TableofFigures"/>
        <w:rPr>
          <w:rFonts w:eastAsiaTheme="minorEastAsia" w:cstheme="minorBidi"/>
          <w:noProof/>
          <w:sz w:val="22"/>
          <w:szCs w:val="22"/>
        </w:rPr>
      </w:pPr>
      <w:r>
        <w:rPr>
          <w:noProof/>
        </w:rPr>
        <w:t>4.13</w:t>
      </w:r>
      <w:r>
        <w:rPr>
          <w:rFonts w:eastAsiaTheme="minorEastAsia" w:cstheme="minorBidi"/>
          <w:noProof/>
          <w:sz w:val="22"/>
          <w:szCs w:val="22"/>
        </w:rPr>
        <w:tab/>
      </w:r>
      <w:r>
        <w:rPr>
          <w:noProof/>
        </w:rPr>
        <w:t>Cotton area</w:t>
      </w:r>
      <w:r>
        <w:rPr>
          <w:noProof/>
        </w:rPr>
        <w:tab/>
      </w:r>
      <w:r>
        <w:rPr>
          <w:noProof/>
        </w:rPr>
        <w:fldChar w:fldCharType="begin"/>
      </w:r>
      <w:r>
        <w:rPr>
          <w:noProof/>
        </w:rPr>
        <w:instrText xml:space="preserve"> PAGEREF _Toc366052896 \h </w:instrText>
      </w:r>
      <w:r>
        <w:rPr>
          <w:noProof/>
        </w:rPr>
      </w:r>
      <w:r>
        <w:rPr>
          <w:noProof/>
        </w:rPr>
        <w:fldChar w:fldCharType="separate"/>
      </w:r>
      <w:r w:rsidR="00927DCC">
        <w:rPr>
          <w:noProof/>
        </w:rPr>
        <w:t>30</w:t>
      </w:r>
      <w:r>
        <w:rPr>
          <w:noProof/>
        </w:rPr>
        <w:fldChar w:fldCharType="end"/>
      </w:r>
    </w:p>
    <w:p w:rsidR="00055C66" w:rsidRDefault="00055C66">
      <w:pPr>
        <w:pStyle w:val="TableofFigures"/>
        <w:rPr>
          <w:rFonts w:eastAsiaTheme="minorEastAsia" w:cstheme="minorBidi"/>
          <w:noProof/>
          <w:sz w:val="22"/>
          <w:szCs w:val="22"/>
        </w:rPr>
      </w:pPr>
      <w:r>
        <w:rPr>
          <w:noProof/>
        </w:rPr>
        <w:t>4.14</w:t>
      </w:r>
      <w:r>
        <w:rPr>
          <w:rFonts w:eastAsiaTheme="minorEastAsia" w:cstheme="minorBidi"/>
          <w:noProof/>
          <w:sz w:val="22"/>
          <w:szCs w:val="22"/>
        </w:rPr>
        <w:tab/>
      </w:r>
      <w:r>
        <w:rPr>
          <w:noProof/>
        </w:rPr>
        <w:t>Projected fertiliser use – the central reference case</w:t>
      </w:r>
      <w:r>
        <w:rPr>
          <w:noProof/>
        </w:rPr>
        <w:tab/>
      </w:r>
      <w:r>
        <w:rPr>
          <w:noProof/>
        </w:rPr>
        <w:fldChar w:fldCharType="begin"/>
      </w:r>
      <w:r>
        <w:rPr>
          <w:noProof/>
        </w:rPr>
        <w:instrText xml:space="preserve"> PAGEREF _Toc366052897 \h </w:instrText>
      </w:r>
      <w:r>
        <w:rPr>
          <w:noProof/>
        </w:rPr>
      </w:r>
      <w:r>
        <w:rPr>
          <w:noProof/>
        </w:rPr>
        <w:fldChar w:fldCharType="separate"/>
      </w:r>
      <w:r w:rsidR="00927DCC">
        <w:rPr>
          <w:noProof/>
        </w:rPr>
        <w:t>31</w:t>
      </w:r>
      <w:r>
        <w:rPr>
          <w:noProof/>
        </w:rPr>
        <w:fldChar w:fldCharType="end"/>
      </w:r>
    </w:p>
    <w:p w:rsidR="00055C66" w:rsidRDefault="00055C66">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Individual sensitivity analyses</w:t>
      </w:r>
      <w:r>
        <w:rPr>
          <w:noProof/>
        </w:rPr>
        <w:tab/>
      </w:r>
      <w:r>
        <w:rPr>
          <w:noProof/>
        </w:rPr>
        <w:fldChar w:fldCharType="begin"/>
      </w:r>
      <w:r>
        <w:rPr>
          <w:noProof/>
        </w:rPr>
        <w:instrText xml:space="preserve"> PAGEREF _Toc366052898 \h </w:instrText>
      </w:r>
      <w:r>
        <w:rPr>
          <w:noProof/>
        </w:rPr>
      </w:r>
      <w:r>
        <w:rPr>
          <w:noProof/>
        </w:rPr>
        <w:fldChar w:fldCharType="separate"/>
      </w:r>
      <w:r w:rsidR="00927DCC">
        <w:rPr>
          <w:noProof/>
        </w:rPr>
        <w:t>32</w:t>
      </w:r>
      <w:r>
        <w:rPr>
          <w:noProof/>
        </w:rPr>
        <w:fldChar w:fldCharType="end"/>
      </w:r>
    </w:p>
    <w:p w:rsidR="00055C66" w:rsidRDefault="00055C66">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Impact on emissions – percentage deviation from the central reference case</w:t>
      </w:r>
      <w:r>
        <w:rPr>
          <w:noProof/>
        </w:rPr>
        <w:tab/>
      </w:r>
      <w:r>
        <w:rPr>
          <w:noProof/>
        </w:rPr>
        <w:fldChar w:fldCharType="begin"/>
      </w:r>
      <w:r>
        <w:rPr>
          <w:noProof/>
        </w:rPr>
        <w:instrText xml:space="preserve"> PAGEREF _Toc366052899 \h </w:instrText>
      </w:r>
      <w:r>
        <w:rPr>
          <w:noProof/>
        </w:rPr>
      </w:r>
      <w:r>
        <w:rPr>
          <w:noProof/>
        </w:rPr>
        <w:fldChar w:fldCharType="separate"/>
      </w:r>
      <w:r w:rsidR="00927DCC">
        <w:rPr>
          <w:noProof/>
        </w:rPr>
        <w:t>34</w:t>
      </w:r>
      <w:r>
        <w:rPr>
          <w:noProof/>
        </w:rPr>
        <w:fldChar w:fldCharType="end"/>
      </w:r>
    </w:p>
    <w:p w:rsidR="00055C66" w:rsidRDefault="00055C66">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Impact on emissions of sensitivity analysis</w:t>
      </w:r>
      <w:r>
        <w:rPr>
          <w:noProof/>
        </w:rPr>
        <w:tab/>
      </w:r>
      <w:r>
        <w:rPr>
          <w:noProof/>
        </w:rPr>
        <w:fldChar w:fldCharType="begin"/>
      </w:r>
      <w:r>
        <w:rPr>
          <w:noProof/>
        </w:rPr>
        <w:instrText xml:space="preserve"> PAGEREF _Toc366052900 \h </w:instrText>
      </w:r>
      <w:r>
        <w:rPr>
          <w:noProof/>
        </w:rPr>
      </w:r>
      <w:r>
        <w:rPr>
          <w:noProof/>
        </w:rPr>
        <w:fldChar w:fldCharType="separate"/>
      </w:r>
      <w:r w:rsidR="00927DCC">
        <w:rPr>
          <w:noProof/>
        </w:rPr>
        <w:t>35</w:t>
      </w:r>
      <w:r>
        <w:rPr>
          <w:noProof/>
        </w:rPr>
        <w:fldChar w:fldCharType="end"/>
      </w:r>
    </w:p>
    <w:p w:rsidR="00055C66" w:rsidRDefault="00055C66">
      <w:pPr>
        <w:pStyle w:val="TableofFigures"/>
        <w:rPr>
          <w:rFonts w:eastAsiaTheme="minorEastAsia" w:cstheme="minorBidi"/>
          <w:noProof/>
          <w:sz w:val="22"/>
          <w:szCs w:val="22"/>
        </w:rPr>
      </w:pPr>
      <w:r>
        <w:rPr>
          <w:noProof/>
        </w:rPr>
        <w:t>A.1</w:t>
      </w:r>
      <w:r>
        <w:rPr>
          <w:rFonts w:eastAsiaTheme="minorEastAsia" w:cstheme="minorBidi"/>
          <w:noProof/>
          <w:sz w:val="22"/>
          <w:szCs w:val="22"/>
        </w:rPr>
        <w:tab/>
      </w:r>
      <w:r>
        <w:rPr>
          <w:noProof/>
        </w:rPr>
        <w:t>Summary</w:t>
      </w:r>
      <w:r>
        <w:rPr>
          <w:noProof/>
        </w:rPr>
        <w:tab/>
      </w:r>
      <w:r>
        <w:rPr>
          <w:noProof/>
        </w:rPr>
        <w:fldChar w:fldCharType="begin"/>
      </w:r>
      <w:r>
        <w:rPr>
          <w:noProof/>
        </w:rPr>
        <w:instrText xml:space="preserve"> PAGEREF _Toc366052901 \h </w:instrText>
      </w:r>
      <w:r>
        <w:rPr>
          <w:noProof/>
        </w:rPr>
      </w:r>
      <w:r>
        <w:rPr>
          <w:noProof/>
        </w:rPr>
        <w:fldChar w:fldCharType="separate"/>
      </w:r>
      <w:r w:rsidR="00927DCC">
        <w:rPr>
          <w:noProof/>
        </w:rPr>
        <w:t>39</w:t>
      </w:r>
      <w:r>
        <w:rPr>
          <w:noProof/>
        </w:rPr>
        <w:fldChar w:fldCharType="end"/>
      </w:r>
    </w:p>
    <w:p w:rsidR="00055C66" w:rsidRDefault="00055C66">
      <w:pPr>
        <w:pStyle w:val="TableofFigures"/>
        <w:rPr>
          <w:rFonts w:eastAsiaTheme="minorEastAsia" w:cstheme="minorBidi"/>
          <w:noProof/>
          <w:sz w:val="22"/>
          <w:szCs w:val="22"/>
        </w:rPr>
      </w:pPr>
      <w:r>
        <w:rPr>
          <w:noProof/>
        </w:rPr>
        <w:t>A.2</w:t>
      </w:r>
      <w:r>
        <w:rPr>
          <w:rFonts w:eastAsiaTheme="minorEastAsia" w:cstheme="minorBidi"/>
          <w:noProof/>
          <w:sz w:val="22"/>
          <w:szCs w:val="22"/>
        </w:rPr>
        <w:tab/>
      </w:r>
      <w:r>
        <w:rPr>
          <w:noProof/>
        </w:rPr>
        <w:t>Countries and regions in models</w:t>
      </w:r>
      <w:r>
        <w:rPr>
          <w:noProof/>
        </w:rPr>
        <w:tab/>
      </w:r>
      <w:r>
        <w:rPr>
          <w:noProof/>
        </w:rPr>
        <w:fldChar w:fldCharType="begin"/>
      </w:r>
      <w:r>
        <w:rPr>
          <w:noProof/>
        </w:rPr>
        <w:instrText xml:space="preserve"> PAGEREF _Toc366052902 \h </w:instrText>
      </w:r>
      <w:r>
        <w:rPr>
          <w:noProof/>
        </w:rPr>
      </w:r>
      <w:r>
        <w:rPr>
          <w:noProof/>
        </w:rPr>
        <w:fldChar w:fldCharType="separate"/>
      </w:r>
      <w:r w:rsidR="00927DCC">
        <w:rPr>
          <w:noProof/>
        </w:rPr>
        <w:t>40</w:t>
      </w:r>
      <w:r>
        <w:rPr>
          <w:noProof/>
        </w:rPr>
        <w:fldChar w:fldCharType="end"/>
      </w:r>
    </w:p>
    <w:p w:rsidR="00055C66" w:rsidRDefault="00055C66">
      <w:pPr>
        <w:pStyle w:val="TableofFigures"/>
        <w:rPr>
          <w:rFonts w:eastAsiaTheme="minorEastAsia" w:cstheme="minorBidi"/>
          <w:noProof/>
          <w:sz w:val="22"/>
          <w:szCs w:val="22"/>
        </w:rPr>
      </w:pPr>
      <w:r>
        <w:rPr>
          <w:noProof/>
        </w:rPr>
        <w:t>A.3</w:t>
      </w:r>
      <w:r>
        <w:rPr>
          <w:rFonts w:eastAsiaTheme="minorEastAsia" w:cstheme="minorBidi"/>
          <w:noProof/>
          <w:sz w:val="22"/>
          <w:szCs w:val="22"/>
        </w:rPr>
        <w:tab/>
      </w:r>
      <w:r>
        <w:rPr>
          <w:noProof/>
        </w:rPr>
        <w:t>Model parameters and their functions</w:t>
      </w:r>
      <w:r>
        <w:rPr>
          <w:noProof/>
        </w:rPr>
        <w:tab/>
      </w:r>
      <w:r>
        <w:rPr>
          <w:noProof/>
        </w:rPr>
        <w:fldChar w:fldCharType="begin"/>
      </w:r>
      <w:r>
        <w:rPr>
          <w:noProof/>
        </w:rPr>
        <w:instrText xml:space="preserve"> PAGEREF _Toc366052903 \h </w:instrText>
      </w:r>
      <w:r>
        <w:rPr>
          <w:noProof/>
        </w:rPr>
      </w:r>
      <w:r>
        <w:rPr>
          <w:noProof/>
        </w:rPr>
        <w:fldChar w:fldCharType="separate"/>
      </w:r>
      <w:r w:rsidR="00927DCC">
        <w:rPr>
          <w:noProof/>
        </w:rPr>
        <w:t>41</w:t>
      </w:r>
      <w:r>
        <w:rPr>
          <w:noProof/>
        </w:rPr>
        <w:fldChar w:fldCharType="end"/>
      </w:r>
    </w:p>
    <w:p w:rsidR="00055C66" w:rsidRDefault="00055C66">
      <w:pPr>
        <w:pStyle w:val="TableofFigures"/>
        <w:rPr>
          <w:rFonts w:eastAsiaTheme="minorEastAsia" w:cstheme="minorBidi"/>
          <w:noProof/>
          <w:sz w:val="22"/>
          <w:szCs w:val="22"/>
        </w:rPr>
      </w:pPr>
      <w:r>
        <w:rPr>
          <w:noProof/>
        </w:rPr>
        <w:t>A.4</w:t>
      </w:r>
      <w:r>
        <w:rPr>
          <w:rFonts w:eastAsiaTheme="minorEastAsia" w:cstheme="minorBidi"/>
          <w:noProof/>
          <w:sz w:val="22"/>
          <w:szCs w:val="22"/>
        </w:rPr>
        <w:tab/>
      </w:r>
      <w:r>
        <w:rPr>
          <w:noProof/>
        </w:rPr>
        <w:t>Range of income elasticities in the GMI model</w:t>
      </w:r>
      <w:r>
        <w:rPr>
          <w:noProof/>
        </w:rPr>
        <w:tab/>
      </w:r>
      <w:r>
        <w:rPr>
          <w:noProof/>
        </w:rPr>
        <w:fldChar w:fldCharType="begin"/>
      </w:r>
      <w:r>
        <w:rPr>
          <w:noProof/>
        </w:rPr>
        <w:instrText xml:space="preserve"> PAGEREF _Toc366052904 \h </w:instrText>
      </w:r>
      <w:r>
        <w:rPr>
          <w:noProof/>
        </w:rPr>
      </w:r>
      <w:r>
        <w:rPr>
          <w:noProof/>
        </w:rPr>
        <w:fldChar w:fldCharType="separate"/>
      </w:r>
      <w:r w:rsidR="00927DCC">
        <w:rPr>
          <w:noProof/>
        </w:rPr>
        <w:t>42</w:t>
      </w:r>
      <w:r>
        <w:rPr>
          <w:noProof/>
        </w:rPr>
        <w:fldChar w:fldCharType="end"/>
      </w:r>
    </w:p>
    <w:p w:rsidR="00055C66" w:rsidRDefault="00055C66">
      <w:pPr>
        <w:pStyle w:val="TableofFigures"/>
        <w:rPr>
          <w:rFonts w:eastAsiaTheme="minorEastAsia" w:cstheme="minorBidi"/>
          <w:noProof/>
          <w:sz w:val="22"/>
          <w:szCs w:val="22"/>
        </w:rPr>
      </w:pPr>
      <w:r>
        <w:rPr>
          <w:noProof/>
        </w:rPr>
        <w:t>A.5</w:t>
      </w:r>
      <w:r>
        <w:rPr>
          <w:rFonts w:eastAsiaTheme="minorEastAsia" w:cstheme="minorBidi"/>
          <w:noProof/>
          <w:sz w:val="22"/>
          <w:szCs w:val="22"/>
        </w:rPr>
        <w:tab/>
      </w:r>
      <w:r>
        <w:rPr>
          <w:noProof/>
        </w:rPr>
        <w:t>Range of price elasticities in the GMI model</w:t>
      </w:r>
      <w:r>
        <w:rPr>
          <w:noProof/>
        </w:rPr>
        <w:tab/>
      </w:r>
      <w:r>
        <w:rPr>
          <w:noProof/>
        </w:rPr>
        <w:fldChar w:fldCharType="begin"/>
      </w:r>
      <w:r>
        <w:rPr>
          <w:noProof/>
        </w:rPr>
        <w:instrText xml:space="preserve"> PAGEREF _Toc366052905 \h </w:instrText>
      </w:r>
      <w:r>
        <w:rPr>
          <w:noProof/>
        </w:rPr>
      </w:r>
      <w:r>
        <w:rPr>
          <w:noProof/>
        </w:rPr>
        <w:fldChar w:fldCharType="separate"/>
      </w:r>
      <w:r w:rsidR="00927DCC">
        <w:rPr>
          <w:noProof/>
        </w:rPr>
        <w:t>42</w:t>
      </w:r>
      <w:r>
        <w:rPr>
          <w:noProof/>
        </w:rPr>
        <w:fldChar w:fldCharType="end"/>
      </w:r>
    </w:p>
    <w:p w:rsidR="00055C66" w:rsidRDefault="00055C66">
      <w:pPr>
        <w:pStyle w:val="TableofFigures"/>
        <w:rPr>
          <w:rFonts w:eastAsiaTheme="minorEastAsia" w:cstheme="minorBidi"/>
          <w:noProof/>
          <w:sz w:val="22"/>
          <w:szCs w:val="22"/>
        </w:rPr>
      </w:pPr>
      <w:r>
        <w:rPr>
          <w:noProof/>
        </w:rPr>
        <w:t>A.6</w:t>
      </w:r>
      <w:r>
        <w:rPr>
          <w:rFonts w:eastAsiaTheme="minorEastAsia" w:cstheme="minorBidi"/>
          <w:noProof/>
          <w:sz w:val="22"/>
          <w:szCs w:val="22"/>
        </w:rPr>
        <w:tab/>
      </w:r>
      <w:r>
        <w:rPr>
          <w:noProof/>
        </w:rPr>
        <w:t>Demand elasticities for dairy products</w:t>
      </w:r>
      <w:r>
        <w:rPr>
          <w:noProof/>
        </w:rPr>
        <w:tab/>
      </w:r>
      <w:r>
        <w:rPr>
          <w:noProof/>
        </w:rPr>
        <w:fldChar w:fldCharType="begin"/>
      </w:r>
      <w:r>
        <w:rPr>
          <w:noProof/>
        </w:rPr>
        <w:instrText xml:space="preserve"> PAGEREF _Toc366052906 \h </w:instrText>
      </w:r>
      <w:r>
        <w:rPr>
          <w:noProof/>
        </w:rPr>
      </w:r>
      <w:r>
        <w:rPr>
          <w:noProof/>
        </w:rPr>
        <w:fldChar w:fldCharType="separate"/>
      </w:r>
      <w:r w:rsidR="00927DCC">
        <w:rPr>
          <w:noProof/>
        </w:rPr>
        <w:t>42</w:t>
      </w:r>
      <w:r>
        <w:rPr>
          <w:noProof/>
        </w:rPr>
        <w:fldChar w:fldCharType="end"/>
      </w:r>
    </w:p>
    <w:p w:rsidR="00055C66" w:rsidRDefault="00055C66">
      <w:pPr>
        <w:pStyle w:val="TableofFigures"/>
        <w:rPr>
          <w:rFonts w:eastAsiaTheme="minorEastAsia" w:cstheme="minorBidi"/>
          <w:noProof/>
          <w:sz w:val="22"/>
          <w:szCs w:val="22"/>
        </w:rPr>
      </w:pPr>
      <w:r>
        <w:rPr>
          <w:noProof/>
        </w:rPr>
        <w:t>A.7</w:t>
      </w:r>
      <w:r>
        <w:rPr>
          <w:rFonts w:eastAsiaTheme="minorEastAsia" w:cstheme="minorBidi"/>
          <w:noProof/>
          <w:sz w:val="22"/>
          <w:szCs w:val="22"/>
        </w:rPr>
        <w:tab/>
      </w:r>
      <w:r>
        <w:rPr>
          <w:noProof/>
        </w:rPr>
        <w:t>Demand elasticities for grain products</w:t>
      </w:r>
      <w:r>
        <w:rPr>
          <w:noProof/>
        </w:rPr>
        <w:tab/>
      </w:r>
      <w:r>
        <w:rPr>
          <w:noProof/>
        </w:rPr>
        <w:fldChar w:fldCharType="begin"/>
      </w:r>
      <w:r>
        <w:rPr>
          <w:noProof/>
        </w:rPr>
        <w:instrText xml:space="preserve"> PAGEREF _Toc366052907 \h </w:instrText>
      </w:r>
      <w:r>
        <w:rPr>
          <w:noProof/>
        </w:rPr>
      </w:r>
      <w:r>
        <w:rPr>
          <w:noProof/>
        </w:rPr>
        <w:fldChar w:fldCharType="separate"/>
      </w:r>
      <w:r w:rsidR="00927DCC">
        <w:rPr>
          <w:noProof/>
        </w:rPr>
        <w:t>42</w:t>
      </w:r>
      <w:r>
        <w:rPr>
          <w:noProof/>
        </w:rPr>
        <w:fldChar w:fldCharType="end"/>
      </w:r>
    </w:p>
    <w:p w:rsidR="00055C66" w:rsidRDefault="00055C66">
      <w:pPr>
        <w:pStyle w:val="TableofFigures"/>
        <w:rPr>
          <w:rFonts w:eastAsiaTheme="minorEastAsia" w:cstheme="minorBidi"/>
          <w:noProof/>
          <w:sz w:val="22"/>
          <w:szCs w:val="22"/>
        </w:rPr>
      </w:pPr>
      <w:r>
        <w:rPr>
          <w:noProof/>
        </w:rPr>
        <w:t>A.8</w:t>
      </w:r>
      <w:r>
        <w:rPr>
          <w:rFonts w:eastAsiaTheme="minorEastAsia" w:cstheme="minorBidi"/>
          <w:noProof/>
          <w:sz w:val="22"/>
          <w:szCs w:val="22"/>
        </w:rPr>
        <w:tab/>
      </w:r>
      <w:r>
        <w:rPr>
          <w:noProof/>
        </w:rPr>
        <w:t>Elasticities of transformation or substitution in the Grains model</w:t>
      </w:r>
      <w:r>
        <w:rPr>
          <w:noProof/>
        </w:rPr>
        <w:tab/>
      </w:r>
      <w:r>
        <w:rPr>
          <w:noProof/>
        </w:rPr>
        <w:fldChar w:fldCharType="begin"/>
      </w:r>
      <w:r>
        <w:rPr>
          <w:noProof/>
        </w:rPr>
        <w:instrText xml:space="preserve"> PAGEREF _Toc366052908 \h </w:instrText>
      </w:r>
      <w:r>
        <w:rPr>
          <w:noProof/>
        </w:rPr>
      </w:r>
      <w:r>
        <w:rPr>
          <w:noProof/>
        </w:rPr>
        <w:fldChar w:fldCharType="separate"/>
      </w:r>
      <w:r w:rsidR="00927DCC">
        <w:rPr>
          <w:noProof/>
        </w:rPr>
        <w:t>43</w:t>
      </w:r>
      <w:r>
        <w:rPr>
          <w:noProof/>
        </w:rPr>
        <w:fldChar w:fldCharType="end"/>
      </w:r>
    </w:p>
    <w:p w:rsidR="00055C66" w:rsidRDefault="00055C66">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Assumption for exogenous variables</w:t>
      </w:r>
      <w:r>
        <w:rPr>
          <w:noProof/>
        </w:rPr>
        <w:tab/>
      </w:r>
      <w:r>
        <w:rPr>
          <w:noProof/>
        </w:rPr>
        <w:fldChar w:fldCharType="begin"/>
      </w:r>
      <w:r>
        <w:rPr>
          <w:noProof/>
        </w:rPr>
        <w:instrText xml:space="preserve"> PAGEREF _Toc366052909 \h </w:instrText>
      </w:r>
      <w:r>
        <w:rPr>
          <w:noProof/>
        </w:rPr>
      </w:r>
      <w:r>
        <w:rPr>
          <w:noProof/>
        </w:rPr>
        <w:fldChar w:fldCharType="separate"/>
      </w:r>
      <w:r w:rsidR="00927DCC">
        <w:rPr>
          <w:noProof/>
        </w:rPr>
        <w:t>44</w:t>
      </w:r>
      <w:r>
        <w:rPr>
          <w:noProof/>
        </w:rPr>
        <w:fldChar w:fldCharType="end"/>
      </w:r>
    </w:p>
    <w:p w:rsidR="00055C66" w:rsidRDefault="00055C66">
      <w:pPr>
        <w:pStyle w:val="TableofFigures"/>
        <w:rPr>
          <w:rFonts w:eastAsiaTheme="minorEastAsia" w:cstheme="minorBidi"/>
          <w:noProof/>
          <w:sz w:val="22"/>
          <w:szCs w:val="22"/>
        </w:rPr>
      </w:pPr>
      <w:r>
        <w:rPr>
          <w:noProof/>
        </w:rPr>
        <w:t>B.2</w:t>
      </w:r>
      <w:r>
        <w:rPr>
          <w:rFonts w:eastAsiaTheme="minorEastAsia" w:cstheme="minorBidi"/>
          <w:noProof/>
          <w:sz w:val="22"/>
          <w:szCs w:val="22"/>
        </w:rPr>
        <w:tab/>
      </w:r>
      <w:r>
        <w:rPr>
          <w:noProof/>
        </w:rPr>
        <w:t>Total productivity improvement assumption for meat type and region in the GMI model</w:t>
      </w:r>
      <w:r>
        <w:rPr>
          <w:noProof/>
        </w:rPr>
        <w:tab/>
      </w:r>
      <w:r>
        <w:rPr>
          <w:noProof/>
        </w:rPr>
        <w:fldChar w:fldCharType="begin"/>
      </w:r>
      <w:r>
        <w:rPr>
          <w:noProof/>
        </w:rPr>
        <w:instrText xml:space="preserve"> PAGEREF _Toc366052910 \h </w:instrText>
      </w:r>
      <w:r>
        <w:rPr>
          <w:noProof/>
        </w:rPr>
      </w:r>
      <w:r>
        <w:rPr>
          <w:noProof/>
        </w:rPr>
        <w:fldChar w:fldCharType="separate"/>
      </w:r>
      <w:r w:rsidR="00927DCC">
        <w:rPr>
          <w:noProof/>
        </w:rPr>
        <w:t>45</w:t>
      </w:r>
      <w:r>
        <w:rPr>
          <w:noProof/>
        </w:rPr>
        <w:fldChar w:fldCharType="end"/>
      </w:r>
    </w:p>
    <w:p w:rsidR="00055C66" w:rsidRDefault="00055C66">
      <w:pPr>
        <w:pStyle w:val="TableofFigures"/>
        <w:rPr>
          <w:rFonts w:eastAsiaTheme="minorEastAsia" w:cstheme="minorBidi"/>
          <w:noProof/>
          <w:sz w:val="22"/>
          <w:szCs w:val="22"/>
        </w:rPr>
      </w:pPr>
      <w:r>
        <w:rPr>
          <w:noProof/>
        </w:rPr>
        <w:t>B.3</w:t>
      </w:r>
      <w:r>
        <w:rPr>
          <w:rFonts w:eastAsiaTheme="minorEastAsia" w:cstheme="minorBidi"/>
          <w:noProof/>
          <w:sz w:val="22"/>
          <w:szCs w:val="22"/>
        </w:rPr>
        <w:tab/>
      </w:r>
      <w:r>
        <w:rPr>
          <w:noProof/>
        </w:rPr>
        <w:t>Growth in slaughtering weight: GMI model</w:t>
      </w:r>
      <w:r>
        <w:rPr>
          <w:noProof/>
        </w:rPr>
        <w:tab/>
      </w:r>
      <w:r>
        <w:rPr>
          <w:noProof/>
        </w:rPr>
        <w:fldChar w:fldCharType="begin"/>
      </w:r>
      <w:r>
        <w:rPr>
          <w:noProof/>
        </w:rPr>
        <w:instrText xml:space="preserve"> PAGEREF _Toc366052911 \h </w:instrText>
      </w:r>
      <w:r>
        <w:rPr>
          <w:noProof/>
        </w:rPr>
      </w:r>
      <w:r>
        <w:rPr>
          <w:noProof/>
        </w:rPr>
        <w:fldChar w:fldCharType="separate"/>
      </w:r>
      <w:r w:rsidR="00927DCC">
        <w:rPr>
          <w:noProof/>
        </w:rPr>
        <w:t>46</w:t>
      </w:r>
      <w:r>
        <w:rPr>
          <w:noProof/>
        </w:rPr>
        <w:fldChar w:fldCharType="end"/>
      </w:r>
    </w:p>
    <w:p w:rsidR="00055C66" w:rsidRDefault="00055C66">
      <w:pPr>
        <w:pStyle w:val="TableofFigures"/>
        <w:rPr>
          <w:rFonts w:eastAsiaTheme="minorEastAsia" w:cstheme="minorBidi"/>
          <w:noProof/>
          <w:sz w:val="22"/>
          <w:szCs w:val="22"/>
        </w:rPr>
      </w:pPr>
      <w:r>
        <w:rPr>
          <w:noProof/>
        </w:rPr>
        <w:t>B.4</w:t>
      </w:r>
      <w:r>
        <w:rPr>
          <w:rFonts w:eastAsiaTheme="minorEastAsia" w:cstheme="minorBidi"/>
          <w:noProof/>
          <w:sz w:val="22"/>
          <w:szCs w:val="22"/>
        </w:rPr>
        <w:tab/>
      </w:r>
      <w:r>
        <w:rPr>
          <w:noProof/>
        </w:rPr>
        <w:t>Growth in the ratio of animal number to slaughtered: GMI model</w:t>
      </w:r>
      <w:r>
        <w:rPr>
          <w:noProof/>
        </w:rPr>
        <w:tab/>
      </w:r>
      <w:r>
        <w:rPr>
          <w:noProof/>
        </w:rPr>
        <w:fldChar w:fldCharType="begin"/>
      </w:r>
      <w:r>
        <w:rPr>
          <w:noProof/>
        </w:rPr>
        <w:instrText xml:space="preserve"> PAGEREF _Toc366052912 \h </w:instrText>
      </w:r>
      <w:r>
        <w:rPr>
          <w:noProof/>
        </w:rPr>
      </w:r>
      <w:r>
        <w:rPr>
          <w:noProof/>
        </w:rPr>
        <w:fldChar w:fldCharType="separate"/>
      </w:r>
      <w:r w:rsidR="00927DCC">
        <w:rPr>
          <w:noProof/>
        </w:rPr>
        <w:t>46</w:t>
      </w:r>
      <w:r>
        <w:rPr>
          <w:noProof/>
        </w:rPr>
        <w:fldChar w:fldCharType="end"/>
      </w:r>
    </w:p>
    <w:p w:rsidR="00055C66" w:rsidRDefault="00055C66">
      <w:pPr>
        <w:pStyle w:val="TableofFigures"/>
        <w:rPr>
          <w:rFonts w:eastAsiaTheme="minorEastAsia" w:cstheme="minorBidi"/>
          <w:noProof/>
          <w:sz w:val="22"/>
          <w:szCs w:val="22"/>
        </w:rPr>
      </w:pPr>
      <w:r>
        <w:rPr>
          <w:noProof/>
        </w:rPr>
        <w:lastRenderedPageBreak/>
        <w:t>B.5</w:t>
      </w:r>
      <w:r>
        <w:rPr>
          <w:rFonts w:eastAsiaTheme="minorEastAsia" w:cstheme="minorBidi"/>
          <w:noProof/>
          <w:sz w:val="22"/>
          <w:szCs w:val="22"/>
        </w:rPr>
        <w:tab/>
      </w:r>
      <w:r>
        <w:rPr>
          <w:noProof/>
        </w:rPr>
        <w:t>Productivity improvement: the Dairy model</w:t>
      </w:r>
      <w:r>
        <w:rPr>
          <w:noProof/>
        </w:rPr>
        <w:tab/>
      </w:r>
      <w:r>
        <w:rPr>
          <w:noProof/>
        </w:rPr>
        <w:fldChar w:fldCharType="begin"/>
      </w:r>
      <w:r>
        <w:rPr>
          <w:noProof/>
        </w:rPr>
        <w:instrText xml:space="preserve"> PAGEREF _Toc366052913 \h </w:instrText>
      </w:r>
      <w:r>
        <w:rPr>
          <w:noProof/>
        </w:rPr>
      </w:r>
      <w:r>
        <w:rPr>
          <w:noProof/>
        </w:rPr>
        <w:fldChar w:fldCharType="separate"/>
      </w:r>
      <w:r w:rsidR="00927DCC">
        <w:rPr>
          <w:noProof/>
        </w:rPr>
        <w:t>47</w:t>
      </w:r>
      <w:r>
        <w:rPr>
          <w:noProof/>
        </w:rPr>
        <w:fldChar w:fldCharType="end"/>
      </w:r>
    </w:p>
    <w:p w:rsidR="00055C66" w:rsidRDefault="00055C66">
      <w:pPr>
        <w:pStyle w:val="TableofFigures"/>
        <w:rPr>
          <w:rFonts w:eastAsiaTheme="minorEastAsia" w:cstheme="minorBidi"/>
          <w:noProof/>
          <w:sz w:val="22"/>
          <w:szCs w:val="22"/>
        </w:rPr>
      </w:pPr>
      <w:r>
        <w:rPr>
          <w:noProof/>
        </w:rPr>
        <w:t>C.1</w:t>
      </w:r>
      <w:r>
        <w:rPr>
          <w:rFonts w:eastAsiaTheme="minorEastAsia" w:cstheme="minorBidi"/>
          <w:noProof/>
          <w:sz w:val="22"/>
          <w:szCs w:val="22"/>
        </w:rPr>
        <w:tab/>
      </w:r>
      <w:r>
        <w:rPr>
          <w:noProof/>
        </w:rPr>
        <w:t>Impact of foreign demand on agricultural output</w:t>
      </w:r>
      <w:r>
        <w:rPr>
          <w:noProof/>
        </w:rPr>
        <w:tab/>
      </w:r>
      <w:r>
        <w:rPr>
          <w:noProof/>
        </w:rPr>
        <w:fldChar w:fldCharType="begin"/>
      </w:r>
      <w:r>
        <w:rPr>
          <w:noProof/>
        </w:rPr>
        <w:instrText xml:space="preserve"> PAGEREF _Toc366052914 \h </w:instrText>
      </w:r>
      <w:r>
        <w:rPr>
          <w:noProof/>
        </w:rPr>
      </w:r>
      <w:r>
        <w:rPr>
          <w:noProof/>
        </w:rPr>
        <w:fldChar w:fldCharType="separate"/>
      </w:r>
      <w:r w:rsidR="00927DCC">
        <w:rPr>
          <w:noProof/>
        </w:rPr>
        <w:t>49</w:t>
      </w:r>
      <w:r>
        <w:rPr>
          <w:noProof/>
        </w:rPr>
        <w:fldChar w:fldCharType="end"/>
      </w:r>
    </w:p>
    <w:p w:rsidR="00055C66" w:rsidRDefault="00055C66">
      <w:pPr>
        <w:pStyle w:val="TableofFigures"/>
        <w:rPr>
          <w:rFonts w:eastAsiaTheme="minorEastAsia" w:cstheme="minorBidi"/>
          <w:noProof/>
          <w:sz w:val="22"/>
          <w:szCs w:val="22"/>
        </w:rPr>
      </w:pPr>
      <w:r>
        <w:rPr>
          <w:noProof/>
        </w:rPr>
        <w:t>C.2</w:t>
      </w:r>
      <w:r>
        <w:rPr>
          <w:rFonts w:eastAsiaTheme="minorEastAsia" w:cstheme="minorBidi"/>
          <w:noProof/>
          <w:sz w:val="22"/>
          <w:szCs w:val="22"/>
        </w:rPr>
        <w:tab/>
      </w:r>
      <w:r>
        <w:rPr>
          <w:noProof/>
        </w:rPr>
        <w:t>Impact of live animal export reduction on agricultural output</w:t>
      </w:r>
      <w:r>
        <w:rPr>
          <w:noProof/>
        </w:rPr>
        <w:tab/>
      </w:r>
      <w:r>
        <w:rPr>
          <w:noProof/>
        </w:rPr>
        <w:fldChar w:fldCharType="begin"/>
      </w:r>
      <w:r>
        <w:rPr>
          <w:noProof/>
        </w:rPr>
        <w:instrText xml:space="preserve"> PAGEREF _Toc366052915 \h </w:instrText>
      </w:r>
      <w:r>
        <w:rPr>
          <w:noProof/>
        </w:rPr>
      </w:r>
      <w:r>
        <w:rPr>
          <w:noProof/>
        </w:rPr>
        <w:fldChar w:fldCharType="separate"/>
      </w:r>
      <w:r w:rsidR="00927DCC">
        <w:rPr>
          <w:noProof/>
        </w:rPr>
        <w:t>50</w:t>
      </w:r>
      <w:r>
        <w:rPr>
          <w:noProof/>
        </w:rPr>
        <w:fldChar w:fldCharType="end"/>
      </w:r>
    </w:p>
    <w:p w:rsidR="00055C66" w:rsidRDefault="00055C66">
      <w:pPr>
        <w:pStyle w:val="TableofFigures"/>
        <w:rPr>
          <w:rFonts w:eastAsiaTheme="minorEastAsia" w:cstheme="minorBidi"/>
          <w:noProof/>
          <w:sz w:val="22"/>
          <w:szCs w:val="22"/>
        </w:rPr>
      </w:pPr>
      <w:r>
        <w:rPr>
          <w:noProof/>
        </w:rPr>
        <w:t>C.3</w:t>
      </w:r>
      <w:r>
        <w:rPr>
          <w:rFonts w:eastAsiaTheme="minorEastAsia" w:cstheme="minorBidi"/>
          <w:noProof/>
          <w:sz w:val="22"/>
          <w:szCs w:val="22"/>
        </w:rPr>
        <w:tab/>
      </w:r>
      <w:r>
        <w:rPr>
          <w:noProof/>
        </w:rPr>
        <w:t>Impact of exchange rates on agricultural output</w:t>
      </w:r>
      <w:r>
        <w:rPr>
          <w:noProof/>
        </w:rPr>
        <w:tab/>
      </w:r>
      <w:r>
        <w:rPr>
          <w:noProof/>
        </w:rPr>
        <w:fldChar w:fldCharType="begin"/>
      </w:r>
      <w:r>
        <w:rPr>
          <w:noProof/>
        </w:rPr>
        <w:instrText xml:space="preserve"> PAGEREF _Toc366052916 \h </w:instrText>
      </w:r>
      <w:r>
        <w:rPr>
          <w:noProof/>
        </w:rPr>
      </w:r>
      <w:r>
        <w:rPr>
          <w:noProof/>
        </w:rPr>
        <w:fldChar w:fldCharType="separate"/>
      </w:r>
      <w:r w:rsidR="00927DCC">
        <w:rPr>
          <w:noProof/>
        </w:rPr>
        <w:t>51</w:t>
      </w:r>
      <w:r>
        <w:rPr>
          <w:noProof/>
        </w:rPr>
        <w:fldChar w:fldCharType="end"/>
      </w:r>
    </w:p>
    <w:p w:rsidR="00055C66" w:rsidRDefault="00055C66">
      <w:pPr>
        <w:pStyle w:val="TableofFigures"/>
        <w:rPr>
          <w:rFonts w:eastAsiaTheme="minorEastAsia" w:cstheme="minorBidi"/>
          <w:noProof/>
          <w:sz w:val="22"/>
          <w:szCs w:val="22"/>
        </w:rPr>
      </w:pPr>
      <w:r>
        <w:rPr>
          <w:noProof/>
        </w:rPr>
        <w:t>C.4</w:t>
      </w:r>
      <w:r>
        <w:rPr>
          <w:rFonts w:eastAsiaTheme="minorEastAsia" w:cstheme="minorBidi"/>
          <w:noProof/>
          <w:sz w:val="22"/>
          <w:szCs w:val="22"/>
        </w:rPr>
        <w:tab/>
      </w:r>
      <w:r>
        <w:rPr>
          <w:noProof/>
        </w:rPr>
        <w:t>Impact of productivity on agricultural output</w:t>
      </w:r>
      <w:r>
        <w:rPr>
          <w:noProof/>
        </w:rPr>
        <w:tab/>
      </w:r>
      <w:r>
        <w:rPr>
          <w:noProof/>
        </w:rPr>
        <w:fldChar w:fldCharType="begin"/>
      </w:r>
      <w:r>
        <w:rPr>
          <w:noProof/>
        </w:rPr>
        <w:instrText xml:space="preserve"> PAGEREF _Toc366052917 \h </w:instrText>
      </w:r>
      <w:r>
        <w:rPr>
          <w:noProof/>
        </w:rPr>
      </w:r>
      <w:r>
        <w:rPr>
          <w:noProof/>
        </w:rPr>
        <w:fldChar w:fldCharType="separate"/>
      </w:r>
      <w:r w:rsidR="00927DCC">
        <w:rPr>
          <w:noProof/>
        </w:rPr>
        <w:t>54</w:t>
      </w:r>
      <w:r>
        <w:rPr>
          <w:noProof/>
        </w:rPr>
        <w:fldChar w:fldCharType="end"/>
      </w:r>
    </w:p>
    <w:p w:rsidR="00055C66" w:rsidRDefault="00055C66">
      <w:pPr>
        <w:pStyle w:val="TableofFigures"/>
        <w:rPr>
          <w:rFonts w:eastAsiaTheme="minorEastAsia" w:cstheme="minorBidi"/>
          <w:noProof/>
          <w:sz w:val="22"/>
          <w:szCs w:val="22"/>
        </w:rPr>
      </w:pPr>
      <w:r>
        <w:rPr>
          <w:noProof/>
        </w:rPr>
        <w:t>C.5</w:t>
      </w:r>
      <w:r>
        <w:rPr>
          <w:rFonts w:eastAsiaTheme="minorEastAsia" w:cstheme="minorBidi"/>
          <w:noProof/>
          <w:sz w:val="22"/>
          <w:szCs w:val="22"/>
        </w:rPr>
        <w:tab/>
      </w:r>
      <w:r>
        <w:rPr>
          <w:noProof/>
        </w:rPr>
        <w:t>Impact of slaughtering weight and yield on agricultural output</w:t>
      </w:r>
      <w:r>
        <w:rPr>
          <w:noProof/>
        </w:rPr>
        <w:tab/>
      </w:r>
      <w:r>
        <w:rPr>
          <w:noProof/>
        </w:rPr>
        <w:fldChar w:fldCharType="begin"/>
      </w:r>
      <w:r>
        <w:rPr>
          <w:noProof/>
        </w:rPr>
        <w:instrText xml:space="preserve"> PAGEREF _Toc366052918 \h </w:instrText>
      </w:r>
      <w:r>
        <w:rPr>
          <w:noProof/>
        </w:rPr>
      </w:r>
      <w:r>
        <w:rPr>
          <w:noProof/>
        </w:rPr>
        <w:fldChar w:fldCharType="separate"/>
      </w:r>
      <w:r w:rsidR="00927DCC">
        <w:rPr>
          <w:noProof/>
        </w:rPr>
        <w:t>55</w:t>
      </w:r>
      <w:r>
        <w:rPr>
          <w:noProof/>
        </w:rPr>
        <w:fldChar w:fldCharType="end"/>
      </w:r>
    </w:p>
    <w:p w:rsidR="00055C66" w:rsidRDefault="00055C66">
      <w:pPr>
        <w:pStyle w:val="TableofFigures"/>
        <w:rPr>
          <w:rFonts w:eastAsiaTheme="minorEastAsia" w:cstheme="minorBidi"/>
          <w:noProof/>
          <w:sz w:val="22"/>
          <w:szCs w:val="22"/>
        </w:rPr>
      </w:pPr>
      <w:r>
        <w:rPr>
          <w:noProof/>
        </w:rPr>
        <w:t>C.6</w:t>
      </w:r>
      <w:r>
        <w:rPr>
          <w:rFonts w:eastAsiaTheme="minorEastAsia" w:cstheme="minorBidi"/>
          <w:noProof/>
          <w:sz w:val="22"/>
          <w:szCs w:val="22"/>
        </w:rPr>
        <w:tab/>
      </w:r>
      <w:r>
        <w:rPr>
          <w:noProof/>
        </w:rPr>
        <w:t>Impact of input prices on agricultural output</w:t>
      </w:r>
      <w:r>
        <w:rPr>
          <w:noProof/>
        </w:rPr>
        <w:tab/>
      </w:r>
      <w:r>
        <w:rPr>
          <w:noProof/>
        </w:rPr>
        <w:fldChar w:fldCharType="begin"/>
      </w:r>
      <w:r>
        <w:rPr>
          <w:noProof/>
        </w:rPr>
        <w:instrText xml:space="preserve"> PAGEREF _Toc366052919 \h </w:instrText>
      </w:r>
      <w:r>
        <w:rPr>
          <w:noProof/>
        </w:rPr>
      </w:r>
      <w:r>
        <w:rPr>
          <w:noProof/>
        </w:rPr>
        <w:fldChar w:fldCharType="separate"/>
      </w:r>
      <w:r w:rsidR="00927DCC">
        <w:rPr>
          <w:noProof/>
        </w:rPr>
        <w:t>56</w:t>
      </w:r>
      <w:r>
        <w:rPr>
          <w:noProof/>
        </w:rPr>
        <w:fldChar w:fldCharType="end"/>
      </w:r>
    </w:p>
    <w:p w:rsidR="00055C66" w:rsidRDefault="00055C66">
      <w:pPr>
        <w:pStyle w:val="TableofFigures"/>
        <w:rPr>
          <w:rFonts w:eastAsiaTheme="minorEastAsia" w:cstheme="minorBidi"/>
          <w:noProof/>
          <w:sz w:val="22"/>
          <w:szCs w:val="22"/>
        </w:rPr>
      </w:pPr>
      <w:r>
        <w:rPr>
          <w:noProof/>
        </w:rPr>
        <w:t>C.7</w:t>
      </w:r>
      <w:r>
        <w:rPr>
          <w:rFonts w:eastAsiaTheme="minorEastAsia" w:cstheme="minorBidi"/>
          <w:noProof/>
          <w:sz w:val="22"/>
          <w:szCs w:val="22"/>
        </w:rPr>
        <w:tab/>
      </w:r>
      <w:r>
        <w:rPr>
          <w:noProof/>
        </w:rPr>
        <w:t>Impact of extended drought on agricultural output</w:t>
      </w:r>
      <w:r>
        <w:rPr>
          <w:noProof/>
        </w:rPr>
        <w:tab/>
      </w:r>
      <w:r>
        <w:rPr>
          <w:noProof/>
        </w:rPr>
        <w:fldChar w:fldCharType="begin"/>
      </w:r>
      <w:r>
        <w:rPr>
          <w:noProof/>
        </w:rPr>
        <w:instrText xml:space="preserve"> PAGEREF _Toc366052920 \h </w:instrText>
      </w:r>
      <w:r>
        <w:rPr>
          <w:noProof/>
        </w:rPr>
      </w:r>
      <w:r>
        <w:rPr>
          <w:noProof/>
        </w:rPr>
        <w:fldChar w:fldCharType="separate"/>
      </w:r>
      <w:r w:rsidR="00927DCC">
        <w:rPr>
          <w:noProof/>
        </w:rPr>
        <w:t>57</w:t>
      </w:r>
      <w:r>
        <w:rPr>
          <w:noProof/>
        </w:rPr>
        <w:fldChar w:fldCharType="end"/>
      </w:r>
    </w:p>
    <w:p w:rsidR="00055C66" w:rsidRDefault="00055C66">
      <w:pPr>
        <w:pStyle w:val="TableofFigures"/>
        <w:rPr>
          <w:rFonts w:eastAsiaTheme="minorEastAsia" w:cstheme="minorBidi"/>
          <w:noProof/>
          <w:sz w:val="22"/>
          <w:szCs w:val="22"/>
        </w:rPr>
      </w:pPr>
      <w:r>
        <w:rPr>
          <w:noProof/>
        </w:rPr>
        <w:t>C.8</w:t>
      </w:r>
      <w:r>
        <w:rPr>
          <w:rFonts w:eastAsiaTheme="minorEastAsia" w:cstheme="minorBidi"/>
          <w:noProof/>
          <w:sz w:val="22"/>
          <w:szCs w:val="22"/>
        </w:rPr>
        <w:tab/>
      </w:r>
      <w:r>
        <w:rPr>
          <w:noProof/>
        </w:rPr>
        <w:t>Combined sensitivity analysis result</w:t>
      </w:r>
      <w:r>
        <w:rPr>
          <w:noProof/>
        </w:rPr>
        <w:tab/>
      </w:r>
      <w:r>
        <w:rPr>
          <w:noProof/>
        </w:rPr>
        <w:fldChar w:fldCharType="begin"/>
      </w:r>
      <w:r>
        <w:rPr>
          <w:noProof/>
        </w:rPr>
        <w:instrText xml:space="preserve"> PAGEREF _Toc366052921 \h </w:instrText>
      </w:r>
      <w:r>
        <w:rPr>
          <w:noProof/>
        </w:rPr>
      </w:r>
      <w:r>
        <w:rPr>
          <w:noProof/>
        </w:rPr>
        <w:fldChar w:fldCharType="separate"/>
      </w:r>
      <w:r w:rsidR="00927DCC">
        <w:rPr>
          <w:noProof/>
        </w:rPr>
        <w:t>59</w:t>
      </w:r>
      <w:r>
        <w:rPr>
          <w:noProof/>
        </w:rPr>
        <w:fldChar w:fldCharType="end"/>
      </w:r>
    </w:p>
    <w:p w:rsidR="007342A1" w:rsidRPr="00C778E9" w:rsidRDefault="007342A1" w:rsidP="00D035C2">
      <w:pPr>
        <w:pStyle w:val="TableofFigures"/>
      </w:pPr>
      <w:r>
        <w:rPr>
          <w:b/>
          <w:bCs/>
          <w:noProof/>
          <w:lang w:val="en-US"/>
        </w:rPr>
        <w:fldChar w:fldCharType="end"/>
      </w:r>
    </w:p>
    <w:p w:rsidR="007342A1" w:rsidRDefault="007342A1" w:rsidP="00D035C2">
      <w:pPr>
        <w:pStyle w:val="Heading1"/>
        <w:numPr>
          <w:ilvl w:val="0"/>
          <w:numId w:val="0"/>
        </w:numPr>
        <w:sectPr w:rsidR="007342A1" w:rsidSect="00D035C2">
          <w:headerReference w:type="even" r:id="rId18"/>
          <w:headerReference w:type="default" r:id="rId19"/>
          <w:footerReference w:type="even" r:id="rId20"/>
          <w:footerReference w:type="default" r:id="rId21"/>
          <w:pgSz w:w="11906" w:h="16838" w:code="9"/>
          <w:pgMar w:top="2268" w:right="1701" w:bottom="1418" w:left="2268" w:header="680" w:footer="680" w:gutter="0"/>
          <w:pgNumType w:fmt="lowerRoman"/>
          <w:cols w:space="708"/>
          <w:docGrid w:linePitch="360"/>
        </w:sectPr>
      </w:pPr>
    </w:p>
    <w:p w:rsidR="00ED220C" w:rsidRDefault="008F35C2" w:rsidP="008F35C2">
      <w:pPr>
        <w:pStyle w:val="Heading1"/>
      </w:pPr>
      <w:bookmarkStart w:id="0" w:name="_Toc366052845"/>
      <w:r>
        <w:lastRenderedPageBreak/>
        <w:t>Introduction</w:t>
      </w:r>
      <w:bookmarkEnd w:id="0"/>
    </w:p>
    <w:p w:rsidR="002E4E2B" w:rsidRDefault="002E4E2B" w:rsidP="002E4E2B">
      <w:pPr>
        <w:pStyle w:val="Heading2"/>
      </w:pPr>
      <w:bookmarkStart w:id="1" w:name="_Toc366052846"/>
      <w:r>
        <w:t>This report</w:t>
      </w:r>
      <w:bookmarkEnd w:id="1"/>
    </w:p>
    <w:p w:rsidR="002E4E2B" w:rsidRDefault="002E4E2B" w:rsidP="002E4E2B">
      <w:pPr>
        <w:pStyle w:val="BodyText"/>
      </w:pPr>
      <w:r>
        <w:t xml:space="preserve">This report presents projections of agricultural emissions to 2050. The report </w:t>
      </w:r>
      <w:proofErr w:type="gramStart"/>
      <w:r>
        <w:t>is structured</w:t>
      </w:r>
      <w:proofErr w:type="gramEnd"/>
      <w:r>
        <w:t xml:space="preserve"> as follows:</w:t>
      </w:r>
    </w:p>
    <w:p w:rsidR="002E4E2B" w:rsidRDefault="002E4E2B" w:rsidP="002E4E2B">
      <w:pPr>
        <w:pStyle w:val="ListBullet"/>
      </w:pPr>
      <w:r>
        <w:t>The remainder of this introduction sets out key features of the projections approach and methodology</w:t>
      </w:r>
    </w:p>
    <w:p w:rsidR="002E4E2B" w:rsidRDefault="002E4E2B" w:rsidP="002E4E2B">
      <w:pPr>
        <w:pStyle w:val="ListBullet"/>
      </w:pPr>
      <w:r>
        <w:t>Chapter 2 sets out the headline features of the projections, putting them in the context of recent history and summarising the key features of the composition of the projections</w:t>
      </w:r>
    </w:p>
    <w:p w:rsidR="002E4E2B" w:rsidRDefault="002E4E2B" w:rsidP="002E4E2B">
      <w:pPr>
        <w:pStyle w:val="ListBullet"/>
      </w:pPr>
      <w:r>
        <w:t>Chapter 3 sets out further details of the projections, looking closely at the sector and subsector level</w:t>
      </w:r>
    </w:p>
    <w:p w:rsidR="002E4E2B" w:rsidRDefault="002E4E2B" w:rsidP="002E4E2B">
      <w:pPr>
        <w:pStyle w:val="ListBullet"/>
      </w:pPr>
      <w:r>
        <w:t>Chapter 4 sets out in detail the activity level results from the core economic models used as a basis for the projections</w:t>
      </w:r>
    </w:p>
    <w:p w:rsidR="002E4E2B" w:rsidRDefault="002E4E2B" w:rsidP="002E4E2B">
      <w:pPr>
        <w:pStyle w:val="ListBullet"/>
      </w:pPr>
      <w:r>
        <w:t>Chapter 5 sets out the results of sensitivity analysis around some of the key assumptions underlying the central projections</w:t>
      </w:r>
    </w:p>
    <w:p w:rsidR="002E4E2B" w:rsidRDefault="002E4E2B" w:rsidP="002E4E2B">
      <w:pPr>
        <w:pStyle w:val="ListBullet"/>
      </w:pPr>
      <w:r>
        <w:t>Appendix A summarises the key features of the models used in the analysis</w:t>
      </w:r>
    </w:p>
    <w:p w:rsidR="002E4E2B" w:rsidRDefault="002E4E2B" w:rsidP="002E4E2B">
      <w:pPr>
        <w:pStyle w:val="ListBullet"/>
      </w:pPr>
      <w:r>
        <w:t>Appendix B provides details of the input assumptions to those models</w:t>
      </w:r>
    </w:p>
    <w:p w:rsidR="002E4E2B" w:rsidRDefault="002E4E2B" w:rsidP="002E4E2B">
      <w:pPr>
        <w:pStyle w:val="ListBullet"/>
      </w:pPr>
      <w:r>
        <w:t>Appendix C provides additional information around the sensitivity analysis.</w:t>
      </w:r>
    </w:p>
    <w:p w:rsidR="002E4E2B" w:rsidRDefault="002E4E2B" w:rsidP="002E4E2B">
      <w:pPr>
        <w:pStyle w:val="Heading2"/>
      </w:pPr>
      <w:bookmarkStart w:id="2" w:name="_Toc366052847"/>
      <w:r>
        <w:t>Core projections methodology</w:t>
      </w:r>
      <w:bookmarkEnd w:id="2"/>
    </w:p>
    <w:p w:rsidR="002E4E2B" w:rsidRDefault="002E4E2B" w:rsidP="002E4E2B">
      <w:pPr>
        <w:pStyle w:val="Heading3"/>
      </w:pPr>
      <w:r>
        <w:t>Emissions coverage</w:t>
      </w:r>
    </w:p>
    <w:p w:rsidR="002E4E2B" w:rsidRDefault="002E4E2B" w:rsidP="002E4E2B">
      <w:pPr>
        <w:pStyle w:val="BodyText"/>
      </w:pPr>
      <w:r>
        <w:t xml:space="preserve">This report covers the </w:t>
      </w:r>
      <w:r w:rsidR="00C16DF3">
        <w:t xml:space="preserve">five </w:t>
      </w:r>
      <w:r>
        <w:t>major sets of agricultural emissions as set out in Australia’s inventory, namely:</w:t>
      </w:r>
    </w:p>
    <w:p w:rsidR="002E4E2B" w:rsidRDefault="002E4E2B" w:rsidP="002E4E2B">
      <w:pPr>
        <w:pStyle w:val="ListBullet"/>
      </w:pPr>
      <w:r>
        <w:t>Enteric fermentation</w:t>
      </w:r>
    </w:p>
    <w:p w:rsidR="002E4E2B" w:rsidRDefault="002E4E2B" w:rsidP="002E4E2B">
      <w:pPr>
        <w:pStyle w:val="ListBullet"/>
      </w:pPr>
      <w:r>
        <w:t>Manure management</w:t>
      </w:r>
    </w:p>
    <w:p w:rsidR="002E4E2B" w:rsidRDefault="002E4E2B" w:rsidP="002E4E2B">
      <w:pPr>
        <w:pStyle w:val="ListBullet"/>
      </w:pPr>
      <w:r>
        <w:t xml:space="preserve">Rice cultivation </w:t>
      </w:r>
    </w:p>
    <w:p w:rsidR="002E4E2B" w:rsidRDefault="002E4E2B" w:rsidP="002E4E2B">
      <w:pPr>
        <w:pStyle w:val="ListBullet"/>
      </w:pPr>
      <w:r>
        <w:t xml:space="preserve">Agricultural soils </w:t>
      </w:r>
    </w:p>
    <w:p w:rsidR="002E4E2B" w:rsidRDefault="002E4E2B" w:rsidP="002E4E2B">
      <w:pPr>
        <w:pStyle w:val="ListBullet"/>
      </w:pPr>
      <w:proofErr w:type="gramStart"/>
      <w:r>
        <w:t>Field burning of agricultural residues.</w:t>
      </w:r>
      <w:proofErr w:type="gramEnd"/>
    </w:p>
    <w:p w:rsidR="002E4E2B" w:rsidRPr="00B36311" w:rsidRDefault="002E4E2B" w:rsidP="002E4E2B">
      <w:pPr>
        <w:pStyle w:val="BodyText"/>
      </w:pPr>
      <w:r>
        <w:t xml:space="preserve">Projections presented here do not include prescribed burning of savannah and do not cover </w:t>
      </w:r>
      <w:r w:rsidR="00A008EB">
        <w:t>emissions from the Land Use, Land Use C</w:t>
      </w:r>
      <w:r w:rsidR="005B769A">
        <w:t>hange and Forestry (LULUCF) sector</w:t>
      </w:r>
      <w:r>
        <w:t>.</w:t>
      </w:r>
      <w:r w:rsidR="00604132">
        <w:t xml:space="preserve"> Within this report, ‘total agricultural emissions’ refers to the sum of the above emissions categories.</w:t>
      </w:r>
    </w:p>
    <w:p w:rsidR="002E4E2B" w:rsidRDefault="002E4E2B" w:rsidP="002E4E2B">
      <w:pPr>
        <w:pStyle w:val="Heading3"/>
      </w:pPr>
      <w:r>
        <w:lastRenderedPageBreak/>
        <w:t>Overall methodology</w:t>
      </w:r>
    </w:p>
    <w:p w:rsidR="002E4E2B" w:rsidRDefault="002E4E2B" w:rsidP="002E4E2B">
      <w:pPr>
        <w:pStyle w:val="BodyText"/>
      </w:pPr>
      <w:r>
        <w:t>The methodology for providing the emissions projections presented here contains two main elements.</w:t>
      </w:r>
    </w:p>
    <w:p w:rsidR="002E4E2B" w:rsidRDefault="002E4E2B" w:rsidP="002E4E2B">
      <w:pPr>
        <w:pStyle w:val="ListBullet"/>
      </w:pPr>
      <w:r>
        <w:t xml:space="preserve">First, a number of economic models (see below) are used to project ‘activity levels’ for the agricultural activities that involve the generation of greenhouse gas emissions. These projections are produced at a highly disaggregated level and include livestock numbers, crop production, </w:t>
      </w:r>
      <w:proofErr w:type="gramStart"/>
      <w:r>
        <w:t>f</w:t>
      </w:r>
      <w:r w:rsidR="005B769A">
        <w:t>ertilis</w:t>
      </w:r>
      <w:r>
        <w:t>er</w:t>
      </w:r>
      <w:proofErr w:type="gramEnd"/>
      <w:r>
        <w:t xml:space="preserve"> use and so on.</w:t>
      </w:r>
    </w:p>
    <w:p w:rsidR="002E4E2B" w:rsidRPr="00B36311" w:rsidRDefault="002E4E2B" w:rsidP="002E4E2B">
      <w:pPr>
        <w:pStyle w:val="ListBullet"/>
      </w:pPr>
      <w:r>
        <w:t xml:space="preserve">Second, these activity levels provide an input to a detailed emissions calculation </w:t>
      </w:r>
      <w:proofErr w:type="spellStart"/>
      <w:r>
        <w:t>spreadsheet</w:t>
      </w:r>
      <w:proofErr w:type="spellEnd"/>
      <w:r>
        <w:t xml:space="preserve"> developed by the Department of Industry, Innovation, Climate Change, Science, Research and Tertiary Education (DIICCSRTE). This </w:t>
      </w:r>
      <w:proofErr w:type="spellStart"/>
      <w:r>
        <w:t>spreadsheet</w:t>
      </w:r>
      <w:proofErr w:type="spellEnd"/>
      <w:r>
        <w:t xml:space="preserve"> converts activity levels to emissions projections for each of the emission sectors and subsectors.</w:t>
      </w:r>
    </w:p>
    <w:p w:rsidR="002E4E2B" w:rsidRDefault="002E4E2B" w:rsidP="002E4E2B">
      <w:pPr>
        <w:pStyle w:val="Heading3"/>
      </w:pPr>
      <w:r>
        <w:t>Use of AR4 emissions coefficients</w:t>
      </w:r>
    </w:p>
    <w:p w:rsidR="002E4E2B" w:rsidRDefault="002E4E2B" w:rsidP="002E4E2B">
      <w:pPr>
        <w:pStyle w:val="BodyText"/>
      </w:pPr>
      <w:r w:rsidRPr="006561C6">
        <w:t xml:space="preserve">Emissions </w:t>
      </w:r>
      <w:r>
        <w:t xml:space="preserve">projections presented here </w:t>
      </w:r>
      <w:r w:rsidRPr="006561C6">
        <w:t xml:space="preserve">are reported in </w:t>
      </w:r>
      <w:r>
        <w:t>carbon dioxide equivalents (CO</w:t>
      </w:r>
      <w:r w:rsidRPr="006561C6">
        <w:rPr>
          <w:vertAlign w:val="subscript"/>
        </w:rPr>
        <w:t>2</w:t>
      </w:r>
      <w:r>
        <w:t>-</w:t>
      </w:r>
      <w:r w:rsidRPr="006561C6">
        <w:t xml:space="preserve">e), calculated from global warming potentials (GWPs) published in the </w:t>
      </w:r>
      <w:r w:rsidR="00C16DF3">
        <w:t xml:space="preserve">Intergovernmental </w:t>
      </w:r>
      <w:r w:rsidRPr="006561C6">
        <w:t xml:space="preserve">Panel on Climate Change’s (IPCC’s) 2007 Fourth Assessment Report (AR4). Past </w:t>
      </w:r>
      <w:r>
        <w:t xml:space="preserve">agricultural </w:t>
      </w:r>
      <w:proofErr w:type="gramStart"/>
      <w:r>
        <w:t>projection</w:t>
      </w:r>
      <w:r w:rsidR="0099426D">
        <w:t>s</w:t>
      </w:r>
      <w:proofErr w:type="gramEnd"/>
      <w:r>
        <w:t xml:space="preserve"> </w:t>
      </w:r>
      <w:r w:rsidRPr="006561C6">
        <w:t>reports have used GWPs from the IPCC’s Second Assessment Report (AR2).</w:t>
      </w:r>
    </w:p>
    <w:p w:rsidR="002E4E2B" w:rsidRDefault="002E4E2B" w:rsidP="002E4E2B">
      <w:pPr>
        <w:pStyle w:val="Heading3"/>
      </w:pPr>
      <w:r>
        <w:t>Base year for projections</w:t>
      </w:r>
    </w:p>
    <w:p w:rsidR="002E4E2B" w:rsidRDefault="002E4E2B" w:rsidP="002E4E2B">
      <w:pPr>
        <w:pStyle w:val="BodyText"/>
      </w:pPr>
      <w:r>
        <w:t xml:space="preserve">The base year for the projections </w:t>
      </w:r>
      <w:r w:rsidR="001610EC">
        <w:t>is</w:t>
      </w:r>
      <w:r>
        <w:t xml:space="preserve"> 2011, which was the latest full year for inventory data at the time of the commencement of the projections project. Each of the economic models (see below) </w:t>
      </w:r>
      <w:proofErr w:type="gramStart"/>
      <w:r>
        <w:t>was calibrated</w:t>
      </w:r>
      <w:proofErr w:type="gramEnd"/>
      <w:r>
        <w:t xml:space="preserve"> to the 2011 starting point implied by DIICCSRTE’s emissions </w:t>
      </w:r>
      <w:proofErr w:type="spellStart"/>
      <w:r>
        <w:t>spreadsheet</w:t>
      </w:r>
      <w:proofErr w:type="spellEnd"/>
      <w:r>
        <w:t xml:space="preserve"> and projections were generated from 2012 onwards.</w:t>
      </w:r>
    </w:p>
    <w:p w:rsidR="002E4E2B" w:rsidRPr="001610EC" w:rsidRDefault="00604132" w:rsidP="002E4E2B">
      <w:pPr>
        <w:pStyle w:val="BodyText"/>
      </w:pPr>
      <w:r>
        <w:t>Towards the end of the</w:t>
      </w:r>
      <w:r w:rsidR="001610EC">
        <w:t xml:space="preserve"> projections project, actual emissions values for 2012 and 2013 </w:t>
      </w:r>
      <w:r w:rsidR="005B769A">
        <w:t>became available</w:t>
      </w:r>
      <w:r w:rsidR="00021D2D">
        <w:rPr>
          <w:rStyle w:val="FootnoteReference"/>
        </w:rPr>
        <w:footnoteReference w:id="1"/>
      </w:r>
      <w:r w:rsidR="001610EC">
        <w:t xml:space="preserve">. </w:t>
      </w:r>
      <w:r w:rsidR="0030640C">
        <w:t xml:space="preserve">Tables </w:t>
      </w:r>
      <w:r w:rsidR="00803BE9" w:rsidRPr="00803BE9">
        <w:t>2.3</w:t>
      </w:r>
      <w:r w:rsidR="0030640C" w:rsidRPr="00803BE9">
        <w:t xml:space="preserve"> and </w:t>
      </w:r>
      <w:r w:rsidR="00803BE9">
        <w:t>3.1</w:t>
      </w:r>
      <w:r w:rsidR="0030640C">
        <w:t xml:space="preserve"> present actual results for </w:t>
      </w:r>
      <w:r w:rsidR="0030640C" w:rsidRPr="00803BE9">
        <w:t>2012</w:t>
      </w:r>
      <w:r w:rsidR="001610EC">
        <w:t>.</w:t>
      </w:r>
      <w:r>
        <w:t xml:space="preserve"> </w:t>
      </w:r>
      <w:r w:rsidR="0030640C">
        <w:t>Other charts and tables present the original projections. It is important to note</w:t>
      </w:r>
      <w:r>
        <w:t xml:space="preserve"> that the differences between actual values and the projections </w:t>
      </w:r>
      <w:r w:rsidR="0030640C">
        <w:t>are</w:t>
      </w:r>
      <w:r>
        <w:t xml:space="preserve"> very small (of the order of 1 per cent or less for the main emissions categories)</w:t>
      </w:r>
      <w:r w:rsidR="0030640C">
        <w:t xml:space="preserve"> and so are not detectable in charts</w:t>
      </w:r>
      <w:r>
        <w:t>.</w:t>
      </w:r>
    </w:p>
    <w:p w:rsidR="002E4E2B" w:rsidRDefault="002E4E2B" w:rsidP="002E4E2B">
      <w:pPr>
        <w:pStyle w:val="Heading3"/>
      </w:pPr>
      <w:r>
        <w:t>Conformance with ABARES short term projections</w:t>
      </w:r>
    </w:p>
    <w:p w:rsidR="002E4E2B" w:rsidRDefault="002E4E2B" w:rsidP="002E4E2B">
      <w:pPr>
        <w:pStyle w:val="BodyText"/>
      </w:pPr>
      <w:r>
        <w:t>At the direction of DIICCSRTE, projections to 2017-18 were further calibrated around projections for the agricultural sector contained in re</w:t>
      </w:r>
      <w:r w:rsidR="003F354F">
        <w:t xml:space="preserve">cent ABARES publications — in particular </w:t>
      </w:r>
      <w:r w:rsidR="003F354F" w:rsidRPr="003F354F">
        <w:rPr>
          <w:i/>
        </w:rPr>
        <w:t>Agricultural Commodities June Quarter 2013</w:t>
      </w:r>
      <w:r w:rsidR="003F354F">
        <w:rPr>
          <w:rStyle w:val="FootnoteReference"/>
          <w:i/>
        </w:rPr>
        <w:footnoteReference w:id="2"/>
      </w:r>
      <w:r w:rsidR="003F354F">
        <w:t xml:space="preserve"> and </w:t>
      </w:r>
      <w:r w:rsidR="003F354F" w:rsidRPr="003F354F">
        <w:rPr>
          <w:i/>
        </w:rPr>
        <w:t>Agricultural Commodities March Quarter 2013</w:t>
      </w:r>
      <w:r w:rsidR="003F354F">
        <w:rPr>
          <w:rStyle w:val="FootnoteReference"/>
          <w:i/>
        </w:rPr>
        <w:footnoteReference w:id="3"/>
      </w:r>
      <w:r w:rsidR="003F354F">
        <w:rPr>
          <w:i/>
        </w:rPr>
        <w:t>.</w:t>
      </w:r>
    </w:p>
    <w:p w:rsidR="002E4E2B" w:rsidRDefault="002E4E2B" w:rsidP="002E4E2B">
      <w:pPr>
        <w:pStyle w:val="Heading3"/>
      </w:pPr>
      <w:r>
        <w:lastRenderedPageBreak/>
        <w:t>Central reference and sensitivity analyses</w:t>
      </w:r>
    </w:p>
    <w:p w:rsidR="002E4E2B" w:rsidRDefault="002E4E2B" w:rsidP="002E4E2B">
      <w:pPr>
        <w:pStyle w:val="BodyText"/>
      </w:pPr>
      <w:r>
        <w:t xml:space="preserve">The main set of emissions projections are around a ‘central reference </w:t>
      </w:r>
      <w:r w:rsidR="002078DF">
        <w:t>case’, which essential</w:t>
      </w:r>
      <w:r w:rsidR="005B769A">
        <w:t>ly involves a business as usual</w:t>
      </w:r>
      <w:r>
        <w:t xml:space="preserve"> set of projections for the agricultural sector. While this central reference case includes the carbon pricing mechanism it does not analyse </w:t>
      </w:r>
      <w:r w:rsidR="00C16DF3">
        <w:t xml:space="preserve">its </w:t>
      </w:r>
      <w:r w:rsidR="0030640C">
        <w:t xml:space="preserve">direct </w:t>
      </w:r>
      <w:r>
        <w:t>impacts on agriculture</w:t>
      </w:r>
      <w:r w:rsidR="00554662">
        <w:t xml:space="preserve"> (as agriculture is not directly covered by the mechanism)</w:t>
      </w:r>
      <w:r w:rsidR="0030640C">
        <w:t>, although indirect impacts are implicitly account</w:t>
      </w:r>
      <w:r w:rsidR="005B769A">
        <w:t>ed</w:t>
      </w:r>
      <w:r w:rsidR="0030640C">
        <w:t xml:space="preserve"> for through effects on input costs</w:t>
      </w:r>
      <w:r>
        <w:t>. Further, the projections do not estimate abatement from the carbon farming initiative.</w:t>
      </w:r>
    </w:p>
    <w:p w:rsidR="008238B7" w:rsidRDefault="008238B7" w:rsidP="002E4E2B">
      <w:pPr>
        <w:pStyle w:val="BodyText"/>
      </w:pPr>
      <w:r w:rsidRPr="008238B7">
        <w:t>Note that the central reference case does not account for drought or other stochastic climatic influences on agricultural output. This is important to keep in mind when interpreting the longer-term projections relative to recent history.</w:t>
      </w:r>
    </w:p>
    <w:p w:rsidR="002E4E2B" w:rsidRPr="006561C6" w:rsidRDefault="002E4E2B" w:rsidP="002E4E2B">
      <w:pPr>
        <w:pStyle w:val="BodyText"/>
      </w:pPr>
      <w:r>
        <w:t>The analysis includes sensitivity analysis around a number of key exogenous modelling assumptions — reflecting the fact that there is inevitable uncertainty around some of these assumptions.</w:t>
      </w:r>
    </w:p>
    <w:p w:rsidR="002E4E2B" w:rsidRDefault="002E4E2B" w:rsidP="002E4E2B">
      <w:pPr>
        <w:pStyle w:val="Heading2"/>
      </w:pPr>
      <w:bookmarkStart w:id="3" w:name="_Toc366052848"/>
      <w:r>
        <w:t>The models</w:t>
      </w:r>
      <w:bookmarkEnd w:id="3"/>
    </w:p>
    <w:p w:rsidR="002E4E2B" w:rsidRDefault="002E4E2B" w:rsidP="002E4E2B">
      <w:pPr>
        <w:pStyle w:val="Heading3"/>
      </w:pPr>
      <w:r>
        <w:t>Key models</w:t>
      </w:r>
    </w:p>
    <w:p w:rsidR="002E4E2B" w:rsidRDefault="002E4E2B" w:rsidP="002E4E2B">
      <w:pPr>
        <w:pStyle w:val="BodyText"/>
      </w:pPr>
      <w:r>
        <w:t xml:space="preserve">The central reference case projections and the sensitivity analyses </w:t>
      </w:r>
      <w:proofErr w:type="gramStart"/>
      <w:r>
        <w:t>were developed</w:t>
      </w:r>
      <w:proofErr w:type="gramEnd"/>
      <w:r>
        <w:t xml:space="preserve"> using a suite of agricultural commodity models developed and maintained by the CIE. These models are:</w:t>
      </w:r>
    </w:p>
    <w:p w:rsidR="002E4E2B" w:rsidRDefault="002E4E2B" w:rsidP="002E4E2B">
      <w:pPr>
        <w:pStyle w:val="ListBullet"/>
      </w:pPr>
      <w:r>
        <w:t>The Global Meat Industry (GMI) model of 10 meat products in 22 countries and regions;</w:t>
      </w:r>
    </w:p>
    <w:p w:rsidR="002E4E2B" w:rsidRDefault="002E4E2B" w:rsidP="002E4E2B">
      <w:pPr>
        <w:pStyle w:val="ListBullet"/>
      </w:pPr>
      <w:r>
        <w:t>The Dairy model of the production and use of milk and dairy products in Australian states and territories as well as in Australia</w:t>
      </w:r>
      <w:r>
        <w:rPr>
          <w:rFonts w:ascii="Calisto MT" w:hAnsi="Calisto MT" w:cs="Calisto MT"/>
        </w:rPr>
        <w:t>’</w:t>
      </w:r>
      <w:r>
        <w:t xml:space="preserve">s key competitor countries/regions; and </w:t>
      </w:r>
    </w:p>
    <w:p w:rsidR="002E4E2B" w:rsidRDefault="002E4E2B" w:rsidP="002E4E2B">
      <w:pPr>
        <w:pStyle w:val="ListBullet"/>
      </w:pPr>
      <w:r>
        <w:t>The Grains model of wheat, barley, oilseeds, pulses and other coarse grain production and consumption in Australian states and territories as well as in Australia’s key markets and competitors.</w:t>
      </w:r>
    </w:p>
    <w:p w:rsidR="002E4E2B" w:rsidRDefault="002E4E2B" w:rsidP="002E4E2B">
      <w:pPr>
        <w:pStyle w:val="BodyText"/>
      </w:pPr>
      <w:r>
        <w:t xml:space="preserve">In addition, </w:t>
      </w:r>
      <w:proofErr w:type="spellStart"/>
      <w:r>
        <w:t>spreadsheet</w:t>
      </w:r>
      <w:proofErr w:type="spellEnd"/>
      <w:r>
        <w:t xml:space="preserve"> models </w:t>
      </w:r>
      <w:proofErr w:type="gramStart"/>
      <w:r>
        <w:t>are used</w:t>
      </w:r>
      <w:proofErr w:type="gramEnd"/>
      <w:r>
        <w:t xml:space="preserve"> as supplementary tools for some agricultural products not formally included in the above models, including rice, cotton and sugarcane.</w:t>
      </w:r>
    </w:p>
    <w:p w:rsidR="002E4E2B" w:rsidRDefault="002E4E2B" w:rsidP="002E4E2B">
      <w:pPr>
        <w:pStyle w:val="Heading3"/>
      </w:pPr>
      <w:r>
        <w:t>Input assumptions</w:t>
      </w:r>
    </w:p>
    <w:p w:rsidR="002E4E2B" w:rsidRDefault="002E4E2B" w:rsidP="002E4E2B">
      <w:pPr>
        <w:pStyle w:val="BodyText"/>
      </w:pPr>
      <w:r>
        <w:t xml:space="preserve">Developing the projections with these economic models requires assumptions about a number of key model drivers. Details of these assumptions are set out in Appendix B. These assumptions </w:t>
      </w:r>
      <w:proofErr w:type="gramStart"/>
      <w:r>
        <w:t>are all based</w:t>
      </w:r>
      <w:proofErr w:type="gramEnd"/>
      <w:r>
        <w:t xml:space="preserve"> on plausible future outcomes within the agricultural sector.</w:t>
      </w:r>
    </w:p>
    <w:p w:rsidR="002E47A8" w:rsidRDefault="002E47A8" w:rsidP="002E4E2B">
      <w:pPr>
        <w:pStyle w:val="BodyText"/>
      </w:pPr>
      <w:r w:rsidRPr="002E47A8">
        <w:t xml:space="preserve">While the central reference case has input assumptions based </w:t>
      </w:r>
      <w:r>
        <w:t xml:space="preserve">partly </w:t>
      </w:r>
      <w:r w:rsidRPr="002E47A8">
        <w:t>on history (which includes the average effects of drought) it does not incorporate assumptions based on extreme values. Thus, the future is an average expectation that does not account for the possibilities of extreme events.</w:t>
      </w:r>
    </w:p>
    <w:p w:rsidR="002E4E2B" w:rsidRDefault="002E4E2B" w:rsidP="002E4E2B">
      <w:pPr>
        <w:pStyle w:val="BodyText"/>
      </w:pPr>
      <w:r>
        <w:lastRenderedPageBreak/>
        <w:t xml:space="preserve">In addition, for parts of the analysis, input assumptions </w:t>
      </w:r>
      <w:proofErr w:type="gramStart"/>
      <w:r>
        <w:t>were provided</w:t>
      </w:r>
      <w:proofErr w:type="gramEnd"/>
      <w:r>
        <w:t xml:space="preserve"> from the economy</w:t>
      </w:r>
      <w:r w:rsidR="00B122FD">
        <w:t xml:space="preserve"> </w:t>
      </w:r>
      <w:r>
        <w:t xml:space="preserve">wide general equilibrium modelling produced by the Commonwealth Treasury. This was to ensure consistency in macroeconomic assumptions between the agricultural projections and projections for other sectors. </w:t>
      </w:r>
    </w:p>
    <w:p w:rsidR="00B30D04" w:rsidRPr="00B30D04" w:rsidRDefault="00B30D04" w:rsidP="00B30D04">
      <w:pPr>
        <w:pStyle w:val="BodyText"/>
      </w:pPr>
    </w:p>
    <w:p w:rsidR="008F35C2" w:rsidRDefault="008F35C2" w:rsidP="008F35C2">
      <w:pPr>
        <w:pStyle w:val="Heading1"/>
      </w:pPr>
      <w:bookmarkStart w:id="4" w:name="_Toc366052849"/>
      <w:r>
        <w:lastRenderedPageBreak/>
        <w:t>Key projection results</w:t>
      </w:r>
      <w:bookmarkEnd w:id="4"/>
    </w:p>
    <w:p w:rsidR="00BC58D4" w:rsidRDefault="00BC58D4" w:rsidP="00BC58D4">
      <w:pPr>
        <w:pStyle w:val="ChapterIntroduction"/>
      </w:pPr>
      <w:bookmarkStart w:id="5" w:name="_Toc364436048"/>
      <w:r>
        <w:t xml:space="preserve">This chapter </w:t>
      </w:r>
      <w:r w:rsidR="00C16DF3">
        <w:t xml:space="preserve">summarises </w:t>
      </w:r>
      <w:r>
        <w:t xml:space="preserve">the agricultural emissions projections at an aggregate level, noting the ways in which the projections vary from the historical record. It also summarises recent developments in </w:t>
      </w:r>
      <w:r w:rsidR="00B122FD">
        <w:t>agriculture, which</w:t>
      </w:r>
      <w:r>
        <w:t xml:space="preserve"> help</w:t>
      </w:r>
      <w:r w:rsidR="0030640C">
        <w:t>s</w:t>
      </w:r>
      <w:r>
        <w:t xml:space="preserve"> explain the pattern of historical emissions and expected differences in the future.</w:t>
      </w:r>
    </w:p>
    <w:p w:rsidR="0084679E" w:rsidRDefault="0084679E" w:rsidP="00B30D04">
      <w:pPr>
        <w:pStyle w:val="Heading2"/>
        <w:numPr>
          <w:ilvl w:val="1"/>
          <w:numId w:val="0"/>
        </w:numPr>
      </w:pPr>
      <w:bookmarkStart w:id="6" w:name="_Toc366052850"/>
      <w:r>
        <w:t>Emissions projections in the context of history</w:t>
      </w:r>
      <w:bookmarkEnd w:id="6"/>
    </w:p>
    <w:p w:rsidR="0084679E" w:rsidRDefault="0084679E" w:rsidP="0084679E">
      <w:pPr>
        <w:pStyle w:val="BodyText"/>
      </w:pPr>
      <w:r>
        <w:t xml:space="preserve">Chart </w:t>
      </w:r>
      <w:r w:rsidR="00937887">
        <w:t>2.1</w:t>
      </w:r>
      <w:r>
        <w:t xml:space="preserve"> shows total</w:t>
      </w:r>
      <w:r w:rsidR="001610EC">
        <w:t xml:space="preserve"> agricultural</w:t>
      </w:r>
      <w:r>
        <w:t xml:space="preserve"> emissions</w:t>
      </w:r>
      <w:r w:rsidR="001610EC">
        <w:t xml:space="preserve"> from 1990 to 2050. Emissions from 1990 to 2011 </w:t>
      </w:r>
      <w:proofErr w:type="gramStart"/>
      <w:r w:rsidR="001610EC">
        <w:t>are based</w:t>
      </w:r>
      <w:proofErr w:type="gramEnd"/>
      <w:r w:rsidR="001610EC">
        <w:t xml:space="preserve"> on actual values, while emissions from 2011 to 2050 are projections.</w:t>
      </w:r>
      <w:r w:rsidR="0030640C">
        <w:t xml:space="preserve"> </w:t>
      </w:r>
    </w:p>
    <w:p w:rsidR="00A31C75" w:rsidRPr="00695C93" w:rsidRDefault="00A31C75" w:rsidP="001A298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w:instrText>
      </w:r>
      <w:fldSimple w:instr=" STYLEREF &quot;Heading 1&quot; \l \n ">
        <w:r w:rsidR="00927DCC">
          <w:rPr>
            <w:noProof/>
          </w:rPr>
          <w:instrText>2</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7" w:name="_Caption2609"/>
      <w:bookmarkStart w:id="8" w:name="_Toc366052872"/>
      <w:r w:rsidR="00927DCC">
        <w:rPr>
          <w:noProof/>
        </w:rPr>
        <w:t>2</w:t>
      </w:r>
      <w:r w:rsidR="00927DCC" w:rsidRPr="00695C93">
        <w:rPr>
          <w:noProof/>
        </w:rPr>
        <w:t>.</w:t>
      </w:r>
      <w:r w:rsidR="00927DCC">
        <w:rPr>
          <w:noProof/>
        </w:rPr>
        <w:t>1</w:t>
      </w:r>
      <w:bookmarkEnd w:id="7"/>
      <w:r w:rsidRPr="00695C93">
        <w:fldChar w:fldCharType="end"/>
      </w:r>
      <w:r w:rsidRPr="00695C93">
        <w:tab/>
      </w:r>
      <w:r w:rsidR="00937887">
        <w:t>Total agricultural emissions (excluding prescribed burning of savannas): 1990 to 2050</w:t>
      </w:r>
      <w:bookmarkEnd w:id="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31C75" w:rsidTr="001A2983">
        <w:trPr>
          <w:cantSplit/>
        </w:trPr>
        <w:tc>
          <w:tcPr>
            <w:tcW w:w="7938" w:type="dxa"/>
            <w:shd w:val="clear" w:color="auto" w:fill="E9E8E5" w:themeFill="background2"/>
          </w:tcPr>
          <w:p w:rsidR="00A31C75" w:rsidRDefault="006E643A" w:rsidP="001A2983">
            <w:pPr>
              <w:pStyle w:val="Chart"/>
            </w:pPr>
            <w:r>
              <w:rPr>
                <w:noProof/>
                <w:lang w:eastAsia="en-AU"/>
              </w:rPr>
              <w:drawing>
                <wp:inline distT="0" distB="0" distL="0" distR="0">
                  <wp:extent cx="5020310" cy="250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0310" cy="2501900"/>
                          </a:xfrm>
                          <a:prstGeom prst="rect">
                            <a:avLst/>
                          </a:prstGeom>
                          <a:noFill/>
                          <a:ln>
                            <a:noFill/>
                          </a:ln>
                        </pic:spPr>
                      </pic:pic>
                    </a:graphicData>
                  </a:graphic>
                </wp:inline>
              </w:drawing>
            </w:r>
          </w:p>
        </w:tc>
      </w:tr>
    </w:tbl>
    <w:p w:rsidR="00A31C75" w:rsidRPr="00A97BEC" w:rsidRDefault="00937887" w:rsidP="001A2983">
      <w:pPr>
        <w:pStyle w:val="Note"/>
      </w:pPr>
      <w:r>
        <w:rPr>
          <w:i/>
        </w:rPr>
        <w:t>Note: All emissions are calculated using AR4</w:t>
      </w:r>
      <w:r w:rsidR="008647E4">
        <w:rPr>
          <w:i/>
        </w:rPr>
        <w:t xml:space="preserve"> global warming potentials</w:t>
      </w:r>
      <w:r w:rsidR="0024531D">
        <w:rPr>
          <w:i/>
        </w:rPr>
        <w:t>. Average emissions reported.</w:t>
      </w:r>
      <w:r w:rsidR="0030640C">
        <w:rPr>
          <w:i/>
        </w:rPr>
        <w:t xml:space="preserve"> While actual values for 2012 and 2013 are available, they </w:t>
      </w:r>
      <w:proofErr w:type="gramStart"/>
      <w:r w:rsidR="0030640C">
        <w:rPr>
          <w:i/>
        </w:rPr>
        <w:t>are not used</w:t>
      </w:r>
      <w:proofErr w:type="gramEnd"/>
      <w:r w:rsidR="0030640C">
        <w:rPr>
          <w:i/>
        </w:rPr>
        <w:t xml:space="preserve"> in this chart. The difference at the aggregate level is around 1 per cent and is not visually detectable</w:t>
      </w:r>
    </w:p>
    <w:p w:rsidR="00A31C75" w:rsidRDefault="00A31C75" w:rsidP="001A2983">
      <w:pPr>
        <w:pStyle w:val="Source"/>
      </w:pPr>
      <w:r>
        <w:rPr>
          <w:i/>
        </w:rPr>
        <w:t>Data source</w:t>
      </w:r>
      <w:r w:rsidRPr="00A67576">
        <w:rPr>
          <w:i/>
        </w:rPr>
        <w:t>:</w:t>
      </w:r>
      <w:r>
        <w:t xml:space="preserve"> </w:t>
      </w:r>
      <w:r w:rsidR="00937887">
        <w:t>DIICCSRTE emissions template, CIE projections</w:t>
      </w:r>
    </w:p>
    <w:p w:rsidR="00846BC4" w:rsidRDefault="00846BC4" w:rsidP="00846BC4">
      <w:pPr>
        <w:pStyle w:val="BodyText"/>
        <w:rPr>
          <w:lang w:eastAsia="en-US"/>
        </w:rPr>
      </w:pPr>
      <w:r>
        <w:rPr>
          <w:lang w:eastAsia="en-US"/>
        </w:rPr>
        <w:t>Historically, total agricultural emissions have not grown strongly.</w:t>
      </w:r>
      <w:r w:rsidR="001610EC">
        <w:rPr>
          <w:lang w:eastAsia="en-US"/>
        </w:rPr>
        <w:t xml:space="preserve"> Between 1990 and </w:t>
      </w:r>
      <w:proofErr w:type="gramStart"/>
      <w:r w:rsidR="001610EC">
        <w:rPr>
          <w:lang w:eastAsia="en-US"/>
        </w:rPr>
        <w:t>2011</w:t>
      </w:r>
      <w:proofErr w:type="gramEnd"/>
      <w:r w:rsidR="001610EC">
        <w:rPr>
          <w:lang w:eastAsia="en-US"/>
        </w:rPr>
        <w:t xml:space="preserve"> they fell at an average rate of around 0.3 per cent a year.</w:t>
      </w:r>
      <w:r>
        <w:rPr>
          <w:lang w:eastAsia="en-US"/>
        </w:rPr>
        <w:t xml:space="preserve"> This </w:t>
      </w:r>
      <w:r w:rsidR="001610EC">
        <w:rPr>
          <w:lang w:eastAsia="en-US"/>
        </w:rPr>
        <w:t>was</w:t>
      </w:r>
      <w:r>
        <w:rPr>
          <w:lang w:eastAsia="en-US"/>
        </w:rPr>
        <w:t xml:space="preserve"> largely due to a decline in sheep numbers and drought conditions</w:t>
      </w:r>
      <w:r w:rsidR="001610EC">
        <w:rPr>
          <w:lang w:eastAsia="en-US"/>
        </w:rPr>
        <w:t xml:space="preserve"> (see the discussion below)</w:t>
      </w:r>
      <w:r>
        <w:rPr>
          <w:lang w:eastAsia="en-US"/>
        </w:rPr>
        <w:t xml:space="preserve">. </w:t>
      </w:r>
    </w:p>
    <w:p w:rsidR="008647E4" w:rsidRDefault="001610EC" w:rsidP="00846BC4">
      <w:pPr>
        <w:pStyle w:val="BodyText"/>
        <w:rPr>
          <w:lang w:eastAsia="en-US"/>
        </w:rPr>
      </w:pPr>
      <w:r>
        <w:rPr>
          <w:lang w:eastAsia="en-US"/>
        </w:rPr>
        <w:t xml:space="preserve">In contrast, projected emissions </w:t>
      </w:r>
      <w:proofErr w:type="gramStart"/>
      <w:r>
        <w:rPr>
          <w:lang w:eastAsia="en-US"/>
        </w:rPr>
        <w:t>are expected</w:t>
      </w:r>
      <w:proofErr w:type="gramEnd"/>
      <w:r>
        <w:rPr>
          <w:lang w:eastAsia="en-US"/>
        </w:rPr>
        <w:t xml:space="preserve"> to grow at around 1</w:t>
      </w:r>
      <w:r w:rsidR="006E643A">
        <w:rPr>
          <w:rFonts w:eastAsiaTheme="minorEastAsia" w:hint="eastAsia"/>
          <w:lang w:eastAsia="zh-CN"/>
        </w:rPr>
        <w:t>.2</w:t>
      </w:r>
      <w:r>
        <w:rPr>
          <w:lang w:eastAsia="en-US"/>
        </w:rPr>
        <w:t xml:space="preserve"> per cent a year to 2050. </w:t>
      </w:r>
      <w:r w:rsidR="00252C87">
        <w:rPr>
          <w:lang w:eastAsia="en-US"/>
        </w:rPr>
        <w:t xml:space="preserve">The reasons for these differences between the historical record and the projections trend </w:t>
      </w:r>
      <w:proofErr w:type="gramStart"/>
      <w:r w:rsidR="00252C87">
        <w:rPr>
          <w:lang w:eastAsia="en-US"/>
        </w:rPr>
        <w:t>can be understood</w:t>
      </w:r>
      <w:proofErr w:type="gramEnd"/>
      <w:r w:rsidR="00252C87">
        <w:rPr>
          <w:lang w:eastAsia="en-US"/>
        </w:rPr>
        <w:t xml:space="preserve"> by looking in more detail at the composition of agricultural emissions.</w:t>
      </w:r>
    </w:p>
    <w:p w:rsidR="00A31C75" w:rsidRDefault="00A31C75" w:rsidP="00A31C75">
      <w:pPr>
        <w:pStyle w:val="Heading2"/>
      </w:pPr>
      <w:bookmarkStart w:id="9" w:name="_Toc366052851"/>
      <w:r>
        <w:lastRenderedPageBreak/>
        <w:t>The broad composition of agricultural emissions</w:t>
      </w:r>
      <w:bookmarkEnd w:id="9"/>
    </w:p>
    <w:p w:rsidR="00A31C75" w:rsidRDefault="00252C87" w:rsidP="00A31C75">
      <w:pPr>
        <w:pStyle w:val="BodyText"/>
      </w:pPr>
      <w:r>
        <w:t>The a</w:t>
      </w:r>
      <w:r w:rsidR="00A31C75">
        <w:t xml:space="preserve">gricultural emissions </w:t>
      </w:r>
      <w:r>
        <w:t xml:space="preserve">projected here </w:t>
      </w:r>
      <w:r w:rsidR="00A31C75">
        <w:t>consis</w:t>
      </w:r>
      <w:r w:rsidR="008647E4">
        <w:t>t of five broad components</w:t>
      </w:r>
      <w:r w:rsidR="007539FD">
        <w:t>:</w:t>
      </w:r>
    </w:p>
    <w:p w:rsidR="007539FD" w:rsidRDefault="007539FD" w:rsidP="007539FD">
      <w:pPr>
        <w:pStyle w:val="ListBullet"/>
      </w:pPr>
      <w:proofErr w:type="gramStart"/>
      <w:r>
        <w:t>Enteric fermentation</w:t>
      </w:r>
      <w:r w:rsidR="00C20D5A">
        <w:t xml:space="preserve"> — the emission of methane as a by-product of the digestive processes of cattle, sheep, pigs and other animals.</w:t>
      </w:r>
      <w:proofErr w:type="gramEnd"/>
    </w:p>
    <w:p w:rsidR="007539FD" w:rsidRDefault="007539FD" w:rsidP="007539FD">
      <w:pPr>
        <w:pStyle w:val="ListBullet"/>
      </w:pPr>
      <w:proofErr w:type="gramStart"/>
      <w:r>
        <w:t>Manure management</w:t>
      </w:r>
      <w:r w:rsidR="00C20D5A">
        <w:t xml:space="preserve"> — the emission of methane (and in some cases nitrous oxide) from the decomposition of organic matter in animal manure</w:t>
      </w:r>
      <w:r w:rsidR="00252C87">
        <w:t>.</w:t>
      </w:r>
      <w:proofErr w:type="gramEnd"/>
    </w:p>
    <w:p w:rsidR="007539FD" w:rsidRDefault="007539FD" w:rsidP="007539FD">
      <w:pPr>
        <w:pStyle w:val="ListBullet"/>
      </w:pPr>
      <w:r>
        <w:t>Rice cultivation</w:t>
      </w:r>
      <w:r w:rsidR="00C20D5A">
        <w:t xml:space="preserve"> — methane generated during rice growing from the decomposition of residues and organic carbon in the soil </w:t>
      </w:r>
      <w:proofErr w:type="gramStart"/>
      <w:r w:rsidR="00C20D5A">
        <w:t>as a consequence</w:t>
      </w:r>
      <w:proofErr w:type="gramEnd"/>
      <w:r w:rsidR="00C20D5A">
        <w:t xml:space="preserve"> of flooding of the rice crop</w:t>
      </w:r>
      <w:r w:rsidR="00252C87">
        <w:t>.</w:t>
      </w:r>
    </w:p>
    <w:p w:rsidR="007539FD" w:rsidRDefault="007539FD" w:rsidP="007539FD">
      <w:pPr>
        <w:pStyle w:val="ListBullet"/>
      </w:pPr>
      <w:r>
        <w:t xml:space="preserve">Agricultural </w:t>
      </w:r>
      <w:r w:rsidR="00FB0CF4">
        <w:t xml:space="preserve">soils — the emission of nitrous oxide from soils </w:t>
      </w:r>
      <w:proofErr w:type="gramStart"/>
      <w:r w:rsidR="00FB0CF4">
        <w:t>as a result</w:t>
      </w:r>
      <w:proofErr w:type="gramEnd"/>
      <w:r w:rsidR="00FB0CF4">
        <w:t xml:space="preserve"> of microbial and chemical transformations, due in part to the application of nitrogen fertilisers</w:t>
      </w:r>
      <w:r w:rsidR="00252C87">
        <w:t>.</w:t>
      </w:r>
    </w:p>
    <w:p w:rsidR="007539FD" w:rsidRDefault="007539FD" w:rsidP="007539FD">
      <w:pPr>
        <w:pStyle w:val="ListBullet"/>
      </w:pPr>
      <w:r>
        <w:t>Field burning of agricultural residues</w:t>
      </w:r>
      <w:r w:rsidR="00FB0CF4">
        <w:t xml:space="preserve"> — emission of a range of greenhouse</w:t>
      </w:r>
      <w:r w:rsidR="00565C77">
        <w:t xml:space="preserve"> gases largely </w:t>
      </w:r>
      <w:proofErr w:type="gramStart"/>
      <w:r w:rsidR="00565C77">
        <w:t>as a result</w:t>
      </w:r>
      <w:proofErr w:type="gramEnd"/>
      <w:r w:rsidR="00FB0CF4">
        <w:t xml:space="preserve"> of stubble burn</w:t>
      </w:r>
      <w:r w:rsidR="003814BE">
        <w:t>ing (for crops such as wheat) or</w:t>
      </w:r>
      <w:r w:rsidR="00FB0CF4">
        <w:t xml:space="preserve"> burning of a sugar cane crop before harvest.</w:t>
      </w:r>
    </w:p>
    <w:p w:rsidR="006E0348" w:rsidRDefault="006E0348" w:rsidP="00021D2D">
      <w:pPr>
        <w:pStyle w:val="Heading3"/>
      </w:pPr>
      <w:r>
        <w:t>Emissions by broad sector</w:t>
      </w:r>
    </w:p>
    <w:p w:rsidR="006E0348" w:rsidRDefault="006E0348" w:rsidP="006E0348">
      <w:pPr>
        <w:pStyle w:val="BodyText"/>
      </w:pPr>
      <w:r>
        <w:t xml:space="preserve">Chart 2.2 reports emissions for each of these sources from 1990 to 2050. Table 2.3 presents key values for the projections. This shows clearly that the main reason for the decline in total emissions to 2011 was the decline in emissions from enteric fermentation. </w:t>
      </w:r>
    </w:p>
    <w:p w:rsidR="006E0348" w:rsidRPr="00695C93" w:rsidRDefault="006E0348" w:rsidP="006E0348">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w:instrText>
      </w:r>
      <w:fldSimple w:instr=" STYLEREF &quot;Heading 1&quot; \l \n ">
        <w:r w:rsidR="00927DCC">
          <w:rPr>
            <w:noProof/>
          </w:rPr>
          <w:instrText>2</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10" w:name="_Toc366052873"/>
      <w:r w:rsidR="00927DCC">
        <w:rPr>
          <w:noProof/>
        </w:rPr>
        <w:t>2</w:t>
      </w:r>
      <w:r w:rsidR="00927DCC" w:rsidRPr="00695C93">
        <w:rPr>
          <w:noProof/>
        </w:rPr>
        <w:t>.</w:t>
      </w:r>
      <w:r w:rsidR="00927DCC">
        <w:rPr>
          <w:noProof/>
        </w:rPr>
        <w:t>2</w:t>
      </w:r>
      <w:r w:rsidRPr="00695C93">
        <w:fldChar w:fldCharType="end"/>
      </w:r>
      <w:r w:rsidRPr="00695C93">
        <w:tab/>
      </w:r>
      <w:r>
        <w:t>Emissions by broad sector 1990 to 2050</w:t>
      </w:r>
      <w:bookmarkEnd w:id="1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E0348" w:rsidTr="006E0348">
        <w:trPr>
          <w:cantSplit/>
        </w:trPr>
        <w:tc>
          <w:tcPr>
            <w:tcW w:w="7938" w:type="dxa"/>
            <w:shd w:val="clear" w:color="auto" w:fill="E9E8E5" w:themeFill="background2"/>
          </w:tcPr>
          <w:p w:rsidR="006E0348" w:rsidRDefault="006E643A" w:rsidP="006E0348">
            <w:pPr>
              <w:pStyle w:val="Chart"/>
            </w:pPr>
            <w:r>
              <w:rPr>
                <w:noProof/>
                <w:lang w:eastAsia="en-AU"/>
              </w:rPr>
              <w:drawing>
                <wp:inline distT="0" distB="0" distL="0" distR="0">
                  <wp:extent cx="5020310" cy="25019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0310" cy="2501900"/>
                          </a:xfrm>
                          <a:prstGeom prst="rect">
                            <a:avLst/>
                          </a:prstGeom>
                          <a:noFill/>
                          <a:ln>
                            <a:noFill/>
                          </a:ln>
                        </pic:spPr>
                      </pic:pic>
                    </a:graphicData>
                  </a:graphic>
                </wp:inline>
              </w:drawing>
            </w:r>
          </w:p>
        </w:tc>
      </w:tr>
    </w:tbl>
    <w:p w:rsidR="006E0348" w:rsidRPr="00A97BEC" w:rsidRDefault="006E0348" w:rsidP="006E0348">
      <w:pPr>
        <w:pStyle w:val="Note"/>
      </w:pPr>
      <w:r w:rsidRPr="00A97BEC">
        <w:rPr>
          <w:i/>
        </w:rPr>
        <w:t xml:space="preserve">Note: </w:t>
      </w:r>
      <w:r>
        <w:rPr>
          <w:i/>
        </w:rPr>
        <w:t>All emissions are calculated using AR4 global warming potentials. Average emissions reported.</w:t>
      </w:r>
    </w:p>
    <w:p w:rsidR="006E0348" w:rsidRDefault="006E0348" w:rsidP="006E0348">
      <w:pPr>
        <w:pStyle w:val="Source"/>
      </w:pPr>
      <w:r>
        <w:rPr>
          <w:i/>
        </w:rPr>
        <w:t>Data source</w:t>
      </w:r>
      <w:r w:rsidRPr="00A67576">
        <w:rPr>
          <w:i/>
        </w:rPr>
        <w:t>:</w:t>
      </w:r>
      <w:r>
        <w:t xml:space="preserve"> DIICCSRTE emissions template, CIE projections</w:t>
      </w:r>
    </w:p>
    <w:p w:rsidR="006E0348" w:rsidRDefault="006E0348" w:rsidP="006E0348">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w:instrText>
      </w:r>
      <w:fldSimple w:instr=" STYLEREF &quot;Heading 1&quot; \l \n ">
        <w:r w:rsidR="00927DCC">
          <w:rPr>
            <w:noProof/>
          </w:rPr>
          <w:instrText>2</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3</w:instrText>
      </w:r>
      <w:r w:rsidRPr="00695C93">
        <w:fldChar w:fldCharType="end"/>
      </w:r>
      <w:r w:rsidRPr="00695C93">
        <w:instrText xml:space="preserve">" "" </w:instrText>
      </w:r>
      <w:r w:rsidRPr="00695C93">
        <w:fldChar w:fldCharType="separate"/>
      </w:r>
      <w:bookmarkStart w:id="11" w:name="_Caption4103"/>
      <w:bookmarkStart w:id="12" w:name="_Toc366052874"/>
      <w:r w:rsidR="00927DCC">
        <w:rPr>
          <w:noProof/>
        </w:rPr>
        <w:t>2</w:t>
      </w:r>
      <w:r w:rsidR="00927DCC" w:rsidRPr="00695C93">
        <w:rPr>
          <w:noProof/>
        </w:rPr>
        <w:t>.</w:t>
      </w:r>
      <w:r w:rsidR="00927DCC">
        <w:rPr>
          <w:noProof/>
        </w:rPr>
        <w:t>3</w:t>
      </w:r>
      <w:bookmarkEnd w:id="11"/>
      <w:r w:rsidRPr="00695C93">
        <w:fldChar w:fldCharType="end"/>
      </w:r>
      <w:r w:rsidRPr="00695C93">
        <w:tab/>
      </w:r>
      <w:r>
        <w:t>Emissions by broad sector</w:t>
      </w:r>
      <w:bookmarkEnd w:id="12"/>
    </w:p>
    <w:tbl>
      <w:tblPr>
        <w:tblW w:w="7938" w:type="dxa"/>
        <w:tblInd w:w="57" w:type="dxa"/>
        <w:tblLayout w:type="fixed"/>
        <w:tblLook w:val="04A0" w:firstRow="1" w:lastRow="0" w:firstColumn="1" w:lastColumn="0" w:noHBand="0" w:noVBand="1"/>
      </w:tblPr>
      <w:tblGrid>
        <w:gridCol w:w="2884"/>
        <w:gridCol w:w="1010"/>
        <w:gridCol w:w="1011"/>
        <w:gridCol w:w="1011"/>
        <w:gridCol w:w="1011"/>
        <w:gridCol w:w="1011"/>
      </w:tblGrid>
      <w:tr w:rsidR="006E0348" w:rsidRPr="001A2983" w:rsidTr="00A70E5F">
        <w:trPr>
          <w:trHeight w:val="315"/>
        </w:trPr>
        <w:tc>
          <w:tcPr>
            <w:tcW w:w="2884" w:type="dxa"/>
            <w:shd w:val="clear" w:color="auto" w:fill="6F6652"/>
            <w:noWrap/>
            <w:tcMar>
              <w:left w:w="57" w:type="dxa"/>
              <w:right w:w="57" w:type="dxa"/>
            </w:tcMar>
            <w:hideMark/>
          </w:tcPr>
          <w:p w:rsidR="006E0348" w:rsidRPr="001A2983" w:rsidRDefault="006E0348" w:rsidP="00A70E5F">
            <w:pPr>
              <w:pStyle w:val="TableDataColumnHeading"/>
              <w:jc w:val="left"/>
            </w:pPr>
          </w:p>
        </w:tc>
        <w:tc>
          <w:tcPr>
            <w:tcW w:w="1010" w:type="dxa"/>
            <w:shd w:val="clear" w:color="auto" w:fill="6F6652"/>
            <w:noWrap/>
            <w:tcMar>
              <w:left w:w="57" w:type="dxa"/>
              <w:right w:w="57" w:type="dxa"/>
            </w:tcMar>
            <w:hideMark/>
          </w:tcPr>
          <w:p w:rsidR="006E0348" w:rsidRPr="001A2983" w:rsidRDefault="006E0348" w:rsidP="00A70E5F">
            <w:pPr>
              <w:pStyle w:val="TableDataColumnHeading"/>
            </w:pPr>
            <w:r w:rsidRPr="001A2983">
              <w:t>1990</w:t>
            </w:r>
          </w:p>
        </w:tc>
        <w:tc>
          <w:tcPr>
            <w:tcW w:w="1011" w:type="dxa"/>
            <w:shd w:val="clear" w:color="auto" w:fill="6F6652"/>
            <w:noWrap/>
            <w:tcMar>
              <w:left w:w="57" w:type="dxa"/>
              <w:right w:w="57" w:type="dxa"/>
            </w:tcMar>
            <w:hideMark/>
          </w:tcPr>
          <w:p w:rsidR="006E0348" w:rsidRPr="001A2983" w:rsidRDefault="006E0348" w:rsidP="00A70E5F">
            <w:pPr>
              <w:pStyle w:val="TableDataColumnHeading"/>
            </w:pPr>
            <w:r w:rsidRPr="001A2983">
              <w:t>2012</w:t>
            </w:r>
          </w:p>
        </w:tc>
        <w:tc>
          <w:tcPr>
            <w:tcW w:w="1011" w:type="dxa"/>
            <w:shd w:val="clear" w:color="auto" w:fill="6F6652"/>
            <w:noWrap/>
            <w:tcMar>
              <w:left w:w="57" w:type="dxa"/>
              <w:right w:w="57" w:type="dxa"/>
            </w:tcMar>
            <w:hideMark/>
          </w:tcPr>
          <w:p w:rsidR="006E0348" w:rsidRPr="001A2983" w:rsidRDefault="006E0348" w:rsidP="00A70E5F">
            <w:pPr>
              <w:pStyle w:val="TableDataColumnHeading"/>
            </w:pPr>
            <w:r w:rsidRPr="001A2983">
              <w:t>2020</w:t>
            </w:r>
          </w:p>
        </w:tc>
        <w:tc>
          <w:tcPr>
            <w:tcW w:w="1011" w:type="dxa"/>
            <w:shd w:val="clear" w:color="auto" w:fill="6F6652"/>
            <w:noWrap/>
            <w:tcMar>
              <w:left w:w="57" w:type="dxa"/>
              <w:right w:w="57" w:type="dxa"/>
            </w:tcMar>
            <w:hideMark/>
          </w:tcPr>
          <w:p w:rsidR="006E0348" w:rsidRPr="001A2983" w:rsidRDefault="006E0348" w:rsidP="00A70E5F">
            <w:pPr>
              <w:pStyle w:val="TableDataColumnHeading"/>
            </w:pPr>
            <w:r w:rsidRPr="001A2983">
              <w:t>2030</w:t>
            </w:r>
          </w:p>
        </w:tc>
        <w:tc>
          <w:tcPr>
            <w:tcW w:w="1011" w:type="dxa"/>
            <w:shd w:val="clear" w:color="auto" w:fill="6F6652"/>
            <w:noWrap/>
            <w:tcMar>
              <w:left w:w="57" w:type="dxa"/>
              <w:right w:w="57" w:type="dxa"/>
            </w:tcMar>
            <w:hideMark/>
          </w:tcPr>
          <w:p w:rsidR="006E0348" w:rsidRPr="001A2983" w:rsidRDefault="006E0348" w:rsidP="00A70E5F">
            <w:pPr>
              <w:pStyle w:val="TableDataColumnHeading"/>
            </w:pPr>
            <w:r w:rsidRPr="001A2983">
              <w:t>2050</w:t>
            </w:r>
          </w:p>
        </w:tc>
      </w:tr>
      <w:tr w:rsidR="006E0348" w:rsidRPr="001A2983" w:rsidTr="00A70E5F">
        <w:trPr>
          <w:trHeight w:val="375"/>
        </w:trPr>
        <w:tc>
          <w:tcPr>
            <w:tcW w:w="2884" w:type="dxa"/>
            <w:shd w:val="clear" w:color="auto" w:fill="auto"/>
            <w:noWrap/>
            <w:tcMar>
              <w:left w:w="57" w:type="dxa"/>
              <w:right w:w="57" w:type="dxa"/>
            </w:tcMar>
            <w:hideMark/>
          </w:tcPr>
          <w:p w:rsidR="006E0348" w:rsidRPr="001A2983" w:rsidRDefault="006E0348" w:rsidP="00A70E5F">
            <w:pPr>
              <w:pStyle w:val="TableUnit"/>
              <w:jc w:val="left"/>
            </w:pPr>
          </w:p>
        </w:tc>
        <w:tc>
          <w:tcPr>
            <w:tcW w:w="1010" w:type="dxa"/>
            <w:shd w:val="clear" w:color="auto" w:fill="auto"/>
            <w:noWrap/>
            <w:tcMar>
              <w:left w:w="57" w:type="dxa"/>
              <w:right w:w="57" w:type="dxa"/>
            </w:tcMar>
            <w:hideMark/>
          </w:tcPr>
          <w:p w:rsidR="006E0348" w:rsidRPr="001A2983" w:rsidRDefault="006E0348" w:rsidP="00A70E5F">
            <w:pPr>
              <w:pStyle w:val="TableUnit"/>
            </w:pPr>
            <w:r w:rsidRPr="001A2983">
              <w:t>Mt CO</w:t>
            </w:r>
            <w:r w:rsidRPr="001A2983">
              <w:rPr>
                <w:vertAlign w:val="subscript"/>
              </w:rPr>
              <w:t>2</w:t>
            </w:r>
            <w:r w:rsidRPr="001A2983">
              <w:t>-e</w:t>
            </w:r>
          </w:p>
        </w:tc>
        <w:tc>
          <w:tcPr>
            <w:tcW w:w="1011" w:type="dxa"/>
            <w:shd w:val="clear" w:color="auto" w:fill="auto"/>
            <w:noWrap/>
            <w:tcMar>
              <w:left w:w="57" w:type="dxa"/>
              <w:right w:w="57" w:type="dxa"/>
            </w:tcMar>
            <w:hideMark/>
          </w:tcPr>
          <w:p w:rsidR="006E0348" w:rsidRPr="001A2983" w:rsidRDefault="006E0348" w:rsidP="00A70E5F">
            <w:pPr>
              <w:pStyle w:val="TableUnit"/>
            </w:pPr>
            <w:r w:rsidRPr="001A2983">
              <w:t>Mt CO</w:t>
            </w:r>
            <w:r w:rsidRPr="001A2983">
              <w:rPr>
                <w:vertAlign w:val="subscript"/>
              </w:rPr>
              <w:t>2</w:t>
            </w:r>
            <w:r w:rsidRPr="001A2983">
              <w:t>-e</w:t>
            </w:r>
          </w:p>
        </w:tc>
        <w:tc>
          <w:tcPr>
            <w:tcW w:w="1011" w:type="dxa"/>
            <w:shd w:val="clear" w:color="auto" w:fill="auto"/>
            <w:noWrap/>
            <w:tcMar>
              <w:left w:w="57" w:type="dxa"/>
              <w:right w:w="57" w:type="dxa"/>
            </w:tcMar>
            <w:hideMark/>
          </w:tcPr>
          <w:p w:rsidR="006E0348" w:rsidRPr="001A2983" w:rsidRDefault="006E0348" w:rsidP="00A70E5F">
            <w:pPr>
              <w:pStyle w:val="TableUnit"/>
            </w:pPr>
            <w:r w:rsidRPr="001A2983">
              <w:t>Mt CO</w:t>
            </w:r>
            <w:r w:rsidRPr="001A2983">
              <w:rPr>
                <w:vertAlign w:val="subscript"/>
              </w:rPr>
              <w:t>2</w:t>
            </w:r>
            <w:r w:rsidRPr="001A2983">
              <w:t>-e</w:t>
            </w:r>
          </w:p>
        </w:tc>
        <w:tc>
          <w:tcPr>
            <w:tcW w:w="1011" w:type="dxa"/>
            <w:shd w:val="clear" w:color="auto" w:fill="auto"/>
            <w:noWrap/>
            <w:tcMar>
              <w:left w:w="57" w:type="dxa"/>
              <w:right w:w="57" w:type="dxa"/>
            </w:tcMar>
            <w:hideMark/>
          </w:tcPr>
          <w:p w:rsidR="006E0348" w:rsidRPr="001A2983" w:rsidRDefault="006E0348" w:rsidP="00A70E5F">
            <w:pPr>
              <w:pStyle w:val="TableUnit"/>
            </w:pPr>
            <w:r w:rsidRPr="001A2983">
              <w:t>Mt CO</w:t>
            </w:r>
            <w:r w:rsidRPr="001A2983">
              <w:rPr>
                <w:vertAlign w:val="subscript"/>
              </w:rPr>
              <w:t>2</w:t>
            </w:r>
            <w:r w:rsidRPr="001A2983">
              <w:t>-e</w:t>
            </w:r>
          </w:p>
        </w:tc>
        <w:tc>
          <w:tcPr>
            <w:tcW w:w="1011" w:type="dxa"/>
            <w:shd w:val="clear" w:color="auto" w:fill="auto"/>
            <w:noWrap/>
            <w:tcMar>
              <w:left w:w="57" w:type="dxa"/>
              <w:right w:w="57" w:type="dxa"/>
            </w:tcMar>
            <w:hideMark/>
          </w:tcPr>
          <w:p w:rsidR="006E0348" w:rsidRPr="001A2983" w:rsidRDefault="006E0348" w:rsidP="00A70E5F">
            <w:pPr>
              <w:pStyle w:val="TableUnit"/>
            </w:pPr>
            <w:r w:rsidRPr="001A2983">
              <w:t>Mt CO</w:t>
            </w:r>
            <w:r w:rsidRPr="001A2983">
              <w:rPr>
                <w:vertAlign w:val="subscript"/>
              </w:rPr>
              <w:t>2</w:t>
            </w:r>
            <w:r w:rsidRPr="001A2983">
              <w:t>-e</w:t>
            </w:r>
          </w:p>
        </w:tc>
      </w:tr>
      <w:tr w:rsidR="00A70E5F" w:rsidRPr="001A2983" w:rsidTr="00A70E5F">
        <w:trPr>
          <w:trHeight w:val="315"/>
        </w:trPr>
        <w:tc>
          <w:tcPr>
            <w:tcW w:w="2884" w:type="dxa"/>
            <w:shd w:val="clear" w:color="auto" w:fill="E9E8E5" w:themeFill="background2"/>
            <w:noWrap/>
            <w:tcMar>
              <w:left w:w="57" w:type="dxa"/>
              <w:right w:w="57" w:type="dxa"/>
            </w:tcMar>
            <w:hideMark/>
          </w:tcPr>
          <w:p w:rsidR="00A70E5F" w:rsidRPr="001A2983" w:rsidRDefault="00A70E5F" w:rsidP="00A70E5F">
            <w:pPr>
              <w:pStyle w:val="TableDataEntries"/>
              <w:jc w:val="left"/>
            </w:pPr>
            <w:r w:rsidRPr="001A2983">
              <w:t>Enteric fermentation</w:t>
            </w:r>
          </w:p>
        </w:tc>
        <w:tc>
          <w:tcPr>
            <w:tcW w:w="1010" w:type="dxa"/>
            <w:shd w:val="clear" w:color="auto" w:fill="E9E8E5" w:themeFill="background2"/>
            <w:noWrap/>
            <w:tcMar>
              <w:left w:w="57" w:type="dxa"/>
              <w:right w:w="57" w:type="dxa"/>
            </w:tcMar>
            <w:hideMark/>
          </w:tcPr>
          <w:p w:rsidR="00A70E5F" w:rsidRPr="001A2983" w:rsidRDefault="00A70E5F" w:rsidP="00A70E5F">
            <w:pPr>
              <w:pStyle w:val="TableDataEntries"/>
            </w:pPr>
            <w:r w:rsidRPr="001A2983">
              <w:t>76.09</w:t>
            </w:r>
          </w:p>
        </w:tc>
        <w:tc>
          <w:tcPr>
            <w:tcW w:w="1011" w:type="dxa"/>
            <w:shd w:val="clear" w:color="auto" w:fill="E9E8E5" w:themeFill="background2"/>
            <w:noWrap/>
            <w:tcMar>
              <w:left w:w="57" w:type="dxa"/>
              <w:right w:w="57" w:type="dxa"/>
            </w:tcMar>
            <w:hideMark/>
          </w:tcPr>
          <w:p w:rsidR="00A70E5F" w:rsidRDefault="00A70E5F" w:rsidP="00A70E5F">
            <w:pPr>
              <w:pStyle w:val="TableDataEntries"/>
              <w:rPr>
                <w:sz w:val="24"/>
                <w:szCs w:val="24"/>
              </w:rPr>
            </w:pPr>
            <w:r>
              <w:t>66.77</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71.85</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86.41</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101.00</w:t>
            </w:r>
          </w:p>
        </w:tc>
      </w:tr>
      <w:tr w:rsidR="00A70E5F" w:rsidRPr="001A2983" w:rsidTr="00A70E5F">
        <w:trPr>
          <w:trHeight w:val="315"/>
        </w:trPr>
        <w:tc>
          <w:tcPr>
            <w:tcW w:w="2884" w:type="dxa"/>
            <w:shd w:val="clear" w:color="auto" w:fill="E9E8E5" w:themeFill="background2"/>
            <w:noWrap/>
            <w:tcMar>
              <w:left w:w="57" w:type="dxa"/>
              <w:right w:w="57" w:type="dxa"/>
            </w:tcMar>
            <w:hideMark/>
          </w:tcPr>
          <w:p w:rsidR="00A70E5F" w:rsidRPr="001A2983" w:rsidRDefault="00A70E5F" w:rsidP="00A70E5F">
            <w:pPr>
              <w:pStyle w:val="TableDataEntries"/>
              <w:jc w:val="left"/>
            </w:pPr>
            <w:r w:rsidRPr="001A2983">
              <w:t>Manure management</w:t>
            </w:r>
          </w:p>
        </w:tc>
        <w:tc>
          <w:tcPr>
            <w:tcW w:w="1010" w:type="dxa"/>
            <w:shd w:val="clear" w:color="auto" w:fill="E9E8E5" w:themeFill="background2"/>
            <w:noWrap/>
            <w:tcMar>
              <w:left w:w="57" w:type="dxa"/>
              <w:right w:w="57" w:type="dxa"/>
            </w:tcMar>
            <w:hideMark/>
          </w:tcPr>
          <w:p w:rsidR="00A70E5F" w:rsidRPr="001A2983" w:rsidRDefault="00A70E5F" w:rsidP="00A70E5F">
            <w:pPr>
              <w:pStyle w:val="TableDataEntries"/>
            </w:pPr>
            <w:r w:rsidRPr="001A2983">
              <w:t>2.34</w:t>
            </w:r>
          </w:p>
        </w:tc>
        <w:tc>
          <w:tcPr>
            <w:tcW w:w="1011" w:type="dxa"/>
            <w:shd w:val="clear" w:color="auto" w:fill="E9E8E5" w:themeFill="background2"/>
            <w:noWrap/>
            <w:tcMar>
              <w:left w:w="57" w:type="dxa"/>
              <w:right w:w="57" w:type="dxa"/>
            </w:tcMar>
            <w:hideMark/>
          </w:tcPr>
          <w:p w:rsidR="00A70E5F" w:rsidRDefault="00A70E5F" w:rsidP="00A70E5F">
            <w:pPr>
              <w:pStyle w:val="TableDataEntries"/>
              <w:rPr>
                <w:sz w:val="24"/>
                <w:szCs w:val="24"/>
              </w:rPr>
            </w:pPr>
            <w:r>
              <w:t>3.47</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3.67</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4.49</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5.22</w:t>
            </w:r>
          </w:p>
        </w:tc>
      </w:tr>
      <w:tr w:rsidR="00A70E5F" w:rsidRPr="001A2983" w:rsidTr="00A70E5F">
        <w:trPr>
          <w:trHeight w:val="315"/>
        </w:trPr>
        <w:tc>
          <w:tcPr>
            <w:tcW w:w="2884" w:type="dxa"/>
            <w:shd w:val="clear" w:color="auto" w:fill="E9E8E5" w:themeFill="background2"/>
            <w:noWrap/>
            <w:tcMar>
              <w:left w:w="57" w:type="dxa"/>
              <w:right w:w="57" w:type="dxa"/>
            </w:tcMar>
            <w:hideMark/>
          </w:tcPr>
          <w:p w:rsidR="00A70E5F" w:rsidRPr="001A2983" w:rsidRDefault="00A70E5F" w:rsidP="00A70E5F">
            <w:pPr>
              <w:pStyle w:val="TableDataEntries"/>
              <w:jc w:val="left"/>
            </w:pPr>
            <w:r w:rsidRPr="001A2983">
              <w:t>Rice cultivation</w:t>
            </w:r>
          </w:p>
        </w:tc>
        <w:tc>
          <w:tcPr>
            <w:tcW w:w="1010" w:type="dxa"/>
            <w:shd w:val="clear" w:color="auto" w:fill="E9E8E5" w:themeFill="background2"/>
            <w:noWrap/>
            <w:tcMar>
              <w:left w:w="57" w:type="dxa"/>
              <w:right w:w="57" w:type="dxa"/>
            </w:tcMar>
            <w:hideMark/>
          </w:tcPr>
          <w:p w:rsidR="00A70E5F" w:rsidRPr="001A2983" w:rsidRDefault="00A70E5F" w:rsidP="00A70E5F">
            <w:pPr>
              <w:pStyle w:val="TableDataEntries"/>
            </w:pPr>
            <w:r w:rsidRPr="001A2983">
              <w:t>0.58</w:t>
            </w:r>
          </w:p>
        </w:tc>
        <w:tc>
          <w:tcPr>
            <w:tcW w:w="1011" w:type="dxa"/>
            <w:shd w:val="clear" w:color="auto" w:fill="E9E8E5" w:themeFill="background2"/>
            <w:noWrap/>
            <w:tcMar>
              <w:left w:w="57" w:type="dxa"/>
              <w:right w:w="57" w:type="dxa"/>
            </w:tcMar>
            <w:hideMark/>
          </w:tcPr>
          <w:p w:rsidR="00A70E5F" w:rsidRDefault="00A70E5F" w:rsidP="00A70E5F">
            <w:pPr>
              <w:pStyle w:val="TableDataEntries"/>
              <w:rPr>
                <w:sz w:val="24"/>
                <w:szCs w:val="24"/>
              </w:rPr>
            </w:pPr>
            <w:r>
              <w:t>0.60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0.70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0.70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0.70</w:t>
            </w:r>
          </w:p>
        </w:tc>
      </w:tr>
      <w:tr w:rsidR="00A70E5F" w:rsidRPr="001A2983" w:rsidTr="00A70E5F">
        <w:trPr>
          <w:trHeight w:val="315"/>
        </w:trPr>
        <w:tc>
          <w:tcPr>
            <w:tcW w:w="2884" w:type="dxa"/>
            <w:shd w:val="clear" w:color="auto" w:fill="E9E8E5" w:themeFill="background2"/>
            <w:noWrap/>
            <w:tcMar>
              <w:left w:w="57" w:type="dxa"/>
              <w:right w:w="57" w:type="dxa"/>
            </w:tcMar>
            <w:hideMark/>
          </w:tcPr>
          <w:p w:rsidR="00A70E5F" w:rsidRPr="001A2983" w:rsidRDefault="00A70E5F" w:rsidP="00A70E5F">
            <w:pPr>
              <w:pStyle w:val="TableDataEntries"/>
              <w:jc w:val="left"/>
            </w:pPr>
            <w:r w:rsidRPr="001A2983">
              <w:t>Agricultural soils</w:t>
            </w:r>
          </w:p>
        </w:tc>
        <w:tc>
          <w:tcPr>
            <w:tcW w:w="1010" w:type="dxa"/>
            <w:shd w:val="clear" w:color="auto" w:fill="E9E8E5" w:themeFill="background2"/>
            <w:noWrap/>
            <w:tcMar>
              <w:left w:w="57" w:type="dxa"/>
              <w:right w:w="57" w:type="dxa"/>
            </w:tcMar>
            <w:hideMark/>
          </w:tcPr>
          <w:p w:rsidR="00A70E5F" w:rsidRPr="001A2983" w:rsidRDefault="00A70E5F" w:rsidP="00A70E5F">
            <w:pPr>
              <w:pStyle w:val="TableDataEntries"/>
            </w:pPr>
            <w:r w:rsidRPr="001A2983">
              <w:t>12.86</w:t>
            </w:r>
          </w:p>
        </w:tc>
        <w:tc>
          <w:tcPr>
            <w:tcW w:w="1011" w:type="dxa"/>
            <w:shd w:val="clear" w:color="auto" w:fill="E9E8E5" w:themeFill="background2"/>
            <w:noWrap/>
            <w:tcMar>
              <w:left w:w="57" w:type="dxa"/>
              <w:right w:w="57" w:type="dxa"/>
            </w:tcMar>
            <w:hideMark/>
          </w:tcPr>
          <w:p w:rsidR="00A70E5F" w:rsidRDefault="00A70E5F" w:rsidP="00A70E5F">
            <w:pPr>
              <w:pStyle w:val="TableDataEntries"/>
              <w:rPr>
                <w:sz w:val="24"/>
                <w:szCs w:val="24"/>
              </w:rPr>
            </w:pPr>
            <w:r>
              <w:t>14.84</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16.63</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19.80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24.43</w:t>
            </w:r>
          </w:p>
        </w:tc>
      </w:tr>
      <w:tr w:rsidR="00A70E5F" w:rsidRPr="001A2983" w:rsidTr="00A70E5F">
        <w:trPr>
          <w:trHeight w:val="315"/>
        </w:trPr>
        <w:tc>
          <w:tcPr>
            <w:tcW w:w="2884" w:type="dxa"/>
            <w:shd w:val="clear" w:color="auto" w:fill="E9E8E5" w:themeFill="background2"/>
            <w:noWrap/>
            <w:tcMar>
              <w:left w:w="57" w:type="dxa"/>
              <w:right w:w="57" w:type="dxa"/>
            </w:tcMar>
            <w:hideMark/>
          </w:tcPr>
          <w:p w:rsidR="00A70E5F" w:rsidRPr="001A2983" w:rsidRDefault="00A70E5F" w:rsidP="00A70E5F">
            <w:pPr>
              <w:pStyle w:val="TableDataEntries"/>
              <w:jc w:val="left"/>
            </w:pPr>
            <w:r w:rsidRPr="001A2983">
              <w:t>Field burning of agricultural residues</w:t>
            </w:r>
          </w:p>
        </w:tc>
        <w:tc>
          <w:tcPr>
            <w:tcW w:w="1010" w:type="dxa"/>
            <w:shd w:val="clear" w:color="auto" w:fill="E9E8E5" w:themeFill="background2"/>
            <w:noWrap/>
            <w:tcMar>
              <w:left w:w="57" w:type="dxa"/>
              <w:right w:w="57" w:type="dxa"/>
            </w:tcMar>
            <w:hideMark/>
          </w:tcPr>
          <w:p w:rsidR="00A70E5F" w:rsidRPr="001A2983" w:rsidRDefault="00A70E5F" w:rsidP="00A70E5F">
            <w:pPr>
              <w:pStyle w:val="TableDataEntries"/>
            </w:pPr>
            <w:r w:rsidRPr="001A2983">
              <w:t>0.32</w:t>
            </w:r>
          </w:p>
        </w:tc>
        <w:tc>
          <w:tcPr>
            <w:tcW w:w="1011" w:type="dxa"/>
            <w:shd w:val="clear" w:color="auto" w:fill="E9E8E5" w:themeFill="background2"/>
            <w:noWrap/>
            <w:tcMar>
              <w:left w:w="57" w:type="dxa"/>
              <w:right w:w="57" w:type="dxa"/>
            </w:tcMar>
            <w:hideMark/>
          </w:tcPr>
          <w:p w:rsidR="00A70E5F" w:rsidRDefault="00A70E5F" w:rsidP="00A70E5F">
            <w:pPr>
              <w:pStyle w:val="TableDataEntries"/>
              <w:rPr>
                <w:sz w:val="24"/>
                <w:szCs w:val="24"/>
              </w:rPr>
            </w:pPr>
            <w:r>
              <w:t>0.50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0.60</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0.74</w:t>
            </w:r>
          </w:p>
        </w:tc>
        <w:tc>
          <w:tcPr>
            <w:tcW w:w="1011" w:type="dxa"/>
            <w:shd w:val="clear" w:color="auto" w:fill="E9E8E5" w:themeFill="background2"/>
            <w:noWrap/>
            <w:tcMar>
              <w:left w:w="57" w:type="dxa"/>
              <w:right w:w="57" w:type="dxa"/>
            </w:tcMar>
            <w:hideMark/>
          </w:tcPr>
          <w:p w:rsidR="00A70E5F" w:rsidRPr="00CC7CB3" w:rsidRDefault="00A70E5F" w:rsidP="00A70E5F">
            <w:pPr>
              <w:pStyle w:val="TableDataEntries"/>
            </w:pPr>
            <w:r>
              <w:t>1.16</w:t>
            </w:r>
          </w:p>
        </w:tc>
      </w:tr>
      <w:tr w:rsidR="00A70E5F" w:rsidRPr="001A2983" w:rsidTr="00A70E5F">
        <w:trPr>
          <w:trHeight w:val="315"/>
        </w:trPr>
        <w:tc>
          <w:tcPr>
            <w:tcW w:w="2884" w:type="dxa"/>
            <w:tcBorders>
              <w:bottom w:val="single" w:sz="6" w:space="0" w:color="6F6652"/>
            </w:tcBorders>
            <w:shd w:val="clear" w:color="auto" w:fill="E4E0DA" w:themeFill="text2" w:themeFillTint="33"/>
            <w:noWrap/>
            <w:tcMar>
              <w:left w:w="57" w:type="dxa"/>
              <w:right w:w="57" w:type="dxa"/>
            </w:tcMar>
            <w:hideMark/>
          </w:tcPr>
          <w:p w:rsidR="00A70E5F" w:rsidRPr="001A2983" w:rsidRDefault="00A70E5F" w:rsidP="00A70E5F">
            <w:pPr>
              <w:pStyle w:val="TableDataEntries"/>
              <w:jc w:val="left"/>
            </w:pPr>
            <w:r w:rsidRPr="001A2983">
              <w:t>Total</w:t>
            </w:r>
          </w:p>
        </w:tc>
        <w:tc>
          <w:tcPr>
            <w:tcW w:w="1010" w:type="dxa"/>
            <w:tcBorders>
              <w:bottom w:val="single" w:sz="6" w:space="0" w:color="6F6652"/>
            </w:tcBorders>
            <w:shd w:val="clear" w:color="auto" w:fill="E4E0DA" w:themeFill="text2" w:themeFillTint="33"/>
            <w:noWrap/>
            <w:tcMar>
              <w:left w:w="57" w:type="dxa"/>
              <w:right w:w="57" w:type="dxa"/>
            </w:tcMar>
            <w:hideMark/>
          </w:tcPr>
          <w:p w:rsidR="00A70E5F" w:rsidRPr="008020EE" w:rsidRDefault="00A70E5F" w:rsidP="00A70E5F">
            <w:pPr>
              <w:pStyle w:val="TableDataEntries"/>
              <w:rPr>
                <w:b/>
              </w:rPr>
            </w:pPr>
            <w:r w:rsidRPr="008020EE">
              <w:rPr>
                <w:b/>
              </w:rPr>
              <w:t>92.20</w:t>
            </w:r>
          </w:p>
        </w:tc>
        <w:tc>
          <w:tcPr>
            <w:tcW w:w="1011" w:type="dxa"/>
            <w:tcBorders>
              <w:bottom w:val="single" w:sz="6" w:space="0" w:color="6F6652"/>
            </w:tcBorders>
            <w:shd w:val="clear" w:color="auto" w:fill="E4E0DA" w:themeFill="text2" w:themeFillTint="33"/>
            <w:noWrap/>
            <w:tcMar>
              <w:left w:w="57" w:type="dxa"/>
              <w:right w:w="57" w:type="dxa"/>
            </w:tcMar>
            <w:hideMark/>
          </w:tcPr>
          <w:p w:rsidR="00A70E5F" w:rsidRPr="00A70E5F" w:rsidRDefault="00A70E5F" w:rsidP="00A70E5F">
            <w:pPr>
              <w:pStyle w:val="TableDataEntries"/>
              <w:rPr>
                <w:b/>
                <w:sz w:val="24"/>
                <w:szCs w:val="24"/>
              </w:rPr>
            </w:pPr>
            <w:r w:rsidRPr="00A70E5F">
              <w:rPr>
                <w:b/>
              </w:rPr>
              <w:t>86.18</w:t>
            </w:r>
          </w:p>
        </w:tc>
        <w:tc>
          <w:tcPr>
            <w:tcW w:w="1011" w:type="dxa"/>
            <w:tcBorders>
              <w:bottom w:val="single" w:sz="6" w:space="0" w:color="6F6652"/>
            </w:tcBorders>
            <w:shd w:val="clear" w:color="auto" w:fill="E4E0DA" w:themeFill="text2" w:themeFillTint="33"/>
            <w:noWrap/>
            <w:tcMar>
              <w:left w:w="57" w:type="dxa"/>
              <w:right w:w="57" w:type="dxa"/>
            </w:tcMar>
            <w:hideMark/>
          </w:tcPr>
          <w:p w:rsidR="00A70E5F" w:rsidRPr="00CC7CB3" w:rsidRDefault="00A70E5F" w:rsidP="00A70E5F">
            <w:pPr>
              <w:pStyle w:val="TableDataEntries"/>
              <w:rPr>
                <w:b/>
              </w:rPr>
            </w:pPr>
            <w:r w:rsidRPr="00CC7CB3">
              <w:rPr>
                <w:b/>
              </w:rPr>
              <w:t>93.46</w:t>
            </w:r>
          </w:p>
        </w:tc>
        <w:tc>
          <w:tcPr>
            <w:tcW w:w="1011" w:type="dxa"/>
            <w:tcBorders>
              <w:bottom w:val="single" w:sz="6" w:space="0" w:color="6F6652"/>
            </w:tcBorders>
            <w:shd w:val="clear" w:color="auto" w:fill="E4E0DA" w:themeFill="text2" w:themeFillTint="33"/>
            <w:noWrap/>
            <w:tcMar>
              <w:left w:w="57" w:type="dxa"/>
              <w:right w:w="57" w:type="dxa"/>
            </w:tcMar>
            <w:hideMark/>
          </w:tcPr>
          <w:p w:rsidR="00A70E5F" w:rsidRPr="00CC7CB3" w:rsidRDefault="00A70E5F" w:rsidP="00A70E5F">
            <w:pPr>
              <w:pStyle w:val="TableDataEntries"/>
              <w:rPr>
                <w:b/>
              </w:rPr>
            </w:pPr>
            <w:r w:rsidRPr="00CC7CB3">
              <w:rPr>
                <w:b/>
              </w:rPr>
              <w:t>112.15</w:t>
            </w:r>
          </w:p>
        </w:tc>
        <w:tc>
          <w:tcPr>
            <w:tcW w:w="1011" w:type="dxa"/>
            <w:tcBorders>
              <w:bottom w:val="single" w:sz="6" w:space="0" w:color="6F6652"/>
            </w:tcBorders>
            <w:shd w:val="clear" w:color="auto" w:fill="E4E0DA" w:themeFill="text2" w:themeFillTint="33"/>
            <w:noWrap/>
            <w:tcMar>
              <w:left w:w="57" w:type="dxa"/>
              <w:right w:w="57" w:type="dxa"/>
            </w:tcMar>
            <w:hideMark/>
          </w:tcPr>
          <w:p w:rsidR="00A70E5F" w:rsidRPr="00CC7CB3" w:rsidRDefault="00A70E5F" w:rsidP="00A70E5F">
            <w:pPr>
              <w:pStyle w:val="TableDataEntries"/>
              <w:rPr>
                <w:b/>
              </w:rPr>
            </w:pPr>
            <w:r w:rsidRPr="00CC7CB3">
              <w:rPr>
                <w:b/>
              </w:rPr>
              <w:t>132.51</w:t>
            </w:r>
          </w:p>
        </w:tc>
      </w:tr>
    </w:tbl>
    <w:p w:rsidR="006E0348" w:rsidRPr="00A97BEC" w:rsidRDefault="006E0348" w:rsidP="006E0348">
      <w:pPr>
        <w:pStyle w:val="Note"/>
      </w:pPr>
      <w:r w:rsidRPr="00A97BEC">
        <w:rPr>
          <w:i/>
        </w:rPr>
        <w:t xml:space="preserve">Note: </w:t>
      </w:r>
      <w:r>
        <w:rPr>
          <w:i/>
        </w:rPr>
        <w:t>All emissions are calculated using AR4 global warming potentials. Average emission reported. Results for 2012 are actual emissions.</w:t>
      </w:r>
    </w:p>
    <w:p w:rsidR="006E0348" w:rsidRDefault="006E0348" w:rsidP="006E0348">
      <w:pPr>
        <w:pStyle w:val="Source"/>
      </w:pPr>
      <w:r>
        <w:rPr>
          <w:i/>
        </w:rPr>
        <w:t>Data source</w:t>
      </w:r>
      <w:r w:rsidRPr="00A67576">
        <w:rPr>
          <w:i/>
        </w:rPr>
        <w:t>:</w:t>
      </w:r>
      <w:r>
        <w:t xml:space="preserve"> DIICCSRTE emissions template, CIE projections</w:t>
      </w:r>
    </w:p>
    <w:p w:rsidR="00021D2D" w:rsidRDefault="00021D2D" w:rsidP="00021D2D">
      <w:pPr>
        <w:pStyle w:val="Heading3"/>
      </w:pPr>
      <w:r>
        <w:t xml:space="preserve">Key </w:t>
      </w:r>
      <w:r w:rsidR="006E0348">
        <w:t xml:space="preserve">outcomes and </w:t>
      </w:r>
      <w:r>
        <w:t>drivers</w:t>
      </w:r>
    </w:p>
    <w:p w:rsidR="00021D2D" w:rsidRDefault="00021D2D" w:rsidP="0024531D">
      <w:pPr>
        <w:pStyle w:val="BodyText"/>
      </w:pPr>
      <w:r>
        <w:t>Table 2.</w:t>
      </w:r>
      <w:r w:rsidR="006E0348">
        <w:t>4</w:t>
      </w:r>
      <w:r>
        <w:t xml:space="preserve"> summarises the key drivers — in terms of activity levels and in terms of economic drivers — for each of these categories of emissions.</w:t>
      </w:r>
    </w:p>
    <w:p w:rsidR="006E0348" w:rsidRDefault="006E0348" w:rsidP="0024531D">
      <w:pPr>
        <w:pStyle w:val="BodyText"/>
      </w:pPr>
      <w:r>
        <w:t>For the majority of emissions (particularly enteric fermentation and manure management) the main activity driver is the number of livestock (head of cattle, sheep and so on) in either the meat industry or the dairy industry. Our economic modelling of these industries suggests that export demand will be a major determinant of future growth in livestock numbers. This is in turn mostly due to projected population and income growth in Asian economies.</w:t>
      </w:r>
    </w:p>
    <w:p w:rsidR="006E0348" w:rsidRDefault="006E0348" w:rsidP="006E0348">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w:instrText>
      </w:r>
      <w:fldSimple w:instr=" STYLEREF &quot;Heading 1&quot; \l \n ">
        <w:r w:rsidR="00927DCC">
          <w:rPr>
            <w:noProof/>
          </w:rPr>
          <w:instrText>2</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4</w:instrText>
      </w:r>
      <w:r w:rsidRPr="00695C93">
        <w:fldChar w:fldCharType="end"/>
      </w:r>
      <w:r w:rsidRPr="00695C93">
        <w:instrText xml:space="preserve">" "" </w:instrText>
      </w:r>
      <w:r w:rsidRPr="00695C93">
        <w:fldChar w:fldCharType="separate"/>
      </w:r>
      <w:bookmarkStart w:id="13" w:name="_Toc366052875"/>
      <w:r w:rsidR="00927DCC">
        <w:rPr>
          <w:noProof/>
        </w:rPr>
        <w:t>2</w:t>
      </w:r>
      <w:r w:rsidR="00927DCC" w:rsidRPr="00695C93">
        <w:rPr>
          <w:noProof/>
        </w:rPr>
        <w:t>.</w:t>
      </w:r>
      <w:r w:rsidR="00927DCC">
        <w:rPr>
          <w:noProof/>
        </w:rPr>
        <w:t>4</w:t>
      </w:r>
      <w:r w:rsidRPr="00695C93">
        <w:fldChar w:fldCharType="end"/>
      </w:r>
      <w:r w:rsidRPr="00695C93">
        <w:tab/>
      </w:r>
      <w:r>
        <w:t>Summary of emissions and key drivers</w:t>
      </w:r>
      <w:bookmarkEnd w:id="13"/>
    </w:p>
    <w:tbl>
      <w:tblPr>
        <w:tblW w:w="0" w:type="auto"/>
        <w:tblInd w:w="57" w:type="dxa"/>
        <w:tblLayout w:type="fixed"/>
        <w:tblLook w:val="0000" w:firstRow="0" w:lastRow="0" w:firstColumn="0" w:lastColumn="0" w:noHBand="0" w:noVBand="0"/>
      </w:tblPr>
      <w:tblGrid>
        <w:gridCol w:w="2645"/>
        <w:gridCol w:w="2646"/>
        <w:gridCol w:w="2646"/>
      </w:tblGrid>
      <w:tr w:rsidR="006E0348" w:rsidTr="006E0348">
        <w:tc>
          <w:tcPr>
            <w:tcW w:w="2645" w:type="dxa"/>
            <w:tcBorders>
              <w:bottom w:val="single" w:sz="8" w:space="0" w:color="FFFFFF" w:themeColor="background1"/>
            </w:tcBorders>
            <w:shd w:val="clear" w:color="auto" w:fill="6F6652"/>
            <w:tcMar>
              <w:left w:w="57" w:type="dxa"/>
              <w:right w:w="57" w:type="dxa"/>
            </w:tcMar>
          </w:tcPr>
          <w:p w:rsidR="006E0348" w:rsidRDefault="006E0348" w:rsidP="006E0348">
            <w:pPr>
              <w:pStyle w:val="TableTextColumnHeading"/>
            </w:pPr>
            <w:r>
              <w:t>Emission type, growth and composition</w:t>
            </w:r>
          </w:p>
        </w:tc>
        <w:tc>
          <w:tcPr>
            <w:tcW w:w="2646" w:type="dxa"/>
            <w:tcBorders>
              <w:bottom w:val="single" w:sz="8" w:space="0" w:color="FFFFFF" w:themeColor="background1"/>
            </w:tcBorders>
            <w:shd w:val="clear" w:color="auto" w:fill="6F6652"/>
            <w:tcMar>
              <w:left w:w="57" w:type="dxa"/>
              <w:right w:w="57" w:type="dxa"/>
            </w:tcMar>
          </w:tcPr>
          <w:p w:rsidR="006E0348" w:rsidRDefault="006E0348" w:rsidP="006E0348">
            <w:pPr>
              <w:pStyle w:val="TableTextColumnHeading"/>
            </w:pPr>
            <w:r>
              <w:t>Agricultural activity drivers</w:t>
            </w:r>
          </w:p>
        </w:tc>
        <w:tc>
          <w:tcPr>
            <w:tcW w:w="2646" w:type="dxa"/>
            <w:tcBorders>
              <w:bottom w:val="single" w:sz="8" w:space="0" w:color="FFFFFF" w:themeColor="background1"/>
            </w:tcBorders>
            <w:shd w:val="clear" w:color="auto" w:fill="6F6652"/>
            <w:tcMar>
              <w:left w:w="57" w:type="dxa"/>
              <w:right w:w="57" w:type="dxa"/>
            </w:tcMar>
          </w:tcPr>
          <w:p w:rsidR="006E0348" w:rsidRDefault="006E0348" w:rsidP="006E0348">
            <w:pPr>
              <w:pStyle w:val="TableTextColumnHeading"/>
            </w:pPr>
            <w:r>
              <w:t>Economic driver</w:t>
            </w:r>
          </w:p>
        </w:tc>
      </w:tr>
      <w:tr w:rsidR="006E0348" w:rsidTr="006E0348">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Pr="00B67D53" w:rsidRDefault="006E0348" w:rsidP="006E0348">
            <w:pPr>
              <w:pStyle w:val="TableTextEntries"/>
              <w:rPr>
                <w:b/>
              </w:rPr>
            </w:pPr>
            <w:r>
              <w:rPr>
                <w:b/>
              </w:rPr>
              <w:t>Enteric fermentation</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r>
      <w:tr w:rsidR="006E0348" w:rsidTr="006E034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Pr="005A00A7" w:rsidRDefault="006E0348" w:rsidP="006E0348">
            <w:pPr>
              <w:pStyle w:val="TableTextEntries"/>
              <w:rPr>
                <w:b/>
              </w:rPr>
            </w:pPr>
            <w:r>
              <w:t>77 per cent of agricultural emissions in 2020</w:t>
            </w:r>
          </w:p>
          <w:p w:rsidR="006E0348" w:rsidRDefault="006E0348" w:rsidP="006E0348">
            <w:pPr>
              <w:pStyle w:val="TableTextEntries"/>
            </w:pPr>
            <w:r>
              <w:t xml:space="preserve">Emissions projected increase by </w:t>
            </w:r>
            <w:r w:rsidR="009109D5">
              <w:rPr>
                <w:rFonts w:eastAsiaTheme="minorEastAsia" w:hint="eastAsia"/>
                <w:lang w:eastAsia="zh-CN"/>
              </w:rPr>
              <w:t>50</w:t>
            </w:r>
            <w:r>
              <w:t xml:space="preserve"> per cent between 2012 and 2050</w:t>
            </w:r>
          </w:p>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 xml:space="preserve">Number of animals </w:t>
            </w:r>
            <w:proofErr w:type="spellStart"/>
            <w:r>
              <w:t>eg</w:t>
            </w:r>
            <w:proofErr w:type="spellEnd"/>
            <w:r>
              <w:t xml:space="preserve"> head of cattle, sheep etc. This is modelled within the CIE’s GMI and Dairy models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Exports are a major focus of meat and dairy markets so population and income growth in trading partners are major drivers of meat and dairy product demand. Strong growth in this demand (particularly in Asia) is projected.</w:t>
            </w:r>
          </w:p>
          <w:p w:rsidR="006E0348" w:rsidRDefault="006E0348" w:rsidP="006E0348">
            <w:pPr>
              <w:pStyle w:val="TableTextEntries"/>
            </w:pPr>
            <w:r>
              <w:t xml:space="preserve">Growth in cattle numbers </w:t>
            </w:r>
            <w:proofErr w:type="gramStart"/>
            <w:r>
              <w:t>is also determined</w:t>
            </w:r>
            <w:proofErr w:type="gramEnd"/>
            <w:r>
              <w:t xml:space="preserve"> by growth in the slaughter weight (for beef cattle) and milk yields for dairy cattle. These </w:t>
            </w:r>
            <w:proofErr w:type="gramStart"/>
            <w:r>
              <w:t>are projected</w:t>
            </w:r>
            <w:proofErr w:type="gramEnd"/>
            <w:r>
              <w:t xml:space="preserve"> to increase at historical rates.</w:t>
            </w:r>
          </w:p>
        </w:tc>
      </w:tr>
      <w:tr w:rsidR="006E0348" w:rsidTr="006E0348">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Pr="00B67D53" w:rsidRDefault="006E0348" w:rsidP="006E0348">
            <w:pPr>
              <w:pStyle w:val="TableTextEntries"/>
              <w:rPr>
                <w:b/>
              </w:rPr>
            </w:pPr>
            <w:r>
              <w:rPr>
                <w:b/>
              </w:rPr>
              <w:t>Manure management</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r>
      <w:tr w:rsidR="006E0348" w:rsidTr="006E034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Pr="005A00A7" w:rsidRDefault="006E0348" w:rsidP="006E0348">
            <w:pPr>
              <w:pStyle w:val="TableTextEntries"/>
              <w:rPr>
                <w:b/>
              </w:rPr>
            </w:pPr>
            <w:r>
              <w:t>4 per cent of agricultural emissions in 2020</w:t>
            </w:r>
          </w:p>
          <w:p w:rsidR="006E0348" w:rsidRDefault="006E0348" w:rsidP="006E0348">
            <w:pPr>
              <w:pStyle w:val="TableTextEntries"/>
            </w:pPr>
            <w:r>
              <w:t>Expected to increase by 4</w:t>
            </w:r>
            <w:r w:rsidR="009109D5">
              <w:rPr>
                <w:rFonts w:eastAsiaTheme="minorEastAsia" w:hint="eastAsia"/>
                <w:lang w:eastAsia="zh-CN"/>
              </w:rPr>
              <w:t>9</w:t>
            </w:r>
            <w:r>
              <w:t xml:space="preserve"> per cent between 2012 and 2050</w:t>
            </w:r>
          </w:p>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proofErr w:type="gramStart"/>
            <w:r>
              <w:t>Number of animals.</w:t>
            </w:r>
            <w:proofErr w:type="gramEnd"/>
            <w:r>
              <w:t xml:space="preserve"> Number of animals are pr</w:t>
            </w:r>
            <w:r w:rsidR="00AE610A">
              <w:t>ojected using the CIEs GMI and D</w:t>
            </w:r>
            <w:r>
              <w:t>airy models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Similar economic drivers to enteric fermentation — strongly growing export demand leading to increased meat and dairy production and therefore increases stock numbers.</w:t>
            </w:r>
          </w:p>
        </w:tc>
      </w:tr>
      <w:tr w:rsidR="006E0348" w:rsidTr="006E0348">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Pr="00451816" w:rsidRDefault="006E0348" w:rsidP="006E0348">
            <w:pPr>
              <w:pStyle w:val="TableTextEntries"/>
              <w:rPr>
                <w:b/>
              </w:rPr>
            </w:pPr>
            <w:r>
              <w:rPr>
                <w:b/>
              </w:rPr>
              <w:t>Rice cultivation</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r>
      <w:tr w:rsidR="006E0348" w:rsidTr="006E034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Less than 1 per cent of agricultural emissions in 2020</w:t>
            </w:r>
          </w:p>
          <w:p w:rsidR="006E0348" w:rsidRPr="005A00A7" w:rsidRDefault="006E0348" w:rsidP="006E0348">
            <w:pPr>
              <w:pStyle w:val="TableTextEntries"/>
              <w:rPr>
                <w:b/>
              </w:rPr>
            </w:pPr>
            <w:r>
              <w:t>Expected to increase by 17 per cent between 2012 and 2050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Area of rice planted. This is estimated using historical information and expectations about future water constraints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5B769A">
            <w:pPr>
              <w:pStyle w:val="TableTextEntries"/>
            </w:pPr>
            <w:proofErr w:type="gramStart"/>
            <w:r>
              <w:t>Largely driven by production constraints.</w:t>
            </w:r>
            <w:proofErr w:type="gramEnd"/>
            <w:r>
              <w:t xml:space="preserve"> Well established export markets but constraints on water availability limit overall production</w:t>
            </w:r>
          </w:p>
        </w:tc>
      </w:tr>
      <w:tr w:rsidR="006E0348" w:rsidTr="006E0348">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Pr="00451816" w:rsidRDefault="006E0348" w:rsidP="006E0348">
            <w:pPr>
              <w:pStyle w:val="TableTextEntries"/>
              <w:rPr>
                <w:b/>
              </w:rPr>
            </w:pPr>
            <w:r w:rsidRPr="00451816">
              <w:rPr>
                <w:b/>
              </w:rPr>
              <w:t>Agricultural soils</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r>
      <w:tr w:rsidR="006E0348" w:rsidTr="006E034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18 per cent of agricultural emissions in 2020</w:t>
            </w:r>
          </w:p>
          <w:p w:rsidR="006E0348" w:rsidRDefault="006E0348" w:rsidP="000E5307">
            <w:pPr>
              <w:pStyle w:val="TableTextEntries"/>
            </w:pPr>
            <w:r>
              <w:t xml:space="preserve">Expected to increase by </w:t>
            </w:r>
            <w:r w:rsidR="000E5307">
              <w:rPr>
                <w:rFonts w:eastAsiaTheme="minorEastAsia" w:hint="eastAsia"/>
                <w:lang w:eastAsia="zh-CN"/>
              </w:rPr>
              <w:t>56</w:t>
            </w:r>
            <w:r>
              <w:t xml:space="preserve"> per cent between 2012 and 2050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proofErr w:type="gramStart"/>
            <w:r>
              <w:t>Fertiliser use in pastures and crops.</w:t>
            </w:r>
            <w:proofErr w:type="gramEnd"/>
            <w:r>
              <w:t xml:space="preserve"> This is mode</w:t>
            </w:r>
            <w:r w:rsidR="00AE610A">
              <w:t>lled within the GMI, Dairy and G</w:t>
            </w:r>
            <w:r>
              <w:t>rains model and estimated for rice and sugar</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E0348" w:rsidRDefault="006E0348" w:rsidP="006E0348">
            <w:pPr>
              <w:pStyle w:val="TableTextEntries"/>
            </w:pPr>
            <w:r>
              <w:t xml:space="preserve">Fertiliser use is directly related to total </w:t>
            </w:r>
            <w:proofErr w:type="gramStart"/>
            <w:r>
              <w:t>production which</w:t>
            </w:r>
            <w:proofErr w:type="gramEnd"/>
            <w:r>
              <w:t xml:space="preserve"> in turn is largely driven by export demand, which in turn depends on income and population growth among trading partners. Continued export growth is projected</w:t>
            </w:r>
          </w:p>
        </w:tc>
      </w:tr>
      <w:tr w:rsidR="006E0348" w:rsidTr="006E0348">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Pr="00451816" w:rsidRDefault="006E0348" w:rsidP="006E0348">
            <w:pPr>
              <w:pStyle w:val="TableTextEntries"/>
              <w:rPr>
                <w:b/>
              </w:rPr>
            </w:pPr>
            <w:r w:rsidRPr="00451816">
              <w:rPr>
                <w:b/>
              </w:rPr>
              <w:t>Field burning of agricultural residues</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E0348" w:rsidRDefault="006E0348" w:rsidP="006E0348">
            <w:pPr>
              <w:pStyle w:val="TableTextEntries"/>
            </w:pPr>
          </w:p>
        </w:tc>
      </w:tr>
      <w:tr w:rsidR="006E0348" w:rsidTr="006E0348">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rsidR="006E0348" w:rsidRDefault="006E0348" w:rsidP="006E0348">
            <w:pPr>
              <w:pStyle w:val="TableTextEntries"/>
            </w:pPr>
            <w:r>
              <w:t>Less than 1 per cent of agricultural emissions</w:t>
            </w:r>
          </w:p>
          <w:p w:rsidR="006E0348" w:rsidRPr="008C58D1" w:rsidRDefault="006E0348" w:rsidP="006E0348">
            <w:pPr>
              <w:pStyle w:val="TableTextEntries"/>
            </w:pPr>
            <w:r>
              <w:t>Projected to increase by 1</w:t>
            </w:r>
            <w:r w:rsidR="000E5307">
              <w:rPr>
                <w:rFonts w:eastAsiaTheme="minorEastAsia" w:hint="eastAsia"/>
                <w:lang w:eastAsia="zh-CN"/>
              </w:rPr>
              <w:t>13</w:t>
            </w:r>
            <w:r>
              <w:t xml:space="preserve"> per cent between 2012 and 2050</w:t>
            </w:r>
          </w:p>
          <w:p w:rsidR="006E0348" w:rsidRDefault="006E0348" w:rsidP="006E0348">
            <w:pPr>
              <w:pStyle w:val="TableTextEntries"/>
            </w:pP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rsidR="006E0348" w:rsidRDefault="006E0348" w:rsidP="006E0348">
            <w:pPr>
              <w:pStyle w:val="TableTextEntries"/>
            </w:pPr>
            <w:proofErr w:type="gramStart"/>
            <w:r>
              <w:t>Production of grain, sugar, rice and other crops.</w:t>
            </w:r>
            <w:proofErr w:type="gramEnd"/>
            <w:r>
              <w:t xml:space="preserve"> Modelled within the Grains model, and estimated for rice and sugar.</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rsidR="006E0348" w:rsidRDefault="006E0348" w:rsidP="006E0348">
            <w:pPr>
              <w:pStyle w:val="TableTextEntries"/>
            </w:pPr>
            <w:r>
              <w:t xml:space="preserve">Mostly driven by export </w:t>
            </w:r>
            <w:proofErr w:type="gramStart"/>
            <w:r>
              <w:t>demand which</w:t>
            </w:r>
            <w:proofErr w:type="gramEnd"/>
            <w:r>
              <w:t xml:space="preserve"> in turn depends on income and population growth among trading partners. Continued export growth is projected</w:t>
            </w:r>
          </w:p>
        </w:tc>
      </w:tr>
    </w:tbl>
    <w:p w:rsidR="006E0348" w:rsidRDefault="006E0348" w:rsidP="006E0348">
      <w:pPr>
        <w:pStyle w:val="Source"/>
      </w:pPr>
      <w:r>
        <w:rPr>
          <w:i/>
        </w:rPr>
        <w:t>Source</w:t>
      </w:r>
      <w:r w:rsidRPr="00E4232C">
        <w:rPr>
          <w:i/>
        </w:rPr>
        <w:t>:</w:t>
      </w:r>
      <w:r>
        <w:t xml:space="preserve"> CIE projections</w:t>
      </w:r>
    </w:p>
    <w:bookmarkEnd w:id="5"/>
    <w:p w:rsidR="001E0AE7" w:rsidRDefault="006364F2" w:rsidP="001E0AE7">
      <w:pPr>
        <w:pStyle w:val="Heading3"/>
      </w:pPr>
      <w:r>
        <w:br w:type="page"/>
      </w:r>
      <w:r w:rsidR="001E0AE7">
        <w:lastRenderedPageBreak/>
        <w:t>Key point from the high level results</w:t>
      </w:r>
    </w:p>
    <w:p w:rsidR="00252C87" w:rsidRDefault="00252C87" w:rsidP="006E0348">
      <w:pPr>
        <w:pStyle w:val="BodyText"/>
      </w:pPr>
      <w:r>
        <w:t>Several points emerge from these results.</w:t>
      </w:r>
    </w:p>
    <w:p w:rsidR="00252C87" w:rsidRDefault="00252C87" w:rsidP="00252C87">
      <w:pPr>
        <w:pStyle w:val="ListBullet"/>
      </w:pPr>
      <w:r>
        <w:t>The decline in emissions to 201</w:t>
      </w:r>
      <w:r w:rsidR="003133AE">
        <w:t>2</w:t>
      </w:r>
      <w:r>
        <w:t xml:space="preserve"> </w:t>
      </w:r>
      <w:r w:rsidR="001E0AE7">
        <w:t>was</w:t>
      </w:r>
      <w:r>
        <w:t xml:space="preserve"> largely a consequence of a decline in enteric fermentation emissions. As will be discussed in chapter 3, this </w:t>
      </w:r>
      <w:r w:rsidR="001E0AE7">
        <w:t>was</w:t>
      </w:r>
      <w:r>
        <w:t xml:space="preserve"> consequence of declines in sheep numbers. The reasons for this decline </w:t>
      </w:r>
      <w:proofErr w:type="gramStart"/>
      <w:r>
        <w:t>are described</w:t>
      </w:r>
      <w:proofErr w:type="gramEnd"/>
      <w:r>
        <w:t xml:space="preserve"> in more detail below.</w:t>
      </w:r>
    </w:p>
    <w:p w:rsidR="00252C87" w:rsidRDefault="00252C87" w:rsidP="00252C87">
      <w:pPr>
        <w:pStyle w:val="ListBullet"/>
      </w:pPr>
      <w:r>
        <w:t>Emissions in other agricultural sectors have been constrained by a range of climatic outco</w:t>
      </w:r>
      <w:r w:rsidR="001E0AE7">
        <w:t>mes, as described further below.</w:t>
      </w:r>
    </w:p>
    <w:p w:rsidR="0024531D" w:rsidRDefault="00252C87" w:rsidP="00252C87">
      <w:pPr>
        <w:pStyle w:val="ListBullet"/>
      </w:pPr>
      <w:r>
        <w:t>These projections indicate</w:t>
      </w:r>
      <w:r w:rsidR="0024531D">
        <w:t xml:space="preserve"> that total agricultural emissions (excluding prescribed burning of savannas) will reach 9</w:t>
      </w:r>
      <w:r w:rsidR="000E5307">
        <w:rPr>
          <w:rFonts w:eastAsiaTheme="minorEastAsia" w:hint="eastAsia"/>
          <w:lang w:eastAsia="zh-CN"/>
        </w:rPr>
        <w:t>3.46</w:t>
      </w:r>
      <w:r w:rsidR="0024531D">
        <w:t xml:space="preserve"> Mt CO</w:t>
      </w:r>
      <w:r w:rsidR="0024531D">
        <w:rPr>
          <w:vertAlign w:val="subscript"/>
        </w:rPr>
        <w:t>2</w:t>
      </w:r>
      <w:r w:rsidR="0024531D">
        <w:t>-e in 2020, 1</w:t>
      </w:r>
      <w:r w:rsidR="000E5307">
        <w:rPr>
          <w:rFonts w:eastAsiaTheme="minorEastAsia" w:hint="eastAsia"/>
          <w:lang w:eastAsia="zh-CN"/>
        </w:rPr>
        <w:t>12.15</w:t>
      </w:r>
      <w:r w:rsidR="0024531D">
        <w:t xml:space="preserve"> Mt</w:t>
      </w:r>
      <w:r w:rsidR="0024531D" w:rsidRPr="002256FF">
        <w:t xml:space="preserve"> </w:t>
      </w:r>
      <w:r w:rsidR="0024531D">
        <w:t>CO</w:t>
      </w:r>
      <w:r w:rsidR="0024531D">
        <w:rPr>
          <w:vertAlign w:val="subscript"/>
        </w:rPr>
        <w:t>2</w:t>
      </w:r>
      <w:r w:rsidR="0024531D">
        <w:t>-e in 2030 and 1</w:t>
      </w:r>
      <w:r w:rsidR="000E5307">
        <w:rPr>
          <w:rFonts w:eastAsiaTheme="minorEastAsia" w:hint="eastAsia"/>
          <w:lang w:eastAsia="zh-CN"/>
        </w:rPr>
        <w:t>32.51</w:t>
      </w:r>
      <w:r w:rsidR="0024531D">
        <w:t xml:space="preserve"> Mt</w:t>
      </w:r>
      <w:r w:rsidR="0024531D" w:rsidRPr="002256FF">
        <w:t xml:space="preserve"> </w:t>
      </w:r>
      <w:r w:rsidR="0024531D">
        <w:t>CO</w:t>
      </w:r>
      <w:r w:rsidR="0024531D">
        <w:rPr>
          <w:vertAlign w:val="subscript"/>
        </w:rPr>
        <w:t>2</w:t>
      </w:r>
      <w:r w:rsidR="0024531D">
        <w:t xml:space="preserve">-e in 2050. This is a growth rate of </w:t>
      </w:r>
      <w:r w:rsidR="000E5307">
        <w:rPr>
          <w:rFonts w:eastAsiaTheme="minorEastAsia" w:hint="eastAsia"/>
          <w:lang w:eastAsia="zh-CN"/>
        </w:rPr>
        <w:t>about</w:t>
      </w:r>
      <w:r w:rsidR="0024531D">
        <w:t xml:space="preserve"> 1</w:t>
      </w:r>
      <w:r w:rsidR="000E5307">
        <w:rPr>
          <w:rFonts w:eastAsiaTheme="minorEastAsia" w:hint="eastAsia"/>
          <w:lang w:eastAsia="zh-CN"/>
        </w:rPr>
        <w:t>.2</w:t>
      </w:r>
      <w:r w:rsidR="0024531D">
        <w:t xml:space="preserve"> per cent a year for the projections period.</w:t>
      </w:r>
    </w:p>
    <w:p w:rsidR="00252C87" w:rsidRDefault="00252C87" w:rsidP="00252C87">
      <w:pPr>
        <w:pStyle w:val="ListBullet"/>
      </w:pPr>
      <w:r>
        <w:t>The majority of emissions are from enteric fermentation, accounting for just over three quarters of emissions in most years.</w:t>
      </w:r>
    </w:p>
    <w:p w:rsidR="00D20881" w:rsidRDefault="00252C87" w:rsidP="00D20881">
      <w:pPr>
        <w:pStyle w:val="ListBullet"/>
      </w:pPr>
      <w:r>
        <w:t xml:space="preserve">Enteric fermentation emissions </w:t>
      </w:r>
      <w:proofErr w:type="gramStart"/>
      <w:r>
        <w:t>are projected</w:t>
      </w:r>
      <w:proofErr w:type="gramEnd"/>
      <w:r>
        <w:t xml:space="preserve"> to grow at 1</w:t>
      </w:r>
      <w:r w:rsidR="000E5307">
        <w:rPr>
          <w:rFonts w:eastAsiaTheme="minorEastAsia" w:hint="eastAsia"/>
          <w:lang w:eastAsia="zh-CN"/>
        </w:rPr>
        <w:t>.16</w:t>
      </w:r>
      <w:r>
        <w:t xml:space="preserve"> per cent a year for the forecast period. Other emissions (with the exception of rice cultivation) </w:t>
      </w:r>
      <w:proofErr w:type="gramStart"/>
      <w:r>
        <w:t>are projected</w:t>
      </w:r>
      <w:proofErr w:type="gramEnd"/>
      <w:r>
        <w:t xml:space="preserve"> to grow slightly faster (just over 1</w:t>
      </w:r>
      <w:r w:rsidR="000E5307">
        <w:rPr>
          <w:rFonts w:eastAsiaTheme="minorEastAsia" w:hint="eastAsia"/>
          <w:lang w:eastAsia="zh-CN"/>
        </w:rPr>
        <w:t>.2</w:t>
      </w:r>
      <w:r>
        <w:t xml:space="preserve"> per cent for manure management and agricultural soils, and around 2</w:t>
      </w:r>
      <w:r w:rsidR="000E5307">
        <w:rPr>
          <w:rFonts w:eastAsiaTheme="minorEastAsia" w:hint="eastAsia"/>
          <w:lang w:eastAsia="zh-CN"/>
        </w:rPr>
        <w:t>.2</w:t>
      </w:r>
      <w:r>
        <w:t xml:space="preserve"> per cent for burning of agricultural residues.</w:t>
      </w:r>
    </w:p>
    <w:p w:rsidR="001E0AE7" w:rsidRDefault="001E0AE7" w:rsidP="001E0AE7">
      <w:pPr>
        <w:pStyle w:val="Heading3"/>
      </w:pPr>
      <w:r>
        <w:t>Comparison with previous emissions projections</w:t>
      </w:r>
    </w:p>
    <w:p w:rsidR="00D20881" w:rsidRDefault="00D20881" w:rsidP="00D20881">
      <w:pPr>
        <w:pStyle w:val="BodyText"/>
      </w:pPr>
      <w:r>
        <w:t xml:space="preserve">Because the current projections use AR4 global warming factors, it is impossible to compare </w:t>
      </w:r>
      <w:r w:rsidR="00FF6791">
        <w:t>current emission projections</w:t>
      </w:r>
      <w:r>
        <w:t xml:space="preserve"> directly with the 2010 </w:t>
      </w:r>
      <w:r w:rsidR="00FF6791">
        <w:t xml:space="preserve">projections </w:t>
      </w:r>
      <w:r>
        <w:t xml:space="preserve">round </w:t>
      </w:r>
      <w:r w:rsidR="00FF6791">
        <w:t>(</w:t>
      </w:r>
      <w:r>
        <w:t>which used the AR2 factors</w:t>
      </w:r>
      <w:r w:rsidR="00FF6791">
        <w:t>)</w:t>
      </w:r>
      <w:r>
        <w:t xml:space="preserve">. </w:t>
      </w:r>
      <w:r w:rsidR="00FF6791">
        <w:t>However, w</w:t>
      </w:r>
      <w:r>
        <w:t xml:space="preserve">e </w:t>
      </w:r>
      <w:r w:rsidR="00FF6791">
        <w:t>can compare</w:t>
      </w:r>
      <w:r>
        <w:t xml:space="preserve"> </w:t>
      </w:r>
      <w:r w:rsidRPr="007073C7">
        <w:rPr>
          <w:i/>
        </w:rPr>
        <w:t>growth rates</w:t>
      </w:r>
      <w:r>
        <w:t xml:space="preserve"> </w:t>
      </w:r>
      <w:r w:rsidR="00FF6791">
        <w:t>in</w:t>
      </w:r>
      <w:r>
        <w:t xml:space="preserve"> emissions between the two rounds </w:t>
      </w:r>
      <w:r w:rsidR="007073C7">
        <w:t>for</w:t>
      </w:r>
      <w:r>
        <w:t xml:space="preserve"> 2012 to 2030 (</w:t>
      </w:r>
      <w:r w:rsidR="00FF6791">
        <w:t xml:space="preserve">see </w:t>
      </w:r>
      <w:r>
        <w:t xml:space="preserve">table </w:t>
      </w:r>
      <w:r>
        <w:fldChar w:fldCharType="begin"/>
      </w:r>
      <w:r>
        <w:instrText xml:space="preserve"> REF _Ref365645853 \h </w:instrText>
      </w:r>
      <w:r>
        <w:fldChar w:fldCharType="separate"/>
      </w:r>
      <w:r w:rsidR="00927DCC">
        <w:rPr>
          <w:noProof/>
        </w:rPr>
        <w:t>2</w:t>
      </w:r>
      <w:r w:rsidR="00927DCC" w:rsidRPr="00695C93">
        <w:rPr>
          <w:noProof/>
        </w:rPr>
        <w:t>.</w:t>
      </w:r>
      <w:r w:rsidR="00927DCC">
        <w:rPr>
          <w:noProof/>
        </w:rPr>
        <w:t>5</w:t>
      </w:r>
      <w:r>
        <w:fldChar w:fldCharType="end"/>
      </w:r>
      <w:r>
        <w:t>).</w:t>
      </w:r>
    </w:p>
    <w:p w:rsidR="00F86B5C" w:rsidRDefault="00FF6791" w:rsidP="00D20881">
      <w:pPr>
        <w:pStyle w:val="BodyText"/>
      </w:pPr>
      <w:r>
        <w:t>T</w:t>
      </w:r>
      <w:r w:rsidR="00F86B5C">
        <w:t xml:space="preserve">he </w:t>
      </w:r>
      <w:r>
        <w:t xml:space="preserve">emissions </w:t>
      </w:r>
      <w:r w:rsidR="00F86B5C">
        <w:t>growth rate</w:t>
      </w:r>
      <w:r w:rsidR="00AE610A">
        <w:t>s</w:t>
      </w:r>
      <w:r w:rsidR="00F86B5C">
        <w:t xml:space="preserve"> in the current projection</w:t>
      </w:r>
      <w:r>
        <w:t>s</w:t>
      </w:r>
      <w:r w:rsidR="00F86B5C">
        <w:t xml:space="preserve"> </w:t>
      </w:r>
      <w:r w:rsidR="007073C7">
        <w:t>are</w:t>
      </w:r>
      <w:r w:rsidR="00F86B5C">
        <w:t xml:space="preserve"> slightly higher</w:t>
      </w:r>
      <w:r>
        <w:t xml:space="preserve"> than previously</w:t>
      </w:r>
      <w:r w:rsidR="00F86B5C">
        <w:t xml:space="preserve">. This is mainly due to </w:t>
      </w:r>
      <w:r>
        <w:t xml:space="preserve">a </w:t>
      </w:r>
      <w:r w:rsidR="00F86B5C">
        <w:t xml:space="preserve">slightly higher growth rate in enteric </w:t>
      </w:r>
      <w:r>
        <w:t>fermentation emissions—</w:t>
      </w:r>
      <w:r w:rsidR="00F86B5C">
        <w:t xml:space="preserve"> in turn due to slightly higher growth rate in beef cattle and sheep number</w:t>
      </w:r>
      <w:r>
        <w:t>s</w:t>
      </w:r>
      <w:r w:rsidR="00F86B5C">
        <w:t>.</w:t>
      </w:r>
      <w:r>
        <w:t xml:space="preserve"> This is itself due to </w:t>
      </w:r>
      <w:r w:rsidR="00F86B5C">
        <w:t>slightly lower growth in slaughtering weight</w:t>
      </w:r>
      <w:r>
        <w:t>s</w:t>
      </w:r>
      <w:r w:rsidR="00F86B5C">
        <w:t xml:space="preserve">, </w:t>
      </w:r>
      <w:r>
        <w:t xml:space="preserve">and </w:t>
      </w:r>
      <w:r w:rsidR="00F86B5C">
        <w:t xml:space="preserve">higher growth in </w:t>
      </w:r>
      <w:proofErr w:type="spellStart"/>
      <w:r w:rsidR="00F86B5C">
        <w:t>sheepmeat</w:t>
      </w:r>
      <w:proofErr w:type="spellEnd"/>
      <w:r w:rsidR="00F86B5C">
        <w:t xml:space="preserve"> demand.</w:t>
      </w:r>
    </w:p>
    <w:p w:rsidR="00D20881" w:rsidRDefault="00D20881" w:rsidP="001E0AE7">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w:instrText>
      </w:r>
      <w:fldSimple w:instr=" STYLEREF &quot;Heading 1&quot; \l \n ">
        <w:r w:rsidR="00927DCC">
          <w:rPr>
            <w:noProof/>
          </w:rPr>
          <w:instrText>2</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2</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2</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5</w:instrText>
      </w:r>
      <w:r w:rsidRPr="00695C93">
        <w:fldChar w:fldCharType="end"/>
      </w:r>
      <w:r w:rsidRPr="00695C93">
        <w:instrText xml:space="preserve">" "" </w:instrText>
      </w:r>
      <w:r w:rsidRPr="00695C93">
        <w:fldChar w:fldCharType="separate"/>
      </w:r>
      <w:bookmarkStart w:id="14" w:name="_Caption8708"/>
      <w:bookmarkStart w:id="15" w:name="_Ref365645853"/>
      <w:bookmarkStart w:id="16" w:name="_Toc366052876"/>
      <w:r w:rsidR="00927DCC">
        <w:rPr>
          <w:noProof/>
        </w:rPr>
        <w:t>2</w:t>
      </w:r>
      <w:r w:rsidR="00927DCC" w:rsidRPr="00695C93">
        <w:rPr>
          <w:noProof/>
        </w:rPr>
        <w:t>.</w:t>
      </w:r>
      <w:r w:rsidR="00927DCC">
        <w:rPr>
          <w:noProof/>
        </w:rPr>
        <w:t>5</w:t>
      </w:r>
      <w:bookmarkEnd w:id="14"/>
      <w:bookmarkEnd w:id="15"/>
      <w:r w:rsidRPr="00695C93">
        <w:fldChar w:fldCharType="end"/>
      </w:r>
      <w:r w:rsidRPr="00695C93">
        <w:tab/>
      </w:r>
      <w:r>
        <w:t>Projected annual growth rate of agricultural emissions between 2012 and 2030</w:t>
      </w:r>
      <w:bookmarkEnd w:id="16"/>
    </w:p>
    <w:tbl>
      <w:tblPr>
        <w:tblW w:w="7937" w:type="dxa"/>
        <w:tblInd w:w="57" w:type="dxa"/>
        <w:tblLook w:val="04A0" w:firstRow="1" w:lastRow="0" w:firstColumn="1" w:lastColumn="0" w:noHBand="0" w:noVBand="1"/>
      </w:tblPr>
      <w:tblGrid>
        <w:gridCol w:w="4345"/>
        <w:gridCol w:w="1709"/>
        <w:gridCol w:w="1883"/>
      </w:tblGrid>
      <w:tr w:rsidR="00D20881" w:rsidRPr="00D20881" w:rsidTr="001E0AE7">
        <w:trPr>
          <w:trHeight w:val="270"/>
        </w:trPr>
        <w:tc>
          <w:tcPr>
            <w:tcW w:w="4345" w:type="dxa"/>
            <w:shd w:val="clear" w:color="auto" w:fill="6F6652"/>
            <w:noWrap/>
            <w:tcMar>
              <w:left w:w="57" w:type="dxa"/>
              <w:right w:w="57" w:type="dxa"/>
            </w:tcMar>
            <w:hideMark/>
          </w:tcPr>
          <w:p w:rsidR="00D20881" w:rsidRPr="00D20881" w:rsidRDefault="00D20881" w:rsidP="001E0AE7">
            <w:pPr>
              <w:pStyle w:val="TableDataColumnHeading"/>
              <w:jc w:val="left"/>
            </w:pPr>
          </w:p>
        </w:tc>
        <w:tc>
          <w:tcPr>
            <w:tcW w:w="1709" w:type="dxa"/>
            <w:shd w:val="clear" w:color="auto" w:fill="6F6652"/>
            <w:noWrap/>
            <w:tcMar>
              <w:left w:w="57" w:type="dxa"/>
              <w:right w:w="57" w:type="dxa"/>
            </w:tcMar>
            <w:hideMark/>
          </w:tcPr>
          <w:p w:rsidR="00D20881" w:rsidRPr="00D20881" w:rsidRDefault="00D20881" w:rsidP="001E0AE7">
            <w:pPr>
              <w:pStyle w:val="TableDataColumnHeading"/>
            </w:pPr>
            <w:r w:rsidRPr="00D20881">
              <w:t>Current round</w:t>
            </w:r>
          </w:p>
        </w:tc>
        <w:tc>
          <w:tcPr>
            <w:tcW w:w="1883" w:type="dxa"/>
            <w:shd w:val="clear" w:color="auto" w:fill="6F6652"/>
            <w:noWrap/>
            <w:tcMar>
              <w:left w:w="57" w:type="dxa"/>
              <w:right w:w="57" w:type="dxa"/>
            </w:tcMar>
            <w:hideMark/>
          </w:tcPr>
          <w:p w:rsidR="00D20881" w:rsidRPr="00D20881" w:rsidRDefault="00D20881" w:rsidP="001E0AE7">
            <w:pPr>
              <w:pStyle w:val="TableDataColumnHeading"/>
            </w:pPr>
            <w:r w:rsidRPr="00D20881">
              <w:t>the 2010 round</w:t>
            </w:r>
          </w:p>
        </w:tc>
      </w:tr>
      <w:tr w:rsidR="00FF6791" w:rsidRPr="00D20881" w:rsidTr="00FF6791">
        <w:trPr>
          <w:trHeight w:val="315"/>
        </w:trPr>
        <w:tc>
          <w:tcPr>
            <w:tcW w:w="4345" w:type="dxa"/>
            <w:tcBorders>
              <w:bottom w:val="single" w:sz="8" w:space="0" w:color="FFFFFF" w:themeColor="background1"/>
            </w:tcBorders>
            <w:shd w:val="clear" w:color="auto" w:fill="auto"/>
            <w:noWrap/>
            <w:tcMar>
              <w:left w:w="57" w:type="dxa"/>
              <w:right w:w="57" w:type="dxa"/>
            </w:tcMar>
          </w:tcPr>
          <w:p w:rsidR="00FF6791" w:rsidRPr="00D20881" w:rsidRDefault="00FF6791" w:rsidP="001E0AE7">
            <w:pPr>
              <w:pStyle w:val="TableDataEntries"/>
              <w:jc w:val="left"/>
            </w:pPr>
          </w:p>
        </w:tc>
        <w:tc>
          <w:tcPr>
            <w:tcW w:w="1709" w:type="dxa"/>
            <w:tcBorders>
              <w:bottom w:val="single" w:sz="8" w:space="0" w:color="FFFFFF" w:themeColor="background1"/>
            </w:tcBorders>
            <w:shd w:val="clear" w:color="auto" w:fill="auto"/>
            <w:noWrap/>
            <w:tcMar>
              <w:left w:w="57" w:type="dxa"/>
              <w:right w:w="57" w:type="dxa"/>
            </w:tcMar>
          </w:tcPr>
          <w:p w:rsidR="00FF6791" w:rsidRPr="00D20881" w:rsidRDefault="00FF6791" w:rsidP="001E0AE7">
            <w:pPr>
              <w:pStyle w:val="TableDataEntries"/>
            </w:pPr>
            <w:r>
              <w:t>%</w:t>
            </w:r>
          </w:p>
        </w:tc>
        <w:tc>
          <w:tcPr>
            <w:tcW w:w="1883" w:type="dxa"/>
            <w:tcBorders>
              <w:bottom w:val="single" w:sz="8" w:space="0" w:color="FFFFFF" w:themeColor="background1"/>
            </w:tcBorders>
            <w:shd w:val="clear" w:color="auto" w:fill="auto"/>
            <w:noWrap/>
            <w:tcMar>
              <w:left w:w="57" w:type="dxa"/>
              <w:right w:w="57" w:type="dxa"/>
            </w:tcMar>
          </w:tcPr>
          <w:p w:rsidR="00FF6791" w:rsidRPr="00D20881" w:rsidRDefault="00FF6791" w:rsidP="001E0AE7">
            <w:pPr>
              <w:pStyle w:val="TableDataEntries"/>
            </w:pPr>
            <w:r>
              <w:t>%</w:t>
            </w:r>
          </w:p>
        </w:tc>
      </w:tr>
      <w:tr w:rsidR="00D20881" w:rsidRPr="00D20881" w:rsidTr="00FF6791">
        <w:trPr>
          <w:trHeight w:val="315"/>
        </w:trPr>
        <w:tc>
          <w:tcPr>
            <w:tcW w:w="43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Total agriculture</w:t>
            </w:r>
          </w:p>
        </w:tc>
        <w:tc>
          <w:tcPr>
            <w:tcW w:w="1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1.37</w:t>
            </w:r>
          </w:p>
        </w:tc>
        <w:tc>
          <w:tcPr>
            <w:tcW w:w="18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1.25</w:t>
            </w:r>
          </w:p>
        </w:tc>
      </w:tr>
      <w:tr w:rsidR="00D20881" w:rsidRPr="00D20881" w:rsidTr="00FF6791">
        <w:trPr>
          <w:trHeight w:val="255"/>
        </w:trPr>
        <w:tc>
          <w:tcPr>
            <w:tcW w:w="43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Enteric Fermentation</w:t>
            </w:r>
          </w:p>
        </w:tc>
        <w:tc>
          <w:tcPr>
            <w:tcW w:w="1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1.39</w:t>
            </w:r>
          </w:p>
        </w:tc>
        <w:tc>
          <w:tcPr>
            <w:tcW w:w="18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1.21</w:t>
            </w:r>
          </w:p>
        </w:tc>
      </w:tr>
      <w:tr w:rsidR="00D20881" w:rsidRPr="00D20881" w:rsidTr="00FF6791">
        <w:trPr>
          <w:trHeight w:val="255"/>
        </w:trPr>
        <w:tc>
          <w:tcPr>
            <w:tcW w:w="43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Manure Management</w:t>
            </w:r>
          </w:p>
        </w:tc>
        <w:tc>
          <w:tcPr>
            <w:tcW w:w="1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1.42</w:t>
            </w:r>
          </w:p>
        </w:tc>
        <w:tc>
          <w:tcPr>
            <w:tcW w:w="18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1.42</w:t>
            </w:r>
          </w:p>
        </w:tc>
      </w:tr>
      <w:tr w:rsidR="00D20881" w:rsidRPr="00D20881" w:rsidTr="00FF6791">
        <w:trPr>
          <w:trHeight w:val="255"/>
        </w:trPr>
        <w:tc>
          <w:tcPr>
            <w:tcW w:w="43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Rice Cultivation</w:t>
            </w:r>
          </w:p>
        </w:tc>
        <w:tc>
          <w:tcPr>
            <w:tcW w:w="1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0.75</w:t>
            </w:r>
          </w:p>
        </w:tc>
        <w:tc>
          <w:tcPr>
            <w:tcW w:w="18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0.40</w:t>
            </w:r>
          </w:p>
        </w:tc>
      </w:tr>
      <w:tr w:rsidR="00D20881" w:rsidRPr="00D20881" w:rsidTr="00FF6791">
        <w:trPr>
          <w:trHeight w:val="255"/>
        </w:trPr>
        <w:tc>
          <w:tcPr>
            <w:tcW w:w="43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Agricultural Soils</w:t>
            </w:r>
          </w:p>
        </w:tc>
        <w:tc>
          <w:tcPr>
            <w:tcW w:w="1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1.34</w:t>
            </w:r>
          </w:p>
        </w:tc>
        <w:tc>
          <w:tcPr>
            <w:tcW w:w="18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1.32</w:t>
            </w:r>
          </w:p>
        </w:tc>
      </w:tr>
      <w:tr w:rsidR="00D20881" w:rsidRPr="00D20881" w:rsidTr="00FF6791">
        <w:trPr>
          <w:trHeight w:val="270"/>
        </w:trPr>
        <w:tc>
          <w:tcPr>
            <w:tcW w:w="434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D20881" w:rsidRPr="00D20881" w:rsidRDefault="00D20881" w:rsidP="001E0AE7">
            <w:pPr>
              <w:pStyle w:val="TableDataEntries"/>
              <w:jc w:val="left"/>
            </w:pPr>
            <w:r w:rsidRPr="00D20881">
              <w:t>Field burning of agricultural residues</w:t>
            </w:r>
          </w:p>
        </w:tc>
        <w:tc>
          <w:tcPr>
            <w:tcW w:w="17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1.37</w:t>
            </w:r>
          </w:p>
        </w:tc>
        <w:tc>
          <w:tcPr>
            <w:tcW w:w="188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D20881" w:rsidRPr="00D20881" w:rsidRDefault="00D20881" w:rsidP="001E0AE7">
            <w:pPr>
              <w:pStyle w:val="TableDataEntries"/>
              <w:rPr>
                <w:rFonts w:ascii="Franklin Gothic Demi" w:hAnsi="Franklin Gothic Demi"/>
                <w:color w:val="FFFFFF"/>
              </w:rPr>
            </w:pPr>
            <w:r w:rsidRPr="00D20881">
              <w:t>2.72</w:t>
            </w:r>
          </w:p>
        </w:tc>
      </w:tr>
    </w:tbl>
    <w:p w:rsidR="00D20881" w:rsidRDefault="00D20881" w:rsidP="001E0AE7">
      <w:pPr>
        <w:pStyle w:val="Source"/>
      </w:pPr>
      <w:r>
        <w:rPr>
          <w:i/>
        </w:rPr>
        <w:t>Source</w:t>
      </w:r>
      <w:r w:rsidRPr="00E4232C">
        <w:rPr>
          <w:i/>
        </w:rPr>
        <w:t>:</w:t>
      </w:r>
      <w:r>
        <w:t xml:space="preserve"> DIICCSRTE emissions template, CIE projections</w:t>
      </w:r>
    </w:p>
    <w:p w:rsidR="00D20881" w:rsidRPr="002256FF" w:rsidRDefault="00D20881" w:rsidP="001E0AE7">
      <w:pPr>
        <w:pStyle w:val="BodyText"/>
      </w:pPr>
    </w:p>
    <w:p w:rsidR="001A2983" w:rsidRDefault="007073C7" w:rsidP="00E16268">
      <w:pPr>
        <w:pStyle w:val="Heading2"/>
      </w:pPr>
      <w:bookmarkStart w:id="17" w:name="_Toc366052852"/>
      <w:r>
        <w:lastRenderedPageBreak/>
        <w:t>Projections in the context of recent history</w:t>
      </w:r>
      <w:bookmarkEnd w:id="17"/>
    </w:p>
    <w:p w:rsidR="007073C7" w:rsidRDefault="007073C7" w:rsidP="007073C7">
      <w:pPr>
        <w:pStyle w:val="Heading3"/>
      </w:pPr>
      <w:r>
        <w:t>Projection drivers</w:t>
      </w:r>
    </w:p>
    <w:p w:rsidR="007073C7" w:rsidRDefault="007073C7" w:rsidP="007073C7">
      <w:pPr>
        <w:pStyle w:val="BodyText"/>
      </w:pPr>
      <w:r>
        <w:t xml:space="preserve">In the long history of Australian agriculture is a strong ongoing tendency for increased production and yields. Essentially, as long as there are growing markets, agricultural supply has been able to respond to supply these markets. Historically, yields (and productivity more generally) have increased for a variety of reasons. We expect that this will generally remain true in the future. Most of our economic models focus on export markets, and the projects of population, incomes, trade barriers, production in competitor countries, when put through our models strongly suggest increasing agricultural output. </w:t>
      </w:r>
    </w:p>
    <w:p w:rsidR="007073C7" w:rsidRPr="009263FA" w:rsidRDefault="007073C7" w:rsidP="007073C7">
      <w:pPr>
        <w:pStyle w:val="BodyText"/>
      </w:pPr>
      <w:r>
        <w:t xml:space="preserve">However, this feature of the projections appears at odds with recent history where emissions have declined in some years. This is due to the strong dependence of output on </w:t>
      </w:r>
      <w:proofErr w:type="gramStart"/>
      <w:r>
        <w:t>short term</w:t>
      </w:r>
      <w:proofErr w:type="gramEnd"/>
      <w:r>
        <w:t xml:space="preserve"> variations in climate — the discussion below points this out for a number of notable cases. Our projections, however, do not include forecasts for the next drought or other difficult conditions (such as floods). Rather, they present an average ‘business as usual’ outcome. The sensitivity analysis presented in chapter 5 provides some account of how variations in growth factors may influence total emissions.</w:t>
      </w:r>
    </w:p>
    <w:p w:rsidR="007073C7" w:rsidRPr="007073C7" w:rsidRDefault="007073C7" w:rsidP="007073C7">
      <w:pPr>
        <w:pStyle w:val="Heading3"/>
      </w:pPr>
      <w:r>
        <w:t>Agriculture and weather</w:t>
      </w:r>
    </w:p>
    <w:p w:rsidR="00E16268" w:rsidRDefault="00E16268" w:rsidP="00E16268">
      <w:pPr>
        <w:pStyle w:val="BodyText"/>
      </w:pPr>
      <w:r>
        <w:t xml:space="preserve">Changeable weather conditions are the primary driver of variations in agricultural output over time. Australia’s climate is very variable with great swings between drought and floods. Over the past 15 </w:t>
      </w:r>
      <w:proofErr w:type="gramStart"/>
      <w:r>
        <w:t>years</w:t>
      </w:r>
      <w:proofErr w:type="gramEnd"/>
      <w:r>
        <w:t xml:space="preserve"> significant areas of the country have suffered from one or both of these. </w:t>
      </w:r>
    </w:p>
    <w:p w:rsidR="00E16268" w:rsidRDefault="00E16268" w:rsidP="007073C7">
      <w:pPr>
        <w:pStyle w:val="Heading4"/>
      </w:pPr>
      <w:r>
        <w:t>Millennium drought</w:t>
      </w:r>
    </w:p>
    <w:p w:rsidR="00E16268" w:rsidRDefault="00E16268" w:rsidP="00E16268">
      <w:pPr>
        <w:pStyle w:val="BodyText"/>
      </w:pPr>
      <w:r>
        <w:t xml:space="preserve">Between 1997 and 2009 a long period of very dry conditions, now referred to as the Millennium Drought, was experienced across </w:t>
      </w:r>
      <w:proofErr w:type="gramStart"/>
      <w:r>
        <w:t>south-eastern</w:t>
      </w:r>
      <w:proofErr w:type="gramEnd"/>
      <w:r>
        <w:t xml:space="preserve"> Australia. Annual rainfall over this period was consistently well below average. 2003 and 2006 were particularly bad years. The drought eased at slightly different times for various areas of the south east of Australia at slightly different times. In Victoria, South Australia and </w:t>
      </w:r>
      <w:proofErr w:type="gramStart"/>
      <w:r>
        <w:t>Tasmania</w:t>
      </w:r>
      <w:proofErr w:type="gramEnd"/>
      <w:r>
        <w:t xml:space="preserve"> the dry conditions lasted into 2009 but areas of Queensland and New South Wales had rainfall closer to normal levels from 2007. Drought persisted in Western Australia through to 2010.</w:t>
      </w:r>
    </w:p>
    <w:p w:rsidR="00E16268" w:rsidRPr="009A15C7" w:rsidRDefault="00E16268" w:rsidP="00E16268">
      <w:pPr>
        <w:pStyle w:val="BodyText"/>
      </w:pPr>
      <w:proofErr w:type="gramStart"/>
      <w:r>
        <w:t>As a result</w:t>
      </w:r>
      <w:proofErr w:type="gramEnd"/>
      <w:r>
        <w:t xml:space="preserve"> of the drought, agricultural production over this period declined, especially for irrigated production. The poor conditions </w:t>
      </w:r>
      <w:r w:rsidR="00357780">
        <w:t xml:space="preserve">led to </w:t>
      </w:r>
      <w:r>
        <w:t>low</w:t>
      </w:r>
      <w:r w:rsidR="00C574D1">
        <w:t>er</w:t>
      </w:r>
      <w:r>
        <w:t xml:space="preserve"> levels of production for crops, especially in 2003 and 2006, a decline in milk production from 2002 and slowing growth in cattle numbers and declines in cattle numbers in 2003. Over the </w:t>
      </w:r>
      <w:proofErr w:type="gramStart"/>
      <w:r>
        <w:t>period</w:t>
      </w:r>
      <w:proofErr w:type="gramEnd"/>
      <w:r>
        <w:t xml:space="preserve"> there was some adaptation as farmers sought ways to cope with the reduced water availability. For example, dairy farmers substituted bought in feed for irrigated pastures. Due to the adaptation during drought years, the use of water since the lifting of the drought has been </w:t>
      </w:r>
      <w:r>
        <w:lastRenderedPageBreak/>
        <w:t>much lower than before the drought</w:t>
      </w:r>
      <w:r>
        <w:rPr>
          <w:rStyle w:val="FootnoteReference"/>
        </w:rPr>
        <w:footnoteReference w:id="4"/>
      </w:r>
      <w:r>
        <w:t>. The industries most affected by the drought were rice (production fell by 99 per cent between 2001 and 2007) cotton (production declined by 23 per cent between 2001 and 2006) and dairy (declined 14 per cent between 2001 and 2006)</w:t>
      </w:r>
      <w:r>
        <w:rPr>
          <w:rStyle w:val="FootnoteReference"/>
        </w:rPr>
        <w:footnoteReference w:id="5"/>
      </w:r>
      <w:r>
        <w:t>.</w:t>
      </w:r>
    </w:p>
    <w:p w:rsidR="00E16268" w:rsidRDefault="00E16268" w:rsidP="00357780">
      <w:pPr>
        <w:pStyle w:val="Heading4"/>
      </w:pPr>
      <w:r>
        <w:t>Flooding</w:t>
      </w:r>
    </w:p>
    <w:p w:rsidR="00E16268" w:rsidRDefault="00E16268" w:rsidP="00E16268">
      <w:pPr>
        <w:pStyle w:val="BodyText"/>
      </w:pPr>
      <w:r>
        <w:t xml:space="preserve">In </w:t>
      </w:r>
      <w:proofErr w:type="gramStart"/>
      <w:r>
        <w:t>2010-11</w:t>
      </w:r>
      <w:proofErr w:type="gramEnd"/>
      <w:r>
        <w:t xml:space="preserve"> a particularly strong La Ni</w:t>
      </w:r>
      <w:r w:rsidRPr="00297B9C">
        <w:t>ñ</w:t>
      </w:r>
      <w:r>
        <w:t>a occurred and resulted in widespread increases in rainfall across Australia, and flooding in areas. Heavy rainfall and flooding in December 2010 and January 2011 in eastern Queensland, Western New South Wales and Victoria delayed harvests, lowered the quality of grains and led to crop losses and disease. Despite this, total winter crop production in 2010-11 was higher than 2009-10. Soil moisture and irrigation water supplies allowed for increased summer crop (sorghum, cotton and rice) planting and increased livestock numbers.</w:t>
      </w:r>
    </w:p>
    <w:p w:rsidR="00E16268" w:rsidRDefault="00E16268" w:rsidP="00E16268">
      <w:pPr>
        <w:pStyle w:val="BodyText"/>
      </w:pPr>
      <w:r>
        <w:t xml:space="preserve">Flooding again occurred in late summer of 2011-12 in southern Queensland and northern New South Wales. The direct damage of the floods to summer crops, however, was </w:t>
      </w:r>
      <w:proofErr w:type="gramStart"/>
      <w:r>
        <w:t>very</w:t>
      </w:r>
      <w:proofErr w:type="gramEnd"/>
      <w:r>
        <w:t xml:space="preserve"> localised and generally the region benefited from the high rainfall.</w:t>
      </w:r>
    </w:p>
    <w:p w:rsidR="00E16268" w:rsidRDefault="00E16268" w:rsidP="00E16268">
      <w:pPr>
        <w:pStyle w:val="BodyText"/>
      </w:pPr>
      <w:proofErr w:type="gramStart"/>
      <w:r>
        <w:t>Flooding affected areas in Queensland and New South Wales after Tropical Cyclone Oswald in early 2013.</w:t>
      </w:r>
      <w:proofErr w:type="gramEnd"/>
      <w:r>
        <w:t xml:space="preserve"> These areas account for large proportions of Australia’s production of cattle, fruit and vegetables and sugar cane. The flooding directly and negatively affected a number of producers, however, operators in other areas of the states benefited from above average rainfall. </w:t>
      </w:r>
    </w:p>
    <w:p w:rsidR="00E16268" w:rsidRDefault="00E16268" w:rsidP="00357780">
      <w:pPr>
        <w:pStyle w:val="Heading4"/>
      </w:pPr>
      <w:r>
        <w:t>Sheep</w:t>
      </w:r>
    </w:p>
    <w:p w:rsidR="00E16268" w:rsidRDefault="00E16268" w:rsidP="00E16268">
      <w:pPr>
        <w:pStyle w:val="BodyText"/>
      </w:pPr>
      <w:r>
        <w:t>Australia’s sheep flock fell from 170 million head in 1990 to less than 77 million in 2008</w:t>
      </w:r>
      <w:r>
        <w:rPr>
          <w:rStyle w:val="FootnoteReference"/>
        </w:rPr>
        <w:footnoteReference w:id="6"/>
      </w:r>
      <w:r>
        <w:t xml:space="preserve">. Rather than being driven by weather impacts, the changes in the sheep flock was due to market forces. Previously, most of the value in the sheep industry was realised through the sale of wool. </w:t>
      </w:r>
    </w:p>
    <w:p w:rsidR="00E16268" w:rsidRDefault="00E16268" w:rsidP="00E16268">
      <w:pPr>
        <w:pStyle w:val="BodyText"/>
      </w:pPr>
      <w:r>
        <w:t>World demand for wool declined 20 per cent between 1995 and 2007</w:t>
      </w:r>
      <w:r>
        <w:rPr>
          <w:rStyle w:val="FootnoteReference"/>
        </w:rPr>
        <w:footnoteReference w:id="7"/>
      </w:r>
      <w:r>
        <w:t xml:space="preserve">. Analysis suggests that this is </w:t>
      </w:r>
      <w:proofErr w:type="gramStart"/>
      <w:r>
        <w:t>due to</w:t>
      </w:r>
      <w:proofErr w:type="gramEnd"/>
      <w:r>
        <w:t>:</w:t>
      </w:r>
    </w:p>
    <w:p w:rsidR="00E16268" w:rsidRDefault="00E16268" w:rsidP="00E16268">
      <w:pPr>
        <w:pStyle w:val="ListBullet"/>
      </w:pPr>
      <w:r>
        <w:t>declining per capita incomes in countries facing recession (</w:t>
      </w:r>
      <w:proofErr w:type="spellStart"/>
      <w:r>
        <w:t>eg</w:t>
      </w:r>
      <w:proofErr w:type="spellEnd"/>
      <w:r>
        <w:t xml:space="preserve"> US and Europe)</w:t>
      </w:r>
    </w:p>
    <w:p w:rsidR="00E16268" w:rsidRDefault="00E16268" w:rsidP="00E16268">
      <w:pPr>
        <w:pStyle w:val="ListBullet"/>
      </w:pPr>
      <w:r>
        <w:t>decline in the share of wool in key apparel categories</w:t>
      </w:r>
    </w:p>
    <w:p w:rsidR="00E16268" w:rsidRDefault="00E16268" w:rsidP="00E16268">
      <w:pPr>
        <w:pStyle w:val="ListBullet"/>
      </w:pPr>
      <w:proofErr w:type="gramStart"/>
      <w:r>
        <w:lastRenderedPageBreak/>
        <w:t>increased</w:t>
      </w:r>
      <w:proofErr w:type="gramEnd"/>
      <w:r>
        <w:t xml:space="preserve"> competition from other fibres in the apparel market.</w:t>
      </w:r>
    </w:p>
    <w:p w:rsidR="00E16268" w:rsidRDefault="00E16268" w:rsidP="00E16268">
      <w:pPr>
        <w:pStyle w:val="BodyText"/>
      </w:pPr>
      <w:r>
        <w:t xml:space="preserve">In line with the decline in demand, global supply of wool has declined since 1991 – driven by lower wool prices and </w:t>
      </w:r>
      <w:proofErr w:type="gramStart"/>
      <w:r>
        <w:t>more attractive opportunities in other farming enterprises</w:t>
      </w:r>
      <w:proofErr w:type="gramEnd"/>
      <w:r>
        <w:t>.</w:t>
      </w:r>
    </w:p>
    <w:p w:rsidR="00E16268" w:rsidRDefault="00E16268" w:rsidP="00E16268">
      <w:pPr>
        <w:pStyle w:val="BodyText"/>
      </w:pPr>
      <w:r>
        <w:t xml:space="preserve">In the past few years, much more value </w:t>
      </w:r>
      <w:proofErr w:type="gramStart"/>
      <w:r>
        <w:t>has been derived</w:t>
      </w:r>
      <w:proofErr w:type="gramEnd"/>
      <w:r>
        <w:t xml:space="preserve"> from the sale of sheep meat. </w:t>
      </w:r>
      <w:proofErr w:type="gramStart"/>
      <w:r>
        <w:t>While some of the value of sheep meat has been realised through sustainable production, the remainder through depletion of the national flock.</w:t>
      </w:r>
      <w:proofErr w:type="gramEnd"/>
      <w:r>
        <w:t xml:space="preserve"> The number of producers with sheep also declined significantly after 1990.</w:t>
      </w:r>
    </w:p>
    <w:p w:rsidR="00E16268" w:rsidRDefault="00E16268" w:rsidP="00E16268">
      <w:pPr>
        <w:pStyle w:val="BodyText"/>
      </w:pPr>
      <w:r>
        <w:t xml:space="preserve">Increased demand for sheep meat has been one driver of this shift. The number of lambs slaughtered has increased and </w:t>
      </w:r>
      <w:proofErr w:type="gramStart"/>
      <w:r>
        <w:t>the flock is now dominated by ewes as the focus shifts from wool production to sheep meat</w:t>
      </w:r>
      <w:proofErr w:type="gramEnd"/>
      <w:r>
        <w:t xml:space="preserve">. The proportion of wethers </w:t>
      </w:r>
      <w:r w:rsidR="008D1996">
        <w:t xml:space="preserve">in </w:t>
      </w:r>
      <w:r>
        <w:t xml:space="preserve">the flock has declined as they are turned off </w:t>
      </w:r>
      <w:proofErr w:type="gramStart"/>
      <w:r>
        <w:t>as either</w:t>
      </w:r>
      <w:proofErr w:type="gramEnd"/>
      <w:r>
        <w:t xml:space="preserve"> lambs or for live export. The share of sheep </w:t>
      </w:r>
      <w:proofErr w:type="gramStart"/>
      <w:r>
        <w:t>being sold</w:t>
      </w:r>
      <w:proofErr w:type="gramEnd"/>
      <w:r>
        <w:t xml:space="preserve"> for live export increased slightly between 2006 and 2008 (although the total number of sheep sold has not changed much). </w:t>
      </w:r>
    </w:p>
    <w:p w:rsidR="00E16268" w:rsidRPr="00E16268" w:rsidRDefault="00E16268" w:rsidP="00E16268">
      <w:pPr>
        <w:pStyle w:val="BodyText"/>
      </w:pPr>
    </w:p>
    <w:p w:rsidR="008F35C2" w:rsidRDefault="00A374E9" w:rsidP="008F35C2">
      <w:pPr>
        <w:pStyle w:val="Heading1"/>
      </w:pPr>
      <w:bookmarkStart w:id="18" w:name="_Toc366052853"/>
      <w:r>
        <w:lastRenderedPageBreak/>
        <w:t>Sector and subsector emissions projections</w:t>
      </w:r>
      <w:bookmarkEnd w:id="18"/>
    </w:p>
    <w:p w:rsidR="006364F2" w:rsidRDefault="006364F2" w:rsidP="006364F2">
      <w:pPr>
        <w:pStyle w:val="ChapterIntroduction"/>
      </w:pPr>
      <w:r>
        <w:t>This chapter provides a further breakdown of agricultural emissions by sector and subsector focusing on the relative importance of different emission sources and differences between historical and projected growth rates in emissions.</w:t>
      </w:r>
    </w:p>
    <w:p w:rsidR="001A2983" w:rsidRDefault="009939FE" w:rsidP="001A2983">
      <w:pPr>
        <w:pStyle w:val="Heading2"/>
      </w:pPr>
      <w:bookmarkStart w:id="19" w:name="_Toc366052854"/>
      <w:r>
        <w:t>Overview of e</w:t>
      </w:r>
      <w:r w:rsidR="001A2983">
        <w:t>missions by sector and subsector</w:t>
      </w:r>
      <w:bookmarkEnd w:id="19"/>
    </w:p>
    <w:p w:rsidR="00E16268" w:rsidRDefault="00E16268" w:rsidP="00E16268">
      <w:pPr>
        <w:pStyle w:val="BodyText"/>
      </w:pPr>
      <w:r>
        <w:t xml:space="preserve">Table 3.1 summarises the emissions projections for each </w:t>
      </w:r>
      <w:r w:rsidR="009939FE">
        <w:t>emissions sector and subsector of the Australian emissions inventory.</w:t>
      </w:r>
    </w:p>
    <w:p w:rsidR="00A374E9" w:rsidRDefault="00A374E9" w:rsidP="00E16268">
      <w:pPr>
        <w:pStyle w:val="BodyText"/>
      </w:pPr>
      <w:r>
        <w:t xml:space="preserve">Several points emerge from </w:t>
      </w:r>
      <w:r w:rsidR="000B0605">
        <w:t>this table</w:t>
      </w:r>
      <w:r>
        <w:t>.</w:t>
      </w:r>
    </w:p>
    <w:p w:rsidR="00A374E9" w:rsidRDefault="00A374E9" w:rsidP="00A374E9">
      <w:pPr>
        <w:pStyle w:val="ListBullet"/>
      </w:pPr>
      <w:r>
        <w:t xml:space="preserve">As </w:t>
      </w:r>
      <w:proofErr w:type="gramStart"/>
      <w:r>
        <w:t>already</w:t>
      </w:r>
      <w:proofErr w:type="gramEnd"/>
      <w:r>
        <w:t xml:space="preserve"> noted, enteric fermentation is the major source of emissions. Within this, most emissions come from grazing beef cattle (</w:t>
      </w:r>
      <w:r w:rsidR="00497742">
        <w:t>6</w:t>
      </w:r>
      <w:r w:rsidR="005C066B">
        <w:rPr>
          <w:rFonts w:eastAsiaTheme="minorEastAsia" w:hint="eastAsia"/>
          <w:lang w:eastAsia="zh-CN"/>
        </w:rPr>
        <w:t>6</w:t>
      </w:r>
      <w:r w:rsidR="00497742">
        <w:t xml:space="preserve"> </w:t>
      </w:r>
      <w:r>
        <w:t>per cent in 2020, for example) followed by sheep (20 per cent in 2020, for example).</w:t>
      </w:r>
    </w:p>
    <w:p w:rsidR="00A374E9" w:rsidRDefault="00A374E9" w:rsidP="00A374E9">
      <w:pPr>
        <w:pStyle w:val="ListBullet"/>
      </w:pPr>
      <w:r>
        <w:t>With</w:t>
      </w:r>
      <w:r w:rsidR="0020044B">
        <w:t>in</w:t>
      </w:r>
      <w:r>
        <w:t xml:space="preserve"> manure management (which is around 4 per cent of total emissions), just over a third of emissions come from pigs, followed by grain fed cattle, poultry and dairy cattle.</w:t>
      </w:r>
    </w:p>
    <w:p w:rsidR="00A374E9" w:rsidRDefault="0020044B" w:rsidP="00A374E9">
      <w:pPr>
        <w:pStyle w:val="ListBullet"/>
      </w:pPr>
      <w:r>
        <w:t>Agricultural soil emissions are 18 per cent of total agricultural emissions. Within this, i</w:t>
      </w:r>
      <w:r w:rsidR="00A374E9">
        <w:t>ndirect soil emissions are the largest component (accounting for 40 per cent in 2020)</w:t>
      </w:r>
      <w:r w:rsidR="00A972BD">
        <w:t>.</w:t>
      </w:r>
      <w:r w:rsidR="00A374E9">
        <w:t xml:space="preserve"> This </w:t>
      </w:r>
      <w:proofErr w:type="gramStart"/>
      <w:r w:rsidR="00A374E9">
        <w:t>is closely followed</w:t>
      </w:r>
      <w:proofErr w:type="gramEnd"/>
      <w:r w:rsidR="00A374E9">
        <w:t xml:space="preserve"> by direct soil emissions, and animal production related soil emissions.</w:t>
      </w:r>
    </w:p>
    <w:p w:rsidR="00A972BD" w:rsidRDefault="00A972BD" w:rsidP="00A374E9">
      <w:pPr>
        <w:pStyle w:val="ListBullet"/>
      </w:pPr>
      <w:r>
        <w:t xml:space="preserve">Rice cultivation accounts </w:t>
      </w:r>
      <w:r w:rsidR="00B65405">
        <w:t>for less than 1 per cent of total agricultural emissions.</w:t>
      </w:r>
    </w:p>
    <w:p w:rsidR="00A374E9" w:rsidRPr="00E16268" w:rsidRDefault="00A374E9" w:rsidP="00A374E9">
      <w:pPr>
        <w:pStyle w:val="ListBullet"/>
      </w:pPr>
      <w:proofErr w:type="gramStart"/>
      <w:r>
        <w:t xml:space="preserve">The burning of agricultural residues account for </w:t>
      </w:r>
      <w:r w:rsidR="00DD5323">
        <w:t xml:space="preserve">less than </w:t>
      </w:r>
      <w:r w:rsidR="00493019">
        <w:t>1</w:t>
      </w:r>
      <w:r w:rsidR="00DD5323">
        <w:t xml:space="preserve"> per cent of total </w:t>
      </w:r>
      <w:r w:rsidR="00A972BD">
        <w:t xml:space="preserve">agricultural </w:t>
      </w:r>
      <w:r w:rsidR="00DD5323">
        <w:t>emissions, with wheat accounting for over half of these.</w:t>
      </w:r>
      <w:proofErr w:type="gramEnd"/>
      <w:r>
        <w:t xml:space="preserve"> </w:t>
      </w:r>
    </w:p>
    <w:p w:rsidR="006324A7" w:rsidRDefault="006324A7" w:rsidP="006324A7">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20" w:name="_Caption4522"/>
      <w:bookmarkStart w:id="21" w:name="_Toc366052877"/>
      <w:r w:rsidR="00927DCC">
        <w:rPr>
          <w:noProof/>
        </w:rPr>
        <w:t>3</w:t>
      </w:r>
      <w:r w:rsidR="00927DCC" w:rsidRPr="00695C93">
        <w:rPr>
          <w:noProof/>
        </w:rPr>
        <w:t>.</w:t>
      </w:r>
      <w:r w:rsidR="00927DCC">
        <w:rPr>
          <w:noProof/>
        </w:rPr>
        <w:t>1</w:t>
      </w:r>
      <w:bookmarkEnd w:id="20"/>
      <w:r w:rsidRPr="00695C93">
        <w:fldChar w:fldCharType="end"/>
      </w:r>
      <w:r w:rsidRPr="00695C93">
        <w:tab/>
      </w:r>
      <w:r w:rsidR="004B1AD5">
        <w:t>Agricultural emissions by sector and subsector</w:t>
      </w:r>
      <w:bookmarkEnd w:id="21"/>
    </w:p>
    <w:tbl>
      <w:tblPr>
        <w:tblW w:w="7936" w:type="dxa"/>
        <w:tblInd w:w="57" w:type="dxa"/>
        <w:tblLayout w:type="fixed"/>
        <w:tblLook w:val="04A0" w:firstRow="1" w:lastRow="0" w:firstColumn="1" w:lastColumn="0" w:noHBand="0" w:noVBand="1"/>
      </w:tblPr>
      <w:tblGrid>
        <w:gridCol w:w="3047"/>
        <w:gridCol w:w="977"/>
        <w:gridCol w:w="978"/>
        <w:gridCol w:w="978"/>
        <w:gridCol w:w="978"/>
        <w:gridCol w:w="978"/>
      </w:tblGrid>
      <w:tr w:rsidR="000B0605" w:rsidRPr="006324A7" w:rsidTr="00A70E5F">
        <w:trPr>
          <w:trHeight w:val="315"/>
        </w:trPr>
        <w:tc>
          <w:tcPr>
            <w:tcW w:w="3047" w:type="dxa"/>
            <w:shd w:val="clear" w:color="auto" w:fill="6F6652"/>
            <w:noWrap/>
            <w:tcMar>
              <w:left w:w="57" w:type="dxa"/>
              <w:right w:w="57" w:type="dxa"/>
            </w:tcMar>
            <w:hideMark/>
          </w:tcPr>
          <w:p w:rsidR="000B0605" w:rsidRPr="006324A7" w:rsidRDefault="000B0605" w:rsidP="00A70E5F">
            <w:pPr>
              <w:pStyle w:val="TableDataColumnHeading"/>
              <w:jc w:val="left"/>
            </w:pPr>
          </w:p>
        </w:tc>
        <w:tc>
          <w:tcPr>
            <w:tcW w:w="977" w:type="dxa"/>
            <w:shd w:val="clear" w:color="auto" w:fill="6F6652"/>
            <w:noWrap/>
            <w:tcMar>
              <w:left w:w="57" w:type="dxa"/>
              <w:right w:w="57" w:type="dxa"/>
            </w:tcMar>
            <w:hideMark/>
          </w:tcPr>
          <w:p w:rsidR="000B0605" w:rsidRPr="006324A7" w:rsidRDefault="000B0605" w:rsidP="00A70E5F">
            <w:pPr>
              <w:pStyle w:val="TableDataColumnHeading"/>
            </w:pPr>
            <w:r w:rsidRPr="006324A7">
              <w:t>1990</w:t>
            </w:r>
          </w:p>
        </w:tc>
        <w:tc>
          <w:tcPr>
            <w:tcW w:w="978" w:type="dxa"/>
            <w:shd w:val="clear" w:color="auto" w:fill="6F6652"/>
            <w:noWrap/>
            <w:tcMar>
              <w:left w:w="57" w:type="dxa"/>
              <w:right w:w="57" w:type="dxa"/>
            </w:tcMar>
            <w:hideMark/>
          </w:tcPr>
          <w:p w:rsidR="000B0605" w:rsidRPr="006324A7" w:rsidRDefault="000B0605" w:rsidP="00A70E5F">
            <w:pPr>
              <w:pStyle w:val="TableDataColumnHeading"/>
            </w:pPr>
            <w:r w:rsidRPr="006324A7">
              <w:t>2012</w:t>
            </w:r>
          </w:p>
        </w:tc>
        <w:tc>
          <w:tcPr>
            <w:tcW w:w="978" w:type="dxa"/>
            <w:shd w:val="clear" w:color="auto" w:fill="6F6652"/>
            <w:noWrap/>
            <w:tcMar>
              <w:left w:w="57" w:type="dxa"/>
              <w:right w:w="57" w:type="dxa"/>
            </w:tcMar>
            <w:hideMark/>
          </w:tcPr>
          <w:p w:rsidR="000B0605" w:rsidRPr="006324A7" w:rsidRDefault="000B0605" w:rsidP="00A70E5F">
            <w:pPr>
              <w:pStyle w:val="TableDataColumnHeading"/>
            </w:pPr>
            <w:r w:rsidRPr="006324A7">
              <w:t>2020</w:t>
            </w:r>
          </w:p>
        </w:tc>
        <w:tc>
          <w:tcPr>
            <w:tcW w:w="978" w:type="dxa"/>
            <w:shd w:val="clear" w:color="auto" w:fill="6F6652"/>
            <w:noWrap/>
            <w:tcMar>
              <w:left w:w="57" w:type="dxa"/>
              <w:right w:w="57" w:type="dxa"/>
            </w:tcMar>
            <w:hideMark/>
          </w:tcPr>
          <w:p w:rsidR="000B0605" w:rsidRPr="006324A7" w:rsidRDefault="000B0605" w:rsidP="00A70E5F">
            <w:pPr>
              <w:pStyle w:val="TableDataColumnHeading"/>
            </w:pPr>
            <w:r w:rsidRPr="006324A7">
              <w:t>2030</w:t>
            </w:r>
          </w:p>
        </w:tc>
        <w:tc>
          <w:tcPr>
            <w:tcW w:w="978" w:type="dxa"/>
            <w:shd w:val="clear" w:color="auto" w:fill="6F6652"/>
            <w:noWrap/>
            <w:tcMar>
              <w:left w:w="57" w:type="dxa"/>
              <w:right w:w="57" w:type="dxa"/>
            </w:tcMar>
            <w:hideMark/>
          </w:tcPr>
          <w:p w:rsidR="000B0605" w:rsidRPr="006324A7" w:rsidRDefault="000B0605" w:rsidP="00A70E5F">
            <w:pPr>
              <w:pStyle w:val="TableDataColumnHeading"/>
            </w:pPr>
            <w:r w:rsidRPr="006324A7">
              <w:t>2050</w:t>
            </w:r>
          </w:p>
        </w:tc>
      </w:tr>
      <w:tr w:rsidR="000B0605" w:rsidRPr="006324A7" w:rsidTr="00A70E5F">
        <w:trPr>
          <w:trHeight w:val="315"/>
        </w:trPr>
        <w:tc>
          <w:tcPr>
            <w:tcW w:w="3047" w:type="dxa"/>
            <w:shd w:val="clear" w:color="auto" w:fill="auto"/>
            <w:noWrap/>
            <w:tcMar>
              <w:left w:w="57" w:type="dxa"/>
              <w:right w:w="57" w:type="dxa"/>
            </w:tcMar>
            <w:hideMark/>
          </w:tcPr>
          <w:p w:rsidR="000B0605" w:rsidRPr="006324A7" w:rsidRDefault="000B0605" w:rsidP="00A70E5F">
            <w:pPr>
              <w:pStyle w:val="TableUnit"/>
              <w:jc w:val="left"/>
            </w:pPr>
          </w:p>
        </w:tc>
        <w:tc>
          <w:tcPr>
            <w:tcW w:w="977" w:type="dxa"/>
            <w:shd w:val="clear" w:color="auto" w:fill="auto"/>
            <w:noWrap/>
            <w:tcMar>
              <w:left w:w="57" w:type="dxa"/>
              <w:right w:w="57" w:type="dxa"/>
            </w:tcMar>
            <w:hideMark/>
          </w:tcPr>
          <w:p w:rsidR="000B0605" w:rsidRPr="006324A7" w:rsidRDefault="000B0605" w:rsidP="00A70E5F">
            <w:pPr>
              <w:pStyle w:val="TableUnit"/>
            </w:pPr>
            <w:r w:rsidRPr="006324A7">
              <w:t>Mt CO</w:t>
            </w:r>
            <w:r w:rsidRPr="006324A7">
              <w:rPr>
                <w:vertAlign w:val="subscript"/>
              </w:rPr>
              <w:t>2</w:t>
            </w:r>
            <w:r w:rsidRPr="006324A7">
              <w:t>-e</w:t>
            </w:r>
          </w:p>
        </w:tc>
        <w:tc>
          <w:tcPr>
            <w:tcW w:w="978" w:type="dxa"/>
            <w:shd w:val="clear" w:color="auto" w:fill="auto"/>
            <w:noWrap/>
            <w:tcMar>
              <w:left w:w="57" w:type="dxa"/>
              <w:right w:w="57" w:type="dxa"/>
            </w:tcMar>
            <w:hideMark/>
          </w:tcPr>
          <w:p w:rsidR="000B0605" w:rsidRPr="006324A7" w:rsidRDefault="000B0605" w:rsidP="00A70E5F">
            <w:pPr>
              <w:pStyle w:val="TableUnit"/>
            </w:pPr>
            <w:r w:rsidRPr="006324A7">
              <w:t>Mt CO</w:t>
            </w:r>
            <w:r w:rsidRPr="006324A7">
              <w:rPr>
                <w:vertAlign w:val="subscript"/>
              </w:rPr>
              <w:t>2</w:t>
            </w:r>
            <w:r w:rsidRPr="006324A7">
              <w:t>-e</w:t>
            </w:r>
          </w:p>
        </w:tc>
        <w:tc>
          <w:tcPr>
            <w:tcW w:w="978" w:type="dxa"/>
            <w:shd w:val="clear" w:color="auto" w:fill="auto"/>
            <w:noWrap/>
            <w:tcMar>
              <w:left w:w="57" w:type="dxa"/>
              <w:right w:w="57" w:type="dxa"/>
            </w:tcMar>
            <w:hideMark/>
          </w:tcPr>
          <w:p w:rsidR="000B0605" w:rsidRPr="006324A7" w:rsidRDefault="000B0605" w:rsidP="00A70E5F">
            <w:pPr>
              <w:pStyle w:val="TableUnit"/>
            </w:pPr>
            <w:r w:rsidRPr="006324A7">
              <w:t>Mt CO</w:t>
            </w:r>
            <w:r w:rsidRPr="006324A7">
              <w:rPr>
                <w:vertAlign w:val="subscript"/>
              </w:rPr>
              <w:t>2</w:t>
            </w:r>
            <w:r w:rsidRPr="006324A7">
              <w:t>-e</w:t>
            </w:r>
          </w:p>
        </w:tc>
        <w:tc>
          <w:tcPr>
            <w:tcW w:w="978" w:type="dxa"/>
            <w:shd w:val="clear" w:color="auto" w:fill="auto"/>
            <w:noWrap/>
            <w:tcMar>
              <w:left w:w="57" w:type="dxa"/>
              <w:right w:w="57" w:type="dxa"/>
            </w:tcMar>
            <w:hideMark/>
          </w:tcPr>
          <w:p w:rsidR="000B0605" w:rsidRPr="006324A7" w:rsidRDefault="000B0605" w:rsidP="00A70E5F">
            <w:pPr>
              <w:pStyle w:val="TableUnit"/>
            </w:pPr>
            <w:r w:rsidRPr="006324A7">
              <w:t>Mt CO</w:t>
            </w:r>
            <w:r w:rsidRPr="006324A7">
              <w:rPr>
                <w:vertAlign w:val="subscript"/>
              </w:rPr>
              <w:t>2</w:t>
            </w:r>
            <w:r w:rsidRPr="006324A7">
              <w:t>-e</w:t>
            </w:r>
          </w:p>
        </w:tc>
        <w:tc>
          <w:tcPr>
            <w:tcW w:w="978" w:type="dxa"/>
            <w:shd w:val="clear" w:color="auto" w:fill="auto"/>
            <w:noWrap/>
            <w:tcMar>
              <w:left w:w="57" w:type="dxa"/>
              <w:right w:w="57" w:type="dxa"/>
            </w:tcMar>
            <w:hideMark/>
          </w:tcPr>
          <w:p w:rsidR="000B0605" w:rsidRPr="006324A7" w:rsidRDefault="000B0605" w:rsidP="00A70E5F">
            <w:pPr>
              <w:pStyle w:val="TableUnit"/>
            </w:pPr>
            <w:r w:rsidRPr="006324A7">
              <w:t>Mt CO</w:t>
            </w:r>
            <w:r w:rsidRPr="006324A7">
              <w:rPr>
                <w:vertAlign w:val="subscript"/>
              </w:rPr>
              <w:t>2</w:t>
            </w:r>
            <w:r w:rsidRPr="006324A7">
              <w:t>-e</w:t>
            </w:r>
          </w:p>
        </w:tc>
      </w:tr>
      <w:tr w:rsidR="00A70E5F" w:rsidRPr="006324A7" w:rsidTr="00A70E5F">
        <w:trPr>
          <w:trHeight w:val="315"/>
        </w:trPr>
        <w:tc>
          <w:tcPr>
            <w:tcW w:w="3047" w:type="dxa"/>
            <w:shd w:val="clear" w:color="auto" w:fill="C2DADB" w:themeFill="accent6" w:themeFillTint="99"/>
            <w:noWrap/>
            <w:tcMar>
              <w:left w:w="57" w:type="dxa"/>
              <w:right w:w="57" w:type="dxa"/>
            </w:tcMar>
            <w:hideMark/>
          </w:tcPr>
          <w:p w:rsidR="00A70E5F" w:rsidRPr="006324A7" w:rsidRDefault="00A70E5F" w:rsidP="00A70E5F">
            <w:pPr>
              <w:pStyle w:val="TableDataEntries"/>
              <w:jc w:val="left"/>
            </w:pPr>
            <w:r w:rsidRPr="006324A7">
              <w:t>Enteric Fermentation</w:t>
            </w:r>
          </w:p>
        </w:tc>
        <w:tc>
          <w:tcPr>
            <w:tcW w:w="977" w:type="dxa"/>
            <w:shd w:val="clear" w:color="auto" w:fill="C2DADB" w:themeFill="accent6" w:themeFillTint="99"/>
            <w:noWrap/>
            <w:tcMar>
              <w:left w:w="57" w:type="dxa"/>
              <w:right w:w="57" w:type="dxa"/>
            </w:tcMar>
            <w:hideMark/>
          </w:tcPr>
          <w:p w:rsidR="00A70E5F" w:rsidRPr="006324A7" w:rsidRDefault="00A70E5F" w:rsidP="00A70E5F">
            <w:pPr>
              <w:pStyle w:val="TableDataEntries"/>
            </w:pPr>
            <w:r w:rsidRPr="006324A7">
              <w:t>76.09</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66.77</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71.85</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86.41</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101.00</w:t>
            </w:r>
          </w:p>
        </w:tc>
      </w:tr>
      <w:tr w:rsidR="00A70E5F" w:rsidRPr="006324A7" w:rsidTr="00A70E5F">
        <w:trPr>
          <w:trHeight w:val="315"/>
        </w:trPr>
        <w:tc>
          <w:tcPr>
            <w:tcW w:w="3047" w:type="dxa"/>
            <w:shd w:val="clear" w:color="auto" w:fill="E4E0DA" w:themeFill="text2" w:themeFillTint="33"/>
            <w:noWrap/>
            <w:tcMar>
              <w:left w:w="57" w:type="dxa"/>
              <w:right w:w="57" w:type="dxa"/>
            </w:tcMar>
            <w:hideMark/>
          </w:tcPr>
          <w:p w:rsidR="00A70E5F" w:rsidRPr="006324A7" w:rsidRDefault="00A70E5F" w:rsidP="00A70E5F">
            <w:pPr>
              <w:pStyle w:val="TableDataEntries"/>
              <w:jc w:val="left"/>
            </w:pPr>
            <w:r w:rsidRPr="006324A7">
              <w:t xml:space="preserve"> Cattle</w:t>
            </w:r>
          </w:p>
        </w:tc>
        <w:tc>
          <w:tcPr>
            <w:tcW w:w="977" w:type="dxa"/>
            <w:shd w:val="clear" w:color="auto" w:fill="E4E0DA" w:themeFill="text2" w:themeFillTint="33"/>
            <w:noWrap/>
            <w:tcMar>
              <w:left w:w="57" w:type="dxa"/>
              <w:right w:w="57" w:type="dxa"/>
            </w:tcMar>
            <w:hideMark/>
          </w:tcPr>
          <w:p w:rsidR="00A70E5F" w:rsidRPr="006324A7" w:rsidRDefault="00A70E5F" w:rsidP="00A70E5F">
            <w:pPr>
              <w:pStyle w:val="TableDataEntries"/>
            </w:pPr>
            <w:r w:rsidRPr="006324A7">
              <w:t>46.45</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53.87</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57.08</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69.84</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83.06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Dairy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6.89</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7.53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7.60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8.11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8.86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Grazing beef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39.12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44.03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47.26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59.09</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71.40</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Grain fed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0.44</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2.30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2.21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2.63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2.80</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Sheep</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29.28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12.57</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14.43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16.14</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17.41</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Swine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0.13</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Other</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0.28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0.25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0.26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0.33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0.39</w:t>
            </w:r>
          </w:p>
        </w:tc>
      </w:tr>
      <w:tr w:rsidR="00A70E5F" w:rsidRPr="006324A7" w:rsidTr="00A70E5F">
        <w:trPr>
          <w:trHeight w:val="315"/>
        </w:trPr>
        <w:tc>
          <w:tcPr>
            <w:tcW w:w="3047" w:type="dxa"/>
            <w:shd w:val="clear" w:color="auto" w:fill="C2DADB" w:themeFill="accent6" w:themeFillTint="99"/>
            <w:noWrap/>
            <w:tcMar>
              <w:left w:w="57" w:type="dxa"/>
              <w:right w:w="57" w:type="dxa"/>
            </w:tcMar>
            <w:hideMark/>
          </w:tcPr>
          <w:p w:rsidR="00A70E5F" w:rsidRPr="006324A7" w:rsidRDefault="00A70E5F" w:rsidP="00A70E5F">
            <w:pPr>
              <w:pStyle w:val="TableDataEntries"/>
              <w:jc w:val="left"/>
            </w:pPr>
            <w:r w:rsidRPr="006324A7">
              <w:t>Manure Management</w:t>
            </w:r>
          </w:p>
        </w:tc>
        <w:tc>
          <w:tcPr>
            <w:tcW w:w="977" w:type="dxa"/>
            <w:shd w:val="clear" w:color="auto" w:fill="C2DADB" w:themeFill="accent6" w:themeFillTint="99"/>
            <w:noWrap/>
            <w:tcMar>
              <w:left w:w="57" w:type="dxa"/>
              <w:right w:w="57" w:type="dxa"/>
            </w:tcMar>
            <w:hideMark/>
          </w:tcPr>
          <w:p w:rsidR="00A70E5F" w:rsidRPr="006324A7" w:rsidRDefault="00A70E5F" w:rsidP="00A70E5F">
            <w:pPr>
              <w:pStyle w:val="TableDataEntries"/>
            </w:pPr>
            <w:r w:rsidRPr="006324A7">
              <w:t>2.34</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3.47</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3.67</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4.49</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5.22</w:t>
            </w:r>
          </w:p>
        </w:tc>
      </w:tr>
      <w:tr w:rsidR="00A70E5F" w:rsidRPr="006324A7" w:rsidTr="00A70E5F">
        <w:trPr>
          <w:trHeight w:val="315"/>
        </w:trPr>
        <w:tc>
          <w:tcPr>
            <w:tcW w:w="3047" w:type="dxa"/>
            <w:shd w:val="clear" w:color="auto" w:fill="E4E0DA" w:themeFill="text2" w:themeFillTint="33"/>
            <w:noWrap/>
            <w:tcMar>
              <w:left w:w="57" w:type="dxa"/>
              <w:right w:w="57" w:type="dxa"/>
            </w:tcMar>
            <w:hideMark/>
          </w:tcPr>
          <w:p w:rsidR="00A70E5F" w:rsidRPr="006324A7" w:rsidRDefault="00A70E5F" w:rsidP="00A70E5F">
            <w:pPr>
              <w:pStyle w:val="TableDataEntries"/>
              <w:jc w:val="left"/>
            </w:pPr>
            <w:r w:rsidRPr="006324A7">
              <w:t xml:space="preserve">Cattle </w:t>
            </w:r>
          </w:p>
        </w:tc>
        <w:tc>
          <w:tcPr>
            <w:tcW w:w="977" w:type="dxa"/>
            <w:shd w:val="clear" w:color="auto" w:fill="E4E0DA" w:themeFill="text2" w:themeFillTint="33"/>
            <w:noWrap/>
            <w:tcMar>
              <w:left w:w="57" w:type="dxa"/>
              <w:right w:w="57" w:type="dxa"/>
            </w:tcMar>
            <w:hideMark/>
          </w:tcPr>
          <w:p w:rsidR="00A70E5F" w:rsidRPr="006324A7" w:rsidRDefault="00A70E5F" w:rsidP="00A70E5F">
            <w:pPr>
              <w:pStyle w:val="TableDataEntries"/>
            </w:pPr>
            <w:r w:rsidRPr="006324A7">
              <w:t>0.73</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1.56</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1.59</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1.82</w:t>
            </w:r>
          </w:p>
        </w:tc>
        <w:tc>
          <w:tcPr>
            <w:tcW w:w="978" w:type="dxa"/>
            <w:shd w:val="clear" w:color="auto" w:fill="E4E0DA" w:themeFill="text2" w:themeFillTint="33"/>
            <w:noWrap/>
            <w:tcMar>
              <w:left w:w="57" w:type="dxa"/>
              <w:right w:w="57" w:type="dxa"/>
            </w:tcMar>
            <w:hideMark/>
          </w:tcPr>
          <w:p w:rsidR="00A70E5F" w:rsidRDefault="00A70E5F" w:rsidP="00A70E5F">
            <w:pPr>
              <w:pStyle w:val="TableDataEntries"/>
              <w:rPr>
                <w:szCs w:val="16"/>
              </w:rPr>
            </w:pPr>
            <w:r>
              <w:rPr>
                <w:szCs w:val="16"/>
              </w:rPr>
              <w:t>1.96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Dairy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0.51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0.56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0.58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0.62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0.68</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Grazing beef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0.04</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tab/>
            </w:r>
            <w:r w:rsidRPr="006324A7">
              <w:t>Grain fed cattle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0.19</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0.98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0.98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1.16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1.24</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Sheep</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Swine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1.27</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1.30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1.35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1.75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2.07</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Poultry</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0.33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0.60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0.73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0.92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1.19</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Other</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r>
      <w:tr w:rsidR="00A70E5F" w:rsidRPr="006324A7" w:rsidTr="00A70E5F">
        <w:trPr>
          <w:trHeight w:val="315"/>
        </w:trPr>
        <w:tc>
          <w:tcPr>
            <w:tcW w:w="3047" w:type="dxa"/>
            <w:shd w:val="clear" w:color="auto" w:fill="C2DADB" w:themeFill="accent6" w:themeFillTint="99"/>
            <w:noWrap/>
            <w:tcMar>
              <w:left w:w="57" w:type="dxa"/>
              <w:right w:w="57" w:type="dxa"/>
            </w:tcMar>
            <w:hideMark/>
          </w:tcPr>
          <w:p w:rsidR="00A70E5F" w:rsidRPr="006324A7" w:rsidRDefault="00A70E5F" w:rsidP="00A70E5F">
            <w:pPr>
              <w:pStyle w:val="TableDataEntries"/>
              <w:jc w:val="left"/>
            </w:pPr>
            <w:r w:rsidRPr="006324A7">
              <w:t>Rice Cultivation</w:t>
            </w:r>
          </w:p>
        </w:tc>
        <w:tc>
          <w:tcPr>
            <w:tcW w:w="977" w:type="dxa"/>
            <w:shd w:val="clear" w:color="auto" w:fill="C2DADB" w:themeFill="accent6" w:themeFillTint="99"/>
            <w:noWrap/>
            <w:tcMar>
              <w:left w:w="57" w:type="dxa"/>
              <w:right w:w="57" w:type="dxa"/>
            </w:tcMar>
            <w:hideMark/>
          </w:tcPr>
          <w:p w:rsidR="00A70E5F" w:rsidRPr="006324A7" w:rsidRDefault="00A70E5F" w:rsidP="00A70E5F">
            <w:pPr>
              <w:pStyle w:val="TableDataEntries"/>
            </w:pPr>
            <w:r w:rsidRPr="006324A7">
              <w:t>0.58</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0.60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0.70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0.70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0.70</w:t>
            </w:r>
          </w:p>
        </w:tc>
      </w:tr>
      <w:tr w:rsidR="00A70E5F" w:rsidRPr="006324A7" w:rsidTr="00A70E5F">
        <w:trPr>
          <w:trHeight w:val="315"/>
        </w:trPr>
        <w:tc>
          <w:tcPr>
            <w:tcW w:w="3047" w:type="dxa"/>
            <w:shd w:val="clear" w:color="auto" w:fill="C2DADB" w:themeFill="accent6" w:themeFillTint="99"/>
            <w:noWrap/>
            <w:tcMar>
              <w:left w:w="57" w:type="dxa"/>
              <w:right w:w="57" w:type="dxa"/>
            </w:tcMar>
            <w:hideMark/>
          </w:tcPr>
          <w:p w:rsidR="00A70E5F" w:rsidRPr="006324A7" w:rsidRDefault="00A70E5F" w:rsidP="00A70E5F">
            <w:pPr>
              <w:pStyle w:val="TableDataEntries"/>
              <w:jc w:val="left"/>
            </w:pPr>
            <w:r w:rsidRPr="006324A7">
              <w:t>Agricultural Soils</w:t>
            </w:r>
          </w:p>
        </w:tc>
        <w:tc>
          <w:tcPr>
            <w:tcW w:w="977" w:type="dxa"/>
            <w:shd w:val="clear" w:color="auto" w:fill="C2DADB" w:themeFill="accent6" w:themeFillTint="99"/>
            <w:noWrap/>
            <w:tcMar>
              <w:left w:w="57" w:type="dxa"/>
              <w:right w:w="57" w:type="dxa"/>
            </w:tcMar>
            <w:hideMark/>
          </w:tcPr>
          <w:p w:rsidR="00A70E5F" w:rsidRPr="006324A7" w:rsidRDefault="00A70E5F" w:rsidP="00A70E5F">
            <w:pPr>
              <w:pStyle w:val="TableDataEntries"/>
            </w:pPr>
            <w:r w:rsidRPr="006324A7">
              <w:t>12.86</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14.84</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16.63</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19.80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24.43</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Animal Production</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4.69</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3.60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4.05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4.80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5.55</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Direct soil emissions</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2.75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5.35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5.95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7.33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9.98</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Indirect soil emissions</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5.42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5.90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6.63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7.68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8.90</w:t>
            </w:r>
          </w:p>
        </w:tc>
      </w:tr>
      <w:tr w:rsidR="00A70E5F" w:rsidRPr="006324A7" w:rsidTr="00A70E5F">
        <w:trPr>
          <w:trHeight w:val="315"/>
        </w:trPr>
        <w:tc>
          <w:tcPr>
            <w:tcW w:w="3047" w:type="dxa"/>
            <w:shd w:val="clear" w:color="auto" w:fill="C2DADB" w:themeFill="accent6" w:themeFillTint="99"/>
            <w:noWrap/>
            <w:tcMar>
              <w:left w:w="57" w:type="dxa"/>
              <w:right w:w="57" w:type="dxa"/>
            </w:tcMar>
            <w:hideMark/>
          </w:tcPr>
          <w:p w:rsidR="00A70E5F" w:rsidRPr="006324A7" w:rsidRDefault="00A70E5F" w:rsidP="00A70E5F">
            <w:pPr>
              <w:pStyle w:val="TableDataEntries"/>
              <w:jc w:val="left"/>
            </w:pPr>
            <w:r w:rsidRPr="006324A7">
              <w:t>Field burning of agricultural residues</w:t>
            </w:r>
          </w:p>
        </w:tc>
        <w:tc>
          <w:tcPr>
            <w:tcW w:w="977" w:type="dxa"/>
            <w:shd w:val="clear" w:color="auto" w:fill="C2DADB" w:themeFill="accent6" w:themeFillTint="99"/>
            <w:noWrap/>
            <w:tcMar>
              <w:left w:w="57" w:type="dxa"/>
              <w:right w:w="57" w:type="dxa"/>
            </w:tcMar>
            <w:hideMark/>
          </w:tcPr>
          <w:p w:rsidR="00A70E5F" w:rsidRPr="006324A7" w:rsidRDefault="00A70E5F" w:rsidP="00A70E5F">
            <w:pPr>
              <w:pStyle w:val="TableDataEntries"/>
            </w:pPr>
            <w:r w:rsidRPr="006324A7">
              <w:t>0.32</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0.50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0.60</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0.74</w:t>
            </w:r>
          </w:p>
        </w:tc>
        <w:tc>
          <w:tcPr>
            <w:tcW w:w="978" w:type="dxa"/>
            <w:shd w:val="clear" w:color="auto" w:fill="C2DADB" w:themeFill="accent6" w:themeFillTint="99"/>
            <w:noWrap/>
            <w:tcMar>
              <w:left w:w="57" w:type="dxa"/>
              <w:right w:w="57" w:type="dxa"/>
            </w:tcMar>
            <w:hideMark/>
          </w:tcPr>
          <w:p w:rsidR="00A70E5F" w:rsidRDefault="00A70E5F" w:rsidP="00A70E5F">
            <w:pPr>
              <w:pStyle w:val="TableDataEntries"/>
              <w:rPr>
                <w:szCs w:val="16"/>
              </w:rPr>
            </w:pPr>
            <w:r>
              <w:rPr>
                <w:szCs w:val="16"/>
              </w:rPr>
              <w:t>1.16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Wheat</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0.12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0.25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0.23</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0.30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0.52</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Maize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0.03</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Sugar Cane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0.06</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Other</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0.26</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Rice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0.04</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0.07</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0.08</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0.08</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Pulse</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0.05</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0.09</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0.18</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Peanuts</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0.00</w:t>
            </w:r>
          </w:p>
        </w:tc>
      </w:tr>
      <w:tr w:rsidR="00A70E5F" w:rsidRPr="006324A7" w:rsidTr="00A70E5F">
        <w:trPr>
          <w:trHeight w:val="315"/>
        </w:trPr>
        <w:tc>
          <w:tcPr>
            <w:tcW w:w="3047" w:type="dxa"/>
            <w:shd w:val="clear" w:color="auto" w:fill="E9E8E5" w:themeFill="background2"/>
            <w:noWrap/>
            <w:tcMar>
              <w:left w:w="57" w:type="dxa"/>
              <w:right w:w="57" w:type="dxa"/>
            </w:tcMar>
            <w:hideMark/>
          </w:tcPr>
          <w:p w:rsidR="00A70E5F" w:rsidRPr="006324A7" w:rsidRDefault="00A70E5F" w:rsidP="00A70E5F">
            <w:pPr>
              <w:pStyle w:val="TableDataEntries"/>
              <w:jc w:val="left"/>
            </w:pPr>
            <w:r w:rsidRPr="006324A7">
              <w:t>Other Crops</w:t>
            </w:r>
          </w:p>
        </w:tc>
        <w:tc>
          <w:tcPr>
            <w:tcW w:w="977" w:type="dxa"/>
            <w:shd w:val="clear" w:color="auto" w:fill="E9E8E5" w:themeFill="background2"/>
            <w:noWrap/>
            <w:tcMar>
              <w:left w:w="57" w:type="dxa"/>
              <w:right w:w="57" w:type="dxa"/>
            </w:tcMar>
            <w:hideMark/>
          </w:tcPr>
          <w:p w:rsidR="00A70E5F" w:rsidRPr="006324A7" w:rsidRDefault="00A70E5F" w:rsidP="00A70E5F">
            <w:pPr>
              <w:pStyle w:val="TableDataEntries"/>
            </w:pPr>
            <w:r w:rsidRPr="006324A7">
              <w:t>0.00</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0.01</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0.02</w:t>
            </w:r>
          </w:p>
        </w:tc>
        <w:tc>
          <w:tcPr>
            <w:tcW w:w="978" w:type="dxa"/>
            <w:shd w:val="clear" w:color="auto" w:fill="E9E8E5" w:themeFill="background2"/>
            <w:noWrap/>
            <w:tcMar>
              <w:left w:w="57" w:type="dxa"/>
              <w:right w:w="57" w:type="dxa"/>
            </w:tcMar>
            <w:hideMark/>
          </w:tcPr>
          <w:p w:rsidR="00A70E5F" w:rsidRDefault="00A70E5F" w:rsidP="00A70E5F">
            <w:pPr>
              <w:pStyle w:val="TableDataEntries"/>
              <w:rPr>
                <w:szCs w:val="16"/>
              </w:rPr>
            </w:pPr>
            <w:r>
              <w:rPr>
                <w:szCs w:val="16"/>
              </w:rPr>
              <w:t>0.03</w:t>
            </w:r>
          </w:p>
        </w:tc>
      </w:tr>
      <w:tr w:rsidR="00A70E5F" w:rsidRPr="004B1AD5" w:rsidTr="00A70E5F">
        <w:trPr>
          <w:trHeight w:val="315"/>
        </w:trPr>
        <w:tc>
          <w:tcPr>
            <w:tcW w:w="3047"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jc w:val="left"/>
              <w:rPr>
                <w:b/>
              </w:rPr>
            </w:pPr>
            <w:r w:rsidRPr="00A70E5F">
              <w:rPr>
                <w:b/>
              </w:rPr>
              <w:t>Total</w:t>
            </w:r>
          </w:p>
        </w:tc>
        <w:tc>
          <w:tcPr>
            <w:tcW w:w="977"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rPr>
                <w:b/>
              </w:rPr>
            </w:pPr>
            <w:r w:rsidRPr="00A70E5F">
              <w:rPr>
                <w:b/>
              </w:rPr>
              <w:t>92.20</w:t>
            </w:r>
          </w:p>
        </w:tc>
        <w:tc>
          <w:tcPr>
            <w:tcW w:w="978"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rPr>
                <w:b/>
                <w:szCs w:val="16"/>
              </w:rPr>
            </w:pPr>
            <w:r w:rsidRPr="00A70E5F">
              <w:rPr>
                <w:b/>
                <w:szCs w:val="16"/>
              </w:rPr>
              <w:t>86.18</w:t>
            </w:r>
          </w:p>
        </w:tc>
        <w:tc>
          <w:tcPr>
            <w:tcW w:w="978"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rPr>
                <w:b/>
                <w:szCs w:val="16"/>
              </w:rPr>
            </w:pPr>
            <w:r w:rsidRPr="00A70E5F">
              <w:rPr>
                <w:b/>
                <w:szCs w:val="16"/>
              </w:rPr>
              <w:t>93.46</w:t>
            </w:r>
          </w:p>
        </w:tc>
        <w:tc>
          <w:tcPr>
            <w:tcW w:w="978"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rPr>
                <w:b/>
                <w:szCs w:val="16"/>
              </w:rPr>
            </w:pPr>
            <w:r w:rsidRPr="00A70E5F">
              <w:rPr>
                <w:b/>
                <w:szCs w:val="16"/>
              </w:rPr>
              <w:t>112.15</w:t>
            </w:r>
          </w:p>
        </w:tc>
        <w:tc>
          <w:tcPr>
            <w:tcW w:w="978" w:type="dxa"/>
            <w:tcBorders>
              <w:bottom w:val="single" w:sz="6" w:space="0" w:color="6F6652"/>
            </w:tcBorders>
            <w:shd w:val="clear" w:color="auto" w:fill="E9E8E5" w:themeFill="background2"/>
            <w:noWrap/>
            <w:tcMar>
              <w:left w:w="57" w:type="dxa"/>
              <w:right w:w="57" w:type="dxa"/>
            </w:tcMar>
            <w:hideMark/>
          </w:tcPr>
          <w:p w:rsidR="00A70E5F" w:rsidRPr="00A70E5F" w:rsidRDefault="00A70E5F" w:rsidP="00A70E5F">
            <w:pPr>
              <w:pStyle w:val="TableDataEntries"/>
              <w:rPr>
                <w:b/>
                <w:szCs w:val="16"/>
              </w:rPr>
            </w:pPr>
            <w:r w:rsidRPr="00A70E5F">
              <w:rPr>
                <w:b/>
                <w:szCs w:val="16"/>
              </w:rPr>
              <w:t>132.51</w:t>
            </w:r>
          </w:p>
        </w:tc>
      </w:tr>
    </w:tbl>
    <w:p w:rsidR="009939FE" w:rsidRPr="00A97BEC" w:rsidRDefault="009939FE" w:rsidP="009939FE">
      <w:pPr>
        <w:pStyle w:val="Note"/>
      </w:pPr>
      <w:r w:rsidRPr="00A97BEC">
        <w:rPr>
          <w:i/>
        </w:rPr>
        <w:t xml:space="preserve">Note: </w:t>
      </w:r>
      <w:r>
        <w:rPr>
          <w:i/>
        </w:rPr>
        <w:t>All emissions are calculated using AR4 global warming potentials. Average emission reported.</w:t>
      </w:r>
      <w:r w:rsidR="002D3456">
        <w:rPr>
          <w:i/>
        </w:rPr>
        <w:t xml:space="preserve"> Results for 2012 are </w:t>
      </w:r>
      <w:proofErr w:type="gramStart"/>
      <w:r w:rsidR="002D3456">
        <w:rPr>
          <w:i/>
        </w:rPr>
        <w:t>actual</w:t>
      </w:r>
      <w:proofErr w:type="gramEnd"/>
      <w:r w:rsidR="002D3456">
        <w:rPr>
          <w:i/>
        </w:rPr>
        <w:t>.</w:t>
      </w:r>
    </w:p>
    <w:p w:rsidR="009939FE" w:rsidRDefault="009939FE" w:rsidP="009939FE">
      <w:pPr>
        <w:pStyle w:val="Source"/>
      </w:pPr>
      <w:r>
        <w:rPr>
          <w:i/>
        </w:rPr>
        <w:t>Data source</w:t>
      </w:r>
      <w:r w:rsidRPr="00A67576">
        <w:rPr>
          <w:i/>
        </w:rPr>
        <w:t>:</w:t>
      </w:r>
      <w:r>
        <w:t xml:space="preserve"> DIICCSRTE emissions template, CIE projections</w:t>
      </w:r>
    </w:p>
    <w:p w:rsidR="006324A7" w:rsidRPr="001A2983" w:rsidRDefault="006324A7" w:rsidP="001A2983">
      <w:pPr>
        <w:pStyle w:val="BodyText"/>
      </w:pPr>
    </w:p>
    <w:p w:rsidR="001C76A5" w:rsidRPr="0097484C" w:rsidRDefault="001C76A5" w:rsidP="001C76A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rsidR="001C76A5" w:rsidRPr="0097484C" w:rsidRDefault="001C76A5" w:rsidP="001C76A5">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p w:rsidR="001C76A5" w:rsidRDefault="000E1673" w:rsidP="000E1673">
      <w:pPr>
        <w:pStyle w:val="Heading2"/>
      </w:pPr>
      <w:bookmarkStart w:id="22" w:name="_Toc366052855"/>
      <w:r>
        <w:lastRenderedPageBreak/>
        <w:t>Livestock related emissions</w:t>
      </w:r>
      <w:bookmarkEnd w:id="22"/>
    </w:p>
    <w:p w:rsidR="000E1673" w:rsidRPr="000E1673" w:rsidRDefault="000E1673" w:rsidP="000E1673">
      <w:pPr>
        <w:pStyle w:val="BodyText"/>
      </w:pPr>
      <w:r>
        <w:t>Chart 3.</w:t>
      </w:r>
      <w:r w:rsidR="002D3456">
        <w:t>2</w:t>
      </w:r>
      <w:r>
        <w:t xml:space="preserve"> summarises the history and projections for livestock related emissions. As </w:t>
      </w:r>
      <w:proofErr w:type="gramStart"/>
      <w:r>
        <w:t>already</w:t>
      </w:r>
      <w:proofErr w:type="gramEnd"/>
      <w:r>
        <w:t xml:space="preserve"> noted, enteric fermentation is the largest source of these. </w:t>
      </w:r>
      <w:r w:rsidR="00287EFA">
        <w:t xml:space="preserve">Variations in enteric fermentation emissions largely explain total changes in emissions. While these fell at around 0.6 per cent a year historically (to 2011) over the projection period they </w:t>
      </w:r>
      <w:proofErr w:type="gramStart"/>
      <w:r w:rsidR="00287EFA">
        <w:t>are expected</w:t>
      </w:r>
      <w:proofErr w:type="gramEnd"/>
      <w:r w:rsidR="00287EFA">
        <w:t xml:space="preserve"> to grow at around </w:t>
      </w:r>
      <w:r w:rsidR="003C2BFB">
        <w:rPr>
          <w:rFonts w:eastAsiaTheme="minorEastAsia" w:hint="eastAsia"/>
          <w:lang w:eastAsia="zh-CN"/>
        </w:rPr>
        <w:t>1.15</w:t>
      </w:r>
      <w:r w:rsidR="00287EFA">
        <w:t xml:space="preserve"> per cent a year.</w:t>
      </w:r>
    </w:p>
    <w:p w:rsidR="001C76A5" w:rsidRPr="00695C93" w:rsidRDefault="001C76A5" w:rsidP="001C76A5">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23" w:name="_Caption2136"/>
      <w:bookmarkStart w:id="24" w:name="_Toc366052878"/>
      <w:r w:rsidR="00927DCC">
        <w:rPr>
          <w:noProof/>
        </w:rPr>
        <w:t>3</w:t>
      </w:r>
      <w:r w:rsidR="00927DCC" w:rsidRPr="00695C93">
        <w:rPr>
          <w:noProof/>
        </w:rPr>
        <w:t>.</w:t>
      </w:r>
      <w:r w:rsidR="00927DCC">
        <w:rPr>
          <w:noProof/>
        </w:rPr>
        <w:t>2</w:t>
      </w:r>
      <w:bookmarkEnd w:id="23"/>
      <w:r w:rsidRPr="00695C93">
        <w:fldChar w:fldCharType="end"/>
      </w:r>
      <w:r w:rsidRPr="00695C93">
        <w:tab/>
      </w:r>
      <w:r>
        <w:t>Livestock emissions</w:t>
      </w:r>
      <w:bookmarkEnd w:id="2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1C76A5" w:rsidTr="008C2529">
        <w:trPr>
          <w:cantSplit/>
        </w:trPr>
        <w:tc>
          <w:tcPr>
            <w:tcW w:w="7938" w:type="dxa"/>
            <w:shd w:val="clear" w:color="auto" w:fill="E9E8E5" w:themeFill="background2"/>
          </w:tcPr>
          <w:p w:rsidR="001C76A5" w:rsidRDefault="00355B1E" w:rsidP="008C2529">
            <w:pPr>
              <w:pStyle w:val="Chart"/>
            </w:pPr>
            <w:r>
              <w:rPr>
                <w:noProof/>
                <w:lang w:eastAsia="en-AU"/>
              </w:rPr>
              <w:drawing>
                <wp:inline distT="0" distB="0" distL="0" distR="0">
                  <wp:extent cx="5020310" cy="25019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0310" cy="2501900"/>
                          </a:xfrm>
                          <a:prstGeom prst="rect">
                            <a:avLst/>
                          </a:prstGeom>
                          <a:noFill/>
                          <a:ln>
                            <a:noFill/>
                          </a:ln>
                        </pic:spPr>
                      </pic:pic>
                    </a:graphicData>
                  </a:graphic>
                </wp:inline>
              </w:drawing>
            </w:r>
          </w:p>
        </w:tc>
      </w:tr>
    </w:tbl>
    <w:p w:rsidR="000E1673" w:rsidRPr="00A97BEC" w:rsidRDefault="000E1673" w:rsidP="000E1673">
      <w:pPr>
        <w:pStyle w:val="Note"/>
      </w:pPr>
      <w:r w:rsidRPr="00A97BEC">
        <w:rPr>
          <w:i/>
        </w:rPr>
        <w:t xml:space="preserve">Note: </w:t>
      </w:r>
      <w:r>
        <w:rPr>
          <w:i/>
        </w:rPr>
        <w:t>All emissions are calculated using AR4 global warming potentials. Average emission reported.</w:t>
      </w:r>
    </w:p>
    <w:p w:rsidR="000E1673" w:rsidRDefault="000E1673" w:rsidP="000E1673">
      <w:pPr>
        <w:pStyle w:val="Source"/>
      </w:pPr>
      <w:r>
        <w:rPr>
          <w:i/>
        </w:rPr>
        <w:t>Data source</w:t>
      </w:r>
      <w:r w:rsidRPr="00A67576">
        <w:rPr>
          <w:i/>
        </w:rPr>
        <w:t>:</w:t>
      </w:r>
      <w:r>
        <w:t xml:space="preserve"> DIICCSRTE emissions template, CIE projections</w:t>
      </w:r>
    </w:p>
    <w:p w:rsidR="00907D77" w:rsidRDefault="00907D77" w:rsidP="00907D77">
      <w:pPr>
        <w:pStyle w:val="Heading3"/>
      </w:pPr>
      <w:r>
        <w:t>Enteric fermentation</w:t>
      </w:r>
    </w:p>
    <w:p w:rsidR="001C76A5" w:rsidRDefault="00287EFA" w:rsidP="001C76A5">
      <w:pPr>
        <w:pStyle w:val="BodyText"/>
      </w:pPr>
      <w:r>
        <w:t>Chart 3.</w:t>
      </w:r>
      <w:r w:rsidR="002D3456">
        <w:t>3</w:t>
      </w:r>
      <w:r>
        <w:t xml:space="preserve"> provides the history and projections for enteric fermentation emissions. This chart shows clearly that the reason for the historical decline in enteric fermentation emission was the decline in emission from sheep — other sources have tended to be constant or increase slightly over time. </w:t>
      </w:r>
    </w:p>
    <w:p w:rsidR="00287EFA" w:rsidRPr="00695C93" w:rsidRDefault="00287EFA" w:rsidP="00287EFA">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3</w:instrText>
      </w:r>
      <w:r w:rsidRPr="00695C93">
        <w:fldChar w:fldCharType="end"/>
      </w:r>
      <w:r w:rsidRPr="00695C93">
        <w:instrText xml:space="preserve">" "" </w:instrText>
      </w:r>
      <w:r w:rsidRPr="00695C93">
        <w:fldChar w:fldCharType="separate"/>
      </w:r>
      <w:bookmarkStart w:id="25" w:name="_Caption0444"/>
      <w:bookmarkStart w:id="26" w:name="_Toc366052879"/>
      <w:r w:rsidR="00927DCC">
        <w:rPr>
          <w:noProof/>
        </w:rPr>
        <w:t>3</w:t>
      </w:r>
      <w:r w:rsidR="00927DCC" w:rsidRPr="00695C93">
        <w:rPr>
          <w:noProof/>
        </w:rPr>
        <w:t>.</w:t>
      </w:r>
      <w:r w:rsidR="00927DCC">
        <w:rPr>
          <w:noProof/>
        </w:rPr>
        <w:t>3</w:t>
      </w:r>
      <w:bookmarkEnd w:id="25"/>
      <w:r w:rsidRPr="00695C93">
        <w:fldChar w:fldCharType="end"/>
      </w:r>
      <w:r w:rsidRPr="00695C93">
        <w:tab/>
      </w:r>
      <w:r>
        <w:t>Enteric fermentation</w:t>
      </w:r>
      <w:bookmarkEnd w:id="26"/>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287EFA" w:rsidTr="00287EFA">
        <w:trPr>
          <w:cantSplit/>
        </w:trPr>
        <w:tc>
          <w:tcPr>
            <w:tcW w:w="7938" w:type="dxa"/>
            <w:shd w:val="clear" w:color="auto" w:fill="E9E8E5" w:themeFill="background2"/>
          </w:tcPr>
          <w:p w:rsidR="00287EFA" w:rsidRDefault="00B002A3" w:rsidP="00287EFA">
            <w:pPr>
              <w:pStyle w:val="Chart"/>
            </w:pPr>
            <w:r>
              <w:rPr>
                <w:noProof/>
                <w:lang w:eastAsia="en-AU"/>
              </w:rPr>
              <w:drawing>
                <wp:inline distT="0" distB="0" distL="0" distR="0">
                  <wp:extent cx="4899660" cy="24415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660" cy="2441575"/>
                          </a:xfrm>
                          <a:prstGeom prst="rect">
                            <a:avLst/>
                          </a:prstGeom>
                          <a:noFill/>
                          <a:ln>
                            <a:noFill/>
                          </a:ln>
                        </pic:spPr>
                      </pic:pic>
                    </a:graphicData>
                  </a:graphic>
                </wp:inline>
              </w:drawing>
            </w:r>
          </w:p>
        </w:tc>
      </w:tr>
    </w:tbl>
    <w:p w:rsidR="00287EFA" w:rsidRPr="00A97BEC" w:rsidRDefault="00287EFA" w:rsidP="00287EFA">
      <w:pPr>
        <w:pStyle w:val="Note"/>
      </w:pPr>
      <w:r w:rsidRPr="00A97BEC">
        <w:rPr>
          <w:i/>
        </w:rPr>
        <w:t xml:space="preserve">Note: </w:t>
      </w:r>
      <w:r>
        <w:rPr>
          <w:i/>
        </w:rPr>
        <w:t>Other includes swine and other</w:t>
      </w:r>
    </w:p>
    <w:p w:rsidR="00287EFA" w:rsidRDefault="00287EFA" w:rsidP="00287EFA">
      <w:pPr>
        <w:pStyle w:val="Source"/>
      </w:pPr>
      <w:r>
        <w:rPr>
          <w:i/>
        </w:rPr>
        <w:t>Data source</w:t>
      </w:r>
      <w:r w:rsidRPr="00A67576">
        <w:rPr>
          <w:i/>
        </w:rPr>
        <w:t>:</w:t>
      </w:r>
      <w:r>
        <w:t xml:space="preserve"> DIICCSRTE emissions template, CIE projections</w:t>
      </w:r>
    </w:p>
    <w:p w:rsidR="00287EFA" w:rsidRDefault="00287EFA" w:rsidP="001C76A5">
      <w:pPr>
        <w:pStyle w:val="BodyText"/>
      </w:pPr>
      <w:r>
        <w:t xml:space="preserve">Historically, enteric fermentation from sheep declined at around </w:t>
      </w:r>
      <w:r w:rsidR="00907D77">
        <w:t xml:space="preserve">3.8 per cent a year. In contrast, this source </w:t>
      </w:r>
      <w:proofErr w:type="gramStart"/>
      <w:r w:rsidR="00907D77">
        <w:t>is expected</w:t>
      </w:r>
      <w:proofErr w:type="gramEnd"/>
      <w:r w:rsidR="00907D77">
        <w:t xml:space="preserve"> to increase at around 0.</w:t>
      </w:r>
      <w:r w:rsidR="00B002A3">
        <w:rPr>
          <w:rFonts w:eastAsiaTheme="minorEastAsia" w:hint="eastAsia"/>
          <w:lang w:eastAsia="zh-CN"/>
        </w:rPr>
        <w:t>8</w:t>
      </w:r>
      <w:r w:rsidR="00907D77">
        <w:t xml:space="preserve"> per cent a year over the forecast period. This is a consequence an expected recovery in sheep numbers due to better wool prices and increased revenues from meat production.</w:t>
      </w:r>
    </w:p>
    <w:p w:rsidR="00907D77" w:rsidRDefault="00907D77" w:rsidP="001C76A5">
      <w:pPr>
        <w:pStyle w:val="BodyText"/>
      </w:pPr>
      <w:r>
        <w:t xml:space="preserve">Historically, enteric fermentation from grazing beef cattle increased at around 0.5 per cent a year. Some of this growth was </w:t>
      </w:r>
      <w:r w:rsidR="0040677F">
        <w:t>constr</w:t>
      </w:r>
      <w:r w:rsidR="00630B4C">
        <w:t>a</w:t>
      </w:r>
      <w:r w:rsidR="0040677F">
        <w:t xml:space="preserve">ined </w:t>
      </w:r>
      <w:r>
        <w:t xml:space="preserve">by drought (and flood) conditions. These emissions </w:t>
      </w:r>
      <w:proofErr w:type="gramStart"/>
      <w:r>
        <w:t xml:space="preserve">are </w:t>
      </w:r>
      <w:r w:rsidR="00B65405">
        <w:t>projected</w:t>
      </w:r>
      <w:proofErr w:type="gramEnd"/>
      <w:r>
        <w:t xml:space="preserve"> to grow at </w:t>
      </w:r>
      <w:r w:rsidR="000549C1">
        <w:rPr>
          <w:rFonts w:eastAsiaTheme="minorEastAsia" w:hint="eastAsia"/>
          <w:lang w:eastAsia="zh-CN"/>
        </w:rPr>
        <w:t>just under</w:t>
      </w:r>
      <w:r>
        <w:t xml:space="preserve"> 1.</w:t>
      </w:r>
      <w:r w:rsidR="00040FEB">
        <w:rPr>
          <w:rFonts w:eastAsiaTheme="minorEastAsia" w:hint="eastAsia"/>
          <w:lang w:eastAsia="zh-CN"/>
        </w:rPr>
        <w:t>4</w:t>
      </w:r>
      <w:r>
        <w:t xml:space="preserve"> per cent a year over the forecast period. This is due largely to strong projections in beef exports, particularly to rapidly growing Asian economies. In addition, the projections do not incorporated the implications of potential future droughts.</w:t>
      </w:r>
    </w:p>
    <w:p w:rsidR="00287EFA" w:rsidRDefault="00907D77" w:rsidP="001C76A5">
      <w:pPr>
        <w:pStyle w:val="BodyText"/>
      </w:pPr>
      <w:r>
        <w:t xml:space="preserve">Enteric fermentation emissions from dairy cattle grew at around 0.4 per cent a year historically, and this </w:t>
      </w:r>
      <w:proofErr w:type="gramStart"/>
      <w:r>
        <w:t>is projected</w:t>
      </w:r>
      <w:proofErr w:type="gramEnd"/>
      <w:r>
        <w:t xml:space="preserve"> to continue at around 0.5 per cent a year over the forecast period.</w:t>
      </w:r>
    </w:p>
    <w:p w:rsidR="00287EFA" w:rsidRDefault="00907D77" w:rsidP="00907D77">
      <w:pPr>
        <w:pStyle w:val="Heading3"/>
      </w:pPr>
      <w:r>
        <w:t>Manure management</w:t>
      </w:r>
    </w:p>
    <w:p w:rsidR="00907D77" w:rsidRDefault="00907D77" w:rsidP="00907D77">
      <w:pPr>
        <w:pStyle w:val="BodyText"/>
      </w:pPr>
      <w:r>
        <w:t>Chart 3.4 shows projections for livestock emissions related to manure management. The pattern for each of these components varies, particularly when compared with historical emissions.</w:t>
      </w:r>
    </w:p>
    <w:p w:rsidR="00B65405" w:rsidRDefault="00B65405" w:rsidP="00B65405">
      <w:pPr>
        <w:pStyle w:val="BodyText"/>
      </w:pPr>
      <w:r>
        <w:t xml:space="preserve">For example, while emissions from grain fed beef grew rapidly historically (at just over 7 per cent a year) this </w:t>
      </w:r>
      <w:proofErr w:type="gramStart"/>
      <w:r>
        <w:t>is expected</w:t>
      </w:r>
      <w:proofErr w:type="gramEnd"/>
      <w:r>
        <w:t xml:space="preserve"> to stabilise at around 0.</w:t>
      </w:r>
      <w:r w:rsidR="00AF51D8">
        <w:rPr>
          <w:rFonts w:eastAsiaTheme="minorEastAsia" w:hint="eastAsia"/>
          <w:lang w:eastAsia="zh-CN"/>
        </w:rPr>
        <w:t>8</w:t>
      </w:r>
      <w:r>
        <w:t xml:space="preserve"> per cent a year over the projections period. In contra</w:t>
      </w:r>
      <w:r w:rsidR="00150DB3">
        <w:t>st, emissions associated with d</w:t>
      </w:r>
      <w:r>
        <w:t>a</w:t>
      </w:r>
      <w:r w:rsidR="00150DB3">
        <w:rPr>
          <w:rFonts w:eastAsiaTheme="minorEastAsia" w:hint="eastAsia"/>
          <w:lang w:eastAsia="zh-CN"/>
        </w:rPr>
        <w:t>i</w:t>
      </w:r>
      <w:r>
        <w:t xml:space="preserve">ry cattle </w:t>
      </w:r>
      <w:proofErr w:type="gramStart"/>
      <w:r>
        <w:t>are expected</w:t>
      </w:r>
      <w:proofErr w:type="gramEnd"/>
      <w:r>
        <w:t xml:space="preserve"> to return to historic growth rates (0.5 per cent). </w:t>
      </w:r>
    </w:p>
    <w:p w:rsidR="00B65405" w:rsidRPr="00907D77" w:rsidRDefault="00B65405" w:rsidP="00907D77">
      <w:pPr>
        <w:pStyle w:val="BodyText"/>
      </w:pPr>
    </w:p>
    <w:p w:rsidR="00907D77" w:rsidRPr="00695C93" w:rsidRDefault="00907D77" w:rsidP="00907D77">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4</w:instrText>
      </w:r>
      <w:r w:rsidRPr="00695C93">
        <w:fldChar w:fldCharType="end"/>
      </w:r>
      <w:r w:rsidRPr="00695C93">
        <w:instrText xml:space="preserve">" "" </w:instrText>
      </w:r>
      <w:r w:rsidRPr="00695C93">
        <w:fldChar w:fldCharType="separate"/>
      </w:r>
      <w:bookmarkStart w:id="27" w:name="_Caption8368"/>
      <w:bookmarkStart w:id="28" w:name="_Toc366052880"/>
      <w:r w:rsidR="00927DCC">
        <w:rPr>
          <w:noProof/>
        </w:rPr>
        <w:t>3</w:t>
      </w:r>
      <w:r w:rsidR="00927DCC" w:rsidRPr="00695C93">
        <w:rPr>
          <w:noProof/>
        </w:rPr>
        <w:t>.</w:t>
      </w:r>
      <w:r w:rsidR="00927DCC">
        <w:rPr>
          <w:noProof/>
        </w:rPr>
        <w:t>4</w:t>
      </w:r>
      <w:bookmarkEnd w:id="27"/>
      <w:r w:rsidRPr="00695C93">
        <w:fldChar w:fldCharType="end"/>
      </w:r>
      <w:r w:rsidRPr="00695C93">
        <w:tab/>
      </w:r>
      <w:r w:rsidR="000549C1">
        <w:t xml:space="preserve">Manure </w:t>
      </w:r>
      <w:r w:rsidR="000549C1">
        <w:rPr>
          <w:rFonts w:eastAsiaTheme="minorEastAsia" w:hint="eastAsia"/>
          <w:lang w:eastAsia="zh-CN"/>
        </w:rPr>
        <w:t>m</w:t>
      </w:r>
      <w:r>
        <w:t>anagement</w:t>
      </w:r>
      <w:bookmarkEnd w:id="28"/>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907D77" w:rsidTr="00B93CBD">
        <w:trPr>
          <w:cantSplit/>
        </w:trPr>
        <w:tc>
          <w:tcPr>
            <w:tcW w:w="7938" w:type="dxa"/>
            <w:shd w:val="clear" w:color="auto" w:fill="E9E8E5" w:themeFill="background2"/>
          </w:tcPr>
          <w:p w:rsidR="00907D77" w:rsidRDefault="000549C1" w:rsidP="00B93CBD">
            <w:pPr>
              <w:pStyle w:val="Chart"/>
            </w:pPr>
            <w:r>
              <w:rPr>
                <w:noProof/>
                <w:lang w:eastAsia="en-AU"/>
              </w:rPr>
              <w:drawing>
                <wp:inline distT="0" distB="0" distL="0" distR="0">
                  <wp:extent cx="4897755" cy="24409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7755" cy="2440940"/>
                          </a:xfrm>
                          <a:prstGeom prst="rect">
                            <a:avLst/>
                          </a:prstGeom>
                          <a:noFill/>
                          <a:ln>
                            <a:noFill/>
                          </a:ln>
                        </pic:spPr>
                      </pic:pic>
                    </a:graphicData>
                  </a:graphic>
                </wp:inline>
              </w:drawing>
            </w:r>
          </w:p>
        </w:tc>
      </w:tr>
    </w:tbl>
    <w:p w:rsidR="00907D77" w:rsidRPr="00A97BEC" w:rsidRDefault="00907D77" w:rsidP="00907D77">
      <w:pPr>
        <w:pStyle w:val="Note"/>
      </w:pPr>
      <w:r w:rsidRPr="00A97BEC">
        <w:rPr>
          <w:i/>
        </w:rPr>
        <w:t xml:space="preserve">Note: </w:t>
      </w:r>
      <w:r>
        <w:rPr>
          <w:i/>
        </w:rPr>
        <w:t>Other includes grazing beef cattle, sheep and other</w:t>
      </w:r>
    </w:p>
    <w:p w:rsidR="00907D77" w:rsidRDefault="00907D77" w:rsidP="00907D77">
      <w:pPr>
        <w:pStyle w:val="Source"/>
      </w:pPr>
      <w:r>
        <w:rPr>
          <w:i/>
        </w:rPr>
        <w:t>Data source</w:t>
      </w:r>
      <w:r w:rsidRPr="00A67576">
        <w:rPr>
          <w:i/>
        </w:rPr>
        <w:t>:</w:t>
      </w:r>
      <w:r>
        <w:t xml:space="preserve"> DIICCSRTE emissions template, CIE projections</w:t>
      </w:r>
    </w:p>
    <w:p w:rsidR="000F753B" w:rsidRDefault="000F753B" w:rsidP="000F753B">
      <w:pPr>
        <w:pStyle w:val="Heading2"/>
      </w:pPr>
      <w:bookmarkStart w:id="29" w:name="_Toc366052856"/>
      <w:r>
        <w:t>Agricultural soils</w:t>
      </w:r>
      <w:bookmarkEnd w:id="29"/>
    </w:p>
    <w:p w:rsidR="000F753B" w:rsidRPr="000F753B" w:rsidRDefault="000F753B" w:rsidP="000F753B">
      <w:pPr>
        <w:pStyle w:val="BodyText"/>
      </w:pPr>
      <w:r>
        <w:t>Chart 3.</w:t>
      </w:r>
      <w:r w:rsidR="002D3456">
        <w:t>5</w:t>
      </w:r>
      <w:r>
        <w:t xml:space="preserve"> summarises emissions from agricultural soils. These </w:t>
      </w:r>
      <w:r w:rsidR="00B65405">
        <w:t>relate</w:t>
      </w:r>
      <w:r>
        <w:t xml:space="preserve"> to both animal and crop production and are each expected to grow at roughly the same rate</w:t>
      </w:r>
      <w:r w:rsidR="00B65405">
        <w:t xml:space="preserve"> as historically</w:t>
      </w:r>
      <w:r>
        <w:t xml:space="preserve"> over the forecast period.</w:t>
      </w:r>
    </w:p>
    <w:p w:rsidR="000F753B" w:rsidRPr="00695C93" w:rsidRDefault="000F753B" w:rsidP="000F753B">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5</w:instrText>
      </w:r>
      <w:r w:rsidRPr="00695C93">
        <w:fldChar w:fldCharType="end"/>
      </w:r>
      <w:r w:rsidRPr="00695C93">
        <w:instrText xml:space="preserve">" "" </w:instrText>
      </w:r>
      <w:r w:rsidRPr="00695C93">
        <w:fldChar w:fldCharType="separate"/>
      </w:r>
      <w:bookmarkStart w:id="30" w:name="_Caption5680"/>
      <w:bookmarkStart w:id="31" w:name="_Toc366052881"/>
      <w:r w:rsidR="00927DCC">
        <w:rPr>
          <w:noProof/>
        </w:rPr>
        <w:t>3</w:t>
      </w:r>
      <w:r w:rsidR="00927DCC" w:rsidRPr="00695C93">
        <w:rPr>
          <w:noProof/>
        </w:rPr>
        <w:t>.</w:t>
      </w:r>
      <w:r w:rsidR="00927DCC">
        <w:rPr>
          <w:noProof/>
        </w:rPr>
        <w:t>5</w:t>
      </w:r>
      <w:bookmarkEnd w:id="30"/>
      <w:r w:rsidRPr="00695C93">
        <w:fldChar w:fldCharType="end"/>
      </w:r>
      <w:r w:rsidRPr="00695C93">
        <w:tab/>
      </w:r>
      <w:r>
        <w:t>Agricultural soils</w:t>
      </w:r>
      <w:bookmarkEnd w:id="31"/>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0F753B" w:rsidTr="00B93CBD">
        <w:trPr>
          <w:cantSplit/>
        </w:trPr>
        <w:tc>
          <w:tcPr>
            <w:tcW w:w="7938" w:type="dxa"/>
            <w:shd w:val="clear" w:color="auto" w:fill="E9E8E5" w:themeFill="background2"/>
          </w:tcPr>
          <w:p w:rsidR="000F753B" w:rsidRDefault="00EE5C35" w:rsidP="00B93CBD">
            <w:pPr>
              <w:pStyle w:val="Chart"/>
            </w:pPr>
            <w:r>
              <w:rPr>
                <w:noProof/>
                <w:lang w:eastAsia="en-AU"/>
              </w:rPr>
              <w:drawing>
                <wp:inline distT="0" distB="0" distL="0" distR="0">
                  <wp:extent cx="4899660" cy="24415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9660" cy="2441575"/>
                          </a:xfrm>
                          <a:prstGeom prst="rect">
                            <a:avLst/>
                          </a:prstGeom>
                          <a:noFill/>
                          <a:ln>
                            <a:noFill/>
                          </a:ln>
                        </pic:spPr>
                      </pic:pic>
                    </a:graphicData>
                  </a:graphic>
                </wp:inline>
              </w:drawing>
            </w:r>
          </w:p>
        </w:tc>
      </w:tr>
    </w:tbl>
    <w:p w:rsidR="000F753B" w:rsidRPr="00A97BEC" w:rsidRDefault="000F753B" w:rsidP="000F753B">
      <w:pPr>
        <w:pStyle w:val="Note"/>
      </w:pPr>
      <w:r w:rsidRPr="00A97BEC">
        <w:rPr>
          <w:i/>
        </w:rPr>
        <w:t xml:space="preserve">Note: </w:t>
      </w:r>
      <w:r>
        <w:rPr>
          <w:i/>
        </w:rPr>
        <w:t>All emissions are calculated using AR4 global warming potentials. Average emission reported.</w:t>
      </w:r>
    </w:p>
    <w:p w:rsidR="000F753B" w:rsidRDefault="000F753B" w:rsidP="000F753B">
      <w:pPr>
        <w:pStyle w:val="Source"/>
      </w:pPr>
      <w:r>
        <w:rPr>
          <w:i/>
        </w:rPr>
        <w:t>Data source</w:t>
      </w:r>
      <w:r w:rsidRPr="00A67576">
        <w:rPr>
          <w:i/>
        </w:rPr>
        <w:t>:</w:t>
      </w:r>
      <w:r>
        <w:t xml:space="preserve"> DIICCSRTE emissions template, CIE projections</w:t>
      </w:r>
    </w:p>
    <w:p w:rsidR="00907D77" w:rsidRDefault="000F753B" w:rsidP="000F753B">
      <w:pPr>
        <w:pStyle w:val="Heading2"/>
      </w:pPr>
      <w:bookmarkStart w:id="32" w:name="_Toc366052857"/>
      <w:r>
        <w:t>Crop emissions</w:t>
      </w:r>
      <w:bookmarkEnd w:id="32"/>
    </w:p>
    <w:p w:rsidR="000F753B" w:rsidRPr="000F753B" w:rsidRDefault="002D3456" w:rsidP="000F753B">
      <w:pPr>
        <w:pStyle w:val="BodyText"/>
      </w:pPr>
      <w:r>
        <w:t>Chart</w:t>
      </w:r>
      <w:r w:rsidR="000F753B">
        <w:t xml:space="preserve"> 3.</w:t>
      </w:r>
      <w:r>
        <w:t>6</w:t>
      </w:r>
      <w:r w:rsidR="000F753B">
        <w:t xml:space="preserve"> summarises crop emissions. These mostly arise through agricultural soils and historically </w:t>
      </w:r>
      <w:proofErr w:type="gramStart"/>
      <w:r w:rsidR="000F753B">
        <w:t>have been greatly influenced</w:t>
      </w:r>
      <w:proofErr w:type="gramEnd"/>
      <w:r w:rsidR="000F753B">
        <w:t xml:space="preserve"> by drought. The effect of the millennial drought </w:t>
      </w:r>
      <w:r w:rsidR="000F753B">
        <w:lastRenderedPageBreak/>
        <w:t xml:space="preserve">is very clear in the historical values. Nevertheless, they </w:t>
      </w:r>
      <w:proofErr w:type="gramStart"/>
      <w:r w:rsidR="000F753B">
        <w:t>are expected</w:t>
      </w:r>
      <w:proofErr w:type="gramEnd"/>
      <w:r w:rsidR="000F753B">
        <w:t xml:space="preserve"> to grow at slightly less than the overall historic average over the projections period (1.3 per cent a year, compared with 1.4 per cent a year historically.</w:t>
      </w:r>
    </w:p>
    <w:p w:rsidR="001C76A5" w:rsidRPr="00695C93" w:rsidRDefault="001C76A5" w:rsidP="001C76A5">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6</w:instrText>
      </w:r>
      <w:r w:rsidRPr="00695C93">
        <w:fldChar w:fldCharType="end"/>
      </w:r>
      <w:r w:rsidRPr="00695C93">
        <w:instrText xml:space="preserve">" "" </w:instrText>
      </w:r>
      <w:r w:rsidRPr="00695C93">
        <w:fldChar w:fldCharType="separate"/>
      </w:r>
      <w:bookmarkStart w:id="33" w:name="_Caption6237"/>
      <w:bookmarkStart w:id="34" w:name="_Toc366052882"/>
      <w:r w:rsidR="00927DCC">
        <w:rPr>
          <w:noProof/>
        </w:rPr>
        <w:t>3</w:t>
      </w:r>
      <w:r w:rsidR="00927DCC" w:rsidRPr="00695C93">
        <w:rPr>
          <w:noProof/>
        </w:rPr>
        <w:t>.</w:t>
      </w:r>
      <w:r w:rsidR="00927DCC">
        <w:rPr>
          <w:noProof/>
        </w:rPr>
        <w:t>6</w:t>
      </w:r>
      <w:bookmarkEnd w:id="33"/>
      <w:r w:rsidRPr="00695C93">
        <w:fldChar w:fldCharType="end"/>
      </w:r>
      <w:r w:rsidRPr="00695C93">
        <w:tab/>
      </w:r>
      <w:r>
        <w:t>Crop emissions</w:t>
      </w:r>
      <w:bookmarkEnd w:id="34"/>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1C76A5" w:rsidTr="008C2529">
        <w:trPr>
          <w:cantSplit/>
        </w:trPr>
        <w:tc>
          <w:tcPr>
            <w:tcW w:w="7938" w:type="dxa"/>
            <w:shd w:val="clear" w:color="auto" w:fill="E9E8E5" w:themeFill="background2"/>
          </w:tcPr>
          <w:p w:rsidR="001C76A5" w:rsidRDefault="00EE5C35" w:rsidP="008C2529">
            <w:pPr>
              <w:pStyle w:val="Chart"/>
            </w:pPr>
            <w:r>
              <w:rPr>
                <w:noProof/>
                <w:lang w:eastAsia="en-AU"/>
              </w:rPr>
              <w:drawing>
                <wp:inline distT="0" distB="0" distL="0" distR="0">
                  <wp:extent cx="4899660" cy="24415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9660" cy="2441575"/>
                          </a:xfrm>
                          <a:prstGeom prst="rect">
                            <a:avLst/>
                          </a:prstGeom>
                          <a:noFill/>
                          <a:ln>
                            <a:noFill/>
                          </a:ln>
                        </pic:spPr>
                      </pic:pic>
                    </a:graphicData>
                  </a:graphic>
                </wp:inline>
              </w:drawing>
            </w:r>
          </w:p>
        </w:tc>
      </w:tr>
    </w:tbl>
    <w:p w:rsidR="000E1673" w:rsidRPr="00A97BEC" w:rsidRDefault="000E1673" w:rsidP="000E1673">
      <w:pPr>
        <w:pStyle w:val="Note"/>
      </w:pPr>
      <w:r w:rsidRPr="00A97BEC">
        <w:rPr>
          <w:i/>
        </w:rPr>
        <w:t xml:space="preserve">Note: </w:t>
      </w:r>
      <w:r>
        <w:rPr>
          <w:i/>
        </w:rPr>
        <w:t>All emissions are calculated using AR4 global warming potentials. Average emission reported.</w:t>
      </w:r>
    </w:p>
    <w:p w:rsidR="000E1673" w:rsidRDefault="000E1673" w:rsidP="000E1673">
      <w:pPr>
        <w:pStyle w:val="Source"/>
      </w:pPr>
      <w:r>
        <w:rPr>
          <w:i/>
        </w:rPr>
        <w:t>Data source</w:t>
      </w:r>
      <w:r w:rsidRPr="00A67576">
        <w:rPr>
          <w:i/>
        </w:rPr>
        <w:t>:</w:t>
      </w:r>
      <w:r>
        <w:t xml:space="preserve"> DIICCSRTE emissions template, CIE projections</w:t>
      </w:r>
    </w:p>
    <w:p w:rsidR="001C76A5" w:rsidRDefault="00801607" w:rsidP="001C76A5">
      <w:pPr>
        <w:pStyle w:val="BodyText"/>
      </w:pPr>
      <w:r>
        <w:t>Chart 3.</w:t>
      </w:r>
      <w:r w:rsidR="002D3456">
        <w:t>7</w:t>
      </w:r>
      <w:r>
        <w:t xml:space="preserve"> shows emission from field burning of agricultural residues. These are due mostly to wheat and a combination of other crops. As before, the effects of drought are very evident in the historical emissions. Nevertheless, future emissions growth for wheat (around 2.5 per cent a year) is very similar to average historical growth (of around 2.3 per cent a year).</w:t>
      </w:r>
      <w:r w:rsidR="00C61C9C">
        <w:t xml:space="preserve"> The same overall result is true for other crops. Abstracting from the effects of drought, future growth </w:t>
      </w:r>
      <w:proofErr w:type="gramStart"/>
      <w:r w:rsidR="00C61C9C">
        <w:t>is projected</w:t>
      </w:r>
      <w:proofErr w:type="gramEnd"/>
      <w:r w:rsidR="00C61C9C">
        <w:t xml:space="preserve"> to be similar to historical growth.</w:t>
      </w:r>
    </w:p>
    <w:p w:rsidR="001C76A5" w:rsidRPr="00695C93" w:rsidRDefault="001C76A5" w:rsidP="001C76A5">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w:instrText>
      </w:r>
      <w:fldSimple w:instr=" STYLEREF &quot;Heading 1&quot; \l \n ">
        <w:r w:rsidR="00927DCC">
          <w:rPr>
            <w:noProof/>
          </w:rPr>
          <w:instrText>3</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3</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3</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7</w:instrText>
      </w:r>
      <w:r w:rsidRPr="00695C93">
        <w:fldChar w:fldCharType="end"/>
      </w:r>
      <w:r w:rsidRPr="00695C93">
        <w:instrText xml:space="preserve">" "" </w:instrText>
      </w:r>
      <w:r w:rsidRPr="00695C93">
        <w:fldChar w:fldCharType="separate"/>
      </w:r>
      <w:bookmarkStart w:id="35" w:name="_Caption9418"/>
      <w:bookmarkStart w:id="36" w:name="_Toc366052883"/>
      <w:r w:rsidR="00927DCC">
        <w:rPr>
          <w:noProof/>
        </w:rPr>
        <w:t>3</w:t>
      </w:r>
      <w:r w:rsidR="00927DCC" w:rsidRPr="00695C93">
        <w:rPr>
          <w:noProof/>
        </w:rPr>
        <w:t>.</w:t>
      </w:r>
      <w:r w:rsidR="00927DCC">
        <w:rPr>
          <w:noProof/>
        </w:rPr>
        <w:t>7</w:t>
      </w:r>
      <w:bookmarkEnd w:id="35"/>
      <w:r w:rsidRPr="00695C93">
        <w:fldChar w:fldCharType="end"/>
      </w:r>
      <w:r w:rsidRPr="00695C93">
        <w:tab/>
      </w:r>
      <w:r>
        <w:t>Field burning of agricultural residues</w:t>
      </w:r>
      <w:bookmarkEnd w:id="36"/>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1C76A5" w:rsidTr="008C2529">
        <w:trPr>
          <w:cantSplit/>
        </w:trPr>
        <w:tc>
          <w:tcPr>
            <w:tcW w:w="7938" w:type="dxa"/>
            <w:shd w:val="clear" w:color="auto" w:fill="E9E8E5" w:themeFill="background2"/>
          </w:tcPr>
          <w:p w:rsidR="001C76A5" w:rsidRDefault="00EE5C35" w:rsidP="008C2529">
            <w:pPr>
              <w:pStyle w:val="Chart"/>
            </w:pPr>
            <w:r>
              <w:rPr>
                <w:noProof/>
                <w:lang w:eastAsia="en-AU"/>
              </w:rPr>
              <w:drawing>
                <wp:inline distT="0" distB="0" distL="0" distR="0">
                  <wp:extent cx="4899660" cy="24415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9660" cy="2441575"/>
                          </a:xfrm>
                          <a:prstGeom prst="rect">
                            <a:avLst/>
                          </a:prstGeom>
                          <a:noFill/>
                          <a:ln>
                            <a:noFill/>
                          </a:ln>
                        </pic:spPr>
                      </pic:pic>
                    </a:graphicData>
                  </a:graphic>
                </wp:inline>
              </w:drawing>
            </w:r>
          </w:p>
        </w:tc>
      </w:tr>
    </w:tbl>
    <w:p w:rsidR="001C76A5" w:rsidRPr="00A97BEC" w:rsidRDefault="001C76A5" w:rsidP="001C76A5">
      <w:pPr>
        <w:pStyle w:val="Note"/>
      </w:pPr>
      <w:r w:rsidRPr="00A97BEC">
        <w:rPr>
          <w:i/>
        </w:rPr>
        <w:t xml:space="preserve">Note: </w:t>
      </w:r>
      <w:r>
        <w:rPr>
          <w:i/>
        </w:rPr>
        <w:t>Other includes maize, pulses, peanuts and other crops</w:t>
      </w:r>
    </w:p>
    <w:p w:rsidR="001C76A5" w:rsidRDefault="001C76A5" w:rsidP="001C76A5">
      <w:pPr>
        <w:pStyle w:val="Source"/>
      </w:pPr>
      <w:r>
        <w:rPr>
          <w:i/>
        </w:rPr>
        <w:t>Data source</w:t>
      </w:r>
      <w:r w:rsidRPr="00A67576">
        <w:rPr>
          <w:i/>
        </w:rPr>
        <w:t>:</w:t>
      </w:r>
      <w:r>
        <w:t xml:space="preserve"> DIICCSRTE emissions template, CIE projections</w:t>
      </w:r>
    </w:p>
    <w:p w:rsidR="008F35C2" w:rsidRPr="008F35C2" w:rsidRDefault="008F35C2" w:rsidP="008F35C2">
      <w:pPr>
        <w:pStyle w:val="BodyText"/>
      </w:pPr>
    </w:p>
    <w:p w:rsidR="008F35C2" w:rsidRDefault="000A5A91" w:rsidP="000A5A91">
      <w:pPr>
        <w:pStyle w:val="Heading1"/>
      </w:pPr>
      <w:bookmarkStart w:id="37" w:name="_Toc366052858"/>
      <w:r>
        <w:lastRenderedPageBreak/>
        <w:t>Model</w:t>
      </w:r>
      <w:r w:rsidR="00CB496E">
        <w:t xml:space="preserve"> based results</w:t>
      </w:r>
      <w:bookmarkEnd w:id="37"/>
    </w:p>
    <w:p w:rsidR="00CB496E" w:rsidRDefault="00CB496E" w:rsidP="00CB496E">
      <w:pPr>
        <w:pStyle w:val="ChapterIntroduction"/>
      </w:pPr>
      <w:r>
        <w:t>Emissions projections are a combination of activity level forecasts (variables such as livestock numbers, area harvested and fertiliser application) along with the emissions associated with those activity level factors.</w:t>
      </w:r>
    </w:p>
    <w:p w:rsidR="00CB496E" w:rsidRPr="00CB496E" w:rsidRDefault="00CB496E" w:rsidP="00CB496E">
      <w:pPr>
        <w:pStyle w:val="ChapterIntroduction"/>
      </w:pPr>
      <w:r>
        <w:t>This chapter presents modelled activity level results in detail</w:t>
      </w:r>
      <w:r w:rsidR="00A2048B">
        <w:t>, working through the core outcomes and drivers of each of the economic models used for the projections analysis.</w:t>
      </w:r>
    </w:p>
    <w:p w:rsidR="000A7AE3" w:rsidRDefault="000A7AE3" w:rsidP="000A7AE3">
      <w:pPr>
        <w:pStyle w:val="Heading2"/>
      </w:pPr>
      <w:bookmarkStart w:id="38" w:name="_Toc364436049"/>
      <w:bookmarkStart w:id="39" w:name="_Toc366052859"/>
      <w:r>
        <w:t>Meat industries</w:t>
      </w:r>
      <w:bookmarkEnd w:id="38"/>
      <w:bookmarkEnd w:id="39"/>
    </w:p>
    <w:p w:rsidR="000A7AE3" w:rsidRPr="0090363B" w:rsidRDefault="000A7AE3" w:rsidP="000A7AE3">
      <w:pPr>
        <w:pStyle w:val="Heading3"/>
      </w:pPr>
      <w:r>
        <w:t>Basic economic mechanisms</w:t>
      </w:r>
    </w:p>
    <w:p w:rsidR="000A7AE3" w:rsidRPr="003D16B3" w:rsidRDefault="000A7AE3" w:rsidP="000A7AE3">
      <w:pPr>
        <w:pStyle w:val="BodyText"/>
      </w:pPr>
      <w:r w:rsidRPr="003D16B3">
        <w:t xml:space="preserve">For the meat industry, </w:t>
      </w:r>
      <w:r w:rsidR="00A2048B">
        <w:t xml:space="preserve">it is </w:t>
      </w:r>
      <w:r w:rsidRPr="003D16B3">
        <w:t xml:space="preserve">the number of animals </w:t>
      </w:r>
      <w:r w:rsidR="00A2048B">
        <w:t xml:space="preserve">that </w:t>
      </w:r>
      <w:r w:rsidRPr="003D16B3">
        <w:t xml:space="preserve">essentially determines emissions. In the GMI model, this </w:t>
      </w:r>
      <w:proofErr w:type="gramStart"/>
      <w:r w:rsidRPr="003D16B3">
        <w:t>is</w:t>
      </w:r>
      <w:r w:rsidR="00A2048B">
        <w:t xml:space="preserve"> in turn</w:t>
      </w:r>
      <w:r w:rsidRPr="003D16B3">
        <w:t xml:space="preserve"> determined</w:t>
      </w:r>
      <w:proofErr w:type="gramEnd"/>
      <w:r w:rsidRPr="003D16B3">
        <w:t xml:space="preserve"> by two factors:</w:t>
      </w:r>
    </w:p>
    <w:p w:rsidR="000A7AE3" w:rsidRPr="003D16B3" w:rsidRDefault="000A7AE3" w:rsidP="000A7AE3">
      <w:pPr>
        <w:pStyle w:val="ListBullet"/>
        <w:numPr>
          <w:ilvl w:val="0"/>
          <w:numId w:val="25"/>
        </w:numPr>
        <w:spacing w:before="80" w:line="300" w:lineRule="exact"/>
      </w:pPr>
      <w:r w:rsidRPr="003D16B3">
        <w:t xml:space="preserve">the growth in demand for </w:t>
      </w:r>
      <w:r w:rsidR="00A2048B">
        <w:t xml:space="preserve">Australian </w:t>
      </w:r>
      <w:r w:rsidRPr="003D16B3">
        <w:t>meat products</w:t>
      </w:r>
      <w:r w:rsidR="00A2048B">
        <w:t xml:space="preserve"> (which is largely driven by export demand, which in turn depends on population and income growth in our trading partners)</w:t>
      </w:r>
      <w:r w:rsidRPr="003D16B3">
        <w:t>; and</w:t>
      </w:r>
    </w:p>
    <w:p w:rsidR="000A7AE3" w:rsidRPr="003D16B3" w:rsidRDefault="000A7AE3" w:rsidP="000A7AE3">
      <w:pPr>
        <w:pStyle w:val="ListBullet"/>
        <w:numPr>
          <w:ilvl w:val="0"/>
          <w:numId w:val="25"/>
        </w:numPr>
        <w:spacing w:before="80" w:line="300" w:lineRule="exact"/>
      </w:pPr>
      <w:proofErr w:type="gramStart"/>
      <w:r w:rsidRPr="003D16B3">
        <w:t>the</w:t>
      </w:r>
      <w:proofErr w:type="gramEnd"/>
      <w:r w:rsidRPr="003D16B3">
        <w:t xml:space="preserve"> </w:t>
      </w:r>
      <w:r>
        <w:t xml:space="preserve">slaughter </w:t>
      </w:r>
      <w:r w:rsidRPr="003D16B3">
        <w:t>weight of the animal</w:t>
      </w:r>
      <w:r>
        <w:t>s</w:t>
      </w:r>
      <w:r w:rsidR="00A2048B">
        <w:t xml:space="preserve"> concerned — a higher slaughter weight, for example, means that a given meat demand is associated with fewer head of stock.</w:t>
      </w:r>
    </w:p>
    <w:p w:rsidR="000A7AE3" w:rsidRDefault="000A7AE3" w:rsidP="000A7AE3">
      <w:pPr>
        <w:pStyle w:val="Heading4"/>
      </w:pPr>
      <w:r>
        <w:t>Slaughter weight growth</w:t>
      </w:r>
    </w:p>
    <w:p w:rsidR="000A7AE3" w:rsidRDefault="000A7AE3" w:rsidP="000A7AE3">
      <w:pPr>
        <w:pStyle w:val="BodyText"/>
      </w:pPr>
      <w:r w:rsidRPr="003D16B3">
        <w:t xml:space="preserve">For a given growth in demand, the resulting number of animals required to meet this demand depends on the projected growth in the </w:t>
      </w:r>
      <w:r>
        <w:t xml:space="preserve">slaughter </w:t>
      </w:r>
      <w:r w:rsidRPr="003D16B3">
        <w:t>weight of the animals.</w:t>
      </w:r>
      <w:r>
        <w:t xml:space="preserve"> The growth in slaughter weights is an exogenous variable in the GMI </w:t>
      </w:r>
      <w:r w:rsidR="00A2048B">
        <w:t xml:space="preserve">model </w:t>
      </w:r>
      <w:r>
        <w:t xml:space="preserve">and is largely determined according to historical trends. (Slaughter weight growth assumptions are set out in table B.3). For this round of projections, slaughter weight growth to 2018 was set to be consistent with ABARES projections. </w:t>
      </w:r>
      <w:r w:rsidRPr="00B10F10">
        <w:t xml:space="preserve">For 2019-20, we have assumed the average of the previous 8 years (2011 to 2018). For </w:t>
      </w:r>
      <w:proofErr w:type="gramStart"/>
      <w:r w:rsidRPr="00B10F10">
        <w:t>2021-30</w:t>
      </w:r>
      <w:proofErr w:type="gramEnd"/>
      <w:r w:rsidRPr="00B10F10">
        <w:t xml:space="preserve"> we assumed the </w:t>
      </w:r>
      <w:r>
        <w:t xml:space="preserve">average of the </w:t>
      </w:r>
      <w:r w:rsidRPr="00B10F10">
        <w:t>10 year period from 2008 to 2018</w:t>
      </w:r>
      <w:r>
        <w:t>.</w:t>
      </w:r>
    </w:p>
    <w:p w:rsidR="00A2048B" w:rsidRPr="003D16B3" w:rsidRDefault="00A2048B" w:rsidP="000A7AE3">
      <w:pPr>
        <w:pStyle w:val="BodyText"/>
      </w:pPr>
      <w:r>
        <w:t xml:space="preserve">Slaughter weights tend </w:t>
      </w:r>
      <w:proofErr w:type="gramStart"/>
      <w:r>
        <w:t>to steadily increase</w:t>
      </w:r>
      <w:proofErr w:type="gramEnd"/>
      <w:r>
        <w:t xml:space="preserve"> over time for a variety of reasons — but are particularly related to improved genetics and husbandry of the livestock.</w:t>
      </w:r>
    </w:p>
    <w:p w:rsidR="000A7AE3" w:rsidRDefault="000A7AE3" w:rsidP="000A7AE3">
      <w:pPr>
        <w:pStyle w:val="Heading4"/>
      </w:pPr>
      <w:r>
        <w:t>Demand for Australia meat products</w:t>
      </w:r>
    </w:p>
    <w:p w:rsidR="000A7AE3" w:rsidRPr="003D16B3" w:rsidRDefault="000A7AE3" w:rsidP="000A7AE3">
      <w:pPr>
        <w:pStyle w:val="BodyText"/>
      </w:pPr>
      <w:r w:rsidRPr="003D16B3">
        <w:t xml:space="preserve">The overall demand for Australian meat products </w:t>
      </w:r>
      <w:proofErr w:type="gramStart"/>
      <w:r w:rsidRPr="003D16B3">
        <w:t>is determined</w:t>
      </w:r>
      <w:proofErr w:type="gramEnd"/>
      <w:r w:rsidRPr="003D16B3">
        <w:t xml:space="preserve"> by three broad set</w:t>
      </w:r>
      <w:r>
        <w:t>s</w:t>
      </w:r>
      <w:r w:rsidRPr="003D16B3">
        <w:t xml:space="preserve"> of factors:</w:t>
      </w:r>
    </w:p>
    <w:p w:rsidR="000A7AE3" w:rsidRPr="003D16B3" w:rsidRDefault="000A7AE3" w:rsidP="000A7AE3">
      <w:pPr>
        <w:pStyle w:val="ListBullet"/>
        <w:numPr>
          <w:ilvl w:val="0"/>
          <w:numId w:val="25"/>
        </w:numPr>
        <w:spacing w:before="80" w:line="300" w:lineRule="exact"/>
      </w:pPr>
      <w:r w:rsidRPr="003D16B3">
        <w:lastRenderedPageBreak/>
        <w:t xml:space="preserve">supply conditions and productivity growth in </w:t>
      </w:r>
      <w:smartTag w:uri="urn:schemas-microsoft-com:office:smarttags" w:element="place">
        <w:smartTag w:uri="urn:schemas-microsoft-com:office:smarttags" w:element="country-region">
          <w:r w:rsidRPr="003D16B3">
            <w:t>Australia</w:t>
          </w:r>
        </w:smartTag>
      </w:smartTag>
      <w:r w:rsidRPr="003D16B3">
        <w:t>, which determine how the Australian industry can respond to increases in demand or the extent to which the industry can competitively displace other sources of supply;</w:t>
      </w:r>
    </w:p>
    <w:p w:rsidR="000A7AE3" w:rsidRPr="003D16B3" w:rsidRDefault="000A7AE3" w:rsidP="000A7AE3">
      <w:pPr>
        <w:pStyle w:val="ListBullet"/>
        <w:numPr>
          <w:ilvl w:val="0"/>
          <w:numId w:val="25"/>
        </w:numPr>
        <w:spacing w:before="80" w:line="300" w:lineRule="exact"/>
      </w:pPr>
      <w:r w:rsidRPr="003D16B3">
        <w:t>supply conditions and productivity growth in countr</w:t>
      </w:r>
      <w:r>
        <w:t xml:space="preserve">ies that compete with </w:t>
      </w:r>
      <w:smartTag w:uri="urn:schemas-microsoft-com:office:smarttags" w:element="place">
        <w:smartTag w:uri="urn:schemas-microsoft-com:office:smarttags" w:element="country-region">
          <w:r>
            <w:t>Australia</w:t>
          </w:r>
        </w:smartTag>
      </w:smartTag>
      <w:r w:rsidRPr="003D16B3">
        <w:t xml:space="preserve"> in export markets (including the rapidly growing South American countries in the case of beef); and</w:t>
      </w:r>
    </w:p>
    <w:p w:rsidR="000A7AE3" w:rsidRPr="003D16B3" w:rsidRDefault="000A7AE3" w:rsidP="000A7AE3">
      <w:pPr>
        <w:pStyle w:val="ListBullet"/>
        <w:numPr>
          <w:ilvl w:val="0"/>
          <w:numId w:val="25"/>
        </w:numPr>
        <w:spacing w:before="80" w:line="300" w:lineRule="exact"/>
      </w:pPr>
      <w:r w:rsidRPr="003D16B3">
        <w:t>growth in income and population in consuming countries</w:t>
      </w:r>
    </w:p>
    <w:p w:rsidR="000A7AE3" w:rsidRPr="003D16B3" w:rsidRDefault="000A7AE3" w:rsidP="000A7AE3">
      <w:pPr>
        <w:pStyle w:val="ListBullet2"/>
        <w:numPr>
          <w:ilvl w:val="0"/>
          <w:numId w:val="24"/>
        </w:numPr>
        <w:spacing w:before="80" w:line="300" w:lineRule="exact"/>
      </w:pPr>
      <w:proofErr w:type="gramStart"/>
      <w:r w:rsidRPr="003D16B3">
        <w:t>broadly</w:t>
      </w:r>
      <w:proofErr w:type="gramEnd"/>
      <w:r w:rsidRPr="003D16B3">
        <w:t>, population growth will lead to an increase in total consumption for a given level of per capita consumption, while income growth will tend to lead to increases in per capita consumption.</w:t>
      </w:r>
    </w:p>
    <w:p w:rsidR="000A7AE3" w:rsidRPr="003D16B3" w:rsidRDefault="000A7AE3" w:rsidP="000A7AE3">
      <w:pPr>
        <w:pStyle w:val="BodyText"/>
      </w:pPr>
      <w:r>
        <w:t>Appendix B</w:t>
      </w:r>
      <w:r w:rsidRPr="003D16B3">
        <w:t xml:space="preserve"> discusses the underlying exogenous assumption in detail.</w:t>
      </w:r>
    </w:p>
    <w:p w:rsidR="000A7AE3" w:rsidRDefault="000A7AE3" w:rsidP="000A7AE3">
      <w:pPr>
        <w:pStyle w:val="Heading3"/>
      </w:pPr>
      <w:r>
        <w:t>Meat production</w:t>
      </w:r>
    </w:p>
    <w:p w:rsidR="000A7AE3" w:rsidRDefault="000A7AE3" w:rsidP="000A7AE3">
      <w:pPr>
        <w:pStyle w:val="BodyText"/>
      </w:pPr>
      <w:r>
        <w:t xml:space="preserve">Table </w:t>
      </w:r>
      <w:r>
        <w:fldChar w:fldCharType="begin"/>
      </w:r>
      <w:r>
        <w:instrText xml:space="preserve"> REF _Ref364367490 \h </w:instrText>
      </w:r>
      <w:r>
        <w:fldChar w:fldCharType="separate"/>
      </w:r>
      <w:r w:rsidR="00927DCC">
        <w:rPr>
          <w:noProof/>
        </w:rPr>
        <w:t>4</w:t>
      </w:r>
      <w:r w:rsidR="00927DCC" w:rsidRPr="00695C93">
        <w:rPr>
          <w:noProof/>
        </w:rPr>
        <w:t>.</w:t>
      </w:r>
      <w:r w:rsidR="00927DCC">
        <w:rPr>
          <w:noProof/>
        </w:rPr>
        <w:t>1</w:t>
      </w:r>
      <w:r>
        <w:fldChar w:fldCharType="end"/>
      </w:r>
      <w:r>
        <w:t xml:space="preserve"> summarises the central reference case projection of meat production in Australia. Beef, sheep, pig and poultry meat </w:t>
      </w:r>
      <w:r w:rsidR="00417970">
        <w:t xml:space="preserve">production </w:t>
      </w:r>
      <w:proofErr w:type="gramStart"/>
      <w:r w:rsidR="00417970">
        <w:t xml:space="preserve">is </w:t>
      </w:r>
      <w:r>
        <w:t>expected</w:t>
      </w:r>
      <w:proofErr w:type="gramEnd"/>
      <w:r>
        <w:t xml:space="preserve"> to grow by 1.6, 1.3, 1.5 and 2.2 per cent per annum, respectively.</w:t>
      </w:r>
    </w:p>
    <w:p w:rsidR="000A7AE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40" w:name="_Caption6211"/>
      <w:bookmarkStart w:id="41" w:name="_Ref364367490"/>
      <w:bookmarkStart w:id="42" w:name="_Toc364436070"/>
      <w:bookmarkStart w:id="43" w:name="_Toc366052884"/>
      <w:r w:rsidR="00927DCC">
        <w:rPr>
          <w:noProof/>
        </w:rPr>
        <w:t>4</w:t>
      </w:r>
      <w:r w:rsidR="00927DCC" w:rsidRPr="00695C93">
        <w:rPr>
          <w:noProof/>
        </w:rPr>
        <w:t>.</w:t>
      </w:r>
      <w:r w:rsidR="00927DCC">
        <w:rPr>
          <w:noProof/>
        </w:rPr>
        <w:t>1</w:t>
      </w:r>
      <w:bookmarkEnd w:id="40"/>
      <w:bookmarkEnd w:id="41"/>
      <w:r w:rsidRPr="00695C93">
        <w:fldChar w:fldCharType="end"/>
      </w:r>
      <w:r w:rsidRPr="00695C93">
        <w:tab/>
      </w:r>
      <w:r>
        <w:t>Projected meat production: the central reference case</w:t>
      </w:r>
      <w:bookmarkStart w:id="44" w:name="_GoBack"/>
      <w:bookmarkEnd w:id="42"/>
      <w:bookmarkEnd w:id="43"/>
      <w:bookmarkEnd w:id="44"/>
    </w:p>
    <w:tbl>
      <w:tblPr>
        <w:tblW w:w="8042" w:type="dxa"/>
        <w:tblInd w:w="57" w:type="dxa"/>
        <w:tblLook w:val="04A0" w:firstRow="1" w:lastRow="0" w:firstColumn="1" w:lastColumn="0" w:noHBand="0" w:noVBand="1"/>
      </w:tblPr>
      <w:tblGrid>
        <w:gridCol w:w="1090"/>
        <w:gridCol w:w="869"/>
        <w:gridCol w:w="869"/>
        <w:gridCol w:w="869"/>
        <w:gridCol w:w="869"/>
        <w:gridCol w:w="869"/>
        <w:gridCol w:w="869"/>
        <w:gridCol w:w="869"/>
        <w:gridCol w:w="869"/>
      </w:tblGrid>
      <w:tr w:rsidR="000A7AE3" w:rsidRPr="002602DD" w:rsidTr="00D035C2">
        <w:trPr>
          <w:trHeight w:val="255"/>
        </w:trPr>
        <w:tc>
          <w:tcPr>
            <w:tcW w:w="1090" w:type="dxa"/>
            <w:shd w:val="clear" w:color="auto" w:fill="6F6652"/>
            <w:noWrap/>
            <w:tcMar>
              <w:left w:w="57" w:type="dxa"/>
              <w:right w:w="57" w:type="dxa"/>
            </w:tcMar>
            <w:hideMark/>
          </w:tcPr>
          <w:p w:rsidR="000A7AE3" w:rsidRPr="002602DD" w:rsidRDefault="000A7AE3" w:rsidP="00D035C2">
            <w:pPr>
              <w:pStyle w:val="TableDataColumnHeading"/>
              <w:jc w:val="left"/>
            </w:pP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2012</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2013</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2014</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2015</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2020</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2030</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2050</w:t>
            </w:r>
          </w:p>
        </w:tc>
        <w:tc>
          <w:tcPr>
            <w:tcW w:w="869" w:type="dxa"/>
            <w:shd w:val="clear" w:color="auto" w:fill="6F6652"/>
            <w:noWrap/>
            <w:tcMar>
              <w:left w:w="57" w:type="dxa"/>
              <w:right w:w="57" w:type="dxa"/>
            </w:tcMar>
            <w:hideMark/>
          </w:tcPr>
          <w:p w:rsidR="000A7AE3" w:rsidRPr="002602DD" w:rsidRDefault="000A7AE3" w:rsidP="00D035C2">
            <w:pPr>
              <w:pStyle w:val="TableDataColumnHeading"/>
            </w:pPr>
            <w:r w:rsidRPr="002602DD">
              <w:t>CAGR</w:t>
            </w:r>
          </w:p>
        </w:tc>
      </w:tr>
      <w:tr w:rsidR="000A7AE3" w:rsidRPr="002602DD" w:rsidTr="00C8100D">
        <w:trPr>
          <w:trHeight w:val="255"/>
        </w:trPr>
        <w:tc>
          <w:tcPr>
            <w:tcW w:w="1090"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jc w:val="left"/>
            </w:pPr>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proofErr w:type="spellStart"/>
            <w:r w:rsidRPr="002602DD">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2602DD" w:rsidRDefault="000A7AE3" w:rsidP="00D035C2">
            <w:pPr>
              <w:pStyle w:val="TableUnit"/>
            </w:pPr>
            <w:r w:rsidRPr="002602DD">
              <w:t>%</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rPr>
                <w:b/>
              </w:rPr>
            </w:pPr>
            <w:r w:rsidRPr="002602DD">
              <w:rPr>
                <w:b/>
              </w:rPr>
              <w:t>Beef</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r w:rsidRPr="002602DD">
              <w:t>Grass fed</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1654.4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1747.5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1804.1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1804.1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1940.6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2494.9</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3141.5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1.7</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r w:rsidRPr="002602DD">
              <w:t>Grain fed</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364.3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382.4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392.3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389.5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404.9</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498.7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566.7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1.2</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r w:rsidRPr="002602DD">
              <w:t>Live</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96.5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100.1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102.5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111.5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138.1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177.7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1.6</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rPr>
                <w:b/>
              </w:rPr>
            </w:pPr>
            <w:r w:rsidRPr="002602DD">
              <w:rPr>
                <w:b/>
              </w:rPr>
              <w:t>Sheep</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proofErr w:type="spellStart"/>
            <w:r w:rsidRPr="002602DD">
              <w:t>Sheepmeat</w:t>
            </w:r>
            <w:proofErr w:type="spellEnd"/>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539.0</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643.4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577.4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588.5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652.1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760.2</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862.4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1.2</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r w:rsidRPr="002602DD">
              <w:t>Live</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63.1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79.7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70.3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72.5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85.2</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106.9</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133.1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2.0</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rPr>
                <w:b/>
              </w:rPr>
            </w:pPr>
            <w:r w:rsidRPr="002602DD">
              <w:rPr>
                <w:b/>
              </w:rPr>
              <w:t>Pigs</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350.5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348.1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341.2</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346.4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388.6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507.8</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621.1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1.5</w:t>
            </w:r>
          </w:p>
        </w:tc>
      </w:tr>
      <w:tr w:rsidR="00C8100D" w:rsidRPr="002602DD"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jc w:val="left"/>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2DD" w:rsidRDefault="000A7AE3" w:rsidP="00D035C2">
            <w:pPr>
              <w:pStyle w:val="TableDataEntries"/>
            </w:pPr>
          </w:p>
        </w:tc>
      </w:tr>
      <w:tr w:rsidR="00C8100D" w:rsidRPr="002602DD" w:rsidTr="00C8100D">
        <w:trPr>
          <w:trHeight w:val="255"/>
        </w:trPr>
        <w:tc>
          <w:tcPr>
            <w:tcW w:w="109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jc w:val="left"/>
              <w:rPr>
                <w:b/>
              </w:rPr>
            </w:pPr>
            <w:r w:rsidRPr="002602DD">
              <w:rPr>
                <w:b/>
              </w:rPr>
              <w:t>Poultry</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1029.8</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1050.5</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1081.2</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1111.7</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1288.4</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1702.3</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2315.6</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2DD" w:rsidRDefault="000A7AE3" w:rsidP="00D035C2">
            <w:pPr>
              <w:pStyle w:val="TableDataEntries"/>
            </w:pPr>
            <w:r w:rsidRPr="002602DD">
              <w:t>2.2</w:t>
            </w:r>
          </w:p>
        </w:tc>
      </w:tr>
    </w:tbl>
    <w:p w:rsidR="000A7AE3" w:rsidRDefault="000A7AE3" w:rsidP="000A7AE3">
      <w:pPr>
        <w:pStyle w:val="Source"/>
      </w:pPr>
      <w:r>
        <w:rPr>
          <w:i/>
        </w:rPr>
        <w:t>Source</w:t>
      </w:r>
      <w:r w:rsidRPr="00E4232C">
        <w:rPr>
          <w:i/>
        </w:rPr>
        <w:t>:</w:t>
      </w:r>
      <w:r>
        <w:t xml:space="preserve"> CIE GMI model simulation</w:t>
      </w:r>
    </w:p>
    <w:p w:rsidR="000A7AE3" w:rsidRDefault="000A7AE3" w:rsidP="000A7AE3">
      <w:pPr>
        <w:pStyle w:val="BodyText"/>
      </w:pPr>
      <w:r>
        <w:t xml:space="preserve">Meat production growth </w:t>
      </w:r>
      <w:proofErr w:type="gramStart"/>
      <w:r>
        <w:t>is mainly driven</w:t>
      </w:r>
      <w:proofErr w:type="gramEnd"/>
      <w:r>
        <w:t xml:space="preserve"> by growth in exports. As shown in table </w:t>
      </w:r>
      <w:r>
        <w:fldChar w:fldCharType="begin"/>
      </w:r>
      <w:r>
        <w:instrText xml:space="preserve"> REF _Ref364368944 \h </w:instrText>
      </w:r>
      <w:r>
        <w:fldChar w:fldCharType="separate"/>
      </w:r>
      <w:r w:rsidR="00927DCC">
        <w:rPr>
          <w:noProof/>
        </w:rPr>
        <w:t>4</w:t>
      </w:r>
      <w:r w:rsidR="00927DCC" w:rsidRPr="00695C93">
        <w:rPr>
          <w:noProof/>
        </w:rPr>
        <w:t>.</w:t>
      </w:r>
      <w:r w:rsidR="00927DCC">
        <w:rPr>
          <w:noProof/>
        </w:rPr>
        <w:t>2</w:t>
      </w:r>
      <w:r>
        <w:fldChar w:fldCharType="end"/>
      </w:r>
      <w:r>
        <w:t xml:space="preserve">, meat exports </w:t>
      </w:r>
      <w:proofErr w:type="gramStart"/>
      <w:r>
        <w:t>are expected</w:t>
      </w:r>
      <w:proofErr w:type="gramEnd"/>
      <w:r>
        <w:t xml:space="preserve"> to grow faster than total production. As a result, export share of total production increases for all meat products, for example, from 68.2 per cent in 2012 to 75.5 per cent in 2050 for beef, from 64.4 per cent in 2012 to 74.3 per cent in 2050 for </w:t>
      </w:r>
      <w:proofErr w:type="spellStart"/>
      <w:r w:rsidR="00417970">
        <w:t>sheepmeat</w:t>
      </w:r>
      <w:proofErr w:type="spellEnd"/>
      <w:r>
        <w:t>.</w:t>
      </w:r>
    </w:p>
    <w:p w:rsidR="000A7AE3" w:rsidRDefault="000A7AE3" w:rsidP="000A7AE3">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45" w:name="_Caption0688"/>
      <w:bookmarkStart w:id="46" w:name="_Ref364368944"/>
      <w:bookmarkStart w:id="47" w:name="_Toc364436071"/>
      <w:bookmarkStart w:id="48" w:name="_Toc366052885"/>
      <w:r w:rsidR="00927DCC">
        <w:rPr>
          <w:noProof/>
        </w:rPr>
        <w:t>4</w:t>
      </w:r>
      <w:r w:rsidR="00927DCC" w:rsidRPr="00695C93">
        <w:rPr>
          <w:noProof/>
        </w:rPr>
        <w:t>.</w:t>
      </w:r>
      <w:r w:rsidR="00927DCC">
        <w:rPr>
          <w:noProof/>
        </w:rPr>
        <w:t>2</w:t>
      </w:r>
      <w:bookmarkEnd w:id="45"/>
      <w:bookmarkEnd w:id="46"/>
      <w:r w:rsidRPr="00695C93">
        <w:fldChar w:fldCharType="end"/>
      </w:r>
      <w:r w:rsidRPr="00695C93">
        <w:tab/>
      </w:r>
      <w:r>
        <w:t>Projected meat exports: the central reference case</w:t>
      </w:r>
      <w:bookmarkEnd w:id="47"/>
      <w:bookmarkEnd w:id="48"/>
    </w:p>
    <w:tbl>
      <w:tblPr>
        <w:tblW w:w="8042" w:type="dxa"/>
        <w:tblInd w:w="57" w:type="dxa"/>
        <w:tblLook w:val="04A0" w:firstRow="1" w:lastRow="0" w:firstColumn="1" w:lastColumn="0" w:noHBand="0" w:noVBand="1"/>
      </w:tblPr>
      <w:tblGrid>
        <w:gridCol w:w="1090"/>
        <w:gridCol w:w="869"/>
        <w:gridCol w:w="869"/>
        <w:gridCol w:w="869"/>
        <w:gridCol w:w="869"/>
        <w:gridCol w:w="869"/>
        <w:gridCol w:w="869"/>
        <w:gridCol w:w="869"/>
        <w:gridCol w:w="869"/>
      </w:tblGrid>
      <w:tr w:rsidR="000A7AE3" w:rsidRPr="001E1C3F" w:rsidTr="00D035C2">
        <w:trPr>
          <w:trHeight w:val="255"/>
        </w:trPr>
        <w:tc>
          <w:tcPr>
            <w:tcW w:w="1090" w:type="dxa"/>
            <w:shd w:val="clear" w:color="auto" w:fill="6F6652"/>
            <w:noWrap/>
            <w:tcMar>
              <w:left w:w="57" w:type="dxa"/>
              <w:right w:w="57" w:type="dxa"/>
            </w:tcMar>
            <w:hideMark/>
          </w:tcPr>
          <w:p w:rsidR="000A7AE3" w:rsidRPr="001E1C3F" w:rsidRDefault="000A7AE3" w:rsidP="00D035C2">
            <w:pPr>
              <w:pStyle w:val="TableDataColumnHeading"/>
              <w:jc w:val="left"/>
            </w:pP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2012</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2013</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2014</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2015</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2020</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2030</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2050</w:t>
            </w:r>
          </w:p>
        </w:tc>
        <w:tc>
          <w:tcPr>
            <w:tcW w:w="869" w:type="dxa"/>
            <w:shd w:val="clear" w:color="auto" w:fill="6F6652"/>
            <w:noWrap/>
            <w:tcMar>
              <w:left w:w="57" w:type="dxa"/>
              <w:right w:w="57" w:type="dxa"/>
            </w:tcMar>
            <w:hideMark/>
          </w:tcPr>
          <w:p w:rsidR="000A7AE3" w:rsidRPr="001E1C3F" w:rsidRDefault="000A7AE3" w:rsidP="00D035C2">
            <w:pPr>
              <w:pStyle w:val="TableDataColumnHeading"/>
            </w:pPr>
            <w:r w:rsidRPr="001E1C3F">
              <w:t>CAGR</w:t>
            </w:r>
          </w:p>
        </w:tc>
      </w:tr>
      <w:tr w:rsidR="000A7AE3" w:rsidRPr="001E1C3F" w:rsidTr="00C8100D">
        <w:trPr>
          <w:trHeight w:val="255"/>
        </w:trPr>
        <w:tc>
          <w:tcPr>
            <w:tcW w:w="1090"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jc w:val="left"/>
            </w:pPr>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proofErr w:type="spellStart"/>
            <w:r w:rsidRPr="001E1C3F">
              <w:t>kt</w:t>
            </w:r>
            <w:proofErr w:type="spellEnd"/>
          </w:p>
        </w:tc>
        <w:tc>
          <w:tcPr>
            <w:tcW w:w="869" w:type="dxa"/>
            <w:tcBorders>
              <w:bottom w:val="single" w:sz="8" w:space="0" w:color="FFFFFF" w:themeColor="background1"/>
            </w:tcBorders>
            <w:shd w:val="clear" w:color="auto" w:fill="auto"/>
            <w:noWrap/>
            <w:tcMar>
              <w:left w:w="57" w:type="dxa"/>
              <w:right w:w="57" w:type="dxa"/>
            </w:tcMar>
            <w:hideMark/>
          </w:tcPr>
          <w:p w:rsidR="000A7AE3" w:rsidRPr="001E1C3F" w:rsidRDefault="000A7AE3" w:rsidP="00D035C2">
            <w:pPr>
              <w:pStyle w:val="TableUnit"/>
            </w:pPr>
            <w:r w:rsidRPr="001E1C3F">
              <w:t>%</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9E1024" w:rsidRDefault="000A7AE3" w:rsidP="00D035C2">
            <w:pPr>
              <w:pStyle w:val="TableDataEntries"/>
              <w:jc w:val="left"/>
              <w:rPr>
                <w:b/>
              </w:rPr>
            </w:pPr>
            <w:r w:rsidRPr="009E1024">
              <w:rPr>
                <w:b/>
              </w:rPr>
              <w:t>Beef</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r w:rsidRPr="001E1C3F">
              <w:t>Grass fed</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1129.0</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1221.8</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1266.6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1265.6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1391.6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1911.0</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2506.7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2.1</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r w:rsidRPr="001E1C3F">
              <w:t>Grain fed</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217.5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233.1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236.7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229.3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221.3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280.1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250.5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0.4</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r w:rsidRPr="001E1C3F">
              <w:t>Live</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96.5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100.1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102.5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103.1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111.5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138.1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177.7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1.6</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9E1024" w:rsidRDefault="000A7AE3" w:rsidP="00D035C2">
            <w:pPr>
              <w:pStyle w:val="TableDataEntries"/>
              <w:jc w:val="left"/>
              <w:rPr>
                <w:b/>
              </w:rPr>
            </w:pPr>
            <w:r w:rsidRPr="009E1024">
              <w:rPr>
                <w:b/>
              </w:rPr>
              <w:t>Sheep</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proofErr w:type="spellStart"/>
            <w:r w:rsidRPr="001E1C3F">
              <w:t>Sheepmeat</w:t>
            </w:r>
            <w:proofErr w:type="spellEnd"/>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324.6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412.5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360.6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369.1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425.0</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516.3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606.6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1.7</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r w:rsidRPr="001E1C3F">
              <w:t>Live</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63.1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79.7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70.3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72.5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85.2</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106.9</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133.1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2.0</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9E1024" w:rsidRDefault="000A7AE3" w:rsidP="00D035C2">
            <w:pPr>
              <w:pStyle w:val="TableDataEntries"/>
              <w:jc w:val="left"/>
              <w:rPr>
                <w:b/>
              </w:rPr>
            </w:pPr>
            <w:r w:rsidRPr="009E1024">
              <w:rPr>
                <w:b/>
              </w:rPr>
              <w:t>Pigs</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25.7</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26.4</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25.5</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27.1</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37.3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62.6</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102.3</w:t>
            </w: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3.7</w:t>
            </w:r>
          </w:p>
        </w:tc>
      </w:tr>
      <w:tr w:rsidR="00C8100D" w:rsidRPr="001E1C3F" w:rsidTr="00C8100D">
        <w:trPr>
          <w:trHeight w:val="255"/>
        </w:trPr>
        <w:tc>
          <w:tcPr>
            <w:tcW w:w="109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jc w:val="left"/>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c>
          <w:tcPr>
            <w:tcW w:w="8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1E1C3F" w:rsidRDefault="000A7AE3" w:rsidP="00D035C2">
            <w:pPr>
              <w:pStyle w:val="TableDataEntries"/>
            </w:pPr>
          </w:p>
        </w:tc>
      </w:tr>
      <w:tr w:rsidR="00C8100D" w:rsidRPr="001E1C3F" w:rsidTr="00C8100D">
        <w:trPr>
          <w:trHeight w:val="255"/>
        </w:trPr>
        <w:tc>
          <w:tcPr>
            <w:tcW w:w="109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E1024" w:rsidRDefault="000A7AE3" w:rsidP="00D035C2">
            <w:pPr>
              <w:pStyle w:val="TableDataEntries"/>
              <w:jc w:val="left"/>
              <w:rPr>
                <w:b/>
              </w:rPr>
            </w:pPr>
            <w:r w:rsidRPr="009E1024">
              <w:rPr>
                <w:b/>
              </w:rPr>
              <w:t>Poultry</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24.2</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31.1</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37.0</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44.2</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91.0</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220.8</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383.0</w:t>
            </w:r>
          </w:p>
        </w:tc>
        <w:tc>
          <w:tcPr>
            <w:tcW w:w="869"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1E1C3F" w:rsidRDefault="000A7AE3" w:rsidP="00D035C2">
            <w:pPr>
              <w:pStyle w:val="TableDataEntries"/>
            </w:pPr>
            <w:r w:rsidRPr="001E1C3F">
              <w:t>7.5</w:t>
            </w:r>
          </w:p>
        </w:tc>
      </w:tr>
    </w:tbl>
    <w:p w:rsidR="000A7AE3" w:rsidRDefault="000A7AE3" w:rsidP="000A7AE3">
      <w:pPr>
        <w:pStyle w:val="Source"/>
      </w:pPr>
      <w:r>
        <w:rPr>
          <w:i/>
        </w:rPr>
        <w:t>Source</w:t>
      </w:r>
      <w:r w:rsidRPr="00E4232C">
        <w:rPr>
          <w:i/>
        </w:rPr>
        <w:t>:</w:t>
      </w:r>
      <w:r>
        <w:t xml:space="preserve"> CIE GMI model simulation</w:t>
      </w:r>
    </w:p>
    <w:p w:rsidR="000A7AE3" w:rsidRDefault="000A7AE3" w:rsidP="000A7AE3">
      <w:pPr>
        <w:pStyle w:val="BodyText"/>
      </w:pPr>
      <w:r>
        <w:t>However</w:t>
      </w:r>
      <w:r w:rsidR="00E27B7C">
        <w:t>,</w:t>
      </w:r>
      <w:r>
        <w:t xml:space="preserve"> because </w:t>
      </w:r>
      <w:r w:rsidR="00E27B7C">
        <w:t xml:space="preserve">of </w:t>
      </w:r>
      <w:r>
        <w:t xml:space="preserve">the prolonged global economic downturn, export growth </w:t>
      </w:r>
      <w:proofErr w:type="gramStart"/>
      <w:r>
        <w:t>is projected</w:t>
      </w:r>
      <w:proofErr w:type="gramEnd"/>
      <w:r>
        <w:t xml:space="preserve"> to be lower than that in the 2010 round of projections. In conjunction with </w:t>
      </w:r>
      <w:r w:rsidR="00121178">
        <w:t xml:space="preserve">the </w:t>
      </w:r>
      <w:r>
        <w:t xml:space="preserve">lower level in the base year, the projected production of all meat products is smaller in relevant years than the previous projections. </w:t>
      </w:r>
    </w:p>
    <w:p w:rsidR="000A7AE3" w:rsidRDefault="000A7AE3" w:rsidP="000A7AE3">
      <w:pPr>
        <w:pStyle w:val="Heading3"/>
      </w:pPr>
      <w:r>
        <w:t>Number of cattle</w:t>
      </w:r>
    </w:p>
    <w:p w:rsidR="000A7AE3" w:rsidRDefault="000A7AE3" w:rsidP="000A7AE3">
      <w:pPr>
        <w:pStyle w:val="BodyText"/>
      </w:pPr>
      <w:r>
        <w:t xml:space="preserve">Table </w:t>
      </w:r>
      <w:r>
        <w:fldChar w:fldCharType="begin"/>
      </w:r>
      <w:r>
        <w:instrText xml:space="preserve"> REF _Ref364370745 \h </w:instrText>
      </w:r>
      <w:r>
        <w:fldChar w:fldCharType="separate"/>
      </w:r>
      <w:r w:rsidR="00927DCC">
        <w:rPr>
          <w:noProof/>
        </w:rPr>
        <w:t>4</w:t>
      </w:r>
      <w:r w:rsidR="00927DCC" w:rsidRPr="00695C93">
        <w:rPr>
          <w:noProof/>
        </w:rPr>
        <w:t>.</w:t>
      </w:r>
      <w:r w:rsidR="00927DCC">
        <w:rPr>
          <w:noProof/>
        </w:rPr>
        <w:t>3</w:t>
      </w:r>
      <w:r>
        <w:fldChar w:fldCharType="end"/>
      </w:r>
      <w:r>
        <w:t xml:space="preserve"> summarises the projected beef cattle numbers that result from expected meat demand combined with the growth in slaughter weight. Grass fed cattle numbers </w:t>
      </w:r>
      <w:proofErr w:type="gramStart"/>
      <w:r>
        <w:t>are projected</w:t>
      </w:r>
      <w:proofErr w:type="gramEnd"/>
      <w:r>
        <w:t xml:space="preserve"> to fall initially before increasing to 24.8 million by 2015, to 26.52 million by 2020 and to 39.71 million by 2050. This represents an average annual growth rate of 1.27 per cent between 2012 and 2050.</w:t>
      </w:r>
    </w:p>
    <w:p w:rsidR="000A7AE3" w:rsidRDefault="000A7AE3" w:rsidP="000A7AE3">
      <w:pPr>
        <w:pStyle w:val="BodyText"/>
        <w:rPr>
          <w:rFonts w:eastAsiaTheme="minorEastAsia"/>
          <w:lang w:eastAsia="zh-CN"/>
        </w:rPr>
      </w:pPr>
      <w:r>
        <w:t xml:space="preserve">Grain fed cattle numbers </w:t>
      </w:r>
      <w:proofErr w:type="gramStart"/>
      <w:r>
        <w:t>are projected</w:t>
      </w:r>
      <w:proofErr w:type="gramEnd"/>
      <w:r>
        <w:t xml:space="preserve"> to increase to 1.13 million by 2015, to 1.17 million by 2020 and to 1.46 million by 2050. This represents an average annual growth rate of 0.64 per cent between 2012 and 2050.</w:t>
      </w:r>
    </w:p>
    <w:p w:rsidR="00DA015F" w:rsidRPr="004E3A3E" w:rsidRDefault="00DA015F" w:rsidP="00DA015F">
      <w:pPr>
        <w:pStyle w:val="BodyText"/>
      </w:pPr>
      <w:r>
        <w:t>Comparing with the 2010 round projection, the current projections for cattle numbers are slightly higher in relevant years. This is due to higher base level of cattle numbers and the assumed slightly lower slaughter weight growth.</w:t>
      </w:r>
    </w:p>
    <w:p w:rsidR="00DA015F" w:rsidRPr="00DA015F" w:rsidRDefault="00DA015F" w:rsidP="000A7AE3">
      <w:pPr>
        <w:pStyle w:val="BodyText"/>
        <w:rPr>
          <w:rFonts w:eastAsiaTheme="minorEastAsia"/>
          <w:lang w:eastAsia="zh-CN"/>
        </w:rPr>
      </w:pPr>
    </w:p>
    <w:p w:rsidR="000A7AE3" w:rsidRDefault="000A7AE3" w:rsidP="000A7AE3">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3</w:instrText>
      </w:r>
      <w:r w:rsidRPr="00695C93">
        <w:fldChar w:fldCharType="end"/>
      </w:r>
      <w:r w:rsidRPr="00695C93">
        <w:instrText xml:space="preserve">" "" </w:instrText>
      </w:r>
      <w:r w:rsidRPr="00695C93">
        <w:fldChar w:fldCharType="separate"/>
      </w:r>
      <w:bookmarkStart w:id="49" w:name="_Caption4049"/>
      <w:bookmarkStart w:id="50" w:name="_Ref364370745"/>
      <w:bookmarkStart w:id="51" w:name="_Toc364436072"/>
      <w:bookmarkStart w:id="52" w:name="_Toc366052886"/>
      <w:r w:rsidR="00927DCC">
        <w:rPr>
          <w:noProof/>
        </w:rPr>
        <w:t>4</w:t>
      </w:r>
      <w:r w:rsidR="00927DCC" w:rsidRPr="00695C93">
        <w:rPr>
          <w:noProof/>
        </w:rPr>
        <w:t>.</w:t>
      </w:r>
      <w:r w:rsidR="00927DCC">
        <w:rPr>
          <w:noProof/>
        </w:rPr>
        <w:t>3</w:t>
      </w:r>
      <w:bookmarkEnd w:id="49"/>
      <w:bookmarkEnd w:id="50"/>
      <w:r w:rsidRPr="00695C93">
        <w:fldChar w:fldCharType="end"/>
      </w:r>
      <w:r w:rsidRPr="00695C93">
        <w:tab/>
      </w:r>
      <w:r>
        <w:t>Projected beef cattle numbers: the central reference case</w:t>
      </w:r>
      <w:bookmarkEnd w:id="51"/>
      <w:bookmarkEnd w:id="52"/>
    </w:p>
    <w:tbl>
      <w:tblPr>
        <w:tblW w:w="7934" w:type="dxa"/>
        <w:tblInd w:w="57" w:type="dxa"/>
        <w:tblLook w:val="04A0" w:firstRow="1" w:lastRow="0" w:firstColumn="1" w:lastColumn="0" w:noHBand="0" w:noVBand="1"/>
      </w:tblPr>
      <w:tblGrid>
        <w:gridCol w:w="1438"/>
        <w:gridCol w:w="928"/>
        <w:gridCol w:w="928"/>
        <w:gridCol w:w="928"/>
        <w:gridCol w:w="928"/>
        <w:gridCol w:w="928"/>
        <w:gridCol w:w="928"/>
        <w:gridCol w:w="928"/>
      </w:tblGrid>
      <w:tr w:rsidR="000A7AE3" w:rsidRPr="00B50796" w:rsidTr="00D035C2">
        <w:trPr>
          <w:trHeight w:val="255"/>
        </w:trPr>
        <w:tc>
          <w:tcPr>
            <w:tcW w:w="1438" w:type="dxa"/>
            <w:shd w:val="clear" w:color="auto" w:fill="6F6652"/>
            <w:noWrap/>
            <w:tcMar>
              <w:left w:w="57" w:type="dxa"/>
              <w:right w:w="57" w:type="dxa"/>
            </w:tcMar>
            <w:hideMark/>
          </w:tcPr>
          <w:p w:rsidR="000A7AE3" w:rsidRPr="00B50796" w:rsidRDefault="000A7AE3" w:rsidP="00D035C2">
            <w:pPr>
              <w:pStyle w:val="TableDataColumnHeading"/>
              <w:jc w:val="left"/>
            </w:pP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2012</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2013</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2014</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2015</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2020</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2030</w:t>
            </w:r>
          </w:p>
        </w:tc>
        <w:tc>
          <w:tcPr>
            <w:tcW w:w="928" w:type="dxa"/>
            <w:shd w:val="clear" w:color="auto" w:fill="6F6652"/>
            <w:noWrap/>
            <w:tcMar>
              <w:left w:w="57" w:type="dxa"/>
              <w:right w:w="57" w:type="dxa"/>
            </w:tcMar>
            <w:hideMark/>
          </w:tcPr>
          <w:p w:rsidR="000A7AE3" w:rsidRPr="00B50796" w:rsidRDefault="000A7AE3" w:rsidP="00D035C2">
            <w:pPr>
              <w:pStyle w:val="TableDataColumnHeading"/>
            </w:pPr>
            <w:r w:rsidRPr="00B50796">
              <w:t>2050</w:t>
            </w:r>
          </w:p>
        </w:tc>
      </w:tr>
      <w:tr w:rsidR="000A7AE3" w:rsidRPr="00B50796" w:rsidTr="00C8100D">
        <w:trPr>
          <w:trHeight w:val="255"/>
        </w:trPr>
        <w:tc>
          <w:tcPr>
            <w:tcW w:w="143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jc w:val="left"/>
            </w:pP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B50796" w:rsidRDefault="000A7AE3" w:rsidP="00D035C2">
            <w:pPr>
              <w:pStyle w:val="TableUnit"/>
            </w:pPr>
            <w:r w:rsidRPr="00B50796">
              <w:t>million</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5D155D" w:rsidRDefault="000A7AE3" w:rsidP="00D035C2">
            <w:pPr>
              <w:pStyle w:val="TableDataEntries"/>
              <w:jc w:val="left"/>
              <w:rPr>
                <w:b/>
              </w:rPr>
            </w:pPr>
            <w:r w:rsidRPr="005D155D">
              <w:rPr>
                <w:b/>
              </w:rPr>
              <w:t>Grass fed cattle</w:t>
            </w: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NSW/ACT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5.04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4.99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4.97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5.09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5.44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6.73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8.15</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TAS</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0.50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0.75</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WA - South West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1.38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1.67</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 xml:space="preserve">WA </w:t>
            </w:r>
            <w:r>
              <w:t>–</w:t>
            </w:r>
            <w:r w:rsidRPr="00B50796">
              <w:t xml:space="preserve"> Pilbara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0.53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0.64</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 xml:space="preserve">WA </w:t>
            </w:r>
            <w:r>
              <w:t>–</w:t>
            </w:r>
            <w:r w:rsidRPr="00B50796">
              <w:t xml:space="preserve"> Kimberley</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0.49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0.78</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SA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1.06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1.41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1.70</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VIC</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2.24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2.22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2.21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2.27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2.42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3.00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3.63</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QLD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11.67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11.55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11.51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11.79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12.60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15.59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18.87</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NT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2.18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2.16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2.15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2.20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2.35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2.91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3.52</w:t>
            </w:r>
          </w:p>
        </w:tc>
      </w:tr>
      <w:tr w:rsidR="00C8100D" w:rsidRPr="00260049"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jc w:val="left"/>
              <w:rPr>
                <w:b/>
              </w:rPr>
            </w:pPr>
            <w:r w:rsidRPr="00260049">
              <w:rPr>
                <w:b/>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24.55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24.31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24.23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24.80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26.52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32.80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39.71</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5D155D" w:rsidRDefault="000A7AE3" w:rsidP="00D035C2">
            <w:pPr>
              <w:pStyle w:val="TableDataEntries"/>
              <w:jc w:val="left"/>
              <w:rPr>
                <w:b/>
              </w:rPr>
            </w:pPr>
            <w:r w:rsidRPr="005D155D">
              <w:rPr>
                <w:b/>
              </w:rPr>
              <w:t>Grain fed cattle</w:t>
            </w: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B50796" w:rsidRDefault="000A7AE3" w:rsidP="00D035C2">
            <w:pPr>
              <w:pStyle w:val="TableDataEntries"/>
            </w:pP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NSW/ACT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0.39</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TAS</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WA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0.03</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SA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0.06</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VIC</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0.13</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QLD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0.68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0.80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0.85</w:t>
            </w:r>
          </w:p>
        </w:tc>
      </w:tr>
      <w:tr w:rsidR="00C8100D" w:rsidRPr="00B50796"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jc w:val="left"/>
            </w:pPr>
            <w:r w:rsidRPr="00B50796">
              <w:t>NT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B50796" w:rsidRDefault="000A7AE3" w:rsidP="00D035C2">
            <w:pPr>
              <w:pStyle w:val="TableDataEntries"/>
            </w:pPr>
            <w:r w:rsidRPr="00B50796">
              <w:t>0.00</w:t>
            </w:r>
          </w:p>
        </w:tc>
      </w:tr>
      <w:tr w:rsidR="00C8100D" w:rsidRPr="00260049" w:rsidTr="00C8100D">
        <w:trPr>
          <w:trHeight w:val="255"/>
        </w:trPr>
        <w:tc>
          <w:tcPr>
            <w:tcW w:w="143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jc w:val="left"/>
              <w:rPr>
                <w:b/>
              </w:rPr>
            </w:pPr>
            <w:r w:rsidRPr="00260049">
              <w:rPr>
                <w:b/>
              </w:rPr>
              <w:t>Total</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1.14</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1.13</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1.11</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1.13</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1.17</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1.37</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260049" w:rsidRDefault="000A7AE3" w:rsidP="00D035C2">
            <w:pPr>
              <w:pStyle w:val="TableDataEntries"/>
              <w:rPr>
                <w:b/>
              </w:rPr>
            </w:pPr>
            <w:r w:rsidRPr="00260049">
              <w:rPr>
                <w:b/>
              </w:rPr>
              <w:t>1.46</w:t>
            </w:r>
          </w:p>
        </w:tc>
      </w:tr>
    </w:tbl>
    <w:p w:rsidR="000A7AE3" w:rsidRDefault="000A7AE3" w:rsidP="000A7AE3">
      <w:pPr>
        <w:pStyle w:val="Source"/>
      </w:pPr>
      <w:r>
        <w:rPr>
          <w:i/>
        </w:rPr>
        <w:t>Source</w:t>
      </w:r>
      <w:r w:rsidRPr="00E4232C">
        <w:rPr>
          <w:i/>
        </w:rPr>
        <w:t>:</w:t>
      </w:r>
      <w:r>
        <w:t xml:space="preserve"> CIE GMI model simulation</w:t>
      </w:r>
    </w:p>
    <w:p w:rsidR="000A7AE3" w:rsidRDefault="000A7AE3" w:rsidP="000A7AE3">
      <w:pPr>
        <w:pStyle w:val="Heading3"/>
      </w:pPr>
      <w:r>
        <w:t>Sheep, pig and poultry numbers</w:t>
      </w:r>
    </w:p>
    <w:p w:rsidR="000A7AE3" w:rsidRDefault="000A7AE3" w:rsidP="000A7AE3">
      <w:pPr>
        <w:pStyle w:val="BodyText"/>
        <w:rPr>
          <w:rFonts w:eastAsiaTheme="minorEastAsia"/>
          <w:lang w:eastAsia="zh-CN"/>
        </w:rPr>
      </w:pPr>
      <w:r>
        <w:t xml:space="preserve">Table </w:t>
      </w:r>
      <w:r>
        <w:fldChar w:fldCharType="begin"/>
      </w:r>
      <w:r>
        <w:instrText xml:space="preserve"> REF _Ref364371764 \h </w:instrText>
      </w:r>
      <w:r>
        <w:fldChar w:fldCharType="separate"/>
      </w:r>
      <w:r w:rsidR="00927DCC">
        <w:rPr>
          <w:noProof/>
        </w:rPr>
        <w:t>4</w:t>
      </w:r>
      <w:r w:rsidR="00927DCC" w:rsidRPr="00695C93">
        <w:rPr>
          <w:noProof/>
        </w:rPr>
        <w:t>.</w:t>
      </w:r>
      <w:r w:rsidR="00927DCC">
        <w:rPr>
          <w:noProof/>
        </w:rPr>
        <w:t>4</w:t>
      </w:r>
      <w:r>
        <w:fldChar w:fldCharType="end"/>
      </w:r>
      <w:r>
        <w:t xml:space="preserve"> summarises the projected numbers for sheep, pigs and poultry in selected years.</w:t>
      </w:r>
    </w:p>
    <w:p w:rsidR="00DA015F" w:rsidRDefault="00DA015F" w:rsidP="00DA015F">
      <w:pPr>
        <w:pStyle w:val="BodyText"/>
      </w:pPr>
      <w:r>
        <w:t xml:space="preserve">Sheep numbers </w:t>
      </w:r>
      <w:proofErr w:type="gramStart"/>
      <w:r>
        <w:t>are projected</w:t>
      </w:r>
      <w:proofErr w:type="gramEnd"/>
      <w:r>
        <w:t xml:space="preserve"> to fall in 2013 and 2014 before rising to 78.63 million in 2015, 84.19 million in 2020 and 101.16 million in 2050. The average annual growth rate between 2012 and 2050 is 0.78 per cent.</w:t>
      </w:r>
    </w:p>
    <w:p w:rsidR="00DA015F" w:rsidRDefault="00DA015F" w:rsidP="00DA015F">
      <w:pPr>
        <w:pStyle w:val="BodyText"/>
      </w:pPr>
      <w:r>
        <w:t xml:space="preserve">Comparing with the 2010 round of projections, the current projections of sheep numbers are higher – 15.87 per cent higher in 2030. This is due to higher base level – 4.1 per cent higher in 2012, and higher growth rate between 2012 and </w:t>
      </w:r>
      <w:proofErr w:type="gramStart"/>
      <w:r>
        <w:t>2030 which</w:t>
      </w:r>
      <w:proofErr w:type="gramEnd"/>
      <w:r>
        <w:t xml:space="preserve"> reflects the higher growth rate in </w:t>
      </w:r>
      <w:proofErr w:type="spellStart"/>
      <w:r>
        <w:t>sheepmeat</w:t>
      </w:r>
      <w:proofErr w:type="spellEnd"/>
      <w:r>
        <w:t xml:space="preserve"> demand during the same period.</w:t>
      </w:r>
    </w:p>
    <w:p w:rsidR="00DA015F" w:rsidRDefault="00DA015F" w:rsidP="00DA015F">
      <w:pPr>
        <w:pStyle w:val="BodyText"/>
      </w:pPr>
      <w:r>
        <w:t xml:space="preserve">Pig numbers </w:t>
      </w:r>
      <w:proofErr w:type="gramStart"/>
      <w:r>
        <w:t>are projected</w:t>
      </w:r>
      <w:proofErr w:type="gramEnd"/>
      <w:r>
        <w:t xml:space="preserve"> to fall between 2013 and 2015, and to increase to 2.34 million by 2020 and to 3.55 million by 2050. The average annual growth rate between 2012 and 2050 is 0.78 per cent.</w:t>
      </w:r>
    </w:p>
    <w:p w:rsidR="00DA015F" w:rsidRPr="00DA015F" w:rsidRDefault="00DA015F" w:rsidP="000A7AE3">
      <w:pPr>
        <w:pStyle w:val="BodyText"/>
        <w:rPr>
          <w:rFonts w:eastAsiaTheme="minorEastAsia"/>
          <w:lang w:eastAsia="zh-CN"/>
        </w:rPr>
      </w:pPr>
    </w:p>
    <w:p w:rsidR="000A7AE3" w:rsidRDefault="000A7AE3" w:rsidP="000A7AE3">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4</w:instrText>
      </w:r>
      <w:r w:rsidRPr="00695C93">
        <w:fldChar w:fldCharType="end"/>
      </w:r>
      <w:r w:rsidRPr="00695C93">
        <w:instrText xml:space="preserve">" "" </w:instrText>
      </w:r>
      <w:r w:rsidRPr="00695C93">
        <w:fldChar w:fldCharType="separate"/>
      </w:r>
      <w:bookmarkStart w:id="53" w:name="_Caption3588"/>
      <w:bookmarkStart w:id="54" w:name="_Ref364371764"/>
      <w:bookmarkStart w:id="55" w:name="_Toc364436073"/>
      <w:bookmarkStart w:id="56" w:name="_Toc366052887"/>
      <w:r w:rsidR="00927DCC">
        <w:rPr>
          <w:noProof/>
        </w:rPr>
        <w:t>4</w:t>
      </w:r>
      <w:r w:rsidR="00927DCC" w:rsidRPr="00695C93">
        <w:rPr>
          <w:noProof/>
        </w:rPr>
        <w:t>.</w:t>
      </w:r>
      <w:r w:rsidR="00927DCC">
        <w:rPr>
          <w:noProof/>
        </w:rPr>
        <w:t>4</w:t>
      </w:r>
      <w:bookmarkEnd w:id="53"/>
      <w:bookmarkEnd w:id="54"/>
      <w:r w:rsidRPr="00695C93">
        <w:fldChar w:fldCharType="end"/>
      </w:r>
      <w:r w:rsidRPr="00695C93">
        <w:tab/>
      </w:r>
      <w:r>
        <w:t>Projected sheep, pig and poultry numbers</w:t>
      </w:r>
      <w:r w:rsidR="00CC00AA">
        <w:rPr>
          <w:rFonts w:eastAsiaTheme="minorEastAsia" w:hint="eastAsia"/>
          <w:lang w:eastAsia="zh-CN"/>
        </w:rPr>
        <w:t>:</w:t>
      </w:r>
      <w:r>
        <w:t xml:space="preserve"> the central reference case</w:t>
      </w:r>
      <w:bookmarkEnd w:id="55"/>
      <w:bookmarkEnd w:id="56"/>
    </w:p>
    <w:tbl>
      <w:tblPr>
        <w:tblW w:w="7934" w:type="dxa"/>
        <w:tblInd w:w="57" w:type="dxa"/>
        <w:tblLook w:val="04A0" w:firstRow="1" w:lastRow="0" w:firstColumn="1" w:lastColumn="0" w:noHBand="0" w:noVBand="1"/>
      </w:tblPr>
      <w:tblGrid>
        <w:gridCol w:w="1438"/>
        <w:gridCol w:w="928"/>
        <w:gridCol w:w="928"/>
        <w:gridCol w:w="928"/>
        <w:gridCol w:w="928"/>
        <w:gridCol w:w="928"/>
        <w:gridCol w:w="928"/>
        <w:gridCol w:w="928"/>
      </w:tblGrid>
      <w:tr w:rsidR="000A7AE3" w:rsidRPr="00473323" w:rsidTr="00D035C2">
        <w:trPr>
          <w:trHeight w:val="255"/>
        </w:trPr>
        <w:tc>
          <w:tcPr>
            <w:tcW w:w="1438" w:type="dxa"/>
            <w:shd w:val="clear" w:color="auto" w:fill="6F6652"/>
            <w:noWrap/>
            <w:tcMar>
              <w:left w:w="57" w:type="dxa"/>
              <w:right w:w="57" w:type="dxa"/>
            </w:tcMar>
            <w:hideMark/>
          </w:tcPr>
          <w:p w:rsidR="000A7AE3" w:rsidRPr="00473323" w:rsidRDefault="000A7AE3" w:rsidP="00D035C2">
            <w:pPr>
              <w:pStyle w:val="TableDataColumnHeading"/>
              <w:jc w:val="left"/>
            </w:pP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2012</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2013</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2014</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2015</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2020</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2030</w:t>
            </w:r>
          </w:p>
        </w:tc>
        <w:tc>
          <w:tcPr>
            <w:tcW w:w="928" w:type="dxa"/>
            <w:shd w:val="clear" w:color="auto" w:fill="6F6652"/>
            <w:noWrap/>
            <w:tcMar>
              <w:left w:w="57" w:type="dxa"/>
              <w:right w:w="57" w:type="dxa"/>
            </w:tcMar>
            <w:hideMark/>
          </w:tcPr>
          <w:p w:rsidR="000A7AE3" w:rsidRPr="00473323" w:rsidRDefault="000A7AE3" w:rsidP="00D035C2">
            <w:pPr>
              <w:pStyle w:val="TableDataColumnHeading"/>
            </w:pPr>
            <w:r w:rsidRPr="00473323">
              <w:t>2050</w:t>
            </w:r>
          </w:p>
        </w:tc>
      </w:tr>
      <w:tr w:rsidR="000A7AE3" w:rsidRPr="00473323" w:rsidTr="00C8100D">
        <w:trPr>
          <w:trHeight w:val="255"/>
        </w:trPr>
        <w:tc>
          <w:tcPr>
            <w:tcW w:w="143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c>
          <w:tcPr>
            <w:tcW w:w="928" w:type="dxa"/>
            <w:tcBorders>
              <w:bottom w:val="single" w:sz="8" w:space="0" w:color="FFFFFF" w:themeColor="background1"/>
            </w:tcBorders>
            <w:shd w:val="clear" w:color="auto" w:fill="auto"/>
            <w:noWrap/>
            <w:tcMar>
              <w:left w:w="57" w:type="dxa"/>
              <w:right w:w="57" w:type="dxa"/>
            </w:tcMar>
            <w:hideMark/>
          </w:tcPr>
          <w:p w:rsidR="000A7AE3" w:rsidRPr="00473323" w:rsidRDefault="000A7AE3" w:rsidP="00C8100D">
            <w:pPr>
              <w:pStyle w:val="TableDataEntries"/>
              <w:jc w:val="left"/>
            </w:pPr>
            <w:r w:rsidRPr="00473323">
              <w:t>million</w:t>
            </w:r>
          </w:p>
        </w:tc>
      </w:tr>
      <w:tr w:rsidR="00C8100D" w:rsidRPr="00FD4A8F" w:rsidTr="00C8100D">
        <w:trPr>
          <w:trHeight w:val="255"/>
        </w:trPr>
        <w:tc>
          <w:tcPr>
            <w:tcW w:w="14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jc w:val="left"/>
              <w:rPr>
                <w:b/>
              </w:rPr>
            </w:pPr>
            <w:r w:rsidRPr="00FD4A8F">
              <w:rPr>
                <w:b/>
              </w:rPr>
              <w:t>Sheep</w:t>
            </w: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NSW/ACT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27.69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27.42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27.11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28.91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30.96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34.44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37.20</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TAS</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2.42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2.70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3.24</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WA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14.42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14.28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14.12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15.06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16.12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17.94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19.37</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SA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11.34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11.23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11.10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11.84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12.68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14.11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15.23</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VIC</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15.67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15.34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16.36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17.52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19.49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21.05</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QLD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3.76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3.73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3.68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3.93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4.21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4.68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5.06</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r>
      <w:tr w:rsidR="00C8100D" w:rsidRPr="00DA015F"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jc w:val="left"/>
              <w:rPr>
                <w:b/>
              </w:rPr>
            </w:pPr>
            <w:r w:rsidRPr="00DA015F">
              <w:rPr>
                <w:b/>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75.31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74.57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73.73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78.63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84.19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93.66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101.16</w:t>
            </w:r>
          </w:p>
        </w:tc>
      </w:tr>
      <w:tr w:rsidR="00C8100D" w:rsidRPr="00FD4A8F" w:rsidTr="00C8100D">
        <w:trPr>
          <w:trHeight w:val="255"/>
        </w:trPr>
        <w:tc>
          <w:tcPr>
            <w:tcW w:w="14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jc w:val="left"/>
              <w:rPr>
                <w:b/>
              </w:rPr>
            </w:pPr>
            <w:r w:rsidRPr="00FD4A8F">
              <w:rPr>
                <w:b/>
              </w:rPr>
              <w:t>Pigs</w:t>
            </w: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NSW/ACT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0.49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0.49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0.69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0.82</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TAS</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0.02</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WA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0.24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0.24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0.23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0.24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0.26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0.39</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SA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0.35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0.45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0.54</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VIC</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0.72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0.86</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QLD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0.54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0.60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0.77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0.91</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r>
      <w:tr w:rsidR="00C8100D" w:rsidRPr="00DA015F"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jc w:val="left"/>
              <w:rPr>
                <w:b/>
              </w:rPr>
            </w:pPr>
            <w:r w:rsidRPr="00DA015F">
              <w:rPr>
                <w:b/>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2.16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2.14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2.34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2.98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3.55</w:t>
            </w:r>
          </w:p>
        </w:tc>
      </w:tr>
      <w:tr w:rsidR="00C8100D" w:rsidRPr="00FD4A8F" w:rsidTr="00C8100D">
        <w:trPr>
          <w:trHeight w:val="255"/>
        </w:trPr>
        <w:tc>
          <w:tcPr>
            <w:tcW w:w="143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jc w:val="left"/>
              <w:rPr>
                <w:b/>
              </w:rPr>
            </w:pPr>
            <w:r w:rsidRPr="00FD4A8F">
              <w:rPr>
                <w:b/>
              </w:rPr>
              <w:t xml:space="preserve">Poultry </w:t>
            </w: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c>
          <w:tcPr>
            <w:tcW w:w="92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FD4A8F" w:rsidRDefault="000A7AE3" w:rsidP="00D035C2">
            <w:pPr>
              <w:pStyle w:val="TableDataEntries"/>
              <w:rPr>
                <w:b/>
              </w:rPr>
            </w:pP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NSW/ACT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37.97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38.39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39.17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39.95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44.66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56.07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72.49</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TAS</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1.24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1.26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1.28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1.31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1.46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1.83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2.37</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WA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10.47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10.59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10.80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11.02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12.32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15.46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19.99</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SA</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6.95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7.03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7.17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7.31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8.18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10.27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13.27</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VIC</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22.43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22.68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23.14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23.60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26.38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33.13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42.83</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QLD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19.86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20.08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20.49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20.89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23.36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29.33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37.91</w:t>
            </w:r>
          </w:p>
        </w:tc>
      </w:tr>
      <w:tr w:rsidR="00C8100D" w:rsidRPr="00473323" w:rsidTr="00C8100D">
        <w:trPr>
          <w:trHeight w:val="255"/>
        </w:trPr>
        <w:tc>
          <w:tcPr>
            <w:tcW w:w="14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jc w:val="left"/>
            </w:pPr>
            <w:r w:rsidRPr="00473323">
              <w:t>NT</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73323" w:rsidRDefault="000A7AE3" w:rsidP="00D035C2">
            <w:pPr>
              <w:pStyle w:val="TableDataEntries"/>
            </w:pPr>
            <w:r w:rsidRPr="00473323">
              <w:t>0.00</w:t>
            </w:r>
          </w:p>
        </w:tc>
      </w:tr>
      <w:tr w:rsidR="00C8100D" w:rsidRPr="00DA015F" w:rsidTr="00C8100D">
        <w:trPr>
          <w:trHeight w:val="255"/>
        </w:trPr>
        <w:tc>
          <w:tcPr>
            <w:tcW w:w="143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jc w:val="left"/>
              <w:rPr>
                <w:b/>
              </w:rPr>
            </w:pPr>
            <w:r w:rsidRPr="00DA015F">
              <w:rPr>
                <w:b/>
              </w:rPr>
              <w:t>Total</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98.91</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100.01</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102.06</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104.08</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116.36</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146.09</w:t>
            </w:r>
          </w:p>
        </w:tc>
        <w:tc>
          <w:tcPr>
            <w:tcW w:w="92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DA015F" w:rsidRDefault="000A7AE3" w:rsidP="00D035C2">
            <w:pPr>
              <w:pStyle w:val="TableDataEntries"/>
              <w:rPr>
                <w:b/>
              </w:rPr>
            </w:pPr>
            <w:r w:rsidRPr="00DA015F">
              <w:rPr>
                <w:b/>
              </w:rPr>
              <w:t>188.87</w:t>
            </w:r>
          </w:p>
        </w:tc>
      </w:tr>
    </w:tbl>
    <w:p w:rsidR="000A7AE3" w:rsidRDefault="000A7AE3" w:rsidP="000A7AE3">
      <w:pPr>
        <w:pStyle w:val="Source"/>
      </w:pPr>
      <w:r>
        <w:rPr>
          <w:i/>
        </w:rPr>
        <w:t>Source</w:t>
      </w:r>
      <w:r w:rsidRPr="00E4232C">
        <w:rPr>
          <w:i/>
        </w:rPr>
        <w:t>:</w:t>
      </w:r>
      <w:r>
        <w:t xml:space="preserve"> CIE GMI model simulation</w:t>
      </w:r>
    </w:p>
    <w:p w:rsidR="000A7AE3" w:rsidRDefault="00D62E19" w:rsidP="000A7AE3">
      <w:pPr>
        <w:pStyle w:val="BodyText"/>
      </w:pPr>
      <w:r>
        <w:t>Compared</w:t>
      </w:r>
      <w:r w:rsidR="000A7AE3">
        <w:t xml:space="preserve"> with the 2010 round </w:t>
      </w:r>
      <w:r w:rsidR="005142FB">
        <w:t xml:space="preserve">of </w:t>
      </w:r>
      <w:r w:rsidR="000A7AE3">
        <w:t>projections, the current projections of pig numbers are lower – 6.58 per cent lower in 2030. This is mainly due to lower base level – 6.09 per cent lower in 2012.</w:t>
      </w:r>
    </w:p>
    <w:p w:rsidR="000A7AE3" w:rsidRDefault="000A7AE3" w:rsidP="000A7AE3">
      <w:pPr>
        <w:pStyle w:val="BodyText"/>
      </w:pPr>
      <w:r>
        <w:t xml:space="preserve">Poultry numbers </w:t>
      </w:r>
      <w:proofErr w:type="gramStart"/>
      <w:r>
        <w:t>are projected</w:t>
      </w:r>
      <w:proofErr w:type="gramEnd"/>
      <w:r>
        <w:t xml:space="preserve"> to increase continuously, to 104 million by 2015, to 116.36 million by 2020, and to 188.87 million by 2050. This represents an average annual growth rate of 1.72 per cent between 2012 and 2050.</w:t>
      </w:r>
    </w:p>
    <w:p w:rsidR="000A7AE3" w:rsidRPr="00373CB8" w:rsidRDefault="000A7AE3" w:rsidP="000A7AE3">
      <w:pPr>
        <w:pStyle w:val="BodyText"/>
      </w:pPr>
      <w:r>
        <w:t>Despite higher base value than the previous round projections (4.46 per cent higher in 2012), the projected poultry number in 2030 is only 1.54 per cent higher than previous project, due to slower growth between 2012 and 2030.</w:t>
      </w:r>
    </w:p>
    <w:p w:rsidR="000A7AE3" w:rsidRDefault="000A7AE3" w:rsidP="000A7AE3">
      <w:pPr>
        <w:pStyle w:val="Heading2"/>
      </w:pPr>
      <w:bookmarkStart w:id="57" w:name="_Toc364436050"/>
      <w:bookmarkStart w:id="58" w:name="_Toc366052860"/>
      <w:r>
        <w:lastRenderedPageBreak/>
        <w:t>Dairy industry</w:t>
      </w:r>
      <w:bookmarkEnd w:id="57"/>
      <w:bookmarkEnd w:id="58"/>
    </w:p>
    <w:p w:rsidR="000A7AE3" w:rsidRDefault="000A7AE3" w:rsidP="000A7AE3">
      <w:pPr>
        <w:pStyle w:val="BodyText"/>
      </w:pPr>
      <w:r>
        <w:t xml:space="preserve">As in the case of meat industries, emissions from dairy activities depend upon livestock numbers which themselves </w:t>
      </w:r>
      <w:proofErr w:type="gramStart"/>
      <w:r>
        <w:t>are determined</w:t>
      </w:r>
      <w:proofErr w:type="gramEnd"/>
      <w:r>
        <w:t xml:space="preserve"> by the demand for milk and milk products and assumptions about milk production per cow.</w:t>
      </w:r>
    </w:p>
    <w:p w:rsidR="000A7AE3" w:rsidRDefault="000A7AE3" w:rsidP="000A7AE3">
      <w:pPr>
        <w:pStyle w:val="Heading3"/>
      </w:pPr>
      <w:r>
        <w:t>Production of milk and milk products</w:t>
      </w:r>
    </w:p>
    <w:p w:rsidR="00C574D1" w:rsidRDefault="000A7AE3" w:rsidP="000A7AE3">
      <w:pPr>
        <w:pStyle w:val="BodyText"/>
      </w:pPr>
      <w:r>
        <w:t xml:space="preserve">Table </w:t>
      </w:r>
      <w:r>
        <w:fldChar w:fldCharType="begin"/>
      </w:r>
      <w:r>
        <w:instrText xml:space="preserve"> REF _Ref364373743 \h </w:instrText>
      </w:r>
      <w:r>
        <w:fldChar w:fldCharType="separate"/>
      </w:r>
      <w:r w:rsidR="00927DCC">
        <w:rPr>
          <w:noProof/>
        </w:rPr>
        <w:t>4</w:t>
      </w:r>
      <w:r w:rsidR="00927DCC" w:rsidRPr="00695C93">
        <w:rPr>
          <w:noProof/>
        </w:rPr>
        <w:t>.</w:t>
      </w:r>
      <w:r w:rsidR="00927DCC">
        <w:rPr>
          <w:noProof/>
        </w:rPr>
        <w:t>5</w:t>
      </w:r>
      <w:r>
        <w:fldChar w:fldCharType="end"/>
      </w:r>
      <w:r>
        <w:t xml:space="preserve"> shows projected milk production by state in selected years. Overall, milk production </w:t>
      </w:r>
      <w:proofErr w:type="gramStart"/>
      <w:r>
        <w:t>is expected</w:t>
      </w:r>
      <w:proofErr w:type="gramEnd"/>
      <w:r>
        <w:t xml:space="preserve"> to grow at 2.2 per cent per annum between 2012 and 2050. </w:t>
      </w:r>
    </w:p>
    <w:p w:rsidR="000A7AE3" w:rsidRPr="0004707B" w:rsidRDefault="000A7AE3" w:rsidP="000A7AE3">
      <w:pPr>
        <w:pStyle w:val="BodyText"/>
      </w:pPr>
      <w:r>
        <w:t>The annual growth rate between 2012 and 2030 is 2 per cent, lower than the 2.7 per cent projected in the 2010 round. The lower growth rate from a lower base – 9.84 per cent lower in 2012 – lead to even lower level in the future – 17.45 per cent in 2030 – than the previous projections.</w:t>
      </w:r>
    </w:p>
    <w:p w:rsidR="000A7AE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5</w:instrText>
      </w:r>
      <w:r w:rsidRPr="00695C93">
        <w:fldChar w:fldCharType="end"/>
      </w:r>
      <w:r w:rsidRPr="00695C93">
        <w:instrText xml:space="preserve">" "" </w:instrText>
      </w:r>
      <w:r w:rsidRPr="00695C93">
        <w:fldChar w:fldCharType="separate"/>
      </w:r>
      <w:bookmarkStart w:id="59" w:name="_Caption8082"/>
      <w:bookmarkStart w:id="60" w:name="_Ref364373743"/>
      <w:bookmarkStart w:id="61" w:name="_Toc364436074"/>
      <w:bookmarkStart w:id="62" w:name="_Toc366052888"/>
      <w:r w:rsidR="00927DCC">
        <w:rPr>
          <w:noProof/>
        </w:rPr>
        <w:t>4</w:t>
      </w:r>
      <w:r w:rsidR="00927DCC" w:rsidRPr="00695C93">
        <w:rPr>
          <w:noProof/>
        </w:rPr>
        <w:t>.</w:t>
      </w:r>
      <w:r w:rsidR="00927DCC">
        <w:rPr>
          <w:noProof/>
        </w:rPr>
        <w:t>5</w:t>
      </w:r>
      <w:bookmarkEnd w:id="59"/>
      <w:bookmarkEnd w:id="60"/>
      <w:r w:rsidRPr="00695C93">
        <w:fldChar w:fldCharType="end"/>
      </w:r>
      <w:r w:rsidRPr="00695C93">
        <w:tab/>
      </w:r>
      <w:r>
        <w:t>Projected milk production by state</w:t>
      </w:r>
      <w:r w:rsidR="00C819A4">
        <w:rPr>
          <w:rFonts w:eastAsiaTheme="minorEastAsia" w:hint="eastAsia"/>
          <w:lang w:eastAsia="zh-CN"/>
        </w:rPr>
        <w:t>:</w:t>
      </w:r>
      <w:r>
        <w:t xml:space="preserve"> the central reference case</w:t>
      </w:r>
      <w:bookmarkEnd w:id="61"/>
      <w:bookmarkEnd w:id="62"/>
    </w:p>
    <w:tbl>
      <w:tblPr>
        <w:tblW w:w="7977" w:type="dxa"/>
        <w:tblInd w:w="57" w:type="dxa"/>
        <w:tblLook w:val="04A0" w:firstRow="1" w:lastRow="0" w:firstColumn="1" w:lastColumn="0" w:noHBand="0" w:noVBand="1"/>
      </w:tblPr>
      <w:tblGrid>
        <w:gridCol w:w="882"/>
        <w:gridCol w:w="882"/>
        <w:gridCol w:w="882"/>
        <w:gridCol w:w="882"/>
        <w:gridCol w:w="882"/>
        <w:gridCol w:w="895"/>
        <w:gridCol w:w="895"/>
        <w:gridCol w:w="895"/>
        <w:gridCol w:w="882"/>
      </w:tblGrid>
      <w:tr w:rsidR="000A7AE3" w:rsidRPr="0004707B" w:rsidTr="00D035C2">
        <w:trPr>
          <w:trHeight w:val="255"/>
        </w:trPr>
        <w:tc>
          <w:tcPr>
            <w:tcW w:w="882" w:type="dxa"/>
            <w:shd w:val="clear" w:color="auto" w:fill="6F6652"/>
            <w:noWrap/>
            <w:tcMar>
              <w:left w:w="57" w:type="dxa"/>
              <w:right w:w="57" w:type="dxa"/>
            </w:tcMar>
            <w:hideMark/>
          </w:tcPr>
          <w:p w:rsidR="000A7AE3" w:rsidRPr="0004707B" w:rsidRDefault="000A7AE3" w:rsidP="00D035C2">
            <w:pPr>
              <w:pStyle w:val="TableDataColumnHeading"/>
              <w:jc w:val="left"/>
            </w:pPr>
          </w:p>
        </w:tc>
        <w:tc>
          <w:tcPr>
            <w:tcW w:w="882" w:type="dxa"/>
            <w:shd w:val="clear" w:color="auto" w:fill="6F6652"/>
            <w:noWrap/>
            <w:tcMar>
              <w:left w:w="57" w:type="dxa"/>
              <w:right w:w="57" w:type="dxa"/>
            </w:tcMar>
            <w:hideMark/>
          </w:tcPr>
          <w:p w:rsidR="000A7AE3" w:rsidRPr="0004707B" w:rsidRDefault="000A7AE3" w:rsidP="00D035C2">
            <w:pPr>
              <w:pStyle w:val="TableDataColumnHeading"/>
            </w:pPr>
            <w:r w:rsidRPr="0004707B">
              <w:t>2012</w:t>
            </w:r>
          </w:p>
        </w:tc>
        <w:tc>
          <w:tcPr>
            <w:tcW w:w="882" w:type="dxa"/>
            <w:shd w:val="clear" w:color="auto" w:fill="6F6652"/>
            <w:noWrap/>
            <w:tcMar>
              <w:left w:w="57" w:type="dxa"/>
              <w:right w:w="57" w:type="dxa"/>
            </w:tcMar>
            <w:hideMark/>
          </w:tcPr>
          <w:p w:rsidR="000A7AE3" w:rsidRPr="0004707B" w:rsidRDefault="000A7AE3" w:rsidP="00D035C2">
            <w:pPr>
              <w:pStyle w:val="TableDataColumnHeading"/>
            </w:pPr>
            <w:r w:rsidRPr="0004707B">
              <w:t>2013</w:t>
            </w:r>
          </w:p>
        </w:tc>
        <w:tc>
          <w:tcPr>
            <w:tcW w:w="882" w:type="dxa"/>
            <w:shd w:val="clear" w:color="auto" w:fill="6F6652"/>
            <w:noWrap/>
            <w:tcMar>
              <w:left w:w="57" w:type="dxa"/>
              <w:right w:w="57" w:type="dxa"/>
            </w:tcMar>
            <w:hideMark/>
          </w:tcPr>
          <w:p w:rsidR="000A7AE3" w:rsidRPr="0004707B" w:rsidRDefault="000A7AE3" w:rsidP="00D035C2">
            <w:pPr>
              <w:pStyle w:val="TableDataColumnHeading"/>
            </w:pPr>
            <w:r w:rsidRPr="0004707B">
              <w:t>2014</w:t>
            </w:r>
          </w:p>
        </w:tc>
        <w:tc>
          <w:tcPr>
            <w:tcW w:w="882" w:type="dxa"/>
            <w:shd w:val="clear" w:color="auto" w:fill="6F6652"/>
            <w:noWrap/>
            <w:tcMar>
              <w:left w:w="57" w:type="dxa"/>
              <w:right w:w="57" w:type="dxa"/>
            </w:tcMar>
            <w:hideMark/>
          </w:tcPr>
          <w:p w:rsidR="000A7AE3" w:rsidRPr="0004707B" w:rsidRDefault="000A7AE3" w:rsidP="00D035C2">
            <w:pPr>
              <w:pStyle w:val="TableDataColumnHeading"/>
            </w:pPr>
            <w:r w:rsidRPr="0004707B">
              <w:t>2015</w:t>
            </w:r>
          </w:p>
        </w:tc>
        <w:tc>
          <w:tcPr>
            <w:tcW w:w="895" w:type="dxa"/>
            <w:shd w:val="clear" w:color="auto" w:fill="6F6652"/>
            <w:noWrap/>
            <w:tcMar>
              <w:left w:w="57" w:type="dxa"/>
              <w:right w:w="57" w:type="dxa"/>
            </w:tcMar>
            <w:hideMark/>
          </w:tcPr>
          <w:p w:rsidR="000A7AE3" w:rsidRPr="0004707B" w:rsidRDefault="000A7AE3" w:rsidP="00D035C2">
            <w:pPr>
              <w:pStyle w:val="TableDataColumnHeading"/>
            </w:pPr>
            <w:r w:rsidRPr="0004707B">
              <w:t>2020</w:t>
            </w:r>
          </w:p>
        </w:tc>
        <w:tc>
          <w:tcPr>
            <w:tcW w:w="895" w:type="dxa"/>
            <w:shd w:val="clear" w:color="auto" w:fill="6F6652"/>
            <w:noWrap/>
            <w:tcMar>
              <w:left w:w="57" w:type="dxa"/>
              <w:right w:w="57" w:type="dxa"/>
            </w:tcMar>
            <w:hideMark/>
          </w:tcPr>
          <w:p w:rsidR="000A7AE3" w:rsidRPr="0004707B" w:rsidRDefault="000A7AE3" w:rsidP="00D035C2">
            <w:pPr>
              <w:pStyle w:val="TableDataColumnHeading"/>
            </w:pPr>
            <w:r w:rsidRPr="0004707B">
              <w:t>2030</w:t>
            </w:r>
          </w:p>
        </w:tc>
        <w:tc>
          <w:tcPr>
            <w:tcW w:w="895" w:type="dxa"/>
            <w:shd w:val="clear" w:color="auto" w:fill="6F6652"/>
            <w:noWrap/>
            <w:tcMar>
              <w:left w:w="57" w:type="dxa"/>
              <w:right w:w="57" w:type="dxa"/>
            </w:tcMar>
            <w:hideMark/>
          </w:tcPr>
          <w:p w:rsidR="000A7AE3" w:rsidRPr="0004707B" w:rsidRDefault="000A7AE3" w:rsidP="00D035C2">
            <w:pPr>
              <w:pStyle w:val="TableDataColumnHeading"/>
            </w:pPr>
            <w:r w:rsidRPr="0004707B">
              <w:t>2050</w:t>
            </w:r>
          </w:p>
        </w:tc>
        <w:tc>
          <w:tcPr>
            <w:tcW w:w="882" w:type="dxa"/>
            <w:shd w:val="clear" w:color="auto" w:fill="6F6652"/>
            <w:noWrap/>
            <w:tcMar>
              <w:left w:w="57" w:type="dxa"/>
              <w:right w:w="57" w:type="dxa"/>
            </w:tcMar>
            <w:hideMark/>
          </w:tcPr>
          <w:p w:rsidR="000A7AE3" w:rsidRPr="0004707B" w:rsidRDefault="000A7AE3" w:rsidP="00D035C2">
            <w:pPr>
              <w:pStyle w:val="TableDataColumnHeading"/>
            </w:pPr>
            <w:r w:rsidRPr="0004707B">
              <w:t>CAGR</w:t>
            </w:r>
          </w:p>
        </w:tc>
      </w:tr>
      <w:tr w:rsidR="000A7AE3" w:rsidRPr="0004707B" w:rsidTr="0098134E">
        <w:trPr>
          <w:trHeight w:val="255"/>
        </w:trPr>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jc w:val="left"/>
            </w:pPr>
          </w:p>
        </w:tc>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95"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95"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95"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 xml:space="preserve">million </w:t>
            </w:r>
            <w:proofErr w:type="spellStart"/>
            <w:r w:rsidRPr="0004707B">
              <w:t>lt</w:t>
            </w:r>
            <w:proofErr w:type="spellEnd"/>
          </w:p>
        </w:tc>
        <w:tc>
          <w:tcPr>
            <w:tcW w:w="882" w:type="dxa"/>
            <w:tcBorders>
              <w:bottom w:val="single" w:sz="8" w:space="0" w:color="FFFFFF" w:themeColor="background1"/>
            </w:tcBorders>
            <w:shd w:val="clear" w:color="auto" w:fill="auto"/>
            <w:noWrap/>
            <w:tcMar>
              <w:left w:w="57" w:type="dxa"/>
              <w:right w:w="57" w:type="dxa"/>
            </w:tcMar>
            <w:hideMark/>
          </w:tcPr>
          <w:p w:rsidR="000A7AE3" w:rsidRPr="0004707B" w:rsidRDefault="000A7AE3" w:rsidP="00D035C2">
            <w:pPr>
              <w:pStyle w:val="TableUnit"/>
            </w:pPr>
            <w:r w:rsidRPr="0004707B">
              <w:t>%</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NSW</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1086.3</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1065.3</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1083.1</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1107.3</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1161.5</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1460.0</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2124.4</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1.8</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VIC</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6213.4</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6063.4</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6216.3</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6407.9</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6935.9</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9193.4</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15489.5</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2.4</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QLD</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484.6</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469.6</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475.8</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485.5</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503.7</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615.0</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883.9</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1.6</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SA</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570.0</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548.1</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558.9</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573.9</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604.2</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771.6</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1150.7</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1.9</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WA</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337.7</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333.0</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338.8</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346.6</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365.5</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462.8</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680.1</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1.9</w:t>
            </w:r>
          </w:p>
        </w:tc>
      </w:tr>
      <w:tr w:rsidR="0098134E" w:rsidRPr="0004707B" w:rsidTr="0098134E">
        <w:trPr>
          <w:trHeight w:val="255"/>
        </w:trPr>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jc w:val="left"/>
            </w:pPr>
            <w:r w:rsidRPr="0004707B">
              <w:t>TAS</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788.1</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760.3</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775.9</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796.9</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843.1</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1092.8</w:t>
            </w:r>
          </w:p>
        </w:tc>
        <w:tc>
          <w:tcPr>
            <w:tcW w:w="8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1699.2</w:t>
            </w:r>
          </w:p>
        </w:tc>
        <w:tc>
          <w:tcPr>
            <w:tcW w:w="8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04707B" w:rsidRDefault="000A7AE3" w:rsidP="00D035C2">
            <w:pPr>
              <w:pStyle w:val="TableDataEntries"/>
            </w:pPr>
            <w:r w:rsidRPr="0004707B">
              <w:t>2.0</w:t>
            </w:r>
          </w:p>
        </w:tc>
      </w:tr>
      <w:tr w:rsidR="0098134E" w:rsidRPr="006125FD" w:rsidTr="0098134E">
        <w:trPr>
          <w:trHeight w:val="255"/>
        </w:trPr>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jc w:val="left"/>
              <w:rPr>
                <w:b/>
              </w:rPr>
            </w:pPr>
            <w:r w:rsidRPr="006125FD">
              <w:rPr>
                <w:b/>
              </w:rPr>
              <w:t>Total</w:t>
            </w:r>
          </w:p>
        </w:tc>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9480.1</w:t>
            </w:r>
          </w:p>
        </w:tc>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9239.7</w:t>
            </w:r>
          </w:p>
        </w:tc>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9448.8</w:t>
            </w:r>
          </w:p>
        </w:tc>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9718.2</w:t>
            </w:r>
          </w:p>
        </w:tc>
        <w:tc>
          <w:tcPr>
            <w:tcW w:w="895"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10413.8</w:t>
            </w:r>
          </w:p>
        </w:tc>
        <w:tc>
          <w:tcPr>
            <w:tcW w:w="895"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13595.7</w:t>
            </w:r>
          </w:p>
        </w:tc>
        <w:tc>
          <w:tcPr>
            <w:tcW w:w="895"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22027.9</w:t>
            </w:r>
          </w:p>
        </w:tc>
        <w:tc>
          <w:tcPr>
            <w:tcW w:w="882"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2.2</w:t>
            </w:r>
          </w:p>
        </w:tc>
      </w:tr>
    </w:tbl>
    <w:p w:rsidR="000A7AE3" w:rsidRDefault="000A7AE3" w:rsidP="000A7AE3">
      <w:pPr>
        <w:pStyle w:val="Source"/>
      </w:pPr>
      <w:r>
        <w:rPr>
          <w:i/>
        </w:rPr>
        <w:t>Source</w:t>
      </w:r>
      <w:r w:rsidRPr="00E4232C">
        <w:rPr>
          <w:i/>
        </w:rPr>
        <w:t>:</w:t>
      </w:r>
      <w:r>
        <w:t xml:space="preserve"> CIE Dairy model simulation</w:t>
      </w:r>
    </w:p>
    <w:p w:rsidR="000A7AE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6</w:instrText>
      </w:r>
      <w:r w:rsidRPr="00695C93">
        <w:fldChar w:fldCharType="end"/>
      </w:r>
      <w:r w:rsidRPr="00695C93">
        <w:instrText xml:space="preserve">" "" </w:instrText>
      </w:r>
      <w:r w:rsidRPr="00695C93">
        <w:fldChar w:fldCharType="separate"/>
      </w:r>
      <w:bookmarkStart w:id="63" w:name="_Caption0318"/>
      <w:bookmarkStart w:id="64" w:name="_Ref364375704"/>
      <w:bookmarkStart w:id="65" w:name="_Toc364436075"/>
      <w:bookmarkStart w:id="66" w:name="_Toc366052889"/>
      <w:r w:rsidR="00927DCC">
        <w:rPr>
          <w:noProof/>
        </w:rPr>
        <w:t>4</w:t>
      </w:r>
      <w:r w:rsidR="00927DCC" w:rsidRPr="00695C93">
        <w:rPr>
          <w:noProof/>
        </w:rPr>
        <w:t>.</w:t>
      </w:r>
      <w:r w:rsidR="00927DCC">
        <w:rPr>
          <w:noProof/>
        </w:rPr>
        <w:t>6</w:t>
      </w:r>
      <w:bookmarkEnd w:id="63"/>
      <w:bookmarkEnd w:id="64"/>
      <w:r w:rsidRPr="00695C93">
        <w:fldChar w:fldCharType="end"/>
      </w:r>
      <w:r w:rsidRPr="00695C93">
        <w:tab/>
      </w:r>
      <w:r>
        <w:t>Projected use of Australian milk, index of quantity: central reference case</w:t>
      </w:r>
      <w:bookmarkEnd w:id="65"/>
      <w:bookmarkEnd w:id="66"/>
    </w:p>
    <w:tbl>
      <w:tblPr>
        <w:tblW w:w="8117" w:type="dxa"/>
        <w:tblInd w:w="57" w:type="dxa"/>
        <w:tblLook w:val="04A0" w:firstRow="1" w:lastRow="0" w:firstColumn="1" w:lastColumn="0" w:noHBand="0" w:noVBand="1"/>
      </w:tblPr>
      <w:tblGrid>
        <w:gridCol w:w="1317"/>
        <w:gridCol w:w="850"/>
        <w:gridCol w:w="850"/>
        <w:gridCol w:w="850"/>
        <w:gridCol w:w="850"/>
        <w:gridCol w:w="850"/>
        <w:gridCol w:w="850"/>
        <w:gridCol w:w="850"/>
        <w:gridCol w:w="850"/>
      </w:tblGrid>
      <w:tr w:rsidR="0098134E" w:rsidRPr="00745370" w:rsidTr="0098134E">
        <w:trPr>
          <w:trHeight w:val="255"/>
        </w:trPr>
        <w:tc>
          <w:tcPr>
            <w:tcW w:w="1317"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jc w:val="left"/>
            </w:pP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2012</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2013</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2014</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2015</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2020</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2030</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2050</w:t>
            </w:r>
          </w:p>
        </w:tc>
        <w:tc>
          <w:tcPr>
            <w:tcW w:w="850" w:type="dxa"/>
            <w:tcBorders>
              <w:bottom w:val="single" w:sz="8" w:space="0" w:color="FFFFFF" w:themeColor="background1"/>
            </w:tcBorders>
            <w:shd w:val="clear" w:color="auto" w:fill="6F6652"/>
            <w:noWrap/>
            <w:tcMar>
              <w:left w:w="57" w:type="dxa"/>
              <w:right w:w="57" w:type="dxa"/>
            </w:tcMar>
            <w:hideMark/>
          </w:tcPr>
          <w:p w:rsidR="000A7AE3" w:rsidRPr="00745370" w:rsidRDefault="000A7AE3" w:rsidP="00D035C2">
            <w:pPr>
              <w:pStyle w:val="TableDataColumnHeading"/>
            </w:pPr>
            <w:r w:rsidRPr="00745370">
              <w:t>CAGR</w:t>
            </w: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2407E3" w:rsidRDefault="000A7AE3" w:rsidP="00D035C2">
            <w:pPr>
              <w:pStyle w:val="TableUnit"/>
              <w:jc w:val="left"/>
              <w:rPr>
                <w:b/>
              </w:rPr>
            </w:pPr>
            <w:r w:rsidRPr="002407E3">
              <w:rPr>
                <w:b/>
              </w:rPr>
              <w:t>Domestic</w:t>
            </w: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Unit"/>
            </w:pP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jc w:val="left"/>
            </w:pPr>
            <w:r w:rsidRPr="00745370">
              <w:t xml:space="preserve">   Fresh</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101.4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102.6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107.7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120.6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140.7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0.9</w:t>
            </w: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jc w:val="left"/>
            </w:pPr>
            <w:r w:rsidRPr="00745370">
              <w:t xml:space="preserve">   UHT</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101.3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102.1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102.8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107.3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115.5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120.0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0.5</w:t>
            </w: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jc w:val="left"/>
            </w:pPr>
            <w:r w:rsidRPr="00745370">
              <w:t xml:space="preserve">   Manufactured</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101.3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102.2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106.5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117.9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137.7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0.8</w:t>
            </w: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2407E3" w:rsidRDefault="000A7AE3" w:rsidP="00D035C2">
            <w:pPr>
              <w:pStyle w:val="TableDataEntries"/>
              <w:jc w:val="left"/>
              <w:rPr>
                <w:b/>
              </w:rPr>
            </w:pPr>
            <w:r w:rsidRPr="002407E3">
              <w:rPr>
                <w:b/>
              </w:rPr>
              <w:t>Exports</w:t>
            </w: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c>
          <w:tcPr>
            <w:tcW w:w="85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745370" w:rsidRDefault="000A7AE3" w:rsidP="00D035C2">
            <w:pPr>
              <w:pStyle w:val="TableDataEntries"/>
            </w:pPr>
          </w:p>
        </w:tc>
      </w:tr>
      <w:tr w:rsidR="0098134E" w:rsidRPr="00745370" w:rsidTr="0098134E">
        <w:trPr>
          <w:trHeight w:val="255"/>
        </w:trPr>
        <w:tc>
          <w:tcPr>
            <w:tcW w:w="13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jc w:val="left"/>
            </w:pPr>
            <w:r w:rsidRPr="00745370">
              <w:t xml:space="preserve">   UHT</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81.4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88.9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126.9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333.7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1914.4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8.1</w:t>
            </w:r>
          </w:p>
        </w:tc>
      </w:tr>
      <w:tr w:rsidR="0098134E" w:rsidRPr="00745370" w:rsidTr="0098134E">
        <w:trPr>
          <w:trHeight w:val="255"/>
        </w:trPr>
        <w:tc>
          <w:tcPr>
            <w:tcW w:w="1317"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jc w:val="left"/>
            </w:pPr>
            <w:r w:rsidRPr="00745370">
              <w:t xml:space="preserve">   Manufactured</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100.0</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90.8</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96.4</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103.9</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119.4</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207.7</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448.6</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745370" w:rsidRDefault="000A7AE3" w:rsidP="00D035C2">
            <w:pPr>
              <w:pStyle w:val="TableDataEntries"/>
            </w:pPr>
            <w:r w:rsidRPr="00745370">
              <w:t>4.0</w:t>
            </w:r>
          </w:p>
        </w:tc>
      </w:tr>
    </w:tbl>
    <w:p w:rsidR="000A7AE3" w:rsidRDefault="000A7AE3" w:rsidP="000A7AE3">
      <w:pPr>
        <w:pStyle w:val="Source"/>
      </w:pPr>
      <w:r>
        <w:rPr>
          <w:i/>
        </w:rPr>
        <w:t>Source</w:t>
      </w:r>
      <w:r w:rsidRPr="00E4232C">
        <w:rPr>
          <w:i/>
        </w:rPr>
        <w:t>:</w:t>
      </w:r>
      <w:r>
        <w:t xml:space="preserve"> CIE Dairy model simulation</w:t>
      </w:r>
    </w:p>
    <w:p w:rsidR="006125FD" w:rsidRDefault="006125FD" w:rsidP="006125FD">
      <w:pPr>
        <w:pStyle w:val="BodyText"/>
      </w:pPr>
      <w:r>
        <w:t xml:space="preserve">The lower growth rate of milk production in the current round of projections </w:t>
      </w:r>
      <w:proofErr w:type="gramStart"/>
      <w:r>
        <w:t>is caused</w:t>
      </w:r>
      <w:proofErr w:type="gramEnd"/>
      <w:r>
        <w:t xml:space="preserve"> by the lower growth in exports. As with other Australian agricultural projects, the dairy industry is highly dependent on foreign market for its growth. However, because of the economic difficulties in the world, dairy exports </w:t>
      </w:r>
      <w:proofErr w:type="gramStart"/>
      <w:r>
        <w:t>are projected</w:t>
      </w:r>
      <w:proofErr w:type="gramEnd"/>
      <w:r>
        <w:t xml:space="preserve"> to fall from 2012 to 2014 before rising from 2015 onwards (table </w:t>
      </w:r>
      <w:r>
        <w:fldChar w:fldCharType="begin"/>
      </w:r>
      <w:r>
        <w:instrText xml:space="preserve"> REF _Ref364375704 \h </w:instrText>
      </w:r>
      <w:r>
        <w:fldChar w:fldCharType="separate"/>
      </w:r>
      <w:r w:rsidR="00927DCC">
        <w:rPr>
          <w:noProof/>
        </w:rPr>
        <w:t>4</w:t>
      </w:r>
      <w:r w:rsidR="00927DCC" w:rsidRPr="00695C93">
        <w:rPr>
          <w:noProof/>
        </w:rPr>
        <w:t>.</w:t>
      </w:r>
      <w:r w:rsidR="00927DCC">
        <w:rPr>
          <w:noProof/>
        </w:rPr>
        <w:t>6</w:t>
      </w:r>
      <w:r>
        <w:fldChar w:fldCharType="end"/>
      </w:r>
      <w:r>
        <w:t xml:space="preserve">). As a result, the projected annual growth rate between 2012 and 2030 is 6.9 per cent for UHT milk and 4.1 per cent for manufactured </w:t>
      </w:r>
      <w:r>
        <w:lastRenderedPageBreak/>
        <w:t>dairy products, 2.7 and 1.4 percentage points, respectively, lower than the growth rates in the previous round projections.</w:t>
      </w:r>
    </w:p>
    <w:p w:rsidR="000A7AE3" w:rsidRDefault="000A7AE3" w:rsidP="000A7AE3">
      <w:pPr>
        <w:pStyle w:val="Heading3"/>
      </w:pPr>
      <w:r>
        <w:t>Dairy cattle numbers</w:t>
      </w:r>
    </w:p>
    <w:p w:rsidR="000A7AE3" w:rsidRPr="00C55105" w:rsidRDefault="000A7AE3" w:rsidP="000A7AE3">
      <w:pPr>
        <w:pStyle w:val="BodyText"/>
      </w:pPr>
      <w:r>
        <w:t xml:space="preserve">Table </w:t>
      </w:r>
      <w:r>
        <w:fldChar w:fldCharType="begin"/>
      </w:r>
      <w:r>
        <w:instrText xml:space="preserve"> REF _Ref364376551 \h </w:instrText>
      </w:r>
      <w:r>
        <w:fldChar w:fldCharType="separate"/>
      </w:r>
      <w:r w:rsidR="00927DCC">
        <w:rPr>
          <w:noProof/>
        </w:rPr>
        <w:t>4</w:t>
      </w:r>
      <w:r w:rsidR="00927DCC" w:rsidRPr="00695C93">
        <w:rPr>
          <w:noProof/>
        </w:rPr>
        <w:t>.</w:t>
      </w:r>
      <w:r w:rsidR="00927DCC">
        <w:rPr>
          <w:noProof/>
        </w:rPr>
        <w:t>7</w:t>
      </w:r>
      <w:r>
        <w:fldChar w:fldCharType="end"/>
      </w:r>
      <w:r>
        <w:t xml:space="preserve"> reports projected dairy cattle numbers by state in selected years. The total number of dairy cattle </w:t>
      </w:r>
      <w:proofErr w:type="gramStart"/>
      <w:r>
        <w:t>is expected</w:t>
      </w:r>
      <w:proofErr w:type="gramEnd"/>
      <w:r>
        <w:t xml:space="preserve"> to reach 2.87 million by 2030 and 3.11 million by 2050. This represents a growth rate of 0.3 per cent per annum between 2012 and 2030 and between 2030 and 2050. This growth rate is slightly lower than that in the 2010 round projections.</w:t>
      </w:r>
    </w:p>
    <w:p w:rsidR="000A7AE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7</w:instrText>
      </w:r>
      <w:r w:rsidRPr="00695C93">
        <w:fldChar w:fldCharType="end"/>
      </w:r>
      <w:r w:rsidRPr="00695C93">
        <w:instrText xml:space="preserve">" "" </w:instrText>
      </w:r>
      <w:r w:rsidRPr="00695C93">
        <w:fldChar w:fldCharType="separate"/>
      </w:r>
      <w:bookmarkStart w:id="67" w:name="_Caption0880"/>
      <w:bookmarkStart w:id="68" w:name="_Ref364376551"/>
      <w:bookmarkStart w:id="69" w:name="_Toc364436076"/>
      <w:bookmarkStart w:id="70" w:name="_Toc366052890"/>
      <w:r w:rsidR="00927DCC">
        <w:rPr>
          <w:noProof/>
        </w:rPr>
        <w:t>4</w:t>
      </w:r>
      <w:r w:rsidR="00927DCC" w:rsidRPr="00695C93">
        <w:rPr>
          <w:noProof/>
        </w:rPr>
        <w:t>.</w:t>
      </w:r>
      <w:r w:rsidR="00927DCC">
        <w:rPr>
          <w:noProof/>
        </w:rPr>
        <w:t>7</w:t>
      </w:r>
      <w:bookmarkEnd w:id="67"/>
      <w:bookmarkEnd w:id="68"/>
      <w:r w:rsidRPr="00695C93">
        <w:fldChar w:fldCharType="end"/>
      </w:r>
      <w:r w:rsidRPr="00695C93">
        <w:tab/>
      </w:r>
      <w:r>
        <w:t>Projected dairy cattle numbers by state: the central reference case</w:t>
      </w:r>
      <w:bookmarkEnd w:id="69"/>
      <w:bookmarkEnd w:id="70"/>
    </w:p>
    <w:tbl>
      <w:tblPr>
        <w:tblW w:w="7934" w:type="dxa"/>
        <w:tblInd w:w="57" w:type="dxa"/>
        <w:tblLook w:val="04A0" w:firstRow="1" w:lastRow="0" w:firstColumn="1" w:lastColumn="0" w:noHBand="0" w:noVBand="1"/>
      </w:tblPr>
      <w:tblGrid>
        <w:gridCol w:w="1134"/>
        <w:gridCol w:w="850"/>
        <w:gridCol w:w="850"/>
        <w:gridCol w:w="850"/>
        <w:gridCol w:w="850"/>
        <w:gridCol w:w="850"/>
        <w:gridCol w:w="850"/>
        <w:gridCol w:w="850"/>
        <w:gridCol w:w="850"/>
      </w:tblGrid>
      <w:tr w:rsidR="000A7AE3" w:rsidRPr="00C55105" w:rsidTr="00D035C2">
        <w:trPr>
          <w:trHeight w:val="255"/>
        </w:trPr>
        <w:tc>
          <w:tcPr>
            <w:tcW w:w="1134" w:type="dxa"/>
            <w:shd w:val="clear" w:color="auto" w:fill="6F6652"/>
            <w:noWrap/>
            <w:tcMar>
              <w:left w:w="57" w:type="dxa"/>
              <w:right w:w="57" w:type="dxa"/>
            </w:tcMar>
            <w:hideMark/>
          </w:tcPr>
          <w:p w:rsidR="000A7AE3" w:rsidRPr="00C55105" w:rsidRDefault="000A7AE3" w:rsidP="00D035C2">
            <w:pPr>
              <w:pStyle w:val="TableDataColumnHeading"/>
              <w:jc w:val="left"/>
            </w:pP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2012</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2013</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2014</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2015</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2020</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2030</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2050</w:t>
            </w:r>
          </w:p>
        </w:tc>
        <w:tc>
          <w:tcPr>
            <w:tcW w:w="850" w:type="dxa"/>
            <w:shd w:val="clear" w:color="auto" w:fill="6F6652"/>
            <w:noWrap/>
            <w:tcMar>
              <w:left w:w="57" w:type="dxa"/>
              <w:right w:w="57" w:type="dxa"/>
            </w:tcMar>
            <w:hideMark/>
          </w:tcPr>
          <w:p w:rsidR="000A7AE3" w:rsidRPr="00C55105" w:rsidRDefault="000A7AE3" w:rsidP="00D035C2">
            <w:pPr>
              <w:pStyle w:val="TableDataColumnHeading"/>
            </w:pPr>
            <w:r w:rsidRPr="00C55105">
              <w:t>CAGR</w:t>
            </w:r>
          </w:p>
        </w:tc>
      </w:tr>
      <w:tr w:rsidR="000A7AE3" w:rsidRPr="00C55105" w:rsidTr="0098134E">
        <w:trPr>
          <w:trHeight w:val="255"/>
        </w:trPr>
        <w:tc>
          <w:tcPr>
            <w:tcW w:w="1134"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jc w:val="left"/>
            </w:pP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'000 head</w:t>
            </w:r>
          </w:p>
        </w:tc>
        <w:tc>
          <w:tcPr>
            <w:tcW w:w="850" w:type="dxa"/>
            <w:tcBorders>
              <w:bottom w:val="single" w:sz="8" w:space="0" w:color="FFFFFF" w:themeColor="background1"/>
            </w:tcBorders>
            <w:shd w:val="clear" w:color="auto" w:fill="auto"/>
            <w:noWrap/>
            <w:tcMar>
              <w:left w:w="57" w:type="dxa"/>
              <w:right w:w="57" w:type="dxa"/>
            </w:tcMar>
            <w:hideMark/>
          </w:tcPr>
          <w:p w:rsidR="000A7AE3" w:rsidRPr="00C55105" w:rsidRDefault="000A7AE3" w:rsidP="00D035C2">
            <w:pPr>
              <w:pStyle w:val="TableUnit"/>
            </w:pPr>
            <w:r w:rsidRPr="00C55105">
              <w:t>%</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NSW/ACT</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347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346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345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337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331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342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335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-0.1</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TAS</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237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233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233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228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227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241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252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0.2</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WA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117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116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121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119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0.0</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SA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152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149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148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146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144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151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151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0.0</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VIC</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1706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1696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1704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1679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1703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1852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2100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0.5</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QLD</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173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170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161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155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-0.3</w:t>
            </w:r>
          </w:p>
        </w:tc>
      </w:tr>
      <w:tr w:rsidR="0098134E" w:rsidRPr="00C55105" w:rsidTr="0098134E">
        <w:trPr>
          <w:trHeight w:val="25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jc w:val="left"/>
            </w:pPr>
            <w:r w:rsidRPr="00C55105">
              <w:t>NT</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C55105" w:rsidRDefault="000A7AE3" w:rsidP="00D035C2">
            <w:pPr>
              <w:pStyle w:val="TableDataEntries"/>
            </w:pPr>
            <w:r w:rsidRPr="00C55105">
              <w:t>0.0</w:t>
            </w:r>
          </w:p>
        </w:tc>
      </w:tr>
      <w:tr w:rsidR="0098134E" w:rsidRPr="0098134E" w:rsidTr="0098134E">
        <w:trPr>
          <w:trHeight w:val="255"/>
        </w:trPr>
        <w:tc>
          <w:tcPr>
            <w:tcW w:w="11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jc w:val="left"/>
              <w:rPr>
                <w:b/>
              </w:rPr>
            </w:pPr>
            <w:r w:rsidRPr="0098134E">
              <w:rPr>
                <w:b/>
              </w:rPr>
              <w:t>Total</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2733</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2714</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2719</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2672</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2681</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2867</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3113</w:t>
            </w:r>
          </w:p>
        </w:tc>
        <w:tc>
          <w:tcPr>
            <w:tcW w:w="850"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98134E" w:rsidRDefault="000A7AE3" w:rsidP="00D035C2">
            <w:pPr>
              <w:pStyle w:val="TableDataEntries"/>
              <w:rPr>
                <w:b/>
              </w:rPr>
            </w:pPr>
            <w:r w:rsidRPr="0098134E">
              <w:rPr>
                <w:b/>
              </w:rPr>
              <w:t>0.3</w:t>
            </w:r>
          </w:p>
        </w:tc>
      </w:tr>
    </w:tbl>
    <w:p w:rsidR="000A7AE3" w:rsidRDefault="000A7AE3" w:rsidP="000A7AE3">
      <w:pPr>
        <w:pStyle w:val="Source"/>
      </w:pPr>
      <w:r>
        <w:rPr>
          <w:i/>
        </w:rPr>
        <w:t>Source</w:t>
      </w:r>
      <w:r w:rsidRPr="00E4232C">
        <w:rPr>
          <w:i/>
        </w:rPr>
        <w:t>:</w:t>
      </w:r>
      <w:r>
        <w:t xml:space="preserve"> CIE Dairy model simulation</w:t>
      </w:r>
    </w:p>
    <w:p w:rsidR="000A7AE3" w:rsidRPr="00714D8E" w:rsidRDefault="000A7AE3" w:rsidP="000A7AE3">
      <w:pPr>
        <w:pStyle w:val="BodyText"/>
      </w:pPr>
      <w:r>
        <w:t xml:space="preserve">The dairy cattle number is 7.1 per cent lower in 2012 and will be 6.22 per cent lower in 2030 than those in the previous round projections. </w:t>
      </w:r>
      <w:proofErr w:type="gramStart"/>
      <w:r>
        <w:t>Therefore</w:t>
      </w:r>
      <w:proofErr w:type="gramEnd"/>
      <w:r>
        <w:t xml:space="preserve"> the majority of the difference between the two rounds of projections is the difference in the base number.</w:t>
      </w:r>
    </w:p>
    <w:p w:rsidR="000A7AE3" w:rsidRDefault="000A7AE3" w:rsidP="000A7AE3">
      <w:pPr>
        <w:pStyle w:val="Heading2"/>
      </w:pPr>
      <w:bookmarkStart w:id="71" w:name="_Toc364436051"/>
      <w:bookmarkStart w:id="72" w:name="_Toc366052861"/>
      <w:r>
        <w:t xml:space="preserve">Grain </w:t>
      </w:r>
      <w:bookmarkEnd w:id="71"/>
      <w:r w:rsidR="0019785B">
        <w:t>industries</w:t>
      </w:r>
      <w:bookmarkEnd w:id="72"/>
    </w:p>
    <w:p w:rsidR="0019785B" w:rsidRDefault="0019785B" w:rsidP="0019785B">
      <w:pPr>
        <w:pStyle w:val="BodyText"/>
      </w:pPr>
      <w:r>
        <w:t xml:space="preserve">Along with seasonal conditions, Australian grain output </w:t>
      </w:r>
      <w:proofErr w:type="gramStart"/>
      <w:r>
        <w:t>is largely determined</w:t>
      </w:r>
      <w:proofErr w:type="gramEnd"/>
      <w:r>
        <w:t xml:space="preserve"> by export demands. This means that it is influenced by income and population growth in </w:t>
      </w:r>
      <w:proofErr w:type="gramStart"/>
      <w:r>
        <w:t>Australia’s</w:t>
      </w:r>
      <w:proofErr w:type="gramEnd"/>
      <w:r>
        <w:t xml:space="preserve"> trading partners.</w:t>
      </w:r>
    </w:p>
    <w:p w:rsidR="000A7AE3" w:rsidRDefault="000A7AE3" w:rsidP="000A7AE3">
      <w:pPr>
        <w:pStyle w:val="Heading3"/>
      </w:pPr>
      <w:r>
        <w:t>Grain output</w:t>
      </w:r>
    </w:p>
    <w:p w:rsidR="000A7AE3" w:rsidRDefault="000A7AE3" w:rsidP="000A7AE3">
      <w:pPr>
        <w:pStyle w:val="BodyText"/>
      </w:pPr>
      <w:r>
        <w:t xml:space="preserve">Table </w:t>
      </w:r>
      <w:r>
        <w:fldChar w:fldCharType="begin"/>
      </w:r>
      <w:r>
        <w:instrText xml:space="preserve"> REF _Ref364377754 \h </w:instrText>
      </w:r>
      <w:r>
        <w:fldChar w:fldCharType="separate"/>
      </w:r>
      <w:r w:rsidR="00927DCC">
        <w:rPr>
          <w:noProof/>
        </w:rPr>
        <w:t>4</w:t>
      </w:r>
      <w:r w:rsidR="00927DCC" w:rsidRPr="00695C93">
        <w:rPr>
          <w:noProof/>
        </w:rPr>
        <w:t>.</w:t>
      </w:r>
      <w:r w:rsidR="00927DCC">
        <w:rPr>
          <w:noProof/>
        </w:rPr>
        <w:t>8</w:t>
      </w:r>
      <w:r>
        <w:fldChar w:fldCharType="end"/>
      </w:r>
      <w:r>
        <w:t xml:space="preserve"> reports projected grain projection in selected years. Total wheat production </w:t>
      </w:r>
      <w:proofErr w:type="gramStart"/>
      <w:r>
        <w:t>is projected</w:t>
      </w:r>
      <w:proofErr w:type="gramEnd"/>
      <w:r>
        <w:t xml:space="preserve"> to reach 25.9 million tonnes by 2020, some 13.6 per cent lower than the level in 2012, 33.6 million tonnes by 2030 and 57.2 million tonnes by 2050. This represents an average annual growth of 0.59 per cent between 2012 and 2030, and of 1.71 per cent between 2012 and 2050.</w:t>
      </w:r>
    </w:p>
    <w:p w:rsidR="000A7AE3" w:rsidRDefault="000A7AE3" w:rsidP="000A7AE3">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8</w:instrText>
      </w:r>
      <w:r w:rsidRPr="00695C93">
        <w:fldChar w:fldCharType="end"/>
      </w:r>
      <w:r w:rsidRPr="00695C93">
        <w:instrText xml:space="preserve">" "" </w:instrText>
      </w:r>
      <w:r w:rsidRPr="00695C93">
        <w:fldChar w:fldCharType="separate"/>
      </w:r>
      <w:bookmarkStart w:id="73" w:name="_Caption2146"/>
      <w:bookmarkStart w:id="74" w:name="_Ref364377754"/>
      <w:bookmarkStart w:id="75" w:name="_Toc364436077"/>
      <w:bookmarkStart w:id="76" w:name="_Toc366052891"/>
      <w:r w:rsidR="00927DCC">
        <w:rPr>
          <w:noProof/>
        </w:rPr>
        <w:t>4</w:t>
      </w:r>
      <w:r w:rsidR="00927DCC" w:rsidRPr="00695C93">
        <w:rPr>
          <w:noProof/>
        </w:rPr>
        <w:t>.</w:t>
      </w:r>
      <w:r w:rsidR="00927DCC">
        <w:rPr>
          <w:noProof/>
        </w:rPr>
        <w:t>8</w:t>
      </w:r>
      <w:bookmarkEnd w:id="73"/>
      <w:bookmarkEnd w:id="74"/>
      <w:r w:rsidRPr="00695C93">
        <w:fldChar w:fldCharType="end"/>
      </w:r>
      <w:r w:rsidRPr="00695C93">
        <w:tab/>
      </w:r>
      <w:r>
        <w:t>Projected grain production: the central reference case</w:t>
      </w:r>
      <w:bookmarkEnd w:id="75"/>
      <w:bookmarkEnd w:id="76"/>
    </w:p>
    <w:tbl>
      <w:tblPr>
        <w:tblW w:w="7933" w:type="dxa"/>
        <w:tblInd w:w="57" w:type="dxa"/>
        <w:tblLook w:val="04A0" w:firstRow="1" w:lastRow="0" w:firstColumn="1" w:lastColumn="0" w:noHBand="0" w:noVBand="1"/>
      </w:tblPr>
      <w:tblGrid>
        <w:gridCol w:w="1421"/>
        <w:gridCol w:w="814"/>
        <w:gridCol w:w="814"/>
        <w:gridCol w:w="814"/>
        <w:gridCol w:w="814"/>
        <w:gridCol w:w="814"/>
        <w:gridCol w:w="814"/>
        <w:gridCol w:w="814"/>
        <w:gridCol w:w="814"/>
      </w:tblGrid>
      <w:tr w:rsidR="000A7AE3" w:rsidRPr="00E931F2" w:rsidTr="00D035C2">
        <w:trPr>
          <w:trHeight w:val="255"/>
        </w:trPr>
        <w:tc>
          <w:tcPr>
            <w:tcW w:w="1421" w:type="dxa"/>
            <w:shd w:val="clear" w:color="auto" w:fill="6F6652"/>
            <w:noWrap/>
            <w:tcMar>
              <w:left w:w="57" w:type="dxa"/>
              <w:right w:w="57" w:type="dxa"/>
            </w:tcMar>
            <w:hideMark/>
          </w:tcPr>
          <w:p w:rsidR="000A7AE3" w:rsidRPr="00E931F2" w:rsidRDefault="000A7AE3" w:rsidP="00D035C2">
            <w:pPr>
              <w:pStyle w:val="TableDataColumnHeading"/>
              <w:jc w:val="left"/>
            </w:pP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2012</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2013</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2014</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2015</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2020</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2030</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2050</w:t>
            </w:r>
          </w:p>
        </w:tc>
        <w:tc>
          <w:tcPr>
            <w:tcW w:w="814" w:type="dxa"/>
            <w:shd w:val="clear" w:color="auto" w:fill="6F6652"/>
            <w:noWrap/>
            <w:tcMar>
              <w:left w:w="57" w:type="dxa"/>
              <w:right w:w="57" w:type="dxa"/>
            </w:tcMar>
            <w:hideMark/>
          </w:tcPr>
          <w:p w:rsidR="000A7AE3" w:rsidRPr="00E931F2" w:rsidRDefault="000A7AE3" w:rsidP="00D035C2">
            <w:pPr>
              <w:pStyle w:val="TableDataColumnHeading"/>
            </w:pPr>
            <w:r w:rsidRPr="00E931F2">
              <w:t>CAGR</w:t>
            </w:r>
          </w:p>
        </w:tc>
      </w:tr>
      <w:tr w:rsidR="000A7AE3" w:rsidRPr="00E931F2" w:rsidTr="00270D74">
        <w:trPr>
          <w:trHeight w:val="255"/>
        </w:trPr>
        <w:tc>
          <w:tcPr>
            <w:tcW w:w="1421"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jc w:val="left"/>
            </w:pPr>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proofErr w:type="spellStart"/>
            <w:r w:rsidRPr="00E931F2">
              <w:t>Kt</w:t>
            </w:r>
            <w:proofErr w:type="spellEnd"/>
          </w:p>
        </w:tc>
        <w:tc>
          <w:tcPr>
            <w:tcW w:w="814" w:type="dxa"/>
            <w:tcBorders>
              <w:bottom w:val="single" w:sz="8" w:space="0" w:color="FFFFFF" w:themeColor="background1"/>
            </w:tcBorders>
            <w:shd w:val="clear" w:color="auto" w:fill="auto"/>
            <w:noWrap/>
            <w:tcMar>
              <w:left w:w="57" w:type="dxa"/>
              <w:right w:w="57" w:type="dxa"/>
            </w:tcMar>
            <w:hideMark/>
          </w:tcPr>
          <w:p w:rsidR="000A7AE3" w:rsidRPr="00E931F2" w:rsidRDefault="000A7AE3" w:rsidP="00D035C2">
            <w:pPr>
              <w:pStyle w:val="TableUnit"/>
            </w:pPr>
            <w:r w:rsidRPr="00E931F2">
              <w:t>%</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2407E3" w:rsidRDefault="000A7AE3" w:rsidP="00D035C2">
            <w:pPr>
              <w:pStyle w:val="TableDataEntries"/>
              <w:jc w:val="left"/>
              <w:rPr>
                <w:b/>
              </w:rPr>
            </w:pPr>
            <w:r w:rsidRPr="002407E3">
              <w:rPr>
                <w:b/>
              </w:rPr>
              <w:t xml:space="preserve">Wheat production </w:t>
            </w: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NSW/ ACT</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8550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6172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7319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7649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7406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9641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16567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1.76</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TAS</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1.70</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WA</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11092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8277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9570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9679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9625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12389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20872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1.68</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SA</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4553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3297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3873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3857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3916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5054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8588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1.68</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VIC</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3919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2812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3329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3411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3362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4362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7451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1.70</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QLD</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1880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1322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1588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1662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1599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2091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3641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1.75</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NT</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p>
        </w:tc>
      </w:tr>
      <w:tr w:rsidR="00270D74" w:rsidRPr="006125FD"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jc w:val="left"/>
              <w:rPr>
                <w:b/>
              </w:rPr>
            </w:pPr>
            <w:r w:rsidRPr="006125FD">
              <w:rPr>
                <w:b/>
              </w:rPr>
              <w:t>Total</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30027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21903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25705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26286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25937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33572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57179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1.71</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2407E3" w:rsidRDefault="000A7AE3" w:rsidP="00D035C2">
            <w:pPr>
              <w:pStyle w:val="TableDataEntries"/>
              <w:jc w:val="left"/>
              <w:rPr>
                <w:b/>
              </w:rPr>
            </w:pPr>
            <w:r w:rsidRPr="002407E3">
              <w:rPr>
                <w:b/>
              </w:rPr>
              <w:t xml:space="preserve">Barley production </w:t>
            </w: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NSW/ ACT</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1436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1473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1681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1858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2416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4285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2.59</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TAS</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2.55</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WA</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2532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2324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2318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2560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2914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3747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6524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2.52</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SA</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2113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1881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1908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2073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2416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3122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5499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2.55</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VIC</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1775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1564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1602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1791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2019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2619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4626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2.55</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QLD</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141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147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185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241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434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2.60</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NT</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p>
        </w:tc>
      </w:tr>
      <w:tr w:rsidR="00270D74" w:rsidRPr="006125FD"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jc w:val="left"/>
              <w:rPr>
                <w:b/>
              </w:rPr>
            </w:pPr>
            <w:r w:rsidRPr="006125FD">
              <w:rPr>
                <w:b/>
              </w:rPr>
              <w:t>Total</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8228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7368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7471</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8298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9420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12182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21433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2.55</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2407E3" w:rsidRDefault="000A7AE3" w:rsidP="00D035C2">
            <w:pPr>
              <w:pStyle w:val="TableDataEntries"/>
              <w:jc w:val="left"/>
              <w:rPr>
                <w:b/>
              </w:rPr>
            </w:pPr>
            <w:r w:rsidRPr="002407E3">
              <w:rPr>
                <w:b/>
              </w:rPr>
              <w:t>Other coarse grain</w:t>
            </w: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c>
          <w:tcPr>
            <w:tcW w:w="81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0A7AE3" w:rsidRPr="00E931F2" w:rsidRDefault="000A7AE3" w:rsidP="00D035C2">
            <w:pPr>
              <w:pStyle w:val="TableDataEntries"/>
            </w:pP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Maize</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419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447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447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506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492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628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1007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2.33</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Oats</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1505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1645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1616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1799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1779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2255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3566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2.30</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Sorghum</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2330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2465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2474</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2806</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2720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3477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5600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2.33</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Triticale</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577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625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618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688</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680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863</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1372</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2.30</w:t>
            </w:r>
          </w:p>
        </w:tc>
      </w:tr>
      <w:tr w:rsidR="00270D74" w:rsidRPr="00E931F2" w:rsidTr="00270D74">
        <w:trPr>
          <w:trHeight w:val="255"/>
        </w:trPr>
        <w:tc>
          <w:tcPr>
            <w:tcW w:w="14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Millet</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25</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30</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37</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59</w:t>
            </w:r>
          </w:p>
        </w:tc>
        <w:tc>
          <w:tcPr>
            <w:tcW w:w="81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2.30</w:t>
            </w:r>
          </w:p>
        </w:tc>
      </w:tr>
      <w:tr w:rsidR="00270D74" w:rsidRPr="00E931F2" w:rsidTr="00270D74">
        <w:trPr>
          <w:trHeight w:val="255"/>
        </w:trPr>
        <w:tc>
          <w:tcPr>
            <w:tcW w:w="1421"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jc w:val="left"/>
            </w:pPr>
            <w:r w:rsidRPr="00E931F2">
              <w:t>Rye</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19</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21</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21</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29</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46</w:t>
            </w:r>
          </w:p>
        </w:tc>
        <w:tc>
          <w:tcPr>
            <w:tcW w:w="81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E931F2" w:rsidRDefault="000A7AE3" w:rsidP="00D035C2">
            <w:pPr>
              <w:pStyle w:val="TableDataEntries"/>
            </w:pPr>
            <w:r w:rsidRPr="00E931F2">
              <w:t>2.30</w:t>
            </w:r>
          </w:p>
        </w:tc>
      </w:tr>
    </w:tbl>
    <w:p w:rsidR="000A7AE3" w:rsidRDefault="000A7AE3" w:rsidP="000A7AE3">
      <w:pPr>
        <w:pStyle w:val="Source"/>
      </w:pPr>
      <w:r>
        <w:rPr>
          <w:i/>
        </w:rPr>
        <w:t>Source</w:t>
      </w:r>
      <w:r w:rsidRPr="00E4232C">
        <w:rPr>
          <w:i/>
        </w:rPr>
        <w:t>:</w:t>
      </w:r>
      <w:r>
        <w:t xml:space="preserve"> CIE Grains model simulations</w:t>
      </w:r>
    </w:p>
    <w:p w:rsidR="000A7AE3" w:rsidRDefault="000A7AE3" w:rsidP="000A7AE3">
      <w:pPr>
        <w:pStyle w:val="BodyText"/>
      </w:pPr>
      <w:r>
        <w:t>Comparing with the 2010 round of projections, despite a 33.2 per cent higher base level of wheat production in 2012, the lower growth rate leads to a 14.8 per cent lower output in 2030.</w:t>
      </w:r>
    </w:p>
    <w:p w:rsidR="000A7AE3" w:rsidRDefault="000A7AE3" w:rsidP="000A7AE3">
      <w:pPr>
        <w:pStyle w:val="BodyText"/>
      </w:pPr>
      <w:r>
        <w:t xml:space="preserve">Barley production </w:t>
      </w:r>
      <w:proofErr w:type="gramStart"/>
      <w:r>
        <w:t>is projected</w:t>
      </w:r>
      <w:proofErr w:type="gramEnd"/>
      <w:r>
        <w:t xml:space="preserve"> to fall in 2013 and to recover to the 2012 level by 2015, and to reach 12.2 million tonnes by 2030 and 21.4 million tonnes by 2050. The average annual growth rate is 2.2 per cent between 2012 and 2030 and 2.55 per cent between 2012 and 2050.</w:t>
      </w:r>
    </w:p>
    <w:p w:rsidR="000A7AE3" w:rsidRDefault="000A7AE3" w:rsidP="000A7AE3">
      <w:pPr>
        <w:pStyle w:val="BodyText"/>
      </w:pPr>
      <w:r>
        <w:t xml:space="preserve">Other coarse grains </w:t>
      </w:r>
      <w:proofErr w:type="gramStart"/>
      <w:r>
        <w:t>are projected</w:t>
      </w:r>
      <w:proofErr w:type="gramEnd"/>
      <w:r>
        <w:t xml:space="preserve"> to reach 7.3 million tonnes by 2030 and 11.7 million tonnes by 2050. This represents an average annual growth rate of 2.3 per cent between 2012 and 2050.</w:t>
      </w:r>
    </w:p>
    <w:p w:rsidR="000A7AE3" w:rsidRPr="00F8602C" w:rsidRDefault="000A7AE3" w:rsidP="000A7AE3">
      <w:pPr>
        <w:pStyle w:val="Heading2"/>
        <w:numPr>
          <w:ilvl w:val="0"/>
          <w:numId w:val="0"/>
        </w:numPr>
      </w:pPr>
      <w:bookmarkStart w:id="77" w:name="_Toc364436052"/>
      <w:bookmarkStart w:id="78" w:name="_Toc366052862"/>
      <w:r>
        <w:lastRenderedPageBreak/>
        <w:t>Other crops</w:t>
      </w:r>
      <w:bookmarkEnd w:id="77"/>
      <w:bookmarkEnd w:id="78"/>
    </w:p>
    <w:p w:rsidR="000A7AE3" w:rsidRDefault="000A7AE3" w:rsidP="000A7AE3">
      <w:pPr>
        <w:pStyle w:val="BodyText"/>
      </w:pPr>
      <w:r>
        <w:t xml:space="preserve">Activities for other crops are estimated using simple </w:t>
      </w:r>
      <w:proofErr w:type="gramStart"/>
      <w:r>
        <w:t>spread sheet</w:t>
      </w:r>
      <w:proofErr w:type="gramEnd"/>
      <w:r>
        <w:t xml:space="preserve"> models. They </w:t>
      </w:r>
      <w:proofErr w:type="gramStart"/>
      <w:r>
        <w:t>are mainly assumed</w:t>
      </w:r>
      <w:proofErr w:type="gramEnd"/>
      <w:r>
        <w:t xml:space="preserve"> to follow historical trends.</w:t>
      </w:r>
    </w:p>
    <w:p w:rsidR="000A7AE3" w:rsidRDefault="000A7AE3" w:rsidP="000A7AE3">
      <w:pPr>
        <w:pStyle w:val="Heading3"/>
      </w:pPr>
      <w:r>
        <w:t>Rice</w:t>
      </w:r>
    </w:p>
    <w:p w:rsidR="000A7AE3" w:rsidRPr="00AD4ADD" w:rsidRDefault="000A7AE3" w:rsidP="000A7AE3">
      <w:pPr>
        <w:pStyle w:val="BodyText"/>
      </w:pPr>
      <w:r>
        <w:t xml:space="preserve">Chart </w:t>
      </w:r>
      <w:r>
        <w:fldChar w:fldCharType="begin"/>
      </w:r>
      <w:r>
        <w:instrText xml:space="preserve"> REF _Ref364379220 \h </w:instrText>
      </w:r>
      <w:r>
        <w:fldChar w:fldCharType="separate"/>
      </w:r>
      <w:r w:rsidR="00927DCC">
        <w:rPr>
          <w:noProof/>
        </w:rPr>
        <w:t>4</w:t>
      </w:r>
      <w:r w:rsidR="00927DCC" w:rsidRPr="00695C93">
        <w:rPr>
          <w:noProof/>
        </w:rPr>
        <w:t>.</w:t>
      </w:r>
      <w:r w:rsidR="00927DCC">
        <w:rPr>
          <w:noProof/>
        </w:rPr>
        <w:t>9</w:t>
      </w:r>
      <w:r>
        <w:fldChar w:fldCharType="end"/>
      </w:r>
      <w:r>
        <w:t xml:space="preserve"> reports the historical data of rice cultivation area and yield in Australia from 1969 to 2012 and our assumptions about their future values to 2050.</w:t>
      </w:r>
      <w:r w:rsidR="0019785B">
        <w:t xml:space="preserve"> The effect of drought is </w:t>
      </w:r>
      <w:proofErr w:type="gramStart"/>
      <w:r w:rsidR="0019785B">
        <w:t>clearly evident</w:t>
      </w:r>
      <w:proofErr w:type="gramEnd"/>
      <w:r w:rsidR="0019785B">
        <w:t xml:space="preserve"> in the historical record (accounting for the large reduction in area around 2000). </w:t>
      </w:r>
    </w:p>
    <w:p w:rsidR="000A7AE3" w:rsidRPr="00695C9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9</w:instrText>
      </w:r>
      <w:r w:rsidRPr="00695C93">
        <w:fldChar w:fldCharType="end"/>
      </w:r>
      <w:r w:rsidRPr="00695C93">
        <w:instrText xml:space="preserve">" "" </w:instrText>
      </w:r>
      <w:r w:rsidRPr="00695C93">
        <w:fldChar w:fldCharType="separate"/>
      </w:r>
      <w:bookmarkStart w:id="79" w:name="_Caption9208"/>
      <w:bookmarkStart w:id="80" w:name="_Ref364379220"/>
      <w:bookmarkStart w:id="81" w:name="_Toc364436078"/>
      <w:bookmarkStart w:id="82" w:name="_Toc366052892"/>
      <w:r w:rsidR="00927DCC">
        <w:rPr>
          <w:noProof/>
        </w:rPr>
        <w:t>4</w:t>
      </w:r>
      <w:r w:rsidR="00927DCC" w:rsidRPr="00695C93">
        <w:rPr>
          <w:noProof/>
        </w:rPr>
        <w:t>.</w:t>
      </w:r>
      <w:r w:rsidR="00927DCC">
        <w:rPr>
          <w:noProof/>
        </w:rPr>
        <w:t>9</w:t>
      </w:r>
      <w:bookmarkEnd w:id="79"/>
      <w:bookmarkEnd w:id="80"/>
      <w:r w:rsidRPr="00695C93">
        <w:fldChar w:fldCharType="end"/>
      </w:r>
      <w:r w:rsidRPr="00695C93">
        <w:tab/>
      </w:r>
      <w:r>
        <w:t>Rice cultivation area and yield</w:t>
      </w:r>
      <w:bookmarkEnd w:id="81"/>
      <w:bookmarkEnd w:id="8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A7AE3" w:rsidTr="00D035C2">
        <w:trPr>
          <w:cantSplit/>
        </w:trPr>
        <w:tc>
          <w:tcPr>
            <w:tcW w:w="7938" w:type="dxa"/>
            <w:shd w:val="clear" w:color="auto" w:fill="E9E8E5" w:themeFill="background2"/>
          </w:tcPr>
          <w:p w:rsidR="000A7AE3" w:rsidRDefault="000A7AE3" w:rsidP="00D035C2">
            <w:pPr>
              <w:pStyle w:val="Chart"/>
            </w:pPr>
            <w:r>
              <w:rPr>
                <w:noProof/>
                <w:lang w:eastAsia="en-AU"/>
              </w:rPr>
              <w:drawing>
                <wp:inline distT="0" distB="0" distL="0" distR="0" wp14:anchorId="27298E88" wp14:editId="004DCF4D">
                  <wp:extent cx="5025390" cy="24968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5390" cy="2496820"/>
                          </a:xfrm>
                          <a:prstGeom prst="rect">
                            <a:avLst/>
                          </a:prstGeom>
                          <a:noFill/>
                          <a:ln>
                            <a:noFill/>
                          </a:ln>
                        </pic:spPr>
                      </pic:pic>
                    </a:graphicData>
                  </a:graphic>
                </wp:inline>
              </w:drawing>
            </w:r>
          </w:p>
        </w:tc>
      </w:tr>
    </w:tbl>
    <w:p w:rsidR="000A7AE3" w:rsidRDefault="000A7AE3" w:rsidP="000A7AE3">
      <w:pPr>
        <w:pStyle w:val="Source"/>
      </w:pPr>
      <w:r>
        <w:rPr>
          <w:i/>
        </w:rPr>
        <w:t>Data source</w:t>
      </w:r>
      <w:r w:rsidRPr="00A67576">
        <w:rPr>
          <w:i/>
        </w:rPr>
        <w:t>:</w:t>
      </w:r>
      <w:r>
        <w:t xml:space="preserve"> ABARES Australian Commodity Statistics; DIICCRSTE Inventory data; CIE assumptions</w:t>
      </w:r>
    </w:p>
    <w:p w:rsidR="000A7AE3" w:rsidRDefault="000A7AE3" w:rsidP="000A7AE3">
      <w:pPr>
        <w:pStyle w:val="BodyText"/>
      </w:pPr>
      <w:r>
        <w:t xml:space="preserve">The area of rice cultivation </w:t>
      </w:r>
      <w:r w:rsidR="005B769A">
        <w:t>increased up to</w:t>
      </w:r>
      <w:r>
        <w:t xml:space="preserve"> 2002 when it fell sharply due to the drought. It </w:t>
      </w:r>
      <w:r w:rsidR="0019785B">
        <w:t>has started to recover</w:t>
      </w:r>
      <w:r>
        <w:t xml:space="preserve"> in the past couple of years. We assume the area will recover further with the drought conditions easing. However, we do not expect the area will fully return to pre-drought levels due to the strong likelihood of lower water allocations. Instead, we assume the cultivation area will stay at </w:t>
      </w:r>
      <w:r w:rsidR="00353EB1">
        <w:t xml:space="preserve">the </w:t>
      </w:r>
      <w:r>
        <w:t>average level</w:t>
      </w:r>
      <w:r w:rsidR="00353EB1">
        <w:t>s</w:t>
      </w:r>
      <w:r>
        <w:t xml:space="preserve"> </w:t>
      </w:r>
      <w:r w:rsidR="005B769A">
        <w:t>seen in the 1980</w:t>
      </w:r>
      <w:r>
        <w:t xml:space="preserve">s </w:t>
      </w:r>
      <w:r w:rsidR="005B769A">
        <w:t>and 1990</w:t>
      </w:r>
      <w:r>
        <w:t xml:space="preserve">s. This reflects a reduction of 30 per cent from the peak level in 2001, and a reduction of almost 20 per cent from the average level between 1996 and 2001. </w:t>
      </w:r>
      <w:r w:rsidR="00353EB1">
        <w:t>This</w:t>
      </w:r>
      <w:r w:rsidR="008A5D5E">
        <w:t xml:space="preserve"> long term </w:t>
      </w:r>
      <w:proofErr w:type="gramStart"/>
      <w:r w:rsidR="008A5D5E">
        <w:t>flat</w:t>
      </w:r>
      <w:proofErr w:type="gramEnd"/>
      <w:r w:rsidR="008A5D5E">
        <w:t xml:space="preserve"> assumption </w:t>
      </w:r>
      <w:r w:rsidR="00353EB1">
        <w:t>for the area of</w:t>
      </w:r>
      <w:r w:rsidR="008A5D5E">
        <w:t xml:space="preserve"> rice </w:t>
      </w:r>
      <w:r w:rsidR="00353EB1">
        <w:t>cultivated</w:t>
      </w:r>
      <w:r w:rsidR="008A5D5E">
        <w:t xml:space="preserve"> area is the same as that in the 2010 round projections.</w:t>
      </w:r>
    </w:p>
    <w:p w:rsidR="000A7AE3" w:rsidRDefault="000A7AE3" w:rsidP="000A7AE3">
      <w:pPr>
        <w:pStyle w:val="BodyText"/>
      </w:pPr>
      <w:r>
        <w:t>Despite fluctuations over time, rice yield</w:t>
      </w:r>
      <w:r w:rsidR="005B769A">
        <w:t>s</w:t>
      </w:r>
      <w:r>
        <w:t xml:space="preserve"> have been trending upwards. The average annual increment in yield is about 76.9 kg per ha. We assume </w:t>
      </w:r>
      <w:r w:rsidR="002F0137">
        <w:t>this</w:t>
      </w:r>
      <w:r>
        <w:t xml:space="preserve"> trend continues into the future. With this assumption, the yield in 2050 </w:t>
      </w:r>
      <w:proofErr w:type="gramStart"/>
      <w:r w:rsidR="002F0137">
        <w:t>is projected</w:t>
      </w:r>
      <w:proofErr w:type="gramEnd"/>
      <w:r w:rsidR="002F0137">
        <w:t xml:space="preserve"> to be</w:t>
      </w:r>
      <w:r>
        <w:t xml:space="preserve"> 10.27 ton/ha, slightly lower than the record level of 10.39 ton/ha in 2010.</w:t>
      </w:r>
    </w:p>
    <w:p w:rsidR="00D03E54" w:rsidRDefault="002F0137" w:rsidP="000A7AE3">
      <w:pPr>
        <w:pStyle w:val="BodyText"/>
      </w:pPr>
      <w:r>
        <w:t>Compared with</w:t>
      </w:r>
      <w:r w:rsidR="00D03E54">
        <w:t xml:space="preserve"> the 2010 </w:t>
      </w:r>
      <w:r>
        <w:t xml:space="preserve">projection </w:t>
      </w:r>
      <w:r w:rsidR="00D03E54">
        <w:t>round, rice yield</w:t>
      </w:r>
      <w:r>
        <w:t>s</w:t>
      </w:r>
      <w:r w:rsidR="00D03E54">
        <w:t xml:space="preserve"> </w:t>
      </w:r>
      <w:r>
        <w:t>have</w:t>
      </w:r>
      <w:r w:rsidR="00D03E54">
        <w:t xml:space="preserve"> improved significantly in the past few years. For example, </w:t>
      </w:r>
      <w:r>
        <w:t>they were</w:t>
      </w:r>
      <w:r w:rsidR="00D03E54">
        <w:t xml:space="preserve"> 9.2 per cent higher than previously assumed for 2009, 27.4 per cent, 15.9 per cent and 4.9 per cent higher for 2010, 2011 and 2012, </w:t>
      </w:r>
      <w:r w:rsidR="00D03E54">
        <w:lastRenderedPageBreak/>
        <w:t>respectively. Consequently, the assumed yield in the current round is 4.5 per cent higher than previously assumed for 2020 and 2.2 per cent higher for 2030.</w:t>
      </w:r>
    </w:p>
    <w:p w:rsidR="000A7AE3" w:rsidRDefault="000A7AE3" w:rsidP="000A7AE3">
      <w:pPr>
        <w:pStyle w:val="BodyText"/>
      </w:pPr>
      <w:r>
        <w:t xml:space="preserve">With the above assumptions, rice production </w:t>
      </w:r>
      <w:proofErr w:type="gramStart"/>
      <w:r>
        <w:t>is projected</w:t>
      </w:r>
      <w:proofErr w:type="gramEnd"/>
      <w:r>
        <w:t xml:space="preserve"> to reach 1.</w:t>
      </w:r>
      <w:r w:rsidR="00D03E54">
        <w:t xml:space="preserve">22 </w:t>
      </w:r>
      <w:r>
        <w:t>million tonnes by 2030 and 1.</w:t>
      </w:r>
      <w:r w:rsidR="00D03E54">
        <w:t xml:space="preserve">27 </w:t>
      </w:r>
      <w:r>
        <w:t xml:space="preserve">million tonnes by 2050 (chart </w:t>
      </w:r>
      <w:r>
        <w:fldChar w:fldCharType="begin"/>
      </w:r>
      <w:r>
        <w:instrText xml:space="preserve"> REF _Ref364381400 \h </w:instrText>
      </w:r>
      <w:r>
        <w:fldChar w:fldCharType="separate"/>
      </w:r>
      <w:r w:rsidR="00927DCC">
        <w:rPr>
          <w:noProof/>
        </w:rPr>
        <w:t>4</w:t>
      </w:r>
      <w:r w:rsidR="00927DCC" w:rsidRPr="00695C93">
        <w:rPr>
          <w:noProof/>
        </w:rPr>
        <w:t>.</w:t>
      </w:r>
      <w:r w:rsidR="00927DCC">
        <w:rPr>
          <w:noProof/>
        </w:rPr>
        <w:t>10</w:t>
      </w:r>
      <w:r>
        <w:fldChar w:fldCharType="end"/>
      </w:r>
      <w:r>
        <w:t>).</w:t>
      </w:r>
      <w:r w:rsidR="00D03E54">
        <w:t xml:space="preserve"> </w:t>
      </w:r>
      <w:r w:rsidR="002F0137">
        <w:t>Compared</w:t>
      </w:r>
      <w:r w:rsidR="00D03E54">
        <w:t xml:space="preserve"> with the 2010 </w:t>
      </w:r>
      <w:r w:rsidR="002F0137">
        <w:t xml:space="preserve">projection </w:t>
      </w:r>
      <w:r w:rsidR="00D03E54">
        <w:t xml:space="preserve">round, the current projections for rice production is 4.5 per cent higher for 2020 and 2.2 per cent higher for 2030. This is purely due to </w:t>
      </w:r>
      <w:r w:rsidR="002F0137">
        <w:t xml:space="preserve">the </w:t>
      </w:r>
      <w:r w:rsidR="00D03E54">
        <w:t>higher yield assumption</w:t>
      </w:r>
      <w:r w:rsidR="005B769A">
        <w:t>s</w:t>
      </w:r>
      <w:r w:rsidR="00D03E54">
        <w:t xml:space="preserve"> based on </w:t>
      </w:r>
      <w:r w:rsidR="005B769A">
        <w:t xml:space="preserve">the recent improvements in </w:t>
      </w:r>
      <w:r w:rsidR="00D03E54">
        <w:t>yield.</w:t>
      </w:r>
    </w:p>
    <w:p w:rsidR="000A7AE3" w:rsidRPr="00695C9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10</w:instrText>
      </w:r>
      <w:r w:rsidRPr="00695C93">
        <w:fldChar w:fldCharType="end"/>
      </w:r>
      <w:r w:rsidRPr="00695C93">
        <w:instrText xml:space="preserve">" "" </w:instrText>
      </w:r>
      <w:r w:rsidRPr="00695C93">
        <w:fldChar w:fldCharType="separate"/>
      </w:r>
      <w:bookmarkStart w:id="83" w:name="_Caption9826"/>
      <w:bookmarkStart w:id="84" w:name="_Ref364381400"/>
      <w:bookmarkStart w:id="85" w:name="_Toc364436079"/>
      <w:bookmarkStart w:id="86" w:name="_Toc366052893"/>
      <w:r w:rsidR="00927DCC">
        <w:rPr>
          <w:noProof/>
        </w:rPr>
        <w:t>4</w:t>
      </w:r>
      <w:r w:rsidR="00927DCC" w:rsidRPr="00695C93">
        <w:rPr>
          <w:noProof/>
        </w:rPr>
        <w:t>.</w:t>
      </w:r>
      <w:r w:rsidR="00927DCC">
        <w:rPr>
          <w:noProof/>
        </w:rPr>
        <w:t>10</w:t>
      </w:r>
      <w:bookmarkEnd w:id="83"/>
      <w:bookmarkEnd w:id="84"/>
      <w:r w:rsidRPr="00695C93">
        <w:fldChar w:fldCharType="end"/>
      </w:r>
      <w:r w:rsidRPr="00695C93">
        <w:tab/>
      </w:r>
      <w:r>
        <w:t>Rice production</w:t>
      </w:r>
      <w:bookmarkEnd w:id="85"/>
      <w:bookmarkEnd w:id="8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A7AE3" w:rsidTr="00D035C2">
        <w:trPr>
          <w:cantSplit/>
        </w:trPr>
        <w:tc>
          <w:tcPr>
            <w:tcW w:w="7938" w:type="dxa"/>
            <w:shd w:val="clear" w:color="auto" w:fill="E9E8E5" w:themeFill="background2"/>
          </w:tcPr>
          <w:p w:rsidR="000A7AE3" w:rsidRDefault="00D03E54" w:rsidP="00D035C2">
            <w:pPr>
              <w:pStyle w:val="Chart"/>
            </w:pPr>
            <w:r>
              <w:rPr>
                <w:noProof/>
                <w:lang w:eastAsia="en-AU"/>
              </w:rPr>
              <w:drawing>
                <wp:inline distT="0" distB="0" distL="0" distR="0" wp14:anchorId="00AE054A" wp14:editId="2F0D9837">
                  <wp:extent cx="5019675" cy="2495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2495550"/>
                          </a:xfrm>
                          <a:prstGeom prst="rect">
                            <a:avLst/>
                          </a:prstGeom>
                          <a:noFill/>
                          <a:ln>
                            <a:noFill/>
                          </a:ln>
                        </pic:spPr>
                      </pic:pic>
                    </a:graphicData>
                  </a:graphic>
                </wp:inline>
              </w:drawing>
            </w:r>
          </w:p>
        </w:tc>
      </w:tr>
    </w:tbl>
    <w:p w:rsidR="000A7AE3" w:rsidRDefault="000A7AE3" w:rsidP="000A7AE3">
      <w:pPr>
        <w:pStyle w:val="Source"/>
      </w:pPr>
      <w:r>
        <w:rPr>
          <w:i/>
        </w:rPr>
        <w:t>Data source</w:t>
      </w:r>
      <w:r w:rsidRPr="00A67576">
        <w:rPr>
          <w:i/>
        </w:rPr>
        <w:t>:</w:t>
      </w:r>
      <w:r>
        <w:t xml:space="preserve"> ABARES Australian Commodity Statistics; DIICCRSTE Inventory data; CIE estimates</w:t>
      </w:r>
    </w:p>
    <w:p w:rsidR="0019785B" w:rsidRDefault="0019785B" w:rsidP="0019785B">
      <w:pPr>
        <w:pStyle w:val="Heading3"/>
      </w:pPr>
      <w:r>
        <w:t>Sugar</w:t>
      </w:r>
    </w:p>
    <w:p w:rsidR="0019785B" w:rsidRDefault="0019785B" w:rsidP="0019785B">
      <w:pPr>
        <w:pStyle w:val="BodyText"/>
      </w:pPr>
      <w:r>
        <w:t xml:space="preserve">Chart </w:t>
      </w:r>
      <w:r>
        <w:fldChar w:fldCharType="begin"/>
      </w:r>
      <w:r>
        <w:instrText xml:space="preserve"> REF _Ref364382896 \h </w:instrText>
      </w:r>
      <w:r>
        <w:fldChar w:fldCharType="separate"/>
      </w:r>
      <w:r w:rsidR="00927DCC">
        <w:rPr>
          <w:noProof/>
        </w:rPr>
        <w:t>4</w:t>
      </w:r>
      <w:r w:rsidR="00927DCC" w:rsidRPr="00695C93">
        <w:rPr>
          <w:noProof/>
        </w:rPr>
        <w:t>.</w:t>
      </w:r>
      <w:r w:rsidR="00927DCC">
        <w:rPr>
          <w:noProof/>
        </w:rPr>
        <w:t>11</w:t>
      </w:r>
      <w:r>
        <w:fldChar w:fldCharType="end"/>
      </w:r>
      <w:r>
        <w:t xml:space="preserve"> reports the historical data of sugarcane cultivation area and cane yield in A</w:t>
      </w:r>
      <w:r w:rsidR="003B419D">
        <w:t>ustralia</w:t>
      </w:r>
      <w:r>
        <w:t xml:space="preserve"> from 1963 to 2012, and our assumptions about their future values to 2050.</w:t>
      </w:r>
    </w:p>
    <w:p w:rsidR="000A7AE3" w:rsidRDefault="000A7AE3" w:rsidP="000A7AE3">
      <w:pPr>
        <w:pStyle w:val="BodyText"/>
      </w:pPr>
      <w:r>
        <w:t>Sugarcane area had been growing at a rate of 2.1 per cent per annum until 2003 when it started falling. However, it did not fall as much as the rice area. This is due to higher world demand for biofuel in the past few years. The long run trend between 1963 and 2012 has been about 1.69 per cent growth per annum. We assume the growth rate in sugarcane area will fall gradually after 2015. More specifically, the growth rate will fall by 10 per cent each year, that is, 1.69 per cent in 2015, 1.52 per cent in 2016, 1.37 per cent in 2017, and so on.</w:t>
      </w:r>
    </w:p>
    <w:p w:rsidR="000A7AE3" w:rsidRPr="00695C93" w:rsidRDefault="000A7AE3" w:rsidP="000A7AE3">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11</w:instrText>
      </w:r>
      <w:r w:rsidRPr="00695C93">
        <w:fldChar w:fldCharType="end"/>
      </w:r>
      <w:r w:rsidRPr="00695C93">
        <w:instrText xml:space="preserve">" "" </w:instrText>
      </w:r>
      <w:r w:rsidRPr="00695C93">
        <w:fldChar w:fldCharType="separate"/>
      </w:r>
      <w:bookmarkStart w:id="87" w:name="_Caption8165"/>
      <w:bookmarkStart w:id="88" w:name="_Ref364382896"/>
      <w:bookmarkStart w:id="89" w:name="_Toc364436080"/>
      <w:bookmarkStart w:id="90" w:name="_Toc366052894"/>
      <w:r w:rsidR="00927DCC">
        <w:rPr>
          <w:noProof/>
        </w:rPr>
        <w:t>4</w:t>
      </w:r>
      <w:r w:rsidR="00927DCC" w:rsidRPr="00695C93">
        <w:rPr>
          <w:noProof/>
        </w:rPr>
        <w:t>.</w:t>
      </w:r>
      <w:r w:rsidR="00927DCC">
        <w:rPr>
          <w:noProof/>
        </w:rPr>
        <w:t>11</w:t>
      </w:r>
      <w:bookmarkEnd w:id="87"/>
      <w:bookmarkEnd w:id="88"/>
      <w:r w:rsidRPr="00695C93">
        <w:fldChar w:fldCharType="end"/>
      </w:r>
      <w:r w:rsidRPr="00695C93">
        <w:tab/>
      </w:r>
      <w:r>
        <w:t>Sugarcane cultivation area and cane yield</w:t>
      </w:r>
      <w:bookmarkEnd w:id="89"/>
      <w:bookmarkEnd w:id="9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A7AE3" w:rsidTr="00D035C2">
        <w:trPr>
          <w:cantSplit/>
        </w:trPr>
        <w:tc>
          <w:tcPr>
            <w:tcW w:w="7938" w:type="dxa"/>
            <w:shd w:val="clear" w:color="auto" w:fill="E9E8E5" w:themeFill="background2"/>
          </w:tcPr>
          <w:p w:rsidR="000A7AE3" w:rsidRDefault="000A7AE3" w:rsidP="00D035C2">
            <w:pPr>
              <w:pStyle w:val="Chart"/>
            </w:pPr>
            <w:r>
              <w:rPr>
                <w:noProof/>
                <w:lang w:eastAsia="en-AU"/>
              </w:rPr>
              <w:drawing>
                <wp:inline distT="0" distB="0" distL="0" distR="0" wp14:anchorId="270C9C07" wp14:editId="29CA8DF7">
                  <wp:extent cx="5025390" cy="249682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5390" cy="2496820"/>
                          </a:xfrm>
                          <a:prstGeom prst="rect">
                            <a:avLst/>
                          </a:prstGeom>
                          <a:noFill/>
                          <a:ln>
                            <a:noFill/>
                          </a:ln>
                        </pic:spPr>
                      </pic:pic>
                    </a:graphicData>
                  </a:graphic>
                </wp:inline>
              </w:drawing>
            </w:r>
          </w:p>
        </w:tc>
      </w:tr>
    </w:tbl>
    <w:p w:rsidR="000A7AE3" w:rsidRDefault="000A7AE3" w:rsidP="000A7AE3">
      <w:pPr>
        <w:pStyle w:val="Source"/>
      </w:pPr>
      <w:r>
        <w:rPr>
          <w:i/>
        </w:rPr>
        <w:t>Data source</w:t>
      </w:r>
      <w:r w:rsidRPr="00A67576">
        <w:rPr>
          <w:i/>
        </w:rPr>
        <w:t>:</w:t>
      </w:r>
      <w:r>
        <w:t xml:space="preserve"> ABARES Australian Commodity Statistics; DIICCRSTE Inventory data; CIE assumptions</w:t>
      </w:r>
    </w:p>
    <w:p w:rsidR="004B1A52" w:rsidRDefault="002F0137" w:rsidP="000A7AE3">
      <w:pPr>
        <w:pStyle w:val="BodyText"/>
      </w:pPr>
      <w:r>
        <w:t>Compared</w:t>
      </w:r>
      <w:r w:rsidR="004B1A52">
        <w:t xml:space="preserve"> with the 2010 </w:t>
      </w:r>
      <w:r>
        <w:t xml:space="preserve">projection </w:t>
      </w:r>
      <w:r w:rsidR="004B1A52">
        <w:t xml:space="preserve">round, the current assumption </w:t>
      </w:r>
      <w:r>
        <w:t>for</w:t>
      </w:r>
      <w:r w:rsidR="004B1A52">
        <w:t xml:space="preserve"> sugarcane area is lower. This is due to </w:t>
      </w:r>
      <w:r>
        <w:t xml:space="preserve">a </w:t>
      </w:r>
      <w:r w:rsidR="004B1A52">
        <w:t>lower base and</w:t>
      </w:r>
      <w:r>
        <w:t xml:space="preserve"> an</w:t>
      </w:r>
      <w:r w:rsidR="004B1A52">
        <w:t xml:space="preserve"> assumed </w:t>
      </w:r>
      <w:r>
        <w:t>slowing</w:t>
      </w:r>
      <w:r w:rsidR="004B1A52">
        <w:t xml:space="preserve"> growth rate in area. For example, the area was 17.5 and 11.7 per cent lower than previously assumed for 2011 and 2012, respectively. ABARES projected </w:t>
      </w:r>
      <w:r w:rsidR="002D3FB6">
        <w:t>387 770</w:t>
      </w:r>
      <w:r w:rsidR="00493019">
        <w:t xml:space="preserve"> </w:t>
      </w:r>
      <w:r w:rsidR="002D3FB6">
        <w:t>ha of sugarcane in 2014,</w:t>
      </w:r>
      <w:r w:rsidR="002D3FB6">
        <w:rPr>
          <w:rStyle w:val="FootnoteReference"/>
        </w:rPr>
        <w:footnoteReference w:id="8"/>
      </w:r>
      <w:r w:rsidR="002D3FB6">
        <w:t xml:space="preserve"> 13.4 per cent lower than the assumed area in the 2010 round. Consequently, the current assumption about sugarcane area is 12.5 per cent and 16.5 per cent lower than previously assumed for 2020 and 2030.</w:t>
      </w:r>
    </w:p>
    <w:p w:rsidR="000A7AE3" w:rsidRDefault="000A7AE3" w:rsidP="000A7AE3">
      <w:pPr>
        <w:pStyle w:val="BodyText"/>
      </w:pPr>
      <w:r>
        <w:t>The long trend growth in cane yield is 0.37 per cent per annum. We assume the growth rate will fall gradually after 2015 in the same pattern as the assumed growth rate in sugarcane area.</w:t>
      </w:r>
    </w:p>
    <w:p w:rsidR="00921F38" w:rsidRDefault="00921F38" w:rsidP="000A7AE3">
      <w:pPr>
        <w:pStyle w:val="BodyText"/>
      </w:pPr>
      <w:r>
        <w:t xml:space="preserve">The current assumption </w:t>
      </w:r>
      <w:r w:rsidR="00493019">
        <w:t>for</w:t>
      </w:r>
      <w:r>
        <w:t xml:space="preserve"> sugarcane yield is also lower than </w:t>
      </w:r>
      <w:r w:rsidR="000D1A27">
        <w:t xml:space="preserve">the 2010 </w:t>
      </w:r>
      <w:r w:rsidR="00D367A5">
        <w:t xml:space="preserve">projection </w:t>
      </w:r>
      <w:r w:rsidR="000D1A27">
        <w:t xml:space="preserve">round. This is also due to worse than expected performance in yield in the past years. For example, the yield </w:t>
      </w:r>
      <w:r w:rsidR="001D4355">
        <w:t xml:space="preserve">in 2009 through to 2012 </w:t>
      </w:r>
      <w:r w:rsidR="000D1A27">
        <w:t xml:space="preserve">was </w:t>
      </w:r>
      <w:r w:rsidR="001D4355">
        <w:t xml:space="preserve">2.5–16.2 per cent lower than previously assumed. With this lower base level, the assumed yield </w:t>
      </w:r>
      <w:r w:rsidR="00624387">
        <w:t xml:space="preserve">in 2020 and 2030 </w:t>
      </w:r>
      <w:r w:rsidR="001D4355">
        <w:t xml:space="preserve">is </w:t>
      </w:r>
      <w:r w:rsidR="00624387">
        <w:t>16 per cent and 17.1 per cent lower than previously assumed.</w:t>
      </w:r>
      <w:r w:rsidR="001D4355">
        <w:t xml:space="preserve"> </w:t>
      </w:r>
    </w:p>
    <w:p w:rsidR="000A7AE3" w:rsidRDefault="000A7AE3" w:rsidP="000A7AE3">
      <w:pPr>
        <w:pStyle w:val="BodyText"/>
      </w:pPr>
      <w:r>
        <w:t xml:space="preserve">With these assumptions, it </w:t>
      </w:r>
      <w:proofErr w:type="gramStart"/>
      <w:r>
        <w:t>is projected</w:t>
      </w:r>
      <w:proofErr w:type="gramEnd"/>
      <w:r>
        <w:t xml:space="preserve"> that the cane crushed will reach 34.5 million tonnes by 2030 and 35.7 million tonnes by 2050 (chart </w:t>
      </w:r>
      <w:r>
        <w:fldChar w:fldCharType="begin"/>
      </w:r>
      <w:r>
        <w:instrText xml:space="preserve"> REF _Ref364384443 \h </w:instrText>
      </w:r>
      <w:r>
        <w:fldChar w:fldCharType="separate"/>
      </w:r>
      <w:r w:rsidR="00927DCC">
        <w:rPr>
          <w:noProof/>
        </w:rPr>
        <w:t>4</w:t>
      </w:r>
      <w:r w:rsidR="00927DCC" w:rsidRPr="00695C93">
        <w:rPr>
          <w:noProof/>
        </w:rPr>
        <w:t>.</w:t>
      </w:r>
      <w:r w:rsidR="00927DCC">
        <w:rPr>
          <w:noProof/>
        </w:rPr>
        <w:t>12</w:t>
      </w:r>
      <w:r>
        <w:fldChar w:fldCharType="end"/>
      </w:r>
      <w:r>
        <w:t>).</w:t>
      </w:r>
      <w:r w:rsidR="00624387">
        <w:t xml:space="preserve"> Because of the lower assumptions of area and yield as explained above, the currently projected crushed sugarcane is 26.5 per cent lower than the previous projection for 2020 and 30.8 per cent lower for 2030.</w:t>
      </w:r>
    </w:p>
    <w:p w:rsidR="000A7AE3" w:rsidRPr="00695C93" w:rsidRDefault="000A7AE3" w:rsidP="000A7AE3">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12</w:instrText>
      </w:r>
      <w:r w:rsidRPr="00695C93">
        <w:fldChar w:fldCharType="end"/>
      </w:r>
      <w:r w:rsidRPr="00695C93">
        <w:instrText xml:space="preserve">" "" </w:instrText>
      </w:r>
      <w:r w:rsidRPr="00695C93">
        <w:fldChar w:fldCharType="separate"/>
      </w:r>
      <w:bookmarkStart w:id="91" w:name="_Caption6262"/>
      <w:bookmarkStart w:id="92" w:name="_Ref364384443"/>
      <w:bookmarkStart w:id="93" w:name="_Toc364436081"/>
      <w:bookmarkStart w:id="94" w:name="_Toc366052895"/>
      <w:r w:rsidR="00927DCC">
        <w:rPr>
          <w:noProof/>
        </w:rPr>
        <w:t>4</w:t>
      </w:r>
      <w:r w:rsidR="00927DCC" w:rsidRPr="00695C93">
        <w:rPr>
          <w:noProof/>
        </w:rPr>
        <w:t>.</w:t>
      </w:r>
      <w:r w:rsidR="00927DCC">
        <w:rPr>
          <w:noProof/>
        </w:rPr>
        <w:t>12</w:t>
      </w:r>
      <w:bookmarkEnd w:id="91"/>
      <w:bookmarkEnd w:id="92"/>
      <w:r w:rsidRPr="00695C93">
        <w:fldChar w:fldCharType="end"/>
      </w:r>
      <w:r w:rsidRPr="00695C93">
        <w:tab/>
      </w:r>
      <w:r>
        <w:t>Sugarcane crushed</w:t>
      </w:r>
      <w:bookmarkEnd w:id="93"/>
      <w:bookmarkEnd w:id="9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A7AE3" w:rsidTr="00D035C2">
        <w:trPr>
          <w:cantSplit/>
        </w:trPr>
        <w:tc>
          <w:tcPr>
            <w:tcW w:w="7938" w:type="dxa"/>
            <w:shd w:val="clear" w:color="auto" w:fill="E9E8E5" w:themeFill="background2"/>
          </w:tcPr>
          <w:p w:rsidR="000A7AE3" w:rsidRDefault="000A7AE3" w:rsidP="00D035C2">
            <w:pPr>
              <w:pStyle w:val="Chart"/>
            </w:pPr>
            <w:r>
              <w:rPr>
                <w:noProof/>
                <w:lang w:eastAsia="en-AU"/>
              </w:rPr>
              <w:drawing>
                <wp:inline distT="0" distB="0" distL="0" distR="0" wp14:anchorId="4AD83DAB" wp14:editId="64C2B311">
                  <wp:extent cx="5025390" cy="24968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5390" cy="2496820"/>
                          </a:xfrm>
                          <a:prstGeom prst="rect">
                            <a:avLst/>
                          </a:prstGeom>
                          <a:noFill/>
                          <a:ln>
                            <a:noFill/>
                          </a:ln>
                        </pic:spPr>
                      </pic:pic>
                    </a:graphicData>
                  </a:graphic>
                </wp:inline>
              </w:drawing>
            </w:r>
          </w:p>
        </w:tc>
      </w:tr>
    </w:tbl>
    <w:p w:rsidR="000A7AE3" w:rsidRDefault="000A7AE3" w:rsidP="000A7AE3">
      <w:pPr>
        <w:pStyle w:val="Source"/>
      </w:pPr>
      <w:r>
        <w:rPr>
          <w:i/>
        </w:rPr>
        <w:t>Data source</w:t>
      </w:r>
      <w:r w:rsidRPr="00A67576">
        <w:rPr>
          <w:i/>
        </w:rPr>
        <w:t>:</w:t>
      </w:r>
      <w:r>
        <w:t xml:space="preserve"> ABARES Australian Commodity Statistics; DIICCRSTE Inventory data; CIE estimates</w:t>
      </w:r>
    </w:p>
    <w:p w:rsidR="000A7AE3" w:rsidRDefault="000A7AE3" w:rsidP="000A7AE3">
      <w:pPr>
        <w:pStyle w:val="Heading3"/>
      </w:pPr>
      <w:r>
        <w:t>Cotton</w:t>
      </w:r>
    </w:p>
    <w:p w:rsidR="000A7AE3" w:rsidRPr="00C67AE6" w:rsidRDefault="000A7AE3" w:rsidP="000A7AE3">
      <w:pPr>
        <w:pStyle w:val="BodyText"/>
      </w:pPr>
      <w:r>
        <w:t xml:space="preserve">As shown in chart </w:t>
      </w:r>
      <w:r>
        <w:fldChar w:fldCharType="begin"/>
      </w:r>
      <w:r>
        <w:instrText xml:space="preserve"> REF _Ref364384593 \h </w:instrText>
      </w:r>
      <w:r>
        <w:fldChar w:fldCharType="separate"/>
      </w:r>
      <w:r w:rsidR="00927DCC">
        <w:rPr>
          <w:noProof/>
        </w:rPr>
        <w:t>4</w:t>
      </w:r>
      <w:r w:rsidR="00927DCC" w:rsidRPr="00695C93">
        <w:rPr>
          <w:noProof/>
        </w:rPr>
        <w:t>.</w:t>
      </w:r>
      <w:r w:rsidR="00927DCC">
        <w:rPr>
          <w:noProof/>
        </w:rPr>
        <w:t>13</w:t>
      </w:r>
      <w:r>
        <w:fldChar w:fldCharType="end"/>
      </w:r>
      <w:r>
        <w:t xml:space="preserve">, </w:t>
      </w:r>
      <w:r w:rsidR="003B419D">
        <w:t xml:space="preserve">the area of </w:t>
      </w:r>
      <w:r>
        <w:t xml:space="preserve">cotton </w:t>
      </w:r>
      <w:r w:rsidR="003B419D">
        <w:t>cultivation</w:t>
      </w:r>
      <w:r>
        <w:t xml:space="preserve"> </w:t>
      </w:r>
      <w:r w:rsidR="003B419D">
        <w:t>d</w:t>
      </w:r>
      <w:r>
        <w:t>rop</w:t>
      </w:r>
      <w:r w:rsidR="003B419D">
        <w:t>ped sharply</w:t>
      </w:r>
      <w:r>
        <w:t xml:space="preserve"> between 2000 and 2008, </w:t>
      </w:r>
      <w:r w:rsidR="003B419D">
        <w:t>and then</w:t>
      </w:r>
      <w:r>
        <w:t xml:space="preserve"> quick</w:t>
      </w:r>
      <w:r w:rsidR="003B419D">
        <w:t>ly</w:t>
      </w:r>
      <w:r>
        <w:t xml:space="preserve"> recover</w:t>
      </w:r>
      <w:r w:rsidR="006125FD">
        <w:rPr>
          <w:rFonts w:eastAsiaTheme="minorEastAsia" w:hint="eastAsia"/>
          <w:lang w:eastAsia="zh-CN"/>
        </w:rPr>
        <w:t>ed</w:t>
      </w:r>
      <w:r>
        <w:t xml:space="preserve"> in 2010-12. We adopt the ABARES projection of falling cotton area between 2012 and </w:t>
      </w:r>
      <w:r w:rsidR="0033379F">
        <w:t xml:space="preserve">2017 and a marginal recovery in </w:t>
      </w:r>
      <w:r>
        <w:t xml:space="preserve">2018 and then assume </w:t>
      </w:r>
      <w:r w:rsidR="003B419D">
        <w:t>area</w:t>
      </w:r>
      <w:r>
        <w:t xml:space="preserve"> will grow by the average grow rate of 1.1 per cent per annum. It is assumed that the cotton area will reach 487 500 ha by 2050, about 20 per cent lower than the historical record level.</w:t>
      </w:r>
    </w:p>
    <w:p w:rsidR="000A7AE3" w:rsidRPr="00695C9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13</w:instrText>
      </w:r>
      <w:r w:rsidRPr="00695C93">
        <w:fldChar w:fldCharType="end"/>
      </w:r>
      <w:r w:rsidRPr="00695C93">
        <w:instrText xml:space="preserve">" "" </w:instrText>
      </w:r>
      <w:r w:rsidRPr="00695C93">
        <w:fldChar w:fldCharType="separate"/>
      </w:r>
      <w:bookmarkStart w:id="95" w:name="_Caption7743"/>
      <w:bookmarkStart w:id="96" w:name="_Ref364384593"/>
      <w:bookmarkStart w:id="97" w:name="_Toc364436082"/>
      <w:bookmarkStart w:id="98" w:name="_Toc366052896"/>
      <w:r w:rsidR="00927DCC">
        <w:rPr>
          <w:noProof/>
        </w:rPr>
        <w:t>4</w:t>
      </w:r>
      <w:r w:rsidR="00927DCC" w:rsidRPr="00695C93">
        <w:rPr>
          <w:noProof/>
        </w:rPr>
        <w:t>.</w:t>
      </w:r>
      <w:r w:rsidR="00927DCC">
        <w:rPr>
          <w:noProof/>
        </w:rPr>
        <w:t>13</w:t>
      </w:r>
      <w:bookmarkEnd w:id="95"/>
      <w:bookmarkEnd w:id="96"/>
      <w:r w:rsidRPr="00695C93">
        <w:fldChar w:fldCharType="end"/>
      </w:r>
      <w:r w:rsidRPr="00695C93">
        <w:tab/>
      </w:r>
      <w:r>
        <w:t>Cotton area</w:t>
      </w:r>
      <w:bookmarkEnd w:id="97"/>
      <w:bookmarkEnd w:id="9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A7AE3" w:rsidTr="00D035C2">
        <w:trPr>
          <w:cantSplit/>
        </w:trPr>
        <w:tc>
          <w:tcPr>
            <w:tcW w:w="7938" w:type="dxa"/>
            <w:shd w:val="clear" w:color="auto" w:fill="E9E8E5" w:themeFill="background2"/>
          </w:tcPr>
          <w:p w:rsidR="000A7AE3" w:rsidRDefault="000A7AE3" w:rsidP="00D035C2">
            <w:pPr>
              <w:pStyle w:val="Chart"/>
            </w:pPr>
            <w:r>
              <w:rPr>
                <w:noProof/>
                <w:lang w:eastAsia="en-AU"/>
              </w:rPr>
              <w:drawing>
                <wp:inline distT="0" distB="0" distL="0" distR="0" wp14:anchorId="6D7DCFAA" wp14:editId="0E94B102">
                  <wp:extent cx="5025390" cy="24968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5390" cy="2496820"/>
                          </a:xfrm>
                          <a:prstGeom prst="rect">
                            <a:avLst/>
                          </a:prstGeom>
                          <a:noFill/>
                          <a:ln>
                            <a:noFill/>
                          </a:ln>
                        </pic:spPr>
                      </pic:pic>
                    </a:graphicData>
                  </a:graphic>
                </wp:inline>
              </w:drawing>
            </w:r>
          </w:p>
        </w:tc>
      </w:tr>
    </w:tbl>
    <w:p w:rsidR="000A7AE3" w:rsidRDefault="000A7AE3" w:rsidP="000A7AE3">
      <w:pPr>
        <w:pStyle w:val="Source"/>
      </w:pPr>
      <w:r>
        <w:rPr>
          <w:i/>
        </w:rPr>
        <w:t>Data source</w:t>
      </w:r>
      <w:r w:rsidRPr="00A67576">
        <w:rPr>
          <w:i/>
        </w:rPr>
        <w:t>:</w:t>
      </w:r>
      <w:r>
        <w:t xml:space="preserve"> ABARES Australian Commodity Statistics; DIICCRSTE Inventory data; CIE assumptions</w:t>
      </w:r>
    </w:p>
    <w:p w:rsidR="00493FE3" w:rsidRPr="00301CA5" w:rsidRDefault="00493FE3" w:rsidP="00D367A5">
      <w:pPr>
        <w:pStyle w:val="BodyText"/>
      </w:pPr>
      <w:r>
        <w:rPr>
          <w:lang w:eastAsia="en-US"/>
        </w:rPr>
        <w:t xml:space="preserve">In the </w:t>
      </w:r>
      <w:proofErr w:type="gramStart"/>
      <w:r>
        <w:rPr>
          <w:lang w:eastAsia="en-US"/>
        </w:rPr>
        <w:t>2010</w:t>
      </w:r>
      <w:proofErr w:type="gramEnd"/>
      <w:r>
        <w:rPr>
          <w:lang w:eastAsia="en-US"/>
        </w:rPr>
        <w:t xml:space="preserve"> </w:t>
      </w:r>
      <w:r w:rsidR="00D367A5">
        <w:rPr>
          <w:lang w:eastAsia="en-US"/>
        </w:rPr>
        <w:t xml:space="preserve">projection </w:t>
      </w:r>
      <w:r>
        <w:rPr>
          <w:lang w:eastAsia="en-US"/>
        </w:rPr>
        <w:t xml:space="preserve">round we assumed that </w:t>
      </w:r>
      <w:r w:rsidR="00D367A5">
        <w:rPr>
          <w:lang w:eastAsia="en-US"/>
        </w:rPr>
        <w:t xml:space="preserve">the </w:t>
      </w:r>
      <w:r>
        <w:rPr>
          <w:lang w:eastAsia="en-US"/>
        </w:rPr>
        <w:t xml:space="preserve">cotton area would recover from the 2008 low and </w:t>
      </w:r>
      <w:r w:rsidR="003B419D">
        <w:rPr>
          <w:lang w:eastAsia="en-US"/>
        </w:rPr>
        <w:t>stabilise</w:t>
      </w:r>
      <w:r>
        <w:rPr>
          <w:lang w:eastAsia="en-US"/>
        </w:rPr>
        <w:t xml:space="preserve"> at 435 000ha in 2016. </w:t>
      </w:r>
      <w:r w:rsidR="0033379F">
        <w:rPr>
          <w:lang w:eastAsia="en-US"/>
        </w:rPr>
        <w:t xml:space="preserve">The good rainfall in 2011 and 2012 brought dramatic increase in cotton area – from 208 300ha in 2010 to 590 000ha in 2011 and </w:t>
      </w:r>
      <w:r w:rsidR="0033379F">
        <w:rPr>
          <w:lang w:eastAsia="en-US"/>
        </w:rPr>
        <w:lastRenderedPageBreak/>
        <w:t xml:space="preserve">600 000ha in 2012. This </w:t>
      </w:r>
      <w:proofErr w:type="gramStart"/>
      <w:r w:rsidR="0033379F">
        <w:rPr>
          <w:lang w:eastAsia="en-US"/>
        </w:rPr>
        <w:t>short term</w:t>
      </w:r>
      <w:proofErr w:type="gramEnd"/>
      <w:r w:rsidR="0033379F">
        <w:rPr>
          <w:lang w:eastAsia="en-US"/>
        </w:rPr>
        <w:t xml:space="preserve"> jump is not sustainable and </w:t>
      </w:r>
      <w:r w:rsidR="003B419D">
        <w:rPr>
          <w:lang w:eastAsia="en-US"/>
        </w:rPr>
        <w:t>ABARES p</w:t>
      </w:r>
      <w:r w:rsidR="0033379F">
        <w:rPr>
          <w:lang w:eastAsia="en-US"/>
        </w:rPr>
        <w:t>rojected falling area until 2017</w:t>
      </w:r>
      <w:r w:rsidR="00536B7C">
        <w:rPr>
          <w:lang w:eastAsia="en-US"/>
        </w:rPr>
        <w:t>.</w:t>
      </w:r>
      <w:r w:rsidR="0033379F">
        <w:rPr>
          <w:lang w:eastAsia="en-US"/>
        </w:rPr>
        <w:t xml:space="preserve"> </w:t>
      </w:r>
      <w:r w:rsidR="00536B7C">
        <w:rPr>
          <w:lang w:eastAsia="en-US"/>
        </w:rPr>
        <w:t>The ABARES projections of cotton harvest area in 2017 and 2018</w:t>
      </w:r>
      <w:r w:rsidR="0033379F">
        <w:rPr>
          <w:lang w:eastAsia="en-US"/>
        </w:rPr>
        <w:t xml:space="preserve"> will be 22.7 per cent </w:t>
      </w:r>
      <w:r w:rsidR="00536B7C">
        <w:rPr>
          <w:lang w:eastAsia="en-US"/>
        </w:rPr>
        <w:t xml:space="preserve">and 20 per cent, respectively, </w:t>
      </w:r>
      <w:r w:rsidR="0033379F">
        <w:rPr>
          <w:lang w:eastAsia="en-US"/>
        </w:rPr>
        <w:t xml:space="preserve">lower than </w:t>
      </w:r>
      <w:r w:rsidR="00536B7C">
        <w:rPr>
          <w:lang w:eastAsia="en-US"/>
        </w:rPr>
        <w:t>that assumed in our</w:t>
      </w:r>
      <w:r w:rsidR="0033379F">
        <w:rPr>
          <w:lang w:eastAsia="en-US"/>
        </w:rPr>
        <w:t xml:space="preserve"> </w:t>
      </w:r>
      <w:r w:rsidR="00536B7C">
        <w:rPr>
          <w:lang w:eastAsia="en-US"/>
        </w:rPr>
        <w:t xml:space="preserve">2010 round projections. With the assumption of gradual growth, the current projection of cotton area is 18.3 per cent lower than the previous round projections for 2020 and 9.2 per cent lower for 2030. </w:t>
      </w:r>
    </w:p>
    <w:p w:rsidR="000A7AE3" w:rsidRDefault="000A7AE3" w:rsidP="000A7AE3">
      <w:pPr>
        <w:pStyle w:val="Heading2"/>
      </w:pPr>
      <w:bookmarkStart w:id="99" w:name="_Toc364436053"/>
      <w:bookmarkStart w:id="100" w:name="_Toc366052863"/>
      <w:r>
        <w:t>Fertiliser use</w:t>
      </w:r>
      <w:bookmarkEnd w:id="99"/>
      <w:bookmarkEnd w:id="100"/>
    </w:p>
    <w:p w:rsidR="000A7AE3" w:rsidRDefault="000A7AE3" w:rsidP="000A7AE3">
      <w:pPr>
        <w:pStyle w:val="BodyText"/>
      </w:pPr>
      <w:r>
        <w:t xml:space="preserve">Fertiliser use in pasture </w:t>
      </w:r>
      <w:proofErr w:type="gramStart"/>
      <w:r>
        <w:t>is estimated</w:t>
      </w:r>
      <w:proofErr w:type="gramEnd"/>
      <w:r>
        <w:t xml:space="preserve"> using the simulation results from the GMI model. Total fertiliser use is determined by meat production, grazing animal numbers and fertiliser use efficiency in </w:t>
      </w:r>
      <w:proofErr w:type="gramStart"/>
      <w:r>
        <w:t>pasture land</w:t>
      </w:r>
      <w:proofErr w:type="gramEnd"/>
      <w:r>
        <w:t>.</w:t>
      </w:r>
    </w:p>
    <w:p w:rsidR="000A7AE3" w:rsidRDefault="000A7AE3" w:rsidP="000A7AE3">
      <w:pPr>
        <w:pStyle w:val="BodyText"/>
      </w:pPr>
      <w:r>
        <w:t xml:space="preserve">In the CIE Grains model, fertiliser use is associated with all cropping activities. Fertiliser </w:t>
      </w:r>
      <w:proofErr w:type="gramStart"/>
      <w:r>
        <w:t>is combined</w:t>
      </w:r>
      <w:proofErr w:type="gramEnd"/>
      <w:r>
        <w:t xml:space="preserve"> with other inputs to determine the total productive capacity of a farm. Fertiliser use will depend on both the total output of grains, total area used for grain production as well as ongoing productivity improvement in the use of fertilisers.</w:t>
      </w:r>
    </w:p>
    <w:p w:rsidR="000A7AE3" w:rsidRDefault="000A7AE3" w:rsidP="000A7AE3">
      <w:pPr>
        <w:pStyle w:val="BodyText"/>
      </w:pPr>
      <w:r>
        <w:t xml:space="preserve">Fertiliser uses for other crops </w:t>
      </w:r>
      <w:proofErr w:type="gramStart"/>
      <w:r>
        <w:t>are estimated</w:t>
      </w:r>
      <w:proofErr w:type="gramEnd"/>
      <w:r>
        <w:t xml:space="preserve"> in a way similar to the projection of grain fertiliser use. They </w:t>
      </w:r>
      <w:proofErr w:type="gramStart"/>
      <w:r>
        <w:t>are determined</w:t>
      </w:r>
      <w:proofErr w:type="gramEnd"/>
      <w:r>
        <w:t xml:space="preserve"> by the total output of the crops, total areas used for the production and the productivity improvement in the use of fertilisers.</w:t>
      </w:r>
    </w:p>
    <w:p w:rsidR="000A7AE3" w:rsidRDefault="000A7AE3" w:rsidP="000A7AE3">
      <w:pPr>
        <w:pStyle w:val="BodyText"/>
      </w:pPr>
      <w:r>
        <w:t xml:space="preserve">Table </w:t>
      </w:r>
      <w:r>
        <w:fldChar w:fldCharType="begin"/>
      </w:r>
      <w:r>
        <w:instrText xml:space="preserve"> REF _Ref364386600 \h </w:instrText>
      </w:r>
      <w:r>
        <w:fldChar w:fldCharType="separate"/>
      </w:r>
      <w:r w:rsidR="00927DCC">
        <w:rPr>
          <w:noProof/>
        </w:rPr>
        <w:t>4</w:t>
      </w:r>
      <w:r w:rsidR="00927DCC" w:rsidRPr="00695C93">
        <w:rPr>
          <w:noProof/>
        </w:rPr>
        <w:t>.</w:t>
      </w:r>
      <w:r w:rsidR="00927DCC">
        <w:rPr>
          <w:noProof/>
        </w:rPr>
        <w:t>14</w:t>
      </w:r>
      <w:r>
        <w:fldChar w:fldCharType="end"/>
      </w:r>
      <w:r>
        <w:t xml:space="preserve"> reports the projected fertiliser use in selected years. Total fertiliser use </w:t>
      </w:r>
      <w:proofErr w:type="gramStart"/>
      <w:r>
        <w:t>is estimated</w:t>
      </w:r>
      <w:proofErr w:type="gramEnd"/>
      <w:r>
        <w:t xml:space="preserve"> to reach 1420 </w:t>
      </w:r>
      <w:proofErr w:type="spellStart"/>
      <w:r>
        <w:t>Kt</w:t>
      </w:r>
      <w:proofErr w:type="spellEnd"/>
      <w:r>
        <w:t xml:space="preserve"> by 2030 and 1797 </w:t>
      </w:r>
      <w:proofErr w:type="spellStart"/>
      <w:r>
        <w:t>Kt</w:t>
      </w:r>
      <w:proofErr w:type="spellEnd"/>
      <w:r>
        <w:t xml:space="preserve"> by 2050. It represents an average growth rate of 1.3 per cent per annum.</w:t>
      </w:r>
    </w:p>
    <w:p w:rsidR="006125FD" w:rsidRPr="006125FD" w:rsidRDefault="00834006" w:rsidP="006125FD">
      <w:pPr>
        <w:pStyle w:val="BodyText"/>
      </w:pPr>
      <w:r>
        <w:t>Compared</w:t>
      </w:r>
      <w:r w:rsidR="007B3317">
        <w:t xml:space="preserve"> with the 2010 </w:t>
      </w:r>
      <w:r>
        <w:t xml:space="preserve">projections </w:t>
      </w:r>
      <w:r w:rsidR="007B3317">
        <w:t>round, the current projection is 14.1 per cent higher for 2020 and 23.8 per cent higher for 2030. This is due to higher base level – 22.6 per cent higher in 2011 – and relatively slower growth rate between 2011 and 2020.</w:t>
      </w:r>
    </w:p>
    <w:p w:rsidR="000A7AE3" w:rsidRDefault="000A7AE3" w:rsidP="000A7AE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w:instrText>
      </w:r>
      <w:fldSimple w:instr=" STYLEREF &quot;Heading 1&quot; \l \n ">
        <w:r w:rsidR="00927DCC">
          <w:rPr>
            <w:noProof/>
          </w:rPr>
          <w:instrText>4</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4</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4</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14</w:instrText>
      </w:r>
      <w:r w:rsidRPr="00695C93">
        <w:fldChar w:fldCharType="end"/>
      </w:r>
      <w:r w:rsidRPr="00695C93">
        <w:instrText xml:space="preserve">" "" </w:instrText>
      </w:r>
      <w:r w:rsidRPr="00695C93">
        <w:fldChar w:fldCharType="separate"/>
      </w:r>
      <w:bookmarkStart w:id="101" w:name="_Caption2217"/>
      <w:bookmarkStart w:id="102" w:name="_Ref364386600"/>
      <w:bookmarkStart w:id="103" w:name="_Toc364436083"/>
      <w:bookmarkStart w:id="104" w:name="_Toc366052897"/>
      <w:r w:rsidR="00927DCC">
        <w:rPr>
          <w:noProof/>
        </w:rPr>
        <w:t>4</w:t>
      </w:r>
      <w:r w:rsidR="00927DCC" w:rsidRPr="00695C93">
        <w:rPr>
          <w:noProof/>
        </w:rPr>
        <w:t>.</w:t>
      </w:r>
      <w:r w:rsidR="00927DCC">
        <w:rPr>
          <w:noProof/>
        </w:rPr>
        <w:t>14</w:t>
      </w:r>
      <w:bookmarkEnd w:id="101"/>
      <w:bookmarkEnd w:id="102"/>
      <w:r w:rsidRPr="00695C93">
        <w:fldChar w:fldCharType="end"/>
      </w:r>
      <w:r w:rsidRPr="00695C93">
        <w:tab/>
      </w:r>
      <w:r>
        <w:t>Projected fertiliser use – the central reference case</w:t>
      </w:r>
      <w:bookmarkEnd w:id="103"/>
      <w:bookmarkEnd w:id="104"/>
    </w:p>
    <w:tbl>
      <w:tblPr>
        <w:tblW w:w="7939" w:type="dxa"/>
        <w:tblInd w:w="57" w:type="dxa"/>
        <w:tblLook w:val="04A0" w:firstRow="1" w:lastRow="0" w:firstColumn="1" w:lastColumn="0" w:noHBand="0" w:noVBand="1"/>
      </w:tblPr>
      <w:tblGrid>
        <w:gridCol w:w="1395"/>
        <w:gridCol w:w="818"/>
        <w:gridCol w:w="818"/>
        <w:gridCol w:w="818"/>
        <w:gridCol w:w="818"/>
        <w:gridCol w:w="818"/>
        <w:gridCol w:w="818"/>
        <w:gridCol w:w="818"/>
        <w:gridCol w:w="818"/>
      </w:tblGrid>
      <w:tr w:rsidR="000A7AE3" w:rsidRPr="004C6EDF" w:rsidTr="00D035C2">
        <w:trPr>
          <w:trHeight w:val="255"/>
        </w:trPr>
        <w:tc>
          <w:tcPr>
            <w:tcW w:w="1395" w:type="dxa"/>
            <w:shd w:val="clear" w:color="auto" w:fill="6F6652"/>
            <w:noWrap/>
            <w:tcMar>
              <w:left w:w="57" w:type="dxa"/>
              <w:right w:w="57" w:type="dxa"/>
            </w:tcMar>
            <w:hideMark/>
          </w:tcPr>
          <w:p w:rsidR="000A7AE3" w:rsidRPr="004C6EDF" w:rsidRDefault="000A7AE3" w:rsidP="00D035C2">
            <w:pPr>
              <w:pStyle w:val="TableDataColumnHeading"/>
              <w:jc w:val="left"/>
            </w:pP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2012</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2013</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2014</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2015</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2020</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2030</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2050</w:t>
            </w:r>
          </w:p>
        </w:tc>
        <w:tc>
          <w:tcPr>
            <w:tcW w:w="818" w:type="dxa"/>
            <w:shd w:val="clear" w:color="auto" w:fill="6F6652"/>
            <w:noWrap/>
            <w:tcMar>
              <w:left w:w="57" w:type="dxa"/>
              <w:right w:w="57" w:type="dxa"/>
            </w:tcMar>
            <w:hideMark/>
          </w:tcPr>
          <w:p w:rsidR="000A7AE3" w:rsidRPr="004C6EDF" w:rsidRDefault="000A7AE3" w:rsidP="00D035C2">
            <w:pPr>
              <w:pStyle w:val="TableDataColumnHeading"/>
            </w:pPr>
            <w:r w:rsidRPr="004C6EDF">
              <w:t>CAGR</w:t>
            </w:r>
          </w:p>
        </w:tc>
      </w:tr>
      <w:tr w:rsidR="000A7AE3" w:rsidRPr="004C6EDF" w:rsidTr="00270D74">
        <w:trPr>
          <w:trHeight w:val="255"/>
        </w:trPr>
        <w:tc>
          <w:tcPr>
            <w:tcW w:w="1395"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jc w:val="left"/>
            </w:pPr>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proofErr w:type="spellStart"/>
            <w:r w:rsidRPr="004C6EDF">
              <w:t>Kt</w:t>
            </w:r>
            <w:proofErr w:type="spellEnd"/>
          </w:p>
        </w:tc>
        <w:tc>
          <w:tcPr>
            <w:tcW w:w="818" w:type="dxa"/>
            <w:tcBorders>
              <w:bottom w:val="single" w:sz="8" w:space="0" w:color="FFFFFF" w:themeColor="background1"/>
            </w:tcBorders>
            <w:shd w:val="clear" w:color="auto" w:fill="auto"/>
            <w:noWrap/>
            <w:tcMar>
              <w:left w:w="57" w:type="dxa"/>
              <w:right w:w="57" w:type="dxa"/>
            </w:tcMar>
            <w:hideMark/>
          </w:tcPr>
          <w:p w:rsidR="000A7AE3" w:rsidRPr="004C6EDF" w:rsidRDefault="000A7AE3" w:rsidP="00D035C2">
            <w:pPr>
              <w:pStyle w:val="TableUnit"/>
            </w:pPr>
            <w:r w:rsidRPr="004C6EDF">
              <w:t>%</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Irrigated pasture</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25.9</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27.4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27.4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27.6</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29.8</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36.8</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43.9</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1.4</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Irrigated crops</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25.2</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25.3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25.4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25.6</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26.7</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32.1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48.6</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1.7</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Non-irrigated pasture</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518.1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547.5</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547.0</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550.2</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594.0</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734.5</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876.1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1.4</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Non-irrigated crops</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280.9</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282.0</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283.2</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284.8</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297.3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357.9</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541.3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1.7</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Sugar</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64.4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70.1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73.5</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66.8</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69.1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71.3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72.4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0.3</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Cotton</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121.3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90.0</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90.1</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83.7</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72.4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86.3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106.5</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-0.3</w:t>
            </w:r>
          </w:p>
        </w:tc>
      </w:tr>
      <w:tr w:rsidR="00270D74" w:rsidRPr="004C6EDF" w:rsidTr="00270D74">
        <w:trPr>
          <w:trHeight w:val="255"/>
        </w:trPr>
        <w:tc>
          <w:tcPr>
            <w:tcW w:w="13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jc w:val="left"/>
            </w:pPr>
            <w:r w:rsidRPr="004C6EDF">
              <w:t>Vegetable crops</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67.3</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70.4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73.4</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76.2</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87.8</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100.9</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108.0</w:t>
            </w:r>
          </w:p>
        </w:tc>
        <w:tc>
          <w:tcPr>
            <w:tcW w:w="8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0A7AE3" w:rsidRPr="004C6EDF" w:rsidRDefault="000A7AE3" w:rsidP="00D035C2">
            <w:pPr>
              <w:pStyle w:val="TableDataEntries"/>
            </w:pPr>
            <w:r w:rsidRPr="004C6EDF">
              <w:t>1.3</w:t>
            </w:r>
          </w:p>
        </w:tc>
      </w:tr>
      <w:tr w:rsidR="00270D74" w:rsidRPr="006125FD" w:rsidTr="00270D74">
        <w:trPr>
          <w:trHeight w:val="255"/>
        </w:trPr>
        <w:tc>
          <w:tcPr>
            <w:tcW w:w="1395"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jc w:val="left"/>
              <w:rPr>
                <w:b/>
              </w:rPr>
            </w:pPr>
            <w:r w:rsidRPr="006125FD">
              <w:rPr>
                <w:b/>
              </w:rPr>
              <w:t>Total</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1103.1</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1112.7</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1120.0</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1114.8</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1177.0</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1419.8</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1796.8</w:t>
            </w:r>
          </w:p>
        </w:tc>
        <w:tc>
          <w:tcPr>
            <w:tcW w:w="81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0A7AE3" w:rsidRPr="006125FD" w:rsidRDefault="000A7AE3" w:rsidP="00D035C2">
            <w:pPr>
              <w:pStyle w:val="TableDataEntries"/>
              <w:rPr>
                <w:b/>
              </w:rPr>
            </w:pPr>
            <w:r w:rsidRPr="006125FD">
              <w:rPr>
                <w:b/>
              </w:rPr>
              <w:t>1.3</w:t>
            </w:r>
          </w:p>
        </w:tc>
      </w:tr>
    </w:tbl>
    <w:p w:rsidR="000A7AE3" w:rsidRDefault="000A7AE3" w:rsidP="000A7AE3">
      <w:pPr>
        <w:pStyle w:val="Source"/>
      </w:pPr>
      <w:r>
        <w:rPr>
          <w:i/>
        </w:rPr>
        <w:t>Source</w:t>
      </w:r>
      <w:r w:rsidRPr="00E4232C">
        <w:rPr>
          <w:i/>
        </w:rPr>
        <w:t>:</w:t>
      </w:r>
      <w:r>
        <w:t xml:space="preserve"> CIE estimates</w:t>
      </w:r>
    </w:p>
    <w:p w:rsidR="000A7AE3" w:rsidRPr="005F034A" w:rsidRDefault="000A7AE3" w:rsidP="000A7AE3">
      <w:pPr>
        <w:pStyle w:val="BodyText"/>
      </w:pPr>
    </w:p>
    <w:p w:rsidR="000A5A91" w:rsidRDefault="000A5A91" w:rsidP="000A5A91">
      <w:pPr>
        <w:pStyle w:val="BodyText"/>
      </w:pPr>
    </w:p>
    <w:p w:rsidR="000A5A91" w:rsidRDefault="000A5A91" w:rsidP="000A5A91">
      <w:pPr>
        <w:pStyle w:val="Heading1"/>
      </w:pPr>
      <w:bookmarkStart w:id="105" w:name="_Toc366052864"/>
      <w:r>
        <w:lastRenderedPageBreak/>
        <w:t>Sensitivity analysis</w:t>
      </w:r>
      <w:bookmarkEnd w:id="105"/>
    </w:p>
    <w:p w:rsidR="002D62C8" w:rsidRPr="002D62C8" w:rsidRDefault="002D62C8" w:rsidP="002D62C8">
      <w:pPr>
        <w:pStyle w:val="ChapterIntroduction"/>
      </w:pPr>
      <w:r>
        <w:t xml:space="preserve">The simulated outcomes from the economic models used as the basis for the emissions projections depend on a variety of ‘exogenous’ (or ‘outside’) input </w:t>
      </w:r>
      <w:r w:rsidR="00F067AA">
        <w:t>assumptions. T</w:t>
      </w:r>
      <w:r>
        <w:t xml:space="preserve">he appropriate values for these assumptions </w:t>
      </w:r>
      <w:proofErr w:type="gramStart"/>
      <w:r>
        <w:t>are not known</w:t>
      </w:r>
      <w:proofErr w:type="gramEnd"/>
      <w:r>
        <w:t xml:space="preserve"> with certainty. This chapter reports results from sensitivity analysis </w:t>
      </w:r>
      <w:r w:rsidR="00F067AA">
        <w:t xml:space="preserve">around a </w:t>
      </w:r>
      <w:r>
        <w:t>number of the key input assumptions.</w:t>
      </w:r>
    </w:p>
    <w:p w:rsidR="002D62C8" w:rsidRDefault="002D62C8" w:rsidP="002D62C8">
      <w:pPr>
        <w:pStyle w:val="Heading2"/>
      </w:pPr>
      <w:bookmarkStart w:id="106" w:name="_Toc366052865"/>
      <w:r>
        <w:t>Variables for sensitivity analysis</w:t>
      </w:r>
      <w:bookmarkEnd w:id="106"/>
    </w:p>
    <w:p w:rsidR="00DA7DAD" w:rsidRDefault="00DA7DAD" w:rsidP="00DA7DAD">
      <w:pPr>
        <w:pStyle w:val="BodyText"/>
      </w:pPr>
      <w:r>
        <w:t xml:space="preserve">Sensitivity analyses </w:t>
      </w:r>
      <w:proofErr w:type="gramStart"/>
      <w:r>
        <w:t>are conducted</w:t>
      </w:r>
      <w:proofErr w:type="gramEnd"/>
      <w:r>
        <w:t xml:space="preserve"> </w:t>
      </w:r>
      <w:r w:rsidR="00F067AA">
        <w:t>for</w:t>
      </w:r>
      <w:r>
        <w:t xml:space="preserve"> several key variables affecting agricul</w:t>
      </w:r>
      <w:r w:rsidR="00F067AA">
        <w:t xml:space="preserve">tural production and emissions as </w:t>
      </w:r>
      <w:r w:rsidR="002D62C8">
        <w:t>summarised in table 5.1.</w:t>
      </w:r>
      <w:r w:rsidR="004933C1">
        <w:t xml:space="preserve"> </w:t>
      </w:r>
      <w:r w:rsidR="002D62C8">
        <w:t>Each of these</w:t>
      </w:r>
      <w:r>
        <w:t xml:space="preserve"> </w:t>
      </w:r>
      <w:proofErr w:type="gramStart"/>
      <w:r>
        <w:t>are</w:t>
      </w:r>
      <w:proofErr w:type="gramEnd"/>
      <w:r>
        <w:t xml:space="preserve"> investigated separately </w:t>
      </w:r>
      <w:r w:rsidR="002D62C8">
        <w:t xml:space="preserve">as well as being </w:t>
      </w:r>
      <w:r>
        <w:t>combined to establish upper and lower bound</w:t>
      </w:r>
      <w:r w:rsidR="002D62C8">
        <w:t>s</w:t>
      </w:r>
      <w:r>
        <w:t xml:space="preserve"> </w:t>
      </w:r>
      <w:r w:rsidR="002D62C8">
        <w:t>for emissions</w:t>
      </w:r>
      <w:r>
        <w:t xml:space="preserve"> projections.</w:t>
      </w:r>
    </w:p>
    <w:p w:rsidR="00DA7DAD" w:rsidRDefault="00DA7DAD" w:rsidP="00DA7DA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w:instrText>
      </w:r>
      <w:fldSimple w:instr=" STYLEREF &quot;Heading 1&quot; \l \n ">
        <w:r w:rsidR="00927DCC">
          <w:rPr>
            <w:noProof/>
          </w:rPr>
          <w:instrText>5</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107" w:name="_Caption8573"/>
      <w:bookmarkStart w:id="108" w:name="_Ref364329278"/>
      <w:bookmarkStart w:id="109" w:name="_Toc364436084"/>
      <w:bookmarkStart w:id="110" w:name="_Toc366052898"/>
      <w:r w:rsidR="00927DCC">
        <w:rPr>
          <w:noProof/>
        </w:rPr>
        <w:t>5</w:t>
      </w:r>
      <w:r w:rsidR="00927DCC" w:rsidRPr="00695C93">
        <w:rPr>
          <w:noProof/>
        </w:rPr>
        <w:t>.</w:t>
      </w:r>
      <w:r w:rsidR="00927DCC">
        <w:rPr>
          <w:noProof/>
        </w:rPr>
        <w:t>1</w:t>
      </w:r>
      <w:bookmarkEnd w:id="107"/>
      <w:bookmarkEnd w:id="108"/>
      <w:r w:rsidRPr="00695C93">
        <w:fldChar w:fldCharType="end"/>
      </w:r>
      <w:r w:rsidRPr="00695C93">
        <w:tab/>
      </w:r>
      <w:r>
        <w:t>Individual sensitivity analyses</w:t>
      </w:r>
      <w:bookmarkEnd w:id="109"/>
      <w:bookmarkEnd w:id="110"/>
    </w:p>
    <w:tbl>
      <w:tblPr>
        <w:tblW w:w="0" w:type="auto"/>
        <w:tblInd w:w="57" w:type="dxa"/>
        <w:tblLayout w:type="fixed"/>
        <w:tblLook w:val="0000" w:firstRow="0" w:lastRow="0" w:firstColumn="0" w:lastColumn="0" w:noHBand="0" w:noVBand="0"/>
      </w:tblPr>
      <w:tblGrid>
        <w:gridCol w:w="2645"/>
        <w:gridCol w:w="2646"/>
        <w:gridCol w:w="2646"/>
      </w:tblGrid>
      <w:tr w:rsidR="00DA7DAD" w:rsidTr="00DA7DAD">
        <w:tc>
          <w:tcPr>
            <w:tcW w:w="2645" w:type="dxa"/>
            <w:tcBorders>
              <w:bottom w:val="single" w:sz="8" w:space="0" w:color="FFFFFF" w:themeColor="background1"/>
            </w:tcBorders>
            <w:shd w:val="clear" w:color="auto" w:fill="6F6652"/>
            <w:tcMar>
              <w:left w:w="57" w:type="dxa"/>
              <w:right w:w="57" w:type="dxa"/>
            </w:tcMar>
          </w:tcPr>
          <w:p w:rsidR="00DA7DAD" w:rsidRDefault="00DA7DAD" w:rsidP="00D035C2">
            <w:pPr>
              <w:pStyle w:val="TableTextColumnHeading"/>
            </w:pPr>
            <w:r>
              <w:t>Sensitivity</w:t>
            </w:r>
            <w:r w:rsidR="002D62C8">
              <w:t xml:space="preserve"> </w:t>
            </w:r>
          </w:p>
        </w:tc>
        <w:tc>
          <w:tcPr>
            <w:tcW w:w="2646" w:type="dxa"/>
            <w:tcBorders>
              <w:bottom w:val="single" w:sz="8" w:space="0" w:color="FFFFFF" w:themeColor="background1"/>
            </w:tcBorders>
            <w:shd w:val="clear" w:color="auto" w:fill="6F6652"/>
          </w:tcPr>
          <w:p w:rsidR="00DA7DAD" w:rsidRDefault="00DA7DAD" w:rsidP="00D035C2">
            <w:pPr>
              <w:pStyle w:val="TableTextColumnHeading"/>
            </w:pPr>
            <w:r>
              <w:t>Shock variable</w:t>
            </w:r>
          </w:p>
        </w:tc>
        <w:tc>
          <w:tcPr>
            <w:tcW w:w="2646" w:type="dxa"/>
            <w:tcBorders>
              <w:bottom w:val="single" w:sz="8" w:space="0" w:color="FFFFFF" w:themeColor="background1"/>
            </w:tcBorders>
            <w:shd w:val="clear" w:color="auto" w:fill="6F6652"/>
            <w:tcMar>
              <w:left w:w="57" w:type="dxa"/>
              <w:right w:w="57" w:type="dxa"/>
            </w:tcMar>
          </w:tcPr>
          <w:p w:rsidR="00DA7DAD" w:rsidRDefault="00DA7DAD" w:rsidP="00D035C2">
            <w:pPr>
              <w:pStyle w:val="TableTextColumnHeading"/>
            </w:pPr>
            <w:r>
              <w:t>Magnitude</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Demand for Australian exports</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Annual growth rate in foreign income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20 per cent deviation from the central reference case assumption</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Permanent reduction in live exports and no new live exports market to emerge</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Live cattle and live sheep exports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 xml:space="preserve">50 per cent below current live export volume </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Exchange rate</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Australian exchange rate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proofErr w:type="gramStart"/>
            <w:r>
              <w:t>20 per cent deviation from the central reference case assumption as provided by DIICCSRTE</w:t>
            </w:r>
            <w:r w:rsidR="00F067AA">
              <w:t>.</w:t>
            </w:r>
            <w:proofErr w:type="gramEnd"/>
            <w:r w:rsidR="00F067AA">
              <w:t xml:space="preserve"> Note that this 20 per cent variation is defined in terms of USD/AUD.</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Productivity</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Annual growth rate in Australian agricultural productivity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50 per cent deviation from the central reference case assumption</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Slaughtering weight/yield</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Annual growth rate in slaughtering weight</w:t>
            </w:r>
            <w:r w:rsidR="00A13197">
              <w:t xml:space="preserve"> for beef, </w:t>
            </w:r>
            <w:r>
              <w:t>milk yield</w:t>
            </w:r>
            <w:r w:rsidR="00A13197">
              <w:t xml:space="preserve"> for dairy cattle and yield for crops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4933C1">
            <w:pPr>
              <w:pStyle w:val="TableTextEntries"/>
            </w:pPr>
            <w:r>
              <w:t xml:space="preserve">50 per cent deviation </w:t>
            </w:r>
            <w:r w:rsidR="004933C1">
              <w:t xml:space="preserve">from </w:t>
            </w:r>
            <w:r>
              <w:t>the central reference case assumption</w:t>
            </w:r>
          </w:p>
        </w:tc>
      </w:tr>
      <w:tr w:rsidR="00DA7DAD" w:rsidTr="00DA7DA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Input cost</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 xml:space="preserve">Agricultural input prices </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20 per cent deviation from the central reference case assumption</w:t>
            </w:r>
          </w:p>
        </w:tc>
      </w:tr>
      <w:tr w:rsidR="00DA7DAD" w:rsidTr="002D62C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Extended drought</w:t>
            </w:r>
          </w:p>
        </w:tc>
        <w:tc>
          <w:tcPr>
            <w:tcW w:w="2646" w:type="dxa"/>
            <w:tcBorders>
              <w:top w:val="single" w:sz="8" w:space="0" w:color="FFFFFF" w:themeColor="background1"/>
              <w:bottom w:val="single" w:sz="8" w:space="0" w:color="FFFFFF" w:themeColor="background1"/>
            </w:tcBorders>
            <w:shd w:val="clear" w:color="auto" w:fill="E9E8E5" w:themeFill="background2"/>
          </w:tcPr>
          <w:p w:rsidR="00DA7DAD" w:rsidRDefault="00DA7DAD" w:rsidP="00D035C2">
            <w:pPr>
              <w:pStyle w:val="TableTextEntries"/>
            </w:pPr>
            <w:r>
              <w:t xml:space="preserve">Supply </w:t>
            </w:r>
            <w:proofErr w:type="spellStart"/>
            <w:r>
              <w:t>elasticities</w:t>
            </w:r>
            <w:proofErr w:type="spellEnd"/>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A7DAD" w:rsidRDefault="00DA7DAD" w:rsidP="00D035C2">
            <w:pPr>
              <w:pStyle w:val="TableTextEntries"/>
            </w:pPr>
            <w:r>
              <w:t xml:space="preserve">Halve the relevant supply </w:t>
            </w:r>
            <w:proofErr w:type="spellStart"/>
            <w:r>
              <w:t>elasticities</w:t>
            </w:r>
            <w:proofErr w:type="spellEnd"/>
          </w:p>
        </w:tc>
      </w:tr>
      <w:tr w:rsidR="002D62C8" w:rsidTr="00DA7DAD">
        <w:tc>
          <w:tcPr>
            <w:tcW w:w="2645" w:type="dxa"/>
            <w:tcBorders>
              <w:top w:val="single" w:sz="8" w:space="0" w:color="FFFFFF" w:themeColor="background1"/>
              <w:bottom w:val="single" w:sz="4" w:space="0" w:color="6F6652"/>
            </w:tcBorders>
            <w:shd w:val="clear" w:color="auto" w:fill="E9E8E5" w:themeFill="background2"/>
            <w:tcMar>
              <w:left w:w="57" w:type="dxa"/>
              <w:right w:w="57" w:type="dxa"/>
            </w:tcMar>
          </w:tcPr>
          <w:p w:rsidR="002D62C8" w:rsidRDefault="002D62C8" w:rsidP="00D035C2">
            <w:pPr>
              <w:pStyle w:val="TableTextEntries"/>
            </w:pPr>
            <w:r>
              <w:t>Combined sensitivities</w:t>
            </w:r>
          </w:p>
        </w:tc>
        <w:tc>
          <w:tcPr>
            <w:tcW w:w="2646" w:type="dxa"/>
            <w:tcBorders>
              <w:top w:val="single" w:sz="8" w:space="0" w:color="FFFFFF" w:themeColor="background1"/>
              <w:bottom w:val="single" w:sz="4" w:space="0" w:color="6F6652"/>
            </w:tcBorders>
            <w:shd w:val="clear" w:color="auto" w:fill="E9E8E5" w:themeFill="background2"/>
          </w:tcPr>
          <w:p w:rsidR="002D62C8" w:rsidRDefault="002D62C8" w:rsidP="00D035C2">
            <w:pPr>
              <w:pStyle w:val="TableTextEntries"/>
            </w:pPr>
            <w:r>
              <w:t xml:space="preserve">Combination of export demand, productivity, slaughter weight/yield and input prices. </w:t>
            </w:r>
          </w:p>
        </w:tc>
        <w:tc>
          <w:tcPr>
            <w:tcW w:w="2646" w:type="dxa"/>
            <w:tcBorders>
              <w:top w:val="single" w:sz="8" w:space="0" w:color="FFFFFF" w:themeColor="background1"/>
              <w:bottom w:val="single" w:sz="4" w:space="0" w:color="6F6652"/>
            </w:tcBorders>
            <w:shd w:val="clear" w:color="auto" w:fill="E9E8E5" w:themeFill="background2"/>
            <w:tcMar>
              <w:left w:w="57" w:type="dxa"/>
              <w:right w:w="57" w:type="dxa"/>
            </w:tcMar>
          </w:tcPr>
          <w:p w:rsidR="002D62C8" w:rsidRDefault="002D62C8" w:rsidP="00D035C2">
            <w:pPr>
              <w:pStyle w:val="TableTextEntries"/>
            </w:pPr>
            <w:r>
              <w:t xml:space="preserve">Individual factors arranged to lead to the same directional impact on emissions, that is, high (low) export demand and productivity </w:t>
            </w:r>
            <w:proofErr w:type="gramStart"/>
            <w:r>
              <w:t>being joined</w:t>
            </w:r>
            <w:proofErr w:type="gramEnd"/>
            <w:r>
              <w:t xml:space="preserve"> by low (high) slaughtering weight/yield and input prices.</w:t>
            </w:r>
          </w:p>
        </w:tc>
      </w:tr>
    </w:tbl>
    <w:p w:rsidR="00DA7DAD" w:rsidRDefault="00DA7DAD" w:rsidP="00DA7DAD">
      <w:pPr>
        <w:pStyle w:val="Source"/>
      </w:pPr>
      <w:r>
        <w:rPr>
          <w:i/>
        </w:rPr>
        <w:t>Source</w:t>
      </w:r>
      <w:r w:rsidRPr="00E4232C">
        <w:rPr>
          <w:i/>
        </w:rPr>
        <w:t>:</w:t>
      </w:r>
      <w:r>
        <w:t xml:space="preserve"> CIE construction in consultation with DIICCSRTE</w:t>
      </w:r>
    </w:p>
    <w:p w:rsidR="00E03511" w:rsidRDefault="008318BA" w:rsidP="00E03511">
      <w:pPr>
        <w:pStyle w:val="BodyText"/>
        <w:rPr>
          <w:lang w:eastAsia="en-US"/>
        </w:rPr>
      </w:pPr>
      <w:bookmarkStart w:id="111" w:name="_Toc364436055"/>
      <w:r>
        <w:rPr>
          <w:lang w:eastAsia="en-US"/>
        </w:rPr>
        <w:lastRenderedPageBreak/>
        <w:t xml:space="preserve">Each of these variables was chosen for the sensitivity </w:t>
      </w:r>
      <w:proofErr w:type="gramStart"/>
      <w:r>
        <w:rPr>
          <w:lang w:eastAsia="en-US"/>
        </w:rPr>
        <w:t>analysis</w:t>
      </w:r>
      <w:proofErr w:type="gramEnd"/>
      <w:r>
        <w:rPr>
          <w:lang w:eastAsia="en-US"/>
        </w:rPr>
        <w:t xml:space="preserve"> as they are all important drivers of agricultural output and therefore emissions.</w:t>
      </w:r>
    </w:p>
    <w:p w:rsidR="008318BA" w:rsidRDefault="008318BA" w:rsidP="008318BA">
      <w:pPr>
        <w:pStyle w:val="ListBullet"/>
        <w:rPr>
          <w:lang w:eastAsia="en-US"/>
        </w:rPr>
      </w:pPr>
      <w:r>
        <w:rPr>
          <w:lang w:eastAsia="en-US"/>
        </w:rPr>
        <w:t xml:space="preserve">Export demand is a key driver of </w:t>
      </w:r>
      <w:proofErr w:type="gramStart"/>
      <w:r>
        <w:rPr>
          <w:lang w:eastAsia="en-US"/>
        </w:rPr>
        <w:t>much Australian</w:t>
      </w:r>
      <w:proofErr w:type="gramEnd"/>
      <w:r>
        <w:rPr>
          <w:lang w:eastAsia="en-US"/>
        </w:rPr>
        <w:t xml:space="preserve"> agricultural activity and for a number </w:t>
      </w:r>
      <w:r w:rsidR="004933C1">
        <w:rPr>
          <w:lang w:eastAsia="en-US"/>
        </w:rPr>
        <w:t xml:space="preserve">of </w:t>
      </w:r>
      <w:r>
        <w:rPr>
          <w:lang w:eastAsia="en-US"/>
        </w:rPr>
        <w:t xml:space="preserve">products (particularly meat and dairy) growth in foreign income is a key determinant of export demand. Projections of income growth in trading partner countries </w:t>
      </w:r>
      <w:r w:rsidR="00E63FDE">
        <w:rPr>
          <w:lang w:eastAsia="en-US"/>
        </w:rPr>
        <w:t>reasonably vary over time and between different forecasting methodologies. They are also inherently uncertain due to uncertainties in the international environment. This sensitivity tests the impact of a 20 per cent variation in income growth rates.</w:t>
      </w:r>
    </w:p>
    <w:p w:rsidR="00E63FDE" w:rsidRDefault="00E63FDE" w:rsidP="008318BA">
      <w:pPr>
        <w:pStyle w:val="ListBullet"/>
        <w:rPr>
          <w:lang w:eastAsia="en-US"/>
        </w:rPr>
      </w:pPr>
      <w:r>
        <w:rPr>
          <w:lang w:eastAsia="en-US"/>
        </w:rPr>
        <w:t xml:space="preserve">Live exports are currently, and are likely to remain a contentious issue within Australia. It is possible — but by no means </w:t>
      </w:r>
      <w:proofErr w:type="gramStart"/>
      <w:r>
        <w:rPr>
          <w:lang w:eastAsia="en-US"/>
        </w:rPr>
        <w:t>certain — that live exports will</w:t>
      </w:r>
      <w:proofErr w:type="gramEnd"/>
      <w:r>
        <w:rPr>
          <w:lang w:eastAsia="en-US"/>
        </w:rPr>
        <w:t xml:space="preserve"> be constrained in the future. This sensitivity tests the implications of live exports constrained at 50 per cent of their current levels.</w:t>
      </w:r>
    </w:p>
    <w:p w:rsidR="00E63FDE" w:rsidRDefault="00E63FDE" w:rsidP="008318BA">
      <w:pPr>
        <w:pStyle w:val="ListBullet"/>
        <w:rPr>
          <w:lang w:eastAsia="en-US"/>
        </w:rPr>
      </w:pPr>
      <w:r>
        <w:rPr>
          <w:lang w:eastAsia="en-US"/>
        </w:rPr>
        <w:t>Like income, exchange rates are inherently difficult to forecast but they have major implications for export industries — both in terms of their competitiveness and in terms of how foreign income translates into Australian dollars. This sensitivity tests the implications of a 20 per cent variation in the baseline exchange rate values.</w:t>
      </w:r>
      <w:r w:rsidR="00F067AA">
        <w:rPr>
          <w:lang w:eastAsia="en-US"/>
        </w:rPr>
        <w:t xml:space="preserve"> Note that this variation </w:t>
      </w:r>
      <w:proofErr w:type="gramStart"/>
      <w:r w:rsidR="00FB2A4D">
        <w:rPr>
          <w:lang w:eastAsia="en-US"/>
        </w:rPr>
        <w:t xml:space="preserve">is </w:t>
      </w:r>
      <w:r w:rsidR="00F067AA">
        <w:rPr>
          <w:lang w:eastAsia="en-US"/>
        </w:rPr>
        <w:t>defined</w:t>
      </w:r>
      <w:proofErr w:type="gramEnd"/>
      <w:r w:rsidR="00F067AA">
        <w:rPr>
          <w:lang w:eastAsia="en-US"/>
        </w:rPr>
        <w:t xml:space="preserve"> around an exchange r</w:t>
      </w:r>
      <w:r w:rsidR="00FB2A4D">
        <w:rPr>
          <w:lang w:eastAsia="en-US"/>
        </w:rPr>
        <w:t>at</w:t>
      </w:r>
      <w:r w:rsidR="00F067AA">
        <w:rPr>
          <w:lang w:eastAsia="en-US"/>
        </w:rPr>
        <w:t xml:space="preserve">e defined in USD/AUD terms. While the variation is uniform when expressed in this way, the variation is not uniform when expressed as AUD/USD. This latter expression of the exchange rate </w:t>
      </w:r>
      <w:proofErr w:type="gramStart"/>
      <w:r w:rsidR="00F067AA">
        <w:rPr>
          <w:lang w:eastAsia="en-US"/>
        </w:rPr>
        <w:t>is implemented</w:t>
      </w:r>
      <w:proofErr w:type="gramEnd"/>
      <w:r w:rsidR="00F067AA">
        <w:rPr>
          <w:lang w:eastAsia="en-US"/>
        </w:rPr>
        <w:t xml:space="preserve"> in the economic models.</w:t>
      </w:r>
    </w:p>
    <w:p w:rsidR="00E63FDE" w:rsidRDefault="00E63FDE" w:rsidP="008318BA">
      <w:pPr>
        <w:pStyle w:val="ListBullet"/>
        <w:rPr>
          <w:lang w:eastAsia="en-US"/>
        </w:rPr>
      </w:pPr>
      <w:r>
        <w:rPr>
          <w:lang w:eastAsia="en-US"/>
        </w:rPr>
        <w:t>Agricultural productivity varies over time, most frequently due to climatic conditions. Large variations in productivity are com</w:t>
      </w:r>
      <w:r w:rsidR="00B93CBD">
        <w:rPr>
          <w:lang w:eastAsia="en-US"/>
        </w:rPr>
        <w:t>mon in the historical record. This sensitivity tests the implications of a 50 per cent variation in assumed productivity growth.</w:t>
      </w:r>
    </w:p>
    <w:p w:rsidR="00B93CBD" w:rsidRDefault="005C0E27" w:rsidP="008318BA">
      <w:pPr>
        <w:pStyle w:val="ListBullet"/>
        <w:rPr>
          <w:lang w:eastAsia="en-US"/>
        </w:rPr>
      </w:pPr>
      <w:r>
        <w:rPr>
          <w:lang w:eastAsia="en-US"/>
        </w:rPr>
        <w:t xml:space="preserve">Slaughter weights, </w:t>
      </w:r>
      <w:r w:rsidR="00B93CBD">
        <w:rPr>
          <w:lang w:eastAsia="en-US"/>
        </w:rPr>
        <w:t xml:space="preserve">milk </w:t>
      </w:r>
      <w:r>
        <w:rPr>
          <w:lang w:eastAsia="en-US"/>
        </w:rPr>
        <w:t>yields</w:t>
      </w:r>
      <w:r w:rsidR="00B93CBD">
        <w:rPr>
          <w:lang w:eastAsia="en-US"/>
        </w:rPr>
        <w:t xml:space="preserve"> </w:t>
      </w:r>
      <w:r>
        <w:rPr>
          <w:lang w:eastAsia="en-US"/>
        </w:rPr>
        <w:t>a</w:t>
      </w:r>
      <w:r w:rsidR="004B0CDA">
        <w:rPr>
          <w:rFonts w:eastAsiaTheme="minorEastAsia" w:hint="eastAsia"/>
          <w:lang w:eastAsia="zh-CN"/>
        </w:rPr>
        <w:t>nd</w:t>
      </w:r>
      <w:r>
        <w:rPr>
          <w:lang w:eastAsia="en-US"/>
        </w:rPr>
        <w:t xml:space="preserve"> crop yields </w:t>
      </w:r>
      <w:r w:rsidR="00B93CBD">
        <w:rPr>
          <w:lang w:eastAsia="en-US"/>
        </w:rPr>
        <w:t xml:space="preserve">are a subset of productivity </w:t>
      </w:r>
      <w:proofErr w:type="gramStart"/>
      <w:r w:rsidR="00B93CBD">
        <w:rPr>
          <w:lang w:eastAsia="en-US"/>
        </w:rPr>
        <w:t>and also</w:t>
      </w:r>
      <w:proofErr w:type="gramEnd"/>
      <w:r w:rsidR="00B93CBD">
        <w:rPr>
          <w:lang w:eastAsia="en-US"/>
        </w:rPr>
        <w:t xml:space="preserve"> vary over time. This sensitivity tests the implications of a 50 per cent variation in assumed productivity growth for these variables.</w:t>
      </w:r>
    </w:p>
    <w:p w:rsidR="00B93CBD" w:rsidRDefault="00B93CBD" w:rsidP="008318BA">
      <w:pPr>
        <w:pStyle w:val="ListBullet"/>
        <w:rPr>
          <w:lang w:eastAsia="en-US"/>
        </w:rPr>
      </w:pPr>
      <w:r>
        <w:rPr>
          <w:lang w:eastAsia="en-US"/>
        </w:rPr>
        <w:t>Input costs, while often less variable than other factors associated with agriculture, are nevertheless subject to a number of uncertainties. This sensitivity tests the implications of a 20 per cent variation in assumed input cost changes.</w:t>
      </w:r>
    </w:p>
    <w:p w:rsidR="00B93CBD" w:rsidRDefault="00B93CBD" w:rsidP="008318BA">
      <w:pPr>
        <w:pStyle w:val="ListBullet"/>
        <w:rPr>
          <w:lang w:eastAsia="en-US"/>
        </w:rPr>
      </w:pPr>
      <w:r>
        <w:rPr>
          <w:lang w:eastAsia="en-US"/>
        </w:rPr>
        <w:t xml:space="preserve">As noted a number of times in this report, climatic conditions, particularly drought, </w:t>
      </w:r>
      <w:r w:rsidR="00D55F76">
        <w:rPr>
          <w:lang w:eastAsia="en-US"/>
        </w:rPr>
        <w:t xml:space="preserve">have a major influence on agricultural output. In order to test the effect of this on an ongoing basis, we re-do simulations with our models under the assumption that agricultural supply responses (the supply </w:t>
      </w:r>
      <w:proofErr w:type="spellStart"/>
      <w:r w:rsidR="00D55F76">
        <w:rPr>
          <w:lang w:eastAsia="en-US"/>
        </w:rPr>
        <w:t>elasticities</w:t>
      </w:r>
      <w:proofErr w:type="spellEnd"/>
      <w:r w:rsidR="00D55F76">
        <w:rPr>
          <w:lang w:eastAsia="en-US"/>
        </w:rPr>
        <w:t xml:space="preserve">) are half the value used in the central simulations. This </w:t>
      </w:r>
      <w:proofErr w:type="gramStart"/>
      <w:r w:rsidR="00D55F76">
        <w:rPr>
          <w:lang w:eastAsia="en-US"/>
        </w:rPr>
        <w:t>is designed</w:t>
      </w:r>
      <w:proofErr w:type="gramEnd"/>
      <w:r w:rsidR="00D55F76">
        <w:rPr>
          <w:lang w:eastAsia="en-US"/>
        </w:rPr>
        <w:t xml:space="preserve"> to simulate the inability of agricultural industries to respond to growing demands.</w:t>
      </w:r>
    </w:p>
    <w:p w:rsidR="00DA7DAD" w:rsidRDefault="00C54673" w:rsidP="00DA7DAD">
      <w:pPr>
        <w:pStyle w:val="Heading2"/>
        <w:rPr>
          <w:lang w:eastAsia="en-US"/>
        </w:rPr>
      </w:pPr>
      <w:bookmarkStart w:id="112" w:name="_Toc366052866"/>
      <w:bookmarkEnd w:id="111"/>
      <w:r>
        <w:rPr>
          <w:lang w:eastAsia="en-US"/>
        </w:rPr>
        <w:t>Sensitivity analysis results</w:t>
      </w:r>
      <w:bookmarkEnd w:id="112"/>
    </w:p>
    <w:p w:rsidR="00C54673" w:rsidRPr="00C54673" w:rsidRDefault="00C54673" w:rsidP="00C54673">
      <w:pPr>
        <w:pStyle w:val="BodyText"/>
        <w:rPr>
          <w:lang w:eastAsia="en-US"/>
        </w:rPr>
      </w:pPr>
      <w:r>
        <w:rPr>
          <w:lang w:eastAsia="en-US"/>
        </w:rPr>
        <w:t>Implications of the sensitivity analysis for the activity levels of various industries are set out in Appendix C. Here we focus on the implications of projected total agricultural emissions.</w:t>
      </w:r>
    </w:p>
    <w:p w:rsidR="00C54673" w:rsidRDefault="00DA7DAD" w:rsidP="00DA7DAD">
      <w:pPr>
        <w:pStyle w:val="BodyText"/>
        <w:rPr>
          <w:lang w:eastAsia="en-US"/>
        </w:rPr>
      </w:pPr>
      <w:r>
        <w:rPr>
          <w:lang w:eastAsia="en-US"/>
        </w:rPr>
        <w:lastRenderedPageBreak/>
        <w:t xml:space="preserve">Table </w:t>
      </w:r>
      <w:r>
        <w:rPr>
          <w:lang w:eastAsia="en-US"/>
        </w:rPr>
        <w:fldChar w:fldCharType="begin"/>
      </w:r>
      <w:r>
        <w:rPr>
          <w:lang w:eastAsia="en-US"/>
        </w:rPr>
        <w:instrText xml:space="preserve"> REF _Ref364341388 \h </w:instrText>
      </w:r>
      <w:r>
        <w:rPr>
          <w:lang w:eastAsia="en-US"/>
        </w:rPr>
      </w:r>
      <w:r>
        <w:rPr>
          <w:lang w:eastAsia="en-US"/>
        </w:rPr>
        <w:fldChar w:fldCharType="separate"/>
      </w:r>
      <w:r w:rsidR="00927DCC">
        <w:rPr>
          <w:noProof/>
        </w:rPr>
        <w:t>5</w:t>
      </w:r>
      <w:r w:rsidR="00927DCC" w:rsidRPr="00695C93">
        <w:rPr>
          <w:noProof/>
        </w:rPr>
        <w:t>.</w:t>
      </w:r>
      <w:r w:rsidR="00927DCC">
        <w:rPr>
          <w:noProof/>
        </w:rPr>
        <w:t>2</w:t>
      </w:r>
      <w:r>
        <w:rPr>
          <w:lang w:eastAsia="en-US"/>
        </w:rPr>
        <w:fldChar w:fldCharType="end"/>
      </w:r>
      <w:r>
        <w:rPr>
          <w:lang w:eastAsia="en-US"/>
        </w:rPr>
        <w:t xml:space="preserve"> reports the percentage deviation of each </w:t>
      </w:r>
      <w:r w:rsidR="00C54673">
        <w:rPr>
          <w:lang w:eastAsia="en-US"/>
        </w:rPr>
        <w:t xml:space="preserve">sensitivity </w:t>
      </w:r>
      <w:r>
        <w:rPr>
          <w:lang w:eastAsia="en-US"/>
        </w:rPr>
        <w:t>scenario from the central reference case</w:t>
      </w:r>
      <w:r w:rsidR="00C54673">
        <w:rPr>
          <w:lang w:eastAsia="en-US"/>
        </w:rPr>
        <w:t xml:space="preserve"> for selected projection years</w:t>
      </w:r>
      <w:r>
        <w:rPr>
          <w:lang w:eastAsia="en-US"/>
        </w:rPr>
        <w:t xml:space="preserve">. </w:t>
      </w:r>
      <w:r w:rsidR="00C54673">
        <w:rPr>
          <w:lang w:eastAsia="en-US"/>
        </w:rPr>
        <w:t>Chart 5.3 compares upper and lower emissions projections (with the central case) for each of the sensitivities.</w:t>
      </w:r>
    </w:p>
    <w:p w:rsidR="00DA7DAD" w:rsidRDefault="00DA7DAD" w:rsidP="00DA7DA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w:instrText>
      </w:r>
      <w:fldSimple w:instr=" STYLEREF &quot;Heading 1&quot; \l \n ">
        <w:r w:rsidR="00927DCC">
          <w:rPr>
            <w:noProof/>
          </w:rPr>
          <w:instrText>5</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113" w:name="_Caption7344"/>
      <w:bookmarkStart w:id="114" w:name="_Ref364341388"/>
      <w:bookmarkStart w:id="115" w:name="_Toc364436085"/>
      <w:bookmarkStart w:id="116" w:name="_Toc366052899"/>
      <w:r w:rsidR="00927DCC">
        <w:rPr>
          <w:noProof/>
        </w:rPr>
        <w:t>5</w:t>
      </w:r>
      <w:r w:rsidR="00927DCC" w:rsidRPr="00695C93">
        <w:rPr>
          <w:noProof/>
        </w:rPr>
        <w:t>.</w:t>
      </w:r>
      <w:r w:rsidR="00927DCC">
        <w:rPr>
          <w:noProof/>
        </w:rPr>
        <w:t>2</w:t>
      </w:r>
      <w:bookmarkEnd w:id="113"/>
      <w:bookmarkEnd w:id="114"/>
      <w:r w:rsidRPr="00695C93">
        <w:fldChar w:fldCharType="end"/>
      </w:r>
      <w:r w:rsidRPr="00695C93">
        <w:tab/>
      </w:r>
      <w:r>
        <w:t>Impact on emissions – percentage deviation from the central reference case</w:t>
      </w:r>
      <w:bookmarkEnd w:id="115"/>
      <w:bookmarkEnd w:id="116"/>
    </w:p>
    <w:tbl>
      <w:tblPr>
        <w:tblW w:w="7938" w:type="dxa"/>
        <w:tblInd w:w="57" w:type="dxa"/>
        <w:tblLook w:val="04A0" w:firstRow="1" w:lastRow="0" w:firstColumn="1" w:lastColumn="0" w:noHBand="0" w:noVBand="1"/>
      </w:tblPr>
      <w:tblGrid>
        <w:gridCol w:w="2808"/>
        <w:gridCol w:w="1269"/>
        <w:gridCol w:w="1107"/>
        <w:gridCol w:w="1377"/>
        <w:gridCol w:w="1377"/>
      </w:tblGrid>
      <w:tr w:rsidR="00DA7DAD" w:rsidRPr="001E097E" w:rsidTr="00DA7DAD">
        <w:trPr>
          <w:trHeight w:val="255"/>
        </w:trPr>
        <w:tc>
          <w:tcPr>
            <w:tcW w:w="2808" w:type="dxa"/>
            <w:tcBorders>
              <w:bottom w:val="single" w:sz="8" w:space="0" w:color="FFFFFF" w:themeColor="background1"/>
            </w:tcBorders>
            <w:shd w:val="clear" w:color="auto" w:fill="6F6652"/>
            <w:noWrap/>
            <w:tcMar>
              <w:left w:w="57" w:type="dxa"/>
              <w:right w:w="57" w:type="dxa"/>
            </w:tcMar>
            <w:hideMark/>
          </w:tcPr>
          <w:p w:rsidR="00DA7DAD" w:rsidRPr="001E097E" w:rsidRDefault="00DA7DAD" w:rsidP="00D035C2">
            <w:pPr>
              <w:pStyle w:val="TableDataColumnHeading"/>
              <w:jc w:val="left"/>
            </w:pPr>
          </w:p>
        </w:tc>
        <w:tc>
          <w:tcPr>
            <w:tcW w:w="1269" w:type="dxa"/>
            <w:tcBorders>
              <w:bottom w:val="single" w:sz="8" w:space="0" w:color="FFFFFF" w:themeColor="background1"/>
            </w:tcBorders>
            <w:shd w:val="clear" w:color="auto" w:fill="6F6652"/>
            <w:noWrap/>
            <w:tcMar>
              <w:left w:w="57" w:type="dxa"/>
              <w:right w:w="57" w:type="dxa"/>
            </w:tcMar>
            <w:hideMark/>
          </w:tcPr>
          <w:p w:rsidR="00DA7DAD" w:rsidRPr="001E097E" w:rsidRDefault="00DA7DAD" w:rsidP="00D035C2">
            <w:pPr>
              <w:pStyle w:val="TableDataColumnHeading"/>
            </w:pPr>
            <w:r w:rsidRPr="001E097E">
              <w:t>2015</w:t>
            </w:r>
          </w:p>
        </w:tc>
        <w:tc>
          <w:tcPr>
            <w:tcW w:w="1107" w:type="dxa"/>
            <w:tcBorders>
              <w:bottom w:val="single" w:sz="8" w:space="0" w:color="FFFFFF" w:themeColor="background1"/>
            </w:tcBorders>
            <w:shd w:val="clear" w:color="auto" w:fill="6F6652"/>
            <w:noWrap/>
            <w:tcMar>
              <w:left w:w="57" w:type="dxa"/>
              <w:right w:w="57" w:type="dxa"/>
            </w:tcMar>
            <w:hideMark/>
          </w:tcPr>
          <w:p w:rsidR="00DA7DAD" w:rsidRPr="001E097E" w:rsidRDefault="00DA7DAD" w:rsidP="00D035C2">
            <w:pPr>
              <w:pStyle w:val="TableDataColumnHeading"/>
            </w:pPr>
            <w:r w:rsidRPr="001E097E">
              <w:t>2020</w:t>
            </w:r>
          </w:p>
        </w:tc>
        <w:tc>
          <w:tcPr>
            <w:tcW w:w="1377" w:type="dxa"/>
            <w:tcBorders>
              <w:bottom w:val="single" w:sz="8" w:space="0" w:color="FFFFFF" w:themeColor="background1"/>
            </w:tcBorders>
            <w:shd w:val="clear" w:color="auto" w:fill="6F6652"/>
            <w:noWrap/>
            <w:tcMar>
              <w:left w:w="57" w:type="dxa"/>
              <w:right w:w="57" w:type="dxa"/>
            </w:tcMar>
            <w:hideMark/>
          </w:tcPr>
          <w:p w:rsidR="00DA7DAD" w:rsidRPr="001E097E" w:rsidRDefault="00DA7DAD" w:rsidP="00D035C2">
            <w:pPr>
              <w:pStyle w:val="TableDataColumnHeading"/>
            </w:pPr>
            <w:r w:rsidRPr="001E097E">
              <w:t>2030</w:t>
            </w:r>
          </w:p>
        </w:tc>
        <w:tc>
          <w:tcPr>
            <w:tcW w:w="1377" w:type="dxa"/>
            <w:tcBorders>
              <w:bottom w:val="single" w:sz="8" w:space="0" w:color="FFFFFF" w:themeColor="background1"/>
            </w:tcBorders>
            <w:shd w:val="clear" w:color="auto" w:fill="6F6652"/>
            <w:noWrap/>
            <w:tcMar>
              <w:left w:w="57" w:type="dxa"/>
              <w:right w:w="57" w:type="dxa"/>
            </w:tcMar>
            <w:hideMark/>
          </w:tcPr>
          <w:p w:rsidR="00DA7DAD" w:rsidRPr="001E097E" w:rsidRDefault="00DA7DAD" w:rsidP="00D035C2">
            <w:pPr>
              <w:pStyle w:val="TableDataColumnHeading"/>
            </w:pPr>
            <w:r w:rsidRPr="001E097E">
              <w:t>2050</w:t>
            </w:r>
          </w:p>
        </w:tc>
      </w:tr>
      <w:tr w:rsidR="00DA7DAD" w:rsidRPr="00DA7DAD" w:rsidTr="00DA7DAD">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DA7DAD" w:rsidRPr="00DA7DAD" w:rsidRDefault="00DA7DAD" w:rsidP="00D035C2">
            <w:pPr>
              <w:pStyle w:val="TableDataEntries"/>
              <w:jc w:val="left"/>
              <w:rPr>
                <w:b/>
              </w:rPr>
            </w:pPr>
            <w:r w:rsidRPr="00DA7DAD">
              <w:rPr>
                <w:b/>
              </w:rPr>
              <w:t>Export demand</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DA7DAD" w:rsidRPr="00DA7DAD" w:rsidRDefault="00DA7DAD" w:rsidP="00DA7DAD">
            <w:pPr>
              <w:pStyle w:val="TableDataEntries"/>
              <w:jc w:val="left"/>
              <w:rPr>
                <w:b/>
              </w:rPr>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DA7DAD" w:rsidRPr="00DA7DAD" w:rsidRDefault="00DA7DAD" w:rsidP="00DA7DAD">
            <w:pPr>
              <w:pStyle w:val="TableDataEntries"/>
              <w:jc w:val="left"/>
              <w:rPr>
                <w:b/>
              </w:rPr>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DA7DAD" w:rsidRPr="00DA7DAD" w:rsidRDefault="00DA7DAD" w:rsidP="00DA7DAD">
            <w:pPr>
              <w:pStyle w:val="TableDataEntries"/>
              <w:jc w:val="left"/>
              <w:rPr>
                <w:b/>
              </w:rPr>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DA7DAD" w:rsidRPr="00DA7DAD" w:rsidRDefault="00DA7DAD" w:rsidP="00DA7DAD">
            <w:pPr>
              <w:pStyle w:val="TableDataEntries"/>
              <w:jc w:val="left"/>
              <w:rPr>
                <w:b/>
              </w:rPr>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0.73</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2.24</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4.54</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11.26</w:t>
            </w: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-0.72</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-2.25</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-4.06</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-9.05</w:t>
            </w:r>
          </w:p>
        </w:tc>
      </w:tr>
      <w:tr w:rsidR="00E16C5B" w:rsidRPr="00DA7DAD"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DA7DAD" w:rsidRDefault="00E16C5B" w:rsidP="00D035C2">
            <w:pPr>
              <w:pStyle w:val="TableDataEntries"/>
              <w:jc w:val="left"/>
            </w:pPr>
            <w:r w:rsidRPr="00DA7DAD">
              <w:t>Live export reduction</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t xml:space="preserve">  Low export</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-2.69</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-2.91</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-3.51</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-4.02</w:t>
            </w:r>
          </w:p>
        </w:tc>
      </w:tr>
      <w:tr w:rsidR="00E16C5B" w:rsidRPr="00DA7DAD"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DA7DAD" w:rsidRDefault="00E16C5B" w:rsidP="00D035C2">
            <w:pPr>
              <w:pStyle w:val="TableDataEntries"/>
              <w:jc w:val="left"/>
              <w:rPr>
                <w:b/>
              </w:rPr>
            </w:pPr>
            <w:r w:rsidRPr="00DA7DAD">
              <w:rPr>
                <w:b/>
              </w:rPr>
              <w:t>Exchange rate</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-2.15</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-2.69</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-7.40</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-6.18</w:t>
            </w: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4.21</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10.25</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10.74</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9.04</w:t>
            </w:r>
          </w:p>
        </w:tc>
      </w:tr>
      <w:tr w:rsidR="00E16C5B" w:rsidRPr="00DA7DAD"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DA7DAD" w:rsidRDefault="00E16C5B" w:rsidP="00D035C2">
            <w:pPr>
              <w:pStyle w:val="TableDataEntries"/>
              <w:jc w:val="left"/>
              <w:rPr>
                <w:b/>
              </w:rPr>
            </w:pPr>
            <w:r w:rsidRPr="00DA7DAD">
              <w:rPr>
                <w:b/>
              </w:rPr>
              <w:t>Productivity</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0.98</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2.52</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5.32</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12.15</w:t>
            </w: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-0.97</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-2.46</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-4.96</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-10.03</w:t>
            </w:r>
          </w:p>
        </w:tc>
      </w:tr>
      <w:tr w:rsidR="00E16C5B" w:rsidRPr="00297ED0"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297ED0" w:rsidRDefault="00E16C5B" w:rsidP="00D035C2">
            <w:pPr>
              <w:pStyle w:val="TableDataEntries"/>
              <w:jc w:val="left"/>
              <w:rPr>
                <w:b/>
              </w:rPr>
            </w:pPr>
            <w:r w:rsidRPr="00297ED0">
              <w:rPr>
                <w:b/>
              </w:rPr>
              <w:t>Slaughtering weight/yield</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-1.33</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-2.69</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-5.23</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-8.74</w:t>
            </w: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1.32</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2.65</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5.17</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9.05</w:t>
            </w:r>
          </w:p>
        </w:tc>
      </w:tr>
      <w:tr w:rsidR="00E16C5B" w:rsidRPr="00297ED0"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297ED0" w:rsidRDefault="00E16C5B" w:rsidP="00D035C2">
            <w:pPr>
              <w:pStyle w:val="TableDataEntries"/>
              <w:jc w:val="left"/>
              <w:rPr>
                <w:b/>
              </w:rPr>
            </w:pPr>
            <w:r w:rsidRPr="00297ED0">
              <w:rPr>
                <w:b/>
              </w:rPr>
              <w:t>Input cost</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-7.48</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-7.12</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-6.13</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-5.62</w:t>
            </w: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7.46</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7.10</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6.10</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5.56</w:t>
            </w:r>
          </w:p>
        </w:tc>
      </w:tr>
      <w:tr w:rsidR="00E16C5B" w:rsidRPr="00297ED0"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297ED0" w:rsidRDefault="00E16C5B" w:rsidP="00D035C2">
            <w:pPr>
              <w:pStyle w:val="TableDataEntries"/>
              <w:jc w:val="left"/>
              <w:rPr>
                <w:b/>
              </w:rPr>
            </w:pPr>
            <w:r w:rsidRPr="00297ED0">
              <w:rPr>
                <w:b/>
              </w:rPr>
              <w:t>Extended drought</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t xml:space="preserve">  Drought</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-0.72</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-2.25</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-4.06</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-9.05</w:t>
            </w:r>
          </w:p>
        </w:tc>
      </w:tr>
      <w:tr w:rsidR="00E16C5B" w:rsidRPr="00297ED0" w:rsidTr="008C2529">
        <w:trPr>
          <w:trHeight w:val="255"/>
        </w:trPr>
        <w:tc>
          <w:tcPr>
            <w:tcW w:w="280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rsidR="00E16C5B" w:rsidRPr="00297ED0" w:rsidRDefault="00E16C5B" w:rsidP="00D035C2">
            <w:pPr>
              <w:pStyle w:val="TableDataEntries"/>
              <w:jc w:val="left"/>
              <w:rPr>
                <w:b/>
              </w:rPr>
            </w:pPr>
            <w:r w:rsidRPr="00297ED0">
              <w:rPr>
                <w:b/>
              </w:rPr>
              <w:t>Combined</w:t>
            </w:r>
          </w:p>
        </w:tc>
        <w:tc>
          <w:tcPr>
            <w:tcW w:w="126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1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c>
          <w:tcPr>
            <w:tcW w:w="137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rsidR="00E16C5B" w:rsidRDefault="00E16C5B" w:rsidP="00E16C5B">
            <w:pPr>
              <w:pStyle w:val="TableDataEntries"/>
            </w:pPr>
          </w:p>
        </w:tc>
      </w:tr>
      <w:tr w:rsidR="00E16C5B" w:rsidRPr="001E097E" w:rsidTr="008C2529">
        <w:trPr>
          <w:trHeight w:val="255"/>
        </w:trPr>
        <w:tc>
          <w:tcPr>
            <w:tcW w:w="2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High</w:t>
            </w:r>
          </w:p>
        </w:tc>
        <w:tc>
          <w:tcPr>
            <w:tcW w:w="126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10.87</w:t>
            </w:r>
          </w:p>
        </w:tc>
        <w:tc>
          <w:tcPr>
            <w:tcW w:w="11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Pr="00D1731E" w:rsidRDefault="00E16C5B" w:rsidP="00D1731E">
            <w:pPr>
              <w:pStyle w:val="TableDataEntries"/>
              <w:rPr>
                <w:rFonts w:eastAsiaTheme="minorEastAsia"/>
                <w:lang w:eastAsia="zh-CN"/>
              </w:rPr>
            </w:pPr>
            <w:r>
              <w:t>14.</w:t>
            </w:r>
            <w:r w:rsidR="00D1731E">
              <w:rPr>
                <w:rFonts w:eastAsiaTheme="minorEastAsia" w:hint="eastAsia"/>
                <w:lang w:eastAsia="zh-CN"/>
              </w:rPr>
              <w:t>89</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21.65</w:t>
            </w:r>
          </w:p>
        </w:tc>
        <w:tc>
          <w:tcPr>
            <w:tcW w:w="13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rsidR="00E16C5B" w:rsidRDefault="00E16C5B" w:rsidP="00E16C5B">
            <w:pPr>
              <w:pStyle w:val="TableDataEntries"/>
            </w:pPr>
            <w:r>
              <w:t>39.45</w:t>
            </w:r>
          </w:p>
        </w:tc>
      </w:tr>
      <w:tr w:rsidR="00E16C5B" w:rsidRPr="001E097E" w:rsidTr="008C2529">
        <w:trPr>
          <w:trHeight w:val="255"/>
        </w:trPr>
        <w:tc>
          <w:tcPr>
            <w:tcW w:w="2808"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E16C5B" w:rsidRPr="001E097E" w:rsidRDefault="00E16C5B" w:rsidP="00D035C2">
            <w:pPr>
              <w:pStyle w:val="TableDataEntries"/>
              <w:jc w:val="left"/>
            </w:pPr>
            <w:r w:rsidRPr="001E097E">
              <w:t xml:space="preserve">  Low</w:t>
            </w:r>
          </w:p>
        </w:tc>
        <w:tc>
          <w:tcPr>
            <w:tcW w:w="1269" w:type="dxa"/>
            <w:tcBorders>
              <w:top w:val="single" w:sz="8" w:space="0" w:color="FFFFFF" w:themeColor="background1"/>
              <w:bottom w:val="single" w:sz="4" w:space="0" w:color="6F6652"/>
            </w:tcBorders>
            <w:shd w:val="clear" w:color="auto" w:fill="E9E8E5" w:themeFill="background2"/>
            <w:noWrap/>
            <w:tcMar>
              <w:left w:w="57" w:type="dxa"/>
              <w:right w:w="57" w:type="dxa"/>
            </w:tcMar>
            <w:vAlign w:val="bottom"/>
            <w:hideMark/>
          </w:tcPr>
          <w:p w:rsidR="00E16C5B" w:rsidRPr="00D1731E" w:rsidRDefault="00E16C5B" w:rsidP="00D1731E">
            <w:pPr>
              <w:pStyle w:val="TableDataEntries"/>
              <w:rPr>
                <w:rFonts w:eastAsiaTheme="minorEastAsia"/>
                <w:lang w:eastAsia="zh-CN"/>
              </w:rPr>
            </w:pPr>
            <w:r>
              <w:t>-10.9</w:t>
            </w:r>
            <w:r w:rsidR="00D1731E">
              <w:rPr>
                <w:rFonts w:eastAsiaTheme="minorEastAsia" w:hint="eastAsia"/>
                <w:lang w:eastAsia="zh-CN"/>
              </w:rPr>
              <w:t>0</w:t>
            </w:r>
          </w:p>
        </w:tc>
        <w:tc>
          <w:tcPr>
            <w:tcW w:w="1107" w:type="dxa"/>
            <w:tcBorders>
              <w:top w:val="single" w:sz="8" w:space="0" w:color="FFFFFF" w:themeColor="background1"/>
              <w:bottom w:val="single" w:sz="4" w:space="0" w:color="6F6652"/>
            </w:tcBorders>
            <w:shd w:val="clear" w:color="auto" w:fill="E9E8E5" w:themeFill="background2"/>
            <w:noWrap/>
            <w:tcMar>
              <w:left w:w="57" w:type="dxa"/>
              <w:right w:w="57" w:type="dxa"/>
            </w:tcMar>
            <w:vAlign w:val="bottom"/>
            <w:hideMark/>
          </w:tcPr>
          <w:p w:rsidR="00E16C5B" w:rsidRPr="00D1731E" w:rsidRDefault="00E16C5B" w:rsidP="00D1731E">
            <w:pPr>
              <w:pStyle w:val="TableDataEntries"/>
              <w:rPr>
                <w:rFonts w:eastAsiaTheme="minorEastAsia"/>
                <w:lang w:eastAsia="zh-CN"/>
              </w:rPr>
            </w:pPr>
            <w:r>
              <w:t>-14.9</w:t>
            </w:r>
            <w:r w:rsidR="00D1731E">
              <w:rPr>
                <w:rFonts w:eastAsiaTheme="minorEastAsia" w:hint="eastAsia"/>
                <w:lang w:eastAsia="zh-CN"/>
              </w:rPr>
              <w:t>1</w:t>
            </w:r>
          </w:p>
        </w:tc>
        <w:tc>
          <w:tcPr>
            <w:tcW w:w="1377" w:type="dxa"/>
            <w:tcBorders>
              <w:top w:val="single" w:sz="8" w:space="0" w:color="FFFFFF" w:themeColor="background1"/>
              <w:bottom w:val="single" w:sz="4" w:space="0" w:color="6F6652"/>
            </w:tcBorders>
            <w:shd w:val="clear" w:color="auto" w:fill="E9E8E5" w:themeFill="background2"/>
            <w:noWrap/>
            <w:tcMar>
              <w:left w:w="57" w:type="dxa"/>
              <w:right w:w="57" w:type="dxa"/>
            </w:tcMar>
            <w:vAlign w:val="bottom"/>
            <w:hideMark/>
          </w:tcPr>
          <w:p w:rsidR="00E16C5B" w:rsidRPr="00D1731E" w:rsidRDefault="00E16C5B" w:rsidP="00D1731E">
            <w:pPr>
              <w:pStyle w:val="TableDataEntries"/>
              <w:rPr>
                <w:rFonts w:eastAsiaTheme="minorEastAsia"/>
                <w:lang w:eastAsia="zh-CN"/>
              </w:rPr>
            </w:pPr>
            <w:r>
              <w:t>-20.9</w:t>
            </w:r>
            <w:r w:rsidR="00D1731E">
              <w:rPr>
                <w:rFonts w:eastAsiaTheme="minorEastAsia" w:hint="eastAsia"/>
                <w:lang w:eastAsia="zh-CN"/>
              </w:rPr>
              <w:t>3</w:t>
            </w:r>
          </w:p>
        </w:tc>
        <w:tc>
          <w:tcPr>
            <w:tcW w:w="1377" w:type="dxa"/>
            <w:tcBorders>
              <w:top w:val="single" w:sz="8" w:space="0" w:color="FFFFFF" w:themeColor="background1"/>
              <w:bottom w:val="single" w:sz="4" w:space="0" w:color="6F6652"/>
            </w:tcBorders>
            <w:shd w:val="clear" w:color="auto" w:fill="E9E8E5" w:themeFill="background2"/>
            <w:noWrap/>
            <w:tcMar>
              <w:left w:w="57" w:type="dxa"/>
              <w:right w:w="57" w:type="dxa"/>
            </w:tcMar>
            <w:vAlign w:val="bottom"/>
            <w:hideMark/>
          </w:tcPr>
          <w:p w:rsidR="00E16C5B" w:rsidRDefault="00E16C5B" w:rsidP="00E16C5B">
            <w:pPr>
              <w:pStyle w:val="TableDataEntries"/>
            </w:pPr>
            <w:r>
              <w:t>-35.02</w:t>
            </w:r>
          </w:p>
        </w:tc>
      </w:tr>
    </w:tbl>
    <w:p w:rsidR="00DA7DAD" w:rsidRDefault="00DA7DAD" w:rsidP="00DA7DAD">
      <w:pPr>
        <w:pStyle w:val="Note"/>
      </w:pPr>
      <w:r w:rsidRPr="007D1B4F">
        <w:rPr>
          <w:i/>
        </w:rPr>
        <w:t>Note:</w:t>
      </w:r>
      <w:r w:rsidRPr="00E879B8">
        <w:t xml:space="preserve"> </w:t>
      </w:r>
      <w:r>
        <w:t>The ‘high’s and ‘low’s under each sensitivity refer to the high and low values of shocked variables, while the high and low under the combined scenario refer to the high and low emissions.</w:t>
      </w:r>
    </w:p>
    <w:p w:rsidR="00DA7DAD" w:rsidRDefault="00DA7DAD" w:rsidP="00DA7DAD">
      <w:pPr>
        <w:pStyle w:val="Source"/>
      </w:pPr>
      <w:r>
        <w:rPr>
          <w:i/>
        </w:rPr>
        <w:t>Source</w:t>
      </w:r>
      <w:r w:rsidRPr="00E4232C">
        <w:rPr>
          <w:i/>
        </w:rPr>
        <w:t>:</w:t>
      </w:r>
      <w:r>
        <w:t xml:space="preserve"> CIE Grains, Dairy and GMI simulations</w:t>
      </w:r>
    </w:p>
    <w:p w:rsidR="00C54673" w:rsidRDefault="00C54673" w:rsidP="00C54673">
      <w:pPr>
        <w:pStyle w:val="BodyText"/>
        <w:rPr>
          <w:lang w:eastAsia="en-US"/>
        </w:rPr>
      </w:pPr>
      <w:r>
        <w:rPr>
          <w:lang w:eastAsia="en-US"/>
        </w:rPr>
        <w:t>Several points emerge from these results.</w:t>
      </w:r>
    </w:p>
    <w:p w:rsidR="00F067AA" w:rsidRDefault="00C54673" w:rsidP="00C54673">
      <w:pPr>
        <w:pStyle w:val="ListBullet"/>
        <w:rPr>
          <w:lang w:eastAsia="en-US"/>
        </w:rPr>
      </w:pPr>
      <w:r>
        <w:rPr>
          <w:lang w:eastAsia="en-US"/>
        </w:rPr>
        <w:t xml:space="preserve">The largest impacts in the short term (2015 and 2020) </w:t>
      </w:r>
      <w:r w:rsidR="003D14B1">
        <w:rPr>
          <w:lang w:eastAsia="en-US"/>
        </w:rPr>
        <w:t>are</w:t>
      </w:r>
      <w:r>
        <w:rPr>
          <w:lang w:eastAsia="en-US"/>
        </w:rPr>
        <w:t xml:space="preserve"> from variations in the exchange rate and input costs. In 2020,</w:t>
      </w:r>
      <w:r w:rsidR="003D14B1">
        <w:rPr>
          <w:lang w:eastAsia="en-US"/>
        </w:rPr>
        <w:t xml:space="preserve"> </w:t>
      </w:r>
      <w:r>
        <w:rPr>
          <w:lang w:eastAsia="en-US"/>
        </w:rPr>
        <w:t xml:space="preserve">for example, a more favourable exchange rate could lead to a 10 per cent increase in emissions (relative to the central reference case). </w:t>
      </w:r>
      <w:r w:rsidR="00F067AA">
        <w:rPr>
          <w:lang w:eastAsia="en-US"/>
        </w:rPr>
        <w:t xml:space="preserve">A less favourable exchange rate could lead to a </w:t>
      </w:r>
      <w:r w:rsidR="003C4EA2">
        <w:rPr>
          <w:rFonts w:eastAsiaTheme="minorEastAsia" w:hint="eastAsia"/>
          <w:lang w:eastAsia="zh-CN"/>
        </w:rPr>
        <w:t>3</w:t>
      </w:r>
      <w:r w:rsidR="00F067AA">
        <w:rPr>
          <w:lang w:eastAsia="en-US"/>
        </w:rPr>
        <w:t xml:space="preserve"> per cent decline in emissions. Note that as pointed out above, these exchange rate deviations are not uniform because exchange rates </w:t>
      </w:r>
      <w:proofErr w:type="gramStart"/>
      <w:r w:rsidR="00F067AA">
        <w:rPr>
          <w:lang w:eastAsia="en-US"/>
        </w:rPr>
        <w:t>are expressed</w:t>
      </w:r>
      <w:proofErr w:type="gramEnd"/>
      <w:r w:rsidR="00F067AA">
        <w:rPr>
          <w:lang w:eastAsia="en-US"/>
        </w:rPr>
        <w:t xml:space="preserve"> in AUD/USD terms within the models.</w:t>
      </w:r>
    </w:p>
    <w:p w:rsidR="00C54673" w:rsidRDefault="00C54673" w:rsidP="00C54673">
      <w:pPr>
        <w:pStyle w:val="ListBullet"/>
        <w:rPr>
          <w:lang w:eastAsia="en-US"/>
        </w:rPr>
      </w:pPr>
      <w:r>
        <w:rPr>
          <w:lang w:eastAsia="en-US"/>
        </w:rPr>
        <w:t xml:space="preserve">Different input costs could lead to a variation in emissions (up or down) of around 7 per cent by 2020. </w:t>
      </w:r>
    </w:p>
    <w:p w:rsidR="00C54673" w:rsidRDefault="00C54673" w:rsidP="00C54673">
      <w:pPr>
        <w:pStyle w:val="ListBullet"/>
        <w:rPr>
          <w:lang w:eastAsia="en-US"/>
        </w:rPr>
      </w:pPr>
      <w:r>
        <w:rPr>
          <w:lang w:eastAsia="en-US"/>
        </w:rPr>
        <w:t xml:space="preserve">Over the longer </w:t>
      </w:r>
      <w:proofErr w:type="gramStart"/>
      <w:r>
        <w:rPr>
          <w:lang w:eastAsia="en-US"/>
        </w:rPr>
        <w:t>term</w:t>
      </w:r>
      <w:proofErr w:type="gramEnd"/>
      <w:r>
        <w:rPr>
          <w:lang w:eastAsia="en-US"/>
        </w:rPr>
        <w:t xml:space="preserve"> the largest impact is from changes in productivity growth – higher (lower) productivity growth leads to a 12.</w:t>
      </w:r>
      <w:r w:rsidR="009D17D5">
        <w:rPr>
          <w:rFonts w:eastAsiaTheme="minorEastAsia" w:hint="eastAsia"/>
          <w:lang w:eastAsia="zh-CN"/>
        </w:rPr>
        <w:t>2</w:t>
      </w:r>
      <w:r>
        <w:rPr>
          <w:lang w:eastAsia="en-US"/>
        </w:rPr>
        <w:t xml:space="preserve"> per cent higher (10 per cent lower) emissions in 2050. </w:t>
      </w:r>
    </w:p>
    <w:p w:rsidR="0020034E" w:rsidRPr="00695C93" w:rsidRDefault="0020034E" w:rsidP="00C54673">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w:instrText>
      </w:r>
      <w:fldSimple w:instr=" STYLEREF &quot;Heading 1&quot; \l \n ">
        <w:r w:rsidR="00927DCC">
          <w:rPr>
            <w:noProof/>
          </w:rPr>
          <w:instrText>5</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927DCC">
        <w:rPr>
          <w:noProof/>
        </w:rPr>
        <w:instrText>5</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27DCC">
          <w:rPr>
            <w:noProof/>
          </w:rPr>
          <w:instrText>5</w:instrText>
        </w:r>
      </w:fldSimple>
      <w:r w:rsidRPr="00695C93">
        <w:instrText xml:space="preserve"> = 0 "" "1" </w:instrText>
      </w:r>
      <w:r w:rsidRPr="00695C93">
        <w:fldChar w:fldCharType="separate"/>
      </w:r>
      <w:r w:rsidR="00927DCC"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1</w:instrText>
      </w:r>
      <w:r w:rsidRPr="00695C93">
        <w:fldChar w:fldCharType="end"/>
      </w:r>
      <w:r w:rsidRPr="00695C93">
        <w:instrText xml:space="preserve"> </w:instrText>
      </w:r>
      <w:r w:rsidRPr="00695C93">
        <w:fldChar w:fldCharType="separate"/>
      </w:r>
      <w:r w:rsidR="00927DCC">
        <w:rPr>
          <w:noProof/>
        </w:rPr>
        <w:instrText>3</w:instrText>
      </w:r>
      <w:r w:rsidRPr="00695C93">
        <w:fldChar w:fldCharType="end"/>
      </w:r>
      <w:r w:rsidRPr="00695C93">
        <w:instrText xml:space="preserve">" "" </w:instrText>
      </w:r>
      <w:r w:rsidRPr="00695C93">
        <w:fldChar w:fldCharType="separate"/>
      </w:r>
      <w:bookmarkStart w:id="117" w:name="_Caption1236"/>
      <w:bookmarkStart w:id="118" w:name="_Toc320545098"/>
      <w:bookmarkStart w:id="119" w:name="_Toc366052900"/>
      <w:r w:rsidR="00927DCC">
        <w:rPr>
          <w:noProof/>
        </w:rPr>
        <w:t>5</w:t>
      </w:r>
      <w:r w:rsidR="00927DCC" w:rsidRPr="00695C93">
        <w:rPr>
          <w:noProof/>
        </w:rPr>
        <w:t>.</w:t>
      </w:r>
      <w:r w:rsidR="00927DCC">
        <w:rPr>
          <w:noProof/>
        </w:rPr>
        <w:t>3</w:t>
      </w:r>
      <w:bookmarkEnd w:id="117"/>
      <w:r w:rsidRPr="00695C93">
        <w:fldChar w:fldCharType="end"/>
      </w:r>
      <w:r w:rsidRPr="00695C93">
        <w:tab/>
      </w:r>
      <w:bookmarkEnd w:id="118"/>
      <w:r>
        <w:t xml:space="preserve">Impact on </w:t>
      </w:r>
      <w:r w:rsidR="00130151">
        <w:rPr>
          <w:rFonts w:eastAsiaTheme="minorEastAsia" w:hint="eastAsia"/>
          <w:lang w:eastAsia="zh-CN"/>
        </w:rPr>
        <w:t xml:space="preserve">annual </w:t>
      </w:r>
      <w:r>
        <w:t>emissions</w:t>
      </w:r>
      <w:r w:rsidR="00EB4360">
        <w:t xml:space="preserve"> of sensitivity analysis</w:t>
      </w:r>
      <w:bookmarkEnd w:id="119"/>
      <w:r w:rsidR="00EB4360">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034E" w:rsidTr="00C54673">
        <w:trPr>
          <w:cantSplit/>
        </w:trPr>
        <w:tc>
          <w:tcPr>
            <w:tcW w:w="7938" w:type="dxa"/>
            <w:shd w:val="clear" w:color="auto" w:fill="E9E8E5" w:themeFill="background2"/>
          </w:tcPr>
          <w:p w:rsidR="0020034E" w:rsidRDefault="0020034E" w:rsidP="00C54673">
            <w:pPr>
              <w:pStyle w:val="Chart"/>
            </w:pPr>
            <w:r>
              <w:rPr>
                <w:noProof/>
                <w:lang w:eastAsia="en-AU"/>
              </w:rPr>
              <w:drawing>
                <wp:inline distT="0" distB="0" distL="0" distR="0" wp14:anchorId="1E5F5D80" wp14:editId="4B92BF48">
                  <wp:extent cx="2480945" cy="1868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57C10772" wp14:editId="23477589">
                  <wp:extent cx="2480945" cy="18688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0774C970" wp14:editId="266077CD">
                  <wp:extent cx="2480945" cy="1868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5DE0AA18" wp14:editId="0EEA4485">
                  <wp:extent cx="2480945" cy="18688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4C536813" wp14:editId="36CC7EDD">
                  <wp:extent cx="2480945" cy="1868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5E2BB595" wp14:editId="4DE1F20A">
                  <wp:extent cx="2480945" cy="1868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700F4C76" wp14:editId="15F53B1D">
                  <wp:extent cx="2480945" cy="18688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14:anchorId="7BE97EC1" wp14:editId="47B0AD4C">
                  <wp:extent cx="2480945" cy="186880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20034E" w:rsidRPr="00A97BEC" w:rsidRDefault="0020034E" w:rsidP="00C54673">
      <w:pPr>
        <w:pStyle w:val="Note"/>
      </w:pPr>
      <w:r w:rsidRPr="00A97BEC">
        <w:rPr>
          <w:i/>
        </w:rPr>
        <w:t xml:space="preserve">Note: </w:t>
      </w:r>
      <w:r>
        <w:t>The ‘high’s and ‘low’s under each sensitivity refer to the high and low values of shocked variables, while the high and low under the combined scenario refer to the high and low emissions.</w:t>
      </w:r>
    </w:p>
    <w:p w:rsidR="0020034E" w:rsidRDefault="0020034E" w:rsidP="00C54673">
      <w:pPr>
        <w:pStyle w:val="Source"/>
      </w:pPr>
      <w:r>
        <w:rPr>
          <w:i/>
        </w:rPr>
        <w:t>Data source</w:t>
      </w:r>
      <w:r w:rsidRPr="00A67576">
        <w:rPr>
          <w:i/>
        </w:rPr>
        <w:t>:</w:t>
      </w:r>
      <w:r>
        <w:t xml:space="preserve"> CIE Grains, Dairy and GMI simulations</w:t>
      </w:r>
    </w:p>
    <w:p w:rsidR="001D6BD0" w:rsidRDefault="001D6BD0" w:rsidP="001D6BD0">
      <w:pPr>
        <w:pStyle w:val="ListBullet"/>
        <w:rPr>
          <w:lang w:eastAsia="en-US"/>
        </w:rPr>
      </w:pPr>
      <w:bookmarkStart w:id="120" w:name="_Toc366052867"/>
      <w:r>
        <w:rPr>
          <w:lang w:eastAsia="en-US"/>
        </w:rPr>
        <w:lastRenderedPageBreak/>
        <w:t>This is followed (in 2050) by changes in export demand – 11.</w:t>
      </w:r>
      <w:r>
        <w:rPr>
          <w:rFonts w:eastAsiaTheme="minorEastAsia" w:hint="eastAsia"/>
          <w:lang w:eastAsia="zh-CN"/>
        </w:rPr>
        <w:t>3</w:t>
      </w:r>
      <w:r>
        <w:rPr>
          <w:lang w:eastAsia="en-US"/>
        </w:rPr>
        <w:t xml:space="preserve"> per cent higher (9 per cent lower) than the central reference case, and the extended drought – 9 per cent lower in 2050.</w:t>
      </w:r>
    </w:p>
    <w:p w:rsidR="001D6BD0" w:rsidRDefault="001D6BD0" w:rsidP="001D6BD0">
      <w:pPr>
        <w:pStyle w:val="ListBullet"/>
        <w:rPr>
          <w:lang w:eastAsia="en-US"/>
        </w:rPr>
      </w:pPr>
      <w:r>
        <w:rPr>
          <w:lang w:eastAsia="en-US"/>
        </w:rPr>
        <w:t>The combination of sensitivities suggests that in 2020, emissions could vary by 1</w:t>
      </w:r>
      <w:r>
        <w:rPr>
          <w:rFonts w:eastAsiaTheme="minorEastAsia" w:hint="eastAsia"/>
          <w:lang w:eastAsia="zh-CN"/>
        </w:rPr>
        <w:t>5</w:t>
      </w:r>
      <w:r>
        <w:rPr>
          <w:lang w:eastAsia="en-US"/>
        </w:rPr>
        <w:t xml:space="preserve"> per cent around the central reference case. By </w:t>
      </w:r>
      <w:proofErr w:type="gramStart"/>
      <w:r>
        <w:rPr>
          <w:lang w:eastAsia="en-US"/>
        </w:rPr>
        <w:t>2050</w:t>
      </w:r>
      <w:proofErr w:type="gramEnd"/>
      <w:r>
        <w:rPr>
          <w:lang w:eastAsia="en-US"/>
        </w:rPr>
        <w:t xml:space="preserve"> the variation could be around 35 to 40 per cent. Thus, under the combined low case scenario, emissions could remain unchanged (no growth) over the forecast period.</w:t>
      </w:r>
    </w:p>
    <w:p w:rsidR="00795EED" w:rsidRDefault="00795EED" w:rsidP="00795EED">
      <w:pPr>
        <w:pStyle w:val="Heading2"/>
        <w:rPr>
          <w:lang w:eastAsia="en-US"/>
        </w:rPr>
      </w:pPr>
      <w:r>
        <w:rPr>
          <w:lang w:eastAsia="en-US"/>
        </w:rPr>
        <w:t>Land clearing in Queensland</w:t>
      </w:r>
      <w:bookmarkEnd w:id="120"/>
    </w:p>
    <w:p w:rsidR="00795EED" w:rsidRDefault="00795EED" w:rsidP="00795EED">
      <w:pPr>
        <w:pStyle w:val="BodyText"/>
        <w:rPr>
          <w:lang w:eastAsia="en-US"/>
        </w:rPr>
      </w:pPr>
      <w:r>
        <w:rPr>
          <w:lang w:eastAsia="en-US"/>
        </w:rPr>
        <w:t xml:space="preserve">One factor which may have an influence on overall emissions, but which is hard to quantify, are recently announced changes to land clearing rules in Queensland. The </w:t>
      </w:r>
      <w:r w:rsidRPr="00795EED">
        <w:rPr>
          <w:i/>
          <w:lang w:eastAsia="en-US"/>
        </w:rPr>
        <w:t>Vegetation Management Amendment Act 2013</w:t>
      </w:r>
      <w:r>
        <w:rPr>
          <w:lang w:eastAsia="en-US"/>
        </w:rPr>
        <w:t xml:space="preserve"> </w:t>
      </w:r>
      <w:proofErr w:type="gramStart"/>
      <w:r>
        <w:rPr>
          <w:lang w:eastAsia="en-US"/>
        </w:rPr>
        <w:t>is expected</w:t>
      </w:r>
      <w:proofErr w:type="gramEnd"/>
      <w:r>
        <w:rPr>
          <w:lang w:eastAsia="en-US"/>
        </w:rPr>
        <w:t xml:space="preserve"> to come in force in late 2013. </w:t>
      </w:r>
    </w:p>
    <w:p w:rsidR="00795EED" w:rsidRDefault="00795EED" w:rsidP="00795EED">
      <w:pPr>
        <w:pStyle w:val="BodyText"/>
        <w:rPr>
          <w:lang w:eastAsia="en-US"/>
        </w:rPr>
      </w:pPr>
      <w:r>
        <w:rPr>
          <w:lang w:eastAsia="en-US"/>
        </w:rPr>
        <w:t>The amendments in this Act …</w:t>
      </w:r>
    </w:p>
    <w:p w:rsidR="00795EED" w:rsidRDefault="00795EED" w:rsidP="00795EED">
      <w:pPr>
        <w:pStyle w:val="Quote"/>
        <w:rPr>
          <w:lang w:eastAsia="en-US"/>
        </w:rPr>
      </w:pPr>
      <w:proofErr w:type="gramStart"/>
      <w:r>
        <w:rPr>
          <w:lang w:eastAsia="en-US"/>
        </w:rPr>
        <w:t>…</w:t>
      </w:r>
      <w:r w:rsidRPr="00795EED">
        <w:rPr>
          <w:lang w:eastAsia="en-US"/>
        </w:rPr>
        <w:t>will allow sustainable vegetation management activities to occur to support the development of high-value agriculture.</w:t>
      </w:r>
      <w:proofErr w:type="gramEnd"/>
      <w:r w:rsidRPr="00795EED">
        <w:rPr>
          <w:lang w:eastAsia="en-US"/>
        </w:rPr>
        <w:t xml:space="preserve"> This will assist in the growth of the agricultural industry and contribute to the government's goal of doubling Queensland's food production by 2040.</w:t>
      </w:r>
      <w:r>
        <w:rPr>
          <w:rStyle w:val="FootnoteReference"/>
          <w:lang w:eastAsia="en-US"/>
        </w:rPr>
        <w:footnoteReference w:id="9"/>
      </w:r>
    </w:p>
    <w:p w:rsidR="00795EED" w:rsidRDefault="00795EED" w:rsidP="00795EED">
      <w:pPr>
        <w:pStyle w:val="BodyText"/>
        <w:rPr>
          <w:lang w:eastAsia="en-US"/>
        </w:rPr>
      </w:pPr>
      <w:r>
        <w:rPr>
          <w:lang w:eastAsia="en-US"/>
        </w:rPr>
        <w:t>As such, the Act may have the effect of increasing agricultural production in Queensland above the estimates contained in the central reference case. It is difficult, however, to predict the extent of this effect for a number of reasons.</w:t>
      </w:r>
    </w:p>
    <w:p w:rsidR="00795EED" w:rsidRDefault="00795EED" w:rsidP="00795EED">
      <w:pPr>
        <w:pStyle w:val="ListBullet"/>
        <w:rPr>
          <w:lang w:eastAsia="en-US"/>
        </w:rPr>
      </w:pPr>
      <w:r>
        <w:rPr>
          <w:lang w:eastAsia="en-US"/>
        </w:rPr>
        <w:t>First, a doubling, or near doubling of Queensland’s food production is already evident in the central reference scenario, so some of the effect of the Act may already implicitly be incorporated.</w:t>
      </w:r>
    </w:p>
    <w:p w:rsidR="00795EED" w:rsidRDefault="00795EED" w:rsidP="00795EED">
      <w:pPr>
        <w:pStyle w:val="ListBullet"/>
        <w:rPr>
          <w:lang w:eastAsia="en-US"/>
        </w:rPr>
      </w:pPr>
      <w:r>
        <w:rPr>
          <w:lang w:eastAsia="en-US"/>
        </w:rPr>
        <w:t xml:space="preserve">Second, the legislation essentially reverts to the pre-2009 situation for land clearing. This is consistent with the period over which most of the parameters within our models </w:t>
      </w:r>
      <w:proofErr w:type="gramStart"/>
      <w:r>
        <w:rPr>
          <w:lang w:eastAsia="en-US"/>
        </w:rPr>
        <w:t>were calibrated</w:t>
      </w:r>
      <w:proofErr w:type="gramEnd"/>
      <w:r>
        <w:rPr>
          <w:lang w:eastAsia="en-US"/>
        </w:rPr>
        <w:t>.</w:t>
      </w:r>
    </w:p>
    <w:p w:rsidR="00795EED" w:rsidRDefault="00795EED" w:rsidP="00795EED">
      <w:pPr>
        <w:pStyle w:val="ListBullet"/>
        <w:rPr>
          <w:lang w:eastAsia="en-US"/>
        </w:rPr>
      </w:pPr>
      <w:r>
        <w:rPr>
          <w:lang w:eastAsia="en-US"/>
        </w:rPr>
        <w:t xml:space="preserve">Third, the legislation </w:t>
      </w:r>
      <w:r w:rsidR="00A01261">
        <w:rPr>
          <w:lang w:eastAsia="en-US"/>
        </w:rPr>
        <w:t xml:space="preserve">is </w:t>
      </w:r>
      <w:r>
        <w:rPr>
          <w:lang w:eastAsia="en-US"/>
        </w:rPr>
        <w:t>particularly concerned with high value agriculture.</w:t>
      </w:r>
      <w:r w:rsidR="009E65E9">
        <w:rPr>
          <w:lang w:eastAsia="en-US"/>
        </w:rPr>
        <w:t xml:space="preserve"> Effectively under the act, the only new pasture that </w:t>
      </w:r>
      <w:proofErr w:type="gramStart"/>
      <w:r w:rsidR="009E65E9">
        <w:rPr>
          <w:lang w:eastAsia="en-US"/>
        </w:rPr>
        <w:t>can be established</w:t>
      </w:r>
      <w:proofErr w:type="gramEnd"/>
      <w:r w:rsidR="009E65E9">
        <w:rPr>
          <w:lang w:eastAsia="en-US"/>
        </w:rPr>
        <w:t xml:space="preserve"> (for grazing) is irrigated pasture. This may limit the extent to which the Act </w:t>
      </w:r>
      <w:r w:rsidR="00A01261">
        <w:rPr>
          <w:lang w:eastAsia="en-US"/>
        </w:rPr>
        <w:t xml:space="preserve">leads </w:t>
      </w:r>
      <w:r w:rsidR="009E65E9">
        <w:rPr>
          <w:lang w:eastAsia="en-US"/>
        </w:rPr>
        <w:t>to increased land clearing for grazing.</w:t>
      </w:r>
    </w:p>
    <w:p w:rsidR="009E65E9" w:rsidRPr="00795EED" w:rsidRDefault="009E65E9" w:rsidP="009E65E9">
      <w:pPr>
        <w:pStyle w:val="BodyText"/>
        <w:rPr>
          <w:lang w:eastAsia="en-US"/>
        </w:rPr>
      </w:pPr>
      <w:r>
        <w:rPr>
          <w:lang w:eastAsia="en-US"/>
        </w:rPr>
        <w:t>Overall, while it is possible that the Act will lead to higher activity levels (and therefore emissions) than in the central reference case, we have been unable to quantify the impact, but expect that it will be relatively small.</w:t>
      </w:r>
    </w:p>
    <w:p w:rsidR="000A5A91" w:rsidRDefault="000A5A91" w:rsidP="000A5A91">
      <w:pPr>
        <w:pStyle w:val="BodyText"/>
      </w:pPr>
    </w:p>
    <w:p w:rsidR="00BD0BB1" w:rsidRDefault="00BD0BB1" w:rsidP="00D035C2">
      <w:pPr>
        <w:pStyle w:val="BodyText"/>
        <w:pageBreakBefore/>
        <w:spacing w:before="0"/>
        <w:sectPr w:rsidR="00BD0BB1" w:rsidSect="00BC58D4">
          <w:headerReference w:type="even" r:id="rId43"/>
          <w:headerReference w:type="default" r:id="rId44"/>
          <w:footerReference w:type="even" r:id="rId45"/>
          <w:footerReference w:type="default" r:id="rId46"/>
          <w:pgSz w:w="11906" w:h="16838" w:code="9"/>
          <w:pgMar w:top="2268" w:right="1701" w:bottom="1418" w:left="2268" w:header="680" w:footer="680" w:gutter="0"/>
          <w:pgNumType w:start="1"/>
          <w:cols w:space="708"/>
          <w:docGrid w:linePitch="360"/>
        </w:sectPr>
      </w:pPr>
    </w:p>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BD0BB1" w:rsidTr="00D035C2">
        <w:trPr>
          <w:cantSplit/>
          <w:trHeight w:hRule="exact" w:val="3572"/>
        </w:trPr>
        <w:tc>
          <w:tcPr>
            <w:tcW w:w="8274" w:type="dxa"/>
          </w:tcPr>
          <w:p w:rsidR="00BD0BB1" w:rsidRPr="0097484C" w:rsidRDefault="00BD0BB1" w:rsidP="00D035C2">
            <w:pPr>
              <w:pStyle w:val="Heading6"/>
              <w:pageBreakBefore w:val="0"/>
              <w:numPr>
                <w:ilvl w:val="0"/>
                <w:numId w:val="0"/>
              </w:numPr>
              <w:spacing w:after="0" w:line="14" w:lineRule="exact"/>
              <w:ind w:left="-1134"/>
              <w:outlineLvl w:val="5"/>
              <w:rPr>
                <w:b/>
                <w:i w:val="0"/>
                <w:color w:val="FFFFFF"/>
                <w:sz w:val="14"/>
                <w:szCs w:val="14"/>
              </w:rPr>
            </w:pPr>
          </w:p>
          <w:p w:rsidR="00BD0BB1" w:rsidRDefault="00BD0BB1" w:rsidP="00D035C2">
            <w:pPr>
              <w:pStyle w:val="BodyText"/>
              <w:pageBreakBefore/>
              <w:spacing w:before="0"/>
            </w:pPr>
          </w:p>
        </w:tc>
      </w:tr>
      <w:tr w:rsidR="00BD0BB1" w:rsidRPr="003E5943" w:rsidTr="00D035C2">
        <w:trPr>
          <w:cantSplit/>
          <w:trHeight w:val="2386"/>
        </w:trPr>
        <w:tc>
          <w:tcPr>
            <w:tcW w:w="8274" w:type="dxa"/>
          </w:tcPr>
          <w:p w:rsidR="00BD0BB1" w:rsidRDefault="00BD0BB1" w:rsidP="00D035C2">
            <w:pPr>
              <w:pStyle w:val="PartNumber"/>
            </w:pPr>
          </w:p>
          <w:p w:rsidR="00BD0BB1" w:rsidRPr="003E5943" w:rsidRDefault="00BD0BB1" w:rsidP="00D035C2">
            <w:pPr>
              <w:pStyle w:val="PartTitle"/>
            </w:pPr>
            <w:bookmarkStart w:id="121" w:name="_Toc366052868"/>
            <w:r>
              <w:t>Appendixes</w:t>
            </w:r>
            <w:bookmarkEnd w:id="121"/>
          </w:p>
        </w:tc>
      </w:tr>
    </w:tbl>
    <w:p w:rsidR="00BD0BB1" w:rsidRDefault="00BD0BB1" w:rsidP="00D035C2">
      <w:pPr>
        <w:pStyle w:val="BodyText"/>
        <w:spacing w:before="0"/>
      </w:pPr>
      <w:r>
        <w:rPr>
          <w:noProof/>
        </w:rPr>
        <w:drawing>
          <wp:anchor distT="0" distB="0" distL="114300" distR="114300" simplePos="0" relativeHeight="251662336" behindDoc="1" locked="0" layoutInCell="0" allowOverlap="1" wp14:anchorId="0AAB0C10" wp14:editId="5EFA7177">
            <wp:simplePos x="0" y="0"/>
            <wp:positionH relativeFrom="page">
              <wp:posOffset>0</wp:posOffset>
            </wp:positionH>
            <wp:positionV relativeFrom="page">
              <wp:posOffset>5436870</wp:posOffset>
            </wp:positionV>
            <wp:extent cx="7556400" cy="9540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47" cstate="print">
                      <a:extLst>
                        <a:ext uri="{28A0092B-C50C-407E-A947-70E740481C1C}">
                          <a14:useLocalDpi xmlns:a14="http://schemas.microsoft.com/office/drawing/2010/main" val="0"/>
                        </a:ext>
                      </a:extLst>
                    </a:blip>
                    <a:srcRect t="50804" b="40282"/>
                    <a:stretch/>
                  </pic:blipFill>
                  <pic:spPr bwMode="auto">
                    <a:xfrm>
                      <a:off x="0" y="0"/>
                      <a:ext cx="7556400" cy="9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0" allowOverlap="1" wp14:anchorId="48DFD026" wp14:editId="4D412D8D">
                <wp:simplePos x="0" y="0"/>
                <wp:positionH relativeFrom="page">
                  <wp:posOffset>-6350</wp:posOffset>
                </wp:positionH>
                <wp:positionV relativeFrom="page">
                  <wp:posOffset>8305800</wp:posOffset>
                </wp:positionV>
                <wp:extent cx="7556500" cy="2387600"/>
                <wp:effectExtent l="0" t="0" r="6350" b="0"/>
                <wp:wrapNone/>
                <wp:docPr id="10" name="Rectangle 10"/>
                <wp:cNvGraphicFramePr/>
                <a:graphic xmlns:a="http://schemas.openxmlformats.org/drawingml/2006/main">
                  <a:graphicData uri="http://schemas.microsoft.com/office/word/2010/wordprocessingShape">
                    <wps:wsp>
                      <wps:cNvSpPr/>
                      <wps:spPr>
                        <a:xfrm>
                          <a:off x="0" y="0"/>
                          <a:ext cx="7556500" cy="238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pt;margin-top:654pt;width:595pt;height:1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" o:allowincell="f" fillcolor="white [3212]" stroked="f" strokeweight="2pt">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587D5BB4" wp14:editId="5C33EE4B">
                <wp:simplePos x="0" y="0"/>
                <wp:positionH relativeFrom="page">
                  <wp:posOffset>-6350</wp:posOffset>
                </wp:positionH>
                <wp:positionV relativeFrom="page">
                  <wp:posOffset>349250</wp:posOffset>
                </wp:positionV>
                <wp:extent cx="7556500" cy="717550"/>
                <wp:effectExtent l="0" t="0" r="6350" b="6350"/>
                <wp:wrapNone/>
                <wp:docPr id="16" name="Rectangle 16"/>
                <wp:cNvGraphicFramePr/>
                <a:graphic xmlns:a="http://schemas.openxmlformats.org/drawingml/2006/main">
                  <a:graphicData uri="http://schemas.microsoft.com/office/word/2010/wordprocessingShape">
                    <wps:wsp>
                      <wps:cNvSpPr/>
                      <wps:spPr>
                        <a:xfrm>
                          <a:off x="0" y="0"/>
                          <a:ext cx="7556500" cy="717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5pt;margin-top:27.5pt;width:595pt;height: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" o:allowincell="f" fillcolor="white [3212]" stroked="f" strokeweight="2pt">
                <w10:wrap anchorx="page" anchory="page"/>
              </v:rect>
            </w:pict>
          </mc:Fallback>
        </mc:AlternateContent>
      </w:r>
    </w:p>
    <w:p w:rsidR="00BD0BB1" w:rsidRDefault="00BD0BB1" w:rsidP="00D035C2">
      <w:pPr>
        <w:pStyle w:val="BodyText"/>
        <w:pageBreakBefore/>
      </w:pPr>
      <w:r>
        <w:rPr>
          <w:noProof/>
        </w:rPr>
        <w:lastRenderedPageBreak/>
        <mc:AlternateContent>
          <mc:Choice Requires="wps">
            <w:drawing>
              <wp:anchor distT="0" distB="0" distL="114300" distR="114300" simplePos="0" relativeHeight="251661312" behindDoc="0" locked="0" layoutInCell="0" allowOverlap="1" wp14:anchorId="4F498E49" wp14:editId="53E45498">
                <wp:simplePos x="0" y="0"/>
                <wp:positionH relativeFrom="page">
                  <wp:posOffset>6927</wp:posOffset>
                </wp:positionH>
                <wp:positionV relativeFrom="page">
                  <wp:posOffset>0</wp:posOffset>
                </wp:positionV>
                <wp:extent cx="7556500" cy="10674927"/>
                <wp:effectExtent l="0" t="0" r="6350" b="0"/>
                <wp:wrapNone/>
                <wp:docPr id="18" name="Rectangle 18"/>
                <wp:cNvGraphicFramePr/>
                <a:graphic xmlns:a="http://schemas.openxmlformats.org/drawingml/2006/main">
                  <a:graphicData uri="http://schemas.microsoft.com/office/word/2010/wordprocessingShape">
                    <wps:wsp>
                      <wps:cNvSpPr/>
                      <wps:spPr>
                        <a:xfrm>
                          <a:off x="0" y="0"/>
                          <a:ext cx="7556500" cy="10674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5pt;margin-top:0;width:595pt;height:8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" o:allowincell="f" fillcolor="white [3212]" stroked="f" strokeweight="2pt">
                <w10:wrap anchorx="page" anchory="page"/>
              </v:rect>
            </w:pict>
          </mc:Fallback>
        </mc:AlternateContent>
      </w:r>
    </w:p>
    <w:p w:rsidR="00BD0BB1" w:rsidRDefault="00BD0BB1" w:rsidP="00D035C2">
      <w:pPr>
        <w:pStyle w:val="BodyText"/>
        <w:sectPr w:rsidR="00BD0BB1" w:rsidSect="00D035C2">
          <w:type w:val="oddPage"/>
          <w:pgSz w:w="11906" w:h="16838" w:code="9"/>
          <w:pgMar w:top="2268" w:right="1701" w:bottom="1418" w:left="2268" w:header="680" w:footer="680" w:gutter="0"/>
          <w:cols w:space="708"/>
          <w:docGrid w:linePitch="360"/>
        </w:sectPr>
      </w:pPr>
    </w:p>
    <w:p w:rsidR="00BD0BB1" w:rsidRDefault="00BD0BB1" w:rsidP="00D035C2">
      <w:pPr>
        <w:pStyle w:val="Heading6"/>
      </w:pPr>
      <w:bookmarkStart w:id="122" w:name="_Toc366052869"/>
      <w:r>
        <w:lastRenderedPageBreak/>
        <w:t>The models</w:t>
      </w:r>
      <w:bookmarkEnd w:id="122"/>
    </w:p>
    <w:p w:rsidR="00D035C2" w:rsidRDefault="00D035C2" w:rsidP="00D035C2">
      <w:pPr>
        <w:pStyle w:val="Summary2"/>
      </w:pPr>
      <w:bookmarkStart w:id="123" w:name="_Toc352741359"/>
      <w:bookmarkStart w:id="124" w:name="_Toc364436065"/>
      <w:r>
        <w:t>The models</w:t>
      </w:r>
      <w:bookmarkEnd w:id="123"/>
      <w:bookmarkEnd w:id="124"/>
    </w:p>
    <w:p w:rsidR="00D035C2" w:rsidRDefault="00D035C2" w:rsidP="00D035C2">
      <w:pPr>
        <w:pStyle w:val="BodyText"/>
      </w:pPr>
      <w:r>
        <w:t xml:space="preserve">Agricultural emissions projections </w:t>
      </w:r>
      <w:r w:rsidR="0071277F">
        <w:rPr>
          <w:rFonts w:eastAsiaTheme="minorEastAsia" w:hint="eastAsia"/>
          <w:lang w:eastAsia="zh-CN"/>
        </w:rPr>
        <w:t>are</w:t>
      </w:r>
      <w:r>
        <w:t xml:space="preserve"> undertaken using three core bottom-up models. A brief summary of each of these models </w:t>
      </w:r>
      <w:proofErr w:type="gramStart"/>
      <w:r>
        <w:t>is provided</w:t>
      </w:r>
      <w:proofErr w:type="gramEnd"/>
      <w:r>
        <w:t xml:space="preserve"> in table </w:t>
      </w:r>
      <w:r>
        <w:fldChar w:fldCharType="begin"/>
      </w:r>
      <w:r>
        <w:instrText xml:space="preserve"> REF _Ref364425530 \h </w:instrText>
      </w:r>
      <w:r>
        <w:fldChar w:fldCharType="separate"/>
      </w:r>
      <w:r w:rsidR="00927DCC">
        <w:rPr>
          <w:noProof/>
        </w:rPr>
        <w:t>A</w:t>
      </w:r>
      <w:r w:rsidR="00927DCC" w:rsidRPr="00695C93">
        <w:rPr>
          <w:noProof/>
        </w:rPr>
        <w:t>.</w:t>
      </w:r>
      <w:r w:rsidR="00927DCC">
        <w:rPr>
          <w:noProof/>
        </w:rPr>
        <w:t>1</w:t>
      </w:r>
      <w:r>
        <w:fldChar w:fldCharType="end"/>
      </w:r>
      <w:r>
        <w:t xml:space="preserve">. The country coverage for each of these is set out in table </w:t>
      </w:r>
      <w:r>
        <w:fldChar w:fldCharType="begin"/>
      </w:r>
      <w:r>
        <w:instrText xml:space="preserve"> REF _Ref364425558 \h </w:instrText>
      </w:r>
      <w:r>
        <w:fldChar w:fldCharType="separate"/>
      </w:r>
      <w:r w:rsidR="00927DCC">
        <w:rPr>
          <w:noProof/>
        </w:rPr>
        <w:t>A</w:t>
      </w:r>
      <w:r w:rsidR="00927DCC" w:rsidRPr="00695C93">
        <w:rPr>
          <w:noProof/>
        </w:rPr>
        <w:t>.</w:t>
      </w:r>
      <w:r w:rsidR="00927DCC">
        <w:rPr>
          <w:noProof/>
        </w:rPr>
        <w:t>2</w:t>
      </w:r>
      <w:r>
        <w:fldChar w:fldCharType="end"/>
      </w:r>
      <w:r>
        <w:t>.</w:t>
      </w:r>
    </w:p>
    <w:p w:rsidR="00D035C2" w:rsidRDefault="00D035C2" w:rsidP="00D035C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"1" </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125" w:name="_Caption3469"/>
      <w:bookmarkStart w:id="126" w:name="_Ref364425530"/>
      <w:bookmarkStart w:id="127" w:name="_Toc364436094"/>
      <w:bookmarkStart w:id="128" w:name="_Toc366052901"/>
      <w:r w:rsidR="00927DCC">
        <w:rPr>
          <w:noProof/>
        </w:rPr>
        <w:t>A</w:t>
      </w:r>
      <w:r w:rsidR="00927DCC" w:rsidRPr="00695C93">
        <w:rPr>
          <w:noProof/>
        </w:rPr>
        <w:t>.</w:t>
      </w:r>
      <w:r w:rsidR="00927DCC">
        <w:rPr>
          <w:noProof/>
        </w:rPr>
        <w:t>1</w:t>
      </w:r>
      <w:bookmarkEnd w:id="125"/>
      <w:bookmarkEnd w:id="126"/>
      <w:r w:rsidRPr="00695C93">
        <w:fldChar w:fldCharType="end"/>
      </w:r>
      <w:r w:rsidRPr="00695C93">
        <w:tab/>
      </w:r>
      <w:r>
        <w:t>Summary</w:t>
      </w:r>
      <w:bookmarkEnd w:id="127"/>
      <w:bookmarkEnd w:id="128"/>
    </w:p>
    <w:tbl>
      <w:tblPr>
        <w:tblW w:w="0" w:type="auto"/>
        <w:tblInd w:w="57" w:type="dxa"/>
        <w:tblLayout w:type="fixed"/>
        <w:tblCellMar>
          <w:left w:w="56" w:type="dxa"/>
          <w:right w:w="56" w:type="dxa"/>
        </w:tblCellMar>
        <w:tblLook w:val="04A0" w:firstRow="1" w:lastRow="0" w:firstColumn="1" w:lastColumn="0" w:noHBand="0" w:noVBand="1"/>
      </w:tblPr>
      <w:tblGrid>
        <w:gridCol w:w="1646"/>
        <w:gridCol w:w="3146"/>
        <w:gridCol w:w="3146"/>
      </w:tblGrid>
      <w:tr w:rsidR="00D035C2" w:rsidTr="00D035C2">
        <w:tc>
          <w:tcPr>
            <w:tcW w:w="1646" w:type="dxa"/>
            <w:tcBorders>
              <w:bottom w:val="single" w:sz="8" w:space="0" w:color="FFFFFF" w:themeColor="background1"/>
            </w:tcBorders>
            <w:shd w:val="clear" w:color="auto" w:fill="6F6652"/>
            <w:hideMark/>
          </w:tcPr>
          <w:p w:rsidR="00D035C2" w:rsidRDefault="00D035C2" w:rsidP="00D035C2">
            <w:pPr>
              <w:pStyle w:val="TableTextColumnHeading"/>
            </w:pPr>
            <w:r>
              <w:t>Model/Framework</w:t>
            </w:r>
          </w:p>
        </w:tc>
        <w:tc>
          <w:tcPr>
            <w:tcW w:w="3146" w:type="dxa"/>
            <w:tcBorders>
              <w:bottom w:val="single" w:sz="8" w:space="0" w:color="FFFFFF" w:themeColor="background1"/>
            </w:tcBorders>
            <w:shd w:val="clear" w:color="auto" w:fill="6F6652"/>
            <w:hideMark/>
          </w:tcPr>
          <w:p w:rsidR="00D035C2" w:rsidRDefault="00D035C2" w:rsidP="00D035C2">
            <w:pPr>
              <w:pStyle w:val="TableTextColumnHeading"/>
            </w:pPr>
            <w:r>
              <w:t>Summary of key features</w:t>
            </w:r>
          </w:p>
        </w:tc>
        <w:tc>
          <w:tcPr>
            <w:tcW w:w="3146" w:type="dxa"/>
            <w:tcBorders>
              <w:bottom w:val="single" w:sz="8" w:space="0" w:color="FFFFFF" w:themeColor="background1"/>
            </w:tcBorders>
            <w:shd w:val="clear" w:color="auto" w:fill="6F6652"/>
            <w:hideMark/>
          </w:tcPr>
          <w:p w:rsidR="00D035C2" w:rsidRDefault="00D035C2" w:rsidP="00D035C2">
            <w:pPr>
              <w:pStyle w:val="TableTextColumnHeading"/>
            </w:pPr>
            <w:r>
              <w:t>Developments required for this round of emissions projections</w:t>
            </w:r>
          </w:p>
        </w:tc>
      </w:tr>
      <w:tr w:rsidR="00D035C2" w:rsidTr="00D035C2">
        <w:tc>
          <w:tcPr>
            <w:tcW w:w="16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r>
              <w:t>Global Meat Industries (GMI) model</w:t>
            </w:r>
          </w:p>
        </w:tc>
        <w:tc>
          <w:tcPr>
            <w:tcW w:w="31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proofErr w:type="gramStart"/>
            <w:r>
              <w:t xml:space="preserve">A </w:t>
            </w:r>
            <w:proofErr w:type="spellStart"/>
            <w:r>
              <w:t>multicountry</w:t>
            </w:r>
            <w:proofErr w:type="spellEnd"/>
            <w:r>
              <w:t xml:space="preserve">, </w:t>
            </w:r>
            <w:proofErr w:type="spellStart"/>
            <w:r>
              <w:t>multicommodity</w:t>
            </w:r>
            <w:proofErr w:type="spellEnd"/>
            <w:r>
              <w:t xml:space="preserve">, </w:t>
            </w:r>
            <w:proofErr w:type="spellStart"/>
            <w:r>
              <w:t>Armington</w:t>
            </w:r>
            <w:proofErr w:type="spellEnd"/>
            <w:r>
              <w:t xml:space="preserve"> style model of world meat production, consumption and trade.</w:t>
            </w:r>
            <w:proofErr w:type="gramEnd"/>
            <w:r>
              <w:t xml:space="preserve"> It explains production and consumption in ten commodities (grass fed beef, grain fed beef, diaphragm beef, live cattle, lamb, sheep meat, </w:t>
            </w:r>
            <w:proofErr w:type="spellStart"/>
            <w:r>
              <w:t>pigmeat</w:t>
            </w:r>
            <w:proofErr w:type="spellEnd"/>
            <w:r>
              <w:t>, poultry, seafood and wool) in 22 regions, and trade in eight commodities between 22 regional groupings (see table 2 for the list of regions)</w:t>
            </w:r>
          </w:p>
        </w:tc>
        <w:tc>
          <w:tcPr>
            <w:tcW w:w="31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r>
              <w:t>Some updating to ensure alignment with National Greenhouse Gas Inventory (NGGI) activity levels; introducing carbon farming cost module to model the voluntary Carbon Farming Initiative (CFI).</w:t>
            </w:r>
          </w:p>
        </w:tc>
      </w:tr>
      <w:tr w:rsidR="00D035C2" w:rsidTr="00D035C2">
        <w:tc>
          <w:tcPr>
            <w:tcW w:w="16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r>
              <w:t>Dairy model</w:t>
            </w:r>
          </w:p>
        </w:tc>
        <w:tc>
          <w:tcPr>
            <w:tcW w:w="31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proofErr w:type="gramStart"/>
            <w:r>
              <w:t>Dynamic partial equilibrium non</w:t>
            </w:r>
            <w:r>
              <w:noBreakHyphen/>
              <w:t>linear representation of the Australian Dairy industry.</w:t>
            </w:r>
            <w:proofErr w:type="gramEnd"/>
            <w:r>
              <w:t xml:space="preserve"> It identifies six regions within Australia and covers Australia’s major competitors in the world dairy export market (see table 2 for the list of country groups)</w:t>
            </w:r>
          </w:p>
        </w:tc>
        <w:tc>
          <w:tcPr>
            <w:tcW w:w="3146" w:type="dxa"/>
            <w:tcBorders>
              <w:top w:val="single" w:sz="8" w:space="0" w:color="FFFFFF" w:themeColor="background1"/>
              <w:bottom w:val="single" w:sz="8" w:space="0" w:color="FFFFFF" w:themeColor="background1"/>
            </w:tcBorders>
            <w:shd w:val="clear" w:color="auto" w:fill="E9E8E5" w:themeFill="background2"/>
            <w:hideMark/>
          </w:tcPr>
          <w:p w:rsidR="00D035C2" w:rsidRDefault="00D035C2" w:rsidP="00D035C2">
            <w:pPr>
              <w:pStyle w:val="TableTextEntries"/>
            </w:pPr>
            <w:r>
              <w:t>Some updating to ensure alignment with NGGI activity levels; introducing carbon farming cost module to model the voluntary CFI.</w:t>
            </w:r>
          </w:p>
        </w:tc>
      </w:tr>
      <w:tr w:rsidR="00D035C2" w:rsidTr="00D035C2">
        <w:tc>
          <w:tcPr>
            <w:tcW w:w="1646" w:type="dxa"/>
            <w:tcBorders>
              <w:top w:val="single" w:sz="8" w:space="0" w:color="FFFFFF" w:themeColor="background1"/>
              <w:left w:val="nil"/>
              <w:bottom w:val="single" w:sz="4" w:space="0" w:color="auto"/>
              <w:right w:val="nil"/>
            </w:tcBorders>
            <w:shd w:val="clear" w:color="auto" w:fill="E9E8E5" w:themeFill="background2"/>
            <w:hideMark/>
          </w:tcPr>
          <w:p w:rsidR="00D035C2" w:rsidRDefault="00D035C2" w:rsidP="00D035C2">
            <w:pPr>
              <w:pStyle w:val="TableTextEntries"/>
            </w:pPr>
            <w:r>
              <w:t>Grains model</w:t>
            </w:r>
          </w:p>
        </w:tc>
        <w:tc>
          <w:tcPr>
            <w:tcW w:w="3146" w:type="dxa"/>
            <w:tcBorders>
              <w:top w:val="single" w:sz="8" w:space="0" w:color="FFFFFF" w:themeColor="background1"/>
              <w:left w:val="nil"/>
              <w:bottom w:val="single" w:sz="4" w:space="0" w:color="auto"/>
              <w:right w:val="nil"/>
            </w:tcBorders>
            <w:shd w:val="clear" w:color="auto" w:fill="E9E8E5" w:themeFill="background2"/>
            <w:hideMark/>
          </w:tcPr>
          <w:p w:rsidR="00D035C2" w:rsidRDefault="00D035C2" w:rsidP="00D035C2">
            <w:pPr>
              <w:pStyle w:val="TableTextEntries"/>
            </w:pPr>
            <w:proofErr w:type="spellStart"/>
            <w:proofErr w:type="gramStart"/>
            <w:r>
              <w:t>Multiregion</w:t>
            </w:r>
            <w:proofErr w:type="spellEnd"/>
            <w:r>
              <w:t xml:space="preserve">, </w:t>
            </w:r>
            <w:proofErr w:type="spellStart"/>
            <w:r>
              <w:t>multicommodity</w:t>
            </w:r>
            <w:proofErr w:type="spellEnd"/>
            <w:r>
              <w:t>, dynamic partial equilibrium model.</w:t>
            </w:r>
            <w:proofErr w:type="gramEnd"/>
            <w:r>
              <w:t xml:space="preserve"> It covers production, consumption and trade in five grains or groups of grains (wheat, malting barley, other coarse grains, pulses and oil seeds) for Australia’s major export destinations (see table 2 for the list of country groups)</w:t>
            </w:r>
          </w:p>
        </w:tc>
        <w:tc>
          <w:tcPr>
            <w:tcW w:w="3146" w:type="dxa"/>
            <w:tcBorders>
              <w:top w:val="single" w:sz="8" w:space="0" w:color="FFFFFF" w:themeColor="background1"/>
              <w:left w:val="nil"/>
              <w:bottom w:val="single" w:sz="4" w:space="0" w:color="auto"/>
              <w:right w:val="nil"/>
            </w:tcBorders>
            <w:shd w:val="clear" w:color="auto" w:fill="E9E8E5" w:themeFill="background2"/>
            <w:hideMark/>
          </w:tcPr>
          <w:p w:rsidR="00D035C2" w:rsidRDefault="00D035C2" w:rsidP="00D035C2">
            <w:pPr>
              <w:pStyle w:val="TableTextEntries"/>
            </w:pPr>
            <w:r>
              <w:t>Some updating to ensure alignment with NGGI activity levels; introducing carbon farming cost module to model the voluntary CFI.</w:t>
            </w:r>
          </w:p>
        </w:tc>
      </w:tr>
    </w:tbl>
    <w:p w:rsidR="00D035C2" w:rsidRDefault="00D035C2" w:rsidP="00D035C2">
      <w:pPr>
        <w:pStyle w:val="Summary2"/>
      </w:pPr>
      <w:bookmarkStart w:id="129" w:name="_Toc364436066"/>
      <w:r>
        <w:t>Model parameters</w:t>
      </w:r>
      <w:bookmarkEnd w:id="129"/>
    </w:p>
    <w:p w:rsidR="00D035C2" w:rsidRPr="00CF5D69" w:rsidRDefault="00D035C2" w:rsidP="00D035C2">
      <w:pPr>
        <w:pStyle w:val="BodyText"/>
      </w:pPr>
      <w:r>
        <w:t xml:space="preserve">Like all models, the GMI, Dairy and Grains models used for this round of forecasts contain a number of ‘behavioural parameters’. In general, these parameters describe the response of economic agents (producers, consumers, importers and so on) to changes in their relevant decision variables (most commonly, prices). Parameters are often expressed </w:t>
      </w:r>
      <w:proofErr w:type="gramStart"/>
      <w:r>
        <w:t>as an ‘elasticity’</w:t>
      </w:r>
      <w:proofErr w:type="gramEnd"/>
      <w:r>
        <w:t xml:space="preserve">, describing the percentage change in one variable (demand, for example) in response to a one per cent change in another variable (price, for example). The model parameters and their functions within the three models </w:t>
      </w:r>
      <w:proofErr w:type="gramStart"/>
      <w:r>
        <w:t>are described</w:t>
      </w:r>
      <w:proofErr w:type="gramEnd"/>
      <w:r>
        <w:t xml:space="preserve"> in table A.3.</w:t>
      </w:r>
    </w:p>
    <w:p w:rsidR="00D035C2" w:rsidRDefault="00D035C2" w:rsidP="00D035C2">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"1" </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130" w:name="_Caption4144"/>
      <w:bookmarkStart w:id="131" w:name="_Ref364425558"/>
      <w:bookmarkStart w:id="132" w:name="_Toc364436095"/>
      <w:bookmarkStart w:id="133" w:name="_Toc366052902"/>
      <w:r w:rsidR="00927DCC">
        <w:rPr>
          <w:noProof/>
        </w:rPr>
        <w:t>A</w:t>
      </w:r>
      <w:r w:rsidR="00927DCC" w:rsidRPr="00695C93">
        <w:rPr>
          <w:noProof/>
        </w:rPr>
        <w:t>.</w:t>
      </w:r>
      <w:r w:rsidR="00927DCC">
        <w:rPr>
          <w:noProof/>
        </w:rPr>
        <w:t>2</w:t>
      </w:r>
      <w:bookmarkEnd w:id="130"/>
      <w:bookmarkEnd w:id="131"/>
      <w:r w:rsidRPr="00695C93">
        <w:fldChar w:fldCharType="end"/>
      </w:r>
      <w:r w:rsidRPr="00695C93">
        <w:tab/>
      </w:r>
      <w:r>
        <w:t>Countries and regions in models</w:t>
      </w:r>
      <w:bookmarkEnd w:id="132"/>
      <w:bookmarkEnd w:id="133"/>
    </w:p>
    <w:tbl>
      <w:tblPr>
        <w:tblW w:w="7937" w:type="dxa"/>
        <w:tblInd w:w="57" w:type="dxa"/>
        <w:tblLook w:val="04A0" w:firstRow="1" w:lastRow="0" w:firstColumn="1" w:lastColumn="0" w:noHBand="0" w:noVBand="1"/>
      </w:tblPr>
      <w:tblGrid>
        <w:gridCol w:w="1591"/>
        <w:gridCol w:w="1924"/>
        <w:gridCol w:w="759"/>
        <w:gridCol w:w="1739"/>
        <w:gridCol w:w="1924"/>
      </w:tblGrid>
      <w:tr w:rsidR="00D035C2" w:rsidTr="00D035C2">
        <w:trPr>
          <w:trHeight w:val="300"/>
        </w:trPr>
        <w:tc>
          <w:tcPr>
            <w:tcW w:w="1591"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pPr>
              <w:pStyle w:val="TableTextColumnHeading"/>
            </w:pPr>
            <w:r>
              <w:t>GMI</w:t>
            </w:r>
          </w:p>
        </w:tc>
        <w:tc>
          <w:tcPr>
            <w:tcW w:w="1924"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tc>
        <w:tc>
          <w:tcPr>
            <w:tcW w:w="759"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tc>
        <w:tc>
          <w:tcPr>
            <w:tcW w:w="1739"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pPr>
              <w:pStyle w:val="TableTextColumnHeading"/>
            </w:pPr>
            <w:r>
              <w:t>Dairy</w:t>
            </w:r>
          </w:p>
        </w:tc>
        <w:tc>
          <w:tcPr>
            <w:tcW w:w="1924"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pPr>
              <w:pStyle w:val="TableTextColumnHeading"/>
            </w:pPr>
            <w:r>
              <w:t>Grains</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Australia</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Thailand</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Australia</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Australia</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New Zealand</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Philippines</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New Zealand</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Rest of Pacific</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United States</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China</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United States</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Africa</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Canada</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European Union</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European Union</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Americas</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Japan</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Mexico</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Rest of World</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Europe</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South Korea</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Argentina</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Middle East</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Taiwan</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Uruguay</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North Asia</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Hong Kong</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Paraguay</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South Asia</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Singapore</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Brazil</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Southeast Asia</w:t>
            </w:r>
          </w:p>
        </w:tc>
      </w:tr>
      <w:tr w:rsidR="00D035C2" w:rsidTr="00D035C2">
        <w:trPr>
          <w:trHeight w:val="300"/>
        </w:trPr>
        <w:tc>
          <w:tcPr>
            <w:tcW w:w="159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Malaysia</w:t>
            </w:r>
          </w:p>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India</w:t>
            </w:r>
          </w:p>
        </w:tc>
        <w:tc>
          <w:tcPr>
            <w:tcW w:w="7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r>
      <w:tr w:rsidR="00D035C2" w:rsidTr="00D035C2">
        <w:trPr>
          <w:trHeight w:val="300"/>
        </w:trPr>
        <w:tc>
          <w:tcPr>
            <w:tcW w:w="1591"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Indonesia</w:t>
            </w:r>
          </w:p>
        </w:tc>
        <w:tc>
          <w:tcPr>
            <w:tcW w:w="1924"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Rest of World</w:t>
            </w:r>
          </w:p>
        </w:tc>
        <w:tc>
          <w:tcPr>
            <w:tcW w:w="759"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tc>
        <w:tc>
          <w:tcPr>
            <w:tcW w:w="1739"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tc>
        <w:tc>
          <w:tcPr>
            <w:tcW w:w="1924"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tc>
      </w:tr>
    </w:tbl>
    <w:p w:rsidR="00D035C2" w:rsidRDefault="00D035C2" w:rsidP="00D035C2">
      <w:pPr>
        <w:pStyle w:val="BodyText"/>
      </w:pPr>
      <w:r>
        <w:t xml:space="preserve">The approach to deriving parameter values varies, depending on the nature of the parameter and the information sources available. Deriving parameter values </w:t>
      </w:r>
      <w:proofErr w:type="gramStart"/>
      <w:r>
        <w:t>is based</w:t>
      </w:r>
      <w:proofErr w:type="gramEnd"/>
      <w:r>
        <w:t xml:space="preserve"> around the following sets of alternatives.</w:t>
      </w:r>
    </w:p>
    <w:p w:rsidR="00D035C2" w:rsidRDefault="00D035C2" w:rsidP="00D035C2">
      <w:pPr>
        <w:pStyle w:val="ListBullet"/>
        <w:numPr>
          <w:ilvl w:val="0"/>
          <w:numId w:val="30"/>
        </w:numPr>
      </w:pPr>
      <w:proofErr w:type="gramStart"/>
      <w:r>
        <w:t>Econometric (statistical) estimation using historical data.</w:t>
      </w:r>
      <w:proofErr w:type="gramEnd"/>
      <w:r>
        <w:t xml:space="preserve"> This is the approach taken, for example, in deriving the income and price </w:t>
      </w:r>
      <w:proofErr w:type="spellStart"/>
      <w:r>
        <w:t>elasticities</w:t>
      </w:r>
      <w:proofErr w:type="spellEnd"/>
      <w:r>
        <w:t xml:space="preserve"> of demand within the GMI model (in this case, estimation was based around an Almost Ideal Demand System).</w:t>
      </w:r>
    </w:p>
    <w:p w:rsidR="00D035C2" w:rsidRDefault="00D035C2" w:rsidP="00D035C2">
      <w:pPr>
        <w:pStyle w:val="ListBullet"/>
        <w:numPr>
          <w:ilvl w:val="0"/>
          <w:numId w:val="30"/>
        </w:numPr>
      </w:pPr>
      <w:r>
        <w:t xml:space="preserve">Drawing on parameter estimates from published literature. Within agricultural </w:t>
      </w:r>
      <w:proofErr w:type="gramStart"/>
      <w:r>
        <w:t>economics</w:t>
      </w:r>
      <w:proofErr w:type="gramEnd"/>
      <w:r>
        <w:t xml:space="preserve"> there is a long history of statistically estimating and publishing a range of ‘</w:t>
      </w:r>
      <w:proofErr w:type="spellStart"/>
      <w:r>
        <w:t>elasticities</w:t>
      </w:r>
      <w:proofErr w:type="spellEnd"/>
      <w:r>
        <w:t xml:space="preserve">’ including demand and supply </w:t>
      </w:r>
      <w:proofErr w:type="spellStart"/>
      <w:r>
        <w:t>elasticities</w:t>
      </w:r>
      <w:proofErr w:type="spellEnd"/>
      <w:r>
        <w:t>. Drawing on published literature is the approach taken for some of the supply parameters within the grain and dairy models. Here we include parameters taken from the Global Trade Analysis Project (GTAP).</w:t>
      </w:r>
    </w:p>
    <w:p w:rsidR="00D035C2" w:rsidRDefault="00D035C2" w:rsidP="00D035C2">
      <w:pPr>
        <w:pStyle w:val="ListBullet"/>
        <w:numPr>
          <w:ilvl w:val="0"/>
          <w:numId w:val="30"/>
        </w:numPr>
      </w:pPr>
      <w:proofErr w:type="gramStart"/>
      <w:r>
        <w:t>Drawing on specific industry expertise, including industry knowledge of cost and production functions.</w:t>
      </w:r>
      <w:proofErr w:type="gramEnd"/>
      <w:r>
        <w:t xml:space="preserve"> This approach </w:t>
      </w:r>
      <w:proofErr w:type="gramStart"/>
      <w:r>
        <w:t>is used</w:t>
      </w:r>
      <w:proofErr w:type="gramEnd"/>
      <w:r>
        <w:t xml:space="preserve"> for a number of parameters within the GMI model where statistical estimation is not possible. Industry experience contains a rich source of information to help verify economic models.</w:t>
      </w:r>
    </w:p>
    <w:p w:rsidR="00D035C2" w:rsidRDefault="00D035C2" w:rsidP="00D035C2">
      <w:pPr>
        <w:pStyle w:val="ListBullet"/>
        <w:numPr>
          <w:ilvl w:val="0"/>
          <w:numId w:val="30"/>
        </w:numPr>
      </w:pPr>
      <w:r>
        <w:t xml:space="preserve">Calibration of model parameters using observed industry responses to particular economic changes. This approach is similar to statistical estimation but </w:t>
      </w:r>
      <w:proofErr w:type="gramStart"/>
      <w:r>
        <w:t>is specifically designed</w:t>
      </w:r>
      <w:proofErr w:type="gramEnd"/>
      <w:r>
        <w:t xml:space="preserve"> to use recent information (rather than a long time series) to ensure that model parameters reproduce observed market behaviour. This is the approach taken to the ‘</w:t>
      </w:r>
      <w:proofErr w:type="spellStart"/>
      <w:r>
        <w:t>Armington</w:t>
      </w:r>
      <w:proofErr w:type="spellEnd"/>
      <w:r>
        <w:t xml:space="preserve">’ </w:t>
      </w:r>
      <w:proofErr w:type="spellStart"/>
      <w:r>
        <w:t>elasticities</w:t>
      </w:r>
      <w:proofErr w:type="spellEnd"/>
      <w:r>
        <w:t xml:space="preserve"> within the GMI model.</w:t>
      </w:r>
    </w:p>
    <w:p w:rsidR="00D035C2" w:rsidRDefault="00D035C2" w:rsidP="00D035C2">
      <w:pPr>
        <w:pStyle w:val="BodyText"/>
      </w:pPr>
      <w:r>
        <w:t>Table A.3 summarises the parameters used in each of the three models, while tables A.4 to A.8 provide values for some of the key model parameters.</w:t>
      </w:r>
    </w:p>
    <w:p w:rsidR="00D035C2" w:rsidRDefault="00D035C2" w:rsidP="00D035C2">
      <w:pPr>
        <w:pStyle w:val="Caption"/>
        <w:numPr>
          <w:ilvl w:val="0"/>
          <w:numId w:val="29"/>
        </w:numPr>
      </w:pPr>
      <w:r>
        <w:br w:type="page"/>
      </w:r>
      <w:bookmarkStart w:id="134" w:name="_Toc352743631"/>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3</w:instrText>
      </w:r>
      <w:r w:rsidRPr="00695C93">
        <w:instrText xml:space="preserve">" "" </w:instrText>
      </w:r>
      <w:r w:rsidRPr="00695C93">
        <w:fldChar w:fldCharType="separate"/>
      </w:r>
      <w:bookmarkStart w:id="135" w:name="_Caption2313"/>
      <w:bookmarkStart w:id="136" w:name="_Toc364436096"/>
      <w:bookmarkStart w:id="137" w:name="_Toc366052903"/>
      <w:r w:rsidR="00927DCC">
        <w:rPr>
          <w:noProof/>
        </w:rPr>
        <w:t>A</w:t>
      </w:r>
      <w:r w:rsidR="00927DCC" w:rsidRPr="00695C93">
        <w:rPr>
          <w:noProof/>
        </w:rPr>
        <w:t>.</w:t>
      </w:r>
      <w:r w:rsidR="00927DCC">
        <w:rPr>
          <w:noProof/>
        </w:rPr>
        <w:t>3</w:t>
      </w:r>
      <w:bookmarkEnd w:id="135"/>
      <w:r w:rsidRPr="00695C93">
        <w:fldChar w:fldCharType="end"/>
      </w:r>
      <w:r w:rsidRPr="00695C93">
        <w:tab/>
      </w:r>
      <w:r>
        <w:t>Model parameters and their functions</w:t>
      </w:r>
      <w:bookmarkEnd w:id="134"/>
      <w:bookmarkEnd w:id="136"/>
      <w:bookmarkEnd w:id="137"/>
    </w:p>
    <w:tbl>
      <w:tblPr>
        <w:tblW w:w="7937" w:type="dxa"/>
        <w:tblInd w:w="57" w:type="dxa"/>
        <w:tblLook w:val="04A0" w:firstRow="1" w:lastRow="0" w:firstColumn="1" w:lastColumn="0" w:noHBand="0" w:noVBand="1"/>
      </w:tblPr>
      <w:tblGrid>
        <w:gridCol w:w="3897"/>
        <w:gridCol w:w="4040"/>
      </w:tblGrid>
      <w:tr w:rsidR="00D035C2" w:rsidTr="00F17782">
        <w:trPr>
          <w:trHeight w:val="315"/>
        </w:trPr>
        <w:tc>
          <w:tcPr>
            <w:tcW w:w="3897"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pPr>
              <w:pStyle w:val="TableTextColumnHeading"/>
            </w:pPr>
            <w:r>
              <w:t>Parameters</w:t>
            </w:r>
          </w:p>
        </w:tc>
        <w:tc>
          <w:tcPr>
            <w:tcW w:w="4040" w:type="dxa"/>
            <w:tcBorders>
              <w:bottom w:val="single" w:sz="8" w:space="0" w:color="FFFFFF" w:themeColor="background1"/>
            </w:tcBorders>
            <w:shd w:val="clear" w:color="auto" w:fill="6F6652"/>
            <w:noWrap/>
            <w:tcMar>
              <w:top w:w="0" w:type="dxa"/>
              <w:left w:w="57" w:type="dxa"/>
              <w:bottom w:w="0" w:type="dxa"/>
              <w:right w:w="57" w:type="dxa"/>
            </w:tcMar>
            <w:hideMark/>
          </w:tcPr>
          <w:p w:rsidR="00D035C2" w:rsidRDefault="00D035C2" w:rsidP="00D035C2">
            <w:pPr>
              <w:pStyle w:val="TableTextColumnHeading"/>
            </w:pPr>
            <w:r>
              <w:t>Function within the model</w:t>
            </w:r>
          </w:p>
        </w:tc>
      </w:tr>
      <w:tr w:rsidR="00D035C2" w:rsidTr="00F17782">
        <w:trPr>
          <w:trHeight w:val="300"/>
        </w:trPr>
        <w:tc>
          <w:tcPr>
            <w:tcW w:w="3897"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pPr>
              <w:pStyle w:val="TableTextEntries"/>
              <w:rPr>
                <w:b/>
                <w:i/>
              </w:rPr>
            </w:pPr>
            <w:r>
              <w:rPr>
                <w:b/>
                <w:i/>
              </w:rPr>
              <w:t>Global Meat Industry (GMI) model</w:t>
            </w:r>
          </w:p>
        </w:tc>
        <w:tc>
          <w:tcPr>
            <w:tcW w:w="4040"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Income elasticity of demand</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This captures changes in consumer demand for each meat type as income changes. Typically, red meats are ‘income elastic’, meaning that demand is highly responsive to changes in income.</w:t>
            </w:r>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Price elasticity of demand</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response of consumers to changes in relative meat prices.</w:t>
            </w:r>
            <w:proofErr w:type="gramEnd"/>
            <w:r>
              <w:t xml:space="preserve"> </w:t>
            </w:r>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Elasticity of substitution between domestic and imported products as well as between imported products from different sources (the ‘</w:t>
            </w:r>
            <w:proofErr w:type="spellStart"/>
            <w:r>
              <w:t>Armington</w:t>
            </w:r>
            <w:proofErr w:type="spellEnd"/>
            <w:r>
              <w:t xml:space="preserve">’ </w:t>
            </w:r>
            <w:proofErr w:type="spellStart"/>
            <w:r>
              <w:t>elasticities</w:t>
            </w:r>
            <w:proofErr w:type="spellEnd"/>
            <w:r>
              <w:t>)</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 xml:space="preserve">Captures the extent to which importing countries respond to relative price changes of products from different origins. </w:t>
            </w:r>
            <w:proofErr w:type="gramStart"/>
            <w:r>
              <w:t>Designed to capture the fact that different meat products from different countries have different quality specifications.</w:t>
            </w:r>
            <w:proofErr w:type="gramEnd"/>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Price elasticity of supply</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The extent to which supply (by country) is able to respond to price changes.</w:t>
            </w:r>
            <w:proofErr w:type="gramEnd"/>
          </w:p>
        </w:tc>
      </w:tr>
      <w:tr w:rsidR="00D035C2" w:rsidTr="00F1778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r>
      <w:tr w:rsidR="00D035C2" w:rsidTr="00F17782">
        <w:trPr>
          <w:trHeight w:val="300"/>
        </w:trPr>
        <w:tc>
          <w:tcPr>
            <w:tcW w:w="3897"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pPr>
              <w:pStyle w:val="TableTextEntries"/>
              <w:rPr>
                <w:b/>
                <w:i/>
              </w:rPr>
            </w:pPr>
            <w:r>
              <w:rPr>
                <w:b/>
                <w:i/>
              </w:rPr>
              <w:t>Dairy model</w:t>
            </w:r>
          </w:p>
        </w:tc>
        <w:tc>
          <w:tcPr>
            <w:tcW w:w="4040"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Supply elasticity</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The extent to which supply (by country) is able to respond to price changes.</w:t>
            </w:r>
            <w:proofErr w:type="gramEnd"/>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Income elasticity of demand</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This captures changes in consumer demand for each dairy product as income changes. Often, particular dairy products are ‘income elastic’, meaning that demand is highly responsive to changes in income.</w:t>
            </w:r>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Price elasticity of demand and elasticity of demand substitution between dairy products</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response of consumers to changes in relative prices of different dairy products.</w:t>
            </w:r>
            <w:proofErr w:type="gramEnd"/>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Elasticity of substitution between domestic and imported products as well as between imported products from different sources (the ‘</w:t>
            </w:r>
            <w:proofErr w:type="spellStart"/>
            <w:r>
              <w:t>Armington</w:t>
            </w:r>
            <w:proofErr w:type="spellEnd"/>
            <w:r>
              <w:t xml:space="preserve">’ </w:t>
            </w:r>
            <w:proofErr w:type="spellStart"/>
            <w:r>
              <w:t>elasticities</w:t>
            </w:r>
            <w:proofErr w:type="spellEnd"/>
            <w:r>
              <w:t>)</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 xml:space="preserve">Captures the extent to which importing countries respond to relative price changes of products from different origins. </w:t>
            </w:r>
          </w:p>
        </w:tc>
      </w:tr>
      <w:tr w:rsidR="00D035C2" w:rsidTr="00F1778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tc>
      </w:tr>
      <w:tr w:rsidR="00D035C2" w:rsidTr="00F17782">
        <w:trPr>
          <w:trHeight w:val="300"/>
        </w:trPr>
        <w:tc>
          <w:tcPr>
            <w:tcW w:w="3897"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pPr>
              <w:pStyle w:val="TableTextEntries"/>
              <w:rPr>
                <w:b/>
                <w:i/>
              </w:rPr>
            </w:pPr>
            <w:r>
              <w:rPr>
                <w:b/>
                <w:i/>
              </w:rPr>
              <w:t>Grains model</w:t>
            </w:r>
          </w:p>
        </w:tc>
        <w:tc>
          <w:tcPr>
            <w:tcW w:w="4040"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D035C2" w:rsidRDefault="00D035C2" w:rsidP="00D035C2"/>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Income elasticity of demand</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changes in consumer demand for grain products as income changes.</w:t>
            </w:r>
            <w:proofErr w:type="gramEnd"/>
            <w:r>
              <w:t xml:space="preserve"> </w:t>
            </w:r>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Price elasticity of demand</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response of consumers to changes in relative prices of different dairy products.</w:t>
            </w:r>
            <w:proofErr w:type="gramEnd"/>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Elasticity of substitution between Australian and foreign grains (an ‘</w:t>
            </w:r>
            <w:proofErr w:type="spellStart"/>
            <w:r>
              <w:t>Armington</w:t>
            </w:r>
            <w:proofErr w:type="spellEnd"/>
            <w:r>
              <w:t>’ elasticity).</w:t>
            </w:r>
            <w:proofErr w:type="gramEnd"/>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Captures the extent to which importing countries respond to relative price changes of products from different origins.</w:t>
            </w:r>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Elasticity of transformation from gross grain output to individual grain output — supply elasticity</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extent to which individual grain output changes (given total capacity) in response to relative price changes.</w:t>
            </w:r>
            <w:proofErr w:type="gramEnd"/>
          </w:p>
        </w:tc>
      </w:tr>
      <w:tr w:rsidR="00D035C2" w:rsidTr="00D035C2">
        <w:trPr>
          <w:trHeight w:val="300"/>
        </w:trPr>
        <w:tc>
          <w:tcPr>
            <w:tcW w:w="389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Elasticity of substitution between primary factors in farming and processing</w:t>
            </w:r>
          </w:p>
        </w:tc>
        <w:tc>
          <w:tcPr>
            <w:tcW w:w="40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technical ability to substitute between land, labour and capital in production and in response to relative price changes.</w:t>
            </w:r>
            <w:proofErr w:type="gramEnd"/>
          </w:p>
        </w:tc>
      </w:tr>
      <w:tr w:rsidR="00D035C2" w:rsidTr="00D035C2">
        <w:trPr>
          <w:trHeight w:val="300"/>
        </w:trPr>
        <w:tc>
          <w:tcPr>
            <w:tcW w:w="3897"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r>
              <w:t>Elasticity of substitution between grain inputs in processing</w:t>
            </w:r>
          </w:p>
        </w:tc>
        <w:tc>
          <w:tcPr>
            <w:tcW w:w="4040"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035C2" w:rsidRDefault="00D035C2" w:rsidP="00D035C2">
            <w:pPr>
              <w:pStyle w:val="TableTextEntries"/>
            </w:pPr>
            <w:proofErr w:type="gramStart"/>
            <w:r>
              <w:t>Captures the ability of the grain processing industry to substitute between different grains in production.</w:t>
            </w:r>
            <w:proofErr w:type="gramEnd"/>
          </w:p>
        </w:tc>
      </w:tr>
    </w:tbl>
    <w:bookmarkStart w:id="138" w:name="_Toc352743632"/>
    <w:p w:rsidR="00D035C2" w:rsidRDefault="00D035C2" w:rsidP="00D035C2">
      <w:pPr>
        <w:pStyle w:val="Caption"/>
        <w:numPr>
          <w:ilvl w:val="0"/>
          <w:numId w:val="29"/>
        </w:numPr>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4</w:instrText>
      </w:r>
      <w:r w:rsidRPr="00695C93">
        <w:instrText xml:space="preserve">" "" </w:instrText>
      </w:r>
      <w:r w:rsidRPr="00695C93">
        <w:fldChar w:fldCharType="separate"/>
      </w:r>
      <w:bookmarkStart w:id="139" w:name="_Caption2553"/>
      <w:bookmarkStart w:id="140" w:name="_Toc364436097"/>
      <w:bookmarkStart w:id="141" w:name="_Toc366052904"/>
      <w:r w:rsidR="00927DCC">
        <w:rPr>
          <w:noProof/>
        </w:rPr>
        <w:t>A</w:t>
      </w:r>
      <w:r w:rsidR="00927DCC" w:rsidRPr="00695C93">
        <w:rPr>
          <w:noProof/>
        </w:rPr>
        <w:t>.</w:t>
      </w:r>
      <w:r w:rsidR="00927DCC">
        <w:rPr>
          <w:noProof/>
        </w:rPr>
        <w:t>4</w:t>
      </w:r>
      <w:bookmarkEnd w:id="139"/>
      <w:r w:rsidRPr="00695C93">
        <w:fldChar w:fldCharType="end"/>
      </w:r>
      <w:r w:rsidRPr="00695C93">
        <w:tab/>
      </w:r>
      <w:r>
        <w:t xml:space="preserve">Range of income </w:t>
      </w:r>
      <w:proofErr w:type="spellStart"/>
      <w:r>
        <w:t>elasticities</w:t>
      </w:r>
      <w:proofErr w:type="spellEnd"/>
      <w:r>
        <w:t xml:space="preserve"> in the GMI model</w:t>
      </w:r>
      <w:bookmarkEnd w:id="138"/>
      <w:bookmarkEnd w:id="140"/>
      <w:bookmarkEnd w:id="141"/>
    </w:p>
    <w:tbl>
      <w:tblPr>
        <w:tblW w:w="0" w:type="auto"/>
        <w:tblInd w:w="57" w:type="dxa"/>
        <w:tblLayout w:type="fixed"/>
        <w:tblLook w:val="04A0" w:firstRow="1" w:lastRow="0" w:firstColumn="1" w:lastColumn="0" w:noHBand="0" w:noVBand="1"/>
      </w:tblPr>
      <w:tblGrid>
        <w:gridCol w:w="2645"/>
        <w:gridCol w:w="2646"/>
        <w:gridCol w:w="2646"/>
      </w:tblGrid>
      <w:tr w:rsidR="00D035C2" w:rsidTr="00352A26">
        <w:tc>
          <w:tcPr>
            <w:tcW w:w="2645" w:type="dxa"/>
            <w:tcBorders>
              <w:bottom w:val="single" w:sz="8" w:space="0" w:color="FFFFFF" w:themeColor="background1"/>
            </w:tcBorders>
            <w:shd w:val="clear" w:color="auto" w:fill="6F6652"/>
            <w:tcMar>
              <w:top w:w="0" w:type="dxa"/>
              <w:left w:w="57" w:type="dxa"/>
              <w:bottom w:w="0" w:type="dxa"/>
              <w:right w:w="57" w:type="dxa"/>
            </w:tcMar>
          </w:tcPr>
          <w:p w:rsidR="00D035C2" w:rsidRDefault="00D035C2" w:rsidP="00D035C2">
            <w:pPr>
              <w:pStyle w:val="TableDataColumnHeading"/>
              <w:jc w:val="left"/>
            </w:pP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Developing countries</w:t>
            </w: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Developed countries</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Beef</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0.8 to 1.0</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 to 0.8</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Sheep meat</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0.5 to 1.0</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 to 0.5</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Pig meat</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0.2 to 1.0</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 to 0.3</w:t>
            </w:r>
          </w:p>
        </w:tc>
      </w:tr>
      <w:tr w:rsidR="00D035C2" w:rsidTr="00352A26">
        <w:tc>
          <w:tcPr>
            <w:tcW w:w="2645"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Poultry</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0.5 to 0.9</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 to 0.2</w:t>
            </w:r>
          </w:p>
        </w:tc>
      </w:tr>
    </w:tbl>
    <w:p w:rsidR="00D035C2" w:rsidRDefault="00D035C2" w:rsidP="00D035C2">
      <w:pPr>
        <w:pStyle w:val="Source"/>
      </w:pPr>
      <w:r>
        <w:rPr>
          <w:i/>
        </w:rPr>
        <w:t>Source:</w:t>
      </w:r>
      <w:r>
        <w:t xml:space="preserve"> CIE GMI model assumptions</w:t>
      </w:r>
    </w:p>
    <w:bookmarkStart w:id="142" w:name="_Toc352743633"/>
    <w:p w:rsidR="00D035C2" w:rsidRDefault="00D035C2" w:rsidP="00D035C2">
      <w:pPr>
        <w:pStyle w:val="Caption"/>
        <w:numPr>
          <w:ilvl w:val="0"/>
          <w:numId w:val="29"/>
        </w:numPr>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5</w:instrText>
      </w:r>
      <w:r w:rsidRPr="00695C93">
        <w:instrText xml:space="preserve">" "" </w:instrText>
      </w:r>
      <w:r w:rsidRPr="00695C93">
        <w:fldChar w:fldCharType="separate"/>
      </w:r>
      <w:bookmarkStart w:id="143" w:name="_Caption5037"/>
      <w:bookmarkStart w:id="144" w:name="_Toc364436098"/>
      <w:bookmarkStart w:id="145" w:name="_Toc366052905"/>
      <w:r w:rsidR="00927DCC">
        <w:rPr>
          <w:noProof/>
        </w:rPr>
        <w:t>A</w:t>
      </w:r>
      <w:r w:rsidR="00927DCC" w:rsidRPr="00695C93">
        <w:rPr>
          <w:noProof/>
        </w:rPr>
        <w:t>.</w:t>
      </w:r>
      <w:r w:rsidR="00927DCC">
        <w:rPr>
          <w:noProof/>
        </w:rPr>
        <w:t>5</w:t>
      </w:r>
      <w:bookmarkEnd w:id="143"/>
      <w:r w:rsidRPr="00695C93">
        <w:fldChar w:fldCharType="end"/>
      </w:r>
      <w:r w:rsidRPr="00695C93">
        <w:tab/>
      </w:r>
      <w:r>
        <w:t xml:space="preserve">Range of price </w:t>
      </w:r>
      <w:proofErr w:type="spellStart"/>
      <w:r>
        <w:t>elasticities</w:t>
      </w:r>
      <w:proofErr w:type="spellEnd"/>
      <w:r>
        <w:t xml:space="preserve"> in the GMI model</w:t>
      </w:r>
      <w:bookmarkEnd w:id="142"/>
      <w:bookmarkEnd w:id="144"/>
      <w:bookmarkEnd w:id="145"/>
    </w:p>
    <w:tbl>
      <w:tblPr>
        <w:tblW w:w="0" w:type="auto"/>
        <w:tblInd w:w="57" w:type="dxa"/>
        <w:tblLayout w:type="fixed"/>
        <w:tblLook w:val="04A0" w:firstRow="1" w:lastRow="0" w:firstColumn="1" w:lastColumn="0" w:noHBand="0" w:noVBand="1"/>
      </w:tblPr>
      <w:tblGrid>
        <w:gridCol w:w="2645"/>
        <w:gridCol w:w="2646"/>
        <w:gridCol w:w="2646"/>
      </w:tblGrid>
      <w:tr w:rsidR="00D035C2" w:rsidTr="00352A26">
        <w:tc>
          <w:tcPr>
            <w:tcW w:w="2645" w:type="dxa"/>
            <w:tcBorders>
              <w:bottom w:val="single" w:sz="8" w:space="0" w:color="FFFFFF" w:themeColor="background1"/>
            </w:tcBorders>
            <w:shd w:val="clear" w:color="auto" w:fill="6F6652"/>
            <w:tcMar>
              <w:top w:w="0" w:type="dxa"/>
              <w:left w:w="57" w:type="dxa"/>
              <w:bottom w:w="0" w:type="dxa"/>
              <w:right w:w="57" w:type="dxa"/>
            </w:tcMar>
          </w:tcPr>
          <w:p w:rsidR="00D035C2" w:rsidRDefault="00D035C2" w:rsidP="00D035C2">
            <w:pPr>
              <w:pStyle w:val="TableDataColumnHeading"/>
              <w:jc w:val="left"/>
            </w:pP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Demand</w:t>
            </w: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Supply</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Beef</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-0.8 to -1.4</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0.4 to 0.6</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Sheep meat</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-0.8 to -2.5</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~0.2</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Pig meat</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-0.7 to -2.5</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0.2 to 0.7</w:t>
            </w:r>
          </w:p>
        </w:tc>
      </w:tr>
      <w:tr w:rsidR="00D035C2" w:rsidTr="00352A26">
        <w:tc>
          <w:tcPr>
            <w:tcW w:w="2645"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Poultry</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-0.6 to -0.9</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1.0 to 2.0</w:t>
            </w:r>
          </w:p>
        </w:tc>
      </w:tr>
    </w:tbl>
    <w:p w:rsidR="00D035C2" w:rsidRDefault="00D035C2" w:rsidP="00D035C2">
      <w:pPr>
        <w:pStyle w:val="Source"/>
      </w:pPr>
      <w:r>
        <w:rPr>
          <w:i/>
        </w:rPr>
        <w:t>Source:</w:t>
      </w:r>
      <w:r>
        <w:t xml:space="preserve"> CIE GMI model assumptions</w:t>
      </w:r>
    </w:p>
    <w:bookmarkStart w:id="146" w:name="_Toc352743634"/>
    <w:p w:rsidR="00D035C2" w:rsidRDefault="00D035C2" w:rsidP="00D035C2">
      <w:pPr>
        <w:pStyle w:val="Caption"/>
        <w:numPr>
          <w:ilvl w:val="0"/>
          <w:numId w:val="29"/>
        </w:numPr>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6</w:instrText>
      </w:r>
      <w:r w:rsidRPr="00695C93">
        <w:instrText xml:space="preserve">" "" </w:instrText>
      </w:r>
      <w:r w:rsidRPr="00695C93">
        <w:fldChar w:fldCharType="separate"/>
      </w:r>
      <w:bookmarkStart w:id="147" w:name="_Caption4648"/>
      <w:bookmarkStart w:id="148" w:name="_Toc364436099"/>
      <w:bookmarkStart w:id="149" w:name="_Toc366052906"/>
      <w:r w:rsidR="00927DCC">
        <w:rPr>
          <w:noProof/>
        </w:rPr>
        <w:t>A</w:t>
      </w:r>
      <w:r w:rsidR="00927DCC" w:rsidRPr="00695C93">
        <w:rPr>
          <w:noProof/>
        </w:rPr>
        <w:t>.</w:t>
      </w:r>
      <w:r w:rsidR="00927DCC">
        <w:rPr>
          <w:noProof/>
        </w:rPr>
        <w:t>6</w:t>
      </w:r>
      <w:bookmarkEnd w:id="147"/>
      <w:r w:rsidRPr="00695C93">
        <w:fldChar w:fldCharType="end"/>
      </w:r>
      <w:r w:rsidRPr="00695C93">
        <w:tab/>
      </w:r>
      <w:r>
        <w:t xml:space="preserve">Demand </w:t>
      </w:r>
      <w:proofErr w:type="spellStart"/>
      <w:r>
        <w:t>elasticities</w:t>
      </w:r>
      <w:proofErr w:type="spellEnd"/>
      <w:r>
        <w:t xml:space="preserve"> for dairy products</w:t>
      </w:r>
      <w:bookmarkEnd w:id="146"/>
      <w:bookmarkEnd w:id="148"/>
      <w:bookmarkEnd w:id="149"/>
    </w:p>
    <w:tbl>
      <w:tblPr>
        <w:tblW w:w="0" w:type="auto"/>
        <w:tblInd w:w="57" w:type="dxa"/>
        <w:tblLayout w:type="fixed"/>
        <w:tblLook w:val="04A0" w:firstRow="1" w:lastRow="0" w:firstColumn="1" w:lastColumn="0" w:noHBand="0" w:noVBand="1"/>
      </w:tblPr>
      <w:tblGrid>
        <w:gridCol w:w="2645"/>
        <w:gridCol w:w="2646"/>
        <w:gridCol w:w="2646"/>
      </w:tblGrid>
      <w:tr w:rsidR="00D035C2" w:rsidTr="00352A26">
        <w:tc>
          <w:tcPr>
            <w:tcW w:w="2645" w:type="dxa"/>
            <w:tcBorders>
              <w:bottom w:val="single" w:sz="8" w:space="0" w:color="FFFFFF" w:themeColor="background1"/>
            </w:tcBorders>
            <w:shd w:val="clear" w:color="auto" w:fill="6F6652"/>
            <w:tcMar>
              <w:top w:w="0" w:type="dxa"/>
              <w:left w:w="57" w:type="dxa"/>
              <w:bottom w:w="0" w:type="dxa"/>
              <w:right w:w="57" w:type="dxa"/>
            </w:tcMar>
          </w:tcPr>
          <w:p w:rsidR="00D035C2" w:rsidRDefault="00D035C2" w:rsidP="00D035C2">
            <w:pPr>
              <w:pStyle w:val="TableDataColumnHeading"/>
              <w:jc w:val="left"/>
            </w:pP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Developing countries</w:t>
            </w: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Developed countries</w:t>
            </w:r>
          </w:p>
        </w:tc>
      </w:tr>
      <w:tr w:rsidR="00D035C2" w:rsidTr="00352A26">
        <w:tc>
          <w:tcPr>
            <w:tcW w:w="2645"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hideMark/>
          </w:tcPr>
          <w:p w:rsidR="00D035C2" w:rsidRDefault="00D035C2" w:rsidP="00D035C2">
            <w:pPr>
              <w:pStyle w:val="TableDataEntries"/>
              <w:jc w:val="left"/>
              <w:rPr>
                <w:b/>
                <w:i/>
              </w:rPr>
            </w:pPr>
            <w:r>
              <w:rPr>
                <w:b/>
                <w:i/>
              </w:rPr>
              <w:t xml:space="preserve">Income </w:t>
            </w:r>
            <w:proofErr w:type="spellStart"/>
            <w:r>
              <w:rPr>
                <w:b/>
                <w:i/>
              </w:rPr>
              <w:t>elasticities</w:t>
            </w:r>
            <w:proofErr w:type="spellEnd"/>
          </w:p>
        </w:tc>
        <w:tc>
          <w:tcPr>
            <w:tcW w:w="2646"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tcPr>
          <w:p w:rsidR="00D035C2" w:rsidRDefault="00D035C2" w:rsidP="00D035C2">
            <w:pPr>
              <w:pStyle w:val="TableDataEntries"/>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tcPr>
          <w:p w:rsidR="00D035C2" w:rsidRDefault="00D035C2" w:rsidP="00D035C2">
            <w:pPr>
              <w:pStyle w:val="TableDataEntries"/>
            </w:pP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Fresh and UHT milk</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Other dairy products</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2</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w:t>
            </w:r>
          </w:p>
        </w:tc>
      </w:tr>
      <w:tr w:rsidR="00D035C2" w:rsidTr="00352A26">
        <w:tc>
          <w:tcPr>
            <w:tcW w:w="2645"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hideMark/>
          </w:tcPr>
          <w:p w:rsidR="00D035C2" w:rsidRDefault="00D035C2" w:rsidP="00D035C2">
            <w:pPr>
              <w:pStyle w:val="TableDataEntries"/>
              <w:jc w:val="left"/>
              <w:rPr>
                <w:b/>
                <w:i/>
              </w:rPr>
            </w:pPr>
            <w:r>
              <w:rPr>
                <w:b/>
                <w:i/>
              </w:rPr>
              <w:t xml:space="preserve">Price </w:t>
            </w:r>
            <w:proofErr w:type="spellStart"/>
            <w:r>
              <w:rPr>
                <w:b/>
                <w:i/>
              </w:rPr>
              <w:t>elasticities</w:t>
            </w:r>
            <w:proofErr w:type="spellEnd"/>
          </w:p>
        </w:tc>
        <w:tc>
          <w:tcPr>
            <w:tcW w:w="2646"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tcPr>
          <w:p w:rsidR="00D035C2" w:rsidRDefault="00D035C2" w:rsidP="00D035C2">
            <w:pPr>
              <w:pStyle w:val="TableDataEntries"/>
              <w:rPr>
                <w:i/>
              </w:rPr>
            </w:pPr>
          </w:p>
        </w:tc>
        <w:tc>
          <w:tcPr>
            <w:tcW w:w="2646" w:type="dxa"/>
            <w:tcBorders>
              <w:top w:val="single" w:sz="8" w:space="0" w:color="FFFFFF" w:themeColor="background1"/>
              <w:bottom w:val="single" w:sz="8" w:space="0" w:color="FFFFFF" w:themeColor="background1"/>
            </w:tcBorders>
            <w:shd w:val="clear" w:color="auto" w:fill="C2DADB" w:themeFill="accent6" w:themeFillTint="99"/>
            <w:tcMar>
              <w:top w:w="0" w:type="dxa"/>
              <w:left w:w="57" w:type="dxa"/>
              <w:bottom w:w="0" w:type="dxa"/>
              <w:right w:w="57" w:type="dxa"/>
            </w:tcMar>
          </w:tcPr>
          <w:p w:rsidR="00D035C2" w:rsidRDefault="00D035C2" w:rsidP="00D035C2">
            <w:pPr>
              <w:pStyle w:val="TableDataEntries"/>
              <w:rPr>
                <w:i/>
              </w:rPr>
            </w:pP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Fresh and UHT milk</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-0.15</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-0.15</w:t>
            </w:r>
          </w:p>
        </w:tc>
      </w:tr>
      <w:tr w:rsidR="00D035C2" w:rsidTr="00352A26">
        <w:tc>
          <w:tcPr>
            <w:tcW w:w="2645"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Other dairy products</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-0.25</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-0.25</w:t>
            </w:r>
          </w:p>
        </w:tc>
      </w:tr>
    </w:tbl>
    <w:p w:rsidR="00D035C2" w:rsidRDefault="00D035C2" w:rsidP="00D035C2">
      <w:pPr>
        <w:pStyle w:val="Source"/>
      </w:pPr>
      <w:r>
        <w:rPr>
          <w:i/>
        </w:rPr>
        <w:t>Source:</w:t>
      </w:r>
      <w:r>
        <w:t xml:space="preserve"> CIE Dairy model assumptions</w:t>
      </w:r>
    </w:p>
    <w:bookmarkStart w:id="150" w:name="_Toc352743635"/>
    <w:p w:rsidR="00D035C2" w:rsidRDefault="00D035C2" w:rsidP="00D035C2">
      <w:pPr>
        <w:pStyle w:val="Caption"/>
        <w:numPr>
          <w:ilvl w:val="0"/>
          <w:numId w:val="29"/>
        </w:numPr>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7</w:instrText>
      </w:r>
      <w:r w:rsidRPr="00695C93">
        <w:instrText xml:space="preserve">" "" </w:instrText>
      </w:r>
      <w:r w:rsidRPr="00695C93">
        <w:fldChar w:fldCharType="separate"/>
      </w:r>
      <w:bookmarkStart w:id="151" w:name="_Caption3625"/>
      <w:bookmarkStart w:id="152" w:name="_Toc364436100"/>
      <w:bookmarkStart w:id="153" w:name="_Toc366052907"/>
      <w:r w:rsidR="00927DCC">
        <w:rPr>
          <w:noProof/>
        </w:rPr>
        <w:t>A</w:t>
      </w:r>
      <w:r w:rsidR="00927DCC" w:rsidRPr="00695C93">
        <w:rPr>
          <w:noProof/>
        </w:rPr>
        <w:t>.</w:t>
      </w:r>
      <w:r w:rsidR="00927DCC">
        <w:rPr>
          <w:noProof/>
        </w:rPr>
        <w:t>7</w:t>
      </w:r>
      <w:bookmarkEnd w:id="151"/>
      <w:r w:rsidRPr="00695C93">
        <w:fldChar w:fldCharType="end"/>
      </w:r>
      <w:r w:rsidRPr="00695C93">
        <w:tab/>
      </w:r>
      <w:r>
        <w:t xml:space="preserve">Demand </w:t>
      </w:r>
      <w:proofErr w:type="spellStart"/>
      <w:r>
        <w:t>elasticities</w:t>
      </w:r>
      <w:proofErr w:type="spellEnd"/>
      <w:r>
        <w:t xml:space="preserve"> for grain products</w:t>
      </w:r>
      <w:bookmarkEnd w:id="150"/>
      <w:bookmarkEnd w:id="152"/>
      <w:bookmarkEnd w:id="153"/>
    </w:p>
    <w:tbl>
      <w:tblPr>
        <w:tblW w:w="0" w:type="auto"/>
        <w:tblInd w:w="57" w:type="dxa"/>
        <w:tblLayout w:type="fixed"/>
        <w:tblLook w:val="04A0" w:firstRow="1" w:lastRow="0" w:firstColumn="1" w:lastColumn="0" w:noHBand="0" w:noVBand="1"/>
      </w:tblPr>
      <w:tblGrid>
        <w:gridCol w:w="2645"/>
        <w:gridCol w:w="2646"/>
        <w:gridCol w:w="2646"/>
      </w:tblGrid>
      <w:tr w:rsidR="00D035C2" w:rsidTr="00352A26">
        <w:tc>
          <w:tcPr>
            <w:tcW w:w="2645" w:type="dxa"/>
            <w:tcBorders>
              <w:bottom w:val="single" w:sz="8" w:space="0" w:color="FFFFFF" w:themeColor="background1"/>
            </w:tcBorders>
            <w:shd w:val="clear" w:color="auto" w:fill="6F6652"/>
            <w:tcMar>
              <w:top w:w="0" w:type="dxa"/>
              <w:left w:w="57" w:type="dxa"/>
              <w:bottom w:w="0" w:type="dxa"/>
              <w:right w:w="57" w:type="dxa"/>
            </w:tcMar>
          </w:tcPr>
          <w:p w:rsidR="00D035C2" w:rsidRDefault="00D035C2" w:rsidP="00D035C2">
            <w:pPr>
              <w:pStyle w:val="TableDataColumnHeading"/>
              <w:jc w:val="left"/>
            </w:pP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Developing countries</w:t>
            </w:r>
          </w:p>
        </w:tc>
        <w:tc>
          <w:tcPr>
            <w:tcW w:w="2646"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pPr>
              <w:pStyle w:val="TableDataColumnHeading"/>
            </w:pPr>
            <w:r>
              <w:t>Developed countries</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rPr>
                <w:b/>
                <w:i/>
              </w:rPr>
              <w:t xml:space="preserve">Income </w:t>
            </w:r>
            <w:proofErr w:type="spellStart"/>
            <w:r>
              <w:rPr>
                <w:b/>
                <w:i/>
              </w:rPr>
              <w:t>elasticities</w:t>
            </w:r>
            <w:proofErr w:type="spellEnd"/>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0.6</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rPr>
                <w:b/>
                <w:i/>
              </w:rPr>
            </w:pPr>
            <w:r>
              <w:rPr>
                <w:b/>
                <w:i/>
              </w:rPr>
              <w:t xml:space="preserve">Price </w:t>
            </w:r>
            <w:proofErr w:type="spellStart"/>
            <w:r>
              <w:rPr>
                <w:b/>
                <w:i/>
              </w:rPr>
              <w:t>elasticities</w:t>
            </w:r>
            <w:proofErr w:type="spellEnd"/>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D035C2" w:rsidRDefault="00D035C2" w:rsidP="00D035C2">
            <w:pPr>
              <w:pStyle w:val="TableDataEntries"/>
              <w:rPr>
                <w:i/>
              </w:rPr>
            </w:pP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D035C2" w:rsidRDefault="00D035C2" w:rsidP="00D035C2">
            <w:pPr>
              <w:pStyle w:val="TableDataEntries"/>
              <w:rPr>
                <w:i/>
              </w:rPr>
            </w:pP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Export demand for grains</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-0.5</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-0.5</w:t>
            </w:r>
          </w:p>
        </w:tc>
      </w:tr>
      <w:tr w:rsidR="00D035C2" w:rsidTr="00352A26">
        <w:tc>
          <w:tcPr>
            <w:tcW w:w="26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Export demand for processed products and feed</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-10</w:t>
            </w:r>
          </w:p>
        </w:tc>
        <w:tc>
          <w:tcPr>
            <w:tcW w:w="264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-10</w:t>
            </w:r>
          </w:p>
        </w:tc>
      </w:tr>
      <w:tr w:rsidR="00D035C2" w:rsidTr="00352A26">
        <w:tc>
          <w:tcPr>
            <w:tcW w:w="2645"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Domestic demand for processed products and feed</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-2</w:t>
            </w:r>
          </w:p>
        </w:tc>
        <w:tc>
          <w:tcPr>
            <w:tcW w:w="2646"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-2</w:t>
            </w:r>
          </w:p>
        </w:tc>
      </w:tr>
    </w:tbl>
    <w:p w:rsidR="00D035C2" w:rsidRDefault="00D035C2" w:rsidP="00D035C2">
      <w:pPr>
        <w:pStyle w:val="Source"/>
      </w:pPr>
      <w:r>
        <w:rPr>
          <w:i/>
        </w:rPr>
        <w:t>Source:</w:t>
      </w:r>
      <w:r>
        <w:t xml:space="preserve"> CIE Grains model assumptions</w:t>
      </w:r>
    </w:p>
    <w:p w:rsidR="00D035C2" w:rsidRDefault="00D035C2" w:rsidP="00D035C2">
      <w:pPr>
        <w:pStyle w:val="Caption"/>
        <w:numPr>
          <w:ilvl w:val="0"/>
          <w:numId w:val="29"/>
        </w:numPr>
      </w:pPr>
      <w:r>
        <w:br w:type="page"/>
      </w:r>
      <w:bookmarkStart w:id="154" w:name="_Toc352743636"/>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A</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A</w:instrText>
        </w:r>
      </w:fldSimple>
      <w:r w:rsidRPr="00695C93">
        <w:instrText xml:space="preserve">." </w:instrText>
      </w:r>
      <w:r w:rsidRPr="00695C93">
        <w:fldChar w:fldCharType="separate"/>
      </w:r>
      <w:r w:rsidR="00927DCC">
        <w:rPr>
          <w:noProof/>
        </w:rPr>
        <w:instrText>A</w:instrText>
      </w:r>
      <w:r w:rsidR="00927DCC" w:rsidRPr="00695C93">
        <w:rPr>
          <w:noProof/>
        </w:rPr>
        <w:instrText>.</w:instrText>
      </w:r>
      <w:r w:rsidRPr="00695C93">
        <w:fldChar w:fldCharType="end"/>
      </w:r>
      <w:r>
        <w:instrText>8</w:instrText>
      </w:r>
      <w:r w:rsidRPr="00695C93">
        <w:instrText xml:space="preserve">" "" </w:instrText>
      </w:r>
      <w:r w:rsidRPr="00695C93">
        <w:fldChar w:fldCharType="separate"/>
      </w:r>
      <w:bookmarkStart w:id="155" w:name="_Caption6100"/>
      <w:bookmarkStart w:id="156" w:name="_Toc364436101"/>
      <w:bookmarkStart w:id="157" w:name="_Toc366052908"/>
      <w:r w:rsidR="00927DCC">
        <w:rPr>
          <w:noProof/>
        </w:rPr>
        <w:t>A</w:t>
      </w:r>
      <w:r w:rsidR="00927DCC" w:rsidRPr="00695C93">
        <w:rPr>
          <w:noProof/>
        </w:rPr>
        <w:t>.</w:t>
      </w:r>
      <w:r w:rsidR="00927DCC">
        <w:rPr>
          <w:noProof/>
        </w:rPr>
        <w:t>8</w:t>
      </w:r>
      <w:bookmarkEnd w:id="155"/>
      <w:r w:rsidRPr="00695C93">
        <w:fldChar w:fldCharType="end"/>
      </w:r>
      <w:r w:rsidRPr="00695C93">
        <w:tab/>
      </w:r>
      <w:proofErr w:type="spellStart"/>
      <w:r>
        <w:t>Elasticities</w:t>
      </w:r>
      <w:proofErr w:type="spellEnd"/>
      <w:r>
        <w:t xml:space="preserve"> of transformation or substitution in the Grains model</w:t>
      </w:r>
      <w:bookmarkEnd w:id="154"/>
      <w:bookmarkEnd w:id="156"/>
      <w:bookmarkEnd w:id="157"/>
    </w:p>
    <w:tbl>
      <w:tblPr>
        <w:tblW w:w="0" w:type="auto"/>
        <w:tblInd w:w="57" w:type="dxa"/>
        <w:tblLayout w:type="fixed"/>
        <w:tblLook w:val="04A0" w:firstRow="1" w:lastRow="0" w:firstColumn="1" w:lastColumn="0" w:noHBand="0" w:noVBand="1"/>
      </w:tblPr>
      <w:tblGrid>
        <w:gridCol w:w="6663"/>
        <w:gridCol w:w="567"/>
        <w:gridCol w:w="707"/>
      </w:tblGrid>
      <w:tr w:rsidR="00D035C2" w:rsidTr="00352A26">
        <w:tc>
          <w:tcPr>
            <w:tcW w:w="6663" w:type="dxa"/>
            <w:tcBorders>
              <w:bottom w:val="single" w:sz="8" w:space="0" w:color="FFFFFF" w:themeColor="background1"/>
            </w:tcBorders>
            <w:shd w:val="clear" w:color="auto" w:fill="6F6652"/>
            <w:tcMar>
              <w:top w:w="0" w:type="dxa"/>
              <w:left w:w="57" w:type="dxa"/>
              <w:bottom w:w="0" w:type="dxa"/>
              <w:right w:w="57" w:type="dxa"/>
            </w:tcMar>
          </w:tcPr>
          <w:p w:rsidR="00D035C2" w:rsidRDefault="00D035C2" w:rsidP="00D035C2">
            <w:pPr>
              <w:pStyle w:val="TableDataColumnHeading"/>
              <w:jc w:val="left"/>
            </w:pPr>
          </w:p>
        </w:tc>
        <w:tc>
          <w:tcPr>
            <w:tcW w:w="567"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tc>
        <w:tc>
          <w:tcPr>
            <w:tcW w:w="707" w:type="dxa"/>
            <w:tcBorders>
              <w:bottom w:val="single" w:sz="8" w:space="0" w:color="FFFFFF" w:themeColor="background1"/>
            </w:tcBorders>
            <w:shd w:val="clear" w:color="auto" w:fill="6F6652"/>
            <w:tcMar>
              <w:top w:w="0" w:type="dxa"/>
              <w:left w:w="57" w:type="dxa"/>
              <w:bottom w:w="0" w:type="dxa"/>
              <w:right w:w="57" w:type="dxa"/>
            </w:tcMar>
            <w:hideMark/>
          </w:tcPr>
          <w:p w:rsidR="00D035C2" w:rsidRDefault="00D035C2" w:rsidP="00D035C2"/>
        </w:tc>
      </w:tr>
      <w:tr w:rsidR="00D035C2" w:rsidTr="00352A26">
        <w:tc>
          <w:tcPr>
            <w:tcW w:w="666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Transforming to individual grain output</w:t>
            </w:r>
          </w:p>
        </w:tc>
        <w:tc>
          <w:tcPr>
            <w:tcW w:w="56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tc>
        <w:tc>
          <w:tcPr>
            <w:tcW w:w="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w:t>
            </w:r>
          </w:p>
        </w:tc>
      </w:tr>
      <w:tr w:rsidR="00D035C2" w:rsidTr="00352A26">
        <w:tc>
          <w:tcPr>
            <w:tcW w:w="666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Substitution between primary factors in grain farming</w:t>
            </w:r>
          </w:p>
        </w:tc>
        <w:tc>
          <w:tcPr>
            <w:tcW w:w="56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D035C2" w:rsidRDefault="00D035C2" w:rsidP="00D035C2">
            <w:pPr>
              <w:pStyle w:val="TableDataEntries"/>
            </w:pPr>
          </w:p>
        </w:tc>
        <w:tc>
          <w:tcPr>
            <w:tcW w:w="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w:t>
            </w:r>
          </w:p>
        </w:tc>
      </w:tr>
      <w:tr w:rsidR="00D035C2" w:rsidTr="00352A26">
        <w:tc>
          <w:tcPr>
            <w:tcW w:w="666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Substitution between primary factors in processing</w:t>
            </w:r>
          </w:p>
        </w:tc>
        <w:tc>
          <w:tcPr>
            <w:tcW w:w="56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D035C2" w:rsidRDefault="00D035C2" w:rsidP="00D035C2">
            <w:pPr>
              <w:pStyle w:val="TableDataEntries"/>
            </w:pPr>
          </w:p>
        </w:tc>
        <w:tc>
          <w:tcPr>
            <w:tcW w:w="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0.5</w:t>
            </w:r>
          </w:p>
        </w:tc>
      </w:tr>
      <w:tr w:rsidR="00D035C2" w:rsidTr="00352A26">
        <w:tc>
          <w:tcPr>
            <w:tcW w:w="6663"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Substitution between individual grain in processing</w:t>
            </w:r>
          </w:p>
        </w:tc>
        <w:tc>
          <w:tcPr>
            <w:tcW w:w="56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D035C2" w:rsidRDefault="00D035C2" w:rsidP="00D035C2">
            <w:pPr>
              <w:pStyle w:val="TableDataEntries"/>
            </w:pPr>
          </w:p>
        </w:tc>
        <w:tc>
          <w:tcPr>
            <w:tcW w:w="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w:t>
            </w:r>
          </w:p>
        </w:tc>
      </w:tr>
      <w:tr w:rsidR="00D035C2" w:rsidTr="00352A26">
        <w:tc>
          <w:tcPr>
            <w:tcW w:w="6663"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jc w:val="left"/>
            </w:pPr>
            <w:r>
              <w:t>Substitution between Australian and foreign products</w:t>
            </w:r>
          </w:p>
        </w:tc>
        <w:tc>
          <w:tcPr>
            <w:tcW w:w="567"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tcPr>
          <w:p w:rsidR="00D035C2" w:rsidRDefault="00D035C2" w:rsidP="00D035C2">
            <w:pPr>
              <w:pStyle w:val="TableDataEntries"/>
            </w:pPr>
          </w:p>
        </w:tc>
        <w:tc>
          <w:tcPr>
            <w:tcW w:w="707" w:type="dxa"/>
            <w:tcBorders>
              <w:top w:val="single" w:sz="8" w:space="0" w:color="FFFFFF" w:themeColor="background1"/>
              <w:left w:val="nil"/>
              <w:bottom w:val="single" w:sz="4" w:space="0" w:color="6F6652"/>
              <w:right w:val="nil"/>
            </w:tcBorders>
            <w:shd w:val="clear" w:color="auto" w:fill="E9E8E5" w:themeFill="background2"/>
            <w:tcMar>
              <w:top w:w="0" w:type="dxa"/>
              <w:left w:w="57" w:type="dxa"/>
              <w:bottom w:w="0" w:type="dxa"/>
              <w:right w:w="57" w:type="dxa"/>
            </w:tcMar>
            <w:hideMark/>
          </w:tcPr>
          <w:p w:rsidR="00D035C2" w:rsidRDefault="00D035C2" w:rsidP="00D035C2">
            <w:pPr>
              <w:pStyle w:val="TableDataEntries"/>
            </w:pPr>
            <w:r>
              <w:t>10</w:t>
            </w:r>
          </w:p>
        </w:tc>
      </w:tr>
    </w:tbl>
    <w:p w:rsidR="00D035C2" w:rsidRDefault="00D035C2" w:rsidP="00D035C2">
      <w:pPr>
        <w:pStyle w:val="Source"/>
      </w:pPr>
      <w:r>
        <w:rPr>
          <w:i/>
        </w:rPr>
        <w:t>Source:</w:t>
      </w:r>
      <w:r>
        <w:t xml:space="preserve"> CIE Grains model assumptions</w:t>
      </w:r>
    </w:p>
    <w:p w:rsidR="00D035C2" w:rsidRDefault="00D035C2" w:rsidP="00D035C2">
      <w:pPr>
        <w:pStyle w:val="BodyText"/>
      </w:pPr>
    </w:p>
    <w:p w:rsidR="00D035C2" w:rsidRPr="00DF5027" w:rsidRDefault="00D035C2" w:rsidP="00D035C2">
      <w:pPr>
        <w:pStyle w:val="BodyText"/>
      </w:pPr>
    </w:p>
    <w:p w:rsidR="00BD0BB1" w:rsidRDefault="00BD0BB1" w:rsidP="00D035C2">
      <w:pPr>
        <w:pStyle w:val="BodyText"/>
      </w:pPr>
    </w:p>
    <w:p w:rsidR="000A5A91" w:rsidRDefault="000A5A91" w:rsidP="000A5A91">
      <w:pPr>
        <w:pStyle w:val="BodyText"/>
      </w:pPr>
    </w:p>
    <w:p w:rsidR="00BD0BB1" w:rsidRDefault="00BD0BB1" w:rsidP="000A5A91">
      <w:pPr>
        <w:pStyle w:val="BodyText"/>
      </w:pPr>
    </w:p>
    <w:p w:rsidR="00BD0BB1" w:rsidRDefault="00BD0BB1" w:rsidP="00D035C2">
      <w:pPr>
        <w:pStyle w:val="Heading6"/>
      </w:pPr>
      <w:bookmarkStart w:id="158" w:name="_Toc366052870"/>
      <w:r>
        <w:lastRenderedPageBreak/>
        <w:t>Key assumptions for the central reference case</w:t>
      </w:r>
      <w:bookmarkEnd w:id="158"/>
    </w:p>
    <w:p w:rsidR="001022A9" w:rsidRDefault="001022A9" w:rsidP="001022A9">
      <w:pPr>
        <w:pStyle w:val="BodyText"/>
      </w:pPr>
      <w:r>
        <w:t xml:space="preserve">Table B.1 summarises the key exogenous set of assumptions used for each of these models, along with the sources for these assumptions. Tables </w:t>
      </w:r>
      <w:r>
        <w:fldChar w:fldCharType="begin"/>
      </w:r>
      <w:r>
        <w:instrText xml:space="preserve"> REF _Ref364425662 \h </w:instrText>
      </w:r>
      <w:r>
        <w:fldChar w:fldCharType="separate"/>
      </w:r>
      <w:r w:rsidR="00927DCC">
        <w:rPr>
          <w:noProof/>
        </w:rPr>
        <w:t>B</w:t>
      </w:r>
      <w:r w:rsidR="00927DCC" w:rsidRPr="00695C93">
        <w:rPr>
          <w:noProof/>
        </w:rPr>
        <w:t>.</w:t>
      </w:r>
      <w:r w:rsidR="00927DCC">
        <w:rPr>
          <w:noProof/>
        </w:rPr>
        <w:t>2</w:t>
      </w:r>
      <w:r>
        <w:fldChar w:fldCharType="end"/>
      </w:r>
      <w:r>
        <w:t>, B.3, B.4 and B.5 summarise the underlying productivity improvements assumed for the GMI and Dairy models.</w:t>
      </w:r>
    </w:p>
    <w:p w:rsidR="001022A9" w:rsidRDefault="001022A9" w:rsidP="001022A9">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B</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B</w:instrText>
        </w:r>
      </w:fldSimple>
      <w:r w:rsidRPr="00695C93">
        <w:instrText xml:space="preserve">." </w:instrText>
      </w:r>
      <w:r w:rsidRPr="00695C93">
        <w:fldChar w:fldCharType="separate"/>
      </w:r>
      <w:r w:rsidR="00927DCC">
        <w:rPr>
          <w:noProof/>
        </w:rPr>
        <w:instrText>B</w:instrText>
      </w:r>
      <w:r w:rsidR="00927DCC" w:rsidRPr="00695C93">
        <w:rPr>
          <w:noProof/>
        </w:rPr>
        <w:instrText>.</w:instrText>
      </w:r>
      <w:r w:rsidRPr="00695C93">
        <w:fldChar w:fldCharType="end"/>
      </w:r>
      <w:r>
        <w:instrText>1</w:instrText>
      </w:r>
      <w:r w:rsidRPr="00695C93">
        <w:instrText xml:space="preserve">" "" </w:instrText>
      </w:r>
      <w:r w:rsidRPr="00695C93">
        <w:fldChar w:fldCharType="separate"/>
      </w:r>
      <w:bookmarkStart w:id="159" w:name="_Caption8702"/>
      <w:bookmarkStart w:id="160" w:name="_Toc364436102"/>
      <w:bookmarkStart w:id="161" w:name="_Toc366052909"/>
      <w:r w:rsidR="00927DCC">
        <w:rPr>
          <w:noProof/>
        </w:rPr>
        <w:t>B</w:t>
      </w:r>
      <w:r w:rsidR="00927DCC" w:rsidRPr="00695C93">
        <w:rPr>
          <w:noProof/>
        </w:rPr>
        <w:t>.</w:t>
      </w:r>
      <w:r w:rsidR="00927DCC">
        <w:rPr>
          <w:noProof/>
        </w:rPr>
        <w:t>1</w:t>
      </w:r>
      <w:bookmarkEnd w:id="159"/>
      <w:r w:rsidRPr="00695C93">
        <w:fldChar w:fldCharType="end"/>
      </w:r>
      <w:r w:rsidRPr="00695C93">
        <w:tab/>
      </w:r>
      <w:r>
        <w:t>Assumption for exogenous variables</w:t>
      </w:r>
      <w:bookmarkEnd w:id="160"/>
      <w:bookmarkEnd w:id="161"/>
    </w:p>
    <w:tbl>
      <w:tblPr>
        <w:tblW w:w="7937" w:type="dxa"/>
        <w:tblInd w:w="57" w:type="dxa"/>
        <w:tblLook w:val="04A0" w:firstRow="1" w:lastRow="0" w:firstColumn="1" w:lastColumn="0" w:noHBand="0" w:noVBand="1"/>
      </w:tblPr>
      <w:tblGrid>
        <w:gridCol w:w="2909"/>
        <w:gridCol w:w="5028"/>
      </w:tblGrid>
      <w:tr w:rsidR="001022A9" w:rsidTr="001022A9">
        <w:trPr>
          <w:trHeight w:val="315"/>
        </w:trPr>
        <w:tc>
          <w:tcPr>
            <w:tcW w:w="2909" w:type="dxa"/>
            <w:tcBorders>
              <w:bottom w:val="single" w:sz="8" w:space="0" w:color="FFFFFF" w:themeColor="background1"/>
            </w:tcBorders>
            <w:shd w:val="clear" w:color="auto" w:fill="6F6652"/>
            <w:noWrap/>
            <w:tcMar>
              <w:top w:w="0" w:type="dxa"/>
              <w:left w:w="57" w:type="dxa"/>
              <w:bottom w:w="0" w:type="dxa"/>
              <w:right w:w="57" w:type="dxa"/>
            </w:tcMar>
            <w:hideMark/>
          </w:tcPr>
          <w:p w:rsidR="001022A9" w:rsidRDefault="001022A9" w:rsidP="00987E99">
            <w:pPr>
              <w:pStyle w:val="TableTextColumnHeading"/>
            </w:pPr>
            <w:r>
              <w:t>Key exogenous variables by model</w:t>
            </w:r>
          </w:p>
        </w:tc>
        <w:tc>
          <w:tcPr>
            <w:tcW w:w="5028" w:type="dxa"/>
            <w:tcBorders>
              <w:bottom w:val="single" w:sz="8" w:space="0" w:color="FFFFFF" w:themeColor="background1"/>
            </w:tcBorders>
            <w:shd w:val="clear" w:color="auto" w:fill="6F6652"/>
            <w:noWrap/>
            <w:tcMar>
              <w:top w:w="0" w:type="dxa"/>
              <w:left w:w="57" w:type="dxa"/>
              <w:bottom w:w="0" w:type="dxa"/>
              <w:right w:w="57" w:type="dxa"/>
            </w:tcMar>
            <w:hideMark/>
          </w:tcPr>
          <w:p w:rsidR="001022A9" w:rsidRDefault="001022A9" w:rsidP="00987E99">
            <w:pPr>
              <w:pStyle w:val="TableTextColumnHeading"/>
            </w:pPr>
            <w:r>
              <w:t>Sources</w:t>
            </w:r>
          </w:p>
        </w:tc>
      </w:tr>
      <w:tr w:rsidR="001022A9" w:rsidRPr="00F17782" w:rsidTr="001022A9">
        <w:trPr>
          <w:trHeight w:val="300"/>
        </w:trPr>
        <w:tc>
          <w:tcPr>
            <w:tcW w:w="2909"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pStyle w:val="TableTextEntries"/>
              <w:rPr>
                <w:b/>
                <w:i/>
              </w:rPr>
            </w:pPr>
            <w:r w:rsidRPr="00F17782">
              <w:rPr>
                <w:b/>
                <w:i/>
              </w:rPr>
              <w:t>Global Meat Industry (GMI) model</w:t>
            </w:r>
          </w:p>
        </w:tc>
        <w:tc>
          <w:tcPr>
            <w:tcW w:w="5028"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rPr>
                <w:rFonts w:ascii="Franklin Gothic Book" w:hAnsi="Franklin Gothic Book"/>
                <w:b/>
                <w:i/>
                <w:sz w:val="16"/>
              </w:rPr>
            </w:pP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Annual population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United Nations (UN) Population Division; Director-General of Budget, Accounting and Statistics, Executive Yuan, Taiwan.</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Total income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International Monetary Fund (IMF) World Economic Outlook 2012; Organisation for Economic Cooperation and Development (OECD) Long</w:t>
            </w:r>
            <w:r>
              <w:noBreakHyphen/>
              <w:t>term baseline projections 2012.</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Per capita income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Derived from the above two (for each region, total income divided by total population).</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Growth in average slaughter weight</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 xml:space="preserve">Historical </w:t>
            </w:r>
            <w:proofErr w:type="gramStart"/>
            <w:r>
              <w:t>data,</w:t>
            </w:r>
            <w:proofErr w:type="gramEnd"/>
            <w:r>
              <w:t xml:space="preserve"> and industry expertise.</w:t>
            </w: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Total factor productivity growth by region and meat commodity (table 4)</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Industry expertise.</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Exchange rates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Historical data, Reserve Bank, and Treasury.</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Production cost indexes</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Estimated based on Treasury commodity prices.</w:t>
            </w:r>
            <w:proofErr w:type="gramEnd"/>
          </w:p>
        </w:tc>
      </w:tr>
      <w:tr w:rsidR="001022A9" w:rsidRPr="00F17782" w:rsidTr="001022A9">
        <w:trPr>
          <w:trHeight w:val="300"/>
        </w:trPr>
        <w:tc>
          <w:tcPr>
            <w:tcW w:w="2909"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pStyle w:val="TableTextEntries"/>
              <w:rPr>
                <w:b/>
                <w:i/>
              </w:rPr>
            </w:pPr>
            <w:r w:rsidRPr="00F17782">
              <w:rPr>
                <w:b/>
                <w:i/>
              </w:rPr>
              <w:t>Dairy model</w:t>
            </w:r>
          </w:p>
        </w:tc>
        <w:tc>
          <w:tcPr>
            <w:tcW w:w="5028"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rPr>
                <w:b/>
              </w:rPr>
            </w:pP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Annual population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UN Population Division.</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Per capita GDP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Derived from IMF projections of total GDP growth and UN population growth projections.</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Milk production per cow</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 xml:space="preserve">Historical </w:t>
            </w:r>
            <w:proofErr w:type="gramStart"/>
            <w:r>
              <w:t>data,</w:t>
            </w:r>
            <w:proofErr w:type="gramEnd"/>
            <w:r>
              <w:t xml:space="preserve"> and industry expertise.</w:t>
            </w: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Ratio of cow to cattle numbers</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 xml:space="preserve">Historical </w:t>
            </w:r>
            <w:proofErr w:type="gramStart"/>
            <w:r>
              <w:t>data,</w:t>
            </w:r>
            <w:proofErr w:type="gramEnd"/>
            <w:r>
              <w:t xml:space="preserve"> and industry expertise.</w:t>
            </w: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Input use efficiency (table 5)</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 xml:space="preserve">Historical </w:t>
            </w:r>
            <w:proofErr w:type="gramStart"/>
            <w:r>
              <w:t>data,</w:t>
            </w:r>
            <w:proofErr w:type="gramEnd"/>
            <w:r>
              <w:t xml:space="preserve"> and industry expertise.</w:t>
            </w: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Industry input prices</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Consistent with Treasury modelling.</w:t>
            </w:r>
            <w:proofErr w:type="gramEnd"/>
          </w:p>
        </w:tc>
      </w:tr>
      <w:tr w:rsidR="001022A9" w:rsidRPr="00F17782" w:rsidTr="001022A9">
        <w:trPr>
          <w:trHeight w:val="300"/>
        </w:trPr>
        <w:tc>
          <w:tcPr>
            <w:tcW w:w="2909"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pStyle w:val="TableTextEntries"/>
              <w:rPr>
                <w:b/>
                <w:i/>
              </w:rPr>
            </w:pPr>
            <w:r w:rsidRPr="00F17782">
              <w:rPr>
                <w:b/>
                <w:i/>
              </w:rPr>
              <w:t>Grains model</w:t>
            </w:r>
          </w:p>
        </w:tc>
        <w:tc>
          <w:tcPr>
            <w:tcW w:w="5028" w:type="dxa"/>
            <w:tcBorders>
              <w:top w:val="single" w:sz="8" w:space="0" w:color="FFFFFF" w:themeColor="background1"/>
              <w:bottom w:val="single" w:sz="8" w:space="0" w:color="FFFFFF" w:themeColor="background1"/>
            </w:tcBorders>
            <w:shd w:val="clear" w:color="auto" w:fill="C2DADB" w:themeFill="accent6" w:themeFillTint="99"/>
            <w:noWrap/>
            <w:tcMar>
              <w:top w:w="0" w:type="dxa"/>
              <w:left w:w="57" w:type="dxa"/>
              <w:bottom w:w="0" w:type="dxa"/>
              <w:right w:w="57" w:type="dxa"/>
            </w:tcMar>
            <w:hideMark/>
          </w:tcPr>
          <w:p w:rsidR="001022A9" w:rsidRPr="00F17782" w:rsidRDefault="001022A9" w:rsidP="00987E99">
            <w:pPr>
              <w:rPr>
                <w:b/>
              </w:rPr>
            </w:pP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GDP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IMF World Economic Outlook 2012.</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Population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UN Population Division.</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Total factor productivity growth by region</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 xml:space="preserve">Historical </w:t>
            </w:r>
            <w:proofErr w:type="gramStart"/>
            <w:r>
              <w:t>data,</w:t>
            </w:r>
            <w:proofErr w:type="gramEnd"/>
            <w:r>
              <w:t xml:space="preserve"> and industry expertise for forward projections. Set at 0.6 per cent a year for Australia.</w:t>
            </w:r>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Capital stock growth</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Consistent with Treasury modelling.</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Total cropping area</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proofErr w:type="gramStart"/>
            <w:r>
              <w:t>Historical data, and industry expertise and expectations.</w:t>
            </w:r>
            <w:proofErr w:type="gramEnd"/>
            <w:r>
              <w:t xml:space="preserve"> </w:t>
            </w:r>
            <w:proofErr w:type="gramStart"/>
            <w:r>
              <w:t>Assumed to grow at 0.4 per cent a year over projection period.</w:t>
            </w:r>
            <w:proofErr w:type="gramEnd"/>
          </w:p>
        </w:tc>
      </w:tr>
      <w:tr w:rsidR="001022A9" w:rsidTr="001022A9">
        <w:trPr>
          <w:trHeight w:val="300"/>
        </w:trPr>
        <w:tc>
          <w:tcPr>
            <w:tcW w:w="290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Global food prices</w:t>
            </w:r>
          </w:p>
        </w:tc>
        <w:tc>
          <w:tcPr>
            <w:tcW w:w="50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spacing w:before="0" w:after="0"/>
            </w:pPr>
            <w:r>
              <w:t>United States Department of Agriculture (</w:t>
            </w:r>
            <w:proofErr w:type="gramStart"/>
            <w:r>
              <w:t>USDA),</w:t>
            </w:r>
            <w:proofErr w:type="gramEnd"/>
            <w:r>
              <w:t xml:space="preserve"> and Treasury.</w:t>
            </w:r>
          </w:p>
        </w:tc>
      </w:tr>
      <w:tr w:rsidR="001022A9" w:rsidTr="001022A9">
        <w:trPr>
          <w:trHeight w:val="300"/>
        </w:trPr>
        <w:tc>
          <w:tcPr>
            <w:tcW w:w="2909"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pPr>
            <w:r>
              <w:t>Input costs</w:t>
            </w:r>
          </w:p>
        </w:tc>
        <w:tc>
          <w:tcPr>
            <w:tcW w:w="5028"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1022A9" w:rsidRDefault="001022A9" w:rsidP="00987E99">
            <w:pPr>
              <w:pStyle w:val="TableTextEntries"/>
            </w:pPr>
            <w:proofErr w:type="gramStart"/>
            <w:r>
              <w:t>Consistent with Treasury modelling.</w:t>
            </w:r>
            <w:proofErr w:type="gramEnd"/>
          </w:p>
        </w:tc>
      </w:tr>
    </w:tbl>
    <w:p w:rsidR="00D372DF" w:rsidRDefault="00D372DF" w:rsidP="00D372DF">
      <w:pPr>
        <w:pStyle w:val="BodyText"/>
        <w:numPr>
          <w:ilvl w:val="0"/>
          <w:numId w:val="17"/>
        </w:numPr>
        <w:sectPr w:rsidR="00D372DF" w:rsidSect="00987E99">
          <w:headerReference w:type="even" r:id="rId48"/>
          <w:headerReference w:type="default" r:id="rId49"/>
          <w:footerReference w:type="even" r:id="rId50"/>
          <w:footerReference w:type="default" r:id="rId51"/>
          <w:pgSz w:w="11906" w:h="16838" w:code="9"/>
          <w:pgMar w:top="2268" w:right="1701" w:bottom="1418" w:left="2268" w:header="680" w:footer="680" w:gutter="0"/>
          <w:cols w:space="708"/>
          <w:docGrid w:linePitch="360"/>
        </w:sectPr>
      </w:pPr>
    </w:p>
    <w:p w:rsidR="00D372DF" w:rsidRDefault="00D372DF" w:rsidP="00123F9B">
      <w:pPr>
        <w:pStyle w:val="Caption"/>
        <w:numPr>
          <w:ilvl w:val="0"/>
          <w:numId w:val="17"/>
        </w:numPr>
        <w:spacing w:before="120"/>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B</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B</w:instrText>
        </w:r>
      </w:fldSimple>
      <w:r w:rsidRPr="00695C93">
        <w:instrText xml:space="preserve">." </w:instrText>
      </w:r>
      <w:r w:rsidRPr="00695C93">
        <w:fldChar w:fldCharType="separate"/>
      </w:r>
      <w:r w:rsidR="00927DCC">
        <w:rPr>
          <w:noProof/>
        </w:rPr>
        <w:instrText>B</w:instrText>
      </w:r>
      <w:r w:rsidR="00927DCC" w:rsidRPr="00695C93">
        <w:rPr>
          <w:noProof/>
        </w:rPr>
        <w:instrText>.</w:instrText>
      </w:r>
      <w:r w:rsidRPr="00695C93">
        <w:fldChar w:fldCharType="end"/>
      </w:r>
      <w:r>
        <w:instrText>2</w:instrText>
      </w:r>
      <w:r w:rsidRPr="00695C93">
        <w:instrText xml:space="preserve">" "" </w:instrText>
      </w:r>
      <w:r w:rsidRPr="00695C93">
        <w:fldChar w:fldCharType="separate"/>
      </w:r>
      <w:bookmarkStart w:id="162" w:name="_Caption4070"/>
      <w:bookmarkStart w:id="163" w:name="_Ref364425662"/>
      <w:bookmarkStart w:id="164" w:name="_Toc364436103"/>
      <w:bookmarkStart w:id="165" w:name="_Toc366052910"/>
      <w:r w:rsidR="00927DCC">
        <w:rPr>
          <w:noProof/>
        </w:rPr>
        <w:t>B</w:t>
      </w:r>
      <w:r w:rsidR="00927DCC" w:rsidRPr="00695C93">
        <w:rPr>
          <w:noProof/>
        </w:rPr>
        <w:t>.</w:t>
      </w:r>
      <w:r w:rsidR="00927DCC">
        <w:rPr>
          <w:noProof/>
        </w:rPr>
        <w:t>2</w:t>
      </w:r>
      <w:bookmarkEnd w:id="162"/>
      <w:bookmarkEnd w:id="163"/>
      <w:r w:rsidRPr="00695C93">
        <w:fldChar w:fldCharType="end"/>
      </w:r>
      <w:r w:rsidRPr="00695C93">
        <w:tab/>
      </w:r>
      <w:r>
        <w:t>Total productivity improvement assumption for meat type and region in the GMI model</w:t>
      </w:r>
      <w:bookmarkEnd w:id="164"/>
      <w:bookmarkEnd w:id="165"/>
    </w:p>
    <w:tbl>
      <w:tblPr>
        <w:tblW w:w="13221" w:type="dxa"/>
        <w:tblInd w:w="57" w:type="dxa"/>
        <w:tblLook w:val="04A0" w:firstRow="1" w:lastRow="0" w:firstColumn="1" w:lastColumn="0" w:noHBand="0" w:noVBand="1"/>
      </w:tblPr>
      <w:tblGrid>
        <w:gridCol w:w="2140"/>
        <w:gridCol w:w="966"/>
        <w:gridCol w:w="1096"/>
        <w:gridCol w:w="1200"/>
        <w:gridCol w:w="1059"/>
        <w:gridCol w:w="966"/>
        <w:gridCol w:w="984"/>
        <w:gridCol w:w="1003"/>
        <w:gridCol w:w="928"/>
        <w:gridCol w:w="966"/>
        <w:gridCol w:w="910"/>
        <w:gridCol w:w="1003"/>
      </w:tblGrid>
      <w:tr w:rsidR="00D372DF" w:rsidTr="00987E99">
        <w:trPr>
          <w:trHeight w:val="227"/>
        </w:trPr>
        <w:tc>
          <w:tcPr>
            <w:tcW w:w="2140" w:type="dxa"/>
            <w:shd w:val="clear" w:color="auto" w:fill="6F6652"/>
            <w:noWrap/>
            <w:tcMar>
              <w:top w:w="0" w:type="dxa"/>
              <w:left w:w="57" w:type="dxa"/>
              <w:bottom w:w="0" w:type="dxa"/>
              <w:right w:w="57" w:type="dxa"/>
            </w:tcMar>
            <w:hideMark/>
          </w:tcPr>
          <w:p w:rsidR="00D372DF" w:rsidRDefault="00D372DF" w:rsidP="00987E99">
            <w:pPr>
              <w:spacing w:before="140"/>
            </w:pPr>
          </w:p>
        </w:tc>
        <w:tc>
          <w:tcPr>
            <w:tcW w:w="966"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Grass</w:t>
            </w:r>
          </w:p>
        </w:tc>
        <w:tc>
          <w:tcPr>
            <w:tcW w:w="1096"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Grain</w:t>
            </w:r>
          </w:p>
        </w:tc>
        <w:tc>
          <w:tcPr>
            <w:tcW w:w="1200" w:type="dxa"/>
            <w:shd w:val="clear" w:color="auto" w:fill="6F6652"/>
            <w:noWrap/>
            <w:tcMar>
              <w:top w:w="0" w:type="dxa"/>
              <w:left w:w="57" w:type="dxa"/>
              <w:bottom w:w="0" w:type="dxa"/>
              <w:right w:w="57" w:type="dxa"/>
            </w:tcMar>
            <w:hideMark/>
          </w:tcPr>
          <w:p w:rsidR="00D372DF" w:rsidRDefault="00D372DF" w:rsidP="00987E99"/>
        </w:tc>
        <w:tc>
          <w:tcPr>
            <w:tcW w:w="1059"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 xml:space="preserve">Live </w:t>
            </w:r>
          </w:p>
        </w:tc>
        <w:tc>
          <w:tcPr>
            <w:tcW w:w="966" w:type="dxa"/>
            <w:shd w:val="clear" w:color="auto" w:fill="6F6652"/>
            <w:noWrap/>
            <w:tcMar>
              <w:top w:w="0" w:type="dxa"/>
              <w:left w:w="57" w:type="dxa"/>
              <w:bottom w:w="0" w:type="dxa"/>
              <w:right w:w="57" w:type="dxa"/>
            </w:tcMar>
            <w:hideMark/>
          </w:tcPr>
          <w:p w:rsidR="00D372DF" w:rsidRDefault="00D372DF" w:rsidP="00987E99"/>
        </w:tc>
        <w:tc>
          <w:tcPr>
            <w:tcW w:w="984"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Sheep</w:t>
            </w:r>
          </w:p>
        </w:tc>
        <w:tc>
          <w:tcPr>
            <w:tcW w:w="1003"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Pig</w:t>
            </w:r>
          </w:p>
        </w:tc>
        <w:tc>
          <w:tcPr>
            <w:tcW w:w="928" w:type="dxa"/>
            <w:shd w:val="clear" w:color="auto" w:fill="6F6652"/>
            <w:noWrap/>
            <w:tcMar>
              <w:top w:w="0" w:type="dxa"/>
              <w:left w:w="57" w:type="dxa"/>
              <w:bottom w:w="0" w:type="dxa"/>
              <w:right w:w="57" w:type="dxa"/>
            </w:tcMar>
            <w:hideMark/>
          </w:tcPr>
          <w:p w:rsidR="00D372DF" w:rsidRDefault="00D372DF" w:rsidP="00987E99"/>
        </w:tc>
        <w:tc>
          <w:tcPr>
            <w:tcW w:w="966"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Sea</w:t>
            </w:r>
          </w:p>
        </w:tc>
        <w:tc>
          <w:tcPr>
            <w:tcW w:w="910" w:type="dxa"/>
            <w:shd w:val="clear" w:color="auto" w:fill="6F6652"/>
            <w:noWrap/>
            <w:tcMar>
              <w:top w:w="0" w:type="dxa"/>
              <w:left w:w="57" w:type="dxa"/>
              <w:bottom w:w="0" w:type="dxa"/>
              <w:right w:w="57" w:type="dxa"/>
            </w:tcMar>
            <w:hideMark/>
          </w:tcPr>
          <w:p w:rsidR="00D372DF" w:rsidRDefault="00D372DF" w:rsidP="00987E99">
            <w:pPr>
              <w:pStyle w:val="TableDataColumnHeading"/>
              <w:spacing w:after="0"/>
            </w:pPr>
            <w:r>
              <w:t>Live</w:t>
            </w:r>
          </w:p>
        </w:tc>
        <w:tc>
          <w:tcPr>
            <w:tcW w:w="1003" w:type="dxa"/>
            <w:shd w:val="clear" w:color="auto" w:fill="6F6652"/>
            <w:noWrap/>
            <w:tcMar>
              <w:top w:w="0" w:type="dxa"/>
              <w:left w:w="57" w:type="dxa"/>
              <w:bottom w:w="0" w:type="dxa"/>
              <w:right w:w="57" w:type="dxa"/>
            </w:tcMar>
            <w:hideMark/>
          </w:tcPr>
          <w:p w:rsidR="00D372DF" w:rsidRDefault="00D372DF" w:rsidP="00987E99"/>
        </w:tc>
      </w:tr>
      <w:tr w:rsidR="00D372DF" w:rsidTr="00987E99">
        <w:trPr>
          <w:trHeight w:val="300"/>
        </w:trPr>
        <w:tc>
          <w:tcPr>
            <w:tcW w:w="2140"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jc w:val="left"/>
            </w:pPr>
            <w:r>
              <w:t>Region</w:t>
            </w:r>
          </w:p>
        </w:tc>
        <w:tc>
          <w:tcPr>
            <w:tcW w:w="966"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fed</w:t>
            </w:r>
          </w:p>
        </w:tc>
        <w:tc>
          <w:tcPr>
            <w:tcW w:w="1096"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fed</w:t>
            </w:r>
          </w:p>
        </w:tc>
        <w:tc>
          <w:tcPr>
            <w:tcW w:w="1200"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Diaphragm</w:t>
            </w:r>
          </w:p>
        </w:tc>
        <w:tc>
          <w:tcPr>
            <w:tcW w:w="1059"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cattle</w:t>
            </w:r>
          </w:p>
        </w:tc>
        <w:tc>
          <w:tcPr>
            <w:tcW w:w="966"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Lamb</w:t>
            </w:r>
          </w:p>
        </w:tc>
        <w:tc>
          <w:tcPr>
            <w:tcW w:w="984"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meat</w:t>
            </w:r>
          </w:p>
        </w:tc>
        <w:tc>
          <w:tcPr>
            <w:tcW w:w="1003"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meat</w:t>
            </w:r>
          </w:p>
        </w:tc>
        <w:tc>
          <w:tcPr>
            <w:tcW w:w="928"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Poultry</w:t>
            </w:r>
          </w:p>
        </w:tc>
        <w:tc>
          <w:tcPr>
            <w:tcW w:w="966"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food</w:t>
            </w:r>
          </w:p>
        </w:tc>
        <w:tc>
          <w:tcPr>
            <w:tcW w:w="910"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sheep</w:t>
            </w:r>
          </w:p>
        </w:tc>
        <w:tc>
          <w:tcPr>
            <w:tcW w:w="1003" w:type="dxa"/>
            <w:shd w:val="clear" w:color="auto" w:fill="6F6652"/>
            <w:noWrap/>
            <w:tcMar>
              <w:top w:w="0" w:type="dxa"/>
              <w:left w:w="57" w:type="dxa"/>
              <w:bottom w:w="0" w:type="dxa"/>
              <w:right w:w="57" w:type="dxa"/>
            </w:tcMar>
            <w:hideMark/>
          </w:tcPr>
          <w:p w:rsidR="00D372DF" w:rsidRDefault="00D372DF" w:rsidP="00987E99">
            <w:pPr>
              <w:pStyle w:val="TableDataColumnHeading"/>
              <w:spacing w:before="0"/>
            </w:pPr>
            <w:r>
              <w:t>Wool</w:t>
            </w:r>
          </w:p>
        </w:tc>
      </w:tr>
      <w:tr w:rsidR="00D372DF" w:rsidTr="00D372DF">
        <w:trPr>
          <w:trHeight w:val="300"/>
        </w:trPr>
        <w:tc>
          <w:tcPr>
            <w:tcW w:w="2140" w:type="dxa"/>
            <w:tcBorders>
              <w:bottom w:val="single" w:sz="8" w:space="0" w:color="FFFFFF" w:themeColor="background1"/>
            </w:tcBorders>
            <w:noWrap/>
            <w:tcMar>
              <w:top w:w="0" w:type="dxa"/>
              <w:left w:w="57" w:type="dxa"/>
              <w:bottom w:w="0" w:type="dxa"/>
              <w:right w:w="57" w:type="dxa"/>
            </w:tcMar>
            <w:hideMark/>
          </w:tcPr>
          <w:p w:rsidR="00D372DF" w:rsidRDefault="00D372DF" w:rsidP="00987E99"/>
        </w:tc>
        <w:tc>
          <w:tcPr>
            <w:tcW w:w="966"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1096"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1200"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1059"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966"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984"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1003"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928"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966"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910"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c>
          <w:tcPr>
            <w:tcW w:w="1003" w:type="dxa"/>
            <w:tcBorders>
              <w:bottom w:val="single" w:sz="8" w:space="0" w:color="FFFFFF" w:themeColor="background1"/>
            </w:tcBorders>
            <w:noWrap/>
            <w:tcMar>
              <w:top w:w="0" w:type="dxa"/>
              <w:left w:w="57" w:type="dxa"/>
              <w:bottom w:w="0" w:type="dxa"/>
              <w:right w:w="57" w:type="dxa"/>
            </w:tcMar>
            <w:hideMark/>
          </w:tcPr>
          <w:p w:rsidR="00D372DF" w:rsidRDefault="00D372DF" w:rsidP="00987E99">
            <w:pPr>
              <w:pStyle w:val="TableUnit"/>
            </w:pPr>
            <w:r>
              <w:t>%</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Australia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rPr>
                <w:color w:val="000000"/>
              </w:rPr>
            </w:pPr>
            <w:r>
              <w:rPr>
                <w:color w:val="000000"/>
              </w:rPr>
              <w:t xml:space="preserve">1.00 </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0.20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New Zealand</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0.20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United States</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0.75</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1.50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Canada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0.75</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1.50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Japan</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South Korea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1.50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Taiwan</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0.66</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Hong Kong</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Singapore</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Malaysia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Indonesia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Thailand</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Philippines</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China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0.88</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Economic Union</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0.10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Mexico</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1.22</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Argentina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1.22</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1.44</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Uruguay</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1.22</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1.44</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0.50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Paraguay</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1.22</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1.44</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Brazil</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3.00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1.44</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2.00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India</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10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8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r>
      <w:tr w:rsidR="00D372DF" w:rsidTr="00D372DF">
        <w:trPr>
          <w:trHeight w:val="227"/>
        </w:trPr>
        <w:tc>
          <w:tcPr>
            <w:tcW w:w="2140"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jc w:val="left"/>
            </w:pPr>
            <w:r>
              <w:t>Other countries</w:t>
            </w:r>
          </w:p>
        </w:tc>
        <w:tc>
          <w:tcPr>
            <w:tcW w:w="966"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0.44</w:t>
            </w:r>
          </w:p>
        </w:tc>
        <w:tc>
          <w:tcPr>
            <w:tcW w:w="1096"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200"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59"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66"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0.33</w:t>
            </w:r>
          </w:p>
        </w:tc>
        <w:tc>
          <w:tcPr>
            <w:tcW w:w="984"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28"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1.00</w:t>
            </w:r>
          </w:p>
        </w:tc>
        <w:tc>
          <w:tcPr>
            <w:tcW w:w="966"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910"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0.00</w:t>
            </w:r>
          </w:p>
        </w:tc>
        <w:tc>
          <w:tcPr>
            <w:tcW w:w="1003"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D372DF" w:rsidRDefault="00D372DF" w:rsidP="00987E99">
            <w:pPr>
              <w:pStyle w:val="TableDataEntries"/>
              <w:spacing w:before="0"/>
            </w:pPr>
            <w:r>
              <w:t>0.20</w:t>
            </w:r>
          </w:p>
        </w:tc>
      </w:tr>
    </w:tbl>
    <w:p w:rsidR="00D372DF" w:rsidRDefault="00D372DF" w:rsidP="00987E99">
      <w:pPr>
        <w:pStyle w:val="BodyText"/>
        <w:sectPr w:rsidR="00D372DF" w:rsidSect="00987E99">
          <w:headerReference w:type="even" r:id="rId52"/>
          <w:headerReference w:type="default" r:id="rId53"/>
          <w:footerReference w:type="even" r:id="rId54"/>
          <w:footerReference w:type="default" r:id="rId55"/>
          <w:pgSz w:w="16838" w:h="11906" w:orient="landscape" w:code="9"/>
          <w:pgMar w:top="2268" w:right="2268" w:bottom="2268" w:left="1418" w:header="851" w:footer="624" w:gutter="0"/>
          <w:cols w:space="708"/>
          <w:docGrid w:linePitch="360"/>
        </w:sectPr>
      </w:pPr>
    </w:p>
    <w:p w:rsidR="006642FD" w:rsidRDefault="006642FD" w:rsidP="006642F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B</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B</w:instrText>
        </w:r>
      </w:fldSimple>
      <w:r w:rsidRPr="00695C93">
        <w:instrText xml:space="preserve">." </w:instrText>
      </w:r>
      <w:r w:rsidRPr="00695C93">
        <w:fldChar w:fldCharType="separate"/>
      </w:r>
      <w:r w:rsidR="00927DCC">
        <w:rPr>
          <w:noProof/>
        </w:rPr>
        <w:instrText>B</w:instrText>
      </w:r>
      <w:r w:rsidR="00927DCC" w:rsidRPr="00695C93">
        <w:rPr>
          <w:noProof/>
        </w:rPr>
        <w:instrText>.</w:instrText>
      </w:r>
      <w:r w:rsidRPr="00695C93">
        <w:fldChar w:fldCharType="end"/>
      </w:r>
      <w:r>
        <w:instrText>3</w:instrText>
      </w:r>
      <w:r w:rsidRPr="00695C93">
        <w:instrText xml:space="preserve">" "" </w:instrText>
      </w:r>
      <w:r w:rsidRPr="00695C93">
        <w:fldChar w:fldCharType="separate"/>
      </w:r>
      <w:bookmarkStart w:id="166" w:name="_Caption6896"/>
      <w:bookmarkStart w:id="167" w:name="_Toc364436104"/>
      <w:bookmarkStart w:id="168" w:name="_Toc366052911"/>
      <w:r w:rsidR="00927DCC">
        <w:rPr>
          <w:noProof/>
        </w:rPr>
        <w:t>B</w:t>
      </w:r>
      <w:r w:rsidR="00927DCC" w:rsidRPr="00695C93">
        <w:rPr>
          <w:noProof/>
        </w:rPr>
        <w:t>.</w:t>
      </w:r>
      <w:r w:rsidR="00927DCC">
        <w:rPr>
          <w:noProof/>
        </w:rPr>
        <w:t>3</w:t>
      </w:r>
      <w:bookmarkEnd w:id="166"/>
      <w:r w:rsidRPr="00695C93">
        <w:fldChar w:fldCharType="end"/>
      </w:r>
      <w:r w:rsidRPr="00695C93">
        <w:tab/>
      </w:r>
      <w:r>
        <w:t>Growth in slaughtering weight: GMI model</w:t>
      </w:r>
      <w:bookmarkEnd w:id="167"/>
      <w:bookmarkEnd w:id="168"/>
    </w:p>
    <w:tbl>
      <w:tblPr>
        <w:tblW w:w="7935" w:type="dxa"/>
        <w:tblInd w:w="57" w:type="dxa"/>
        <w:tblLook w:val="04A0" w:firstRow="1" w:lastRow="0" w:firstColumn="1" w:lastColumn="0" w:noHBand="0" w:noVBand="1"/>
      </w:tblPr>
      <w:tblGrid>
        <w:gridCol w:w="1234"/>
        <w:gridCol w:w="1765"/>
        <w:gridCol w:w="1234"/>
        <w:gridCol w:w="1234"/>
        <w:gridCol w:w="1234"/>
        <w:gridCol w:w="1234"/>
      </w:tblGrid>
      <w:tr w:rsidR="006642FD" w:rsidRPr="001078FE" w:rsidTr="006642FD">
        <w:trPr>
          <w:trHeight w:val="300"/>
        </w:trPr>
        <w:tc>
          <w:tcPr>
            <w:tcW w:w="1234"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jc w:val="left"/>
            </w:pPr>
          </w:p>
        </w:tc>
        <w:tc>
          <w:tcPr>
            <w:tcW w:w="1765"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pPr>
            <w:r w:rsidRPr="001078FE">
              <w:t>Beef and veal</w:t>
            </w:r>
          </w:p>
        </w:tc>
        <w:tc>
          <w:tcPr>
            <w:tcW w:w="1234"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pPr>
            <w:r w:rsidRPr="001078FE">
              <w:t>Mutton</w:t>
            </w:r>
          </w:p>
        </w:tc>
        <w:tc>
          <w:tcPr>
            <w:tcW w:w="1234"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pPr>
            <w:r w:rsidRPr="001078FE">
              <w:t>Lamb</w:t>
            </w:r>
          </w:p>
        </w:tc>
        <w:tc>
          <w:tcPr>
            <w:tcW w:w="1234"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pPr>
            <w:r w:rsidRPr="001078FE">
              <w:t>Pigs</w:t>
            </w:r>
          </w:p>
        </w:tc>
        <w:tc>
          <w:tcPr>
            <w:tcW w:w="1234" w:type="dxa"/>
            <w:tcBorders>
              <w:bottom w:val="single" w:sz="8" w:space="0" w:color="FFFFFF" w:themeColor="background1"/>
            </w:tcBorders>
            <w:shd w:val="clear" w:color="auto" w:fill="6F6652"/>
            <w:noWrap/>
            <w:tcMar>
              <w:left w:w="57" w:type="dxa"/>
              <w:right w:w="57" w:type="dxa"/>
            </w:tcMar>
            <w:hideMark/>
          </w:tcPr>
          <w:p w:rsidR="006642FD" w:rsidRPr="001078FE" w:rsidRDefault="006642FD" w:rsidP="00987E99">
            <w:pPr>
              <w:pStyle w:val="TableDataColumnHeading"/>
            </w:pPr>
            <w:r w:rsidRPr="001078FE">
              <w:t>Poultry</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2012</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0.210</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-0.265</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0.498</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0.315</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0.000</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2013</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-1.106</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-1.875</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-1.592</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0.393</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2014</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-0.478</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1.571</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0.694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-0.052</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2015</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1.534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1.187</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-1.450</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0.414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2016</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-0.229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-2.486</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-0.576</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0.339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2017</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-0.284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-0.659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-0.144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0.404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2018</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-2.128</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2.876</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-0.994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0.309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2019-20</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0.212</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0.380</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-0.150</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0.344</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2021-30</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0.653</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0.945</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0.261</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0.398</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0.893</w:t>
            </w:r>
          </w:p>
        </w:tc>
      </w:tr>
      <w:tr w:rsidR="006642FD" w:rsidRPr="001078FE" w:rsidTr="006642FD">
        <w:trPr>
          <w:trHeight w:val="300"/>
        </w:trPr>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2031-40</w:t>
            </w:r>
          </w:p>
        </w:tc>
        <w:tc>
          <w:tcPr>
            <w:tcW w:w="17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0.523</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0.756</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0.209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0.319</w:t>
            </w:r>
          </w:p>
        </w:tc>
        <w:tc>
          <w:tcPr>
            <w:tcW w:w="12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0.714</w:t>
            </w:r>
          </w:p>
        </w:tc>
      </w:tr>
      <w:tr w:rsidR="006642FD" w:rsidRPr="001078FE" w:rsidTr="006642FD">
        <w:trPr>
          <w:trHeight w:val="300"/>
        </w:trPr>
        <w:tc>
          <w:tcPr>
            <w:tcW w:w="12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jc w:val="left"/>
            </w:pPr>
            <w:r w:rsidRPr="001078FE">
              <w:t>2040-50</w:t>
            </w:r>
          </w:p>
        </w:tc>
        <w:tc>
          <w:tcPr>
            <w:tcW w:w="1765"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0.418</w:t>
            </w:r>
          </w:p>
        </w:tc>
        <w:tc>
          <w:tcPr>
            <w:tcW w:w="12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0.605</w:t>
            </w:r>
          </w:p>
        </w:tc>
        <w:tc>
          <w:tcPr>
            <w:tcW w:w="12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0.167</w:t>
            </w:r>
          </w:p>
        </w:tc>
        <w:tc>
          <w:tcPr>
            <w:tcW w:w="12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0.255</w:t>
            </w:r>
          </w:p>
        </w:tc>
        <w:tc>
          <w:tcPr>
            <w:tcW w:w="1234"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1078FE" w:rsidRDefault="006642FD" w:rsidP="00987E99">
            <w:pPr>
              <w:pStyle w:val="TableDataEntries"/>
            </w:pPr>
            <w:r w:rsidRPr="001078FE">
              <w:t>0.572</w:t>
            </w:r>
          </w:p>
        </w:tc>
      </w:tr>
    </w:tbl>
    <w:p w:rsidR="006642FD" w:rsidRDefault="006642FD" w:rsidP="006642FD">
      <w:pPr>
        <w:pStyle w:val="Source"/>
      </w:pPr>
      <w:r>
        <w:rPr>
          <w:i/>
        </w:rPr>
        <w:t>Source</w:t>
      </w:r>
      <w:r w:rsidRPr="00E4232C">
        <w:rPr>
          <w:i/>
        </w:rPr>
        <w:t>:</w:t>
      </w:r>
      <w:r>
        <w:t xml:space="preserve"> Historical and industry data, CIE assumptions</w:t>
      </w:r>
    </w:p>
    <w:p w:rsidR="006642FD" w:rsidRDefault="006642FD" w:rsidP="006642F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B</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B</w:instrText>
        </w:r>
      </w:fldSimple>
      <w:r w:rsidRPr="00695C93">
        <w:instrText xml:space="preserve">." </w:instrText>
      </w:r>
      <w:r w:rsidRPr="00695C93">
        <w:fldChar w:fldCharType="separate"/>
      </w:r>
      <w:r w:rsidR="00927DCC">
        <w:rPr>
          <w:noProof/>
        </w:rPr>
        <w:instrText>B</w:instrText>
      </w:r>
      <w:r w:rsidR="00927DCC" w:rsidRPr="00695C93">
        <w:rPr>
          <w:noProof/>
        </w:rPr>
        <w:instrText>.</w:instrText>
      </w:r>
      <w:r w:rsidRPr="00695C93">
        <w:fldChar w:fldCharType="end"/>
      </w:r>
      <w:r>
        <w:instrText>4</w:instrText>
      </w:r>
      <w:r w:rsidRPr="00695C93">
        <w:instrText xml:space="preserve">" "" </w:instrText>
      </w:r>
      <w:r w:rsidRPr="00695C93">
        <w:fldChar w:fldCharType="separate"/>
      </w:r>
      <w:bookmarkStart w:id="169" w:name="_Caption9767"/>
      <w:bookmarkStart w:id="170" w:name="_Toc364436105"/>
      <w:bookmarkStart w:id="171" w:name="_Toc366052912"/>
      <w:r w:rsidR="00927DCC">
        <w:rPr>
          <w:noProof/>
        </w:rPr>
        <w:t>B</w:t>
      </w:r>
      <w:r w:rsidR="00927DCC" w:rsidRPr="00695C93">
        <w:rPr>
          <w:noProof/>
        </w:rPr>
        <w:t>.</w:t>
      </w:r>
      <w:r w:rsidR="00927DCC">
        <w:rPr>
          <w:noProof/>
        </w:rPr>
        <w:t>4</w:t>
      </w:r>
      <w:bookmarkEnd w:id="169"/>
      <w:r w:rsidRPr="00695C93">
        <w:fldChar w:fldCharType="end"/>
      </w:r>
      <w:r w:rsidRPr="00695C93">
        <w:tab/>
      </w:r>
      <w:r>
        <w:t>Growth in the ratio of animal number to slaughtered: GMI model</w:t>
      </w:r>
      <w:bookmarkEnd w:id="170"/>
      <w:bookmarkEnd w:id="171"/>
    </w:p>
    <w:tbl>
      <w:tblPr>
        <w:tblW w:w="7938" w:type="dxa"/>
        <w:tblInd w:w="57" w:type="dxa"/>
        <w:tblLook w:val="04A0" w:firstRow="1" w:lastRow="0" w:firstColumn="1" w:lastColumn="0" w:noHBand="0" w:noVBand="1"/>
      </w:tblPr>
      <w:tblGrid>
        <w:gridCol w:w="1323"/>
        <w:gridCol w:w="1323"/>
        <w:gridCol w:w="1323"/>
        <w:gridCol w:w="1323"/>
        <w:gridCol w:w="1323"/>
        <w:gridCol w:w="1323"/>
      </w:tblGrid>
      <w:tr w:rsidR="006642FD" w:rsidRPr="002D6A78" w:rsidTr="006642FD">
        <w:trPr>
          <w:trHeight w:val="300"/>
        </w:trPr>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jc w:val="left"/>
            </w:pPr>
          </w:p>
        </w:tc>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pPr>
            <w:r w:rsidRPr="002D6A78">
              <w:t>Beef and veal</w:t>
            </w:r>
          </w:p>
        </w:tc>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pPr>
            <w:r w:rsidRPr="002D6A78">
              <w:t>Mutton</w:t>
            </w:r>
          </w:p>
        </w:tc>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pPr>
            <w:r w:rsidRPr="002D6A78">
              <w:t>Lamb</w:t>
            </w:r>
          </w:p>
        </w:tc>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pPr>
            <w:r w:rsidRPr="002D6A78">
              <w:t>Pigs</w:t>
            </w:r>
          </w:p>
        </w:tc>
        <w:tc>
          <w:tcPr>
            <w:tcW w:w="1323" w:type="dxa"/>
            <w:tcBorders>
              <w:bottom w:val="single" w:sz="8" w:space="0" w:color="FFFFFF" w:themeColor="background1"/>
            </w:tcBorders>
            <w:shd w:val="clear" w:color="auto" w:fill="6F6652"/>
            <w:noWrap/>
            <w:tcMar>
              <w:left w:w="57" w:type="dxa"/>
              <w:right w:w="57" w:type="dxa"/>
            </w:tcMar>
            <w:hideMark/>
          </w:tcPr>
          <w:p w:rsidR="006642FD" w:rsidRPr="002D6A78" w:rsidRDefault="006642FD" w:rsidP="00987E99">
            <w:pPr>
              <w:pStyle w:val="TableDataColumnHeading"/>
            </w:pPr>
            <w:r w:rsidRPr="002D6A78">
              <w:t>Poultry</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-3.43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-3.43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-7.26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-18.23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-18.23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-4.26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11.90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11.90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4.29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3.79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3.79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-1.71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-1.04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-1.04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2017</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-0.74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-2.98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-2.98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0.18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-2.16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-2.16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2019-20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-0.49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-0.59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-0.59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2021-30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-0.10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-0.12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-0.12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2031-40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r w:rsidR="006642FD" w:rsidRPr="002D6A78" w:rsidTr="006642FD">
        <w:trPr>
          <w:trHeight w:val="300"/>
        </w:trPr>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jc w:val="left"/>
            </w:pPr>
            <w:r w:rsidRPr="002D6A78">
              <w:t>2040-50</w:t>
            </w:r>
          </w:p>
        </w:tc>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c>
          <w:tcPr>
            <w:tcW w:w="1323" w:type="dxa"/>
            <w:tcBorders>
              <w:top w:val="single" w:sz="8" w:space="0" w:color="FFFFFF" w:themeColor="background1"/>
              <w:bottom w:val="single" w:sz="4" w:space="0" w:color="6F6652"/>
            </w:tcBorders>
            <w:shd w:val="clear" w:color="auto" w:fill="E9E8E5" w:themeFill="background2"/>
            <w:noWrap/>
            <w:tcMar>
              <w:left w:w="57" w:type="dxa"/>
              <w:right w:w="57" w:type="dxa"/>
            </w:tcMar>
            <w:hideMark/>
          </w:tcPr>
          <w:p w:rsidR="006642FD" w:rsidRPr="002D6A78" w:rsidRDefault="006642FD" w:rsidP="00987E99">
            <w:pPr>
              <w:pStyle w:val="TableDataEntries"/>
            </w:pPr>
            <w:r w:rsidRPr="002D6A78">
              <w:t>0.00</w:t>
            </w:r>
          </w:p>
        </w:tc>
      </w:tr>
    </w:tbl>
    <w:p w:rsidR="006642FD" w:rsidRDefault="006642FD" w:rsidP="006642FD">
      <w:pPr>
        <w:pStyle w:val="Source"/>
      </w:pPr>
      <w:r>
        <w:rPr>
          <w:i/>
        </w:rPr>
        <w:t>Source</w:t>
      </w:r>
      <w:r w:rsidRPr="00E4232C">
        <w:rPr>
          <w:i/>
        </w:rPr>
        <w:t>:</w:t>
      </w:r>
      <w:r>
        <w:t xml:space="preserve"> Historical and industry data, CIE assumptions</w:t>
      </w:r>
    </w:p>
    <w:p w:rsidR="006642FD" w:rsidRDefault="006642FD" w:rsidP="006642FD">
      <w:pPr>
        <w:pStyle w:val="BodyText"/>
      </w:pPr>
    </w:p>
    <w:p w:rsidR="006642FD" w:rsidRDefault="006642FD" w:rsidP="006642FD">
      <w:pPr>
        <w:pStyle w:val="Caption"/>
      </w:pPr>
      <w:r>
        <w:br w:type="page"/>
      </w: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B</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0</w:instrText>
        </w:r>
      </w:fldSimple>
      <w:r w:rsidRPr="00695C93">
        <w:instrText xml:space="preserve"> = 0 "" "</w:instrText>
      </w:r>
      <w:fldSimple w:instr=" STYLEREF &quot;Heading 1&quot; \l \n ">
        <w:r>
          <w:rPr>
            <w:noProof/>
          </w:rPr>
          <w:instrText>2</w:instrText>
        </w:r>
      </w:fldSimple>
      <w:r w:rsidRPr="00695C93">
        <w:instrText xml:space="preserve">." </w:instrText>
      </w:r>
      <w:r w:rsidRPr="00695C93">
        <w:fldChar w:fldCharType="end"/>
      </w:r>
      <w:r w:rsidRPr="00695C93">
        <w:instrText>" "</w:instrText>
      </w:r>
      <w:fldSimple w:instr=" STYLEREF &quot;Heading 6&quot; \l \n ">
        <w:r w:rsidR="00927DCC">
          <w:rPr>
            <w:noProof/>
          </w:rPr>
          <w:instrText>B</w:instrText>
        </w:r>
      </w:fldSimple>
      <w:r w:rsidRPr="00695C93">
        <w:instrText xml:space="preserve">." </w:instrText>
      </w:r>
      <w:r w:rsidRPr="00695C93">
        <w:fldChar w:fldCharType="separate"/>
      </w:r>
      <w:r w:rsidR="00927DCC">
        <w:rPr>
          <w:noProof/>
        </w:rPr>
        <w:instrText>B</w:instrText>
      </w:r>
      <w:r w:rsidR="00927DCC" w:rsidRPr="00695C93">
        <w:rPr>
          <w:noProof/>
        </w:rPr>
        <w:instrText>.</w:instrText>
      </w:r>
      <w:r w:rsidRPr="00695C93">
        <w:fldChar w:fldCharType="end"/>
      </w:r>
      <w:r>
        <w:instrText>5</w:instrText>
      </w:r>
      <w:r w:rsidRPr="00695C93">
        <w:instrText xml:space="preserve">" "" </w:instrText>
      </w:r>
      <w:r w:rsidRPr="00695C93">
        <w:fldChar w:fldCharType="separate"/>
      </w:r>
      <w:bookmarkStart w:id="172" w:name="_Caption0111"/>
      <w:bookmarkStart w:id="173" w:name="_Ref364425781"/>
      <w:bookmarkStart w:id="174" w:name="_Toc364436106"/>
      <w:bookmarkStart w:id="175" w:name="_Toc366052913"/>
      <w:r w:rsidR="00927DCC">
        <w:rPr>
          <w:noProof/>
        </w:rPr>
        <w:t>B</w:t>
      </w:r>
      <w:r w:rsidR="00927DCC" w:rsidRPr="00695C93">
        <w:rPr>
          <w:noProof/>
        </w:rPr>
        <w:t>.</w:t>
      </w:r>
      <w:r w:rsidR="00927DCC">
        <w:rPr>
          <w:noProof/>
        </w:rPr>
        <w:t>5</w:t>
      </w:r>
      <w:bookmarkEnd w:id="172"/>
      <w:bookmarkEnd w:id="173"/>
      <w:r w:rsidRPr="00695C93">
        <w:fldChar w:fldCharType="end"/>
      </w:r>
      <w:r w:rsidRPr="00695C93">
        <w:tab/>
      </w:r>
      <w:r>
        <w:t>Productivity improvement: the Dairy model</w:t>
      </w:r>
      <w:bookmarkEnd w:id="174"/>
      <w:bookmarkEnd w:id="175"/>
    </w:p>
    <w:tbl>
      <w:tblPr>
        <w:tblW w:w="7936" w:type="dxa"/>
        <w:tblInd w:w="57" w:type="dxa"/>
        <w:tblLook w:val="04A0" w:firstRow="1" w:lastRow="0" w:firstColumn="1" w:lastColumn="0" w:noHBand="0" w:noVBand="1"/>
      </w:tblPr>
      <w:tblGrid>
        <w:gridCol w:w="2308"/>
        <w:gridCol w:w="1041"/>
        <w:gridCol w:w="1182"/>
        <w:gridCol w:w="1222"/>
        <w:gridCol w:w="1142"/>
        <w:gridCol w:w="1041"/>
      </w:tblGrid>
      <w:tr w:rsidR="006642FD" w:rsidTr="006642FD">
        <w:trPr>
          <w:trHeight w:val="300"/>
        </w:trPr>
        <w:tc>
          <w:tcPr>
            <w:tcW w:w="2308"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spacing w:before="140"/>
            </w:pPr>
          </w:p>
        </w:tc>
        <w:tc>
          <w:tcPr>
            <w:tcW w:w="1041"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pStyle w:val="TableDataColumnHeading"/>
            </w:pPr>
            <w:r>
              <w:t>2012</w:t>
            </w:r>
          </w:p>
        </w:tc>
        <w:tc>
          <w:tcPr>
            <w:tcW w:w="1182"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pStyle w:val="TableDataColumnHeading"/>
            </w:pPr>
            <w:r>
              <w:t>2013</w:t>
            </w:r>
          </w:p>
        </w:tc>
        <w:tc>
          <w:tcPr>
            <w:tcW w:w="1222"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pStyle w:val="TableDataColumnHeading"/>
            </w:pPr>
            <w:r>
              <w:t>2014-15</w:t>
            </w:r>
          </w:p>
        </w:tc>
        <w:tc>
          <w:tcPr>
            <w:tcW w:w="1142"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pStyle w:val="TableDataColumnHeading"/>
            </w:pPr>
            <w:r>
              <w:t>2016-20</w:t>
            </w:r>
          </w:p>
        </w:tc>
        <w:tc>
          <w:tcPr>
            <w:tcW w:w="1041" w:type="dxa"/>
            <w:tcBorders>
              <w:bottom w:val="single" w:sz="8" w:space="0" w:color="FFFFFF" w:themeColor="background1"/>
            </w:tcBorders>
            <w:shd w:val="clear" w:color="auto" w:fill="6F6652"/>
            <w:noWrap/>
            <w:tcMar>
              <w:top w:w="0" w:type="dxa"/>
              <w:left w:w="57" w:type="dxa"/>
              <w:bottom w:w="0" w:type="dxa"/>
              <w:right w:w="57" w:type="dxa"/>
            </w:tcMar>
            <w:hideMark/>
          </w:tcPr>
          <w:p w:rsidR="006642FD" w:rsidRDefault="006642FD" w:rsidP="00987E99">
            <w:pPr>
              <w:pStyle w:val="TableDataColumnHeading"/>
            </w:pPr>
            <w:r>
              <w:t>2021-50</w:t>
            </w:r>
          </w:p>
        </w:tc>
      </w:tr>
      <w:tr w:rsidR="006642FD" w:rsidTr="006642FD">
        <w:trPr>
          <w:trHeight w:val="494"/>
        </w:trPr>
        <w:tc>
          <w:tcPr>
            <w:tcW w:w="230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6642FD" w:rsidRDefault="006642FD" w:rsidP="00987E99">
            <w:pPr>
              <w:pStyle w:val="TableDataEntries"/>
              <w:jc w:val="left"/>
            </w:pPr>
            <w:r>
              <w:t xml:space="preserve">Milk production per cow in Australia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1.3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-2.6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1.1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1.1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r>
      <w:tr w:rsidR="006642FD" w:rsidTr="006642FD">
        <w:trPr>
          <w:trHeight w:val="430"/>
        </w:trPr>
        <w:tc>
          <w:tcPr>
            <w:tcW w:w="230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6642FD" w:rsidRDefault="006642FD" w:rsidP="00987E99">
            <w:pPr>
              <w:pStyle w:val="TableDataEntries"/>
              <w:jc w:val="left"/>
            </w:pPr>
            <w:r>
              <w:t>Ratio of cow number to cattle number</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-0.6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rPr>
                <w:b/>
                <w:i/>
              </w:rPr>
            </w:pPr>
            <w:r>
              <w:rPr>
                <w:b/>
                <w:i/>
              </w:rPr>
              <w:t>Input efficiency</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pPr>
            <w:r>
              <w:t>Australia</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2.2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pPr>
            <w:r>
              <w:t>New Zealand</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1.5 </w:t>
            </w:r>
          </w:p>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pPr>
            <w:r>
              <w:t>European Union</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0.0 </w:t>
            </w:r>
          </w:p>
        </w:tc>
      </w:tr>
      <w:tr w:rsidR="006642FD" w:rsidTr="006642FD">
        <w:trPr>
          <w:trHeight w:val="300"/>
        </w:trPr>
        <w:tc>
          <w:tcPr>
            <w:tcW w:w="230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pPr>
            <w:r>
              <w:t>United States</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c>
          <w:tcPr>
            <w:tcW w:w="118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c>
          <w:tcPr>
            <w:tcW w:w="122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c>
          <w:tcPr>
            <w:tcW w:w="1142"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c>
          <w:tcPr>
            <w:tcW w:w="1041"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0.5 </w:t>
            </w:r>
          </w:p>
        </w:tc>
      </w:tr>
      <w:tr w:rsidR="006642FD" w:rsidTr="006642FD">
        <w:trPr>
          <w:trHeight w:val="300"/>
        </w:trPr>
        <w:tc>
          <w:tcPr>
            <w:tcW w:w="2308"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jc w:val="left"/>
            </w:pPr>
            <w:r>
              <w:t>Rest of the world</w:t>
            </w:r>
          </w:p>
        </w:tc>
        <w:tc>
          <w:tcPr>
            <w:tcW w:w="1041"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1.0 </w:t>
            </w:r>
          </w:p>
        </w:tc>
        <w:tc>
          <w:tcPr>
            <w:tcW w:w="1182"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1.0 </w:t>
            </w:r>
          </w:p>
        </w:tc>
        <w:tc>
          <w:tcPr>
            <w:tcW w:w="1222"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1.0 </w:t>
            </w:r>
          </w:p>
        </w:tc>
        <w:tc>
          <w:tcPr>
            <w:tcW w:w="1142"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1.0 </w:t>
            </w:r>
          </w:p>
        </w:tc>
        <w:tc>
          <w:tcPr>
            <w:tcW w:w="1041" w:type="dxa"/>
            <w:tcBorders>
              <w:top w:val="single" w:sz="8" w:space="0" w:color="FFFFFF" w:themeColor="background1"/>
              <w:left w:val="nil"/>
              <w:bottom w:val="single" w:sz="4" w:space="0" w:color="6F6652"/>
              <w:right w:val="nil"/>
            </w:tcBorders>
            <w:shd w:val="clear" w:color="auto" w:fill="E9E8E5" w:themeFill="background2"/>
            <w:noWrap/>
            <w:tcMar>
              <w:top w:w="0" w:type="dxa"/>
              <w:left w:w="57" w:type="dxa"/>
              <w:bottom w:w="0" w:type="dxa"/>
              <w:right w:w="57" w:type="dxa"/>
            </w:tcMar>
            <w:hideMark/>
          </w:tcPr>
          <w:p w:rsidR="006642FD" w:rsidRDefault="006642FD" w:rsidP="00987E99">
            <w:pPr>
              <w:pStyle w:val="TableDataEntries"/>
            </w:pPr>
            <w:r>
              <w:t xml:space="preserve">1.0 </w:t>
            </w:r>
          </w:p>
        </w:tc>
      </w:tr>
    </w:tbl>
    <w:p w:rsidR="006642FD" w:rsidRDefault="006642FD" w:rsidP="006642FD">
      <w:pPr>
        <w:pStyle w:val="Source"/>
      </w:pPr>
      <w:proofErr w:type="gramStart"/>
      <w:r>
        <w:rPr>
          <w:i/>
        </w:rPr>
        <w:t>Source:</w:t>
      </w:r>
      <w:r>
        <w:t xml:space="preserve"> CIE assumptions.</w:t>
      </w:r>
      <w:proofErr w:type="gramEnd"/>
    </w:p>
    <w:p w:rsidR="006642FD" w:rsidRPr="00DF5027" w:rsidRDefault="006642FD" w:rsidP="006642FD">
      <w:pPr>
        <w:pStyle w:val="Caption"/>
      </w:pPr>
    </w:p>
    <w:p w:rsidR="00BD0BB1" w:rsidRDefault="00BD0BB1" w:rsidP="00D035C2">
      <w:pPr>
        <w:pStyle w:val="BodyText"/>
      </w:pPr>
    </w:p>
    <w:p w:rsidR="00BD0BB1" w:rsidRDefault="00BD0BB1" w:rsidP="000A5A91">
      <w:pPr>
        <w:pStyle w:val="BodyText"/>
      </w:pPr>
    </w:p>
    <w:p w:rsidR="00BD0BB1" w:rsidRDefault="00BD0BB1" w:rsidP="00D035C2">
      <w:pPr>
        <w:pStyle w:val="Heading6"/>
      </w:pPr>
      <w:bookmarkStart w:id="176" w:name="_Toc366052871"/>
      <w:r>
        <w:lastRenderedPageBreak/>
        <w:t>Sensitivity analysis</w:t>
      </w:r>
      <w:bookmarkEnd w:id="176"/>
    </w:p>
    <w:p w:rsidR="00DA7DAD" w:rsidRDefault="00DA7DAD" w:rsidP="000002FE">
      <w:pPr>
        <w:pStyle w:val="Summary2"/>
      </w:pPr>
      <w:bookmarkStart w:id="177" w:name="_Toc364436056"/>
      <w:r>
        <w:t>Foreign demand</w:t>
      </w:r>
      <w:bookmarkEnd w:id="177"/>
    </w:p>
    <w:p w:rsidR="00DA7DAD" w:rsidRDefault="00DA7DAD" w:rsidP="00DA7DAD">
      <w:pPr>
        <w:pStyle w:val="BodyText"/>
      </w:pPr>
      <w:r>
        <w:t>Australian agricultural sectors are highly exposed to export markets. Fluctuations in foreign markets will have significant impact</w:t>
      </w:r>
      <w:r w:rsidR="00FB2A4D">
        <w:t>s</w:t>
      </w:r>
      <w:r>
        <w:t xml:space="preserve"> on the domestic production. Typically</w:t>
      </w:r>
      <w:r w:rsidR="00676015">
        <w:t>,</w:t>
      </w:r>
      <w:r>
        <w:t xml:space="preserve"> foreign demand is determined by foreign population and income levels. </w:t>
      </w:r>
      <w:r w:rsidR="00FB2A4D">
        <w:t>Variation in p</w:t>
      </w:r>
      <w:r>
        <w:t xml:space="preserve">opulation projections </w:t>
      </w:r>
      <w:proofErr w:type="gramStart"/>
      <w:r w:rsidR="00102C7C">
        <w:t>have not been considered</w:t>
      </w:r>
      <w:proofErr w:type="gramEnd"/>
      <w:r w:rsidR="00102C7C">
        <w:t xml:space="preserve"> for this exercise, consistent with DIICCSRTE assumption</w:t>
      </w:r>
      <w:r w:rsidR="00FB2A4D">
        <w:t>s</w:t>
      </w:r>
      <w:r>
        <w:t xml:space="preserve">. Consequently, as shown in table </w:t>
      </w:r>
      <w:r>
        <w:fldChar w:fldCharType="begin"/>
      </w:r>
      <w:r>
        <w:instrText xml:space="preserve"> REF _Ref364329278 \h </w:instrText>
      </w:r>
      <w:r>
        <w:fldChar w:fldCharType="separate"/>
      </w:r>
      <w:r w:rsidR="00927DCC">
        <w:rPr>
          <w:noProof/>
        </w:rPr>
        <w:t>5</w:t>
      </w:r>
      <w:r w:rsidR="00927DCC" w:rsidRPr="00695C93">
        <w:rPr>
          <w:noProof/>
        </w:rPr>
        <w:t>.</w:t>
      </w:r>
      <w:r w:rsidR="00927DCC">
        <w:rPr>
          <w:noProof/>
        </w:rPr>
        <w:t>1</w:t>
      </w:r>
      <w:r>
        <w:fldChar w:fldCharType="end"/>
      </w:r>
      <w:r>
        <w:t xml:space="preserve">, the sensitivity analysis of foreign demand </w:t>
      </w:r>
      <w:proofErr w:type="gramStart"/>
      <w:r>
        <w:t>is modelled</w:t>
      </w:r>
      <w:proofErr w:type="gramEnd"/>
      <w:r>
        <w:t xml:space="preserve"> by different assumptions about the annual growth in foreign income.</w:t>
      </w:r>
    </w:p>
    <w:p w:rsidR="00DA7DAD" w:rsidRDefault="00DA7DAD" w:rsidP="00DA7DAD">
      <w:pPr>
        <w:pStyle w:val="BodyText"/>
      </w:pPr>
      <w:r>
        <w:t xml:space="preserve">Chart </w:t>
      </w:r>
      <w:r>
        <w:fldChar w:fldCharType="begin"/>
      </w:r>
      <w:r>
        <w:instrText xml:space="preserve"> REF _Ref364380111 \h </w:instrText>
      </w:r>
      <w:r>
        <w:fldChar w:fldCharType="separate"/>
      </w:r>
      <w:r w:rsidR="00927DCC">
        <w:rPr>
          <w:noProof/>
        </w:rPr>
        <w:t>C</w:t>
      </w:r>
      <w:r w:rsidR="00927DCC" w:rsidRPr="00695C93">
        <w:rPr>
          <w:noProof/>
        </w:rPr>
        <w:t>.</w:t>
      </w:r>
      <w:r w:rsidR="00927DCC">
        <w:rPr>
          <w:noProof/>
        </w:rPr>
        <w:t>1</w:t>
      </w:r>
      <w:r>
        <w:fldChar w:fldCharType="end"/>
      </w:r>
      <w:r>
        <w:t xml:space="preserve"> shows the impact of changing foreign demand on Australia’s major agricultural outputs. In general the higher the foreign demand, the higher the output.</w:t>
      </w:r>
    </w:p>
    <w:p w:rsidR="00DA7DAD" w:rsidRDefault="00DA7DAD" w:rsidP="00DA7DAD">
      <w:pPr>
        <w:pStyle w:val="BodyText"/>
      </w:pPr>
      <w:r>
        <w:t>The impacts on dairy cattle number are smaller than those on meat animal numbers and grains because of the fact that export share of Australian dairy products is smaller than that of meat and grains.</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1</w:instrText>
      </w:r>
      <w:r w:rsidRPr="00695C93">
        <w:fldChar w:fldCharType="end"/>
      </w:r>
      <w:r w:rsidRPr="00695C93">
        <w:instrText xml:space="preserve">" "" </w:instrText>
      </w:r>
      <w:r w:rsidRPr="00695C93">
        <w:fldChar w:fldCharType="separate"/>
      </w:r>
      <w:bookmarkStart w:id="178" w:name="_Caption2634"/>
      <w:bookmarkStart w:id="179" w:name="_Ref364380111"/>
      <w:bookmarkStart w:id="180" w:name="_Toc364436086"/>
      <w:bookmarkStart w:id="181" w:name="_Toc366052914"/>
      <w:r w:rsidR="00927DCC">
        <w:rPr>
          <w:noProof/>
        </w:rPr>
        <w:t>C</w:t>
      </w:r>
      <w:r w:rsidR="00927DCC" w:rsidRPr="00695C93">
        <w:rPr>
          <w:noProof/>
        </w:rPr>
        <w:t>.</w:t>
      </w:r>
      <w:r w:rsidR="00927DCC">
        <w:rPr>
          <w:noProof/>
        </w:rPr>
        <w:t>1</w:t>
      </w:r>
      <w:bookmarkEnd w:id="178"/>
      <w:bookmarkEnd w:id="179"/>
      <w:r w:rsidRPr="00695C93">
        <w:fldChar w:fldCharType="end"/>
      </w:r>
      <w:r w:rsidRPr="00695C93">
        <w:tab/>
      </w:r>
      <w:r>
        <w:t>Impact of foreign demand on agricultural output</w:t>
      </w:r>
      <w:bookmarkEnd w:id="180"/>
      <w:bookmarkEnd w:id="1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0870CD" w:rsidP="00D035C2">
            <w:pPr>
              <w:pStyle w:val="Chart"/>
            </w:pPr>
            <w:r>
              <w:rPr>
                <w:noProof/>
                <w:lang w:eastAsia="en-AU"/>
              </w:rPr>
              <w:drawing>
                <wp:inline distT="0" distB="0" distL="0" distR="0">
                  <wp:extent cx="2480945" cy="1868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Default="00DA7DAD" w:rsidP="00DA7DAD">
      <w:pPr>
        <w:pStyle w:val="BodyText"/>
      </w:pPr>
    </w:p>
    <w:p w:rsidR="00DA7DAD" w:rsidRDefault="00DA7DAD" w:rsidP="000002FE">
      <w:pPr>
        <w:pStyle w:val="Summary2"/>
      </w:pPr>
      <w:bookmarkStart w:id="182" w:name="_Toc364436057"/>
      <w:r>
        <w:lastRenderedPageBreak/>
        <w:t>Permanent reduction in live animal export</w:t>
      </w:r>
      <w:bookmarkEnd w:id="182"/>
    </w:p>
    <w:p w:rsidR="00DA7DAD" w:rsidRDefault="00DA7DAD" w:rsidP="00DA7DAD">
      <w:pPr>
        <w:pStyle w:val="BodyText"/>
      </w:pPr>
      <w:r>
        <w:t xml:space="preserve">Halving the live cattle and sheep exports from existing levels will see grazing cattle and sheep numbers fall by 3.5 per cent and 4.9 per cent, respectively, from the central reference case levels in 2020, by 4.3 per cent and 5.7 per cent respectively in 2030, and by 5.0 per cent and 6.5 per cent respectively in 2050 (Chart </w:t>
      </w:r>
      <w:r>
        <w:fldChar w:fldCharType="begin"/>
      </w:r>
      <w:r>
        <w:instrText xml:space="preserve"> REF _Ref364348660 \h </w:instrText>
      </w:r>
      <w:r>
        <w:fldChar w:fldCharType="separate"/>
      </w:r>
      <w:r w:rsidR="00927DCC">
        <w:rPr>
          <w:noProof/>
        </w:rPr>
        <w:t>C</w:t>
      </w:r>
      <w:r w:rsidR="00927DCC" w:rsidRPr="00695C93">
        <w:rPr>
          <w:noProof/>
        </w:rPr>
        <w:t>.</w:t>
      </w:r>
      <w:r w:rsidR="00927DCC">
        <w:rPr>
          <w:noProof/>
        </w:rPr>
        <w:t>2</w:t>
      </w:r>
      <w:r>
        <w:fldChar w:fldCharType="end"/>
      </w:r>
      <w:r>
        <w:t>).</w:t>
      </w:r>
    </w:p>
    <w:p w:rsidR="00DA7DAD" w:rsidRPr="00695C93" w:rsidRDefault="00DA7DAD" w:rsidP="00DA7DA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2</w:instrText>
      </w:r>
      <w:r w:rsidRPr="00695C93">
        <w:fldChar w:fldCharType="end"/>
      </w:r>
      <w:r w:rsidRPr="00695C93">
        <w:instrText xml:space="preserve">" "" </w:instrText>
      </w:r>
      <w:r w:rsidRPr="00695C93">
        <w:fldChar w:fldCharType="separate"/>
      </w:r>
      <w:bookmarkStart w:id="183" w:name="_Caption2143"/>
      <w:bookmarkStart w:id="184" w:name="_Ref364348660"/>
      <w:bookmarkStart w:id="185" w:name="_Toc364436087"/>
      <w:bookmarkStart w:id="186" w:name="_Toc366052915"/>
      <w:r w:rsidR="00927DCC">
        <w:rPr>
          <w:noProof/>
        </w:rPr>
        <w:t>C</w:t>
      </w:r>
      <w:r w:rsidR="00927DCC" w:rsidRPr="00695C93">
        <w:rPr>
          <w:noProof/>
        </w:rPr>
        <w:t>.</w:t>
      </w:r>
      <w:r w:rsidR="00927DCC">
        <w:rPr>
          <w:noProof/>
        </w:rPr>
        <w:t>2</w:t>
      </w:r>
      <w:bookmarkEnd w:id="183"/>
      <w:bookmarkEnd w:id="184"/>
      <w:r w:rsidRPr="00695C93">
        <w:fldChar w:fldCharType="end"/>
      </w:r>
      <w:r w:rsidRPr="00695C93">
        <w:tab/>
      </w:r>
      <w:r>
        <w:t>Impact of live animal export reduction on agricultural output</w:t>
      </w:r>
      <w:bookmarkEnd w:id="185"/>
      <w:bookmarkEnd w:id="18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C92DFE" w:rsidP="00D035C2">
            <w:pPr>
              <w:pStyle w:val="Chart"/>
            </w:pPr>
            <w:r>
              <w:rPr>
                <w:noProof/>
                <w:lang w:eastAsia="en-AU"/>
              </w:rPr>
              <w:drawing>
                <wp:inline distT="0" distB="0" distL="0" distR="0">
                  <wp:extent cx="2480945" cy="1868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GMI model simulations</w:t>
      </w:r>
    </w:p>
    <w:p w:rsidR="00DA7DAD" w:rsidRDefault="00DA7DAD" w:rsidP="000002FE">
      <w:pPr>
        <w:pStyle w:val="Summary2"/>
      </w:pPr>
      <w:bookmarkStart w:id="187" w:name="_Toc364436058"/>
      <w:r>
        <w:t>Exchange rates</w:t>
      </w:r>
      <w:bookmarkEnd w:id="187"/>
    </w:p>
    <w:p w:rsidR="00DA7DAD" w:rsidRDefault="00DA7DAD" w:rsidP="00DA7DAD">
      <w:pPr>
        <w:pStyle w:val="BodyText"/>
      </w:pPr>
      <w:r>
        <w:t xml:space="preserve">A higher Australian dollar means higher prices for Australian exports and cheaper prices for imports, leading to lower demand for Australian products. On the other hand, </w:t>
      </w:r>
      <w:r w:rsidR="00676015">
        <w:t xml:space="preserve">a </w:t>
      </w:r>
      <w:r>
        <w:t xml:space="preserve">lower Australian dollar would boost the demand for Australian products, as Chart </w:t>
      </w:r>
      <w:r>
        <w:fldChar w:fldCharType="begin"/>
      </w:r>
      <w:r>
        <w:instrText xml:space="preserve"> REF _Ref364349701 \h </w:instrText>
      </w:r>
      <w:r>
        <w:fldChar w:fldCharType="separate"/>
      </w:r>
      <w:r w:rsidR="00927DCC">
        <w:rPr>
          <w:noProof/>
        </w:rPr>
        <w:t>C</w:t>
      </w:r>
      <w:r w:rsidR="00927DCC" w:rsidRPr="00695C93">
        <w:rPr>
          <w:noProof/>
        </w:rPr>
        <w:t>.</w:t>
      </w:r>
      <w:r w:rsidR="00927DCC">
        <w:rPr>
          <w:noProof/>
        </w:rPr>
        <w:t>3</w:t>
      </w:r>
      <w:r>
        <w:fldChar w:fldCharType="end"/>
      </w:r>
      <w:r>
        <w:t xml:space="preserve"> illustrates.</w:t>
      </w:r>
    </w:p>
    <w:p w:rsidR="00DA7DAD" w:rsidRDefault="00DA7DAD" w:rsidP="00DA7DAD">
      <w:pPr>
        <w:pStyle w:val="BodyText"/>
      </w:pPr>
      <w:r>
        <w:t>For the same reason as in the case of foreign demand sensitivity analysis, the impact of exchange rate changes on dairy cattle numbers is relatively smaller than that on meat animal numbers and grain output. For example, the dairy cattle number in 2050 is estimated to be 2.2 per cent lower (1.8 per cent higher) than the central reference case level if the Australian exchange rate is 20 per cent higher (lower). By contrast, the impact of similar exchange rate change would be 7.2 per cent lower (10.8 per cent higher) for grazing beef cattle number</w:t>
      </w:r>
      <w:r w:rsidR="005C0E27">
        <w:t>s</w:t>
      </w:r>
      <w:r>
        <w:t>, 9.3 per cent lower (13.9 per cent higher) for grain fed beef cattle number</w:t>
      </w:r>
      <w:r w:rsidR="005C0E27">
        <w:t>s</w:t>
      </w:r>
      <w:r>
        <w:t>.</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3</w:instrText>
      </w:r>
      <w:r w:rsidRPr="00695C93">
        <w:fldChar w:fldCharType="end"/>
      </w:r>
      <w:r w:rsidRPr="00695C93">
        <w:instrText xml:space="preserve">" "" </w:instrText>
      </w:r>
      <w:r w:rsidRPr="00695C93">
        <w:fldChar w:fldCharType="separate"/>
      </w:r>
      <w:bookmarkStart w:id="188" w:name="_Caption6464"/>
      <w:bookmarkStart w:id="189" w:name="_Ref364349701"/>
      <w:bookmarkStart w:id="190" w:name="_Toc364436088"/>
      <w:bookmarkStart w:id="191" w:name="_Toc366052916"/>
      <w:r w:rsidR="00927DCC">
        <w:rPr>
          <w:noProof/>
        </w:rPr>
        <w:t>C</w:t>
      </w:r>
      <w:r w:rsidR="00927DCC" w:rsidRPr="00695C93">
        <w:rPr>
          <w:noProof/>
        </w:rPr>
        <w:t>.</w:t>
      </w:r>
      <w:r w:rsidR="00927DCC">
        <w:rPr>
          <w:noProof/>
        </w:rPr>
        <w:t>3</w:t>
      </w:r>
      <w:bookmarkEnd w:id="188"/>
      <w:bookmarkEnd w:id="189"/>
      <w:r w:rsidRPr="00695C93">
        <w:fldChar w:fldCharType="end"/>
      </w:r>
      <w:r w:rsidRPr="00695C93">
        <w:tab/>
      </w:r>
      <w:r>
        <w:t>Impact of exchange rates on agricultural output</w:t>
      </w:r>
      <w:bookmarkEnd w:id="190"/>
      <w:bookmarkEnd w:id="19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C92DFE" w:rsidP="00D035C2">
            <w:pPr>
              <w:pStyle w:val="Chart"/>
            </w:pPr>
            <w:r>
              <w:rPr>
                <w:noProof/>
                <w:lang w:eastAsia="en-AU"/>
              </w:rPr>
              <w:drawing>
                <wp:inline distT="0" distB="0" distL="0" distR="0">
                  <wp:extent cx="2480945" cy="1868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Default="00DA7DAD" w:rsidP="000002FE">
      <w:pPr>
        <w:pStyle w:val="Summary2"/>
      </w:pPr>
      <w:bookmarkStart w:id="192" w:name="_Toc364436059"/>
      <w:r>
        <w:lastRenderedPageBreak/>
        <w:t>Productivity</w:t>
      </w:r>
      <w:bookmarkEnd w:id="192"/>
    </w:p>
    <w:p w:rsidR="00DA7DAD" w:rsidRDefault="00DA7DAD" w:rsidP="00DA7DAD">
      <w:pPr>
        <w:pStyle w:val="BodyText"/>
      </w:pPr>
      <w:r>
        <w:t xml:space="preserve">Chart </w:t>
      </w:r>
      <w:r>
        <w:fldChar w:fldCharType="begin"/>
      </w:r>
      <w:r>
        <w:instrText xml:space="preserve"> REF _Ref364408752 \h </w:instrText>
      </w:r>
      <w:r>
        <w:fldChar w:fldCharType="separate"/>
      </w:r>
      <w:r w:rsidR="00927DCC">
        <w:rPr>
          <w:noProof/>
        </w:rPr>
        <w:t>C</w:t>
      </w:r>
      <w:r w:rsidR="00927DCC" w:rsidRPr="00695C93">
        <w:rPr>
          <w:noProof/>
        </w:rPr>
        <w:t>.</w:t>
      </w:r>
      <w:r w:rsidR="00927DCC">
        <w:rPr>
          <w:noProof/>
        </w:rPr>
        <w:t>4</w:t>
      </w:r>
      <w:r>
        <w:fldChar w:fldCharType="end"/>
      </w:r>
      <w:r>
        <w:t xml:space="preserve"> reports the agricultural activities under different assumptions of productivity growth. Higher productivity improvement brings about more reduction in cost, leading to higher demand and thus production. </w:t>
      </w:r>
    </w:p>
    <w:p w:rsidR="00DA7DAD" w:rsidRDefault="00DA7DAD" w:rsidP="000002FE">
      <w:pPr>
        <w:pStyle w:val="Summary2"/>
      </w:pPr>
      <w:bookmarkStart w:id="193" w:name="_Toc364436060"/>
      <w:r>
        <w:t>Slaughtering weight and yield</w:t>
      </w:r>
      <w:bookmarkEnd w:id="193"/>
    </w:p>
    <w:p w:rsidR="00DA7DAD" w:rsidRDefault="00DA7DAD" w:rsidP="00DA7DAD">
      <w:pPr>
        <w:pStyle w:val="BodyText"/>
      </w:pPr>
      <w:r>
        <w:t xml:space="preserve">Chart </w:t>
      </w:r>
      <w:r>
        <w:fldChar w:fldCharType="begin"/>
      </w:r>
      <w:r>
        <w:instrText xml:space="preserve"> REF _Ref364409496 \h </w:instrText>
      </w:r>
      <w:r>
        <w:fldChar w:fldCharType="separate"/>
      </w:r>
      <w:r w:rsidR="00927DCC">
        <w:rPr>
          <w:noProof/>
        </w:rPr>
        <w:t>C</w:t>
      </w:r>
      <w:r w:rsidR="00927DCC" w:rsidRPr="00695C93">
        <w:rPr>
          <w:noProof/>
        </w:rPr>
        <w:t>.</w:t>
      </w:r>
      <w:r w:rsidR="00927DCC">
        <w:rPr>
          <w:noProof/>
        </w:rPr>
        <w:t>5</w:t>
      </w:r>
      <w:r>
        <w:fldChar w:fldCharType="end"/>
      </w:r>
      <w:r>
        <w:t xml:space="preserve"> reports the agricultural activities under different assumptions of the growth in slaughtering weight and yield. The impacts</w:t>
      </w:r>
      <w:r w:rsidR="005C0E27">
        <w:t xml:space="preserve"> on animal numbers and on grain</w:t>
      </w:r>
      <w:r>
        <w:t xml:space="preserve"> production are on the opposite direction.</w:t>
      </w:r>
    </w:p>
    <w:p w:rsidR="00DA7DAD" w:rsidRDefault="00DA7DAD" w:rsidP="00DA7DAD">
      <w:pPr>
        <w:pStyle w:val="BodyText"/>
      </w:pPr>
      <w:r>
        <w:t xml:space="preserve">Higher slaughtering weight in the meat industry and higher milk production per cow in the dairy industry mean that, for a certain output, fewer animals </w:t>
      </w:r>
      <w:proofErr w:type="gramStart"/>
      <w:r>
        <w:t>are needed</w:t>
      </w:r>
      <w:proofErr w:type="gramEnd"/>
      <w:r>
        <w:t xml:space="preserve">. As shown by the top </w:t>
      </w:r>
      <w:proofErr w:type="gramStart"/>
      <w:r>
        <w:t>6</w:t>
      </w:r>
      <w:proofErr w:type="gramEnd"/>
      <w:r>
        <w:t xml:space="preserve"> diagrams in the chart, higher (lower) growth in slaughtering weight/yield is associated with lower (higher) animal numbers.</w:t>
      </w:r>
    </w:p>
    <w:p w:rsidR="00DA7DAD" w:rsidRDefault="00DA7DAD" w:rsidP="00DA7DAD">
      <w:pPr>
        <w:pStyle w:val="BodyText"/>
      </w:pPr>
      <w:r>
        <w:t xml:space="preserve">The dairy industry stands out in the sensitivity analysis – dairy cattle numbers would fall if the yield growth rate </w:t>
      </w:r>
      <w:proofErr w:type="gramStart"/>
      <w:r>
        <w:t>is</w:t>
      </w:r>
      <w:proofErr w:type="gramEnd"/>
      <w:r>
        <w:t xml:space="preserve"> 50 per cent higher than the assumed growth in the central reference case. This is partly due to the relatively high growth assumption of yield in dairy industry </w:t>
      </w:r>
      <w:r w:rsidR="00FB2A4D">
        <w:t>compared with</w:t>
      </w:r>
      <w:r>
        <w:t xml:space="preserve"> other </w:t>
      </w:r>
      <w:r w:rsidR="00FB2A4D">
        <w:t>industries i</w:t>
      </w:r>
      <w:r>
        <w:t>n the central reference case.</w:t>
      </w:r>
    </w:p>
    <w:p w:rsidR="00DA7DAD" w:rsidRDefault="00DA7DAD" w:rsidP="00DA7DAD">
      <w:pPr>
        <w:pStyle w:val="BodyText"/>
      </w:pPr>
      <w:r>
        <w:t xml:space="preserve">By contrast, higher yield in grain production means more production for given amount of land. </w:t>
      </w:r>
      <w:proofErr w:type="gramStart"/>
      <w:r>
        <w:t>So</w:t>
      </w:r>
      <w:proofErr w:type="gramEnd"/>
      <w:r>
        <w:t xml:space="preserve"> it is the same as the productivity improvement in the sector. As shown in the bottom </w:t>
      </w:r>
      <w:proofErr w:type="gramStart"/>
      <w:r>
        <w:t>2</w:t>
      </w:r>
      <w:proofErr w:type="gramEnd"/>
      <w:r>
        <w:t xml:space="preserve"> diagrams in the chart, higher (lower) yield growth is associated with higher (lower) grain production.</w:t>
      </w:r>
    </w:p>
    <w:p w:rsidR="00DA7DAD" w:rsidRDefault="00DA7DAD" w:rsidP="000002FE">
      <w:pPr>
        <w:pStyle w:val="Summary2"/>
      </w:pPr>
      <w:bookmarkStart w:id="194" w:name="_Toc364436061"/>
      <w:r>
        <w:t>Input prices</w:t>
      </w:r>
      <w:bookmarkEnd w:id="194"/>
    </w:p>
    <w:p w:rsidR="00DA7DAD" w:rsidRDefault="00DA7DAD" w:rsidP="00DA7DAD">
      <w:pPr>
        <w:pStyle w:val="BodyText"/>
      </w:pPr>
      <w:r>
        <w:t xml:space="preserve">Chart </w:t>
      </w:r>
      <w:r>
        <w:fldChar w:fldCharType="begin"/>
      </w:r>
      <w:r>
        <w:instrText xml:space="preserve"> REF _Ref364410067 \h </w:instrText>
      </w:r>
      <w:r>
        <w:fldChar w:fldCharType="separate"/>
      </w:r>
      <w:r w:rsidR="00927DCC">
        <w:rPr>
          <w:noProof/>
        </w:rPr>
        <w:t>C</w:t>
      </w:r>
      <w:r w:rsidR="00927DCC" w:rsidRPr="00695C93">
        <w:rPr>
          <w:noProof/>
        </w:rPr>
        <w:t>.</w:t>
      </w:r>
      <w:r w:rsidR="00927DCC">
        <w:rPr>
          <w:noProof/>
        </w:rPr>
        <w:t>6</w:t>
      </w:r>
      <w:r>
        <w:fldChar w:fldCharType="end"/>
      </w:r>
      <w:r>
        <w:t xml:space="preserve"> reports the agricultural activities under different assumptions of the prices of inputs into the production system. The impact is opposite to that from a productivity improvement. Higher input prices mean higher cost of a product, depressing the demand and thus production.</w:t>
      </w:r>
    </w:p>
    <w:p w:rsidR="00DA7DAD" w:rsidRDefault="00DA7DAD" w:rsidP="000002FE">
      <w:pPr>
        <w:pStyle w:val="Summary2"/>
      </w:pPr>
      <w:bookmarkStart w:id="195" w:name="_Toc364436062"/>
      <w:r>
        <w:t>Extended drought</w:t>
      </w:r>
      <w:bookmarkEnd w:id="195"/>
    </w:p>
    <w:p w:rsidR="00DA7DAD" w:rsidRDefault="00DA7DAD" w:rsidP="00DA7DAD">
      <w:pPr>
        <w:pStyle w:val="BodyText"/>
      </w:pPr>
      <w:r>
        <w:t>There are several ways to model the impact of drought. A common way is through reductions in productivity</w:t>
      </w:r>
      <w:r w:rsidR="001A3B2C">
        <w:t xml:space="preserve"> (yields)</w:t>
      </w:r>
      <w:r>
        <w:t xml:space="preserve">. As the impact of different productivity assumptions </w:t>
      </w:r>
      <w:proofErr w:type="gramStart"/>
      <w:r>
        <w:t>has been investigated</w:t>
      </w:r>
      <w:proofErr w:type="gramEnd"/>
      <w:r>
        <w:t xml:space="preserve"> separately, we adopt an alternative approach through a permanent</w:t>
      </w:r>
      <w:r w:rsidR="001A3B2C">
        <w:t>ly reduced elasticity of supply — that is, a reduced ability of each of the agricultural sectors to respond to changes in demand.</w:t>
      </w:r>
    </w:p>
    <w:p w:rsidR="00DA7DAD" w:rsidRPr="00475F3A" w:rsidRDefault="00DA7DAD" w:rsidP="00DA7DAD">
      <w:pPr>
        <w:pStyle w:val="BodyText"/>
      </w:pPr>
      <w:r>
        <w:t xml:space="preserve">This approach is taken as we often observe lower output and higher prices in a drought, that is, a higher price is required to encourage farmers to produce the same amount of products – </w:t>
      </w:r>
      <w:proofErr w:type="gramStart"/>
      <w:r>
        <w:t>a lower</w:t>
      </w:r>
      <w:proofErr w:type="gramEnd"/>
      <w:r>
        <w:t xml:space="preserve"> supply elasticity.</w:t>
      </w:r>
    </w:p>
    <w:p w:rsidR="00BA7921" w:rsidRDefault="00DA7DAD" w:rsidP="00DA7DAD">
      <w:pPr>
        <w:pStyle w:val="BodyText"/>
      </w:pPr>
      <w:r>
        <w:lastRenderedPageBreak/>
        <w:t xml:space="preserve">Chart </w:t>
      </w:r>
      <w:r>
        <w:fldChar w:fldCharType="begin"/>
      </w:r>
      <w:r>
        <w:instrText xml:space="preserve"> REF _Ref364411953 \h </w:instrText>
      </w:r>
      <w:r>
        <w:fldChar w:fldCharType="separate"/>
      </w:r>
      <w:r w:rsidR="00927DCC">
        <w:rPr>
          <w:noProof/>
        </w:rPr>
        <w:t>C</w:t>
      </w:r>
      <w:r w:rsidR="00927DCC" w:rsidRPr="00695C93">
        <w:rPr>
          <w:noProof/>
        </w:rPr>
        <w:t>.</w:t>
      </w:r>
      <w:r w:rsidR="00927DCC">
        <w:rPr>
          <w:noProof/>
        </w:rPr>
        <w:t>7</w:t>
      </w:r>
      <w:r>
        <w:fldChar w:fldCharType="end"/>
      </w:r>
      <w:r>
        <w:t xml:space="preserve"> reports the agricultural activities under the extended drought case along with the central reference case.</w:t>
      </w:r>
      <w:r w:rsidR="00C34E89">
        <w:t xml:space="preserve"> </w:t>
      </w:r>
    </w:p>
    <w:p w:rsidR="00BA7921" w:rsidRDefault="00BA7921" w:rsidP="00DA7DAD">
      <w:pPr>
        <w:pStyle w:val="BodyText"/>
      </w:pPr>
      <w:r>
        <w:t>As expected, in most cases this sensitivity results in lower output of each commodity</w:t>
      </w:r>
      <w:r w:rsidR="001A3B2C">
        <w:t xml:space="preserve"> compared with the central reference case</w:t>
      </w:r>
      <w:r>
        <w:t>.</w:t>
      </w:r>
    </w:p>
    <w:p w:rsidR="001A3B2C" w:rsidRDefault="00C34E89" w:rsidP="00DA7DAD">
      <w:pPr>
        <w:pStyle w:val="BodyText"/>
      </w:pPr>
      <w:r>
        <w:t xml:space="preserve">It is interesting to note that because of the way the reduction in the supply elasticity </w:t>
      </w:r>
      <w:proofErr w:type="gramStart"/>
      <w:r>
        <w:t>is implemented</w:t>
      </w:r>
      <w:proofErr w:type="gramEnd"/>
      <w:r>
        <w:t xml:space="preserve"> in the Grain</w:t>
      </w:r>
      <w:r w:rsidR="00BA7921">
        <w:t>s</w:t>
      </w:r>
      <w:r>
        <w:t xml:space="preserve"> model, output of wheat actually increases slightly, while that of other grains declines, relative to the central case. </w:t>
      </w:r>
    </w:p>
    <w:p w:rsidR="00DA7DAD" w:rsidRDefault="00C34E89" w:rsidP="00DA7DAD">
      <w:pPr>
        <w:pStyle w:val="BodyText"/>
      </w:pPr>
      <w:r>
        <w:t>In the Grain</w:t>
      </w:r>
      <w:r w:rsidR="00405C10">
        <w:t>s</w:t>
      </w:r>
      <w:r>
        <w:t xml:space="preserve"> model, the supply elasticity refers to the overall supply responsiveness of a </w:t>
      </w:r>
      <w:r w:rsidR="001A3B2C">
        <w:t>‘</w:t>
      </w:r>
      <w:r>
        <w:t>bundle</w:t>
      </w:r>
      <w:r w:rsidR="001A3B2C">
        <w:t>’</w:t>
      </w:r>
      <w:r>
        <w:t xml:space="preserve"> of grain products</w:t>
      </w:r>
      <w:r w:rsidR="001A3B2C">
        <w:t xml:space="preserve"> (or equivalently, the total productive capacity of the farm which could be applied to a number of different grains)</w:t>
      </w:r>
      <w:r>
        <w:t>. Within this</w:t>
      </w:r>
      <w:r w:rsidR="00BA7921">
        <w:t xml:space="preserve"> </w:t>
      </w:r>
      <w:r w:rsidR="001A3B2C">
        <w:t>bundle,</w:t>
      </w:r>
      <w:r>
        <w:t xml:space="preserve"> it is possible to have a shift between grain products (towards wheat and away from other grains, for example). </w:t>
      </w:r>
      <w:r w:rsidR="001A3B2C">
        <w:t xml:space="preserve">That is, while overall supply falls, the supply of a particular grain can increase at the expense of other grains. </w:t>
      </w:r>
      <w:r>
        <w:t>This is what occurs in this simulation. This sort of shift is o</w:t>
      </w:r>
      <w:r w:rsidR="00BA7921">
        <w:t>nly possible in the short term as eventually the overall reduction in supply outweighs any ability to shift between grain types.</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4</w:instrText>
      </w:r>
      <w:r w:rsidRPr="00695C93">
        <w:fldChar w:fldCharType="end"/>
      </w:r>
      <w:r w:rsidRPr="00695C93">
        <w:instrText xml:space="preserve">" "" </w:instrText>
      </w:r>
      <w:r w:rsidRPr="00695C93">
        <w:fldChar w:fldCharType="separate"/>
      </w:r>
      <w:bookmarkStart w:id="196" w:name="_Caption6943"/>
      <w:bookmarkStart w:id="197" w:name="_Ref364408752"/>
      <w:bookmarkStart w:id="198" w:name="_Toc364436089"/>
      <w:bookmarkStart w:id="199" w:name="_Toc366052917"/>
      <w:r w:rsidR="00927DCC">
        <w:rPr>
          <w:noProof/>
        </w:rPr>
        <w:t>C</w:t>
      </w:r>
      <w:r w:rsidR="00927DCC" w:rsidRPr="00695C93">
        <w:rPr>
          <w:noProof/>
        </w:rPr>
        <w:t>.</w:t>
      </w:r>
      <w:r w:rsidR="00927DCC">
        <w:rPr>
          <w:noProof/>
        </w:rPr>
        <w:t>4</w:t>
      </w:r>
      <w:bookmarkEnd w:id="196"/>
      <w:bookmarkEnd w:id="197"/>
      <w:r w:rsidRPr="00695C93">
        <w:fldChar w:fldCharType="end"/>
      </w:r>
      <w:r w:rsidRPr="00695C93">
        <w:tab/>
      </w:r>
      <w:r>
        <w:t>Impact of productivity on agricultural output</w:t>
      </w:r>
      <w:bookmarkEnd w:id="198"/>
      <w:bookmarkEnd w:id="19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C92DFE" w:rsidP="00D035C2">
            <w:pPr>
              <w:pStyle w:val="Chart"/>
            </w:pPr>
            <w:r>
              <w:rPr>
                <w:noProof/>
                <w:lang w:eastAsia="en-AU"/>
              </w:rPr>
              <w:drawing>
                <wp:inline distT="0" distB="0" distL="0" distR="0">
                  <wp:extent cx="2480945" cy="1868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Default="00DA7DAD" w:rsidP="00DA7DAD">
      <w:pPr>
        <w:pStyle w:val="BodyText"/>
      </w:pP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5</w:instrText>
      </w:r>
      <w:r w:rsidRPr="00695C93">
        <w:fldChar w:fldCharType="end"/>
      </w:r>
      <w:r w:rsidRPr="00695C93">
        <w:instrText xml:space="preserve">" "" </w:instrText>
      </w:r>
      <w:r w:rsidRPr="00695C93">
        <w:fldChar w:fldCharType="separate"/>
      </w:r>
      <w:bookmarkStart w:id="200" w:name="_Caption0225"/>
      <w:bookmarkStart w:id="201" w:name="_Ref364409496"/>
      <w:bookmarkStart w:id="202" w:name="_Toc364436090"/>
      <w:bookmarkStart w:id="203" w:name="_Toc366052918"/>
      <w:r w:rsidR="00927DCC">
        <w:rPr>
          <w:noProof/>
        </w:rPr>
        <w:t>C</w:t>
      </w:r>
      <w:r w:rsidR="00927DCC" w:rsidRPr="00695C93">
        <w:rPr>
          <w:noProof/>
        </w:rPr>
        <w:t>.</w:t>
      </w:r>
      <w:r w:rsidR="00927DCC">
        <w:rPr>
          <w:noProof/>
        </w:rPr>
        <w:t>5</w:t>
      </w:r>
      <w:bookmarkEnd w:id="200"/>
      <w:bookmarkEnd w:id="201"/>
      <w:r w:rsidRPr="00695C93">
        <w:fldChar w:fldCharType="end"/>
      </w:r>
      <w:r w:rsidRPr="00695C93">
        <w:tab/>
      </w:r>
      <w:r>
        <w:t>Impact of slaughtering weight and yield on agricultural output</w:t>
      </w:r>
      <w:bookmarkEnd w:id="202"/>
      <w:bookmarkEnd w:id="20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3E3FBE" w:rsidP="00D035C2">
            <w:pPr>
              <w:pStyle w:val="Chart"/>
            </w:pPr>
            <w:r>
              <w:rPr>
                <w:noProof/>
                <w:lang w:eastAsia="en-AU"/>
              </w:rPr>
              <w:drawing>
                <wp:inline distT="0" distB="0" distL="0" distR="0">
                  <wp:extent cx="2480945" cy="1868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6</w:instrText>
      </w:r>
      <w:r w:rsidRPr="00695C93">
        <w:fldChar w:fldCharType="end"/>
      </w:r>
      <w:r w:rsidRPr="00695C93">
        <w:instrText xml:space="preserve">" "" </w:instrText>
      </w:r>
      <w:r w:rsidRPr="00695C93">
        <w:fldChar w:fldCharType="separate"/>
      </w:r>
      <w:bookmarkStart w:id="204" w:name="_Caption9592"/>
      <w:bookmarkStart w:id="205" w:name="_Ref364410067"/>
      <w:bookmarkStart w:id="206" w:name="_Toc364436091"/>
      <w:bookmarkStart w:id="207" w:name="_Toc366052919"/>
      <w:r w:rsidR="00927DCC">
        <w:rPr>
          <w:noProof/>
        </w:rPr>
        <w:t>C</w:t>
      </w:r>
      <w:r w:rsidR="00927DCC" w:rsidRPr="00695C93">
        <w:rPr>
          <w:noProof/>
        </w:rPr>
        <w:t>.</w:t>
      </w:r>
      <w:r w:rsidR="00927DCC">
        <w:rPr>
          <w:noProof/>
        </w:rPr>
        <w:t>6</w:t>
      </w:r>
      <w:bookmarkEnd w:id="204"/>
      <w:bookmarkEnd w:id="205"/>
      <w:r w:rsidRPr="00695C93">
        <w:fldChar w:fldCharType="end"/>
      </w:r>
      <w:r w:rsidRPr="00695C93">
        <w:tab/>
      </w:r>
      <w:r>
        <w:t>Impact of input prices on agricultural output</w:t>
      </w:r>
      <w:bookmarkEnd w:id="206"/>
      <w:bookmarkEnd w:id="20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3E3A5F" w:rsidP="00D035C2">
            <w:pPr>
              <w:pStyle w:val="Chart"/>
            </w:pPr>
            <w:r>
              <w:rPr>
                <w:noProof/>
                <w:lang w:eastAsia="en-AU"/>
              </w:rPr>
              <w:drawing>
                <wp:inline distT="0" distB="0" distL="0" distR="0">
                  <wp:extent cx="2480945" cy="18688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7</w:instrText>
      </w:r>
      <w:r w:rsidRPr="00695C93">
        <w:fldChar w:fldCharType="end"/>
      </w:r>
      <w:r w:rsidRPr="00695C93">
        <w:instrText xml:space="preserve">" "" </w:instrText>
      </w:r>
      <w:r w:rsidRPr="00695C93">
        <w:fldChar w:fldCharType="separate"/>
      </w:r>
      <w:bookmarkStart w:id="208" w:name="_Caption6639"/>
      <w:bookmarkStart w:id="209" w:name="_Ref364411953"/>
      <w:bookmarkStart w:id="210" w:name="_Toc364436092"/>
      <w:bookmarkStart w:id="211" w:name="_Toc366052920"/>
      <w:r w:rsidR="00927DCC">
        <w:rPr>
          <w:noProof/>
        </w:rPr>
        <w:t>C</w:t>
      </w:r>
      <w:r w:rsidR="00927DCC" w:rsidRPr="00695C93">
        <w:rPr>
          <w:noProof/>
        </w:rPr>
        <w:t>.</w:t>
      </w:r>
      <w:r w:rsidR="00927DCC">
        <w:rPr>
          <w:noProof/>
        </w:rPr>
        <w:t>7</w:t>
      </w:r>
      <w:bookmarkEnd w:id="208"/>
      <w:bookmarkEnd w:id="209"/>
      <w:r w:rsidRPr="00695C93">
        <w:fldChar w:fldCharType="end"/>
      </w:r>
      <w:r w:rsidRPr="00695C93">
        <w:tab/>
      </w:r>
      <w:r>
        <w:t>Impact of extended drought on agricultural output</w:t>
      </w:r>
      <w:bookmarkEnd w:id="210"/>
      <w:bookmarkEnd w:id="21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Pr="006C68DD" w:rsidRDefault="006C68DD" w:rsidP="00D035C2">
            <w:pPr>
              <w:pStyle w:val="Chart"/>
              <w:rPr>
                <w:b/>
              </w:rPr>
            </w:pPr>
            <w:r>
              <w:rPr>
                <w:noProof/>
                <w:lang w:eastAsia="en-AU"/>
              </w:rPr>
              <w:drawing>
                <wp:inline distT="0" distB="0" distL="0" distR="0">
                  <wp:extent cx="2480945" cy="18688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DA7DAD" w:rsidRDefault="00DA7DAD" w:rsidP="000002FE">
      <w:pPr>
        <w:pStyle w:val="Summary2"/>
      </w:pPr>
      <w:bookmarkStart w:id="212" w:name="_Toc364436063"/>
      <w:r>
        <w:lastRenderedPageBreak/>
        <w:t>Combined sensitivity analysis</w:t>
      </w:r>
      <w:bookmarkEnd w:id="212"/>
    </w:p>
    <w:p w:rsidR="00DA7DAD" w:rsidRDefault="00DA7DAD" w:rsidP="00DA7DAD">
      <w:pPr>
        <w:pStyle w:val="BodyText"/>
      </w:pPr>
      <w:r>
        <w:t xml:space="preserve">Chart </w:t>
      </w:r>
      <w:r>
        <w:fldChar w:fldCharType="begin"/>
      </w:r>
      <w:r>
        <w:instrText xml:space="preserve"> REF _Ref364411963 \h </w:instrText>
      </w:r>
      <w:r>
        <w:fldChar w:fldCharType="separate"/>
      </w:r>
      <w:r w:rsidR="00927DCC">
        <w:rPr>
          <w:noProof/>
        </w:rPr>
        <w:t>C</w:t>
      </w:r>
      <w:r w:rsidR="00927DCC" w:rsidRPr="00695C93">
        <w:rPr>
          <w:noProof/>
        </w:rPr>
        <w:t>.</w:t>
      </w:r>
      <w:r w:rsidR="00927DCC">
        <w:rPr>
          <w:noProof/>
        </w:rPr>
        <w:t>8</w:t>
      </w:r>
      <w:r>
        <w:fldChar w:fldCharType="end"/>
      </w:r>
      <w:r>
        <w:t xml:space="preserve"> reports the sensitivity analysis results of combining foreign income, productivity, slaughtering weight/yield and input price together.</w:t>
      </w:r>
    </w:p>
    <w:p w:rsidR="00DA7DAD" w:rsidRDefault="00DA7DAD" w:rsidP="00DA7DAD">
      <w:pPr>
        <w:pStyle w:val="BodyText"/>
      </w:pPr>
      <w:r>
        <w:t xml:space="preserve">It </w:t>
      </w:r>
      <w:proofErr w:type="gramStart"/>
      <w:r>
        <w:t>can be seen</w:t>
      </w:r>
      <w:proofErr w:type="gramEnd"/>
      <w:r>
        <w:t xml:space="preserve"> from the chart that the animal numbers are more sensitive than is grain production. By </w:t>
      </w:r>
      <w:proofErr w:type="gramStart"/>
      <w:r>
        <w:t>2050</w:t>
      </w:r>
      <w:proofErr w:type="gramEnd"/>
      <w:r>
        <w:t xml:space="preserve"> the animal numbers could be 40 per cent away from the central reference case projection, while the grains outputs have a 10-20 per cent deviation.</w:t>
      </w:r>
    </w:p>
    <w:p w:rsidR="00DA7DAD" w:rsidRPr="00695C93" w:rsidRDefault="00DA7DAD" w:rsidP="00DA7DA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w:instrText>
      </w:r>
      <w:fldSimple w:instr=" STYLEREF &quot;Heading 1&quot; \l \n ">
        <w:r>
          <w:rPr>
            <w:noProof/>
          </w:rPr>
          <w:instrText>3</w:instrText>
        </w:r>
      </w:fldSimple>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fldSimple w:instr=" STYLEREF &quot;Heading 6&quot; \l \n ">
        <w:r w:rsidR="00927DCC">
          <w:rPr>
            <w:noProof/>
          </w:rPr>
          <w:instrText>C</w:instrText>
        </w:r>
      </w:fldSimple>
      <w:r w:rsidRPr="00695C93">
        <w:instrText xml:space="preserve">." </w:instrText>
      </w:r>
      <w:r w:rsidRPr="00695C93">
        <w:fldChar w:fldCharType="separate"/>
      </w:r>
      <w:r w:rsidR="00927DCC">
        <w:rPr>
          <w:noProof/>
        </w:rPr>
        <w:instrText>C</w:instrText>
      </w:r>
      <w:r w:rsidR="00927DCC"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27DCC">
          <w:rPr>
            <w:noProof/>
          </w:rPr>
          <w:instrText>C</w:instrText>
        </w:r>
      </w:fldSimple>
      <w:r w:rsidRPr="00695C93">
        <w:instrText xml:space="preserve"> = 0 "</w:instrText>
      </w:r>
      <w:r w:rsidRPr="00695C93">
        <w:fldChar w:fldCharType="begin"/>
      </w:r>
      <w:r w:rsidRPr="00695C93">
        <w:instrText xml:space="preserve"> IF </w:instrText>
      </w:r>
      <w:fldSimple w:instr=" STYLEREF &quot;Heading 1&quot; \l \n ">
        <w:r>
          <w:rPr>
            <w:noProof/>
          </w:rPr>
          <w:instrText>3</w:instrText>
        </w:r>
      </w:fldSimple>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927DCC" w:rsidRPr="00695C93">
        <w:rPr>
          <w:noProof/>
        </w:rPr>
        <w:instrText>6</w:instrText>
      </w:r>
      <w:r w:rsidRPr="00695C93">
        <w:fldChar w:fldCharType="end"/>
      </w:r>
      <w:r w:rsidRPr="00695C93">
        <w:instrText xml:space="preserve"> </w:instrText>
      </w:r>
      <w:r w:rsidRPr="00695C93">
        <w:fldChar w:fldCharType="separate"/>
      </w:r>
      <w:r w:rsidR="00927DCC">
        <w:rPr>
          <w:noProof/>
        </w:rPr>
        <w:instrText>8</w:instrText>
      </w:r>
      <w:r w:rsidRPr="00695C93">
        <w:fldChar w:fldCharType="end"/>
      </w:r>
      <w:r w:rsidRPr="00695C93">
        <w:instrText xml:space="preserve">" "" </w:instrText>
      </w:r>
      <w:r w:rsidRPr="00695C93">
        <w:fldChar w:fldCharType="separate"/>
      </w:r>
      <w:bookmarkStart w:id="213" w:name="_Caption7369"/>
      <w:bookmarkStart w:id="214" w:name="_Ref364411963"/>
      <w:bookmarkStart w:id="215" w:name="_Toc364436093"/>
      <w:bookmarkStart w:id="216" w:name="_Toc366052921"/>
      <w:r w:rsidR="00927DCC">
        <w:rPr>
          <w:noProof/>
        </w:rPr>
        <w:t>C</w:t>
      </w:r>
      <w:r w:rsidR="00927DCC" w:rsidRPr="00695C93">
        <w:rPr>
          <w:noProof/>
        </w:rPr>
        <w:t>.</w:t>
      </w:r>
      <w:r w:rsidR="00927DCC">
        <w:rPr>
          <w:noProof/>
        </w:rPr>
        <w:t>8</w:t>
      </w:r>
      <w:bookmarkEnd w:id="213"/>
      <w:bookmarkEnd w:id="214"/>
      <w:r w:rsidRPr="00695C93">
        <w:fldChar w:fldCharType="end"/>
      </w:r>
      <w:r w:rsidRPr="00695C93">
        <w:tab/>
      </w:r>
      <w:r>
        <w:t>Combined sensitivity analysis result</w:t>
      </w:r>
      <w:bookmarkEnd w:id="215"/>
      <w:bookmarkEnd w:id="21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A7DAD" w:rsidTr="00D035C2">
        <w:trPr>
          <w:cantSplit/>
        </w:trPr>
        <w:tc>
          <w:tcPr>
            <w:tcW w:w="7938" w:type="dxa"/>
            <w:shd w:val="clear" w:color="auto" w:fill="E9E8E5" w:themeFill="background2"/>
          </w:tcPr>
          <w:p w:rsidR="00DA7DAD" w:rsidRDefault="00BE65B6" w:rsidP="00D035C2">
            <w:pPr>
              <w:pStyle w:val="Chart"/>
            </w:pPr>
            <w:r>
              <w:rPr>
                <w:noProof/>
                <w:lang w:eastAsia="en-AU"/>
              </w:rPr>
              <w:drawing>
                <wp:inline distT="0" distB="0" distL="0" distR="0">
                  <wp:extent cx="2480945" cy="18688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r>
              <w:t xml:space="preserve"> </w:t>
            </w:r>
            <w:r>
              <w:rPr>
                <w:noProof/>
                <w:lang w:eastAsia="en-AU"/>
              </w:rPr>
              <w:drawing>
                <wp:inline distT="0" distB="0" distL="0" distR="0">
                  <wp:extent cx="2480945" cy="18688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80945" cy="1868805"/>
                          </a:xfrm>
                          <a:prstGeom prst="rect">
                            <a:avLst/>
                          </a:prstGeom>
                          <a:noFill/>
                          <a:ln>
                            <a:noFill/>
                          </a:ln>
                        </pic:spPr>
                      </pic:pic>
                    </a:graphicData>
                  </a:graphic>
                </wp:inline>
              </w:drawing>
            </w:r>
          </w:p>
        </w:tc>
      </w:tr>
    </w:tbl>
    <w:p w:rsidR="00DA7DAD" w:rsidRDefault="00DA7DAD" w:rsidP="00DA7DAD">
      <w:pPr>
        <w:pStyle w:val="Source"/>
      </w:pPr>
      <w:r>
        <w:rPr>
          <w:i/>
        </w:rPr>
        <w:t>Data source</w:t>
      </w:r>
      <w:r w:rsidRPr="00A67576">
        <w:rPr>
          <w:i/>
        </w:rPr>
        <w:t>:</w:t>
      </w:r>
      <w:r>
        <w:t xml:space="preserve"> CIE Grain, Dairy and GMI model simulations</w:t>
      </w:r>
    </w:p>
    <w:p w:rsidR="005E0ECC" w:rsidRDefault="005E0ECC" w:rsidP="003032EA">
      <w:pPr>
        <w:pStyle w:val="BodyText"/>
        <w:sectPr w:rsidR="005E0ECC" w:rsidSect="003032EA">
          <w:headerReference w:type="even" r:id="rId114"/>
          <w:headerReference w:type="default" r:id="rId115"/>
          <w:footerReference w:type="even" r:id="rId116"/>
          <w:footerReference w:type="default" r:id="rId117"/>
          <w:pgSz w:w="11906" w:h="16838" w:code="9"/>
          <w:pgMar w:top="2268" w:right="1701" w:bottom="1418" w:left="2268" w:header="680" w:footer="680" w:gutter="0"/>
          <w:cols w:space="708"/>
          <w:docGrid w:linePitch="360"/>
        </w:sectPr>
      </w:pPr>
    </w:p>
    <w:p w:rsidR="005E0ECC" w:rsidRPr="00884722" w:rsidRDefault="005E0ECC" w:rsidP="003032EA">
      <w:pPr>
        <w:pStyle w:val="BodyText"/>
      </w:pPr>
      <w:r>
        <w:rPr>
          <w:noProof/>
        </w:rPr>
        <w:lastRenderedPageBreak/>
        <w:drawing>
          <wp:anchor distT="0" distB="0" distL="114300" distR="114300" simplePos="0" relativeHeight="251667456" behindDoc="0" locked="0" layoutInCell="0" allowOverlap="1" wp14:anchorId="23D940F6" wp14:editId="609DE1ED">
            <wp:simplePos x="0" y="0"/>
            <wp:positionH relativeFrom="page">
              <wp:posOffset>0</wp:posOffset>
            </wp:positionH>
            <wp:positionV relativeFrom="page">
              <wp:posOffset>0</wp:posOffset>
            </wp:positionV>
            <wp:extent cx="7559675" cy="10691495"/>
            <wp:effectExtent l="0" t="0" r="317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ECC" w:rsidRDefault="005E0ECC" w:rsidP="003032EA">
      <w:pPr>
        <w:pStyle w:val="BodyText"/>
      </w:pPr>
      <w:r>
        <w:rPr>
          <w:noProof/>
        </w:rPr>
        <mc:AlternateContent>
          <mc:Choice Requires="wps">
            <w:drawing>
              <wp:anchor distT="0" distB="0" distL="114300" distR="114300" simplePos="0" relativeHeight="251668480" behindDoc="0" locked="0" layoutInCell="0" allowOverlap="1" wp14:anchorId="23F122A8" wp14:editId="74CB4D89">
                <wp:simplePos x="0" y="0"/>
                <wp:positionH relativeFrom="page">
                  <wp:posOffset>1231265</wp:posOffset>
                </wp:positionH>
                <wp:positionV relativeFrom="page">
                  <wp:posOffset>7164705</wp:posOffset>
                </wp:positionV>
                <wp:extent cx="3351600" cy="540000"/>
                <wp:effectExtent l="0" t="0" r="1270" b="12700"/>
                <wp:wrapNone/>
                <wp:docPr id="137" name="Text Box 137"/>
                <wp:cNvGraphicFramePr/>
                <a:graphic xmlns:a="http://schemas.openxmlformats.org/drawingml/2006/main">
                  <a:graphicData uri="http://schemas.microsoft.com/office/word/2010/wordprocessingShape">
                    <wps:wsp>
                      <wps:cNvSpPr txBox="1"/>
                      <wps:spPr>
                        <a:xfrm>
                          <a:off x="0" y="0"/>
                          <a:ext cx="33516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0D23" w:rsidRPr="003E1F01" w:rsidRDefault="00940D23" w:rsidP="003032EA">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rsidR="00940D23" w:rsidRPr="003E1F01" w:rsidRDefault="00940D23" w:rsidP="003032EA">
                            <w:pPr>
                              <w:pStyle w:val="BodyText"/>
                              <w:spacing w:before="0" w:line="240" w:lineRule="auto"/>
                              <w:rPr>
                                <w:i/>
                                <w:sz w:val="22"/>
                              </w:rPr>
                            </w:pPr>
                            <w:r w:rsidRPr="003E1F01">
                              <w:rPr>
                                <w:i/>
                                <w:sz w:val="22"/>
                              </w:rPr>
                              <w:t>www.TheCIE.com.au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96.95pt;margin-top:564.15pt;width:263.9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" o:allowincell="f" filled="f" stroked="f" strokeweight=".5pt">
                <v:textbox inset="0,0,0,0">
                  <w:txbxContent>
                    <w:p w:rsidR="00940D23" w:rsidRPr="003E1F01" w:rsidRDefault="00940D23" w:rsidP="003032EA">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rsidR="00940D23" w:rsidRPr="003E1F01" w:rsidRDefault="00940D23" w:rsidP="003032EA">
                      <w:pPr>
                        <w:pStyle w:val="BodyText"/>
                        <w:spacing w:before="0" w:line="240" w:lineRule="auto"/>
                        <w:rPr>
                          <w:i/>
                          <w:sz w:val="22"/>
                        </w:rPr>
                      </w:pPr>
                      <w:r w:rsidRPr="003E1F01">
                        <w:rPr>
                          <w:i/>
                          <w:sz w:val="22"/>
                        </w:rPr>
                        <w:t>www.TheCIE.com.au</w:t>
                      </w:r>
                    </w:p>
                  </w:txbxContent>
                </v:textbox>
                <w10:wrap anchorx="page" anchory="page"/>
              </v:shape>
            </w:pict>
          </mc:Fallback>
        </mc:AlternateContent>
      </w:r>
    </w:p>
    <w:p w:rsidR="00DA7DAD" w:rsidRDefault="00DA7DAD" w:rsidP="00DA7DAD">
      <w:pPr>
        <w:pStyle w:val="BodyText"/>
      </w:pPr>
    </w:p>
    <w:sectPr w:rsidR="00DA7DAD" w:rsidSect="005E0ECC">
      <w:headerReference w:type="even" r:id="rId119"/>
      <w:headerReference w:type="default" r:id="rId120"/>
      <w:footerReference w:type="even" r:id="rId121"/>
      <w:footerReference w:type="default" r:id="rId122"/>
      <w:type w:val="evenPage"/>
      <w:pgSz w:w="11906" w:h="16838" w:code="9"/>
      <w:pgMar w:top="2268" w:right="1701" w:bottom="1418" w:left="226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DEA" w:rsidRDefault="00B96DEA" w:rsidP="00996DC5">
      <w:pPr>
        <w:spacing w:line="240" w:lineRule="auto"/>
      </w:pPr>
      <w:r>
        <w:separator/>
      </w:r>
    </w:p>
  </w:endnote>
  <w:endnote w:type="continuationSeparator" w:id="0">
    <w:p w:rsidR="00B96DEA" w:rsidRDefault="00B96DEA"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C5A0E" w:rsidRDefault="00940D23" w:rsidP="00D035C2">
    <w:pPr>
      <w:pStyle w:val="Footer"/>
    </w:pPr>
    <w:r>
      <w:t>www.TheCIE.com.au</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Footer"/>
    </w:pPr>
    <w:r>
      <w:rPr>
        <w:noProof/>
      </w:rPr>
      <mc:AlternateContent>
        <mc:Choice Requires="wps">
          <w:drawing>
            <wp:anchor distT="0" distB="0" distL="114300" distR="114300" simplePos="0" relativeHeight="251664384" behindDoc="0" locked="0" layoutInCell="0" allowOverlap="1" wp14:anchorId="783F8650" wp14:editId="3810ACC4">
              <wp:simplePos x="0" y="0"/>
              <wp:positionH relativeFrom="page">
                <wp:posOffset>396240</wp:posOffset>
              </wp:positionH>
              <wp:positionV relativeFrom="page">
                <wp:posOffset>1440180</wp:posOffset>
              </wp:positionV>
              <wp:extent cx="180000" cy="5040000"/>
              <wp:effectExtent l="0" t="0" r="0" b="8255"/>
              <wp:wrapNone/>
              <wp:docPr id="47" name="Rectangle 47"/>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C5A0E" w:rsidRDefault="00940D23" w:rsidP="00987E99">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2" style="position:absolute;margin-left:31.2pt;margin-top:113.4pt;width:14.15pt;height:39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XQy+2fgIA&#10;AGAFAAAOAAAAAAAAAAAAAAAAAC4CAABkcnMvZTJvRG9jLnhtbFBLAQItABQABgAIAAAAIQDdhPIq&#10;3wAAAAoBAAAPAAAAAAAAAAAAAAAAANgEAABkcnMvZG93bnJldi54bWxQSwUGAAAAAAQABADzAAAA&#10;5AUAAAAA&#10;" o:allowincell="f" filled="f" stroked="f" strokeweight="2pt">
              <v:textbox style="layout-flow:vertical" inset="0,0,0,0">
                <w:txbxContent>
                  <w:p w:rsidR="00940D23" w:rsidRPr="009C5A0E" w:rsidRDefault="00940D23" w:rsidP="00987E99">
                    <w:pPr>
                      <w:pStyle w:val="Footer"/>
                    </w:pPr>
                    <w:r>
                      <w:t>www.TheCIE.com.au</w:t>
                    </w:r>
                  </w:p>
                </w:txbxContent>
              </v:textbox>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pPr>
      <w:pStyle w:val="Footer"/>
    </w:pPr>
    <w:r>
      <w:t>www.TheCIE.com.au</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rsidP="003032EA">
    <w:pPr>
      <w:pStyle w:val="Footer"/>
      <w:jc w:val="right"/>
    </w:pPr>
    <w:r>
      <w:t>www.TheCIE.com.au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pPr>
      <w:pStyle w:val="Footer"/>
    </w:pPr>
    <w:r>
      <w:t>www.TheCIE.com.au</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rsidP="007C4C46">
    <w:pPr>
      <w:pStyle w:val="Footer"/>
      <w:jc w:val="right"/>
    </w:pPr>
    <w:r>
      <w:t>www.TheCIE.com.au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C5A0E" w:rsidRDefault="00940D23" w:rsidP="00D035C2">
    <w:pPr>
      <w:pStyle w:val="Footer"/>
      <w:jc w:val="right"/>
    </w:pPr>
    <w:r>
      <w:t>www.TheCIE.com.au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A731D9" w:rsidRDefault="00940D23" w:rsidP="00D035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pPr>
      <w:pStyle w:val="Footer"/>
    </w:pPr>
    <w:r>
      <w:t>www.TheCIE.com.au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rsidP="00D035C2">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C5A0E" w:rsidRDefault="00940D23" w:rsidP="00D035C2">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C5A0E" w:rsidRDefault="00940D23" w:rsidP="00D035C2">
    <w:pPr>
      <w:pStyle w:val="Footer"/>
      <w:jc w:val="right"/>
    </w:pPr>
    <w:r>
      <w:t>www.TheCIE.com.au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Footer"/>
    </w:pPr>
    <w:r>
      <w:t>www.TheCIE.com.au</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Footer"/>
      <w:jc w:val="right"/>
    </w:pPr>
    <w:r>
      <w:t>www.TheCIE.com.au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DEA" w:rsidRDefault="00B96DEA" w:rsidP="00996DC5">
      <w:pPr>
        <w:spacing w:line="240" w:lineRule="auto"/>
      </w:pPr>
      <w:r w:rsidRPr="00B75719">
        <w:rPr>
          <w:color w:val="6F6652" w:themeColor="text2"/>
        </w:rPr>
        <w:separator/>
      </w:r>
    </w:p>
  </w:footnote>
  <w:footnote w:type="continuationSeparator" w:id="0">
    <w:p w:rsidR="00B96DEA" w:rsidRDefault="00B96DEA" w:rsidP="00996DC5">
      <w:pPr>
        <w:spacing w:line="240" w:lineRule="auto"/>
      </w:pPr>
      <w:r>
        <w:continuationSeparator/>
      </w:r>
    </w:p>
  </w:footnote>
  <w:footnote w:id="1">
    <w:p w:rsidR="00940D23" w:rsidRDefault="00940D23">
      <w:pPr>
        <w:pStyle w:val="FootnoteText"/>
      </w:pPr>
      <w:r>
        <w:rPr>
          <w:rStyle w:val="FootnoteReference"/>
        </w:rPr>
        <w:footnoteRef/>
      </w:r>
      <w:r>
        <w:t xml:space="preserve"> </w:t>
      </w:r>
      <w:r>
        <w:tab/>
        <w:t xml:space="preserve">Emissions values </w:t>
      </w:r>
      <w:proofErr w:type="gramStart"/>
      <w:r>
        <w:t>are updated</w:t>
      </w:r>
      <w:proofErr w:type="gramEnd"/>
      <w:r>
        <w:t xml:space="preserve"> quarterly by DIICCSRTE and are available, when published, at </w:t>
      </w:r>
      <w:hyperlink r:id="rId1" w:history="1">
        <w:r w:rsidRPr="002A31DD">
          <w:rPr>
            <w:rStyle w:val="Hyperlink"/>
          </w:rPr>
          <w:t>www.climatechange.gov.au</w:t>
        </w:r>
      </w:hyperlink>
      <w:r>
        <w:t xml:space="preserve">. </w:t>
      </w:r>
    </w:p>
  </w:footnote>
  <w:footnote w:id="2">
    <w:p w:rsidR="00940D23" w:rsidRDefault="00940D23">
      <w:pPr>
        <w:pStyle w:val="FootnoteText"/>
      </w:pPr>
      <w:r>
        <w:rPr>
          <w:rStyle w:val="FootnoteReference"/>
        </w:rPr>
        <w:footnoteRef/>
      </w:r>
      <w:hyperlink r:id="rId2" w:history="1">
        <w:r w:rsidRPr="003F354F">
          <w:rPr>
            <w:rFonts w:ascii="Calisto MT" w:eastAsiaTheme="minorEastAsia" w:hAnsi="Calisto MT"/>
            <w:color w:val="0000FF"/>
            <w:sz w:val="16"/>
            <w:szCs w:val="16"/>
            <w:u w:val="single"/>
          </w:rPr>
          <w:t>http://data.daff.gov.au/data/warehouse/agcomd9abcc004/agcomd9abcc004201306/AgCommodities2013.No2_Ver1.0.0.pdf</w:t>
        </w:r>
      </w:hyperlink>
    </w:p>
  </w:footnote>
  <w:footnote w:id="3">
    <w:p w:rsidR="00940D23" w:rsidRDefault="00940D23">
      <w:pPr>
        <w:pStyle w:val="FootnoteText"/>
      </w:pPr>
      <w:r>
        <w:rPr>
          <w:rStyle w:val="FootnoteReference"/>
        </w:rPr>
        <w:footnoteRef/>
      </w:r>
      <w:hyperlink r:id="rId3" w:history="1">
        <w:r w:rsidRPr="003F354F">
          <w:rPr>
            <w:rFonts w:ascii="Calisto MT" w:eastAsiaTheme="minorEastAsia" w:hAnsi="Calisto MT"/>
            <w:color w:val="0000FF"/>
            <w:sz w:val="16"/>
            <w:szCs w:val="16"/>
            <w:u w:val="single"/>
          </w:rPr>
          <w:t>http://data.daff.gov.au/data/warehouse/agcomd9abcc004/agcomd9abcc004201303/AgCommodities2013.No1_Ver1.0.0.pdf</w:t>
        </w:r>
      </w:hyperlink>
    </w:p>
  </w:footnote>
  <w:footnote w:id="4">
    <w:p w:rsidR="00940D23" w:rsidRDefault="00940D23" w:rsidP="00E16268">
      <w:pPr>
        <w:pStyle w:val="FootnoteText"/>
      </w:pPr>
      <w:r>
        <w:rPr>
          <w:rStyle w:val="FootnoteReference"/>
        </w:rPr>
        <w:footnoteRef/>
      </w:r>
      <w:r>
        <w:t xml:space="preserve"> </w:t>
      </w:r>
      <w:r>
        <w:tab/>
        <w:t xml:space="preserve">Kirby et al. 2012, </w:t>
      </w:r>
      <w:r w:rsidRPr="009365B9">
        <w:rPr>
          <w:i/>
        </w:rPr>
        <w:t>The economic impact of water reductions during the Millennium Drought in the Murray-Darling Basin</w:t>
      </w:r>
      <w:r>
        <w:t>, Contributed paper prepared for presentation at the 56th AARES annual conference, Fremantle, Western Australia, February7-10, 2012.</w:t>
      </w:r>
    </w:p>
  </w:footnote>
  <w:footnote w:id="5">
    <w:p w:rsidR="00940D23" w:rsidRDefault="00940D23" w:rsidP="00E16268">
      <w:pPr>
        <w:pStyle w:val="FootnoteText"/>
      </w:pPr>
      <w:r>
        <w:rPr>
          <w:rStyle w:val="FootnoteReference"/>
        </w:rPr>
        <w:footnoteRef/>
      </w:r>
      <w:r>
        <w:t xml:space="preserve"> </w:t>
      </w:r>
      <w:r>
        <w:tab/>
        <w:t>See Kirby et al. 2012.</w:t>
      </w:r>
    </w:p>
  </w:footnote>
  <w:footnote w:id="6">
    <w:p w:rsidR="00940D23" w:rsidRDefault="00940D23" w:rsidP="00E16268">
      <w:pPr>
        <w:pStyle w:val="FootnoteText"/>
      </w:pPr>
      <w:r>
        <w:rPr>
          <w:rStyle w:val="FootnoteReference"/>
        </w:rPr>
        <w:footnoteRef/>
      </w:r>
      <w:r>
        <w:t xml:space="preserve"> </w:t>
      </w:r>
      <w:r>
        <w:tab/>
        <w:t xml:space="preserve">Curtis 2009, </w:t>
      </w:r>
      <w:r w:rsidRPr="00362D29">
        <w:rPr>
          <w:i/>
        </w:rPr>
        <w:t>Recent changes in the Australian sheep industry (the disappearing flock),</w:t>
      </w:r>
      <w:r>
        <w:t xml:space="preserve"> Department of Agriculture and Food, Western Australia, available at: </w:t>
      </w:r>
      <w:hyperlink r:id="rId4" w:history="1">
        <w:r w:rsidRPr="004A1D89">
          <w:rPr>
            <w:rStyle w:val="Hyperlink"/>
          </w:rPr>
          <w:t>http://www.sheepcrc.org.au/information/publications/australias-declining-sheep-flock.php</w:t>
        </w:r>
      </w:hyperlink>
      <w:r>
        <w:t xml:space="preserve"> </w:t>
      </w:r>
    </w:p>
  </w:footnote>
  <w:footnote w:id="7">
    <w:p w:rsidR="00940D23" w:rsidRDefault="00940D23" w:rsidP="00E16268">
      <w:pPr>
        <w:pStyle w:val="FootnoteText"/>
      </w:pPr>
      <w:r>
        <w:rPr>
          <w:rStyle w:val="FootnoteReference"/>
        </w:rPr>
        <w:footnoteRef/>
      </w:r>
      <w:r>
        <w:t xml:space="preserve"> </w:t>
      </w:r>
      <w:r>
        <w:tab/>
      </w:r>
      <w:proofErr w:type="spellStart"/>
      <w:r>
        <w:t>Poimena</w:t>
      </w:r>
      <w:proofErr w:type="spellEnd"/>
      <w:r>
        <w:t xml:space="preserve"> Analysis 2009</w:t>
      </w:r>
      <w:r w:rsidRPr="00362D29">
        <w:rPr>
          <w:i/>
        </w:rPr>
        <w:t>, Situation, outlook and opportunities for the supply and demand of apparel wool</w:t>
      </w:r>
      <w:r>
        <w:t xml:space="preserve">, Report Prepared for the </w:t>
      </w:r>
      <w:r w:rsidRPr="00362D29">
        <w:t>Cooperative Research Centre for Sheep Industry Innovation</w:t>
      </w:r>
      <w:r>
        <w:t xml:space="preserve">, available at: </w:t>
      </w:r>
      <w:hyperlink r:id="rId5" w:history="1">
        <w:r w:rsidRPr="004A1D89">
          <w:rPr>
            <w:rStyle w:val="Hyperlink"/>
          </w:rPr>
          <w:t>http://www.sheepcrc.org.au/information/publications/australias-declining-sheep-flock.php</w:t>
        </w:r>
      </w:hyperlink>
      <w:r>
        <w:t xml:space="preserve"> </w:t>
      </w:r>
    </w:p>
  </w:footnote>
  <w:footnote w:id="8">
    <w:p w:rsidR="00940D23" w:rsidRPr="002D3FB6" w:rsidRDefault="00940D23">
      <w:pPr>
        <w:pStyle w:val="FootnoteText"/>
      </w:pPr>
      <w:r>
        <w:rPr>
          <w:rStyle w:val="FootnoteReference"/>
        </w:rPr>
        <w:footnoteRef/>
      </w:r>
      <w:hyperlink r:id="rId6" w:history="1">
        <w:r>
          <w:rPr>
            <w:rStyle w:val="Hyperlink"/>
          </w:rPr>
          <w:t>http://data.daff.gov.au/data/warehouse/agcomd9abcc004/agcomd9abcc004201306/AgCommodities2013.No2_Ver1.0.0.pdf</w:t>
        </w:r>
      </w:hyperlink>
    </w:p>
  </w:footnote>
  <w:footnote w:id="9">
    <w:p w:rsidR="00940D23" w:rsidRDefault="00940D23">
      <w:pPr>
        <w:pStyle w:val="FootnoteText"/>
      </w:pPr>
      <w:r>
        <w:rPr>
          <w:rStyle w:val="FootnoteReference"/>
        </w:rPr>
        <w:footnoteRef/>
      </w:r>
      <w:r>
        <w:t xml:space="preserve"> </w:t>
      </w:r>
      <w:r>
        <w:tab/>
      </w:r>
      <w:hyperlink r:id="rId7" w:history="1">
        <w:r>
          <w:rPr>
            <w:rStyle w:val="Hyperlink"/>
          </w:rPr>
          <w:t>http://www.nrm.qld.gov.au/vegetation/vegetation-management.html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D4FBD" w:rsidRDefault="00940D23" w:rsidP="00D035C2">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 STYLEREF  Title ">
      <w:r w:rsidR="00927DCC">
        <w:rPr>
          <w:noProof/>
        </w:rPr>
        <w:t>Australian agricultural emissions projections</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663360" behindDoc="0" locked="0" layoutInCell="0" allowOverlap="1" wp14:anchorId="63485774" wp14:editId="694FEF1B">
              <wp:simplePos x="0" y="0"/>
              <wp:positionH relativeFrom="page">
                <wp:posOffset>9771380</wp:posOffset>
              </wp:positionH>
              <wp:positionV relativeFrom="page">
                <wp:posOffset>0</wp:posOffset>
              </wp:positionV>
              <wp:extent cx="0" cy="7560000"/>
              <wp:effectExtent l="0" t="0" r="19050" b="22225"/>
              <wp:wrapNone/>
              <wp:docPr id="58" name="Straight Connector 5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Cn2cTq/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62336" behindDoc="0" locked="0" layoutInCell="0" allowOverlap="1" wp14:anchorId="3A94C337" wp14:editId="7811D7BD">
              <wp:simplePos x="0" y="0"/>
              <wp:positionH relativeFrom="page">
                <wp:posOffset>9757410</wp:posOffset>
              </wp:positionH>
              <wp:positionV relativeFrom="page">
                <wp:posOffset>0</wp:posOffset>
              </wp:positionV>
              <wp:extent cx="216000" cy="7560000"/>
              <wp:effectExtent l="0" t="0" r="0" b="3175"/>
              <wp:wrapNone/>
              <wp:docPr id="59" name="Rectangle 5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27DCC">
                            <w:rPr>
                              <w:noProof/>
                              <w:color w:val="000000" w:themeColor="text1"/>
                            </w:rPr>
                            <w:t>Australian agricultural emissions projections</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9" style="position:absolute;margin-left:768.3pt;margin-top:0;width:17pt;height:59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GIykWX4CAABg&#10;BQAADgAAAAAAAAAAAAAAAAAuAgAAZHJzL2Uyb0RvYy54bWxQSwECLQAUAAYACAAAACEAEa++Bt0A&#10;AAALAQAADwAAAAAAAAAAAAAAAADYBAAAZHJzL2Rvd25yZXYueG1sUEsFBgAAAAAEAAQA8wAAAOIF&#10;AAAAAA==&#10;" o:allowincell="f" filled="f" stroked="f" strokeweight="2pt">
              <v:textbox style="layout-flow:vertical" inset="0,0,0,0">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27DCC">
                      <w:rPr>
                        <w:noProof/>
                        <w:color w:val="000000" w:themeColor="text1"/>
                      </w:rPr>
                      <w:t>Australian agricultural emissions projections</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Header"/>
      <w:pBdr>
        <w:bottom w:val="none" w:sz="0" w:space="0" w:color="auto"/>
      </w:pBdr>
      <w:spacing w:before="0"/>
      <w:ind w:left="0" w:right="0"/>
    </w:pPr>
    <w:r>
      <w:rPr>
        <w:noProof/>
      </w:rPr>
      <mc:AlternateContent>
        <mc:Choice Requires="wps">
          <w:drawing>
            <wp:anchor distT="0" distB="0" distL="114300" distR="114300" simplePos="0" relativeHeight="251661312" behindDoc="0" locked="0" layoutInCell="0" allowOverlap="1" wp14:anchorId="5F8E67CB" wp14:editId="7530B36E">
              <wp:simplePos x="0" y="0"/>
              <wp:positionH relativeFrom="page">
                <wp:posOffset>9771380</wp:posOffset>
              </wp:positionH>
              <wp:positionV relativeFrom="page">
                <wp:posOffset>0</wp:posOffset>
              </wp:positionV>
              <wp:extent cx="0" cy="7560000"/>
              <wp:effectExtent l="0" t="0" r="19050" b="22225"/>
              <wp:wrapNone/>
              <wp:docPr id="23" name="Straight Connector 23"/>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GRGH9a/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59264" behindDoc="0" locked="0" layoutInCell="0" allowOverlap="1" wp14:anchorId="6860773F" wp14:editId="57CBA87E">
              <wp:simplePos x="0" y="0"/>
              <wp:positionH relativeFrom="page">
                <wp:posOffset>9757410</wp:posOffset>
              </wp:positionH>
              <wp:positionV relativeFrom="page">
                <wp:posOffset>0</wp:posOffset>
              </wp:positionV>
              <wp:extent cx="216000" cy="7560000"/>
              <wp:effectExtent l="0" t="0" r="0" b="3175"/>
              <wp:wrapNone/>
              <wp:docPr id="45" name="Rectangle 45"/>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27DCC">
                            <w:rPr>
                              <w:noProof/>
                              <w:color w:val="000000" w:themeColor="text1"/>
                            </w:rPr>
                            <w:t>Australian agricultural emissions projections</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0" style="position:absolute;margin-left:768.3pt;margin-top:0;width:17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z9U+Gn4CAABg&#10;BQAADgAAAAAAAAAAAAAAAAAuAgAAZHJzL2Uyb0RvYy54bWxQSwECLQAUAAYACAAAACEAEa++Bt0A&#10;AAALAQAADwAAAAAAAAAAAAAAAADYBAAAZHJzL2Rvd25yZXYueG1sUEsFBgAAAAAEAAQA8wAAAOIF&#10;AAAAAA==&#10;" o:allowincell="f" filled="f" stroked="f" strokeweight="2pt">
              <v:textbox style="layout-flow:vertical" inset="0,0,0,0">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27DCC">
                      <w:rPr>
                        <w:noProof/>
                        <w:color w:val="000000" w:themeColor="text1"/>
                      </w:rPr>
                      <w:t>Australian agricultural emissions projections</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45</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3B0BC63C" wp14:editId="4DC0CB2E">
              <wp:simplePos x="0" y="0"/>
              <wp:positionH relativeFrom="page">
                <wp:posOffset>396240</wp:posOffset>
              </wp:positionH>
              <wp:positionV relativeFrom="page">
                <wp:posOffset>1440180</wp:posOffset>
              </wp:positionV>
              <wp:extent cx="180000" cy="5040000"/>
              <wp:effectExtent l="0" t="0" r="0" b="8255"/>
              <wp:wrapNone/>
              <wp:docPr id="46" name="Rectangle 46"/>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C5A0E" w:rsidRDefault="00940D23" w:rsidP="00987E99">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1"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E6/NJHwCAABg&#10;BQAADgAAAAAAAAAAAAAAAAAuAgAAZHJzL2Uyb0RvYy54bWxQSwECLQAUAAYACAAAACEA3YTyKt8A&#10;AAAKAQAADwAAAAAAAAAAAAAAAADWBAAAZHJzL2Rvd25yZXYueG1sUEsFBgAAAAAEAAQA8wAAAOIF&#10;AAAAAA==&#10;" o:allowincell="f" filled="f" stroked="f" strokeweight="2pt">
              <v:textbox style="layout-flow:vertical" inset="0,0,0,0">
                <w:txbxContent>
                  <w:p w:rsidR="00940D23" w:rsidRPr="009C5A0E" w:rsidRDefault="00940D23" w:rsidP="00987E99">
                    <w:pPr>
                      <w:pStyle w:val="Footer"/>
                      <w:jc w:val="right"/>
                    </w:pPr>
                    <w:r>
                      <w:t>www.TheCIE.com.au</w:t>
                    </w:r>
                  </w:p>
                </w:txbxContent>
              </v:textbox>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rsidP="003032EA">
    <w:pPr>
      <w:pStyle w:val="Header"/>
    </w:pPr>
    <w:r>
      <w:rPr>
        <w:b/>
      </w:rPr>
      <w:tab/>
    </w:r>
    <w:sdt>
      <w:sdtPr>
        <w:id w:val="-1120608803"/>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927DCC">
          <w:rPr>
            <w:rStyle w:val="PageNumber"/>
            <w:noProof/>
          </w:rPr>
          <w:t>58</w:t>
        </w:r>
        <w:r w:rsidRPr="00D44D70">
          <w:rPr>
            <w:rStyle w:val="PageNumber"/>
          </w:rPr>
          <w:fldChar w:fldCharType="end"/>
        </w:r>
      </w:sdtContent>
    </w:sdt>
    <w:r>
      <w:rPr>
        <w:b/>
      </w:rPr>
      <w:tab/>
    </w:r>
    <w:fldSimple w:instr=" STYLEREF  Title ">
      <w:r w:rsidR="00927DCC">
        <w:rPr>
          <w:noProof/>
        </w:rPr>
        <w:t>Australian agricultural emissions projections</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2A2B" w:rsidRDefault="00940D23" w:rsidP="003032EA">
    <w:pPr>
      <w:pStyle w:val="Header"/>
    </w:pPr>
    <w:r>
      <w:tab/>
    </w:r>
    <w:r>
      <w:tab/>
    </w:r>
    <w:r>
      <w:tab/>
    </w:r>
    <w:fldSimple w:instr=" STYLEREF  Title ">
      <w:r w:rsidR="00927DCC">
        <w:rPr>
          <w:noProof/>
        </w:rPr>
        <w:t>Australian agricultural emissions projections</w:t>
      </w:r>
    </w:fldSimple>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59</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D4FBD" w:rsidRDefault="00940D23" w:rsidP="00A43AF7">
    <w:pPr>
      <w:pStyle w:val="Header"/>
    </w:pP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60</w:t>
    </w:r>
    <w:r>
      <w:rPr>
        <w:rStyle w:val="PageNumber"/>
      </w:rPr>
      <w:fldChar w:fldCharType="end"/>
    </w:r>
    <w:r>
      <w:tab/>
    </w:r>
    <w:fldSimple w:instr=" STYLEREF  Title ">
      <w:r w:rsidR="00927DCC">
        <w:rPr>
          <w:noProof/>
        </w:rPr>
        <w:t>Australian agricultural emissions projections</w:t>
      </w:r>
    </w:fldSimple>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D4FBD" w:rsidRDefault="00940D23" w:rsidP="00A43AF7">
    <w:pPr>
      <w:pStyle w:val="Header"/>
    </w:pPr>
    <w:r>
      <w:tab/>
    </w:r>
    <w:r>
      <w:tab/>
    </w:r>
    <w:r>
      <w:tab/>
    </w:r>
    <w:fldSimple w:instr=" STYLEREF  Title ">
      <w:r w:rsidR="00927DCC">
        <w:rPr>
          <w:noProof/>
        </w:rPr>
        <w:t>Australian agricultural emissions projections</w:t>
      </w:r>
    </w:fldSimple>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E95793" w:rsidRDefault="00940D23" w:rsidP="00D035C2">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A731D9" w:rsidRDefault="00940D23" w:rsidP="00D035C2">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Default="00940D23" w:rsidP="00D035C2">
    <w:pPr>
      <w:pStyle w:val="Header"/>
    </w:pPr>
    <w:r>
      <w:rPr>
        <w:b/>
      </w:rPr>
      <w:tab/>
    </w:r>
    <w:sdt>
      <w:sdtPr>
        <w:id w:val="587430190"/>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927DCC">
          <w:rPr>
            <w:rStyle w:val="PageNumber"/>
            <w:noProof/>
          </w:rPr>
          <w:t>iv</w:t>
        </w:r>
        <w:r w:rsidRPr="00D44D70">
          <w:rPr>
            <w:rStyle w:val="PageNumber"/>
          </w:rPr>
          <w:fldChar w:fldCharType="end"/>
        </w:r>
      </w:sdtContent>
    </w:sdt>
    <w:r>
      <w:rPr>
        <w:b/>
      </w:rPr>
      <w:tab/>
    </w:r>
    <w:fldSimple w:instr=" STYLEREF  Title ">
      <w:r w:rsidR="00927DCC">
        <w:rPr>
          <w:noProof/>
        </w:rPr>
        <w:t>Australian agricultural emissions projections</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2A2B" w:rsidRDefault="00940D23" w:rsidP="00D035C2">
    <w:pPr>
      <w:pStyle w:val="Header"/>
    </w:pPr>
    <w:r>
      <w:tab/>
    </w:r>
    <w:r>
      <w:tab/>
    </w:r>
    <w:r>
      <w:tab/>
    </w:r>
    <w:fldSimple w:instr=" STYLEREF  Title ">
      <w:r w:rsidR="00927DCC">
        <w:rPr>
          <w:noProof/>
        </w:rPr>
        <w:t>Australian agricultural emissions projections</w:t>
      </w:r>
    </w:fldSimple>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v</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D4FBD" w:rsidRDefault="00940D23" w:rsidP="00D035C2">
    <w:pPr>
      <w:pStyle w:val="Header"/>
    </w:pP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34</w:t>
    </w:r>
    <w:r>
      <w:rPr>
        <w:rStyle w:val="PageNumber"/>
      </w:rPr>
      <w:fldChar w:fldCharType="end"/>
    </w:r>
    <w:r>
      <w:tab/>
    </w:r>
    <w:fldSimple w:instr=" STYLEREF  Title ">
      <w:r w:rsidR="00927DCC">
        <w:rPr>
          <w:noProof/>
        </w:rPr>
        <w:t>Australian agricultural emissions projections</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9D4FBD" w:rsidRDefault="00940D23" w:rsidP="00D035C2">
    <w:pPr>
      <w:pStyle w:val="Header"/>
    </w:pPr>
    <w:r>
      <w:tab/>
    </w:r>
    <w:r>
      <w:tab/>
    </w:r>
    <w:r>
      <w:tab/>
    </w:r>
    <w:fldSimple w:instr=" STYLEREF  Title ">
      <w:r w:rsidR="00927DCC">
        <w:rPr>
          <w:noProof/>
        </w:rPr>
        <w:t>Australian agricultural emissions projections</w:t>
      </w:r>
    </w:fldSimple>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35</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Header"/>
    </w:pP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44</w:t>
    </w:r>
    <w:r>
      <w:rPr>
        <w:rStyle w:val="PageNumber"/>
      </w:rPr>
      <w:fldChar w:fldCharType="end"/>
    </w:r>
    <w:r>
      <w:tab/>
    </w:r>
    <w:fldSimple w:instr=" STYLEREF  Title ">
      <w:r w:rsidR="00927DCC">
        <w:rPr>
          <w:noProof/>
        </w:rPr>
        <w:t>Australian agricultural emissions projections</w:t>
      </w:r>
    </w:fldSimple>
    <w:r w:rsidRPr="00CD111E">
      <w:rPr>
        <w:noProof/>
      </w:rPr>
      <mc:AlternateContent>
        <mc:Choice Requires="wps">
          <w:drawing>
            <wp:anchor distT="0" distB="0" distL="114300" distR="114300" simplePos="0" relativeHeight="251668480" behindDoc="0" locked="0" layoutInCell="0" allowOverlap="1" wp14:anchorId="626D3EF8" wp14:editId="1415976C">
              <wp:simplePos x="0" y="0"/>
              <wp:positionH relativeFrom="page">
                <wp:posOffset>9771380</wp:posOffset>
              </wp:positionH>
              <wp:positionV relativeFrom="page">
                <wp:posOffset>0</wp:posOffset>
              </wp:positionV>
              <wp:extent cx="0" cy="7560000"/>
              <wp:effectExtent l="0" t="0" r="19050" b="22225"/>
              <wp:wrapNone/>
              <wp:docPr id="50" name="Straight Connector 50"/>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A9bn8e/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67456" behindDoc="0" locked="0" layoutInCell="0" allowOverlap="1" wp14:anchorId="1B5ED038" wp14:editId="1F66C0D9">
              <wp:simplePos x="0" y="0"/>
              <wp:positionH relativeFrom="page">
                <wp:posOffset>9757410</wp:posOffset>
              </wp:positionH>
              <wp:positionV relativeFrom="page">
                <wp:posOffset>0</wp:posOffset>
              </wp:positionV>
              <wp:extent cx="216000" cy="7560000"/>
              <wp:effectExtent l="0" t="0" r="0" b="3175"/>
              <wp:wrapNone/>
              <wp:docPr id="51" name="Rectangle 51"/>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27DCC">
                            <w:rPr>
                              <w:noProof/>
                              <w:color w:val="000000" w:themeColor="text1"/>
                            </w:rPr>
                            <w:t>Australian agricultural emissions projections</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7" style="position:absolute;left:0;text-align:left;margin-left:768.3pt;margin-top:0;width:17pt;height:595.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" o:allowincell="f" filled="f" stroked="f" strokeweight="2pt">
              <v:textbox style="layout-flow:vertical" inset="0,0,0,0">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27DCC">
                      <w:rPr>
                        <w:noProof/>
                        <w:color w:val="000000" w:themeColor="text1"/>
                      </w:rPr>
                      <w:t>Australian agricultural emissions projections</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23" w:rsidRPr="003D6FA5" w:rsidRDefault="00940D23" w:rsidP="00987E99">
    <w:pPr>
      <w:pStyle w:val="Header"/>
    </w:pPr>
    <w:r>
      <w:tab/>
    </w:r>
    <w:r>
      <w:tab/>
    </w:r>
    <w:r>
      <w:tab/>
    </w:r>
    <w:fldSimple w:instr=" STYLEREF  Title ">
      <w:r w:rsidR="00927DCC">
        <w:rPr>
          <w:noProof/>
        </w:rPr>
        <w:t>Australian agricultural emissions projections</w:t>
      </w:r>
    </w:fldSimple>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43</w:t>
    </w:r>
    <w:r>
      <w:rPr>
        <w:rStyle w:val="PageNumber"/>
      </w:rPr>
      <w:fldChar w:fldCharType="end"/>
    </w:r>
    <w:r>
      <w:rPr>
        <w:noProof/>
      </w:rPr>
      <mc:AlternateContent>
        <mc:Choice Requires="wps">
          <w:drawing>
            <wp:anchor distT="0" distB="0" distL="114300" distR="114300" simplePos="0" relativeHeight="251666432" behindDoc="0" locked="0" layoutInCell="0" allowOverlap="1" wp14:anchorId="2ACAD52C" wp14:editId="4260BF58">
              <wp:simplePos x="0" y="0"/>
              <wp:positionH relativeFrom="page">
                <wp:posOffset>9771380</wp:posOffset>
              </wp:positionH>
              <wp:positionV relativeFrom="page">
                <wp:posOffset>0</wp:posOffset>
              </wp:positionV>
              <wp:extent cx="0" cy="7560000"/>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EP7LyC/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65408" behindDoc="0" locked="0" layoutInCell="0" allowOverlap="1" wp14:anchorId="14995BF4" wp14:editId="5A694FF8">
              <wp:simplePos x="0" y="0"/>
              <wp:positionH relativeFrom="page">
                <wp:posOffset>9757410</wp:posOffset>
              </wp:positionH>
              <wp:positionV relativeFrom="page">
                <wp:posOffset>0</wp:posOffset>
              </wp:positionV>
              <wp:extent cx="216000" cy="7560000"/>
              <wp:effectExtent l="0" t="0" r="0" b="3175"/>
              <wp:wrapNone/>
              <wp:docPr id="49" name="Rectangle 4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27DCC">
                            <w:rPr>
                              <w:noProof/>
                              <w:color w:val="000000" w:themeColor="text1"/>
                            </w:rPr>
                            <w:t>Australian agricultural emissions projections</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43</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8" style="position:absolute;left:0;text-align:left;margin-left:768.3pt;margin-top:0;width:17pt;height:59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A9YLjB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rsidR="00940D23" w:rsidRPr="009D4FBD" w:rsidRDefault="00940D23" w:rsidP="00987E99">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27DCC">
                      <w:rPr>
                        <w:noProof/>
                        <w:color w:val="000000" w:themeColor="text1"/>
                      </w:rPr>
                      <w:t>Australian agricultural emissions projections</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27DCC">
                      <w:rPr>
                        <w:rStyle w:val="PageNumber"/>
                        <w:noProof/>
                      </w:rPr>
                      <w:t>43</w:t>
                    </w:r>
                    <w:r>
                      <w:rPr>
                        <w:rStyle w:val="PageNumber"/>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162B516"/>
    <w:lvl w:ilvl="0">
      <w:start w:val="1"/>
      <w:numFmt w:val="bullet"/>
      <w:lvlText w:val=""/>
      <w:lvlJc w:val="left"/>
      <w:pPr>
        <w:tabs>
          <w:tab w:val="num" w:pos="360"/>
        </w:tabs>
        <w:ind w:left="360" w:hanging="360"/>
      </w:pPr>
      <w:rPr>
        <w:rFonts w:ascii="Symbol" w:hAnsi="Symbol" w:hint="default"/>
      </w:rPr>
    </w:lvl>
  </w:abstractNum>
  <w:abstractNum w:abstractNumId="1">
    <w:nsid w:val="023254EB"/>
    <w:multiLevelType w:val="multilevel"/>
    <w:tmpl w:val="A8A0795C"/>
    <w:numStyleLink w:val="RecommendationNumbers"/>
  </w:abstractNum>
  <w:abstractNum w:abstractNumId="2">
    <w:nsid w:val="0AC902B9"/>
    <w:multiLevelType w:val="multilevel"/>
    <w:tmpl w:val="7286E4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C6C37E3"/>
    <w:multiLevelType w:val="multilevel"/>
    <w:tmpl w:val="5BCE45E4"/>
    <w:numStyleLink w:val="NoteListNumber"/>
  </w:abstractNum>
  <w:abstractNum w:abstractNumId="4">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FCD5BE7"/>
    <w:multiLevelType w:val="singleLevel"/>
    <w:tmpl w:val="1E20FD22"/>
    <w:lvl w:ilvl="0">
      <w:start w:val="1"/>
      <w:numFmt w:val="bullet"/>
      <w:lvlText w:val="■"/>
      <w:lvlJc w:val="left"/>
      <w:pPr>
        <w:ind w:left="360" w:hanging="360"/>
      </w:pPr>
      <w:rPr>
        <w:rFonts w:ascii="Franklin Gothic Demi" w:hAnsi="Franklin Gothic Demi" w:hint="default"/>
        <w:color w:val="EF1209"/>
        <w:position w:val="2"/>
      </w:rPr>
    </w:lvl>
  </w:abstractNum>
  <w:abstractNum w:abstractNumId="7">
    <w:nsid w:val="141B01A7"/>
    <w:multiLevelType w:val="singleLevel"/>
    <w:tmpl w:val="051663DE"/>
    <w:lvl w:ilvl="0">
      <w:start w:val="1"/>
      <w:numFmt w:val="decimal"/>
      <w:lvlText w:val="%1."/>
      <w:lvlJc w:val="left"/>
      <w:pPr>
        <w:tabs>
          <w:tab w:val="num" w:pos="360"/>
        </w:tabs>
        <w:ind w:left="170" w:hanging="170"/>
      </w:pPr>
    </w:lvl>
  </w:abstractNum>
  <w:abstractNum w:abstractNumId="8">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9">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09B02A7"/>
    <w:multiLevelType w:val="singleLevel"/>
    <w:tmpl w:val="366C4342"/>
    <w:lvl w:ilvl="0">
      <w:start w:val="1"/>
      <w:numFmt w:val="bullet"/>
      <w:lvlText w:val="–"/>
      <w:lvlJc w:val="left"/>
      <w:pPr>
        <w:tabs>
          <w:tab w:val="num" w:pos="567"/>
        </w:tabs>
        <w:ind w:left="567" w:hanging="283"/>
      </w:pPr>
      <w:rPr>
        <w:rFonts w:ascii="Book Antiqua" w:hAnsi="Book Antiqua" w:hint="default"/>
        <w:sz w:val="22"/>
      </w:rPr>
    </w:lvl>
  </w:abstractNum>
  <w:abstractNum w:abstractNumId="11">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C1A0A53"/>
    <w:multiLevelType w:val="multilevel"/>
    <w:tmpl w:val="5BCE45E4"/>
    <w:numStyleLink w:val="NoteListNumber"/>
  </w:abstractNum>
  <w:abstractNum w:abstractNumId="14">
    <w:nsid w:val="34624A0E"/>
    <w:multiLevelType w:val="multilevel"/>
    <w:tmpl w:val="5BCE45E4"/>
    <w:numStyleLink w:val="NoteListNumber"/>
  </w:abstractNum>
  <w:abstractNum w:abstractNumId="15">
    <w:nsid w:val="3487660B"/>
    <w:multiLevelType w:val="multilevel"/>
    <w:tmpl w:val="5BCE45E4"/>
    <w:numStyleLink w:val="NoteListNumber"/>
  </w:abstractNum>
  <w:abstractNum w:abstractNumId="16">
    <w:nsid w:val="38667170"/>
    <w:multiLevelType w:val="singleLevel"/>
    <w:tmpl w:val="2452B3A0"/>
    <w:lvl w:ilvl="0">
      <w:start w:val="1"/>
      <w:numFmt w:val="bullet"/>
      <w:lvlText w:val=""/>
      <w:lvlJc w:val="left"/>
      <w:pPr>
        <w:tabs>
          <w:tab w:val="num" w:pos="284"/>
        </w:tabs>
        <w:ind w:left="284" w:hanging="284"/>
      </w:pPr>
      <w:rPr>
        <w:rFonts w:ascii="Wingdings" w:hAnsi="Wingdings" w:hint="default"/>
        <w:color w:val="6F6652"/>
      </w:rPr>
    </w:lvl>
  </w:abstractNum>
  <w:abstractNum w:abstractNumId="17">
    <w:nsid w:val="3EDE1609"/>
    <w:multiLevelType w:val="multilevel"/>
    <w:tmpl w:val="5A64485E"/>
    <w:lvl w:ilvl="0">
      <w:start w:val="1"/>
      <w:numFmt w:val="decimal"/>
      <w:lvlText w:val="%1"/>
      <w:lvlJc w:val="left"/>
      <w:pPr>
        <w:tabs>
          <w:tab w:val="num" w:pos="567"/>
        </w:tabs>
        <w:ind w:left="567" w:hanging="567"/>
      </w:pPr>
      <w:rPr>
        <w:rFonts w:ascii="Book Antiqua" w:hAnsi="Book Antiqua" w:hint="default"/>
        <w:b/>
        <w:i/>
        <w:color w:val="auto"/>
        <w:spacing w:val="0"/>
        <w:w w:val="100"/>
        <w:position w:val="0"/>
        <w:sz w:val="40"/>
        <w:szCs w:val="40"/>
      </w:rPr>
    </w:lvl>
    <w:lvl w:ilvl="1">
      <w:start w:val="1"/>
      <w:numFmt w:val="none"/>
      <w:lvlRestart w:val="0"/>
      <w:suff w:val="nothing"/>
      <w:lvlText w:val=""/>
      <w:lvlJc w:val="left"/>
      <w:pPr>
        <w:ind w:left="0" w:firstLine="0"/>
      </w:pPr>
      <w:rPr>
        <w:rFonts w:hint="default"/>
        <w:lang w:val="en-AU"/>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Text w:val=""/>
      <w:lvlJc w:val="left"/>
      <w:pPr>
        <w:tabs>
          <w:tab w:val="num" w:pos="2826"/>
        </w:tabs>
        <w:ind w:left="1602" w:hanging="936"/>
      </w:pPr>
      <w:rPr>
        <w:rFonts w:hint="default"/>
      </w:rPr>
    </w:lvl>
    <w:lvl w:ilvl="6">
      <w:start w:val="1"/>
      <w:numFmt w:val="none"/>
      <w:lvlText w:val=""/>
      <w:lvlJc w:val="left"/>
      <w:pPr>
        <w:tabs>
          <w:tab w:val="num" w:pos="3546"/>
        </w:tabs>
        <w:ind w:left="2106" w:hanging="1080"/>
      </w:pPr>
      <w:rPr>
        <w:rFonts w:hint="default"/>
      </w:rPr>
    </w:lvl>
    <w:lvl w:ilvl="7">
      <w:start w:val="1"/>
      <w:numFmt w:val="none"/>
      <w:lvlText w:val=""/>
      <w:lvlJc w:val="left"/>
      <w:pPr>
        <w:tabs>
          <w:tab w:val="num" w:pos="4266"/>
        </w:tabs>
        <w:ind w:left="2610" w:hanging="1224"/>
      </w:pPr>
      <w:rPr>
        <w:rFonts w:hint="default"/>
      </w:rPr>
    </w:lvl>
    <w:lvl w:ilvl="8">
      <w:start w:val="1"/>
      <w:numFmt w:val="upperLetter"/>
      <w:lvlRestart w:val="0"/>
      <w:lvlText w:val="%9"/>
      <w:lvlJc w:val="left"/>
      <w:pPr>
        <w:tabs>
          <w:tab w:val="num" w:pos="567"/>
        </w:tabs>
        <w:ind w:left="567" w:hanging="567"/>
      </w:pPr>
      <w:rPr>
        <w:rFonts w:ascii="Book Antiqua" w:hAnsi="Book Antiqua" w:hint="default"/>
        <w:b/>
        <w:i/>
        <w:color w:val="auto"/>
        <w:spacing w:val="0"/>
        <w:w w:val="100"/>
        <w:position w:val="0"/>
        <w:sz w:val="40"/>
        <w:szCs w:val="40"/>
      </w:rPr>
    </w:lvl>
  </w:abstractNum>
  <w:abstractNum w:abstractNumId="18">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4E3E75E8"/>
    <w:multiLevelType w:val="multilevel"/>
    <w:tmpl w:val="A3AC9912"/>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6787896"/>
    <w:multiLevelType w:val="multilevel"/>
    <w:tmpl w:val="567ADE74"/>
    <w:numStyleLink w:val="TableListBullets"/>
  </w:abstractNum>
  <w:abstractNum w:abstractNumId="22">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3">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72BB502B"/>
    <w:multiLevelType w:val="multilevel"/>
    <w:tmpl w:val="CB90F828"/>
    <w:lvl w:ilvl="0">
      <w:start w:val="1"/>
      <w:numFmt w:val="lowerLetter"/>
      <w:lvlRestart w:val="0"/>
      <w:lvlText w:val="%1"/>
      <w:lvlJc w:val="left"/>
      <w:pPr>
        <w:tabs>
          <w:tab w:val="num" w:pos="170"/>
        </w:tabs>
        <w:ind w:left="0" w:firstLine="0"/>
      </w:pPr>
      <w:rPr>
        <w:rFonts w:hint="default"/>
        <w:b/>
        <w:bCs w:val="0"/>
        <w:i w:val="0"/>
        <w:iCs w:val="0"/>
        <w:caps w:val="0"/>
        <w:smallCaps w:val="0"/>
        <w:strike w:val="0"/>
        <w:dstrike w:val="0"/>
        <w:outline w:val="0"/>
        <w:shadow w:val="0"/>
        <w:emboss w:val="0"/>
        <w:imprint w:val="0"/>
        <w:noProof w:val="0"/>
        <w:vanish w:val="0"/>
        <w:color w:val="00497E"/>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7">
    <w:nsid w:val="7C3A0DF8"/>
    <w:multiLevelType w:val="multilevel"/>
    <w:tmpl w:val="E6863C72"/>
    <w:lvl w:ilvl="0">
      <w:start w:val="1"/>
      <w:numFmt w:val="none"/>
      <w:lvlRestart w:val="0"/>
      <w:pStyle w:val="Caption"/>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8"/>
  </w:num>
  <w:num w:numId="2">
    <w:abstractNumId w:val="20"/>
  </w:num>
  <w:num w:numId="3">
    <w:abstractNumId w:val="9"/>
  </w:num>
  <w:num w:numId="4">
    <w:abstractNumId w:val="23"/>
  </w:num>
  <w:num w:numId="5">
    <w:abstractNumId w:val="19"/>
  </w:num>
  <w:num w:numId="6">
    <w:abstractNumId w:val="12"/>
  </w:num>
  <w:num w:numId="7">
    <w:abstractNumId w:val="27"/>
  </w:num>
  <w:num w:numId="8">
    <w:abstractNumId w:val="24"/>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21"/>
  </w:num>
  <w:num w:numId="10">
    <w:abstractNumId w:val="1"/>
  </w:num>
  <w:num w:numId="11">
    <w:abstractNumId w:val="24"/>
  </w:num>
  <w:num w:numId="12">
    <w:abstractNumId w:val="5"/>
  </w:num>
  <w:num w:numId="13">
    <w:abstractNumId w:val="11"/>
  </w:num>
  <w:num w:numId="14">
    <w:abstractNumId w:val="8"/>
  </w:num>
  <w:num w:numId="15">
    <w:abstractNumId w:val="15"/>
  </w:num>
  <w:num w:numId="16">
    <w:abstractNumId w:val="2"/>
  </w:num>
  <w:num w:numId="17">
    <w:abstractNumId w:val="14"/>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
  </w:num>
  <w:num w:numId="21">
    <w:abstractNumId w:val="24"/>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num>
  <w:num w:numId="22">
    <w:abstractNumId w:val="6"/>
  </w:num>
  <w:num w:numId="23">
    <w:abstractNumId w:val="13"/>
  </w:num>
  <w:num w:numId="24">
    <w:abstractNumId w:val="10"/>
  </w:num>
  <w:num w:numId="25">
    <w:abstractNumId w:val="16"/>
  </w:num>
  <w:num w:numId="26">
    <w:abstractNumId w:val="17"/>
  </w:num>
  <w:num w:numId="27">
    <w:abstractNumId w:val="7"/>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AU" w:vendorID="64" w:dllVersion="131078" w:nlCheck="1" w:checkStyle="0"/>
  <w:activeWritingStyle w:appName="MSWord" w:lang="en-US" w:vendorID="64" w:dllVersion="131078"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4097"/>
  </w:hdrShapeDefaults>
  <w:footnotePr>
    <w:footnote w:id="-1"/>
    <w:footnote w:id="0"/>
  </w:footnotePr>
  <w:endnotePr>
    <w:endnote w:id="-1"/>
    <w:endnote w:id="0"/>
  </w:endnotePr>
  <w:compat>
    <w:noLeading/>
    <w:printColBlack/>
    <w:showBreaksInFrames/>
    <w:suppressSpBfAfterPgBrk/>
    <w:swapBordersFacingPages/>
    <w:noSpaceRaiseLower/>
    <w:layoutRawTableWidth/>
    <w:selectFldWithFirstOrLastChar/>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C2"/>
    <w:rsid w:val="000002FE"/>
    <w:rsid w:val="00000726"/>
    <w:rsid w:val="000020C8"/>
    <w:rsid w:val="0000404E"/>
    <w:rsid w:val="000053BF"/>
    <w:rsid w:val="00005768"/>
    <w:rsid w:val="00006740"/>
    <w:rsid w:val="000078F0"/>
    <w:rsid w:val="00014030"/>
    <w:rsid w:val="0001638D"/>
    <w:rsid w:val="000168BA"/>
    <w:rsid w:val="00017D5A"/>
    <w:rsid w:val="00021D2D"/>
    <w:rsid w:val="00022345"/>
    <w:rsid w:val="00024206"/>
    <w:rsid w:val="00024872"/>
    <w:rsid w:val="00027E7C"/>
    <w:rsid w:val="0003192F"/>
    <w:rsid w:val="000331D6"/>
    <w:rsid w:val="00036FD6"/>
    <w:rsid w:val="00040FEB"/>
    <w:rsid w:val="00042363"/>
    <w:rsid w:val="00043FE2"/>
    <w:rsid w:val="00045326"/>
    <w:rsid w:val="000461CB"/>
    <w:rsid w:val="000473DD"/>
    <w:rsid w:val="00051172"/>
    <w:rsid w:val="00052303"/>
    <w:rsid w:val="000549C1"/>
    <w:rsid w:val="00054AAC"/>
    <w:rsid w:val="00055C66"/>
    <w:rsid w:val="00061CDB"/>
    <w:rsid w:val="00063D61"/>
    <w:rsid w:val="000642B7"/>
    <w:rsid w:val="0006501B"/>
    <w:rsid w:val="000652FC"/>
    <w:rsid w:val="00065889"/>
    <w:rsid w:val="00070083"/>
    <w:rsid w:val="00070654"/>
    <w:rsid w:val="000719EA"/>
    <w:rsid w:val="00072873"/>
    <w:rsid w:val="00073C36"/>
    <w:rsid w:val="00076EFD"/>
    <w:rsid w:val="000866A5"/>
    <w:rsid w:val="000870CD"/>
    <w:rsid w:val="000872FB"/>
    <w:rsid w:val="000873CC"/>
    <w:rsid w:val="00087E40"/>
    <w:rsid w:val="00090B41"/>
    <w:rsid w:val="000923A8"/>
    <w:rsid w:val="00092BC9"/>
    <w:rsid w:val="00095461"/>
    <w:rsid w:val="00095D2C"/>
    <w:rsid w:val="0009623A"/>
    <w:rsid w:val="000978D6"/>
    <w:rsid w:val="000A04F6"/>
    <w:rsid w:val="000A3975"/>
    <w:rsid w:val="000A5A91"/>
    <w:rsid w:val="000A744E"/>
    <w:rsid w:val="000A7AE3"/>
    <w:rsid w:val="000B0605"/>
    <w:rsid w:val="000B2602"/>
    <w:rsid w:val="000B397D"/>
    <w:rsid w:val="000B6546"/>
    <w:rsid w:val="000C35CB"/>
    <w:rsid w:val="000C55C5"/>
    <w:rsid w:val="000D052F"/>
    <w:rsid w:val="000D1A27"/>
    <w:rsid w:val="000D4C79"/>
    <w:rsid w:val="000D53CB"/>
    <w:rsid w:val="000D738C"/>
    <w:rsid w:val="000E06BD"/>
    <w:rsid w:val="000E1673"/>
    <w:rsid w:val="000E3271"/>
    <w:rsid w:val="000E5307"/>
    <w:rsid w:val="000E5329"/>
    <w:rsid w:val="000E5731"/>
    <w:rsid w:val="000F753B"/>
    <w:rsid w:val="000F76FA"/>
    <w:rsid w:val="000F7DCD"/>
    <w:rsid w:val="001022A9"/>
    <w:rsid w:val="00102C7C"/>
    <w:rsid w:val="0010339F"/>
    <w:rsid w:val="00106B92"/>
    <w:rsid w:val="001113DF"/>
    <w:rsid w:val="00112299"/>
    <w:rsid w:val="001132FF"/>
    <w:rsid w:val="00114298"/>
    <w:rsid w:val="00121178"/>
    <w:rsid w:val="00122CBF"/>
    <w:rsid w:val="001235A4"/>
    <w:rsid w:val="00123F9B"/>
    <w:rsid w:val="00125045"/>
    <w:rsid w:val="001267A4"/>
    <w:rsid w:val="00130151"/>
    <w:rsid w:val="00131EC3"/>
    <w:rsid w:val="00132A04"/>
    <w:rsid w:val="0013655A"/>
    <w:rsid w:val="00137548"/>
    <w:rsid w:val="001377F8"/>
    <w:rsid w:val="00141E1F"/>
    <w:rsid w:val="00144AC4"/>
    <w:rsid w:val="00144B99"/>
    <w:rsid w:val="00145444"/>
    <w:rsid w:val="00147133"/>
    <w:rsid w:val="00150DB3"/>
    <w:rsid w:val="00151D8E"/>
    <w:rsid w:val="0015309D"/>
    <w:rsid w:val="00154EE1"/>
    <w:rsid w:val="00155EBB"/>
    <w:rsid w:val="00156FB3"/>
    <w:rsid w:val="00157456"/>
    <w:rsid w:val="001605E1"/>
    <w:rsid w:val="00160701"/>
    <w:rsid w:val="00160FB8"/>
    <w:rsid w:val="001610EC"/>
    <w:rsid w:val="00161FB8"/>
    <w:rsid w:val="001624ED"/>
    <w:rsid w:val="001647E4"/>
    <w:rsid w:val="00164A52"/>
    <w:rsid w:val="00167266"/>
    <w:rsid w:val="00172A23"/>
    <w:rsid w:val="00172EE8"/>
    <w:rsid w:val="0017310D"/>
    <w:rsid w:val="00173B54"/>
    <w:rsid w:val="001750CC"/>
    <w:rsid w:val="001754CB"/>
    <w:rsid w:val="00176390"/>
    <w:rsid w:val="00183D95"/>
    <w:rsid w:val="001850B1"/>
    <w:rsid w:val="001852E4"/>
    <w:rsid w:val="0019183E"/>
    <w:rsid w:val="0019242D"/>
    <w:rsid w:val="0019261A"/>
    <w:rsid w:val="00192D12"/>
    <w:rsid w:val="001951A7"/>
    <w:rsid w:val="00195939"/>
    <w:rsid w:val="0019703F"/>
    <w:rsid w:val="0019785B"/>
    <w:rsid w:val="001A0013"/>
    <w:rsid w:val="001A066A"/>
    <w:rsid w:val="001A08AD"/>
    <w:rsid w:val="001A0B79"/>
    <w:rsid w:val="001A1065"/>
    <w:rsid w:val="001A2983"/>
    <w:rsid w:val="001A2A99"/>
    <w:rsid w:val="001A2D20"/>
    <w:rsid w:val="001A3B2C"/>
    <w:rsid w:val="001A4BDB"/>
    <w:rsid w:val="001A59B2"/>
    <w:rsid w:val="001A6EA7"/>
    <w:rsid w:val="001A6EAB"/>
    <w:rsid w:val="001B0B61"/>
    <w:rsid w:val="001B1775"/>
    <w:rsid w:val="001B1B01"/>
    <w:rsid w:val="001B2F94"/>
    <w:rsid w:val="001B3876"/>
    <w:rsid w:val="001B747F"/>
    <w:rsid w:val="001B7C37"/>
    <w:rsid w:val="001C0972"/>
    <w:rsid w:val="001C0E54"/>
    <w:rsid w:val="001C24C9"/>
    <w:rsid w:val="001C3CC5"/>
    <w:rsid w:val="001C3E07"/>
    <w:rsid w:val="001C41C7"/>
    <w:rsid w:val="001C6315"/>
    <w:rsid w:val="001C76A5"/>
    <w:rsid w:val="001D200A"/>
    <w:rsid w:val="001D2C29"/>
    <w:rsid w:val="001D2D60"/>
    <w:rsid w:val="001D3E1A"/>
    <w:rsid w:val="001D4355"/>
    <w:rsid w:val="001D6065"/>
    <w:rsid w:val="001D6BD0"/>
    <w:rsid w:val="001E04F5"/>
    <w:rsid w:val="001E0AE7"/>
    <w:rsid w:val="001E2A83"/>
    <w:rsid w:val="001E2D52"/>
    <w:rsid w:val="001E34F6"/>
    <w:rsid w:val="001E3D69"/>
    <w:rsid w:val="001E4E51"/>
    <w:rsid w:val="001E6A14"/>
    <w:rsid w:val="001F182E"/>
    <w:rsid w:val="001F2906"/>
    <w:rsid w:val="001F3E78"/>
    <w:rsid w:val="001F438A"/>
    <w:rsid w:val="001F45EB"/>
    <w:rsid w:val="001F5579"/>
    <w:rsid w:val="001F5611"/>
    <w:rsid w:val="001F62C5"/>
    <w:rsid w:val="001F650C"/>
    <w:rsid w:val="0020034E"/>
    <w:rsid w:val="0020044B"/>
    <w:rsid w:val="002006F2"/>
    <w:rsid w:val="00200DE7"/>
    <w:rsid w:val="00202BB1"/>
    <w:rsid w:val="002043F1"/>
    <w:rsid w:val="002054AC"/>
    <w:rsid w:val="00206B5F"/>
    <w:rsid w:val="002078CE"/>
    <w:rsid w:val="002078DF"/>
    <w:rsid w:val="00212CA5"/>
    <w:rsid w:val="002149C9"/>
    <w:rsid w:val="002164D6"/>
    <w:rsid w:val="00216C8F"/>
    <w:rsid w:val="00217000"/>
    <w:rsid w:val="0021708E"/>
    <w:rsid w:val="002175B7"/>
    <w:rsid w:val="0021770B"/>
    <w:rsid w:val="00221BE0"/>
    <w:rsid w:val="00222007"/>
    <w:rsid w:val="00222BF5"/>
    <w:rsid w:val="0022386A"/>
    <w:rsid w:val="002249BD"/>
    <w:rsid w:val="00225D69"/>
    <w:rsid w:val="00226230"/>
    <w:rsid w:val="002262E1"/>
    <w:rsid w:val="00226C0B"/>
    <w:rsid w:val="00230635"/>
    <w:rsid w:val="00231E5E"/>
    <w:rsid w:val="002321B8"/>
    <w:rsid w:val="00232F15"/>
    <w:rsid w:val="00234760"/>
    <w:rsid w:val="00234EAC"/>
    <w:rsid w:val="002355AE"/>
    <w:rsid w:val="00235787"/>
    <w:rsid w:val="0023701E"/>
    <w:rsid w:val="00237D6C"/>
    <w:rsid w:val="002411F9"/>
    <w:rsid w:val="0024172A"/>
    <w:rsid w:val="0024278B"/>
    <w:rsid w:val="0024531D"/>
    <w:rsid w:val="0025014B"/>
    <w:rsid w:val="002501B3"/>
    <w:rsid w:val="00252A3F"/>
    <w:rsid w:val="00252C87"/>
    <w:rsid w:val="0025306F"/>
    <w:rsid w:val="00255187"/>
    <w:rsid w:val="00255341"/>
    <w:rsid w:val="002568C5"/>
    <w:rsid w:val="00257809"/>
    <w:rsid w:val="00257F35"/>
    <w:rsid w:val="00260049"/>
    <w:rsid w:val="002613B7"/>
    <w:rsid w:val="00262F13"/>
    <w:rsid w:val="002646BA"/>
    <w:rsid w:val="002658EB"/>
    <w:rsid w:val="0027008A"/>
    <w:rsid w:val="00270D74"/>
    <w:rsid w:val="00274BEB"/>
    <w:rsid w:val="002761F9"/>
    <w:rsid w:val="00280D84"/>
    <w:rsid w:val="00280FB4"/>
    <w:rsid w:val="002812E4"/>
    <w:rsid w:val="00287996"/>
    <w:rsid w:val="00287EFA"/>
    <w:rsid w:val="00290273"/>
    <w:rsid w:val="0029248B"/>
    <w:rsid w:val="002938A0"/>
    <w:rsid w:val="00295145"/>
    <w:rsid w:val="002A7161"/>
    <w:rsid w:val="002A7FBB"/>
    <w:rsid w:val="002B0435"/>
    <w:rsid w:val="002B1B67"/>
    <w:rsid w:val="002B418C"/>
    <w:rsid w:val="002B68C2"/>
    <w:rsid w:val="002B76B3"/>
    <w:rsid w:val="002C0234"/>
    <w:rsid w:val="002C0B69"/>
    <w:rsid w:val="002C1088"/>
    <w:rsid w:val="002C4DAF"/>
    <w:rsid w:val="002C5E17"/>
    <w:rsid w:val="002D0F84"/>
    <w:rsid w:val="002D12E6"/>
    <w:rsid w:val="002D16DF"/>
    <w:rsid w:val="002D1EA5"/>
    <w:rsid w:val="002D219D"/>
    <w:rsid w:val="002D245D"/>
    <w:rsid w:val="002D3456"/>
    <w:rsid w:val="002D3FB6"/>
    <w:rsid w:val="002D4888"/>
    <w:rsid w:val="002D4C2F"/>
    <w:rsid w:val="002D62C8"/>
    <w:rsid w:val="002E3000"/>
    <w:rsid w:val="002E42E5"/>
    <w:rsid w:val="002E47A8"/>
    <w:rsid w:val="002E4B26"/>
    <w:rsid w:val="002E4E2B"/>
    <w:rsid w:val="002E5345"/>
    <w:rsid w:val="002E641C"/>
    <w:rsid w:val="002E7FE4"/>
    <w:rsid w:val="002F0137"/>
    <w:rsid w:val="002F0710"/>
    <w:rsid w:val="002F2AD2"/>
    <w:rsid w:val="002F2DAD"/>
    <w:rsid w:val="002F3BED"/>
    <w:rsid w:val="002F54D7"/>
    <w:rsid w:val="00300FE4"/>
    <w:rsid w:val="00301CA5"/>
    <w:rsid w:val="003032EA"/>
    <w:rsid w:val="003034B4"/>
    <w:rsid w:val="00303E96"/>
    <w:rsid w:val="00304C10"/>
    <w:rsid w:val="00305777"/>
    <w:rsid w:val="0030640C"/>
    <w:rsid w:val="003126F2"/>
    <w:rsid w:val="003133AE"/>
    <w:rsid w:val="00314C70"/>
    <w:rsid w:val="00316FB2"/>
    <w:rsid w:val="003202CB"/>
    <w:rsid w:val="00320B11"/>
    <w:rsid w:val="003247B1"/>
    <w:rsid w:val="00324AC0"/>
    <w:rsid w:val="00326D2F"/>
    <w:rsid w:val="00333489"/>
    <w:rsid w:val="003336FB"/>
    <w:rsid w:val="0033379F"/>
    <w:rsid w:val="00337449"/>
    <w:rsid w:val="00343707"/>
    <w:rsid w:val="00344521"/>
    <w:rsid w:val="00347146"/>
    <w:rsid w:val="0034759A"/>
    <w:rsid w:val="00347B60"/>
    <w:rsid w:val="003506C7"/>
    <w:rsid w:val="00350F84"/>
    <w:rsid w:val="0035105D"/>
    <w:rsid w:val="00352A26"/>
    <w:rsid w:val="00352EC0"/>
    <w:rsid w:val="00353EB1"/>
    <w:rsid w:val="00354223"/>
    <w:rsid w:val="00355A93"/>
    <w:rsid w:val="00355B1E"/>
    <w:rsid w:val="003561F3"/>
    <w:rsid w:val="0035659D"/>
    <w:rsid w:val="00357024"/>
    <w:rsid w:val="003573D1"/>
    <w:rsid w:val="00357593"/>
    <w:rsid w:val="00357780"/>
    <w:rsid w:val="00360168"/>
    <w:rsid w:val="00363A6B"/>
    <w:rsid w:val="00363C20"/>
    <w:rsid w:val="00364961"/>
    <w:rsid w:val="0037167C"/>
    <w:rsid w:val="003726AE"/>
    <w:rsid w:val="0037281D"/>
    <w:rsid w:val="00372E7F"/>
    <w:rsid w:val="00373553"/>
    <w:rsid w:val="0037389E"/>
    <w:rsid w:val="00375A3B"/>
    <w:rsid w:val="00375BA6"/>
    <w:rsid w:val="00375F1A"/>
    <w:rsid w:val="0037791D"/>
    <w:rsid w:val="003814BE"/>
    <w:rsid w:val="003818BB"/>
    <w:rsid w:val="003849EB"/>
    <w:rsid w:val="0038664C"/>
    <w:rsid w:val="00387CB5"/>
    <w:rsid w:val="00392952"/>
    <w:rsid w:val="00394D91"/>
    <w:rsid w:val="00395D18"/>
    <w:rsid w:val="003966C8"/>
    <w:rsid w:val="00396ABD"/>
    <w:rsid w:val="00397DC8"/>
    <w:rsid w:val="003A1DFF"/>
    <w:rsid w:val="003A20B3"/>
    <w:rsid w:val="003A22CD"/>
    <w:rsid w:val="003A24B5"/>
    <w:rsid w:val="003A28F7"/>
    <w:rsid w:val="003A4189"/>
    <w:rsid w:val="003B0F2C"/>
    <w:rsid w:val="003B187C"/>
    <w:rsid w:val="003B2B11"/>
    <w:rsid w:val="003B3BE9"/>
    <w:rsid w:val="003B3D27"/>
    <w:rsid w:val="003B419D"/>
    <w:rsid w:val="003B4AAA"/>
    <w:rsid w:val="003B5EBE"/>
    <w:rsid w:val="003B7167"/>
    <w:rsid w:val="003C166E"/>
    <w:rsid w:val="003C2BFB"/>
    <w:rsid w:val="003C392D"/>
    <w:rsid w:val="003C3A35"/>
    <w:rsid w:val="003C420B"/>
    <w:rsid w:val="003C4883"/>
    <w:rsid w:val="003C4EA2"/>
    <w:rsid w:val="003C53D9"/>
    <w:rsid w:val="003C62AC"/>
    <w:rsid w:val="003D007E"/>
    <w:rsid w:val="003D0A62"/>
    <w:rsid w:val="003D14B1"/>
    <w:rsid w:val="003D2A2B"/>
    <w:rsid w:val="003D41EA"/>
    <w:rsid w:val="003D6FA5"/>
    <w:rsid w:val="003D764D"/>
    <w:rsid w:val="003E1F01"/>
    <w:rsid w:val="003E3A5F"/>
    <w:rsid w:val="003E3FBE"/>
    <w:rsid w:val="003E428F"/>
    <w:rsid w:val="003E547F"/>
    <w:rsid w:val="003E5943"/>
    <w:rsid w:val="003F354F"/>
    <w:rsid w:val="003F3859"/>
    <w:rsid w:val="003F3E18"/>
    <w:rsid w:val="003F4D9B"/>
    <w:rsid w:val="003F6ACF"/>
    <w:rsid w:val="004020E0"/>
    <w:rsid w:val="00402DAF"/>
    <w:rsid w:val="00405C10"/>
    <w:rsid w:val="0040677F"/>
    <w:rsid w:val="00407097"/>
    <w:rsid w:val="00407359"/>
    <w:rsid w:val="004073EA"/>
    <w:rsid w:val="00407B9C"/>
    <w:rsid w:val="00411FDB"/>
    <w:rsid w:val="00415E68"/>
    <w:rsid w:val="0041733A"/>
    <w:rsid w:val="00417970"/>
    <w:rsid w:val="004201BE"/>
    <w:rsid w:val="004205D7"/>
    <w:rsid w:val="00422897"/>
    <w:rsid w:val="00422A07"/>
    <w:rsid w:val="00423461"/>
    <w:rsid w:val="00425BAF"/>
    <w:rsid w:val="0042634F"/>
    <w:rsid w:val="004263AE"/>
    <w:rsid w:val="00430E53"/>
    <w:rsid w:val="00431443"/>
    <w:rsid w:val="00431B6D"/>
    <w:rsid w:val="00435EE9"/>
    <w:rsid w:val="00436EC7"/>
    <w:rsid w:val="00437D32"/>
    <w:rsid w:val="004411DB"/>
    <w:rsid w:val="00443E7D"/>
    <w:rsid w:val="00444736"/>
    <w:rsid w:val="004452F5"/>
    <w:rsid w:val="00445D6D"/>
    <w:rsid w:val="0044762A"/>
    <w:rsid w:val="00450CC0"/>
    <w:rsid w:val="004511A8"/>
    <w:rsid w:val="00451CC6"/>
    <w:rsid w:val="00451F31"/>
    <w:rsid w:val="0045456F"/>
    <w:rsid w:val="0045559C"/>
    <w:rsid w:val="004559DC"/>
    <w:rsid w:val="004562C8"/>
    <w:rsid w:val="004563C5"/>
    <w:rsid w:val="00457271"/>
    <w:rsid w:val="00457CDE"/>
    <w:rsid w:val="00457E0A"/>
    <w:rsid w:val="00461B22"/>
    <w:rsid w:val="004649C6"/>
    <w:rsid w:val="00465609"/>
    <w:rsid w:val="0046709B"/>
    <w:rsid w:val="00467D80"/>
    <w:rsid w:val="00467FBA"/>
    <w:rsid w:val="00470EA9"/>
    <w:rsid w:val="0047158C"/>
    <w:rsid w:val="0047188E"/>
    <w:rsid w:val="00471A32"/>
    <w:rsid w:val="004742B8"/>
    <w:rsid w:val="00475A61"/>
    <w:rsid w:val="00475BA5"/>
    <w:rsid w:val="0047640F"/>
    <w:rsid w:val="00481E74"/>
    <w:rsid w:val="004851C6"/>
    <w:rsid w:val="004868F7"/>
    <w:rsid w:val="0049011A"/>
    <w:rsid w:val="00491C57"/>
    <w:rsid w:val="0049244A"/>
    <w:rsid w:val="00493019"/>
    <w:rsid w:val="004933C1"/>
    <w:rsid w:val="00493FE3"/>
    <w:rsid w:val="00495E87"/>
    <w:rsid w:val="00497742"/>
    <w:rsid w:val="00497862"/>
    <w:rsid w:val="004A02A0"/>
    <w:rsid w:val="004A1B3F"/>
    <w:rsid w:val="004A1B8D"/>
    <w:rsid w:val="004A217A"/>
    <w:rsid w:val="004A272C"/>
    <w:rsid w:val="004A2B30"/>
    <w:rsid w:val="004A3FA1"/>
    <w:rsid w:val="004A570B"/>
    <w:rsid w:val="004A6747"/>
    <w:rsid w:val="004A7F86"/>
    <w:rsid w:val="004B0C23"/>
    <w:rsid w:val="004B0CDA"/>
    <w:rsid w:val="004B1755"/>
    <w:rsid w:val="004B1A52"/>
    <w:rsid w:val="004B1AD5"/>
    <w:rsid w:val="004B1CE6"/>
    <w:rsid w:val="004B22A1"/>
    <w:rsid w:val="004B3EA9"/>
    <w:rsid w:val="004B781D"/>
    <w:rsid w:val="004B7EA5"/>
    <w:rsid w:val="004C1481"/>
    <w:rsid w:val="004C31EE"/>
    <w:rsid w:val="004C50F9"/>
    <w:rsid w:val="004C5201"/>
    <w:rsid w:val="004C54C7"/>
    <w:rsid w:val="004C57F5"/>
    <w:rsid w:val="004C6101"/>
    <w:rsid w:val="004D2679"/>
    <w:rsid w:val="004D27C6"/>
    <w:rsid w:val="004D3FB4"/>
    <w:rsid w:val="004D515B"/>
    <w:rsid w:val="004D55B1"/>
    <w:rsid w:val="004D5649"/>
    <w:rsid w:val="004D66B9"/>
    <w:rsid w:val="004D6AA5"/>
    <w:rsid w:val="004D76D8"/>
    <w:rsid w:val="004E0FE7"/>
    <w:rsid w:val="004E1233"/>
    <w:rsid w:val="004E3854"/>
    <w:rsid w:val="004E4A71"/>
    <w:rsid w:val="004E5295"/>
    <w:rsid w:val="004F57BA"/>
    <w:rsid w:val="004F6255"/>
    <w:rsid w:val="004F7137"/>
    <w:rsid w:val="004F76C9"/>
    <w:rsid w:val="004F785D"/>
    <w:rsid w:val="004F7DFE"/>
    <w:rsid w:val="00500DAC"/>
    <w:rsid w:val="00501A93"/>
    <w:rsid w:val="00502303"/>
    <w:rsid w:val="005030D2"/>
    <w:rsid w:val="0050505D"/>
    <w:rsid w:val="00505430"/>
    <w:rsid w:val="00505BE4"/>
    <w:rsid w:val="005060A4"/>
    <w:rsid w:val="0051089E"/>
    <w:rsid w:val="005109E1"/>
    <w:rsid w:val="00511610"/>
    <w:rsid w:val="00511766"/>
    <w:rsid w:val="00512EC0"/>
    <w:rsid w:val="0051359D"/>
    <w:rsid w:val="005142FB"/>
    <w:rsid w:val="00515CB5"/>
    <w:rsid w:val="00516EAF"/>
    <w:rsid w:val="00524339"/>
    <w:rsid w:val="0052602A"/>
    <w:rsid w:val="00527E7D"/>
    <w:rsid w:val="0053103E"/>
    <w:rsid w:val="005362A1"/>
    <w:rsid w:val="0053699A"/>
    <w:rsid w:val="00536B7C"/>
    <w:rsid w:val="00536D4D"/>
    <w:rsid w:val="00540C71"/>
    <w:rsid w:val="00541050"/>
    <w:rsid w:val="00543728"/>
    <w:rsid w:val="005441EE"/>
    <w:rsid w:val="00550FDA"/>
    <w:rsid w:val="00551A1C"/>
    <w:rsid w:val="00552321"/>
    <w:rsid w:val="00552D9A"/>
    <w:rsid w:val="00554662"/>
    <w:rsid w:val="00556412"/>
    <w:rsid w:val="0056021E"/>
    <w:rsid w:val="00565C77"/>
    <w:rsid w:val="00566BC3"/>
    <w:rsid w:val="0056775D"/>
    <w:rsid w:val="005709FE"/>
    <w:rsid w:val="00570FDC"/>
    <w:rsid w:val="005718F0"/>
    <w:rsid w:val="0057294A"/>
    <w:rsid w:val="005729FE"/>
    <w:rsid w:val="005738E7"/>
    <w:rsid w:val="00573B72"/>
    <w:rsid w:val="00575AC1"/>
    <w:rsid w:val="005767CE"/>
    <w:rsid w:val="00576C2E"/>
    <w:rsid w:val="0058597E"/>
    <w:rsid w:val="00587291"/>
    <w:rsid w:val="00590988"/>
    <w:rsid w:val="005912F9"/>
    <w:rsid w:val="00591C8C"/>
    <w:rsid w:val="00591F69"/>
    <w:rsid w:val="00592EA1"/>
    <w:rsid w:val="00594CAA"/>
    <w:rsid w:val="005961AB"/>
    <w:rsid w:val="00596EBF"/>
    <w:rsid w:val="00597C4B"/>
    <w:rsid w:val="005A224A"/>
    <w:rsid w:val="005A2F9F"/>
    <w:rsid w:val="005A4194"/>
    <w:rsid w:val="005B2377"/>
    <w:rsid w:val="005B30E1"/>
    <w:rsid w:val="005B3A90"/>
    <w:rsid w:val="005B435E"/>
    <w:rsid w:val="005B4670"/>
    <w:rsid w:val="005B769A"/>
    <w:rsid w:val="005C01FA"/>
    <w:rsid w:val="005C046D"/>
    <w:rsid w:val="005C066B"/>
    <w:rsid w:val="005C0E27"/>
    <w:rsid w:val="005C2384"/>
    <w:rsid w:val="005C386A"/>
    <w:rsid w:val="005C42B4"/>
    <w:rsid w:val="005C5257"/>
    <w:rsid w:val="005C5337"/>
    <w:rsid w:val="005C76A4"/>
    <w:rsid w:val="005C7918"/>
    <w:rsid w:val="005D3C6B"/>
    <w:rsid w:val="005D5B85"/>
    <w:rsid w:val="005D6F19"/>
    <w:rsid w:val="005D7C32"/>
    <w:rsid w:val="005E0ECC"/>
    <w:rsid w:val="005E1D27"/>
    <w:rsid w:val="005E2466"/>
    <w:rsid w:val="005E43A8"/>
    <w:rsid w:val="005E4B08"/>
    <w:rsid w:val="005E6B5F"/>
    <w:rsid w:val="005E710A"/>
    <w:rsid w:val="005F2E4B"/>
    <w:rsid w:val="005F3A7A"/>
    <w:rsid w:val="005F42E6"/>
    <w:rsid w:val="005F636C"/>
    <w:rsid w:val="005F6E78"/>
    <w:rsid w:val="00604132"/>
    <w:rsid w:val="0060478E"/>
    <w:rsid w:val="0060506D"/>
    <w:rsid w:val="00605AC1"/>
    <w:rsid w:val="00605D38"/>
    <w:rsid w:val="00606B6D"/>
    <w:rsid w:val="006104AF"/>
    <w:rsid w:val="006125FD"/>
    <w:rsid w:val="006132D8"/>
    <w:rsid w:val="00615336"/>
    <w:rsid w:val="00616E6E"/>
    <w:rsid w:val="00620E39"/>
    <w:rsid w:val="00621B0C"/>
    <w:rsid w:val="006220D4"/>
    <w:rsid w:val="00624387"/>
    <w:rsid w:val="00624E85"/>
    <w:rsid w:val="00624F08"/>
    <w:rsid w:val="00627DF4"/>
    <w:rsid w:val="00630B4C"/>
    <w:rsid w:val="00631A1E"/>
    <w:rsid w:val="006324A7"/>
    <w:rsid w:val="006364F2"/>
    <w:rsid w:val="00636B5B"/>
    <w:rsid w:val="00637168"/>
    <w:rsid w:val="00640507"/>
    <w:rsid w:val="00640BE2"/>
    <w:rsid w:val="006417B1"/>
    <w:rsid w:val="006448EE"/>
    <w:rsid w:val="0064735E"/>
    <w:rsid w:val="0065255D"/>
    <w:rsid w:val="00652CE1"/>
    <w:rsid w:val="00654141"/>
    <w:rsid w:val="006544F3"/>
    <w:rsid w:val="00655656"/>
    <w:rsid w:val="00660B2D"/>
    <w:rsid w:val="00661D2C"/>
    <w:rsid w:val="00663324"/>
    <w:rsid w:val="006637DB"/>
    <w:rsid w:val="006642FD"/>
    <w:rsid w:val="00664723"/>
    <w:rsid w:val="00665E4E"/>
    <w:rsid w:val="00667378"/>
    <w:rsid w:val="006677C1"/>
    <w:rsid w:val="0067052D"/>
    <w:rsid w:val="006712CD"/>
    <w:rsid w:val="00674239"/>
    <w:rsid w:val="00676015"/>
    <w:rsid w:val="00677ED3"/>
    <w:rsid w:val="0068075B"/>
    <w:rsid w:val="0068240A"/>
    <w:rsid w:val="00682820"/>
    <w:rsid w:val="00686E72"/>
    <w:rsid w:val="006919D2"/>
    <w:rsid w:val="0069258E"/>
    <w:rsid w:val="00692803"/>
    <w:rsid w:val="00693CD2"/>
    <w:rsid w:val="00693EAE"/>
    <w:rsid w:val="00695C93"/>
    <w:rsid w:val="006A614B"/>
    <w:rsid w:val="006A62FB"/>
    <w:rsid w:val="006A78D4"/>
    <w:rsid w:val="006B21B6"/>
    <w:rsid w:val="006B2949"/>
    <w:rsid w:val="006B3382"/>
    <w:rsid w:val="006B34C3"/>
    <w:rsid w:val="006B352F"/>
    <w:rsid w:val="006B3627"/>
    <w:rsid w:val="006B6291"/>
    <w:rsid w:val="006B62AE"/>
    <w:rsid w:val="006C27C9"/>
    <w:rsid w:val="006C3639"/>
    <w:rsid w:val="006C4922"/>
    <w:rsid w:val="006C4A9A"/>
    <w:rsid w:val="006C68DD"/>
    <w:rsid w:val="006D0F27"/>
    <w:rsid w:val="006D10AA"/>
    <w:rsid w:val="006D4DC7"/>
    <w:rsid w:val="006D6517"/>
    <w:rsid w:val="006E0165"/>
    <w:rsid w:val="006E02EF"/>
    <w:rsid w:val="006E0348"/>
    <w:rsid w:val="006E03FF"/>
    <w:rsid w:val="006E2350"/>
    <w:rsid w:val="006E31DA"/>
    <w:rsid w:val="006E5440"/>
    <w:rsid w:val="006E622E"/>
    <w:rsid w:val="006E643A"/>
    <w:rsid w:val="006F043F"/>
    <w:rsid w:val="006F1BD6"/>
    <w:rsid w:val="006F4F45"/>
    <w:rsid w:val="006F5DA3"/>
    <w:rsid w:val="006F644B"/>
    <w:rsid w:val="00702F7B"/>
    <w:rsid w:val="00705659"/>
    <w:rsid w:val="00706285"/>
    <w:rsid w:val="00706740"/>
    <w:rsid w:val="007073C7"/>
    <w:rsid w:val="0071092E"/>
    <w:rsid w:val="0071277F"/>
    <w:rsid w:val="00712E5B"/>
    <w:rsid w:val="0071480D"/>
    <w:rsid w:val="0071617D"/>
    <w:rsid w:val="00723662"/>
    <w:rsid w:val="00723BE6"/>
    <w:rsid w:val="007248CB"/>
    <w:rsid w:val="0072548C"/>
    <w:rsid w:val="00726AA9"/>
    <w:rsid w:val="00727552"/>
    <w:rsid w:val="0073118C"/>
    <w:rsid w:val="00731FC7"/>
    <w:rsid w:val="007342A1"/>
    <w:rsid w:val="007348DE"/>
    <w:rsid w:val="00736703"/>
    <w:rsid w:val="00736E88"/>
    <w:rsid w:val="007415B7"/>
    <w:rsid w:val="00742A5F"/>
    <w:rsid w:val="007438FF"/>
    <w:rsid w:val="00745458"/>
    <w:rsid w:val="00745B58"/>
    <w:rsid w:val="0074727D"/>
    <w:rsid w:val="007505E8"/>
    <w:rsid w:val="00753209"/>
    <w:rsid w:val="007539FD"/>
    <w:rsid w:val="00756880"/>
    <w:rsid w:val="007604B6"/>
    <w:rsid w:val="00761663"/>
    <w:rsid w:val="00761F60"/>
    <w:rsid w:val="00765577"/>
    <w:rsid w:val="0076787A"/>
    <w:rsid w:val="00767B48"/>
    <w:rsid w:val="007701E2"/>
    <w:rsid w:val="00771BA4"/>
    <w:rsid w:val="00773227"/>
    <w:rsid w:val="00775130"/>
    <w:rsid w:val="00776B5B"/>
    <w:rsid w:val="007772AA"/>
    <w:rsid w:val="007804DC"/>
    <w:rsid w:val="00784F08"/>
    <w:rsid w:val="00785447"/>
    <w:rsid w:val="00786E51"/>
    <w:rsid w:val="00793112"/>
    <w:rsid w:val="00795EED"/>
    <w:rsid w:val="0079671B"/>
    <w:rsid w:val="007969BE"/>
    <w:rsid w:val="007A0201"/>
    <w:rsid w:val="007A1A0A"/>
    <w:rsid w:val="007A2A3B"/>
    <w:rsid w:val="007A2EFE"/>
    <w:rsid w:val="007A4A55"/>
    <w:rsid w:val="007A5039"/>
    <w:rsid w:val="007A5368"/>
    <w:rsid w:val="007A5B73"/>
    <w:rsid w:val="007A61BD"/>
    <w:rsid w:val="007A7117"/>
    <w:rsid w:val="007B0420"/>
    <w:rsid w:val="007B3317"/>
    <w:rsid w:val="007B3F04"/>
    <w:rsid w:val="007B5C92"/>
    <w:rsid w:val="007B70E6"/>
    <w:rsid w:val="007B7CBE"/>
    <w:rsid w:val="007C0583"/>
    <w:rsid w:val="007C2655"/>
    <w:rsid w:val="007C3085"/>
    <w:rsid w:val="007C4C46"/>
    <w:rsid w:val="007C6A96"/>
    <w:rsid w:val="007C7036"/>
    <w:rsid w:val="007D07A2"/>
    <w:rsid w:val="007D13E1"/>
    <w:rsid w:val="007D1B4F"/>
    <w:rsid w:val="007D1DF5"/>
    <w:rsid w:val="007D4B7A"/>
    <w:rsid w:val="007D58E9"/>
    <w:rsid w:val="007E0671"/>
    <w:rsid w:val="007E0CC5"/>
    <w:rsid w:val="007E2AB4"/>
    <w:rsid w:val="007E2F6B"/>
    <w:rsid w:val="007E44F6"/>
    <w:rsid w:val="007F104C"/>
    <w:rsid w:val="007F153B"/>
    <w:rsid w:val="007F23CC"/>
    <w:rsid w:val="007F33BF"/>
    <w:rsid w:val="007F56B3"/>
    <w:rsid w:val="00800EC1"/>
    <w:rsid w:val="0080129B"/>
    <w:rsid w:val="00801607"/>
    <w:rsid w:val="008020EE"/>
    <w:rsid w:val="00802B83"/>
    <w:rsid w:val="00803BE9"/>
    <w:rsid w:val="0081013A"/>
    <w:rsid w:val="00811EC1"/>
    <w:rsid w:val="00813488"/>
    <w:rsid w:val="008137E2"/>
    <w:rsid w:val="00813860"/>
    <w:rsid w:val="00814A0C"/>
    <w:rsid w:val="00814B8B"/>
    <w:rsid w:val="008209BC"/>
    <w:rsid w:val="008229C0"/>
    <w:rsid w:val="00823491"/>
    <w:rsid w:val="008238B7"/>
    <w:rsid w:val="00825668"/>
    <w:rsid w:val="008258EF"/>
    <w:rsid w:val="00826061"/>
    <w:rsid w:val="00827105"/>
    <w:rsid w:val="008274D9"/>
    <w:rsid w:val="00830E27"/>
    <w:rsid w:val="00830E79"/>
    <w:rsid w:val="008318BA"/>
    <w:rsid w:val="00834006"/>
    <w:rsid w:val="008363EF"/>
    <w:rsid w:val="00842B43"/>
    <w:rsid w:val="00842DE9"/>
    <w:rsid w:val="00846689"/>
    <w:rsid w:val="0084679E"/>
    <w:rsid w:val="00846BC4"/>
    <w:rsid w:val="00847F97"/>
    <w:rsid w:val="00850B88"/>
    <w:rsid w:val="008519F1"/>
    <w:rsid w:val="0085245D"/>
    <w:rsid w:val="008544EC"/>
    <w:rsid w:val="008548E0"/>
    <w:rsid w:val="008566BE"/>
    <w:rsid w:val="008579F6"/>
    <w:rsid w:val="00860A7E"/>
    <w:rsid w:val="00861243"/>
    <w:rsid w:val="00861E71"/>
    <w:rsid w:val="00862E5B"/>
    <w:rsid w:val="0086389A"/>
    <w:rsid w:val="00863E3F"/>
    <w:rsid w:val="008647E4"/>
    <w:rsid w:val="00865BAD"/>
    <w:rsid w:val="0086686B"/>
    <w:rsid w:val="00866943"/>
    <w:rsid w:val="00866F41"/>
    <w:rsid w:val="00867422"/>
    <w:rsid w:val="00867843"/>
    <w:rsid w:val="0087097F"/>
    <w:rsid w:val="00871FFF"/>
    <w:rsid w:val="00873D6F"/>
    <w:rsid w:val="008771EC"/>
    <w:rsid w:val="00877619"/>
    <w:rsid w:val="00880026"/>
    <w:rsid w:val="00880622"/>
    <w:rsid w:val="00881089"/>
    <w:rsid w:val="008823DC"/>
    <w:rsid w:val="00883B7A"/>
    <w:rsid w:val="00883FCA"/>
    <w:rsid w:val="00884722"/>
    <w:rsid w:val="00886746"/>
    <w:rsid w:val="00886ACB"/>
    <w:rsid w:val="00887545"/>
    <w:rsid w:val="00887BDA"/>
    <w:rsid w:val="0089278E"/>
    <w:rsid w:val="00892FCF"/>
    <w:rsid w:val="00893306"/>
    <w:rsid w:val="0089698C"/>
    <w:rsid w:val="008A036A"/>
    <w:rsid w:val="008A09B4"/>
    <w:rsid w:val="008A2494"/>
    <w:rsid w:val="008A31C7"/>
    <w:rsid w:val="008A4341"/>
    <w:rsid w:val="008A5D5E"/>
    <w:rsid w:val="008A5DE8"/>
    <w:rsid w:val="008A6012"/>
    <w:rsid w:val="008B002D"/>
    <w:rsid w:val="008B67FA"/>
    <w:rsid w:val="008C2529"/>
    <w:rsid w:val="008C5B32"/>
    <w:rsid w:val="008C5B49"/>
    <w:rsid w:val="008D029C"/>
    <w:rsid w:val="008D1996"/>
    <w:rsid w:val="008D2E56"/>
    <w:rsid w:val="008D5863"/>
    <w:rsid w:val="008D63BD"/>
    <w:rsid w:val="008E1E19"/>
    <w:rsid w:val="008E62FA"/>
    <w:rsid w:val="008F01A4"/>
    <w:rsid w:val="008F1D32"/>
    <w:rsid w:val="008F2E64"/>
    <w:rsid w:val="008F30B6"/>
    <w:rsid w:val="008F35C2"/>
    <w:rsid w:val="008F38BF"/>
    <w:rsid w:val="008F48D4"/>
    <w:rsid w:val="008F5EBD"/>
    <w:rsid w:val="008F6EF9"/>
    <w:rsid w:val="008F71F4"/>
    <w:rsid w:val="008F7260"/>
    <w:rsid w:val="0090342C"/>
    <w:rsid w:val="00904CDC"/>
    <w:rsid w:val="00906371"/>
    <w:rsid w:val="00907D77"/>
    <w:rsid w:val="009109D5"/>
    <w:rsid w:val="009134EF"/>
    <w:rsid w:val="00921CBC"/>
    <w:rsid w:val="00921F38"/>
    <w:rsid w:val="00922132"/>
    <w:rsid w:val="00925756"/>
    <w:rsid w:val="00925CD5"/>
    <w:rsid w:val="00927109"/>
    <w:rsid w:val="00927DCC"/>
    <w:rsid w:val="00930189"/>
    <w:rsid w:val="009314BA"/>
    <w:rsid w:val="00933446"/>
    <w:rsid w:val="00934464"/>
    <w:rsid w:val="009360A4"/>
    <w:rsid w:val="00937887"/>
    <w:rsid w:val="00940742"/>
    <w:rsid w:val="00940D23"/>
    <w:rsid w:val="009424E9"/>
    <w:rsid w:val="00942CAF"/>
    <w:rsid w:val="009467F1"/>
    <w:rsid w:val="009505F5"/>
    <w:rsid w:val="00953051"/>
    <w:rsid w:val="00956C30"/>
    <w:rsid w:val="00957F31"/>
    <w:rsid w:val="009634C6"/>
    <w:rsid w:val="009649CE"/>
    <w:rsid w:val="0097473A"/>
    <w:rsid w:val="00974BDC"/>
    <w:rsid w:val="00975509"/>
    <w:rsid w:val="00975DC1"/>
    <w:rsid w:val="0097604B"/>
    <w:rsid w:val="00980C3D"/>
    <w:rsid w:val="0098134E"/>
    <w:rsid w:val="00984A9D"/>
    <w:rsid w:val="00984D56"/>
    <w:rsid w:val="009875FF"/>
    <w:rsid w:val="00987E99"/>
    <w:rsid w:val="009931BB"/>
    <w:rsid w:val="009939FE"/>
    <w:rsid w:val="0099426D"/>
    <w:rsid w:val="009943BF"/>
    <w:rsid w:val="00994D80"/>
    <w:rsid w:val="00994EBA"/>
    <w:rsid w:val="00995299"/>
    <w:rsid w:val="00995C93"/>
    <w:rsid w:val="0099602A"/>
    <w:rsid w:val="00996425"/>
    <w:rsid w:val="00996DC5"/>
    <w:rsid w:val="00997AA5"/>
    <w:rsid w:val="009A2056"/>
    <w:rsid w:val="009A3356"/>
    <w:rsid w:val="009A339F"/>
    <w:rsid w:val="009A4238"/>
    <w:rsid w:val="009A4484"/>
    <w:rsid w:val="009A451D"/>
    <w:rsid w:val="009A4680"/>
    <w:rsid w:val="009A56D9"/>
    <w:rsid w:val="009A6E90"/>
    <w:rsid w:val="009B1852"/>
    <w:rsid w:val="009B29D3"/>
    <w:rsid w:val="009B6923"/>
    <w:rsid w:val="009C0B20"/>
    <w:rsid w:val="009C3029"/>
    <w:rsid w:val="009C49CE"/>
    <w:rsid w:val="009C507C"/>
    <w:rsid w:val="009C52C6"/>
    <w:rsid w:val="009C5A0E"/>
    <w:rsid w:val="009C608D"/>
    <w:rsid w:val="009C6774"/>
    <w:rsid w:val="009D1764"/>
    <w:rsid w:val="009D17D5"/>
    <w:rsid w:val="009D2CE8"/>
    <w:rsid w:val="009D3939"/>
    <w:rsid w:val="009D4FA8"/>
    <w:rsid w:val="009D667E"/>
    <w:rsid w:val="009E0370"/>
    <w:rsid w:val="009E03FA"/>
    <w:rsid w:val="009E1140"/>
    <w:rsid w:val="009E65E9"/>
    <w:rsid w:val="009E79BC"/>
    <w:rsid w:val="009E7DDD"/>
    <w:rsid w:val="009F06F1"/>
    <w:rsid w:val="009F0BF9"/>
    <w:rsid w:val="009F199E"/>
    <w:rsid w:val="009F1AFC"/>
    <w:rsid w:val="009F3D4A"/>
    <w:rsid w:val="009F5151"/>
    <w:rsid w:val="009F5E2D"/>
    <w:rsid w:val="00A008EB"/>
    <w:rsid w:val="00A01261"/>
    <w:rsid w:val="00A01B85"/>
    <w:rsid w:val="00A027E2"/>
    <w:rsid w:val="00A03FA5"/>
    <w:rsid w:val="00A05355"/>
    <w:rsid w:val="00A0602B"/>
    <w:rsid w:val="00A06836"/>
    <w:rsid w:val="00A06AE6"/>
    <w:rsid w:val="00A104AB"/>
    <w:rsid w:val="00A12A3A"/>
    <w:rsid w:val="00A12CD8"/>
    <w:rsid w:val="00A13197"/>
    <w:rsid w:val="00A1477A"/>
    <w:rsid w:val="00A154B5"/>
    <w:rsid w:val="00A15741"/>
    <w:rsid w:val="00A17366"/>
    <w:rsid w:val="00A177A6"/>
    <w:rsid w:val="00A17E81"/>
    <w:rsid w:val="00A2048B"/>
    <w:rsid w:val="00A20DAB"/>
    <w:rsid w:val="00A23674"/>
    <w:rsid w:val="00A25344"/>
    <w:rsid w:val="00A25EA9"/>
    <w:rsid w:val="00A265E1"/>
    <w:rsid w:val="00A30229"/>
    <w:rsid w:val="00A31C75"/>
    <w:rsid w:val="00A35F6C"/>
    <w:rsid w:val="00A374E9"/>
    <w:rsid w:val="00A416DC"/>
    <w:rsid w:val="00A416FA"/>
    <w:rsid w:val="00A43492"/>
    <w:rsid w:val="00A43AF7"/>
    <w:rsid w:val="00A46B33"/>
    <w:rsid w:val="00A473FA"/>
    <w:rsid w:val="00A4797F"/>
    <w:rsid w:val="00A51B29"/>
    <w:rsid w:val="00A5318A"/>
    <w:rsid w:val="00A54479"/>
    <w:rsid w:val="00A57506"/>
    <w:rsid w:val="00A600AB"/>
    <w:rsid w:val="00A6014F"/>
    <w:rsid w:val="00A6210B"/>
    <w:rsid w:val="00A65253"/>
    <w:rsid w:val="00A67576"/>
    <w:rsid w:val="00A67DE0"/>
    <w:rsid w:val="00A70E5F"/>
    <w:rsid w:val="00A731D9"/>
    <w:rsid w:val="00A7369E"/>
    <w:rsid w:val="00A73873"/>
    <w:rsid w:val="00A73D6E"/>
    <w:rsid w:val="00A76264"/>
    <w:rsid w:val="00A77690"/>
    <w:rsid w:val="00A8019C"/>
    <w:rsid w:val="00A816D5"/>
    <w:rsid w:val="00A827B1"/>
    <w:rsid w:val="00A833BB"/>
    <w:rsid w:val="00A84D61"/>
    <w:rsid w:val="00A85AB5"/>
    <w:rsid w:val="00A85C99"/>
    <w:rsid w:val="00A861CA"/>
    <w:rsid w:val="00A864B7"/>
    <w:rsid w:val="00A86A2E"/>
    <w:rsid w:val="00A921E3"/>
    <w:rsid w:val="00A92DE0"/>
    <w:rsid w:val="00A94479"/>
    <w:rsid w:val="00A944A1"/>
    <w:rsid w:val="00A94A2D"/>
    <w:rsid w:val="00A95537"/>
    <w:rsid w:val="00A972BD"/>
    <w:rsid w:val="00A97BEC"/>
    <w:rsid w:val="00AA2506"/>
    <w:rsid w:val="00AA2FC6"/>
    <w:rsid w:val="00AA4661"/>
    <w:rsid w:val="00AA7958"/>
    <w:rsid w:val="00AB00C7"/>
    <w:rsid w:val="00AB1D6A"/>
    <w:rsid w:val="00AB381F"/>
    <w:rsid w:val="00AB3CFE"/>
    <w:rsid w:val="00AB6245"/>
    <w:rsid w:val="00AB68C4"/>
    <w:rsid w:val="00AB7613"/>
    <w:rsid w:val="00AB7899"/>
    <w:rsid w:val="00AC0E9D"/>
    <w:rsid w:val="00AC2488"/>
    <w:rsid w:val="00AC3156"/>
    <w:rsid w:val="00AC365E"/>
    <w:rsid w:val="00AC4A9C"/>
    <w:rsid w:val="00AC58CF"/>
    <w:rsid w:val="00AC5DED"/>
    <w:rsid w:val="00AD1397"/>
    <w:rsid w:val="00AD14EC"/>
    <w:rsid w:val="00AD249A"/>
    <w:rsid w:val="00AD4296"/>
    <w:rsid w:val="00AD70CB"/>
    <w:rsid w:val="00AE06F0"/>
    <w:rsid w:val="00AE1AEB"/>
    <w:rsid w:val="00AE2134"/>
    <w:rsid w:val="00AE2669"/>
    <w:rsid w:val="00AE2FCE"/>
    <w:rsid w:val="00AE3C67"/>
    <w:rsid w:val="00AE4341"/>
    <w:rsid w:val="00AE4681"/>
    <w:rsid w:val="00AE54B3"/>
    <w:rsid w:val="00AE593F"/>
    <w:rsid w:val="00AE5980"/>
    <w:rsid w:val="00AE610A"/>
    <w:rsid w:val="00AE706E"/>
    <w:rsid w:val="00AF005F"/>
    <w:rsid w:val="00AF08A7"/>
    <w:rsid w:val="00AF0B26"/>
    <w:rsid w:val="00AF23F5"/>
    <w:rsid w:val="00AF2E03"/>
    <w:rsid w:val="00AF3722"/>
    <w:rsid w:val="00AF4E66"/>
    <w:rsid w:val="00AF51D8"/>
    <w:rsid w:val="00AF5770"/>
    <w:rsid w:val="00B002A3"/>
    <w:rsid w:val="00B0163B"/>
    <w:rsid w:val="00B04C9A"/>
    <w:rsid w:val="00B04F8C"/>
    <w:rsid w:val="00B05254"/>
    <w:rsid w:val="00B0676F"/>
    <w:rsid w:val="00B071CF"/>
    <w:rsid w:val="00B122FD"/>
    <w:rsid w:val="00B15A6E"/>
    <w:rsid w:val="00B16526"/>
    <w:rsid w:val="00B201A7"/>
    <w:rsid w:val="00B205D8"/>
    <w:rsid w:val="00B21A9B"/>
    <w:rsid w:val="00B23151"/>
    <w:rsid w:val="00B23461"/>
    <w:rsid w:val="00B27387"/>
    <w:rsid w:val="00B27E6E"/>
    <w:rsid w:val="00B30AFA"/>
    <w:rsid w:val="00B30D04"/>
    <w:rsid w:val="00B318C9"/>
    <w:rsid w:val="00B34F5F"/>
    <w:rsid w:val="00B3590D"/>
    <w:rsid w:val="00B35B49"/>
    <w:rsid w:val="00B402A3"/>
    <w:rsid w:val="00B43D17"/>
    <w:rsid w:val="00B443F0"/>
    <w:rsid w:val="00B46024"/>
    <w:rsid w:val="00B46F4F"/>
    <w:rsid w:val="00B52205"/>
    <w:rsid w:val="00B522DD"/>
    <w:rsid w:val="00B52EBA"/>
    <w:rsid w:val="00B5322D"/>
    <w:rsid w:val="00B56615"/>
    <w:rsid w:val="00B56E40"/>
    <w:rsid w:val="00B60289"/>
    <w:rsid w:val="00B61A1C"/>
    <w:rsid w:val="00B64886"/>
    <w:rsid w:val="00B65405"/>
    <w:rsid w:val="00B70105"/>
    <w:rsid w:val="00B703C0"/>
    <w:rsid w:val="00B70461"/>
    <w:rsid w:val="00B732A0"/>
    <w:rsid w:val="00B73911"/>
    <w:rsid w:val="00B73EFB"/>
    <w:rsid w:val="00B75719"/>
    <w:rsid w:val="00B75852"/>
    <w:rsid w:val="00B760F0"/>
    <w:rsid w:val="00B80B3A"/>
    <w:rsid w:val="00B876A1"/>
    <w:rsid w:val="00B90397"/>
    <w:rsid w:val="00B93CBD"/>
    <w:rsid w:val="00B942EA"/>
    <w:rsid w:val="00B966C6"/>
    <w:rsid w:val="00B96A0D"/>
    <w:rsid w:val="00B96DEA"/>
    <w:rsid w:val="00B974A4"/>
    <w:rsid w:val="00BA1241"/>
    <w:rsid w:val="00BA1860"/>
    <w:rsid w:val="00BA277B"/>
    <w:rsid w:val="00BA3BE7"/>
    <w:rsid w:val="00BA3E31"/>
    <w:rsid w:val="00BA4EEA"/>
    <w:rsid w:val="00BA51A0"/>
    <w:rsid w:val="00BA5A04"/>
    <w:rsid w:val="00BA7921"/>
    <w:rsid w:val="00BA7AC6"/>
    <w:rsid w:val="00BB1148"/>
    <w:rsid w:val="00BB1299"/>
    <w:rsid w:val="00BB570E"/>
    <w:rsid w:val="00BB73F1"/>
    <w:rsid w:val="00BC0E70"/>
    <w:rsid w:val="00BC1E61"/>
    <w:rsid w:val="00BC4823"/>
    <w:rsid w:val="00BC58D4"/>
    <w:rsid w:val="00BD079E"/>
    <w:rsid w:val="00BD0BB1"/>
    <w:rsid w:val="00BD1512"/>
    <w:rsid w:val="00BD43AF"/>
    <w:rsid w:val="00BD5376"/>
    <w:rsid w:val="00BD6A2F"/>
    <w:rsid w:val="00BD6D0E"/>
    <w:rsid w:val="00BE3A3B"/>
    <w:rsid w:val="00BE3E30"/>
    <w:rsid w:val="00BE52B8"/>
    <w:rsid w:val="00BE65B6"/>
    <w:rsid w:val="00BE729A"/>
    <w:rsid w:val="00BF2F67"/>
    <w:rsid w:val="00BF5F50"/>
    <w:rsid w:val="00C00763"/>
    <w:rsid w:val="00C01361"/>
    <w:rsid w:val="00C046B0"/>
    <w:rsid w:val="00C0507E"/>
    <w:rsid w:val="00C05708"/>
    <w:rsid w:val="00C06228"/>
    <w:rsid w:val="00C0628F"/>
    <w:rsid w:val="00C10938"/>
    <w:rsid w:val="00C10EA6"/>
    <w:rsid w:val="00C154E7"/>
    <w:rsid w:val="00C16DF3"/>
    <w:rsid w:val="00C20D5A"/>
    <w:rsid w:val="00C211E2"/>
    <w:rsid w:val="00C222CA"/>
    <w:rsid w:val="00C22373"/>
    <w:rsid w:val="00C25A9B"/>
    <w:rsid w:val="00C27223"/>
    <w:rsid w:val="00C27D17"/>
    <w:rsid w:val="00C33581"/>
    <w:rsid w:val="00C34E89"/>
    <w:rsid w:val="00C35D84"/>
    <w:rsid w:val="00C3710F"/>
    <w:rsid w:val="00C40056"/>
    <w:rsid w:val="00C40294"/>
    <w:rsid w:val="00C405D2"/>
    <w:rsid w:val="00C40EBB"/>
    <w:rsid w:val="00C41119"/>
    <w:rsid w:val="00C415B8"/>
    <w:rsid w:val="00C41B38"/>
    <w:rsid w:val="00C446DA"/>
    <w:rsid w:val="00C45676"/>
    <w:rsid w:val="00C456D1"/>
    <w:rsid w:val="00C46BA1"/>
    <w:rsid w:val="00C52144"/>
    <w:rsid w:val="00C53E4F"/>
    <w:rsid w:val="00C54673"/>
    <w:rsid w:val="00C55E7A"/>
    <w:rsid w:val="00C56748"/>
    <w:rsid w:val="00C574D1"/>
    <w:rsid w:val="00C61C9C"/>
    <w:rsid w:val="00C62C70"/>
    <w:rsid w:val="00C644AD"/>
    <w:rsid w:val="00C65BB9"/>
    <w:rsid w:val="00C66DBD"/>
    <w:rsid w:val="00C73487"/>
    <w:rsid w:val="00C77323"/>
    <w:rsid w:val="00C778E9"/>
    <w:rsid w:val="00C809AB"/>
    <w:rsid w:val="00C8100D"/>
    <w:rsid w:val="00C819A4"/>
    <w:rsid w:val="00C8201D"/>
    <w:rsid w:val="00C85AAE"/>
    <w:rsid w:val="00C85E7E"/>
    <w:rsid w:val="00C86B8A"/>
    <w:rsid w:val="00C877D5"/>
    <w:rsid w:val="00C87ED3"/>
    <w:rsid w:val="00C9093E"/>
    <w:rsid w:val="00C92DFE"/>
    <w:rsid w:val="00C9344B"/>
    <w:rsid w:val="00C93691"/>
    <w:rsid w:val="00C93B97"/>
    <w:rsid w:val="00CA33E3"/>
    <w:rsid w:val="00CA364E"/>
    <w:rsid w:val="00CA6E86"/>
    <w:rsid w:val="00CB0838"/>
    <w:rsid w:val="00CB1263"/>
    <w:rsid w:val="00CB1AE7"/>
    <w:rsid w:val="00CB4186"/>
    <w:rsid w:val="00CB496E"/>
    <w:rsid w:val="00CB5F45"/>
    <w:rsid w:val="00CC00AA"/>
    <w:rsid w:val="00CC054E"/>
    <w:rsid w:val="00CC1B1E"/>
    <w:rsid w:val="00CC1F61"/>
    <w:rsid w:val="00CC446E"/>
    <w:rsid w:val="00CC4851"/>
    <w:rsid w:val="00CC5B39"/>
    <w:rsid w:val="00CC7166"/>
    <w:rsid w:val="00CC7CB3"/>
    <w:rsid w:val="00CD06B5"/>
    <w:rsid w:val="00CD111E"/>
    <w:rsid w:val="00CD19AD"/>
    <w:rsid w:val="00CD28EF"/>
    <w:rsid w:val="00CD4203"/>
    <w:rsid w:val="00CE14AC"/>
    <w:rsid w:val="00CE3386"/>
    <w:rsid w:val="00CE64AD"/>
    <w:rsid w:val="00CE75D6"/>
    <w:rsid w:val="00CF09C0"/>
    <w:rsid w:val="00CF1B4C"/>
    <w:rsid w:val="00CF1D90"/>
    <w:rsid w:val="00CF4633"/>
    <w:rsid w:val="00CF4CE1"/>
    <w:rsid w:val="00CF57D6"/>
    <w:rsid w:val="00CF6739"/>
    <w:rsid w:val="00D00413"/>
    <w:rsid w:val="00D009C8"/>
    <w:rsid w:val="00D01160"/>
    <w:rsid w:val="00D035C2"/>
    <w:rsid w:val="00D039F4"/>
    <w:rsid w:val="00D03E54"/>
    <w:rsid w:val="00D03F54"/>
    <w:rsid w:val="00D042D0"/>
    <w:rsid w:val="00D0609C"/>
    <w:rsid w:val="00D078E8"/>
    <w:rsid w:val="00D07BAE"/>
    <w:rsid w:val="00D11C02"/>
    <w:rsid w:val="00D12297"/>
    <w:rsid w:val="00D12689"/>
    <w:rsid w:val="00D1344A"/>
    <w:rsid w:val="00D14E77"/>
    <w:rsid w:val="00D15314"/>
    <w:rsid w:val="00D158FA"/>
    <w:rsid w:val="00D16137"/>
    <w:rsid w:val="00D1731E"/>
    <w:rsid w:val="00D206E4"/>
    <w:rsid w:val="00D20881"/>
    <w:rsid w:val="00D21EBC"/>
    <w:rsid w:val="00D24560"/>
    <w:rsid w:val="00D25DBE"/>
    <w:rsid w:val="00D30FD7"/>
    <w:rsid w:val="00D31549"/>
    <w:rsid w:val="00D335B5"/>
    <w:rsid w:val="00D33D0C"/>
    <w:rsid w:val="00D3435F"/>
    <w:rsid w:val="00D367A5"/>
    <w:rsid w:val="00D372DF"/>
    <w:rsid w:val="00D37D30"/>
    <w:rsid w:val="00D439DA"/>
    <w:rsid w:val="00D43B65"/>
    <w:rsid w:val="00D44D70"/>
    <w:rsid w:val="00D45893"/>
    <w:rsid w:val="00D5127D"/>
    <w:rsid w:val="00D518A6"/>
    <w:rsid w:val="00D52089"/>
    <w:rsid w:val="00D53139"/>
    <w:rsid w:val="00D53179"/>
    <w:rsid w:val="00D54257"/>
    <w:rsid w:val="00D54D32"/>
    <w:rsid w:val="00D55F76"/>
    <w:rsid w:val="00D57CC7"/>
    <w:rsid w:val="00D60819"/>
    <w:rsid w:val="00D609A8"/>
    <w:rsid w:val="00D61E9E"/>
    <w:rsid w:val="00D62E19"/>
    <w:rsid w:val="00D66346"/>
    <w:rsid w:val="00D7066F"/>
    <w:rsid w:val="00D70A2B"/>
    <w:rsid w:val="00D71EAD"/>
    <w:rsid w:val="00D72291"/>
    <w:rsid w:val="00D72E54"/>
    <w:rsid w:val="00D76DC6"/>
    <w:rsid w:val="00D76E19"/>
    <w:rsid w:val="00D8070D"/>
    <w:rsid w:val="00D82A92"/>
    <w:rsid w:val="00D835FC"/>
    <w:rsid w:val="00D836FD"/>
    <w:rsid w:val="00D83A2B"/>
    <w:rsid w:val="00D842BB"/>
    <w:rsid w:val="00D84525"/>
    <w:rsid w:val="00D86F26"/>
    <w:rsid w:val="00D908FD"/>
    <w:rsid w:val="00D91A6C"/>
    <w:rsid w:val="00D91B52"/>
    <w:rsid w:val="00D950CE"/>
    <w:rsid w:val="00D95A75"/>
    <w:rsid w:val="00D96BFC"/>
    <w:rsid w:val="00D9764E"/>
    <w:rsid w:val="00DA015F"/>
    <w:rsid w:val="00DA2AB5"/>
    <w:rsid w:val="00DA40B0"/>
    <w:rsid w:val="00DA7DAD"/>
    <w:rsid w:val="00DB008B"/>
    <w:rsid w:val="00DB06BC"/>
    <w:rsid w:val="00DB6659"/>
    <w:rsid w:val="00DB7240"/>
    <w:rsid w:val="00DC4A71"/>
    <w:rsid w:val="00DC53CD"/>
    <w:rsid w:val="00DC683A"/>
    <w:rsid w:val="00DC6D13"/>
    <w:rsid w:val="00DC78C0"/>
    <w:rsid w:val="00DD0CD4"/>
    <w:rsid w:val="00DD24BA"/>
    <w:rsid w:val="00DD5323"/>
    <w:rsid w:val="00DD7B16"/>
    <w:rsid w:val="00DE2446"/>
    <w:rsid w:val="00DE48E3"/>
    <w:rsid w:val="00DE6165"/>
    <w:rsid w:val="00DE7CE0"/>
    <w:rsid w:val="00DF1724"/>
    <w:rsid w:val="00DF1836"/>
    <w:rsid w:val="00DF2EDB"/>
    <w:rsid w:val="00DF353B"/>
    <w:rsid w:val="00DF4D27"/>
    <w:rsid w:val="00DF5CC3"/>
    <w:rsid w:val="00DF7CF6"/>
    <w:rsid w:val="00E015C6"/>
    <w:rsid w:val="00E01F9D"/>
    <w:rsid w:val="00E03511"/>
    <w:rsid w:val="00E05C8C"/>
    <w:rsid w:val="00E07D31"/>
    <w:rsid w:val="00E10BA8"/>
    <w:rsid w:val="00E1100C"/>
    <w:rsid w:val="00E12AF6"/>
    <w:rsid w:val="00E16268"/>
    <w:rsid w:val="00E16C5B"/>
    <w:rsid w:val="00E2092B"/>
    <w:rsid w:val="00E21170"/>
    <w:rsid w:val="00E21D5B"/>
    <w:rsid w:val="00E2444F"/>
    <w:rsid w:val="00E2462A"/>
    <w:rsid w:val="00E2582A"/>
    <w:rsid w:val="00E27B7C"/>
    <w:rsid w:val="00E309AA"/>
    <w:rsid w:val="00E316AA"/>
    <w:rsid w:val="00E35815"/>
    <w:rsid w:val="00E35986"/>
    <w:rsid w:val="00E35B83"/>
    <w:rsid w:val="00E4232C"/>
    <w:rsid w:val="00E43751"/>
    <w:rsid w:val="00E44FCD"/>
    <w:rsid w:val="00E465EC"/>
    <w:rsid w:val="00E502EE"/>
    <w:rsid w:val="00E51129"/>
    <w:rsid w:val="00E530B9"/>
    <w:rsid w:val="00E53149"/>
    <w:rsid w:val="00E53E43"/>
    <w:rsid w:val="00E60068"/>
    <w:rsid w:val="00E616BB"/>
    <w:rsid w:val="00E63A50"/>
    <w:rsid w:val="00E63FDE"/>
    <w:rsid w:val="00E6555A"/>
    <w:rsid w:val="00E72886"/>
    <w:rsid w:val="00E75B60"/>
    <w:rsid w:val="00E75D59"/>
    <w:rsid w:val="00E773A8"/>
    <w:rsid w:val="00E77ABD"/>
    <w:rsid w:val="00E807DE"/>
    <w:rsid w:val="00E8181F"/>
    <w:rsid w:val="00E864C1"/>
    <w:rsid w:val="00E864FF"/>
    <w:rsid w:val="00E86DF0"/>
    <w:rsid w:val="00E879B8"/>
    <w:rsid w:val="00E87BF7"/>
    <w:rsid w:val="00E94645"/>
    <w:rsid w:val="00E95793"/>
    <w:rsid w:val="00E95FA4"/>
    <w:rsid w:val="00EA00D3"/>
    <w:rsid w:val="00EA13FE"/>
    <w:rsid w:val="00EA2E86"/>
    <w:rsid w:val="00EA6A80"/>
    <w:rsid w:val="00EA7848"/>
    <w:rsid w:val="00EB4360"/>
    <w:rsid w:val="00EB66C5"/>
    <w:rsid w:val="00EC48D7"/>
    <w:rsid w:val="00EC677F"/>
    <w:rsid w:val="00EC7878"/>
    <w:rsid w:val="00ED0958"/>
    <w:rsid w:val="00ED0B38"/>
    <w:rsid w:val="00ED1966"/>
    <w:rsid w:val="00ED220C"/>
    <w:rsid w:val="00ED5DD1"/>
    <w:rsid w:val="00ED7333"/>
    <w:rsid w:val="00EE34B5"/>
    <w:rsid w:val="00EE39E6"/>
    <w:rsid w:val="00EE46CA"/>
    <w:rsid w:val="00EE5C35"/>
    <w:rsid w:val="00EF4FB4"/>
    <w:rsid w:val="00F00CAB"/>
    <w:rsid w:val="00F00D69"/>
    <w:rsid w:val="00F0434E"/>
    <w:rsid w:val="00F062BF"/>
    <w:rsid w:val="00F067AA"/>
    <w:rsid w:val="00F06AF4"/>
    <w:rsid w:val="00F07133"/>
    <w:rsid w:val="00F117E4"/>
    <w:rsid w:val="00F11A2A"/>
    <w:rsid w:val="00F133C0"/>
    <w:rsid w:val="00F14432"/>
    <w:rsid w:val="00F161BA"/>
    <w:rsid w:val="00F17782"/>
    <w:rsid w:val="00F20844"/>
    <w:rsid w:val="00F21B7B"/>
    <w:rsid w:val="00F21CFB"/>
    <w:rsid w:val="00F2215E"/>
    <w:rsid w:val="00F22CF0"/>
    <w:rsid w:val="00F24903"/>
    <w:rsid w:val="00F31AEF"/>
    <w:rsid w:val="00F34EB7"/>
    <w:rsid w:val="00F36706"/>
    <w:rsid w:val="00F4287C"/>
    <w:rsid w:val="00F44571"/>
    <w:rsid w:val="00F44DB9"/>
    <w:rsid w:val="00F453EC"/>
    <w:rsid w:val="00F456C9"/>
    <w:rsid w:val="00F46A01"/>
    <w:rsid w:val="00F474C1"/>
    <w:rsid w:val="00F47B3A"/>
    <w:rsid w:val="00F50083"/>
    <w:rsid w:val="00F5454E"/>
    <w:rsid w:val="00F54BDF"/>
    <w:rsid w:val="00F54C8B"/>
    <w:rsid w:val="00F57C3C"/>
    <w:rsid w:val="00F61550"/>
    <w:rsid w:val="00F63265"/>
    <w:rsid w:val="00F64DDC"/>
    <w:rsid w:val="00F64EAD"/>
    <w:rsid w:val="00F702FD"/>
    <w:rsid w:val="00F748C7"/>
    <w:rsid w:val="00F74B4F"/>
    <w:rsid w:val="00F74C32"/>
    <w:rsid w:val="00F76934"/>
    <w:rsid w:val="00F773CB"/>
    <w:rsid w:val="00F77748"/>
    <w:rsid w:val="00F77B0E"/>
    <w:rsid w:val="00F809A8"/>
    <w:rsid w:val="00F84252"/>
    <w:rsid w:val="00F85874"/>
    <w:rsid w:val="00F85C9E"/>
    <w:rsid w:val="00F86B5C"/>
    <w:rsid w:val="00F87657"/>
    <w:rsid w:val="00F87747"/>
    <w:rsid w:val="00F87926"/>
    <w:rsid w:val="00F9425D"/>
    <w:rsid w:val="00F961CC"/>
    <w:rsid w:val="00F96550"/>
    <w:rsid w:val="00F97741"/>
    <w:rsid w:val="00FA1874"/>
    <w:rsid w:val="00FA6D9C"/>
    <w:rsid w:val="00FB090D"/>
    <w:rsid w:val="00FB0CF4"/>
    <w:rsid w:val="00FB2A4D"/>
    <w:rsid w:val="00FB2C5B"/>
    <w:rsid w:val="00FB364D"/>
    <w:rsid w:val="00FB3678"/>
    <w:rsid w:val="00FB4E6D"/>
    <w:rsid w:val="00FC141A"/>
    <w:rsid w:val="00FC1C95"/>
    <w:rsid w:val="00FC3BC6"/>
    <w:rsid w:val="00FC438C"/>
    <w:rsid w:val="00FC45BE"/>
    <w:rsid w:val="00FC4CD2"/>
    <w:rsid w:val="00FC697A"/>
    <w:rsid w:val="00FD0E1A"/>
    <w:rsid w:val="00FD22A6"/>
    <w:rsid w:val="00FD2FC0"/>
    <w:rsid w:val="00FD374C"/>
    <w:rsid w:val="00FD5672"/>
    <w:rsid w:val="00FD7C5A"/>
    <w:rsid w:val="00FE0AD3"/>
    <w:rsid w:val="00FE11ED"/>
    <w:rsid w:val="00FE28E4"/>
    <w:rsid w:val="00FE534B"/>
    <w:rsid w:val="00FE6AD6"/>
    <w:rsid w:val="00FF171B"/>
    <w:rsid w:val="00FF227E"/>
    <w:rsid w:val="00FF425A"/>
    <w:rsid w:val="00FF4631"/>
    <w:rsid w:val="00FF4F74"/>
    <w:rsid w:val="00FF6791"/>
    <w:rsid w:val="00FF70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1" w:defUnhideWhenUsed="0" w:defQFormat="0" w:count="267">
    <w:lsdException w:name="Normal" w:semiHidden="0" w:uiPriority="0"/>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39" w:unhideWhenUsed="1"/>
    <w:lsdException w:name="toc 4" w:uiPriority="39"/>
    <w:lsdException w:name="toc 5" w:uiPriority="39"/>
    <w:lsdException w:name="toc 6" w:uiPriority="39" w:unhideWhenUsed="1"/>
    <w:lsdException w:name="toc 7" w:uiPriority="39" w:unhideWhenUsed="1"/>
    <w:lsdException w:name="toc 8" w:uiPriority="39"/>
    <w:lsdException w:name="toc 9" w:uiPriority="39"/>
    <w:lsdException w:name="Normal Indent" w:unhideWhenUsed="1"/>
    <w:lsdException w:name="footnote text" w:semiHidden="0" w:uiPriority="25"/>
    <w:lsdException w:name="annotation text" w:semiHidden="0" w:uiPriority="4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semiHidden="0" w:uiPriority="25"/>
    <w:lsdException w:name="annotation reference" w:semiHidden="0" w:uiPriority="49"/>
    <w:lsdException w:name="line number" w:unhideWhenUsed="1"/>
    <w:lsdException w:name="page number" w:unhideWhenUsed="1"/>
    <w:lsdException w:name="endnote reference" w:unhideWhenUsed="1"/>
    <w:lsdException w:name="endnote text" w:unhideWhenUsed="1"/>
    <w:lsdException w:name="macro" w:unhideWhenUsed="1"/>
    <w:lsdException w:name="List" w:unhideWhenUsed="1"/>
    <w:lsdException w:name="List Bullet" w:semiHidden="0" w:uiPriority="2" w:qFormat="1"/>
    <w:lsdException w:name="List Number" w:semiHidden="0" w:uiPriority="2" w:qFormat="1"/>
    <w:lsdException w:name="List 2" w:unhideWhenUsed="1"/>
    <w:lsdException w:name="List 3" w:unhideWhenUsed="1"/>
    <w:lsdException w:name="List 4" w:unhideWhenUsed="1"/>
    <w:lsdException w:name="List 5" w:unhideWhenUsed="1"/>
    <w:lsdException w:name="List Bullet 2" w:semiHidden="0" w:uiPriority="2"/>
    <w:lsdException w:name="List Bullet 3" w:semiHidden="0" w:uiPriority="2"/>
    <w:lsdException w:name="List Number 2" w:semiHidden="0" w:uiPriority="2"/>
    <w:lsdException w:name="List Number 3" w:unhideWhenUsed="1"/>
    <w:lsdException w:name="List Number 4" w:unhideWhenUsed="1"/>
    <w:lsdException w:name="List Number 5" w:unhideWhenUsed="1"/>
    <w:lsdException w:name="Title" w:semiHidden="0" w:uiPriority="29" w:qFormat="1"/>
    <w:lsdException w:name="Closing" w:unhideWhenUsed="1"/>
    <w:lsdException w:name="Signature" w:unhideWhenUsed="1"/>
    <w:lsdException w:name="Default Paragraph Font" w:uiPriority="1" w:unhideWhenUsed="1"/>
    <w:lsdException w:name="Body Text" w:semiHidden="0" w:uiPriority="2"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30" w:qFormat="1"/>
    <w:lsdException w:name="Salutation" w:unhideWhenUsed="1"/>
    <w:lsdException w:name="Date" w:semiHidden="0" w:uiPriority="33"/>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unhideWhenUsed="1"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3"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unhideWhenUsed="1" w:qFormat="1"/>
    <w:lsdException w:name="Intense Emphasis" w:uiPriority="21" w:unhideWhenUsed="1" w:qFormat="1"/>
    <w:lsdException w:name="Subtle Reference" w:uiPriority="31" w:unhideWhenUsed="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semiHidden/>
    <w:rsid w:val="00BA277B"/>
    <w:pPr>
      <w:spacing w:before="0"/>
    </w:pPr>
  </w:style>
  <w:style w:type="paragraph" w:styleId="Heading1">
    <w:name w:val="heading 1"/>
    <w:basedOn w:val="BodyText"/>
    <w:next w:val="BodyText"/>
    <w:link w:val="Heading1Char"/>
    <w:qFormat/>
    <w:rsid w:val="00FD7C5A"/>
    <w:pPr>
      <w:keepNext/>
      <w:pageBreakBefore/>
      <w:numPr>
        <w:numId w:val="5"/>
      </w:numPr>
      <w:spacing w:before="0" w:after="1560" w:line="440" w:lineRule="atLeast"/>
      <w:outlineLvl w:val="0"/>
    </w:pPr>
    <w:rPr>
      <w:rFonts w:asciiTheme="majorHAnsi" w:hAnsiTheme="majorHAnsi"/>
      <w:i/>
      <w:kern w:val="28"/>
      <w:sz w:val="36"/>
      <w:szCs w:val="32"/>
    </w:rPr>
  </w:style>
  <w:style w:type="paragraph" w:styleId="Heading2">
    <w:name w:val="heading 2"/>
    <w:basedOn w:val="Heading1"/>
    <w:next w:val="BodyText"/>
    <w:link w:val="Heading2Char"/>
    <w:qFormat/>
    <w:rsid w:val="00814B8B"/>
    <w:pPr>
      <w:pageBreakBefore w:val="0"/>
      <w:numPr>
        <w:ilvl w:val="1"/>
      </w:numPr>
      <w:spacing w:before="560" w:after="0" w:line="340" w:lineRule="atLeast"/>
      <w:outlineLvl w:val="1"/>
    </w:pPr>
    <w:rPr>
      <w:b/>
      <w:color w:val="F61D12" w:themeColor="accent2"/>
      <w:sz w:val="30"/>
      <w:szCs w:val="26"/>
    </w:rPr>
  </w:style>
  <w:style w:type="paragraph" w:styleId="Heading3">
    <w:name w:val="heading 3"/>
    <w:basedOn w:val="Heading2"/>
    <w:next w:val="BodyText"/>
    <w:link w:val="Heading3Char"/>
    <w:qFormat/>
    <w:rsid w:val="002F2DAD"/>
    <w:pPr>
      <w:numPr>
        <w:ilvl w:val="2"/>
      </w:numPr>
      <w:spacing w:before="440" w:line="280" w:lineRule="atLeast"/>
      <w:outlineLvl w:val="2"/>
    </w:pPr>
    <w:rPr>
      <w:color w:val="auto"/>
      <w:sz w:val="25"/>
      <w:szCs w:val="22"/>
    </w:rPr>
  </w:style>
  <w:style w:type="paragraph" w:styleId="Heading4">
    <w:name w:val="heading 4"/>
    <w:basedOn w:val="Heading3"/>
    <w:next w:val="BodyText"/>
    <w:link w:val="Heading4Char"/>
    <w:qFormat/>
    <w:rsid w:val="00FC141A"/>
    <w:pPr>
      <w:numPr>
        <w:ilvl w:val="3"/>
      </w:numPr>
      <w:spacing w:before="400" w:line="260" w:lineRule="atLeast"/>
      <w:outlineLvl w:val="3"/>
    </w:pPr>
    <w:rPr>
      <w:color w:val="6F6652" w:themeColor="text2"/>
      <w:sz w:val="21"/>
    </w:rPr>
  </w:style>
  <w:style w:type="paragraph" w:styleId="Heading5">
    <w:name w:val="heading 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basedOn w:val="Heading1"/>
    <w:next w:val="BodyText"/>
    <w:link w:val="Heading6Char"/>
    <w:qFormat/>
    <w:rsid w:val="000E5731"/>
    <w:pPr>
      <w:numPr>
        <w:ilvl w:val="5"/>
      </w:numPr>
      <w:outlineLvl w:val="5"/>
    </w:pPr>
    <w:rPr>
      <w:bCs/>
    </w:rPr>
  </w:style>
  <w:style w:type="paragraph" w:styleId="Heading7">
    <w:name w:val="heading 7"/>
    <w:basedOn w:val="Heading2"/>
    <w:next w:val="BodyText"/>
    <w:link w:val="Heading7Char"/>
    <w:qFormat/>
    <w:rsid w:val="00395D18"/>
    <w:pPr>
      <w:numPr>
        <w:ilvl w:val="6"/>
      </w:numPr>
      <w:outlineLvl w:val="6"/>
    </w:pPr>
    <w:rPr>
      <w:color w:val="auto"/>
    </w:rPr>
  </w:style>
  <w:style w:type="paragraph" w:styleId="Heading8">
    <w:name w:val="heading 8"/>
    <w:basedOn w:val="Heading3"/>
    <w:next w:val="BodyText"/>
    <w:link w:val="Heading8Char"/>
    <w:qFormat/>
    <w:rsid w:val="00CE3386"/>
    <w:pPr>
      <w:numPr>
        <w:ilvl w:val="7"/>
      </w:numPr>
      <w:outlineLvl w:val="7"/>
    </w:pPr>
  </w:style>
  <w:style w:type="paragraph" w:styleId="Heading9">
    <w:name w:val="heading 9"/>
    <w:basedOn w:val="Heading4"/>
    <w:next w:val="BodyText"/>
    <w:link w:val="Heading9Char"/>
    <w:qFormat/>
    <w:rsid w:val="00F47B3A"/>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1"/>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497862"/>
    <w:pPr>
      <w:numPr>
        <w:numId w:val="12"/>
      </w:numPr>
      <w:spacing w:before="70"/>
    </w:pPr>
  </w:style>
  <w:style w:type="paragraph" w:styleId="ListBullet">
    <w:name w:val="List Bullet"/>
    <w:basedOn w:val="BodyText"/>
    <w:link w:val="ListBulletChar"/>
    <w:uiPriority w:val="2"/>
    <w:qFormat/>
    <w:rsid w:val="00B974A4"/>
    <w:pPr>
      <w:numPr>
        <w:numId w:val="11"/>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basedOn w:val="Normal"/>
    <w:link w:val="BodyTextChar"/>
    <w:uiPriority w:val="2"/>
    <w:qFormat/>
    <w:rsid w:val="007438FF"/>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2"/>
      </w:numPr>
      <w:spacing w:before="40"/>
    </w:pPr>
  </w:style>
  <w:style w:type="character" w:customStyle="1" w:styleId="BodyTextChar">
    <w:name w:val="Body Text Char"/>
    <w:link w:val="BodyText"/>
    <w:uiPriority w:val="2"/>
    <w:rsid w:val="007438FF"/>
    <w:rPr>
      <w:rFonts w:asciiTheme="minorHAnsi" w:eastAsia="Times New Roman" w:hAnsiTheme="minorHAnsi"/>
    </w:rPr>
  </w:style>
  <w:style w:type="paragraph" w:styleId="Caption">
    <w:name w:val="caption"/>
    <w:basedOn w:val="BodyText"/>
    <w:next w:val="Subtitlebox"/>
    <w:link w:val="CaptionChar"/>
    <w:uiPriority w:val="99"/>
    <w:unhideWhenUsed/>
    <w:qFormat/>
    <w:rsid w:val="008A036A"/>
    <w:pPr>
      <w:keepNext/>
      <w:numPr>
        <w:numId w:val="7"/>
      </w:numPr>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rsid w:val="00F87657"/>
    <w:pPr>
      <w:spacing w:before="0"/>
    </w:pPr>
    <w:rPr>
      <w:rFonts w:ascii="Franklin Gothic Medium" w:hAnsi="Franklin Gothic Medium"/>
    </w:rPr>
  </w:style>
  <w:style w:type="character" w:customStyle="1" w:styleId="ChartTextChar">
    <w:name w:val="Chart Text Char"/>
    <w:link w:val="ChartText"/>
    <w:rsid w:val="00F87657"/>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89278E"/>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24ED"/>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8F6EF9"/>
    <w:pPr>
      <w:spacing w:before="280" w:line="320" w:lineRule="atLeast"/>
    </w:pPr>
    <w:rPr>
      <w:sz w:val="25"/>
      <w:szCs w:val="28"/>
    </w:rPr>
  </w:style>
  <w:style w:type="character" w:customStyle="1" w:styleId="SubtitleChar">
    <w:name w:val="Subtitle Char"/>
    <w:basedOn w:val="DefaultParagraphFont"/>
    <w:link w:val="Subtitle"/>
    <w:uiPriority w:val="30"/>
    <w:rsid w:val="001624ED"/>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222BF5"/>
    <w:pPr>
      <w:pBdr>
        <w:bottom w:val="single" w:sz="4" w:space="1" w:color="F61D12" w:themeColor="accent2"/>
      </w:pBdr>
      <w:tabs>
        <w:tab w:val="left" w:pos="-567"/>
        <w:tab w:val="left" w:pos="0"/>
        <w:tab w:val="right" w:pos="7938"/>
        <w:tab w:val="right" w:pos="8505"/>
      </w:tabs>
      <w:spacing w:before="480" w:line="240" w:lineRule="atLeast"/>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1624ED"/>
    <w:rPr>
      <w:rFonts w:ascii="Franklin Gothic Medium" w:eastAsia="Times New Roman" w:hAnsi="Franklin Gothic Medium"/>
      <w:sz w:val="14"/>
      <w:szCs w:val="14"/>
    </w:rPr>
  </w:style>
  <w:style w:type="character" w:customStyle="1" w:styleId="Heading1Char">
    <w:name w:val="Heading 1 Char"/>
    <w:basedOn w:val="DefaultParagraphFont"/>
    <w:link w:val="Heading1"/>
    <w:rsid w:val="00F474C1"/>
    <w:rPr>
      <w:rFonts w:asciiTheme="majorHAnsi" w:eastAsia="Times New Roman" w:hAnsiTheme="majorHAnsi"/>
      <w:i/>
      <w:kern w:val="28"/>
      <w:sz w:val="36"/>
      <w:szCs w:val="32"/>
    </w:rPr>
  </w:style>
  <w:style w:type="character" w:customStyle="1" w:styleId="Heading2Char">
    <w:name w:val="Heading 2 Char"/>
    <w:basedOn w:val="DefaultParagraphFont"/>
    <w:link w:val="Heading2"/>
    <w:rsid w:val="00814B8B"/>
    <w:rPr>
      <w:rFonts w:asciiTheme="majorHAnsi" w:eastAsia="Times New Roman" w:hAnsiTheme="majorHAnsi"/>
      <w:b/>
      <w:i/>
      <w:color w:val="F61D12" w:themeColor="accent2"/>
      <w:kern w:val="28"/>
      <w:sz w:val="30"/>
      <w:szCs w:val="26"/>
    </w:rPr>
  </w:style>
  <w:style w:type="paragraph" w:styleId="ListBullet2">
    <w:name w:val="List Bullet 2"/>
    <w:basedOn w:val="ListBullet"/>
    <w:uiPriority w:val="2"/>
    <w:rsid w:val="004C31EE"/>
    <w:pPr>
      <w:numPr>
        <w:ilvl w:val="1"/>
      </w:numPr>
      <w:spacing w:before="40"/>
      <w:ind w:left="568" w:hanging="284"/>
    </w:pPr>
  </w:style>
  <w:style w:type="character" w:customStyle="1" w:styleId="Heading3Char">
    <w:name w:val="Heading 3 Char"/>
    <w:basedOn w:val="DefaultParagraphFont"/>
    <w:link w:val="Heading3"/>
    <w:rsid w:val="002F2DAD"/>
    <w:rPr>
      <w:rFonts w:eastAsia="Times New Roman"/>
      <w:b/>
      <w:i/>
      <w:kern w:val="28"/>
      <w:sz w:val="25"/>
      <w:szCs w:val="22"/>
    </w:rPr>
  </w:style>
  <w:style w:type="character" w:customStyle="1" w:styleId="Heading4Char">
    <w:name w:val="Heading 4 Char"/>
    <w:basedOn w:val="DefaultParagraphFont"/>
    <w:link w:val="Heading4"/>
    <w:rsid w:val="00FC141A"/>
    <w:rPr>
      <w:rFonts w:eastAsia="Times New Roman"/>
      <w:b/>
      <w:i/>
      <w:color w:val="6F6652" w:themeColor="text2"/>
      <w:kern w:val="28"/>
      <w:szCs w:val="22"/>
    </w:rPr>
  </w:style>
  <w:style w:type="character" w:customStyle="1" w:styleId="Heading5Char">
    <w:name w:val="Heading 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basedOn w:val="DefaultParagraphFont"/>
    <w:link w:val="Heading6"/>
    <w:rsid w:val="000E5731"/>
    <w:rPr>
      <w:rFonts w:asciiTheme="majorHAnsi" w:eastAsia="Times New Roman" w:hAnsiTheme="majorHAnsi"/>
      <w:bCs/>
      <w:i/>
      <w:kern w:val="28"/>
      <w:sz w:val="36"/>
      <w:szCs w:val="32"/>
    </w:rPr>
  </w:style>
  <w:style w:type="character" w:customStyle="1" w:styleId="Heading7Char">
    <w:name w:val="Heading 7 Char"/>
    <w:basedOn w:val="DefaultParagraphFont"/>
    <w:link w:val="Heading7"/>
    <w:uiPriority w:val="99"/>
    <w:rsid w:val="00395D18"/>
    <w:rPr>
      <w:rFonts w:eastAsia="Times New Roman"/>
      <w:b/>
      <w:i/>
      <w:kern w:val="28"/>
      <w:sz w:val="30"/>
      <w:szCs w:val="26"/>
    </w:rPr>
  </w:style>
  <w:style w:type="character" w:customStyle="1" w:styleId="Heading8Char">
    <w:name w:val="Heading 8 Char"/>
    <w:basedOn w:val="DefaultParagraphFont"/>
    <w:link w:val="Heading8"/>
    <w:uiPriority w:val="99"/>
    <w:rsid w:val="00CE3386"/>
    <w:rPr>
      <w:rFonts w:eastAsia="Times New Roman"/>
      <w:b/>
      <w:i/>
      <w:kern w:val="28"/>
      <w:sz w:val="25"/>
      <w:szCs w:val="22"/>
    </w:rPr>
  </w:style>
  <w:style w:type="character" w:customStyle="1" w:styleId="Heading9Char">
    <w:name w:val="Heading 9 Char"/>
    <w:basedOn w:val="DefaultParagraphFont"/>
    <w:link w:val="Heading9"/>
    <w:uiPriority w:val="99"/>
    <w:rsid w:val="00F47B3A"/>
    <w:rPr>
      <w:rFonts w:eastAsia="Times New Roman"/>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B27E6E"/>
    <w:pPr>
      <w:spacing w:before="70" w:line="260" w:lineRule="atLeast"/>
      <w:ind w:left="284"/>
    </w:pPr>
    <w:rPr>
      <w:sz w:val="19"/>
      <w:szCs w:val="20"/>
    </w:rPr>
  </w:style>
  <w:style w:type="character" w:customStyle="1" w:styleId="QuoteChar">
    <w:name w:val="Quote Char"/>
    <w:basedOn w:val="DefaultParagraphFont"/>
    <w:link w:val="Quote"/>
    <w:uiPriority w:val="3"/>
    <w:rsid w:val="00B27E6E"/>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10"/>
      </w:numPr>
      <w:spacing w:before="80"/>
    </w:pPr>
    <w:rPr>
      <w:rFonts w:ascii="Franklin Gothic Book" w:eastAsia="MS Mincho" w:hAnsi="Franklin Gothic Book" w:cs="MS Mincho"/>
    </w:rPr>
  </w:style>
  <w:style w:type="paragraph" w:customStyle="1" w:styleId="Reference">
    <w:name w:val="Reference"/>
    <w:basedOn w:val="BodyText"/>
    <w:uiPriority w:val="3"/>
    <w:qFormat/>
    <w:rsid w:val="00B27E6E"/>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9"/>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basedOn w:val="TableNormal"/>
    <w:uiPriority w:val="59"/>
    <w:rsid w:val="00C93691"/>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DD7B16"/>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uiPriority w:val="99"/>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uiPriority w:val="99"/>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3"/>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E6555A"/>
    <w:pPr>
      <w:pBdr>
        <w:top w:val="single" w:sz="4" w:space="4" w:color="9B917E" w:themeColor="accent4"/>
        <w:bottom w:val="single" w:sz="4" w:space="6" w:color="9B917E" w:themeColor="accent4"/>
      </w:pBdr>
      <w:spacing w:after="180"/>
    </w:pPr>
    <w:rPr>
      <w:rFonts w:asciiTheme="minorHAnsi" w:hAnsiTheme="minorHAnsi"/>
      <w:b/>
      <w:i/>
      <w:color w:val="F61D12" w:themeColor="accent2"/>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2"/>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link w:val="ListBullet"/>
    <w:uiPriority w:val="2"/>
    <w:locked/>
    <w:rsid w:val="00B974A4"/>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5B435E"/>
    <w:pPr>
      <w:ind w:left="720"/>
      <w:contextualSpacing/>
    </w:pPr>
  </w:style>
  <w:style w:type="character" w:customStyle="1" w:styleId="CaptionChar">
    <w:name w:val="Caption Char"/>
    <w:basedOn w:val="BodyTextChar"/>
    <w:link w:val="Caption"/>
    <w:uiPriority w:val="99"/>
    <w:rsid w:val="001E3D69"/>
    <w:rPr>
      <w:rFonts w:ascii="Franklin Gothic Demi" w:eastAsia="Times New Roman" w:hAnsi="Franklin Gothic Demi"/>
      <w:szCs w:val="20"/>
    </w:rPr>
  </w:style>
  <w:style w:type="paragraph" w:customStyle="1" w:styleId="Summary2">
    <w:name w:val="Summary 2"/>
    <w:basedOn w:val="Heading2"/>
    <w:next w:val="BodyText"/>
    <w:uiPriority w:val="99"/>
    <w:rsid w:val="006544F3"/>
  </w:style>
  <w:style w:type="paragraph" w:customStyle="1" w:styleId="Summary3">
    <w:name w:val="Summary 3"/>
    <w:basedOn w:val="Heading3"/>
    <w:next w:val="BodyText"/>
    <w:uiPriority w:val="99"/>
    <w:rsid w:val="006544F3"/>
  </w:style>
  <w:style w:type="paragraph" w:customStyle="1" w:styleId="Summary4">
    <w:name w:val="Summary 4"/>
    <w:basedOn w:val="Heading4"/>
    <w:next w:val="BodyText"/>
    <w:uiPriority w:val="99"/>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3"/>
      </w:numPr>
    </w:pPr>
  </w:style>
  <w:style w:type="numbering" w:customStyle="1" w:styleId="NoteListNumber">
    <w:name w:val="NoteListNumber"/>
    <w:uiPriority w:val="99"/>
    <w:rsid w:val="00E864C1"/>
    <w:pPr>
      <w:numPr>
        <w:numId w:val="14"/>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9"/>
      </w:numPr>
    </w:pPr>
    <w:rPr>
      <w:szCs w:val="15"/>
    </w:rPr>
  </w:style>
  <w:style w:type="paragraph" w:customStyle="1" w:styleId="BoxTitle">
    <w:name w:val="Box Title"/>
    <w:basedOn w:val="Normal"/>
    <w:next w:val="Normal"/>
    <w:semiHidden/>
    <w:rsid w:val="000A7AE3"/>
    <w:pPr>
      <w:keepNext/>
      <w:spacing w:before="120" w:line="220" w:lineRule="exact"/>
      <w:ind w:left="454" w:hanging="454"/>
    </w:pPr>
    <w:rPr>
      <w:rFonts w:ascii="Arial" w:eastAsia="SimSun" w:hAnsi="Arial"/>
      <w:sz w:val="20"/>
      <w:szCs w:val="19"/>
      <w:lang w:eastAsia="en-US"/>
    </w:rPr>
  </w:style>
  <w:style w:type="paragraph" w:customStyle="1" w:styleId="ChartTitle">
    <w:name w:val="Chart Title"/>
    <w:basedOn w:val="TableTitle"/>
    <w:next w:val="Chart"/>
    <w:semiHidden/>
    <w:rsid w:val="000A7AE3"/>
  </w:style>
  <w:style w:type="paragraph" w:customStyle="1" w:styleId="TableTitle">
    <w:name w:val="Table Title"/>
    <w:basedOn w:val="BodyText"/>
    <w:next w:val="Normal"/>
    <w:semiHidden/>
    <w:rsid w:val="000A7AE3"/>
    <w:pPr>
      <w:keepNext/>
      <w:spacing w:before="360" w:after="80" w:line="220" w:lineRule="exact"/>
      <w:ind w:left="454" w:hanging="454"/>
    </w:pPr>
    <w:rPr>
      <w:rFonts w:ascii="Arial" w:eastAsia="SimSun" w:hAnsi="Arial"/>
      <w:sz w:val="20"/>
      <w:lang w:eastAsia="en-US"/>
    </w:rPr>
  </w:style>
  <w:style w:type="character" w:customStyle="1" w:styleId="TableTextEntriesChar">
    <w:name w:val="Table Text Entries Char"/>
    <w:link w:val="TableTextEntries"/>
    <w:locked/>
    <w:rsid w:val="000A7AE3"/>
    <w:rPr>
      <w:rFonts w:ascii="Franklin Gothic Book" w:eastAsia="Times New Roman" w:hAnsi="Franklin Gothic Book"/>
      <w:sz w:val="16"/>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1" w:defUnhideWhenUsed="0" w:defQFormat="0" w:count="267">
    <w:lsdException w:name="Normal" w:semiHidden="0" w:uiPriority="0"/>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39" w:unhideWhenUsed="1"/>
    <w:lsdException w:name="toc 4" w:uiPriority="39"/>
    <w:lsdException w:name="toc 5" w:uiPriority="39"/>
    <w:lsdException w:name="toc 6" w:uiPriority="39" w:unhideWhenUsed="1"/>
    <w:lsdException w:name="toc 7" w:uiPriority="39" w:unhideWhenUsed="1"/>
    <w:lsdException w:name="toc 8" w:uiPriority="39"/>
    <w:lsdException w:name="toc 9" w:uiPriority="39"/>
    <w:lsdException w:name="Normal Indent" w:unhideWhenUsed="1"/>
    <w:lsdException w:name="footnote text" w:semiHidden="0" w:uiPriority="25"/>
    <w:lsdException w:name="annotation text" w:semiHidden="0" w:uiPriority="4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semiHidden="0" w:uiPriority="25"/>
    <w:lsdException w:name="annotation reference" w:semiHidden="0" w:uiPriority="49"/>
    <w:lsdException w:name="line number" w:unhideWhenUsed="1"/>
    <w:lsdException w:name="page number" w:unhideWhenUsed="1"/>
    <w:lsdException w:name="endnote reference" w:unhideWhenUsed="1"/>
    <w:lsdException w:name="endnote text" w:unhideWhenUsed="1"/>
    <w:lsdException w:name="macro" w:unhideWhenUsed="1"/>
    <w:lsdException w:name="List" w:unhideWhenUsed="1"/>
    <w:lsdException w:name="List Bullet" w:semiHidden="0" w:uiPriority="2" w:qFormat="1"/>
    <w:lsdException w:name="List Number" w:semiHidden="0" w:uiPriority="2" w:qFormat="1"/>
    <w:lsdException w:name="List 2" w:unhideWhenUsed="1"/>
    <w:lsdException w:name="List 3" w:unhideWhenUsed="1"/>
    <w:lsdException w:name="List 4" w:unhideWhenUsed="1"/>
    <w:lsdException w:name="List 5" w:unhideWhenUsed="1"/>
    <w:lsdException w:name="List Bullet 2" w:semiHidden="0" w:uiPriority="2"/>
    <w:lsdException w:name="List Bullet 3" w:semiHidden="0" w:uiPriority="2"/>
    <w:lsdException w:name="List Number 2" w:semiHidden="0" w:uiPriority="2"/>
    <w:lsdException w:name="List Number 3" w:unhideWhenUsed="1"/>
    <w:lsdException w:name="List Number 4" w:unhideWhenUsed="1"/>
    <w:lsdException w:name="List Number 5" w:unhideWhenUsed="1"/>
    <w:lsdException w:name="Title" w:semiHidden="0" w:uiPriority="29" w:qFormat="1"/>
    <w:lsdException w:name="Closing" w:unhideWhenUsed="1"/>
    <w:lsdException w:name="Signature" w:unhideWhenUsed="1"/>
    <w:lsdException w:name="Default Paragraph Font" w:uiPriority="1" w:unhideWhenUsed="1"/>
    <w:lsdException w:name="Body Text" w:semiHidden="0" w:uiPriority="2"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30" w:qFormat="1"/>
    <w:lsdException w:name="Salutation" w:unhideWhenUsed="1"/>
    <w:lsdException w:name="Date" w:semiHidden="0" w:uiPriority="33"/>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unhideWhenUsed="1"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3"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unhideWhenUsed="1" w:qFormat="1"/>
    <w:lsdException w:name="Intense Emphasis" w:uiPriority="21" w:unhideWhenUsed="1" w:qFormat="1"/>
    <w:lsdException w:name="Subtle Reference" w:uiPriority="31" w:unhideWhenUsed="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semiHidden/>
    <w:rsid w:val="00BA277B"/>
    <w:pPr>
      <w:spacing w:before="0"/>
    </w:pPr>
  </w:style>
  <w:style w:type="paragraph" w:styleId="Heading1">
    <w:name w:val="heading 1"/>
    <w:basedOn w:val="BodyText"/>
    <w:next w:val="BodyText"/>
    <w:link w:val="Heading1Char"/>
    <w:qFormat/>
    <w:rsid w:val="00FD7C5A"/>
    <w:pPr>
      <w:keepNext/>
      <w:pageBreakBefore/>
      <w:numPr>
        <w:numId w:val="5"/>
      </w:numPr>
      <w:spacing w:before="0" w:after="1560" w:line="440" w:lineRule="atLeast"/>
      <w:outlineLvl w:val="0"/>
    </w:pPr>
    <w:rPr>
      <w:rFonts w:asciiTheme="majorHAnsi" w:hAnsiTheme="majorHAnsi"/>
      <w:i/>
      <w:kern w:val="28"/>
      <w:sz w:val="36"/>
      <w:szCs w:val="32"/>
    </w:rPr>
  </w:style>
  <w:style w:type="paragraph" w:styleId="Heading2">
    <w:name w:val="heading 2"/>
    <w:basedOn w:val="Heading1"/>
    <w:next w:val="BodyText"/>
    <w:link w:val="Heading2Char"/>
    <w:qFormat/>
    <w:rsid w:val="00814B8B"/>
    <w:pPr>
      <w:pageBreakBefore w:val="0"/>
      <w:numPr>
        <w:ilvl w:val="1"/>
      </w:numPr>
      <w:spacing w:before="560" w:after="0" w:line="340" w:lineRule="atLeast"/>
      <w:outlineLvl w:val="1"/>
    </w:pPr>
    <w:rPr>
      <w:b/>
      <w:color w:val="F61D12" w:themeColor="accent2"/>
      <w:sz w:val="30"/>
      <w:szCs w:val="26"/>
    </w:rPr>
  </w:style>
  <w:style w:type="paragraph" w:styleId="Heading3">
    <w:name w:val="heading 3"/>
    <w:basedOn w:val="Heading2"/>
    <w:next w:val="BodyText"/>
    <w:link w:val="Heading3Char"/>
    <w:qFormat/>
    <w:rsid w:val="002F2DAD"/>
    <w:pPr>
      <w:numPr>
        <w:ilvl w:val="2"/>
      </w:numPr>
      <w:spacing w:before="440" w:line="280" w:lineRule="atLeast"/>
      <w:outlineLvl w:val="2"/>
    </w:pPr>
    <w:rPr>
      <w:color w:val="auto"/>
      <w:sz w:val="25"/>
      <w:szCs w:val="22"/>
    </w:rPr>
  </w:style>
  <w:style w:type="paragraph" w:styleId="Heading4">
    <w:name w:val="heading 4"/>
    <w:basedOn w:val="Heading3"/>
    <w:next w:val="BodyText"/>
    <w:link w:val="Heading4Char"/>
    <w:qFormat/>
    <w:rsid w:val="00FC141A"/>
    <w:pPr>
      <w:numPr>
        <w:ilvl w:val="3"/>
      </w:numPr>
      <w:spacing w:before="400" w:line="260" w:lineRule="atLeast"/>
      <w:outlineLvl w:val="3"/>
    </w:pPr>
    <w:rPr>
      <w:color w:val="6F6652" w:themeColor="text2"/>
      <w:sz w:val="21"/>
    </w:rPr>
  </w:style>
  <w:style w:type="paragraph" w:styleId="Heading5">
    <w:name w:val="heading 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basedOn w:val="Heading1"/>
    <w:next w:val="BodyText"/>
    <w:link w:val="Heading6Char"/>
    <w:qFormat/>
    <w:rsid w:val="000E5731"/>
    <w:pPr>
      <w:numPr>
        <w:ilvl w:val="5"/>
      </w:numPr>
      <w:outlineLvl w:val="5"/>
    </w:pPr>
    <w:rPr>
      <w:bCs/>
    </w:rPr>
  </w:style>
  <w:style w:type="paragraph" w:styleId="Heading7">
    <w:name w:val="heading 7"/>
    <w:basedOn w:val="Heading2"/>
    <w:next w:val="BodyText"/>
    <w:link w:val="Heading7Char"/>
    <w:qFormat/>
    <w:rsid w:val="00395D18"/>
    <w:pPr>
      <w:numPr>
        <w:ilvl w:val="6"/>
      </w:numPr>
      <w:outlineLvl w:val="6"/>
    </w:pPr>
    <w:rPr>
      <w:color w:val="auto"/>
    </w:rPr>
  </w:style>
  <w:style w:type="paragraph" w:styleId="Heading8">
    <w:name w:val="heading 8"/>
    <w:basedOn w:val="Heading3"/>
    <w:next w:val="BodyText"/>
    <w:link w:val="Heading8Char"/>
    <w:qFormat/>
    <w:rsid w:val="00CE3386"/>
    <w:pPr>
      <w:numPr>
        <w:ilvl w:val="7"/>
      </w:numPr>
      <w:outlineLvl w:val="7"/>
    </w:pPr>
  </w:style>
  <w:style w:type="paragraph" w:styleId="Heading9">
    <w:name w:val="heading 9"/>
    <w:basedOn w:val="Heading4"/>
    <w:next w:val="BodyText"/>
    <w:link w:val="Heading9Char"/>
    <w:qFormat/>
    <w:rsid w:val="00F47B3A"/>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1"/>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497862"/>
    <w:pPr>
      <w:numPr>
        <w:numId w:val="12"/>
      </w:numPr>
      <w:spacing w:before="70"/>
    </w:pPr>
  </w:style>
  <w:style w:type="paragraph" w:styleId="ListBullet">
    <w:name w:val="List Bullet"/>
    <w:basedOn w:val="BodyText"/>
    <w:link w:val="ListBulletChar"/>
    <w:uiPriority w:val="2"/>
    <w:qFormat/>
    <w:rsid w:val="00B974A4"/>
    <w:pPr>
      <w:numPr>
        <w:numId w:val="11"/>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basedOn w:val="Normal"/>
    <w:link w:val="BodyTextChar"/>
    <w:uiPriority w:val="2"/>
    <w:qFormat/>
    <w:rsid w:val="007438FF"/>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2"/>
      </w:numPr>
      <w:spacing w:before="40"/>
    </w:pPr>
  </w:style>
  <w:style w:type="character" w:customStyle="1" w:styleId="BodyTextChar">
    <w:name w:val="Body Text Char"/>
    <w:link w:val="BodyText"/>
    <w:uiPriority w:val="2"/>
    <w:rsid w:val="007438FF"/>
    <w:rPr>
      <w:rFonts w:asciiTheme="minorHAnsi" w:eastAsia="Times New Roman" w:hAnsiTheme="minorHAnsi"/>
    </w:rPr>
  </w:style>
  <w:style w:type="paragraph" w:styleId="Caption">
    <w:name w:val="caption"/>
    <w:basedOn w:val="BodyText"/>
    <w:next w:val="Subtitlebox"/>
    <w:link w:val="CaptionChar"/>
    <w:uiPriority w:val="99"/>
    <w:unhideWhenUsed/>
    <w:qFormat/>
    <w:rsid w:val="008A036A"/>
    <w:pPr>
      <w:keepNext/>
      <w:numPr>
        <w:numId w:val="7"/>
      </w:numPr>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rsid w:val="00F87657"/>
    <w:pPr>
      <w:spacing w:before="0"/>
    </w:pPr>
    <w:rPr>
      <w:rFonts w:ascii="Franklin Gothic Medium" w:hAnsi="Franklin Gothic Medium"/>
    </w:rPr>
  </w:style>
  <w:style w:type="character" w:customStyle="1" w:styleId="ChartTextChar">
    <w:name w:val="Chart Text Char"/>
    <w:link w:val="ChartText"/>
    <w:rsid w:val="00F87657"/>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89278E"/>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24ED"/>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8F6EF9"/>
    <w:pPr>
      <w:spacing w:before="280" w:line="320" w:lineRule="atLeast"/>
    </w:pPr>
    <w:rPr>
      <w:sz w:val="25"/>
      <w:szCs w:val="28"/>
    </w:rPr>
  </w:style>
  <w:style w:type="character" w:customStyle="1" w:styleId="SubtitleChar">
    <w:name w:val="Subtitle Char"/>
    <w:basedOn w:val="DefaultParagraphFont"/>
    <w:link w:val="Subtitle"/>
    <w:uiPriority w:val="30"/>
    <w:rsid w:val="001624ED"/>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222BF5"/>
    <w:pPr>
      <w:pBdr>
        <w:bottom w:val="single" w:sz="4" w:space="1" w:color="F61D12" w:themeColor="accent2"/>
      </w:pBdr>
      <w:tabs>
        <w:tab w:val="left" w:pos="-567"/>
        <w:tab w:val="left" w:pos="0"/>
        <w:tab w:val="right" w:pos="7938"/>
        <w:tab w:val="right" w:pos="8505"/>
      </w:tabs>
      <w:spacing w:before="480" w:line="240" w:lineRule="atLeast"/>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1624ED"/>
    <w:rPr>
      <w:rFonts w:ascii="Franklin Gothic Medium" w:eastAsia="Times New Roman" w:hAnsi="Franklin Gothic Medium"/>
      <w:sz w:val="14"/>
      <w:szCs w:val="14"/>
    </w:rPr>
  </w:style>
  <w:style w:type="character" w:customStyle="1" w:styleId="Heading1Char">
    <w:name w:val="Heading 1 Char"/>
    <w:basedOn w:val="DefaultParagraphFont"/>
    <w:link w:val="Heading1"/>
    <w:rsid w:val="00F474C1"/>
    <w:rPr>
      <w:rFonts w:asciiTheme="majorHAnsi" w:eastAsia="Times New Roman" w:hAnsiTheme="majorHAnsi"/>
      <w:i/>
      <w:kern w:val="28"/>
      <w:sz w:val="36"/>
      <w:szCs w:val="32"/>
    </w:rPr>
  </w:style>
  <w:style w:type="character" w:customStyle="1" w:styleId="Heading2Char">
    <w:name w:val="Heading 2 Char"/>
    <w:basedOn w:val="DefaultParagraphFont"/>
    <w:link w:val="Heading2"/>
    <w:rsid w:val="00814B8B"/>
    <w:rPr>
      <w:rFonts w:asciiTheme="majorHAnsi" w:eastAsia="Times New Roman" w:hAnsiTheme="majorHAnsi"/>
      <w:b/>
      <w:i/>
      <w:color w:val="F61D12" w:themeColor="accent2"/>
      <w:kern w:val="28"/>
      <w:sz w:val="30"/>
      <w:szCs w:val="26"/>
    </w:rPr>
  </w:style>
  <w:style w:type="paragraph" w:styleId="ListBullet2">
    <w:name w:val="List Bullet 2"/>
    <w:basedOn w:val="ListBullet"/>
    <w:uiPriority w:val="2"/>
    <w:rsid w:val="004C31EE"/>
    <w:pPr>
      <w:numPr>
        <w:ilvl w:val="1"/>
      </w:numPr>
      <w:spacing w:before="40"/>
      <w:ind w:left="568" w:hanging="284"/>
    </w:pPr>
  </w:style>
  <w:style w:type="character" w:customStyle="1" w:styleId="Heading3Char">
    <w:name w:val="Heading 3 Char"/>
    <w:basedOn w:val="DefaultParagraphFont"/>
    <w:link w:val="Heading3"/>
    <w:rsid w:val="002F2DAD"/>
    <w:rPr>
      <w:rFonts w:eastAsia="Times New Roman"/>
      <w:b/>
      <w:i/>
      <w:kern w:val="28"/>
      <w:sz w:val="25"/>
      <w:szCs w:val="22"/>
    </w:rPr>
  </w:style>
  <w:style w:type="character" w:customStyle="1" w:styleId="Heading4Char">
    <w:name w:val="Heading 4 Char"/>
    <w:basedOn w:val="DefaultParagraphFont"/>
    <w:link w:val="Heading4"/>
    <w:rsid w:val="00FC141A"/>
    <w:rPr>
      <w:rFonts w:eastAsia="Times New Roman"/>
      <w:b/>
      <w:i/>
      <w:color w:val="6F6652" w:themeColor="text2"/>
      <w:kern w:val="28"/>
      <w:szCs w:val="22"/>
    </w:rPr>
  </w:style>
  <w:style w:type="character" w:customStyle="1" w:styleId="Heading5Char">
    <w:name w:val="Heading 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basedOn w:val="DefaultParagraphFont"/>
    <w:link w:val="Heading6"/>
    <w:rsid w:val="000E5731"/>
    <w:rPr>
      <w:rFonts w:asciiTheme="majorHAnsi" w:eastAsia="Times New Roman" w:hAnsiTheme="majorHAnsi"/>
      <w:bCs/>
      <w:i/>
      <w:kern w:val="28"/>
      <w:sz w:val="36"/>
      <w:szCs w:val="32"/>
    </w:rPr>
  </w:style>
  <w:style w:type="character" w:customStyle="1" w:styleId="Heading7Char">
    <w:name w:val="Heading 7 Char"/>
    <w:basedOn w:val="DefaultParagraphFont"/>
    <w:link w:val="Heading7"/>
    <w:uiPriority w:val="99"/>
    <w:rsid w:val="00395D18"/>
    <w:rPr>
      <w:rFonts w:eastAsia="Times New Roman"/>
      <w:b/>
      <w:i/>
      <w:kern w:val="28"/>
      <w:sz w:val="30"/>
      <w:szCs w:val="26"/>
    </w:rPr>
  </w:style>
  <w:style w:type="character" w:customStyle="1" w:styleId="Heading8Char">
    <w:name w:val="Heading 8 Char"/>
    <w:basedOn w:val="DefaultParagraphFont"/>
    <w:link w:val="Heading8"/>
    <w:uiPriority w:val="99"/>
    <w:rsid w:val="00CE3386"/>
    <w:rPr>
      <w:rFonts w:eastAsia="Times New Roman"/>
      <w:b/>
      <w:i/>
      <w:kern w:val="28"/>
      <w:sz w:val="25"/>
      <w:szCs w:val="22"/>
    </w:rPr>
  </w:style>
  <w:style w:type="character" w:customStyle="1" w:styleId="Heading9Char">
    <w:name w:val="Heading 9 Char"/>
    <w:basedOn w:val="DefaultParagraphFont"/>
    <w:link w:val="Heading9"/>
    <w:uiPriority w:val="99"/>
    <w:rsid w:val="00F47B3A"/>
    <w:rPr>
      <w:rFonts w:eastAsia="Times New Roman"/>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B27E6E"/>
    <w:pPr>
      <w:spacing w:before="70" w:line="260" w:lineRule="atLeast"/>
      <w:ind w:left="284"/>
    </w:pPr>
    <w:rPr>
      <w:sz w:val="19"/>
      <w:szCs w:val="20"/>
    </w:rPr>
  </w:style>
  <w:style w:type="character" w:customStyle="1" w:styleId="QuoteChar">
    <w:name w:val="Quote Char"/>
    <w:basedOn w:val="DefaultParagraphFont"/>
    <w:link w:val="Quote"/>
    <w:uiPriority w:val="3"/>
    <w:rsid w:val="00B27E6E"/>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10"/>
      </w:numPr>
      <w:spacing w:before="80"/>
    </w:pPr>
    <w:rPr>
      <w:rFonts w:ascii="Franklin Gothic Book" w:eastAsia="MS Mincho" w:hAnsi="Franklin Gothic Book" w:cs="MS Mincho"/>
    </w:rPr>
  </w:style>
  <w:style w:type="paragraph" w:customStyle="1" w:styleId="Reference">
    <w:name w:val="Reference"/>
    <w:basedOn w:val="BodyText"/>
    <w:uiPriority w:val="3"/>
    <w:qFormat/>
    <w:rsid w:val="00B27E6E"/>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9"/>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basedOn w:val="TableNormal"/>
    <w:uiPriority w:val="59"/>
    <w:rsid w:val="00C93691"/>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DD7B16"/>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uiPriority w:val="99"/>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uiPriority w:val="99"/>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3"/>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E6555A"/>
    <w:pPr>
      <w:pBdr>
        <w:top w:val="single" w:sz="4" w:space="4" w:color="9B917E" w:themeColor="accent4"/>
        <w:bottom w:val="single" w:sz="4" w:space="6" w:color="9B917E" w:themeColor="accent4"/>
      </w:pBdr>
      <w:spacing w:after="180"/>
    </w:pPr>
    <w:rPr>
      <w:rFonts w:asciiTheme="minorHAnsi" w:hAnsiTheme="minorHAnsi"/>
      <w:b/>
      <w:i/>
      <w:color w:val="F61D12" w:themeColor="accent2"/>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2"/>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link w:val="ListBullet"/>
    <w:uiPriority w:val="2"/>
    <w:locked/>
    <w:rsid w:val="00B974A4"/>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5B435E"/>
    <w:pPr>
      <w:ind w:left="720"/>
      <w:contextualSpacing/>
    </w:pPr>
  </w:style>
  <w:style w:type="character" w:customStyle="1" w:styleId="CaptionChar">
    <w:name w:val="Caption Char"/>
    <w:basedOn w:val="BodyTextChar"/>
    <w:link w:val="Caption"/>
    <w:uiPriority w:val="99"/>
    <w:rsid w:val="001E3D69"/>
    <w:rPr>
      <w:rFonts w:ascii="Franklin Gothic Demi" w:eastAsia="Times New Roman" w:hAnsi="Franklin Gothic Demi"/>
      <w:szCs w:val="20"/>
    </w:rPr>
  </w:style>
  <w:style w:type="paragraph" w:customStyle="1" w:styleId="Summary2">
    <w:name w:val="Summary 2"/>
    <w:basedOn w:val="Heading2"/>
    <w:next w:val="BodyText"/>
    <w:uiPriority w:val="99"/>
    <w:rsid w:val="006544F3"/>
  </w:style>
  <w:style w:type="paragraph" w:customStyle="1" w:styleId="Summary3">
    <w:name w:val="Summary 3"/>
    <w:basedOn w:val="Heading3"/>
    <w:next w:val="BodyText"/>
    <w:uiPriority w:val="99"/>
    <w:rsid w:val="006544F3"/>
  </w:style>
  <w:style w:type="paragraph" w:customStyle="1" w:styleId="Summary4">
    <w:name w:val="Summary 4"/>
    <w:basedOn w:val="Heading4"/>
    <w:next w:val="BodyText"/>
    <w:uiPriority w:val="99"/>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3"/>
      </w:numPr>
    </w:pPr>
  </w:style>
  <w:style w:type="numbering" w:customStyle="1" w:styleId="NoteListNumber">
    <w:name w:val="NoteListNumber"/>
    <w:uiPriority w:val="99"/>
    <w:rsid w:val="00E864C1"/>
    <w:pPr>
      <w:numPr>
        <w:numId w:val="14"/>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9"/>
      </w:numPr>
    </w:pPr>
    <w:rPr>
      <w:szCs w:val="15"/>
    </w:rPr>
  </w:style>
  <w:style w:type="paragraph" w:customStyle="1" w:styleId="BoxTitle">
    <w:name w:val="Box Title"/>
    <w:basedOn w:val="Normal"/>
    <w:next w:val="Normal"/>
    <w:semiHidden/>
    <w:rsid w:val="000A7AE3"/>
    <w:pPr>
      <w:keepNext/>
      <w:spacing w:before="120" w:line="220" w:lineRule="exact"/>
      <w:ind w:left="454" w:hanging="454"/>
    </w:pPr>
    <w:rPr>
      <w:rFonts w:ascii="Arial" w:eastAsia="SimSun" w:hAnsi="Arial"/>
      <w:sz w:val="20"/>
      <w:szCs w:val="19"/>
      <w:lang w:eastAsia="en-US"/>
    </w:rPr>
  </w:style>
  <w:style w:type="paragraph" w:customStyle="1" w:styleId="ChartTitle">
    <w:name w:val="Chart Title"/>
    <w:basedOn w:val="TableTitle"/>
    <w:next w:val="Chart"/>
    <w:semiHidden/>
    <w:rsid w:val="000A7AE3"/>
  </w:style>
  <w:style w:type="paragraph" w:customStyle="1" w:styleId="TableTitle">
    <w:name w:val="Table Title"/>
    <w:basedOn w:val="BodyText"/>
    <w:next w:val="Normal"/>
    <w:semiHidden/>
    <w:rsid w:val="000A7AE3"/>
    <w:pPr>
      <w:keepNext/>
      <w:spacing w:before="360" w:after="80" w:line="220" w:lineRule="exact"/>
      <w:ind w:left="454" w:hanging="454"/>
    </w:pPr>
    <w:rPr>
      <w:rFonts w:ascii="Arial" w:eastAsia="SimSun" w:hAnsi="Arial"/>
      <w:sz w:val="20"/>
      <w:lang w:eastAsia="en-US"/>
    </w:rPr>
  </w:style>
  <w:style w:type="character" w:customStyle="1" w:styleId="TableTextEntriesChar">
    <w:name w:val="Table Text Entries Char"/>
    <w:link w:val="TableTextEntries"/>
    <w:locked/>
    <w:rsid w:val="000A7AE3"/>
    <w:rPr>
      <w:rFonts w:ascii="Franklin Gothic Book" w:eastAsia="Times New Roman" w:hAnsi="Franklin Gothic Book"/>
      <w:sz w:val="16"/>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030685315">
      <w:bodyDiv w:val="1"/>
      <w:marLeft w:val="0"/>
      <w:marRight w:val="0"/>
      <w:marTop w:val="0"/>
      <w:marBottom w:val="0"/>
      <w:divBdr>
        <w:top w:val="none" w:sz="0" w:space="0" w:color="auto"/>
        <w:left w:val="none" w:sz="0" w:space="0" w:color="auto"/>
        <w:bottom w:val="none" w:sz="0" w:space="0" w:color="auto"/>
        <w:right w:val="none" w:sz="0" w:space="0" w:color="auto"/>
      </w:divBdr>
    </w:div>
    <w:div w:id="1184905086">
      <w:bodyDiv w:val="1"/>
      <w:marLeft w:val="0"/>
      <w:marRight w:val="0"/>
      <w:marTop w:val="0"/>
      <w:marBottom w:val="0"/>
      <w:divBdr>
        <w:top w:val="none" w:sz="0" w:space="0" w:color="auto"/>
        <w:left w:val="none" w:sz="0" w:space="0" w:color="auto"/>
        <w:bottom w:val="none" w:sz="0" w:space="0" w:color="auto"/>
        <w:right w:val="none" w:sz="0" w:space="0" w:color="auto"/>
      </w:divBdr>
    </w:div>
    <w:div w:id="1256405288">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 w:id="209204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footer" Target="footer13.xml"/><Relationship Id="rId21" Type="http://schemas.openxmlformats.org/officeDocument/2006/relationships/footer" Target="footer5.xml"/><Relationship Id="rId42" Type="http://schemas.openxmlformats.org/officeDocument/2006/relationships/image" Target="media/image22.emf"/><Relationship Id="rId47" Type="http://schemas.openxmlformats.org/officeDocument/2006/relationships/image" Target="media/image23.png"/><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80.emf"/><Relationship Id="rId16" Type="http://schemas.openxmlformats.org/officeDocument/2006/relationships/header" Target="header3.xml"/><Relationship Id="rId107" Type="http://schemas.openxmlformats.org/officeDocument/2006/relationships/image" Target="media/image75.emf"/><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header" Target="header11.xml"/><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image" Target="media/image50.emf"/><Relationship Id="rId90" Type="http://schemas.openxmlformats.org/officeDocument/2006/relationships/image" Target="media/image58.emf"/><Relationship Id="rId95" Type="http://schemas.openxmlformats.org/officeDocument/2006/relationships/image" Target="media/image63.emf"/><Relationship Id="rId19" Type="http://schemas.openxmlformats.org/officeDocument/2006/relationships/header" Target="header5.xml"/><Relationship Id="rId14" Type="http://schemas.openxmlformats.org/officeDocument/2006/relationships/hyperlink" Target="mailto:ciesyd@TheCIE.com.au"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13" Type="http://schemas.openxmlformats.org/officeDocument/2006/relationships/image" Target="media/image81.emf"/><Relationship Id="rId11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40.emf"/><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oter" Target="footer7.xml"/><Relationship Id="rId59" Type="http://schemas.openxmlformats.org/officeDocument/2006/relationships/image" Target="media/image27.emf"/><Relationship Id="rId67" Type="http://schemas.openxmlformats.org/officeDocument/2006/relationships/image" Target="media/image35.emf"/><Relationship Id="rId103" Type="http://schemas.openxmlformats.org/officeDocument/2006/relationships/image" Target="media/image71.emf"/><Relationship Id="rId108" Type="http://schemas.openxmlformats.org/officeDocument/2006/relationships/image" Target="media/image76.emf"/><Relationship Id="rId116" Type="http://schemas.openxmlformats.org/officeDocument/2006/relationships/footer" Target="footer12.xml"/><Relationship Id="rId124"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1.emf"/><Relationship Id="rId54" Type="http://schemas.openxmlformats.org/officeDocument/2006/relationships/footer" Target="footer10.xml"/><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4.emf"/><Relationship Id="rId11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CIE.com.au"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eader" Target="header9.xml"/><Relationship Id="rId57" Type="http://schemas.openxmlformats.org/officeDocument/2006/relationships/image" Target="media/image25.emf"/><Relationship Id="rId106" Type="http://schemas.openxmlformats.org/officeDocument/2006/relationships/image" Target="media/image74.emf"/><Relationship Id="rId114" Type="http://schemas.openxmlformats.org/officeDocument/2006/relationships/header" Target="header12.xml"/><Relationship Id="rId119"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9.emf"/><Relationship Id="rId109" Type="http://schemas.openxmlformats.org/officeDocument/2006/relationships/image" Target="media/image77.emf"/><Relationship Id="rId34" Type="http://schemas.openxmlformats.org/officeDocument/2006/relationships/image" Target="media/image14.emf"/><Relationship Id="rId50" Type="http://schemas.openxmlformats.org/officeDocument/2006/relationships/footer" Target="footer8.xml"/><Relationship Id="rId55" Type="http://schemas.openxmlformats.org/officeDocument/2006/relationships/footer" Target="footer11.xml"/><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footer" Target="footer6.xml"/><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data.daff.gov.au/data/warehouse/agcomd9abcc004/agcomd9abcc004201303/AgCommodities2013.No1_Ver1.0.0.pdf" TargetMode="External"/><Relationship Id="rId7" Type="http://schemas.openxmlformats.org/officeDocument/2006/relationships/hyperlink" Target="http://www.nrm.qld.gov.au/vegetation/vegetation-management.html" TargetMode="External"/><Relationship Id="rId2" Type="http://schemas.openxmlformats.org/officeDocument/2006/relationships/hyperlink" Target="http://data.daff.gov.au/data/warehouse/agcomd9abcc004/agcomd9abcc004201306/AgCommodities2013.No2_Ver1.0.0.pdf" TargetMode="External"/><Relationship Id="rId1" Type="http://schemas.openxmlformats.org/officeDocument/2006/relationships/hyperlink" Target="http://www.climatechange.gov.au" TargetMode="External"/><Relationship Id="rId6" Type="http://schemas.openxmlformats.org/officeDocument/2006/relationships/hyperlink" Target="http://data.daff.gov.au/data/warehouse/agcomd9abcc004/agcomd9abcc004201306/AgCommodities2013.No2_Ver1.0.0.pdf" TargetMode="External"/><Relationship Id="rId5" Type="http://schemas.openxmlformats.org/officeDocument/2006/relationships/hyperlink" Target="http://www.sheepcrc.org.au/information/publications/australias-declining-sheep-flock.php" TargetMode="External"/><Relationship Id="rId4" Type="http://schemas.openxmlformats.org/officeDocument/2006/relationships/hyperlink" Target="http://www.sheepcrc.org.au/information/publications/australias-declining-sheep-flock.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Office%202010%20Templates\CIE%20report.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B0D2E86-39A2-45D9-AA19-69631FF7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CIE report</Template>
  <TotalTime>1565</TotalTime>
  <Pages>66</Pages>
  <Words>15865</Words>
  <Characters>90433</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106086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27</cp:revision>
  <cp:lastPrinted>2013-10-03T04:41:00Z</cp:lastPrinted>
  <dcterms:created xsi:type="dcterms:W3CDTF">2013-10-01T04:29:00Z</dcterms:created>
  <dcterms:modified xsi:type="dcterms:W3CDTF">2013-10-03T04:56:00Z</dcterms:modified>
</cp:coreProperties>
</file>