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826" w:rsidRPr="00EF51BF" w:rsidRDefault="00BF2826" w:rsidP="00430244"/>
    <w:p w:rsidR="00E5427E" w:rsidRPr="00EF51BF" w:rsidRDefault="00E5427E" w:rsidP="00430244"/>
    <w:p w:rsidR="00E5427E" w:rsidRPr="00EF51BF" w:rsidRDefault="00E5427E" w:rsidP="00430244"/>
    <w:p w:rsidR="00D6349F" w:rsidRPr="00EF51BF" w:rsidRDefault="00D6349F" w:rsidP="00D6349F">
      <w:pPr>
        <w:pStyle w:val="Title"/>
        <w:rPr>
          <w:szCs w:val="60"/>
        </w:rPr>
      </w:pPr>
      <w:r>
        <w:rPr>
          <w:szCs w:val="60"/>
        </w:rPr>
        <w:t>Analysis of electricity consumption, electricity generation emissions intensity and economy-wide emissions</w:t>
      </w:r>
    </w:p>
    <w:p w:rsidR="00E5427E" w:rsidRPr="00EF51BF" w:rsidRDefault="00E5427E" w:rsidP="00270306">
      <w:pPr>
        <w:pStyle w:val="Client"/>
      </w:pPr>
      <w:r w:rsidRPr="00EF51BF">
        <w:t xml:space="preserve">Report prepared for </w:t>
      </w:r>
      <w:r w:rsidR="00D6349F">
        <w:t>the Climate Change Authority</w:t>
      </w:r>
    </w:p>
    <w:p w:rsidR="00E5427E" w:rsidRPr="00EF51BF" w:rsidRDefault="00D6349F" w:rsidP="00DA0B74">
      <w:pPr>
        <w:pStyle w:val="Version"/>
      </w:pPr>
      <w:r>
        <w:t>Final Report</w:t>
      </w:r>
    </w:p>
    <w:p w:rsidR="00E5427E" w:rsidRPr="00EF51BF" w:rsidRDefault="00BB560F" w:rsidP="00DA0B74">
      <w:pPr>
        <w:pStyle w:val="Date"/>
      </w:pPr>
      <w:r>
        <w:t xml:space="preserve">October </w:t>
      </w:r>
      <w:r w:rsidR="00B470CE">
        <w:t>2013</w:t>
      </w:r>
    </w:p>
    <w:p w:rsidR="00CF182B" w:rsidRPr="00EF51BF" w:rsidRDefault="00270306" w:rsidP="00944452">
      <w:pPr>
        <w:pStyle w:val="Acknowledgements"/>
      </w:pPr>
      <w:r w:rsidRPr="00EF51BF">
        <w:rPr>
          <w:noProof/>
          <w:lang w:eastAsia="en-GB"/>
        </w:rPr>
        <w:drawing>
          <wp:anchor distT="0" distB="0" distL="114300" distR="114300" simplePos="0" relativeHeight="251662336" behindDoc="1" locked="1" layoutInCell="0" allowOverlap="1">
            <wp:simplePos x="0" y="0"/>
            <wp:positionH relativeFrom="page">
              <wp:posOffset>637615</wp:posOffset>
            </wp:positionH>
            <wp:positionV relativeFrom="page">
              <wp:posOffset>5904865</wp:posOffset>
            </wp:positionV>
            <wp:extent cx="6422091" cy="4383741"/>
            <wp:effectExtent l="19050" t="0" r="0" b="0"/>
            <wp:wrapNone/>
            <wp:docPr id="1" name="Picture 14" descr="cover_image-g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mage-greens.jpg"/>
                    <pic:cNvPicPr/>
                  </pic:nvPicPr>
                  <pic:blipFill>
                    <a:blip r:embed="rId9" cstate="print"/>
                    <a:stretch>
                      <a:fillRect/>
                    </a:stretch>
                  </pic:blipFill>
                  <pic:spPr>
                    <a:xfrm>
                      <a:off x="0" y="0"/>
                      <a:ext cx="6420485" cy="4387215"/>
                    </a:xfrm>
                    <a:prstGeom prst="rect">
                      <a:avLst/>
                    </a:prstGeom>
                  </pic:spPr>
                </pic:pic>
              </a:graphicData>
            </a:graphic>
          </wp:anchor>
        </w:drawing>
      </w:r>
      <w:r w:rsidR="00944452" w:rsidRPr="00EF51BF">
        <w:br w:type="page"/>
      </w:r>
      <w:bookmarkStart w:id="0" w:name="_Toc286819927"/>
      <w:r w:rsidR="00CF182B" w:rsidRPr="00EF51BF">
        <w:lastRenderedPageBreak/>
        <w:t>Acknowledgements</w:t>
      </w:r>
      <w:bookmarkEnd w:id="0"/>
    </w:p>
    <w:p w:rsidR="00916E19" w:rsidRDefault="00916E19" w:rsidP="00916E19">
      <w:r>
        <w:t>Vivid Economics has greatly benefited from the expertise and timely input of the staff of the Climate Change Authority and a Reference Panel which advised on this project.</w:t>
      </w:r>
    </w:p>
    <w:p w:rsidR="00916E19" w:rsidRDefault="00916E19" w:rsidP="00916E19"/>
    <w:p w:rsidR="00270306" w:rsidRPr="00EF51BF" w:rsidRDefault="00916E19" w:rsidP="000B48F1">
      <w:r>
        <w:t>Vivid Economics is grateful to two peer reviewers whose comments and suggestions were most helpful throughout the project</w:t>
      </w:r>
      <w:r w:rsidR="000E116F">
        <w:t>.</w:t>
      </w:r>
    </w:p>
    <w:p w:rsidR="00CF182B" w:rsidRPr="00F400A2" w:rsidRDefault="00CF182B" w:rsidP="001A528F">
      <w:pPr>
        <w:framePr w:w="9452" w:hSpace="181" w:wrap="around" w:vAnchor="page" w:hAnchor="page" w:x="1169" w:y="12226" w:anchorLock="1"/>
        <w:widowControl w:val="0"/>
        <w:adjustRightInd w:val="0"/>
        <w:spacing w:after="320" w:line="360" w:lineRule="atLeast"/>
        <w:jc w:val="both"/>
        <w:textAlignment w:val="baseline"/>
        <w:rPr>
          <w:rFonts w:eastAsia="Times New Roman" w:cs="Times New Roman"/>
        </w:rPr>
      </w:pPr>
      <w:r w:rsidRPr="00F400A2">
        <w:rPr>
          <w:rFonts w:eastAsia="Times New Roman" w:cs="Times New Roman"/>
        </w:rPr>
        <w:t>An appropriate citation for this report is:</w:t>
      </w:r>
    </w:p>
    <w:p w:rsidR="00CF182B" w:rsidRPr="00AD7260" w:rsidRDefault="00CF182B" w:rsidP="001A528F">
      <w:pPr>
        <w:framePr w:w="9452" w:hSpace="181" w:wrap="around" w:vAnchor="page" w:hAnchor="page" w:x="1169" w:y="12226" w:anchorLock="1"/>
        <w:widowControl w:val="0"/>
        <w:adjustRightInd w:val="0"/>
        <w:spacing w:after="320" w:line="360" w:lineRule="atLeast"/>
        <w:jc w:val="both"/>
        <w:textAlignment w:val="baseline"/>
        <w:rPr>
          <w:rFonts w:cs="Times New Roman"/>
          <w:i/>
        </w:rPr>
      </w:pPr>
      <w:r w:rsidRPr="00F400A2">
        <w:rPr>
          <w:rFonts w:eastAsia="Times New Roman" w:cs="Times New Roman"/>
        </w:rPr>
        <w:t xml:space="preserve">Vivid Economics, </w:t>
      </w:r>
      <w:r w:rsidR="00AD7260" w:rsidRPr="00AD7260">
        <w:rPr>
          <w:rFonts w:cs="Times New Roman"/>
          <w:i/>
        </w:rPr>
        <w:t xml:space="preserve">Analysis of electricity consumption, electricity </w:t>
      </w:r>
      <w:r w:rsidR="00F01B0D">
        <w:rPr>
          <w:rFonts w:cs="Times New Roman"/>
          <w:i/>
        </w:rPr>
        <w:t>generation</w:t>
      </w:r>
      <w:r w:rsidR="00AD7260" w:rsidRPr="00AD7260">
        <w:rPr>
          <w:rFonts w:cs="Times New Roman"/>
          <w:i/>
        </w:rPr>
        <w:t xml:space="preserve"> emissions intensity and economy-wide emissions</w:t>
      </w:r>
      <w:r w:rsidRPr="00F400A2">
        <w:rPr>
          <w:rFonts w:eastAsia="Times New Roman" w:cs="Times New Roman"/>
        </w:rPr>
        <w:t>, report prepared for</w:t>
      </w:r>
      <w:r w:rsidR="00AD7260" w:rsidRPr="00AD7260">
        <w:t xml:space="preserve"> </w:t>
      </w:r>
      <w:r w:rsidR="00AD7260" w:rsidRPr="00AD7260">
        <w:rPr>
          <w:rFonts w:eastAsia="Times New Roman" w:cs="Times New Roman"/>
        </w:rPr>
        <w:t>the Climate Change Authority</w:t>
      </w:r>
      <w:r w:rsidRPr="00F400A2">
        <w:rPr>
          <w:rFonts w:eastAsia="Times New Roman" w:cs="Times New Roman"/>
        </w:rPr>
        <w:t xml:space="preserve">, </w:t>
      </w:r>
      <w:r w:rsidR="00BB560F">
        <w:rPr>
          <w:rFonts w:cs="Times New Roman"/>
        </w:rPr>
        <w:t>October</w:t>
      </w:r>
      <w:r w:rsidR="00AD7260">
        <w:rPr>
          <w:rFonts w:cs="Times New Roman"/>
        </w:rPr>
        <w:t xml:space="preserve"> 2013</w:t>
      </w:r>
    </w:p>
    <w:p w:rsidR="00235E9B" w:rsidRPr="00EF51BF" w:rsidRDefault="00235E9B" w:rsidP="00AD1A8A">
      <w:pPr>
        <w:pStyle w:val="ExecutiveSummary"/>
      </w:pPr>
      <w:bookmarkStart w:id="1" w:name="_Toc286819928"/>
      <w:bookmarkStart w:id="2" w:name="_Toc369890500"/>
      <w:r w:rsidRPr="00EF51BF">
        <w:lastRenderedPageBreak/>
        <w:t>Executive Summary</w:t>
      </w:r>
      <w:bookmarkEnd w:id="1"/>
      <w:bookmarkEnd w:id="2"/>
      <w:r w:rsidRPr="00EF51BF">
        <w:t xml:space="preserve"> </w:t>
      </w:r>
    </w:p>
    <w:p w:rsidR="003D34D8" w:rsidRPr="002622D2" w:rsidRDefault="003D34D8" w:rsidP="003D34D8">
      <w:pPr>
        <w:pStyle w:val="Subheading"/>
      </w:pPr>
      <w:r w:rsidRPr="002622D2">
        <w:t>This rep</w:t>
      </w:r>
      <w:r>
        <w:t xml:space="preserve">ort explains </w:t>
      </w:r>
      <w:r w:rsidRPr="002622D2">
        <w:t xml:space="preserve">changes in electricity </w:t>
      </w:r>
      <w:r>
        <w:t>consumption</w:t>
      </w:r>
      <w:r w:rsidRPr="002622D2">
        <w:t xml:space="preserve">, emissions intensity of electricity supply and </w:t>
      </w:r>
      <w:r>
        <w:t>economy-wide</w:t>
      </w:r>
      <w:r w:rsidRPr="002622D2">
        <w:t xml:space="preserve"> emissions</w:t>
      </w:r>
      <w:r>
        <w:t>,</w:t>
      </w:r>
      <w:r w:rsidRPr="002622D2">
        <w:t xml:space="preserve"> since 2000</w:t>
      </w:r>
      <w:r>
        <w:t xml:space="preserve"> and </w:t>
      </w:r>
      <w:r w:rsidR="00916E19">
        <w:t xml:space="preserve">since </w:t>
      </w:r>
      <w:r>
        <w:t>200</w:t>
      </w:r>
      <w:r w:rsidR="00916E19">
        <w:t xml:space="preserve">8, and identifies </w:t>
      </w:r>
      <w:r w:rsidR="00171B6C">
        <w:t xml:space="preserve">and quantifies </w:t>
      </w:r>
      <w:r w:rsidR="00916E19">
        <w:t>their drivers</w:t>
      </w:r>
    </w:p>
    <w:p w:rsidR="00091B59" w:rsidRDefault="00091B59" w:rsidP="00091B59">
      <w:r>
        <w:t>Trends in e</w:t>
      </w:r>
      <w:r w:rsidRPr="002622D2">
        <w:t xml:space="preserve">lectricity consumption, emissions intensity of electricity supply and </w:t>
      </w:r>
      <w:r>
        <w:t>economy-wide</w:t>
      </w:r>
      <w:r w:rsidRPr="002622D2">
        <w:t xml:space="preserve"> emissions have changed </w:t>
      </w:r>
      <w:r w:rsidR="00F0711D">
        <w:t xml:space="preserve">significantly </w:t>
      </w:r>
      <w:r w:rsidRPr="002622D2">
        <w:t>in recent years.</w:t>
      </w:r>
      <w:r>
        <w:t xml:space="preserve"> Since 2008, e</w:t>
      </w:r>
      <w:r w:rsidRPr="002622D2">
        <w:t xml:space="preserve">lectricity consumption in the National Electricity Market has </w:t>
      </w:r>
      <w:r w:rsidR="00916E19">
        <w:t>slowed</w:t>
      </w:r>
      <w:r w:rsidR="0020235C">
        <w:t xml:space="preserve">; </w:t>
      </w:r>
      <w:r>
        <w:t>e</w:t>
      </w:r>
      <w:r w:rsidRPr="002622D2">
        <w:t xml:space="preserve">lectricity generation emissions intensity has declined </w:t>
      </w:r>
      <w:r>
        <w:t>after having been fairly stable</w:t>
      </w:r>
      <w:r w:rsidR="0020235C">
        <w:t xml:space="preserve">; </w:t>
      </w:r>
      <w:r w:rsidRPr="002622D2">
        <w:t xml:space="preserve">and </w:t>
      </w:r>
      <w:r>
        <w:t>economy-wide</w:t>
      </w:r>
      <w:r w:rsidRPr="002622D2">
        <w:t xml:space="preserve"> emissions have fallen rapidly</w:t>
      </w:r>
      <w:r>
        <w:t xml:space="preserve"> (including land use and land</w:t>
      </w:r>
      <w:r w:rsidR="0020235C">
        <w:t>-</w:t>
      </w:r>
      <w:r>
        <w:t>use change)</w:t>
      </w:r>
      <w:r w:rsidRPr="002622D2">
        <w:t>.</w:t>
      </w:r>
    </w:p>
    <w:p w:rsidR="00091B59" w:rsidRPr="002622D2" w:rsidRDefault="00091B59" w:rsidP="00091B59"/>
    <w:p w:rsidR="00091B59" w:rsidRPr="002622D2" w:rsidRDefault="00091B59" w:rsidP="00091B59">
      <w:pPr>
        <w:pStyle w:val="Appendixheading"/>
      </w:pPr>
      <w:r w:rsidRPr="002622D2">
        <w:t>Electricity consumption</w:t>
      </w:r>
    </w:p>
    <w:p w:rsidR="002F2DCB" w:rsidRDefault="00091B59" w:rsidP="00091B59">
      <w:r w:rsidRPr="002622D2">
        <w:t>Growth in electricity consumption in Australia slowed after 20</w:t>
      </w:r>
      <w:r w:rsidR="002F2DCB">
        <w:t>0</w:t>
      </w:r>
      <w:r w:rsidRPr="002622D2">
        <w:t>8</w:t>
      </w:r>
      <w:r w:rsidR="00F763AF">
        <w:rPr>
          <w:rStyle w:val="FootnoteReference"/>
        </w:rPr>
        <w:footnoteReference w:id="1"/>
      </w:r>
      <w:r w:rsidRPr="00841CDD">
        <w:t xml:space="preserve"> </w:t>
      </w:r>
      <w:r w:rsidRPr="002622D2">
        <w:t>due to higher electricity prices and lower economic growth. Electricity consumption in Australia grew by a compound a</w:t>
      </w:r>
      <w:r>
        <w:t xml:space="preserve">nnual growth rate (CAGR) of </w:t>
      </w:r>
      <w:r w:rsidR="006054BB">
        <w:t xml:space="preserve">just </w:t>
      </w:r>
      <w:r>
        <w:t>0.2</w:t>
      </w:r>
      <w:r w:rsidRPr="002622D2">
        <w:t xml:space="preserve"> per cent </w:t>
      </w:r>
      <w:r>
        <w:t xml:space="preserve">after </w:t>
      </w:r>
      <w:r w:rsidRPr="002622D2">
        <w:t>2008</w:t>
      </w:r>
      <w:r>
        <w:t>,</w:t>
      </w:r>
      <w:r w:rsidRPr="002622D2">
        <w:t xml:space="preserve"> in contrast to </w:t>
      </w:r>
      <w:r>
        <w:t>1.9</w:t>
      </w:r>
      <w:r w:rsidRPr="002622D2">
        <w:t xml:space="preserve"> per cent between 200</w:t>
      </w:r>
      <w:r w:rsidR="00F01B0D">
        <w:t>0</w:t>
      </w:r>
      <w:r w:rsidRPr="002622D2">
        <w:t xml:space="preserve"> and 20</w:t>
      </w:r>
      <w:r w:rsidR="00F01B0D">
        <w:t>08</w:t>
      </w:r>
      <w:r>
        <w:t xml:space="preserve">. </w:t>
      </w:r>
    </w:p>
    <w:p w:rsidR="002F2DCB" w:rsidRDefault="00327B74" w:rsidP="00B66A11">
      <w:pPr>
        <w:pStyle w:val="Dashedbullets"/>
      </w:pPr>
      <w:r>
        <w:t>e</w:t>
      </w:r>
      <w:r w:rsidR="00091B59">
        <w:t xml:space="preserve">lectricity prices rose by around 60 per cent between </w:t>
      </w:r>
      <w:r w:rsidR="006C667D">
        <w:t>2008</w:t>
      </w:r>
      <w:r w:rsidR="00091B59">
        <w:t xml:space="preserve"> and </w:t>
      </w:r>
      <w:r w:rsidR="006C667D">
        <w:t>2011</w:t>
      </w:r>
      <w:r w:rsidR="00B66A11">
        <w:t>;</w:t>
      </w:r>
    </w:p>
    <w:p w:rsidR="00091B59" w:rsidRPr="002622D2" w:rsidRDefault="00327B74" w:rsidP="00B66A11">
      <w:pPr>
        <w:pStyle w:val="Dashedbullets"/>
      </w:pPr>
      <w:r>
        <w:t>r</w:t>
      </w:r>
      <w:r w:rsidR="002F2DCB">
        <w:t>eal</w:t>
      </w:r>
      <w:r w:rsidR="00091B59">
        <w:t xml:space="preserve"> GDP growth slowed from 3.4 per cent per year between </w:t>
      </w:r>
      <w:r w:rsidR="0028182D">
        <w:t xml:space="preserve">2000 </w:t>
      </w:r>
      <w:r w:rsidR="00091B59">
        <w:t xml:space="preserve">and </w:t>
      </w:r>
      <w:r w:rsidR="006C667D">
        <w:t>2008</w:t>
      </w:r>
      <w:r w:rsidR="00091B59">
        <w:t xml:space="preserve"> to 2.1 per cent between </w:t>
      </w:r>
      <w:r w:rsidR="006C667D">
        <w:t>2008</w:t>
      </w:r>
      <w:r w:rsidR="00091B59">
        <w:t xml:space="preserve"> and </w:t>
      </w:r>
      <w:r w:rsidR="006C667D">
        <w:t>2011</w:t>
      </w:r>
      <w:r w:rsidR="00091B59" w:rsidRPr="002622D2">
        <w:t>.</w:t>
      </w:r>
      <w:r w:rsidR="002F2DCB">
        <w:t xml:space="preserve"> This was particularly pronounced in emissions-intensive sectors such as manufacturing</w:t>
      </w:r>
      <w:r w:rsidR="00E93B88">
        <w:t xml:space="preserve">, </w:t>
      </w:r>
      <w:r w:rsidR="00B66A11">
        <w:t xml:space="preserve">in </w:t>
      </w:r>
      <w:r w:rsidR="00E93B88">
        <w:t>which electricity consumption fell by a</w:t>
      </w:r>
      <w:r w:rsidR="00982BD1">
        <w:t xml:space="preserve"> </w:t>
      </w:r>
      <w:r w:rsidR="00E93B88" w:rsidRPr="00E52BF1">
        <w:t>CAGR of 4 per cent</w:t>
      </w:r>
      <w:r w:rsidR="00B66A11">
        <w:t xml:space="preserve"> between 2008 and 201</w:t>
      </w:r>
      <w:r w:rsidR="00E93B88">
        <w:t>1</w:t>
      </w:r>
      <w:r w:rsidR="002F2DCB">
        <w:t xml:space="preserve">. </w:t>
      </w:r>
    </w:p>
    <w:p w:rsidR="00091B59" w:rsidRPr="002622D2" w:rsidRDefault="00091B59" w:rsidP="00091B59"/>
    <w:p w:rsidR="004B20E5" w:rsidRDefault="00091B59" w:rsidP="00091B59">
      <w:r w:rsidRPr="002622D2">
        <w:t xml:space="preserve">In </w:t>
      </w:r>
      <w:r>
        <w:t>comparison with</w:t>
      </w:r>
      <w:r w:rsidRPr="002622D2">
        <w:t xml:space="preserve"> the whole of Australia, the </w:t>
      </w:r>
      <w:r w:rsidR="00B66A11">
        <w:t xml:space="preserve">change </w:t>
      </w:r>
      <w:r w:rsidRPr="002622D2">
        <w:t xml:space="preserve">of trend after the global financial crisis broke </w:t>
      </w:r>
      <w:r>
        <w:t xml:space="preserve">out </w:t>
      </w:r>
      <w:r w:rsidRPr="002622D2">
        <w:t xml:space="preserve">was stronger in the </w:t>
      </w:r>
      <w:r>
        <w:t>National Electricity Market (NEM)</w:t>
      </w:r>
      <w:r w:rsidRPr="002622D2">
        <w:t xml:space="preserve">. NEM electricity consumption grew faster in the years leading up to the crisis, at nearly 2 per cent per </w:t>
      </w:r>
      <w:r>
        <w:t>year</w:t>
      </w:r>
      <w:r w:rsidR="00B470CE">
        <w:t>,</w:t>
      </w:r>
      <w:r>
        <w:t xml:space="preserve"> and then declined afterwards, </w:t>
      </w:r>
      <w:r w:rsidRPr="002622D2">
        <w:t>at -0.4</w:t>
      </w:r>
      <w:r>
        <w:t xml:space="preserve"> </w:t>
      </w:r>
      <w:r w:rsidRPr="002622D2">
        <w:t xml:space="preserve">per cent per annum, trimming 1.7 per cent off total </w:t>
      </w:r>
      <w:r>
        <w:t xml:space="preserve">NEM consumption between </w:t>
      </w:r>
      <w:r w:rsidR="006C667D">
        <w:t>2008</w:t>
      </w:r>
      <w:r>
        <w:t xml:space="preserve"> and </w:t>
      </w:r>
      <w:r w:rsidR="006C667D">
        <w:t>2012</w:t>
      </w:r>
      <w:r w:rsidR="006054BB">
        <w:t xml:space="preserve">. </w:t>
      </w:r>
      <w:r w:rsidR="00854F40">
        <w:t xml:space="preserve">This contrasts </w:t>
      </w:r>
      <w:r w:rsidR="00B66A11">
        <w:t xml:space="preserve">with </w:t>
      </w:r>
      <w:r w:rsidR="00854F40">
        <w:t xml:space="preserve">the growth in electricity consumption outside the NEM, specifically in Western Australia (WA) and Northern Territory (NT). </w:t>
      </w:r>
      <w:r w:rsidR="00B66A11">
        <w:t>S</w:t>
      </w:r>
      <w:r w:rsidR="00854F40">
        <w:t>imilar drivers of changes in electricity consumption are at work in WA and NT,</w:t>
      </w:r>
      <w:r w:rsidR="00B66A11">
        <w:t xml:space="preserve"> but</w:t>
      </w:r>
      <w:r w:rsidR="00854F40">
        <w:t xml:space="preserve"> relatively higher growth, in particular in mining, </w:t>
      </w:r>
      <w:r w:rsidR="00B470CE">
        <w:t xml:space="preserve">has </w:t>
      </w:r>
      <w:r w:rsidR="00854F40">
        <w:t>led to increases in electricity consumption since 2008</w:t>
      </w:r>
      <w:r w:rsidR="00B66A11">
        <w:t>. This compares</w:t>
      </w:r>
      <w:r w:rsidR="00854F40">
        <w:t xml:space="preserve"> with </w:t>
      </w:r>
      <w:r w:rsidR="00B66A11">
        <w:t>falling consumption since 2008 in the NEM.</w:t>
      </w:r>
    </w:p>
    <w:p w:rsidR="00854F40" w:rsidRPr="002622D2" w:rsidRDefault="00854F40" w:rsidP="00091B59"/>
    <w:p w:rsidR="00091B59" w:rsidRPr="002622D2" w:rsidRDefault="006054BB" w:rsidP="00091B59">
      <w:r>
        <w:t>The recent change in e</w:t>
      </w:r>
      <w:r w:rsidR="00091B59" w:rsidRPr="002622D2">
        <w:t>lectricity consumption</w:t>
      </w:r>
      <w:r w:rsidR="00091B59">
        <w:t xml:space="preserve"> in the NEM </w:t>
      </w:r>
      <w:r>
        <w:t xml:space="preserve">was </w:t>
      </w:r>
      <w:r w:rsidR="00091B59">
        <w:t xml:space="preserve">driven by </w:t>
      </w:r>
      <w:r w:rsidR="00091B59" w:rsidRPr="002622D2">
        <w:t xml:space="preserve">falling </w:t>
      </w:r>
      <w:r w:rsidR="00091B59">
        <w:t xml:space="preserve">activity </w:t>
      </w:r>
      <w:r w:rsidR="00091B59" w:rsidRPr="002622D2">
        <w:t>in the manufacturing sector</w:t>
      </w:r>
      <w:r w:rsidR="00B470CE">
        <w:t>,</w:t>
      </w:r>
      <w:r w:rsidR="00091B59" w:rsidRPr="002622D2">
        <w:t xml:space="preserve"> </w:t>
      </w:r>
      <w:r>
        <w:t>offset by consumption increases</w:t>
      </w:r>
      <w:r w:rsidR="00091B59" w:rsidRPr="002622D2">
        <w:t xml:space="preserve"> in the residential and commercial and services sectors</w:t>
      </w:r>
      <w:r w:rsidR="00091B59">
        <w:t xml:space="preserve">. </w:t>
      </w:r>
      <w:r w:rsidR="00091B59" w:rsidRPr="002622D2">
        <w:t>The results fo</w:t>
      </w:r>
      <w:r w:rsidR="00091B59">
        <w:t>r the sectors are as follows.</w:t>
      </w:r>
    </w:p>
    <w:p w:rsidR="00091B59" w:rsidRPr="002622D2" w:rsidRDefault="00091B59" w:rsidP="00091B59"/>
    <w:p w:rsidR="00A21507" w:rsidRPr="002622D2" w:rsidRDefault="00A21507" w:rsidP="00F01B0D">
      <w:pPr>
        <w:keepNext/>
        <w:rPr>
          <w:b/>
        </w:rPr>
      </w:pPr>
      <w:r w:rsidRPr="002622D2">
        <w:rPr>
          <w:b/>
        </w:rPr>
        <w:t>Manufacturing</w:t>
      </w:r>
    </w:p>
    <w:p w:rsidR="00A21507" w:rsidRDefault="00A21507" w:rsidP="00A21507">
      <w:r>
        <w:t>Manufacturing</w:t>
      </w:r>
      <w:r w:rsidRPr="00091B59">
        <w:t xml:space="preserve"> </w:t>
      </w:r>
      <w:r>
        <w:t xml:space="preserve">electricity </w:t>
      </w:r>
      <w:r w:rsidRPr="00091B59">
        <w:t>consumption</w:t>
      </w:r>
      <w:r w:rsidR="00CA0E34">
        <w:t xml:space="preserve"> in the NEM</w:t>
      </w:r>
      <w:r w:rsidRPr="00091B59">
        <w:t xml:space="preserve"> </w:t>
      </w:r>
      <w:r>
        <w:t>declined</w:t>
      </w:r>
      <w:r w:rsidRPr="00091B59">
        <w:t xml:space="preserve"> </w:t>
      </w:r>
      <w:r>
        <w:t xml:space="preserve">sharply (by 7.6 per cent from 2008 to 2011) due to slower growth and higher electricity prices: </w:t>
      </w:r>
    </w:p>
    <w:p w:rsidR="00A21507" w:rsidRDefault="00800D41" w:rsidP="00B66A11">
      <w:pPr>
        <w:pStyle w:val="Dashedbullets"/>
      </w:pPr>
      <w:r>
        <w:lastRenderedPageBreak/>
        <w:t>r</w:t>
      </w:r>
      <w:r w:rsidR="00A21507">
        <w:t>educed a</w:t>
      </w:r>
      <w:r w:rsidR="00A21507" w:rsidRPr="00091B59">
        <w:t>ctivity</w:t>
      </w:r>
      <w:r w:rsidR="00101841">
        <w:t xml:space="preserve"> (measured by Gross Value Added)</w:t>
      </w:r>
      <w:r w:rsidR="00A21507" w:rsidRPr="00091B59">
        <w:t xml:space="preserve"> in the manufacturing sector </w:t>
      </w:r>
      <w:r w:rsidR="00A21507">
        <w:t>was a contributory factor</w:t>
      </w:r>
      <w:r w:rsidR="00101841">
        <w:t>, falling</w:t>
      </w:r>
      <w:r w:rsidR="002B429B">
        <w:t xml:space="preserve"> by 6.5 per cent between 2008 and 2012</w:t>
      </w:r>
      <w:r w:rsidR="00B66A11">
        <w:t>;</w:t>
      </w:r>
    </w:p>
    <w:p w:rsidR="00A21507" w:rsidRDefault="00800D41" w:rsidP="00B66A11">
      <w:pPr>
        <w:pStyle w:val="Dashedbullets"/>
      </w:pPr>
      <w:r>
        <w:t>m</w:t>
      </w:r>
      <w:r w:rsidR="00A21507" w:rsidRPr="002622D2">
        <w:t xml:space="preserve">anufacturing has responded more strongly to rising electricity prices than </w:t>
      </w:r>
      <w:r w:rsidR="00A21507" w:rsidRPr="00091B59">
        <w:t xml:space="preserve">residential or </w:t>
      </w:r>
      <w:r w:rsidR="0006077E">
        <w:t>commercial</w:t>
      </w:r>
      <w:r w:rsidR="0006077E" w:rsidRPr="00091B59">
        <w:t xml:space="preserve"> </w:t>
      </w:r>
      <w:r w:rsidR="00A21507" w:rsidRPr="00091B59">
        <w:t xml:space="preserve">and services, </w:t>
      </w:r>
      <w:r w:rsidR="00A21507">
        <w:t xml:space="preserve">identified statistically </w:t>
      </w:r>
      <w:r w:rsidR="00A21507" w:rsidRPr="00091B59">
        <w:t>by a higher electricity price elasticity</w:t>
      </w:r>
      <w:r w:rsidR="00B66A11">
        <w:t>,</w:t>
      </w:r>
      <w:r w:rsidR="002B429B">
        <w:t xml:space="preserve"> of -0.55 compared with -0.42 in </w:t>
      </w:r>
      <w:r w:rsidR="0006077E">
        <w:t xml:space="preserve">commercial </w:t>
      </w:r>
      <w:r w:rsidR="002B429B">
        <w:t>and services</w:t>
      </w:r>
      <w:r w:rsidR="00101841">
        <w:t xml:space="preserve"> </w:t>
      </w:r>
      <w:r w:rsidR="00F01B0D">
        <w:t>and a low elasticity of -0.14 for residential.</w:t>
      </w:r>
    </w:p>
    <w:p w:rsidR="00A21507" w:rsidRDefault="00A21507" w:rsidP="00A21507"/>
    <w:p w:rsidR="00A21507" w:rsidRPr="002622D2" w:rsidRDefault="00A21507" w:rsidP="00A21507">
      <w:r>
        <w:t>Trends in manufacturing electricity consumption continue to be influenced by the activity of electro-intensive industries and the degree of restructuring away from manufacturing towards services</w:t>
      </w:r>
      <w:r w:rsidR="00B66A11">
        <w:t>.</w:t>
      </w:r>
    </w:p>
    <w:p w:rsidR="00F01B0D" w:rsidRDefault="00F01B0D" w:rsidP="00F01B0D">
      <w:pPr>
        <w:rPr>
          <w:b/>
        </w:rPr>
      </w:pPr>
    </w:p>
    <w:p w:rsidR="00F01B0D" w:rsidRPr="002622D2" w:rsidRDefault="00F01B0D" w:rsidP="00F01B0D">
      <w:pPr>
        <w:rPr>
          <w:b/>
        </w:rPr>
      </w:pPr>
      <w:r w:rsidRPr="002622D2">
        <w:rPr>
          <w:b/>
        </w:rPr>
        <w:t>Residential</w:t>
      </w:r>
    </w:p>
    <w:p w:rsidR="00F01B0D" w:rsidRDefault="00F01B0D" w:rsidP="00F01B0D">
      <w:r>
        <w:t xml:space="preserve">Residential electricity consumption grew by a CAGR of 1.5 per cent between 2008 and 2011. </w:t>
      </w:r>
    </w:p>
    <w:p w:rsidR="00F01B0D" w:rsidRDefault="00F01B0D" w:rsidP="00F01B0D"/>
    <w:p w:rsidR="00F01B0D" w:rsidRPr="002622D2" w:rsidRDefault="00F01B0D" w:rsidP="00F01B0D">
      <w:r w:rsidRPr="002622D2">
        <w:t>Residential electricity consumption has been less responsive to</w:t>
      </w:r>
      <w:r>
        <w:t xml:space="preserve"> </w:t>
      </w:r>
      <w:r w:rsidRPr="002622D2">
        <w:t>electricity price</w:t>
      </w:r>
      <w:r>
        <w:t xml:space="preserve"> increases since 2008</w:t>
      </w:r>
      <w:r w:rsidRPr="002622D2">
        <w:t xml:space="preserve"> </w:t>
      </w:r>
      <w:r>
        <w:t xml:space="preserve">than </w:t>
      </w:r>
      <w:r w:rsidRPr="002622D2">
        <w:t xml:space="preserve">before </w:t>
      </w:r>
      <w:r>
        <w:t>2008. This implies that r</w:t>
      </w:r>
      <w:r w:rsidRPr="002622D2">
        <w:t xml:space="preserve">esidential electricity </w:t>
      </w:r>
      <w:r>
        <w:t>consumption is higher than would be expected given current levels of spending.</w:t>
      </w:r>
    </w:p>
    <w:p w:rsidR="00F01B0D" w:rsidRPr="002622D2" w:rsidRDefault="00F01B0D" w:rsidP="00F01B0D"/>
    <w:p w:rsidR="00F01B0D" w:rsidRPr="002622D2" w:rsidRDefault="00F01B0D" w:rsidP="00F01B0D">
      <w:r w:rsidRPr="002622D2">
        <w:t xml:space="preserve">Residential electricity consumption per capita </w:t>
      </w:r>
      <w:r>
        <w:t xml:space="preserve">was </w:t>
      </w:r>
      <w:r w:rsidRPr="002622D2">
        <w:t xml:space="preserve">static between </w:t>
      </w:r>
      <w:r>
        <w:t>2003</w:t>
      </w:r>
      <w:r w:rsidRPr="002622D2">
        <w:t xml:space="preserve"> and </w:t>
      </w:r>
      <w:r>
        <w:t>2012</w:t>
      </w:r>
      <w:r w:rsidRPr="002622D2">
        <w:t xml:space="preserve">, suggesting that higher consumption is due to population growth rather than higher </w:t>
      </w:r>
      <w:r>
        <w:t>spending</w:t>
      </w:r>
      <w:r w:rsidRPr="002622D2">
        <w:t xml:space="preserve"> per capita.</w:t>
      </w:r>
    </w:p>
    <w:p w:rsidR="00A21507" w:rsidRDefault="00A21507" w:rsidP="00091B59">
      <w:pPr>
        <w:rPr>
          <w:b/>
        </w:rPr>
      </w:pPr>
    </w:p>
    <w:p w:rsidR="00A21507" w:rsidRPr="002622D2" w:rsidRDefault="00A21507" w:rsidP="00A21507">
      <w:pPr>
        <w:rPr>
          <w:b/>
        </w:rPr>
      </w:pPr>
      <w:r w:rsidRPr="002622D2">
        <w:rPr>
          <w:b/>
        </w:rPr>
        <w:t>Commercial and services</w:t>
      </w:r>
    </w:p>
    <w:p w:rsidR="00A21507" w:rsidRPr="002622D2" w:rsidRDefault="00A21507" w:rsidP="00A21507">
      <w:r>
        <w:t>Electricity consumption</w:t>
      </w:r>
      <w:r w:rsidR="004E10E3">
        <w:t xml:space="preserve"> in commercial and services</w:t>
      </w:r>
      <w:r>
        <w:t xml:space="preserve"> grew by 4.3 per cent between 2008 and 2011</w:t>
      </w:r>
      <w:r w:rsidR="004C267B">
        <w:t>, largely as a result of</w:t>
      </w:r>
      <w:r w:rsidR="004E10E3">
        <w:t xml:space="preserve"> </w:t>
      </w:r>
      <w:r w:rsidR="00101841">
        <w:t xml:space="preserve">a </w:t>
      </w:r>
      <w:r w:rsidR="004E10E3">
        <w:t>growth in activity. Higher electricity prices mitigated approximately one third of the increased electricity consumption.</w:t>
      </w:r>
    </w:p>
    <w:p w:rsidR="00A21507" w:rsidRDefault="00A21507" w:rsidP="00091B59">
      <w:pPr>
        <w:rPr>
          <w:b/>
        </w:rPr>
      </w:pPr>
    </w:p>
    <w:p w:rsidR="00091B59" w:rsidRPr="002622D2" w:rsidRDefault="00091B59" w:rsidP="00091B59"/>
    <w:p w:rsidR="006C2014" w:rsidRDefault="006C2014">
      <w:pPr>
        <w:spacing w:after="200" w:line="24" w:lineRule="auto"/>
        <w:rPr>
          <w:b/>
        </w:rPr>
      </w:pPr>
      <w:r>
        <w:rPr>
          <w:b/>
        </w:rPr>
        <w:br w:type="page"/>
      </w:r>
    </w:p>
    <w:p w:rsidR="00091B59" w:rsidRPr="00D87C32" w:rsidRDefault="00091B59" w:rsidP="00091B59">
      <w:pPr>
        <w:pStyle w:val="Appendixheading"/>
      </w:pPr>
      <w:r w:rsidRPr="00D87C32">
        <w:lastRenderedPageBreak/>
        <w:t>Emissions intensity of electricity supply</w:t>
      </w:r>
    </w:p>
    <w:p w:rsidR="001759BE" w:rsidRDefault="001759BE" w:rsidP="00091B59">
      <w:pPr>
        <w:rPr>
          <w:lang w:val="en-AU"/>
        </w:rPr>
      </w:pPr>
      <w:r>
        <w:rPr>
          <w:lang w:val="en-AU"/>
        </w:rPr>
        <w:t xml:space="preserve">The emissions intensity of electricity in </w:t>
      </w:r>
      <w:r w:rsidR="0028182D">
        <w:rPr>
          <w:lang w:val="en-AU"/>
        </w:rPr>
        <w:t>Australia</w:t>
      </w:r>
      <w:r>
        <w:rPr>
          <w:lang w:val="en-AU"/>
        </w:rPr>
        <w:t xml:space="preserve"> is relatively high: approximately </w:t>
      </w:r>
      <w:r w:rsidR="00091B59">
        <w:rPr>
          <w:lang w:val="en-AU"/>
        </w:rPr>
        <w:t>6</w:t>
      </w:r>
      <w:r w:rsidR="00091B59" w:rsidRPr="002622D2">
        <w:rPr>
          <w:lang w:val="en-AU"/>
        </w:rPr>
        <w:t xml:space="preserve"> per cent </w:t>
      </w:r>
      <w:r w:rsidR="00091B59">
        <w:rPr>
          <w:lang w:val="en-AU"/>
        </w:rPr>
        <w:t xml:space="preserve">higher than </w:t>
      </w:r>
      <w:r w:rsidR="00B66A11">
        <w:rPr>
          <w:lang w:val="en-AU"/>
        </w:rPr>
        <w:t xml:space="preserve">in </w:t>
      </w:r>
      <w:r w:rsidR="00091B59">
        <w:rPr>
          <w:lang w:val="en-AU"/>
        </w:rPr>
        <w:t>China and</w:t>
      </w:r>
      <w:r w:rsidR="00091B59" w:rsidRPr="002622D2">
        <w:rPr>
          <w:lang w:val="en-AU"/>
        </w:rPr>
        <w:t xml:space="preserve"> </w:t>
      </w:r>
      <w:r w:rsidR="00091B59">
        <w:rPr>
          <w:lang w:val="en-AU"/>
        </w:rPr>
        <w:t>60</w:t>
      </w:r>
      <w:r w:rsidR="00091B59" w:rsidRPr="002622D2">
        <w:rPr>
          <w:lang w:val="en-AU"/>
        </w:rPr>
        <w:t xml:space="preserve"> per cent </w:t>
      </w:r>
      <w:r w:rsidR="00091B59">
        <w:rPr>
          <w:lang w:val="en-AU"/>
        </w:rPr>
        <w:t>higher than in</w:t>
      </w:r>
      <w:r w:rsidR="00091B59" w:rsidRPr="002622D2">
        <w:rPr>
          <w:lang w:val="en-AU"/>
        </w:rPr>
        <w:t xml:space="preserve"> the US.</w:t>
      </w:r>
      <w:r w:rsidR="00091B59" w:rsidRPr="002622D2">
        <w:rPr>
          <w:rStyle w:val="FootnoteReference"/>
          <w:lang w:val="en-AU"/>
        </w:rPr>
        <w:footnoteReference w:id="2"/>
      </w:r>
      <w:r w:rsidR="00091B59" w:rsidRPr="002622D2">
        <w:rPr>
          <w:lang w:val="en-AU"/>
        </w:rPr>
        <w:t xml:space="preserve"> </w:t>
      </w:r>
    </w:p>
    <w:p w:rsidR="001759BE" w:rsidRDefault="001759BE" w:rsidP="001759BE">
      <w:pPr>
        <w:rPr>
          <w:lang w:val="en-AU"/>
        </w:rPr>
      </w:pPr>
    </w:p>
    <w:p w:rsidR="00091B59" w:rsidRPr="002622D2" w:rsidRDefault="001759BE" w:rsidP="00091B59">
      <w:pPr>
        <w:rPr>
          <w:lang w:val="en-AU"/>
        </w:rPr>
      </w:pPr>
      <w:r w:rsidRPr="002622D2">
        <w:rPr>
          <w:lang w:val="en-AU"/>
        </w:rPr>
        <w:t xml:space="preserve">The emissions intensity of electricity supply </w:t>
      </w:r>
      <w:r>
        <w:rPr>
          <w:lang w:val="en-AU"/>
        </w:rPr>
        <w:t>fell</w:t>
      </w:r>
      <w:r w:rsidRPr="002622D2">
        <w:rPr>
          <w:lang w:val="en-AU"/>
        </w:rPr>
        <w:t xml:space="preserve"> by</w:t>
      </w:r>
      <w:r>
        <w:rPr>
          <w:lang w:val="en-AU"/>
        </w:rPr>
        <w:t xml:space="preserve"> 6.3</w:t>
      </w:r>
      <w:r w:rsidRPr="002622D2">
        <w:rPr>
          <w:lang w:val="en-AU"/>
        </w:rPr>
        <w:t xml:space="preserve"> per cent </w:t>
      </w:r>
      <w:r>
        <w:rPr>
          <w:lang w:val="en-AU"/>
        </w:rPr>
        <w:t>(from 0.84</w:t>
      </w:r>
      <w:r w:rsidRPr="002622D2">
        <w:rPr>
          <w:lang w:val="en-AU"/>
        </w:rPr>
        <w:t xml:space="preserve"> </w:t>
      </w:r>
      <w:r>
        <w:rPr>
          <w:lang w:val="en-AU"/>
        </w:rPr>
        <w:t xml:space="preserve">to 0.79 </w:t>
      </w:r>
      <w:r w:rsidRPr="002622D2">
        <w:rPr>
          <w:lang w:val="en-AU"/>
        </w:rPr>
        <w:t>tCO</w:t>
      </w:r>
      <w:r w:rsidRPr="002622D2">
        <w:rPr>
          <w:vertAlign w:val="subscript"/>
          <w:lang w:val="en-AU"/>
        </w:rPr>
        <w:t>2</w:t>
      </w:r>
      <w:r w:rsidRPr="002622D2">
        <w:rPr>
          <w:lang w:val="en-AU"/>
        </w:rPr>
        <w:t>e/MWh</w:t>
      </w:r>
      <w:r w:rsidR="0028182D">
        <w:rPr>
          <w:lang w:val="en-AU"/>
        </w:rPr>
        <w:t>)</w:t>
      </w:r>
      <w:r w:rsidRPr="002622D2">
        <w:rPr>
          <w:lang w:val="en-AU"/>
        </w:rPr>
        <w:t xml:space="preserve"> </w:t>
      </w:r>
      <w:r>
        <w:rPr>
          <w:lang w:val="en-AU"/>
        </w:rPr>
        <w:t xml:space="preserve">from 2008 to 2011. </w:t>
      </w:r>
      <w:r w:rsidR="00091B59" w:rsidRPr="002622D2">
        <w:rPr>
          <w:lang w:val="en-AU"/>
        </w:rPr>
        <w:t xml:space="preserve">Recent data for the NEM region indicates a further decline of the emissions intensity of </w:t>
      </w:r>
      <w:r w:rsidR="00091B59">
        <w:rPr>
          <w:lang w:val="en-AU"/>
        </w:rPr>
        <w:t>electricity supply of</w:t>
      </w:r>
      <w:r w:rsidR="00091B59" w:rsidRPr="002622D2">
        <w:rPr>
          <w:lang w:val="en-AU"/>
        </w:rPr>
        <w:t xml:space="preserve"> </w:t>
      </w:r>
      <w:r w:rsidR="00091B59">
        <w:rPr>
          <w:lang w:val="en-AU"/>
        </w:rPr>
        <w:t>4.5</w:t>
      </w:r>
      <w:r w:rsidR="00091B59" w:rsidRPr="002622D2">
        <w:rPr>
          <w:lang w:val="en-AU"/>
        </w:rPr>
        <w:t xml:space="preserve"> per cent </w:t>
      </w:r>
      <w:r w:rsidR="00BE638C">
        <w:rPr>
          <w:lang w:val="en-AU"/>
        </w:rPr>
        <w:t xml:space="preserve">between </w:t>
      </w:r>
      <w:r w:rsidR="006C667D">
        <w:rPr>
          <w:lang w:val="en-AU"/>
        </w:rPr>
        <w:t>2012</w:t>
      </w:r>
      <w:r w:rsidR="00BE638C">
        <w:rPr>
          <w:lang w:val="en-AU"/>
        </w:rPr>
        <w:t xml:space="preserve"> and</w:t>
      </w:r>
      <w:r w:rsidR="006054BB">
        <w:rPr>
          <w:lang w:val="en-AU"/>
        </w:rPr>
        <w:t xml:space="preserve"> 2013, the period in which carbon prices were introduced.</w:t>
      </w:r>
    </w:p>
    <w:p w:rsidR="00091B59" w:rsidRPr="002622D2" w:rsidRDefault="00091B59" w:rsidP="00091B59">
      <w:pPr>
        <w:rPr>
          <w:lang w:val="en-AU"/>
        </w:rPr>
      </w:pPr>
    </w:p>
    <w:p w:rsidR="001759BE" w:rsidRDefault="00091B59" w:rsidP="00091B59">
      <w:pPr>
        <w:rPr>
          <w:lang w:val="en-AU"/>
        </w:rPr>
      </w:pPr>
      <w:r>
        <w:rPr>
          <w:lang w:val="en-AU"/>
        </w:rPr>
        <w:t xml:space="preserve">Gas-fired </w:t>
      </w:r>
      <w:r w:rsidRPr="002622D2">
        <w:rPr>
          <w:lang w:val="en-AU"/>
        </w:rPr>
        <w:t xml:space="preserve">and renewable electricity </w:t>
      </w:r>
      <w:r w:rsidR="006054BB">
        <w:rPr>
          <w:lang w:val="en-AU"/>
        </w:rPr>
        <w:t xml:space="preserve">generation </w:t>
      </w:r>
      <w:r w:rsidR="001759BE">
        <w:rPr>
          <w:lang w:val="en-AU"/>
        </w:rPr>
        <w:t xml:space="preserve">were the major drivers </w:t>
      </w:r>
      <w:r w:rsidR="007270F1">
        <w:rPr>
          <w:lang w:val="en-AU"/>
        </w:rPr>
        <w:t>of the</w:t>
      </w:r>
      <w:r>
        <w:rPr>
          <w:lang w:val="en-AU"/>
        </w:rPr>
        <w:t xml:space="preserve"> </w:t>
      </w:r>
      <w:r w:rsidR="005F1E3A">
        <w:rPr>
          <w:lang w:val="en-AU"/>
        </w:rPr>
        <w:t>reduction</w:t>
      </w:r>
      <w:r>
        <w:rPr>
          <w:lang w:val="en-AU"/>
        </w:rPr>
        <w:t xml:space="preserve"> in emissions intensity </w:t>
      </w:r>
      <w:r w:rsidR="006C2014" w:rsidRPr="002622D2">
        <w:rPr>
          <w:lang w:val="en-AU"/>
        </w:rPr>
        <w:t xml:space="preserve">between </w:t>
      </w:r>
      <w:r w:rsidR="006C667D">
        <w:rPr>
          <w:lang w:val="en-AU"/>
        </w:rPr>
        <w:t>2008</w:t>
      </w:r>
      <w:r w:rsidR="006C2014" w:rsidRPr="002622D2">
        <w:rPr>
          <w:lang w:val="en-AU"/>
        </w:rPr>
        <w:t xml:space="preserve"> and </w:t>
      </w:r>
      <w:r w:rsidR="006C667D">
        <w:rPr>
          <w:lang w:val="en-AU"/>
        </w:rPr>
        <w:t>2011</w:t>
      </w:r>
      <w:r w:rsidR="006C2014">
        <w:rPr>
          <w:lang w:val="en-AU"/>
        </w:rPr>
        <w:t xml:space="preserve"> </w:t>
      </w:r>
      <w:r>
        <w:rPr>
          <w:lang w:val="en-AU"/>
        </w:rPr>
        <w:t xml:space="preserve">and </w:t>
      </w:r>
      <w:r w:rsidRPr="002622D2">
        <w:rPr>
          <w:lang w:val="en-AU"/>
        </w:rPr>
        <w:t xml:space="preserve">contributed </w:t>
      </w:r>
      <w:r w:rsidR="000F1E7D">
        <w:rPr>
          <w:lang w:val="en-AU"/>
        </w:rPr>
        <w:t>80</w:t>
      </w:r>
      <w:r w:rsidRPr="002622D2">
        <w:rPr>
          <w:lang w:val="en-AU"/>
        </w:rPr>
        <w:t xml:space="preserve"> per cent </w:t>
      </w:r>
      <w:r w:rsidR="006C2014">
        <w:rPr>
          <w:lang w:val="en-AU"/>
        </w:rPr>
        <w:t>of the decline</w:t>
      </w:r>
      <w:r w:rsidRPr="002622D2">
        <w:rPr>
          <w:lang w:val="en-AU"/>
        </w:rPr>
        <w:t xml:space="preserve">. </w:t>
      </w:r>
      <w:r>
        <w:rPr>
          <w:lang w:val="en-AU"/>
        </w:rPr>
        <w:t>In this period</w:t>
      </w:r>
      <w:r w:rsidR="00B66A11">
        <w:rPr>
          <w:lang w:val="en-AU"/>
        </w:rPr>
        <w:t>:</w:t>
      </w:r>
      <w:r w:rsidRPr="002622D2">
        <w:rPr>
          <w:lang w:val="en-AU"/>
        </w:rPr>
        <w:t xml:space="preserve"> </w:t>
      </w:r>
    </w:p>
    <w:p w:rsidR="001759BE" w:rsidRPr="001759BE" w:rsidRDefault="0028182D" w:rsidP="00B66A11">
      <w:pPr>
        <w:pStyle w:val="Dashedbullets"/>
        <w:rPr>
          <w:lang w:val="en-AU"/>
        </w:rPr>
      </w:pPr>
      <w:r>
        <w:rPr>
          <w:lang w:val="en-AU"/>
        </w:rPr>
        <w:t>g</w:t>
      </w:r>
      <w:r w:rsidR="001759BE" w:rsidRPr="001759BE">
        <w:rPr>
          <w:lang w:val="en-AU"/>
        </w:rPr>
        <w:t>as</w:t>
      </w:r>
      <w:r w:rsidR="004C267B">
        <w:rPr>
          <w:lang w:val="en-AU"/>
        </w:rPr>
        <w:t>-</w:t>
      </w:r>
      <w:r w:rsidR="00091B59" w:rsidRPr="001759BE">
        <w:rPr>
          <w:lang w:val="en-AU"/>
        </w:rPr>
        <w:t>fired generation increased from 14 per cent to 19 per cent of generation output</w:t>
      </w:r>
      <w:r w:rsidR="007270F1">
        <w:rPr>
          <w:lang w:val="en-AU"/>
        </w:rPr>
        <w:t>; and</w:t>
      </w:r>
      <w:r w:rsidR="00091B59" w:rsidRPr="001759BE">
        <w:rPr>
          <w:lang w:val="en-AU"/>
        </w:rPr>
        <w:t xml:space="preserve"> </w:t>
      </w:r>
    </w:p>
    <w:p w:rsidR="001759BE" w:rsidRDefault="0028182D" w:rsidP="00B66A11">
      <w:pPr>
        <w:pStyle w:val="Dashedbullets"/>
        <w:rPr>
          <w:lang w:val="en-AU"/>
        </w:rPr>
      </w:pPr>
      <w:r>
        <w:rPr>
          <w:lang w:val="en-AU"/>
        </w:rPr>
        <w:t>r</w:t>
      </w:r>
      <w:r w:rsidRPr="00A8195D">
        <w:rPr>
          <w:lang w:val="en-AU"/>
        </w:rPr>
        <w:t>enewables</w:t>
      </w:r>
      <w:r w:rsidR="00091B59" w:rsidRPr="00A8195D">
        <w:rPr>
          <w:lang w:val="en-AU"/>
        </w:rPr>
        <w:t xml:space="preserve"> </w:t>
      </w:r>
      <w:r w:rsidR="006C2014" w:rsidRPr="00A8195D">
        <w:rPr>
          <w:lang w:val="en-AU"/>
        </w:rPr>
        <w:t xml:space="preserve">rose </w:t>
      </w:r>
      <w:r w:rsidR="007270F1">
        <w:rPr>
          <w:lang w:val="en-AU"/>
        </w:rPr>
        <w:t>from 8 per cent to 10 per cent</w:t>
      </w:r>
      <w:r w:rsidR="00D27828">
        <w:rPr>
          <w:lang w:val="en-AU"/>
        </w:rPr>
        <w:t xml:space="preserve"> of generation output</w:t>
      </w:r>
      <w:r w:rsidR="007270F1">
        <w:rPr>
          <w:lang w:val="en-AU"/>
        </w:rPr>
        <w:t>.</w:t>
      </w:r>
    </w:p>
    <w:p w:rsidR="0028182D" w:rsidRPr="00A8195D" w:rsidRDefault="0028182D" w:rsidP="00264108">
      <w:pPr>
        <w:rPr>
          <w:lang w:val="en-AU"/>
        </w:rPr>
      </w:pPr>
    </w:p>
    <w:p w:rsidR="00091B59" w:rsidRPr="001759BE" w:rsidRDefault="00091B59" w:rsidP="001759BE">
      <w:pPr>
        <w:rPr>
          <w:lang w:val="en-AU"/>
        </w:rPr>
      </w:pPr>
      <w:r w:rsidRPr="001759BE">
        <w:rPr>
          <w:lang w:val="en-AU"/>
        </w:rPr>
        <w:t>Improvements in the carbon intensity within fuel types contributed the remaining share of the reduction, whereas changes in fuel efficiency have had no statistically observed impact.</w:t>
      </w:r>
    </w:p>
    <w:p w:rsidR="00091B59" w:rsidRPr="00E05CE0" w:rsidRDefault="00091B59" w:rsidP="00091B59">
      <w:pPr>
        <w:rPr>
          <w:lang w:val="en-AU"/>
        </w:rPr>
      </w:pPr>
    </w:p>
    <w:p w:rsidR="00091B59" w:rsidRPr="002622D2" w:rsidRDefault="00091B59" w:rsidP="00091B59">
      <w:r w:rsidRPr="002622D2">
        <w:t xml:space="preserve">Electricity supply emissions intensity changes have been </w:t>
      </w:r>
      <w:r>
        <w:t>stimulated by</w:t>
      </w:r>
      <w:r w:rsidRPr="002622D2">
        <w:t xml:space="preserve"> policy. The Mandatory Renewable Energy Target (M-RET), which split into the </w:t>
      </w:r>
      <w:r>
        <w:t>Large and S</w:t>
      </w:r>
      <w:r w:rsidRPr="002622D2">
        <w:t>mall</w:t>
      </w:r>
      <w:r>
        <w:t xml:space="preserve"> S</w:t>
      </w:r>
      <w:r w:rsidRPr="002622D2">
        <w:t>c</w:t>
      </w:r>
      <w:r>
        <w:t>ale Renewable Energy targets in 2011</w:t>
      </w:r>
      <w:r w:rsidRPr="002622D2">
        <w:t>, is the</w:t>
      </w:r>
      <w:r>
        <w:t xml:space="preserve"> </w:t>
      </w:r>
      <w:r w:rsidR="001759BE">
        <w:t xml:space="preserve">major </w:t>
      </w:r>
      <w:r w:rsidRPr="002622D2">
        <w:t xml:space="preserve">driver </w:t>
      </w:r>
      <w:r>
        <w:t>of</w:t>
      </w:r>
      <w:r w:rsidRPr="002622D2">
        <w:t xml:space="preserve"> increased renewable</w:t>
      </w:r>
      <w:r w:rsidR="006C2014">
        <w:t>s</w:t>
      </w:r>
      <w:r w:rsidRPr="002622D2">
        <w:t xml:space="preserve"> deployment. Other policies, such as the Queensland Gas Scheme and the New South Wales Greenhouse Gas </w:t>
      </w:r>
      <w:r w:rsidR="009D0A1F">
        <w:t>Reduction</w:t>
      </w:r>
      <w:r w:rsidR="009D0A1F" w:rsidRPr="002622D2">
        <w:t xml:space="preserve"> </w:t>
      </w:r>
      <w:r w:rsidRPr="002622D2">
        <w:t xml:space="preserve">Scheme, contributed to </w:t>
      </w:r>
      <w:r w:rsidR="009466EE">
        <w:t xml:space="preserve">an increase in the </w:t>
      </w:r>
      <w:r w:rsidRPr="002622D2">
        <w:t>share of gas-fired generation.</w:t>
      </w:r>
    </w:p>
    <w:p w:rsidR="00091B59" w:rsidRPr="002622D2" w:rsidRDefault="00091B59" w:rsidP="00091B59"/>
    <w:p w:rsidR="00091B59" w:rsidRDefault="00091B59" w:rsidP="00091B59">
      <w:pPr>
        <w:rPr>
          <w:lang w:val="en-AU"/>
        </w:rPr>
      </w:pPr>
      <w:r w:rsidRPr="002622D2">
        <w:rPr>
          <w:lang w:val="en-AU"/>
        </w:rPr>
        <w:t xml:space="preserve">Solar PV </w:t>
      </w:r>
      <w:r>
        <w:rPr>
          <w:lang w:val="en-AU"/>
        </w:rPr>
        <w:t xml:space="preserve">has been supported </w:t>
      </w:r>
      <w:r w:rsidRPr="002622D2">
        <w:rPr>
          <w:lang w:val="en-AU"/>
        </w:rPr>
        <w:t>by</w:t>
      </w:r>
      <w:r>
        <w:rPr>
          <w:lang w:val="en-AU"/>
        </w:rPr>
        <w:t xml:space="preserve"> various state-wide solar fee</w:t>
      </w:r>
      <w:r w:rsidR="009466EE">
        <w:rPr>
          <w:lang w:val="en-AU"/>
        </w:rPr>
        <w:t xml:space="preserve">d-in-tariffs commencing in 2008, </w:t>
      </w:r>
      <w:r w:rsidRPr="002622D2">
        <w:rPr>
          <w:lang w:val="en-AU"/>
        </w:rPr>
        <w:t>th</w:t>
      </w:r>
      <w:r>
        <w:rPr>
          <w:lang w:val="en-AU"/>
        </w:rPr>
        <w:t xml:space="preserve">e </w:t>
      </w:r>
      <w:r w:rsidR="009B00B3">
        <w:rPr>
          <w:lang w:val="en-AU"/>
        </w:rPr>
        <w:t xml:space="preserve">Small </w:t>
      </w:r>
      <w:r>
        <w:rPr>
          <w:lang w:val="en-AU"/>
        </w:rPr>
        <w:t>Scale Renewable Energy T</w:t>
      </w:r>
      <w:r w:rsidRPr="002622D2">
        <w:rPr>
          <w:lang w:val="en-AU"/>
        </w:rPr>
        <w:t xml:space="preserve">arget and </w:t>
      </w:r>
      <w:r w:rsidR="009466EE">
        <w:rPr>
          <w:lang w:val="en-AU"/>
        </w:rPr>
        <w:t xml:space="preserve">the </w:t>
      </w:r>
      <w:r w:rsidRPr="002622D2">
        <w:rPr>
          <w:lang w:val="en-AU"/>
        </w:rPr>
        <w:t>accompanying solar feed-in-tariff</w:t>
      </w:r>
      <w:r>
        <w:rPr>
          <w:lang w:val="en-AU"/>
        </w:rPr>
        <w:t>,</w:t>
      </w:r>
      <w:r w:rsidRPr="002622D2">
        <w:rPr>
          <w:lang w:val="en-AU"/>
        </w:rPr>
        <w:t xml:space="preserve"> but made a minor contribution compared with wind. </w:t>
      </w:r>
      <w:r>
        <w:rPr>
          <w:lang w:val="en-AU"/>
        </w:rPr>
        <w:t>Solar PV constituted 0.6</w:t>
      </w:r>
      <w:r w:rsidRPr="002622D2">
        <w:rPr>
          <w:lang w:val="en-AU"/>
        </w:rPr>
        <w:t xml:space="preserve"> per cent of generation </w:t>
      </w:r>
      <w:r>
        <w:rPr>
          <w:lang w:val="en-AU"/>
        </w:rPr>
        <w:t>output</w:t>
      </w:r>
      <w:r w:rsidRPr="002622D2">
        <w:rPr>
          <w:lang w:val="en-AU"/>
        </w:rPr>
        <w:t xml:space="preserve"> in </w:t>
      </w:r>
      <w:r w:rsidR="006C667D">
        <w:rPr>
          <w:lang w:val="en-AU"/>
        </w:rPr>
        <w:t>2012</w:t>
      </w:r>
      <w:r>
        <w:rPr>
          <w:lang w:val="en-AU"/>
        </w:rPr>
        <w:t xml:space="preserve">, up from 0.1 </w:t>
      </w:r>
      <w:r w:rsidRPr="002622D2">
        <w:rPr>
          <w:lang w:val="en-AU"/>
        </w:rPr>
        <w:t xml:space="preserve">per cent in </w:t>
      </w:r>
      <w:r w:rsidR="006C667D">
        <w:rPr>
          <w:lang w:val="en-AU"/>
        </w:rPr>
        <w:t>2008</w:t>
      </w:r>
      <w:r w:rsidRPr="002622D2">
        <w:rPr>
          <w:lang w:val="en-AU"/>
        </w:rPr>
        <w:t xml:space="preserve">. </w:t>
      </w:r>
      <w:r>
        <w:rPr>
          <w:lang w:val="en-AU"/>
        </w:rPr>
        <w:t>W</w:t>
      </w:r>
      <w:r w:rsidRPr="002622D2">
        <w:rPr>
          <w:lang w:val="en-AU"/>
        </w:rPr>
        <w:t xml:space="preserve">ind contributed </w:t>
      </w:r>
      <w:r>
        <w:rPr>
          <w:lang w:val="en-AU"/>
        </w:rPr>
        <w:t>2.4</w:t>
      </w:r>
      <w:r w:rsidRPr="002622D2">
        <w:rPr>
          <w:lang w:val="en-AU"/>
        </w:rPr>
        <w:t xml:space="preserve"> per cent of generation </w:t>
      </w:r>
      <w:r>
        <w:rPr>
          <w:lang w:val="en-AU"/>
        </w:rPr>
        <w:t>output</w:t>
      </w:r>
      <w:r w:rsidRPr="002622D2">
        <w:rPr>
          <w:lang w:val="en-AU"/>
        </w:rPr>
        <w:t xml:space="preserve"> in </w:t>
      </w:r>
      <w:r w:rsidR="006C667D">
        <w:rPr>
          <w:lang w:val="en-AU"/>
        </w:rPr>
        <w:t>2011</w:t>
      </w:r>
      <w:r w:rsidRPr="002622D2">
        <w:rPr>
          <w:lang w:val="en-AU"/>
        </w:rPr>
        <w:t xml:space="preserve">, up </w:t>
      </w:r>
      <w:r>
        <w:rPr>
          <w:lang w:val="en-AU"/>
        </w:rPr>
        <w:t>from 1.3</w:t>
      </w:r>
      <w:r w:rsidRPr="002622D2">
        <w:rPr>
          <w:lang w:val="en-AU"/>
        </w:rPr>
        <w:t xml:space="preserve"> per cent in </w:t>
      </w:r>
      <w:r w:rsidR="006C667D">
        <w:rPr>
          <w:lang w:val="en-AU"/>
        </w:rPr>
        <w:t>2008</w:t>
      </w:r>
      <w:r w:rsidRPr="002622D2">
        <w:rPr>
          <w:lang w:val="en-AU"/>
        </w:rPr>
        <w:t xml:space="preserve">. Solar PV </w:t>
      </w:r>
      <w:r>
        <w:rPr>
          <w:lang w:val="en-AU"/>
        </w:rPr>
        <w:t>generated less than a quarter as</w:t>
      </w:r>
      <w:r w:rsidRPr="002622D2">
        <w:rPr>
          <w:lang w:val="en-AU"/>
        </w:rPr>
        <w:t xml:space="preserve"> </w:t>
      </w:r>
      <w:r>
        <w:rPr>
          <w:lang w:val="en-AU"/>
        </w:rPr>
        <w:t xml:space="preserve">much output as </w:t>
      </w:r>
      <w:r w:rsidRPr="002622D2">
        <w:rPr>
          <w:lang w:val="en-AU"/>
        </w:rPr>
        <w:t>wind</w:t>
      </w:r>
      <w:r w:rsidR="002B44F6">
        <w:rPr>
          <w:lang w:val="en-AU"/>
        </w:rPr>
        <w:t xml:space="preserve"> in 2012</w:t>
      </w:r>
      <w:r w:rsidRPr="002622D2">
        <w:rPr>
          <w:lang w:val="en-AU"/>
        </w:rPr>
        <w:t>.</w:t>
      </w:r>
    </w:p>
    <w:p w:rsidR="00284BD8" w:rsidRPr="002622D2" w:rsidRDefault="00284BD8" w:rsidP="00091B59">
      <w:pPr>
        <w:rPr>
          <w:lang w:val="en-AU"/>
        </w:rPr>
      </w:pPr>
    </w:p>
    <w:p w:rsidR="00284BD8" w:rsidRPr="002622D2" w:rsidRDefault="009466EE" w:rsidP="00284BD8">
      <w:pPr>
        <w:tabs>
          <w:tab w:val="num" w:pos="1440"/>
        </w:tabs>
      </w:pPr>
      <w:r>
        <w:rPr>
          <w:lang w:val="en-AU"/>
        </w:rPr>
        <w:t>S</w:t>
      </w:r>
      <w:r w:rsidR="00284BD8">
        <w:rPr>
          <w:lang w:val="en-AU"/>
        </w:rPr>
        <w:t xml:space="preserve">everal sources suggest that </w:t>
      </w:r>
      <w:r w:rsidR="00025D40">
        <w:rPr>
          <w:lang w:val="en-AU"/>
        </w:rPr>
        <w:t>gas</w:t>
      </w:r>
      <w:r w:rsidR="00284BD8" w:rsidRPr="002622D2">
        <w:rPr>
          <w:lang w:val="en-AU"/>
        </w:rPr>
        <w:t xml:space="preserve"> prices</w:t>
      </w:r>
      <w:r w:rsidR="00284BD8">
        <w:rPr>
          <w:lang w:val="en-AU"/>
        </w:rPr>
        <w:t xml:space="preserve"> will continue to rise</w:t>
      </w:r>
      <w:r w:rsidRPr="009466EE">
        <w:rPr>
          <w:lang w:val="en-AU"/>
        </w:rPr>
        <w:t xml:space="preserve"> </w:t>
      </w:r>
      <w:r>
        <w:rPr>
          <w:lang w:val="en-AU"/>
        </w:rPr>
        <w:t>in the future</w:t>
      </w:r>
      <w:r w:rsidR="00025D40">
        <w:rPr>
          <w:lang w:val="en-AU"/>
        </w:rPr>
        <w:t xml:space="preserve"> while coal prices are projected to be constant</w:t>
      </w:r>
      <w:r w:rsidR="00284BD8">
        <w:rPr>
          <w:lang w:val="en-AU"/>
        </w:rPr>
        <w:t>.</w:t>
      </w:r>
      <w:r w:rsidR="00284BD8" w:rsidRPr="00EF5149">
        <w:rPr>
          <w:lang w:val="en-AU"/>
        </w:rPr>
        <w:t xml:space="preserve"> </w:t>
      </w:r>
      <w:r w:rsidR="00284BD8">
        <w:rPr>
          <w:lang w:val="en-AU"/>
        </w:rPr>
        <w:t>This could mean that the costs of gas-</w:t>
      </w:r>
      <w:r w:rsidR="00284BD8" w:rsidRPr="002622D2">
        <w:rPr>
          <w:lang w:val="en-AU"/>
        </w:rPr>
        <w:t>fired generation</w:t>
      </w:r>
      <w:r w:rsidR="00284BD8">
        <w:rPr>
          <w:lang w:val="en-AU"/>
        </w:rPr>
        <w:t>, not including carbon prices,</w:t>
      </w:r>
      <w:r w:rsidR="00284BD8" w:rsidRPr="002622D2">
        <w:rPr>
          <w:lang w:val="en-AU"/>
        </w:rPr>
        <w:t xml:space="preserve"> continue to be above </w:t>
      </w:r>
      <w:r w:rsidR="00284BD8">
        <w:rPr>
          <w:lang w:val="en-AU"/>
        </w:rPr>
        <w:t xml:space="preserve">the costs of coal-fired </w:t>
      </w:r>
      <w:r w:rsidR="00284BD8" w:rsidRPr="002622D2">
        <w:rPr>
          <w:lang w:val="en-AU"/>
        </w:rPr>
        <w:t>generation</w:t>
      </w:r>
      <w:r w:rsidR="00284BD8">
        <w:rPr>
          <w:lang w:val="en-AU"/>
        </w:rPr>
        <w:t xml:space="preserve">. </w:t>
      </w:r>
      <w:r w:rsidR="00284BD8" w:rsidRPr="002622D2">
        <w:rPr>
          <w:lang w:val="en-AU"/>
        </w:rPr>
        <w:t>Unless the carbon price mechanism tightens,</w:t>
      </w:r>
      <w:r w:rsidR="00284BD8">
        <w:rPr>
          <w:lang w:val="en-AU"/>
        </w:rPr>
        <w:t xml:space="preserve"> to the disadvantage of coal and the advantage of gas, greater reliance may be placed on </w:t>
      </w:r>
      <w:r w:rsidR="00284BD8" w:rsidRPr="002622D2">
        <w:rPr>
          <w:lang w:val="en-AU"/>
        </w:rPr>
        <w:t xml:space="preserve">renewables </w:t>
      </w:r>
      <w:r w:rsidR="00284BD8">
        <w:rPr>
          <w:lang w:val="en-AU"/>
        </w:rPr>
        <w:t xml:space="preserve">as a </w:t>
      </w:r>
      <w:r w:rsidR="00284BD8" w:rsidRPr="002622D2">
        <w:rPr>
          <w:lang w:val="en-AU"/>
        </w:rPr>
        <w:t xml:space="preserve">contributor to </w:t>
      </w:r>
      <w:r w:rsidR="00284BD8">
        <w:rPr>
          <w:lang w:val="en-AU"/>
        </w:rPr>
        <w:t xml:space="preserve">improvements </w:t>
      </w:r>
      <w:r w:rsidR="00284BD8" w:rsidRPr="002622D2">
        <w:rPr>
          <w:lang w:val="en-AU"/>
        </w:rPr>
        <w:t xml:space="preserve">in the emissions intensity of electricity supply. Renewables </w:t>
      </w:r>
      <w:r w:rsidR="00284BD8">
        <w:rPr>
          <w:lang w:val="en-AU"/>
        </w:rPr>
        <w:t xml:space="preserve">themselves are currently supported by </w:t>
      </w:r>
      <w:r w:rsidR="00284BD8" w:rsidRPr="002622D2">
        <w:rPr>
          <w:lang w:val="en-AU"/>
        </w:rPr>
        <w:t xml:space="preserve">the LRET and SRET, </w:t>
      </w:r>
      <w:r w:rsidR="00284BD8">
        <w:rPr>
          <w:lang w:val="en-AU"/>
        </w:rPr>
        <w:t>and thus these policies</w:t>
      </w:r>
      <w:r w:rsidR="004E3FFC">
        <w:rPr>
          <w:lang w:val="en-AU"/>
        </w:rPr>
        <w:t>,</w:t>
      </w:r>
      <w:r w:rsidR="00284BD8">
        <w:rPr>
          <w:lang w:val="en-AU"/>
        </w:rPr>
        <w:t xml:space="preserve"> together with the carbon price mechanism</w:t>
      </w:r>
      <w:r w:rsidR="004E3FFC">
        <w:rPr>
          <w:lang w:val="en-AU"/>
        </w:rPr>
        <w:t>,</w:t>
      </w:r>
      <w:r w:rsidR="00284BD8">
        <w:rPr>
          <w:lang w:val="en-AU"/>
        </w:rPr>
        <w:t xml:space="preserve"> are the key determinants of future electricity emissions intensity</w:t>
      </w:r>
      <w:r w:rsidR="00284BD8" w:rsidRPr="002622D2">
        <w:rPr>
          <w:lang w:val="en-AU"/>
        </w:rPr>
        <w:t>.</w:t>
      </w:r>
    </w:p>
    <w:p w:rsidR="00091B59" w:rsidRPr="002622D2" w:rsidRDefault="00091B59" w:rsidP="00091B59"/>
    <w:p w:rsidR="009466EE" w:rsidRDefault="009466EE">
      <w:pPr>
        <w:spacing w:after="200" w:line="24" w:lineRule="auto"/>
        <w:rPr>
          <w:rFonts w:asciiTheme="minorHAnsi" w:hAnsiTheme="minorHAnsi" w:cstheme="minorHAnsi"/>
          <w:b/>
          <w:bCs/>
          <w:sz w:val="30"/>
          <w:szCs w:val="30"/>
        </w:rPr>
      </w:pPr>
      <w:r>
        <w:br w:type="page"/>
      </w:r>
    </w:p>
    <w:p w:rsidR="00091B59" w:rsidRPr="00EF5149" w:rsidRDefault="00091B59" w:rsidP="00091B59">
      <w:pPr>
        <w:pStyle w:val="Appendixheading"/>
      </w:pPr>
      <w:r>
        <w:lastRenderedPageBreak/>
        <w:t>Economy-wide</w:t>
      </w:r>
      <w:r w:rsidRPr="00EF5149">
        <w:t xml:space="preserve"> emissions</w:t>
      </w:r>
    </w:p>
    <w:p w:rsidR="00A8195D" w:rsidRDefault="00F471B8" w:rsidP="00091B59">
      <w:r>
        <w:t>Economy-</w:t>
      </w:r>
      <w:r w:rsidRPr="002622D2">
        <w:t xml:space="preserve">wide emissions </w:t>
      </w:r>
      <w:r>
        <w:t>including land use, land</w:t>
      </w:r>
      <w:r w:rsidR="0020235C">
        <w:t>-</w:t>
      </w:r>
      <w:r>
        <w:t xml:space="preserve">use change and forestry (LULUCF) were virtually </w:t>
      </w:r>
      <w:r w:rsidRPr="002622D2">
        <w:t xml:space="preserve">unchanged between </w:t>
      </w:r>
      <w:r w:rsidR="005B06D4">
        <w:t>1990</w:t>
      </w:r>
      <w:r w:rsidRPr="002622D2">
        <w:t xml:space="preserve"> and </w:t>
      </w:r>
      <w:r>
        <w:t>2011 at around 560</w:t>
      </w:r>
      <w:r w:rsidRPr="002622D2">
        <w:t xml:space="preserve"> MtCO</w:t>
      </w:r>
      <w:r w:rsidRPr="00EF5149">
        <w:rPr>
          <w:vertAlign w:val="subscript"/>
        </w:rPr>
        <w:t>2</w:t>
      </w:r>
      <w:r w:rsidRPr="00EF5149">
        <w:t>e</w:t>
      </w:r>
      <w:r w:rsidRPr="002622D2">
        <w:t>.</w:t>
      </w:r>
    </w:p>
    <w:p w:rsidR="00F471B8" w:rsidRDefault="00F471B8" w:rsidP="00091B59"/>
    <w:p w:rsidR="00F471B8" w:rsidRDefault="00F471B8" w:rsidP="00F471B8">
      <w:pPr>
        <w:rPr>
          <w:bCs/>
        </w:rPr>
      </w:pPr>
      <w:r w:rsidRPr="002622D2">
        <w:rPr>
          <w:bCs/>
        </w:rPr>
        <w:t>Changes in emissions from</w:t>
      </w:r>
      <w:r>
        <w:rPr>
          <w:bCs/>
        </w:rPr>
        <w:t xml:space="preserve"> LULUCF, in particular</w:t>
      </w:r>
      <w:r w:rsidRPr="002622D2">
        <w:rPr>
          <w:bCs/>
        </w:rPr>
        <w:t xml:space="preserve"> forestry</w:t>
      </w:r>
      <w:r>
        <w:rPr>
          <w:bCs/>
        </w:rPr>
        <w:t>,</w:t>
      </w:r>
      <w:r w:rsidRPr="002622D2">
        <w:rPr>
          <w:bCs/>
        </w:rPr>
        <w:t xml:space="preserve"> offset emissions from economic growth</w:t>
      </w:r>
      <w:r>
        <w:rPr>
          <w:bCs/>
        </w:rPr>
        <w:t xml:space="preserve"> in other parts of the economy between 2008 and 2011</w:t>
      </w:r>
      <w:r w:rsidRPr="002622D2">
        <w:rPr>
          <w:bCs/>
        </w:rPr>
        <w:t xml:space="preserve">. </w:t>
      </w:r>
      <w:r>
        <w:rPr>
          <w:bCs/>
        </w:rPr>
        <w:t xml:space="preserve">LULUCF emissions fell while economy-wide emissions </w:t>
      </w:r>
      <w:r>
        <w:rPr>
          <w:bCs/>
          <w:i/>
        </w:rPr>
        <w:t>excluding</w:t>
      </w:r>
      <w:r>
        <w:rPr>
          <w:bCs/>
        </w:rPr>
        <w:t xml:space="preserve"> LULUCF increased.</w:t>
      </w:r>
    </w:p>
    <w:p w:rsidR="00F471B8" w:rsidRDefault="00F471B8" w:rsidP="00F471B8">
      <w:pPr>
        <w:rPr>
          <w:bCs/>
        </w:rPr>
      </w:pPr>
    </w:p>
    <w:p w:rsidR="004C26AD" w:rsidRDefault="004C26AD" w:rsidP="004C26AD">
      <w:r>
        <w:t>E</w:t>
      </w:r>
      <w:r w:rsidRPr="002622D2">
        <w:t>missions intensi</w:t>
      </w:r>
      <w:r>
        <w:t>ty continued</w:t>
      </w:r>
      <w:r w:rsidRPr="002622D2">
        <w:t xml:space="preserve"> to decline at </w:t>
      </w:r>
      <w:r>
        <w:t>a virtually unchanged rate of 1.9 per cent per year between 2000 and 2011, offsetting the effect of economic growth.</w:t>
      </w:r>
      <w:r w:rsidRPr="004C26AD">
        <w:t xml:space="preserve"> </w:t>
      </w:r>
      <w:r w:rsidRPr="002622D2">
        <w:t xml:space="preserve">The </w:t>
      </w:r>
      <w:r>
        <w:t xml:space="preserve">greatest </w:t>
      </w:r>
      <w:r w:rsidRPr="002622D2">
        <w:t xml:space="preserve">driver of the decrease in emissions growth </w:t>
      </w:r>
      <w:r w:rsidR="002B44F6">
        <w:t>has been</w:t>
      </w:r>
      <w:r w:rsidR="002B44F6" w:rsidRPr="002622D2">
        <w:t xml:space="preserve"> </w:t>
      </w:r>
      <w:r w:rsidRPr="002622D2">
        <w:t xml:space="preserve">the improvement of emissions intensity </w:t>
      </w:r>
      <w:r>
        <w:t>within sub</w:t>
      </w:r>
      <w:r w:rsidRPr="002622D2">
        <w:t xml:space="preserve">sectors. </w:t>
      </w:r>
      <w:r>
        <w:t xml:space="preserve">This effect </w:t>
      </w:r>
      <w:r w:rsidRPr="002622D2">
        <w:t>reduce</w:t>
      </w:r>
      <w:r>
        <w:t>d</w:t>
      </w:r>
      <w:r w:rsidRPr="002622D2">
        <w:t xml:space="preserve"> emissions by approximately 80 MtCO</w:t>
      </w:r>
      <w:r w:rsidRPr="00110974">
        <w:rPr>
          <w:vertAlign w:val="subscript"/>
        </w:rPr>
        <w:t>2</w:t>
      </w:r>
      <w:r w:rsidRPr="002622D2">
        <w:t xml:space="preserve"> between </w:t>
      </w:r>
      <w:r>
        <w:t>2000</w:t>
      </w:r>
      <w:r w:rsidRPr="002622D2">
        <w:t xml:space="preserve"> and </w:t>
      </w:r>
      <w:r>
        <w:t>2011</w:t>
      </w:r>
      <w:r w:rsidRPr="002622D2">
        <w:t xml:space="preserve">. </w:t>
      </w:r>
      <w:r>
        <w:t>In addition, r</w:t>
      </w:r>
      <w:r w:rsidRPr="002622D2">
        <w:t>estructuring between sectors in the economy contribute</w:t>
      </w:r>
      <w:r>
        <w:t>d</w:t>
      </w:r>
      <w:r w:rsidRPr="002622D2">
        <w:t xml:space="preserve"> a further 60 MtCO</w:t>
      </w:r>
      <w:r w:rsidRPr="002622D2">
        <w:rPr>
          <w:vertAlign w:val="subscript"/>
        </w:rPr>
        <w:t>2</w:t>
      </w:r>
      <w:r w:rsidRPr="002622D2">
        <w:t xml:space="preserve"> reduction </w:t>
      </w:r>
      <w:r>
        <w:t>over this period</w:t>
      </w:r>
      <w:r w:rsidRPr="002622D2">
        <w:t>.</w:t>
      </w:r>
    </w:p>
    <w:p w:rsidR="00F471B8" w:rsidRPr="00F471B8" w:rsidRDefault="00F471B8" w:rsidP="00F471B8"/>
    <w:p w:rsidR="00B20971" w:rsidRPr="004C26AD" w:rsidRDefault="00A8195D" w:rsidP="004C26AD">
      <w:pPr>
        <w:rPr>
          <w:bCs/>
        </w:rPr>
      </w:pPr>
      <w:r w:rsidRPr="004C26AD">
        <w:rPr>
          <w:bCs/>
        </w:rPr>
        <w:t xml:space="preserve">However, </w:t>
      </w:r>
      <w:r w:rsidR="00B20971" w:rsidRPr="004C26AD">
        <w:rPr>
          <w:bCs/>
        </w:rPr>
        <w:t>since 2008, there has been a departure from these trends. Growth in emission</w:t>
      </w:r>
      <w:r w:rsidR="009466EE">
        <w:rPr>
          <w:bCs/>
        </w:rPr>
        <w:t>s</w:t>
      </w:r>
      <w:r w:rsidR="00B20971" w:rsidRPr="004C26AD">
        <w:rPr>
          <w:bCs/>
        </w:rPr>
        <w:t xml:space="preserve"> </w:t>
      </w:r>
      <w:r w:rsidR="00B20971" w:rsidRPr="004C26AD">
        <w:rPr>
          <w:bCs/>
          <w:i/>
        </w:rPr>
        <w:t>excluding</w:t>
      </w:r>
      <w:r w:rsidR="00B20971" w:rsidRPr="004C26AD">
        <w:rPr>
          <w:bCs/>
        </w:rPr>
        <w:t xml:space="preserve"> LULUCF has slowed from </w:t>
      </w:r>
      <w:r w:rsidR="004C26AD">
        <w:rPr>
          <w:bCs/>
        </w:rPr>
        <w:t>1.3</w:t>
      </w:r>
      <w:r w:rsidR="00B20971" w:rsidRPr="004C26AD">
        <w:rPr>
          <w:bCs/>
        </w:rPr>
        <w:t xml:space="preserve"> per cent per </w:t>
      </w:r>
      <w:r w:rsidR="004C26AD">
        <w:rPr>
          <w:bCs/>
        </w:rPr>
        <w:t>year between 2000 and 2008</w:t>
      </w:r>
      <w:r w:rsidR="00B20971" w:rsidRPr="004C26AD">
        <w:rPr>
          <w:bCs/>
        </w:rPr>
        <w:t xml:space="preserve"> to </w:t>
      </w:r>
      <w:r w:rsidR="004C26AD">
        <w:rPr>
          <w:bCs/>
        </w:rPr>
        <w:t xml:space="preserve">0.1 </w:t>
      </w:r>
      <w:r w:rsidR="00B20971" w:rsidRPr="004C26AD">
        <w:rPr>
          <w:bCs/>
        </w:rPr>
        <w:t xml:space="preserve">per cent per </w:t>
      </w:r>
      <w:r w:rsidR="004C26AD">
        <w:rPr>
          <w:bCs/>
        </w:rPr>
        <w:t>year between 2008 and 2011</w:t>
      </w:r>
      <w:r w:rsidR="00B20971" w:rsidRPr="004C26AD">
        <w:rPr>
          <w:bCs/>
        </w:rPr>
        <w:t>. This was mainly due to electricity supply</w:t>
      </w:r>
      <w:r w:rsidR="004C26AD">
        <w:rPr>
          <w:bCs/>
        </w:rPr>
        <w:t>, which alone reduced economy-wide emissions excluding LULUCF by 1 per cent between 2008 and 2011.</w:t>
      </w:r>
      <w:r w:rsidR="00B20971" w:rsidRPr="004C26AD">
        <w:rPr>
          <w:bCs/>
        </w:rPr>
        <w:t xml:space="preserve"> Lower economic growth </w:t>
      </w:r>
      <w:r w:rsidR="004C26AD">
        <w:rPr>
          <w:bCs/>
        </w:rPr>
        <w:t xml:space="preserve">after 2008 and </w:t>
      </w:r>
      <w:r w:rsidR="009466EE">
        <w:rPr>
          <w:bCs/>
        </w:rPr>
        <w:t xml:space="preserve">higher </w:t>
      </w:r>
      <w:r w:rsidR="004C26AD">
        <w:rPr>
          <w:bCs/>
        </w:rPr>
        <w:t xml:space="preserve">emissions intensity </w:t>
      </w:r>
      <w:r w:rsidR="00B20971" w:rsidRPr="004C26AD">
        <w:rPr>
          <w:bCs/>
        </w:rPr>
        <w:t>in other</w:t>
      </w:r>
      <w:r w:rsidR="004C26AD">
        <w:rPr>
          <w:bCs/>
        </w:rPr>
        <w:t xml:space="preserve"> economic</w:t>
      </w:r>
      <w:r w:rsidR="00B20971" w:rsidRPr="004C26AD">
        <w:rPr>
          <w:bCs/>
        </w:rPr>
        <w:t xml:space="preserve"> sectors also contributed</w:t>
      </w:r>
      <w:r w:rsidR="009466EE">
        <w:rPr>
          <w:bCs/>
        </w:rPr>
        <w:t xml:space="preserve"> to the overall effect</w:t>
      </w:r>
      <w:r w:rsidR="00B20971" w:rsidRPr="004C26AD">
        <w:rPr>
          <w:bCs/>
        </w:rPr>
        <w:t>.</w:t>
      </w:r>
      <w:r w:rsidRPr="004C26AD">
        <w:rPr>
          <w:bCs/>
        </w:rPr>
        <w:t xml:space="preserve"> </w:t>
      </w:r>
      <w:r w:rsidR="009466EE">
        <w:rPr>
          <w:bCs/>
        </w:rPr>
        <w:t xml:space="preserve">A notable sector </w:t>
      </w:r>
      <w:r w:rsidRPr="004C26AD">
        <w:rPr>
          <w:bCs/>
        </w:rPr>
        <w:t>is mining</w:t>
      </w:r>
      <w:r w:rsidR="009466EE">
        <w:rPr>
          <w:bCs/>
        </w:rPr>
        <w:t>,</w:t>
      </w:r>
      <w:r w:rsidRPr="004C26AD">
        <w:rPr>
          <w:bCs/>
        </w:rPr>
        <w:t xml:space="preserve"> </w:t>
      </w:r>
      <w:r w:rsidR="009466EE">
        <w:rPr>
          <w:bCs/>
        </w:rPr>
        <w:t xml:space="preserve">in </w:t>
      </w:r>
      <w:r w:rsidR="004C26AD">
        <w:rPr>
          <w:bCs/>
        </w:rPr>
        <w:t xml:space="preserve">which emissions grew between 2008 and 2011 due to increased activity and </w:t>
      </w:r>
      <w:r w:rsidR="006F6BDF">
        <w:rPr>
          <w:bCs/>
        </w:rPr>
        <w:t>a higher</w:t>
      </w:r>
      <w:r w:rsidR="004C26AD">
        <w:rPr>
          <w:bCs/>
        </w:rPr>
        <w:t xml:space="preserve"> emissions intensity.</w:t>
      </w:r>
    </w:p>
    <w:p w:rsidR="00091B59" w:rsidRDefault="00091B59" w:rsidP="00091B59"/>
    <w:p w:rsidR="00091B59" w:rsidRDefault="00091B59" w:rsidP="00091B59">
      <w:pPr>
        <w:pStyle w:val="Appendixheading"/>
      </w:pPr>
      <w:r>
        <w:t>Outlook</w:t>
      </w:r>
    </w:p>
    <w:p w:rsidR="00091B59" w:rsidRDefault="009466EE" w:rsidP="00091B59">
      <w:r>
        <w:t>E</w:t>
      </w:r>
      <w:r w:rsidR="00091B59">
        <w:t>lectricity price and economic growth projections</w:t>
      </w:r>
      <w:r>
        <w:t xml:space="preserve"> show that</w:t>
      </w:r>
      <w:r w:rsidR="00091B59">
        <w:t xml:space="preserve"> electricity </w:t>
      </w:r>
      <w:r w:rsidR="00E14035">
        <w:t>consumption</w:t>
      </w:r>
      <w:r w:rsidR="00091B59">
        <w:t xml:space="preserve"> is likely to start </w:t>
      </w:r>
      <w:r w:rsidR="003B0B5C">
        <w:t xml:space="preserve">increasing </w:t>
      </w:r>
      <w:r w:rsidR="00091B59">
        <w:t xml:space="preserve">again but at a </w:t>
      </w:r>
      <w:r>
        <w:t xml:space="preserve">rate </w:t>
      </w:r>
      <w:r w:rsidR="00091B59">
        <w:t xml:space="preserve">below the trend </w:t>
      </w:r>
      <w:r w:rsidR="0020235C">
        <w:t xml:space="preserve">observed </w:t>
      </w:r>
      <w:r>
        <w:t xml:space="preserve">between </w:t>
      </w:r>
      <w:r w:rsidR="006C667D">
        <w:t>2000</w:t>
      </w:r>
      <w:r w:rsidR="00091B59">
        <w:t xml:space="preserve"> </w:t>
      </w:r>
      <w:r>
        <w:t xml:space="preserve">and </w:t>
      </w:r>
      <w:r w:rsidR="006C667D">
        <w:t>2008</w:t>
      </w:r>
      <w:r w:rsidR="00091B59">
        <w:t>.</w:t>
      </w:r>
    </w:p>
    <w:p w:rsidR="00284BD8" w:rsidRDefault="00284BD8" w:rsidP="00091B59"/>
    <w:p w:rsidR="00091B59" w:rsidRDefault="00091B59" w:rsidP="00091B59">
      <w:r>
        <w:t xml:space="preserve">Electricity generation emissions intensity changes </w:t>
      </w:r>
      <w:r w:rsidR="003B0B5C">
        <w:t xml:space="preserve">are responsive to </w:t>
      </w:r>
      <w:r>
        <w:t>policy in the long run. The policy en</w:t>
      </w:r>
      <w:r w:rsidR="006C2014">
        <w:t>vironment is important for long-</w:t>
      </w:r>
      <w:r>
        <w:t>term decisions such as power plant construction, which influences the share of gas generation and renewables, as well as the level of incent</w:t>
      </w:r>
      <w:r w:rsidR="003B0B5C">
        <w:t>ives for small scale generation</w:t>
      </w:r>
      <w:r>
        <w:t xml:space="preserve"> </w:t>
      </w:r>
      <w:r w:rsidR="003B0B5C">
        <w:t xml:space="preserve">such as </w:t>
      </w:r>
      <w:r>
        <w:t>solar PV</w:t>
      </w:r>
      <w:r w:rsidR="003B0B5C">
        <w:t xml:space="preserve">, which makes a </w:t>
      </w:r>
      <w:r w:rsidR="009466EE">
        <w:t xml:space="preserve">much </w:t>
      </w:r>
      <w:r w:rsidR="003B0B5C">
        <w:t>smaller contribution</w:t>
      </w:r>
      <w:r>
        <w:t>.</w:t>
      </w:r>
    </w:p>
    <w:p w:rsidR="00091B59" w:rsidRDefault="00091B59" w:rsidP="00091B59"/>
    <w:p w:rsidR="00284BD8" w:rsidRPr="002622D2" w:rsidRDefault="00284BD8" w:rsidP="00284BD8">
      <w:r>
        <w:t>Further decreases in economy-wide</w:t>
      </w:r>
      <w:r w:rsidRPr="002622D2">
        <w:t xml:space="preserve"> emissions intensity </w:t>
      </w:r>
      <w:r>
        <w:t xml:space="preserve">in the future, together with stable or declining levels of emissions, would be </w:t>
      </w:r>
      <w:r w:rsidRPr="002622D2">
        <w:t>consistent with:</w:t>
      </w:r>
    </w:p>
    <w:p w:rsidR="00284BD8" w:rsidRPr="009466EE" w:rsidRDefault="00284BD8" w:rsidP="009466EE">
      <w:pPr>
        <w:pStyle w:val="Dashedbullets"/>
      </w:pPr>
      <w:r w:rsidRPr="009466EE">
        <w:t>continuing strong renewable incentives;</w:t>
      </w:r>
    </w:p>
    <w:p w:rsidR="00284BD8" w:rsidRPr="009466EE" w:rsidRDefault="00284BD8" w:rsidP="009466EE">
      <w:pPr>
        <w:pStyle w:val="Dashedbullets"/>
      </w:pPr>
      <w:r w:rsidRPr="009466EE">
        <w:t>further substitution of gas for coal, encouraged by a carbon price, despite projected gas price increases; and</w:t>
      </w:r>
    </w:p>
    <w:p w:rsidR="00284BD8" w:rsidRPr="009466EE" w:rsidRDefault="00284BD8" w:rsidP="009466EE">
      <w:pPr>
        <w:pStyle w:val="Dashedbullets"/>
      </w:pPr>
      <w:r w:rsidRPr="009466EE">
        <w:t>additional structural change in the economy away from emissions</w:t>
      </w:r>
      <w:r w:rsidR="0020235C">
        <w:t>-</w:t>
      </w:r>
      <w:r w:rsidRPr="009466EE">
        <w:t>intensive subsectors such as manufacturing and mining.</w:t>
      </w:r>
    </w:p>
    <w:p w:rsidR="00F471B8" w:rsidRDefault="00F471B8" w:rsidP="00F471B8">
      <w:pPr>
        <w:pStyle w:val="Dashedbullets"/>
        <w:numPr>
          <w:ilvl w:val="0"/>
          <w:numId w:val="0"/>
        </w:numPr>
        <w:ind w:left="284" w:hanging="284"/>
      </w:pPr>
    </w:p>
    <w:p w:rsidR="00091B59" w:rsidRDefault="00091B59" w:rsidP="00091B59">
      <w:r>
        <w:t xml:space="preserve">Economy-wide emissions depend to a large extent on emissions from electricity. With consumption growing at a slower rate and electricity </w:t>
      </w:r>
      <w:r w:rsidR="003B0B5C">
        <w:t xml:space="preserve">emissions </w:t>
      </w:r>
      <w:r>
        <w:t xml:space="preserve">intensity falling, increased emissions from </w:t>
      </w:r>
      <w:r w:rsidR="006C2014">
        <w:t xml:space="preserve">expanding activity in </w:t>
      </w:r>
      <w:r>
        <w:t xml:space="preserve">sectors such as mining can be partially offset. </w:t>
      </w:r>
      <w:r w:rsidR="003B0B5C">
        <w:t>L</w:t>
      </w:r>
      <w:r>
        <w:t xml:space="preserve">and use, land-use change and forestry emissions </w:t>
      </w:r>
      <w:r w:rsidR="00BD49A0">
        <w:t xml:space="preserve">have been </w:t>
      </w:r>
      <w:r>
        <w:lastRenderedPageBreak/>
        <w:t>the main driver of economy-wide emissions</w:t>
      </w:r>
      <w:r w:rsidR="003B0B5C">
        <w:t xml:space="preserve"> in recent years and their future role will be critical to the aggregate trend</w:t>
      </w:r>
      <w:r>
        <w:t>.</w:t>
      </w:r>
    </w:p>
    <w:p w:rsidR="00B64B45" w:rsidRPr="00973F11" w:rsidRDefault="00B64B45" w:rsidP="00091B59"/>
    <w:p w:rsidR="00474C27" w:rsidRPr="001E08F5" w:rsidRDefault="00474C27" w:rsidP="001E08F5">
      <w:pPr>
        <w:sectPr w:rsidR="00474C27" w:rsidRPr="001E08F5" w:rsidSect="00A3383B">
          <w:headerReference w:type="default" r:id="rId10"/>
          <w:footerReference w:type="default" r:id="rId11"/>
          <w:headerReference w:type="first" r:id="rId12"/>
          <w:pgSz w:w="11906" w:h="16838"/>
          <w:pgMar w:top="1985" w:right="1134" w:bottom="1701" w:left="1134" w:header="425" w:footer="709" w:gutter="0"/>
          <w:cols w:space="708"/>
          <w:titlePg/>
          <w:docGrid w:linePitch="360"/>
        </w:sectPr>
      </w:pPr>
    </w:p>
    <w:p w:rsidR="009C7C3A" w:rsidRPr="00EF51BF" w:rsidRDefault="009C7C3A" w:rsidP="00B80A3C">
      <w:pPr>
        <w:pStyle w:val="Contents"/>
        <w:spacing w:after="840"/>
      </w:pPr>
      <w:r w:rsidRPr="00EF51BF">
        <w:lastRenderedPageBreak/>
        <w:t xml:space="preserve">Contents </w:t>
      </w:r>
    </w:p>
    <w:p w:rsidR="00BB4088" w:rsidRDefault="005A66AE">
      <w:pPr>
        <w:pStyle w:val="TOC1"/>
        <w:rPr>
          <w:rFonts w:asciiTheme="minorHAnsi" w:eastAsiaTheme="minorEastAsia" w:hAnsiTheme="minorHAnsi" w:cstheme="minorBidi"/>
          <w:color w:val="auto"/>
          <w:lang w:eastAsia="en-GB"/>
        </w:rPr>
      </w:pPr>
      <w:r w:rsidRPr="00EF51BF">
        <w:fldChar w:fldCharType="begin"/>
      </w:r>
      <w:r w:rsidR="001B2C3F" w:rsidRPr="00EF51BF">
        <w:instrText xml:space="preserve"> TOC \u \t "Heading 1,2,References,1,Appendix,1,Executive Summary,1" </w:instrText>
      </w:r>
      <w:r w:rsidRPr="00EF51BF">
        <w:fldChar w:fldCharType="separate"/>
      </w:r>
      <w:r w:rsidR="00BB4088">
        <w:t>Executive Summary</w:t>
      </w:r>
      <w:r w:rsidR="00BB4088">
        <w:tab/>
      </w:r>
      <w:r w:rsidR="00BB4088">
        <w:fldChar w:fldCharType="begin"/>
      </w:r>
      <w:r w:rsidR="00BB4088">
        <w:instrText xml:space="preserve"> PAGEREF _Toc369890500 \h </w:instrText>
      </w:r>
      <w:r w:rsidR="00BB4088">
        <w:fldChar w:fldCharType="separate"/>
      </w:r>
      <w:r w:rsidR="00197E14">
        <w:t>3</w:t>
      </w:r>
      <w:r w:rsidR="00BB4088">
        <w:fldChar w:fldCharType="end"/>
      </w:r>
    </w:p>
    <w:p w:rsidR="00BB4088" w:rsidRDefault="00BB4088">
      <w:pPr>
        <w:pStyle w:val="TOC2"/>
        <w:rPr>
          <w:rFonts w:asciiTheme="minorHAnsi" w:eastAsiaTheme="minorEastAsia" w:hAnsiTheme="minorHAnsi" w:cstheme="minorBidi"/>
          <w:b w:val="0"/>
          <w:color w:val="auto"/>
          <w:lang w:eastAsia="en-GB"/>
        </w:rPr>
      </w:pPr>
      <w:r>
        <w:t>1</w:t>
      </w:r>
      <w:r>
        <w:rPr>
          <w:rFonts w:asciiTheme="minorHAnsi" w:eastAsiaTheme="minorEastAsia" w:hAnsiTheme="minorHAnsi" w:cstheme="minorBidi"/>
          <w:b w:val="0"/>
          <w:color w:val="auto"/>
          <w:lang w:eastAsia="en-GB"/>
        </w:rPr>
        <w:tab/>
      </w:r>
      <w:r>
        <w:t>Introduction</w:t>
      </w:r>
      <w:r>
        <w:tab/>
      </w:r>
      <w:r>
        <w:fldChar w:fldCharType="begin"/>
      </w:r>
      <w:r>
        <w:instrText xml:space="preserve"> PAGEREF _Toc369890501 \h </w:instrText>
      </w:r>
      <w:r>
        <w:fldChar w:fldCharType="separate"/>
      </w:r>
      <w:r w:rsidR="00197E14">
        <w:t>16</w:t>
      </w:r>
      <w:r>
        <w:fldChar w:fldCharType="end"/>
      </w:r>
    </w:p>
    <w:p w:rsidR="00BB4088" w:rsidRDefault="00BB4088">
      <w:pPr>
        <w:pStyle w:val="TOC2"/>
        <w:rPr>
          <w:rFonts w:asciiTheme="minorHAnsi" w:eastAsiaTheme="minorEastAsia" w:hAnsiTheme="minorHAnsi" w:cstheme="minorBidi"/>
          <w:b w:val="0"/>
          <w:color w:val="auto"/>
          <w:lang w:eastAsia="en-GB"/>
        </w:rPr>
      </w:pPr>
      <w:r>
        <w:t>2</w:t>
      </w:r>
      <w:r>
        <w:rPr>
          <w:rFonts w:asciiTheme="minorHAnsi" w:eastAsiaTheme="minorEastAsia" w:hAnsiTheme="minorHAnsi" w:cstheme="minorBidi"/>
          <w:b w:val="0"/>
          <w:color w:val="auto"/>
          <w:lang w:eastAsia="en-GB"/>
        </w:rPr>
        <w:tab/>
      </w:r>
      <w:r>
        <w:t>Electricity consumption in the National Electricity Market</w:t>
      </w:r>
      <w:r>
        <w:tab/>
      </w:r>
      <w:r>
        <w:fldChar w:fldCharType="begin"/>
      </w:r>
      <w:r>
        <w:instrText xml:space="preserve"> PAGEREF _Toc369890502 \h </w:instrText>
      </w:r>
      <w:r>
        <w:fldChar w:fldCharType="separate"/>
      </w:r>
      <w:r w:rsidR="00197E14">
        <w:t>23</w:t>
      </w:r>
      <w:r>
        <w:fldChar w:fldCharType="end"/>
      </w:r>
    </w:p>
    <w:p w:rsidR="00BB4088" w:rsidRDefault="00BB4088">
      <w:pPr>
        <w:pStyle w:val="TOC2"/>
        <w:rPr>
          <w:rFonts w:asciiTheme="minorHAnsi" w:eastAsiaTheme="minorEastAsia" w:hAnsiTheme="minorHAnsi" w:cstheme="minorBidi"/>
          <w:b w:val="0"/>
          <w:color w:val="auto"/>
          <w:lang w:eastAsia="en-GB"/>
        </w:rPr>
      </w:pPr>
      <w:r>
        <w:t>3</w:t>
      </w:r>
      <w:r>
        <w:rPr>
          <w:rFonts w:asciiTheme="minorHAnsi" w:eastAsiaTheme="minorEastAsia" w:hAnsiTheme="minorHAnsi" w:cstheme="minorBidi"/>
          <w:b w:val="0"/>
          <w:color w:val="auto"/>
          <w:lang w:eastAsia="en-GB"/>
        </w:rPr>
        <w:tab/>
      </w:r>
      <w:r>
        <w:t>Electricity generation emissions intensity</w:t>
      </w:r>
      <w:r>
        <w:tab/>
      </w:r>
      <w:r>
        <w:fldChar w:fldCharType="begin"/>
      </w:r>
      <w:r>
        <w:instrText xml:space="preserve"> PAGEREF _Toc369890503 \h </w:instrText>
      </w:r>
      <w:r>
        <w:fldChar w:fldCharType="separate"/>
      </w:r>
      <w:r w:rsidR="00197E14">
        <w:t>64</w:t>
      </w:r>
      <w:r>
        <w:fldChar w:fldCharType="end"/>
      </w:r>
    </w:p>
    <w:p w:rsidR="00BB4088" w:rsidRDefault="00BB4088">
      <w:pPr>
        <w:pStyle w:val="TOC2"/>
        <w:rPr>
          <w:rFonts w:asciiTheme="minorHAnsi" w:eastAsiaTheme="minorEastAsia" w:hAnsiTheme="minorHAnsi" w:cstheme="minorBidi"/>
          <w:b w:val="0"/>
          <w:color w:val="auto"/>
          <w:lang w:eastAsia="en-GB"/>
        </w:rPr>
      </w:pPr>
      <w:r>
        <w:t>4</w:t>
      </w:r>
      <w:r>
        <w:rPr>
          <w:rFonts w:asciiTheme="minorHAnsi" w:eastAsiaTheme="minorEastAsia" w:hAnsiTheme="minorHAnsi" w:cstheme="minorBidi"/>
          <w:b w:val="0"/>
          <w:color w:val="auto"/>
          <w:lang w:eastAsia="en-GB"/>
        </w:rPr>
        <w:tab/>
      </w:r>
      <w:r>
        <w:t>Economy-wide emissions</w:t>
      </w:r>
      <w:r>
        <w:tab/>
      </w:r>
      <w:r>
        <w:fldChar w:fldCharType="begin"/>
      </w:r>
      <w:r>
        <w:instrText xml:space="preserve"> PAGEREF _Toc369890504 \h </w:instrText>
      </w:r>
      <w:r>
        <w:fldChar w:fldCharType="separate"/>
      </w:r>
      <w:r w:rsidR="00197E14">
        <w:t>87</w:t>
      </w:r>
      <w:r>
        <w:fldChar w:fldCharType="end"/>
      </w:r>
    </w:p>
    <w:p w:rsidR="00BB4088" w:rsidRDefault="00BB4088">
      <w:pPr>
        <w:pStyle w:val="TOC2"/>
        <w:rPr>
          <w:rFonts w:asciiTheme="minorHAnsi" w:eastAsiaTheme="minorEastAsia" w:hAnsiTheme="minorHAnsi" w:cstheme="minorBidi"/>
          <w:b w:val="0"/>
          <w:color w:val="auto"/>
          <w:lang w:eastAsia="en-GB"/>
        </w:rPr>
      </w:pPr>
      <w:r>
        <w:t>5</w:t>
      </w:r>
      <w:r>
        <w:rPr>
          <w:rFonts w:asciiTheme="minorHAnsi" w:eastAsiaTheme="minorEastAsia" w:hAnsiTheme="minorHAnsi" w:cstheme="minorBidi"/>
          <w:b w:val="0"/>
          <w:color w:val="auto"/>
          <w:lang w:eastAsia="en-GB"/>
        </w:rPr>
        <w:tab/>
      </w:r>
      <w:r>
        <w:t>Conclusion</w:t>
      </w:r>
      <w:r>
        <w:tab/>
      </w:r>
      <w:r>
        <w:fldChar w:fldCharType="begin"/>
      </w:r>
      <w:r>
        <w:instrText xml:space="preserve"> PAGEREF _Toc369890505 \h </w:instrText>
      </w:r>
      <w:r>
        <w:fldChar w:fldCharType="separate"/>
      </w:r>
      <w:r w:rsidR="00197E14">
        <w:t>113</w:t>
      </w:r>
      <w:r>
        <w:fldChar w:fldCharType="end"/>
      </w:r>
    </w:p>
    <w:p w:rsidR="00BB4088" w:rsidRDefault="00BB4088">
      <w:pPr>
        <w:pStyle w:val="TOC2"/>
        <w:rPr>
          <w:rFonts w:asciiTheme="minorHAnsi" w:eastAsiaTheme="minorEastAsia" w:hAnsiTheme="minorHAnsi" w:cstheme="minorBidi"/>
          <w:b w:val="0"/>
          <w:color w:val="auto"/>
          <w:lang w:eastAsia="en-GB"/>
        </w:rPr>
      </w:pPr>
      <w:r>
        <w:t>6</w:t>
      </w:r>
      <w:r>
        <w:rPr>
          <w:rFonts w:asciiTheme="minorHAnsi" w:eastAsiaTheme="minorEastAsia" w:hAnsiTheme="minorHAnsi" w:cstheme="minorBidi"/>
          <w:b w:val="0"/>
          <w:color w:val="auto"/>
          <w:lang w:eastAsia="en-GB"/>
        </w:rPr>
        <w:tab/>
      </w:r>
      <w:r>
        <w:t>Methodology</w:t>
      </w:r>
      <w:r>
        <w:tab/>
      </w:r>
      <w:r>
        <w:fldChar w:fldCharType="begin"/>
      </w:r>
      <w:r>
        <w:instrText xml:space="preserve"> PAGEREF _Toc369890506 \h </w:instrText>
      </w:r>
      <w:r>
        <w:fldChar w:fldCharType="separate"/>
      </w:r>
      <w:r w:rsidR="00197E14">
        <w:t>118</w:t>
      </w:r>
      <w:r>
        <w:fldChar w:fldCharType="end"/>
      </w:r>
    </w:p>
    <w:p w:rsidR="00BB4088" w:rsidRDefault="00BB4088">
      <w:pPr>
        <w:pStyle w:val="TOC2"/>
        <w:rPr>
          <w:rFonts w:asciiTheme="minorHAnsi" w:eastAsiaTheme="minorEastAsia" w:hAnsiTheme="minorHAnsi" w:cstheme="minorBidi"/>
          <w:b w:val="0"/>
          <w:color w:val="auto"/>
          <w:lang w:eastAsia="en-GB"/>
        </w:rPr>
      </w:pPr>
      <w:r>
        <w:t>7</w:t>
      </w:r>
      <w:r>
        <w:rPr>
          <w:rFonts w:asciiTheme="minorHAnsi" w:eastAsiaTheme="minorEastAsia" w:hAnsiTheme="minorHAnsi" w:cstheme="minorBidi"/>
          <w:b w:val="0"/>
          <w:color w:val="auto"/>
          <w:lang w:eastAsia="en-GB"/>
        </w:rPr>
        <w:tab/>
      </w:r>
      <w:r>
        <w:t>Data</w:t>
      </w:r>
      <w:r>
        <w:tab/>
      </w:r>
      <w:r>
        <w:fldChar w:fldCharType="begin"/>
      </w:r>
      <w:r>
        <w:instrText xml:space="preserve"> PAGEREF _Toc369890507 \h </w:instrText>
      </w:r>
      <w:r>
        <w:fldChar w:fldCharType="separate"/>
      </w:r>
      <w:r w:rsidR="00197E14">
        <w:t>130</w:t>
      </w:r>
      <w:r>
        <w:fldChar w:fldCharType="end"/>
      </w:r>
    </w:p>
    <w:p w:rsidR="00BB4088" w:rsidRDefault="00BB4088">
      <w:pPr>
        <w:pStyle w:val="TOC1"/>
        <w:rPr>
          <w:rFonts w:asciiTheme="minorHAnsi" w:eastAsiaTheme="minorEastAsia" w:hAnsiTheme="minorHAnsi" w:cstheme="minorBidi"/>
          <w:color w:val="auto"/>
          <w:lang w:eastAsia="en-GB"/>
        </w:rPr>
      </w:pPr>
      <w:r>
        <w:t>Appendix</w:t>
      </w:r>
      <w:r>
        <w:tab/>
      </w:r>
      <w:r>
        <w:fldChar w:fldCharType="begin"/>
      </w:r>
      <w:r>
        <w:instrText xml:space="preserve"> PAGEREF _Toc369890508 \h </w:instrText>
      </w:r>
      <w:r>
        <w:fldChar w:fldCharType="separate"/>
      </w:r>
      <w:r w:rsidR="00197E14">
        <w:t>135</w:t>
      </w:r>
      <w:r>
        <w:fldChar w:fldCharType="end"/>
      </w:r>
    </w:p>
    <w:p w:rsidR="00BB4088" w:rsidRDefault="00BB4088">
      <w:pPr>
        <w:pStyle w:val="TOC1"/>
        <w:rPr>
          <w:rFonts w:asciiTheme="minorHAnsi" w:eastAsiaTheme="minorEastAsia" w:hAnsiTheme="minorHAnsi" w:cstheme="minorBidi"/>
          <w:color w:val="auto"/>
          <w:lang w:eastAsia="en-GB"/>
        </w:rPr>
      </w:pPr>
      <w:r>
        <w:t>References</w:t>
      </w:r>
      <w:r>
        <w:tab/>
      </w:r>
      <w:r>
        <w:fldChar w:fldCharType="begin"/>
      </w:r>
      <w:r>
        <w:instrText xml:space="preserve"> PAGEREF _Toc369890509 \h </w:instrText>
      </w:r>
      <w:r>
        <w:fldChar w:fldCharType="separate"/>
      </w:r>
      <w:r w:rsidR="00197E14">
        <w:t>143</w:t>
      </w:r>
      <w:r>
        <w:fldChar w:fldCharType="end"/>
      </w:r>
    </w:p>
    <w:p w:rsidR="009C7C3A" w:rsidRPr="00EF51BF" w:rsidRDefault="005A66AE" w:rsidP="00430244">
      <w:r w:rsidRPr="00EF51BF">
        <w:rPr>
          <w:rFonts w:cs="Arial"/>
        </w:rPr>
        <w:fldChar w:fldCharType="end"/>
      </w:r>
    </w:p>
    <w:p w:rsidR="000C43B2" w:rsidRPr="00EF51BF" w:rsidRDefault="000C43B2" w:rsidP="004D22CA">
      <w:pPr>
        <w:pStyle w:val="Contents"/>
        <w:keepNext/>
      </w:pPr>
      <w:r w:rsidRPr="00EF51BF">
        <w:lastRenderedPageBreak/>
        <w:t xml:space="preserve">List of tables </w:t>
      </w:r>
    </w:p>
    <w:p w:rsidR="00BB4088" w:rsidRDefault="005A66AE">
      <w:pPr>
        <w:pStyle w:val="TableofFigures"/>
        <w:rPr>
          <w:rFonts w:asciiTheme="minorHAnsi" w:eastAsiaTheme="minorEastAsia" w:hAnsiTheme="minorHAnsi"/>
          <w:color w:val="auto"/>
          <w:lang w:eastAsia="en-GB"/>
        </w:rPr>
      </w:pPr>
      <w:r w:rsidRPr="00EF51BF">
        <w:fldChar w:fldCharType="begin"/>
      </w:r>
      <w:r w:rsidR="00806A93" w:rsidRPr="00EF51BF">
        <w:instrText xml:space="preserve"> TOC \t "Table title,1" \c "Figure" </w:instrText>
      </w:r>
      <w:r w:rsidRPr="00EF51BF">
        <w:fldChar w:fldCharType="separate"/>
      </w:r>
      <w:r w:rsidR="00BB4088" w:rsidRPr="00852C99">
        <w:rPr>
          <w:i/>
          <w:color w:val="000000"/>
        </w:rPr>
        <w:t>Table 1.</w:t>
      </w:r>
      <w:r w:rsidR="00BB4088">
        <w:rPr>
          <w:rFonts w:asciiTheme="minorHAnsi" w:eastAsiaTheme="minorEastAsia" w:hAnsiTheme="minorHAnsi"/>
          <w:color w:val="auto"/>
          <w:lang w:eastAsia="en-GB"/>
        </w:rPr>
        <w:tab/>
      </w:r>
      <w:r w:rsidR="00BB4088">
        <w:t>Growth in electricity consumption in Australia slowed to a stop after 2008</w:t>
      </w:r>
      <w:r w:rsidR="00BB4088">
        <w:tab/>
      </w:r>
      <w:r w:rsidR="00BB4088">
        <w:fldChar w:fldCharType="begin"/>
      </w:r>
      <w:r w:rsidR="00BB4088">
        <w:instrText xml:space="preserve"> PAGEREF _Toc369890510 \h </w:instrText>
      </w:r>
      <w:r w:rsidR="00BB4088">
        <w:fldChar w:fldCharType="separate"/>
      </w:r>
      <w:r w:rsidR="00197E14">
        <w:t>24</w:t>
      </w:r>
      <w:r w:rsidR="00BB4088">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w:t>
      </w:r>
      <w:r>
        <w:rPr>
          <w:rFonts w:asciiTheme="minorHAnsi" w:eastAsiaTheme="minorEastAsia" w:hAnsiTheme="minorHAnsi"/>
          <w:color w:val="auto"/>
          <w:lang w:eastAsia="en-GB"/>
        </w:rPr>
        <w:tab/>
      </w:r>
      <w:r>
        <w:t>Growth in electricity consumption in the NEM  region reversed after 2008</w:t>
      </w:r>
      <w:r>
        <w:tab/>
      </w:r>
      <w:r>
        <w:fldChar w:fldCharType="begin"/>
      </w:r>
      <w:r>
        <w:instrText xml:space="preserve"> PAGEREF _Toc369890511 \h </w:instrText>
      </w:r>
      <w:r>
        <w:fldChar w:fldCharType="separate"/>
      </w:r>
      <w:r w:rsidR="00197E14">
        <w:t>27</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3.</w:t>
      </w:r>
      <w:r>
        <w:rPr>
          <w:rFonts w:asciiTheme="minorHAnsi" w:eastAsiaTheme="minorEastAsia" w:hAnsiTheme="minorHAnsi"/>
          <w:color w:val="auto"/>
          <w:lang w:eastAsia="en-GB"/>
        </w:rPr>
        <w:tab/>
      </w:r>
      <w:r>
        <w:t>The share of electricity consumed by manufacturing declined between 2008 and 2012 whereas the share of commercial and services consumption grew in the same period</w:t>
      </w:r>
      <w:r>
        <w:tab/>
      </w:r>
      <w:r>
        <w:fldChar w:fldCharType="begin"/>
      </w:r>
      <w:r>
        <w:instrText xml:space="preserve"> PAGEREF _Toc369890512 \h </w:instrText>
      </w:r>
      <w:r>
        <w:fldChar w:fldCharType="separate"/>
      </w:r>
      <w:r w:rsidR="00197E14">
        <w:t>28</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4.</w:t>
      </w:r>
      <w:r>
        <w:rPr>
          <w:rFonts w:asciiTheme="minorHAnsi" w:eastAsiaTheme="minorEastAsia" w:hAnsiTheme="minorHAnsi"/>
          <w:color w:val="auto"/>
          <w:lang w:eastAsia="en-GB"/>
        </w:rPr>
        <w:tab/>
      </w:r>
      <w:r>
        <w:t>Electricity consumption fell after 2008 in agriculture, manufacturing, utilities and transport, NEM region</w:t>
      </w:r>
      <w:r>
        <w:tab/>
      </w:r>
      <w:r>
        <w:fldChar w:fldCharType="begin"/>
      </w:r>
      <w:r>
        <w:instrText xml:space="preserve"> PAGEREF _Toc369890513 \h </w:instrText>
      </w:r>
      <w:r>
        <w:fldChar w:fldCharType="separate"/>
      </w:r>
      <w:r w:rsidR="00197E14">
        <w:t>30</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5.</w:t>
      </w:r>
      <w:r>
        <w:rPr>
          <w:rFonts w:asciiTheme="minorHAnsi" w:eastAsiaTheme="minorEastAsia" w:hAnsiTheme="minorHAnsi"/>
          <w:color w:val="auto"/>
          <w:lang w:eastAsia="en-GB"/>
        </w:rPr>
        <w:tab/>
      </w:r>
      <w:r>
        <w:t>Electricity intensity in the NEM fell more in manufacturing than in commercial and services</w:t>
      </w:r>
      <w:r>
        <w:tab/>
      </w:r>
      <w:r>
        <w:fldChar w:fldCharType="begin"/>
      </w:r>
      <w:r>
        <w:instrText xml:space="preserve"> PAGEREF _Toc369890514 \h </w:instrText>
      </w:r>
      <w:r>
        <w:fldChar w:fldCharType="separate"/>
      </w:r>
      <w:r w:rsidR="00197E14">
        <w:t>32</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6.</w:t>
      </w:r>
      <w:r>
        <w:rPr>
          <w:rFonts w:asciiTheme="minorHAnsi" w:eastAsiaTheme="minorEastAsia" w:hAnsiTheme="minorHAnsi"/>
          <w:color w:val="auto"/>
          <w:lang w:eastAsia="en-GB"/>
        </w:rPr>
        <w:tab/>
      </w:r>
      <w:r>
        <w:t>Structural shifts between sectors have been more important in offsetting the effects of growth than within-sector changes in intensity</w:t>
      </w:r>
      <w:r>
        <w:tab/>
      </w:r>
      <w:r>
        <w:fldChar w:fldCharType="begin"/>
      </w:r>
      <w:r>
        <w:instrText xml:space="preserve"> PAGEREF _Toc369890515 \h </w:instrText>
      </w:r>
      <w:r>
        <w:fldChar w:fldCharType="separate"/>
      </w:r>
      <w:r w:rsidR="00197E14">
        <w:t>36</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7.</w:t>
      </w:r>
      <w:r>
        <w:rPr>
          <w:rFonts w:asciiTheme="minorHAnsi" w:eastAsiaTheme="minorEastAsia" w:hAnsiTheme="minorHAnsi"/>
          <w:color w:val="auto"/>
          <w:lang w:eastAsia="en-GB"/>
        </w:rPr>
        <w:tab/>
      </w:r>
      <w:r>
        <w:t>The structural effect in four main sectors</w:t>
      </w:r>
      <w:r>
        <w:tab/>
      </w:r>
      <w:r>
        <w:fldChar w:fldCharType="begin"/>
      </w:r>
      <w:r>
        <w:instrText xml:space="preserve"> PAGEREF _Toc369890516 \h </w:instrText>
      </w:r>
      <w:r>
        <w:fldChar w:fldCharType="separate"/>
      </w:r>
      <w:r w:rsidR="00197E14">
        <w:t>43</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8.</w:t>
      </w:r>
      <w:r>
        <w:rPr>
          <w:rFonts w:asciiTheme="minorHAnsi" w:eastAsiaTheme="minorEastAsia" w:hAnsiTheme="minorHAnsi"/>
          <w:color w:val="auto"/>
          <w:lang w:eastAsia="en-GB"/>
        </w:rPr>
        <w:tab/>
      </w:r>
      <w:r>
        <w:t>Intensity effect in four main sectors</w:t>
      </w:r>
      <w:r>
        <w:tab/>
      </w:r>
      <w:r>
        <w:fldChar w:fldCharType="begin"/>
      </w:r>
      <w:r>
        <w:instrText xml:space="preserve"> PAGEREF _Toc369890517 \h </w:instrText>
      </w:r>
      <w:r>
        <w:fldChar w:fldCharType="separate"/>
      </w:r>
      <w:r w:rsidR="00197E14">
        <w:t>44</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9.</w:t>
      </w:r>
      <w:r>
        <w:rPr>
          <w:rFonts w:asciiTheme="minorHAnsi" w:eastAsiaTheme="minorEastAsia" w:hAnsiTheme="minorHAnsi"/>
          <w:color w:val="auto"/>
          <w:lang w:eastAsia="en-GB"/>
        </w:rPr>
        <w:tab/>
      </w:r>
      <w:r>
        <w:t>The estimated residential electricity consumption price elasticity is at the low end of the estimates in the previous AEMO work</w:t>
      </w:r>
      <w:r>
        <w:tab/>
      </w:r>
      <w:r>
        <w:fldChar w:fldCharType="begin"/>
      </w:r>
      <w:r>
        <w:instrText xml:space="preserve"> PAGEREF _Toc369890518 \h </w:instrText>
      </w:r>
      <w:r>
        <w:fldChar w:fldCharType="separate"/>
      </w:r>
      <w:r w:rsidR="00197E14">
        <w:t>50</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10.</w:t>
      </w:r>
      <w:r>
        <w:rPr>
          <w:rFonts w:asciiTheme="minorHAnsi" w:eastAsiaTheme="minorEastAsia" w:hAnsiTheme="minorHAnsi"/>
          <w:color w:val="auto"/>
          <w:lang w:eastAsia="en-GB"/>
        </w:rPr>
        <w:tab/>
      </w:r>
      <w:r>
        <w:t>The estimated price elasticity is towards the top end of the range identified in previous AEMO work</w:t>
      </w:r>
      <w:r>
        <w:tab/>
      </w:r>
      <w:r>
        <w:fldChar w:fldCharType="begin"/>
      </w:r>
      <w:r>
        <w:instrText xml:space="preserve"> PAGEREF _Toc369890519 \h </w:instrText>
      </w:r>
      <w:r>
        <w:fldChar w:fldCharType="separate"/>
      </w:r>
      <w:r w:rsidR="00197E14">
        <w:t>54</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11.</w:t>
      </w:r>
      <w:r>
        <w:rPr>
          <w:rFonts w:asciiTheme="minorHAnsi" w:eastAsiaTheme="minorEastAsia" w:hAnsiTheme="minorHAnsi"/>
          <w:color w:val="auto"/>
          <w:lang w:eastAsia="en-GB"/>
        </w:rPr>
        <w:tab/>
      </w:r>
      <w:r>
        <w:t>The estimated long run price elasticity of manufacturing electricity consumption is higher than in the AEMO NEFR (2013)</w:t>
      </w:r>
      <w:r>
        <w:tab/>
      </w:r>
      <w:r>
        <w:fldChar w:fldCharType="begin"/>
      </w:r>
      <w:r>
        <w:instrText xml:space="preserve"> PAGEREF _Toc369890520 \h </w:instrText>
      </w:r>
      <w:r>
        <w:fldChar w:fldCharType="separate"/>
      </w:r>
      <w:r w:rsidR="00197E14">
        <w:t>58</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12.</w:t>
      </w:r>
      <w:r>
        <w:rPr>
          <w:rFonts w:asciiTheme="minorHAnsi" w:eastAsiaTheme="minorEastAsia" w:hAnsiTheme="minorHAnsi"/>
          <w:color w:val="auto"/>
          <w:lang w:eastAsia="en-GB"/>
        </w:rPr>
        <w:tab/>
      </w:r>
      <w:r>
        <w:t>The percentage changes induced by drivers provide the relative magnitude of the effect of drivers on electricity consumption in the respective sectors</w:t>
      </w:r>
      <w:r>
        <w:tab/>
      </w:r>
      <w:r>
        <w:fldChar w:fldCharType="begin"/>
      </w:r>
      <w:r>
        <w:instrText xml:space="preserve"> PAGEREF _Toc369890521 \h </w:instrText>
      </w:r>
      <w:r>
        <w:fldChar w:fldCharType="separate"/>
      </w:r>
      <w:r w:rsidR="00197E14">
        <w:t>60</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13.</w:t>
      </w:r>
      <w:r>
        <w:rPr>
          <w:rFonts w:asciiTheme="minorHAnsi" w:eastAsiaTheme="minorEastAsia" w:hAnsiTheme="minorHAnsi"/>
          <w:color w:val="auto"/>
          <w:lang w:eastAsia="en-GB"/>
        </w:rPr>
        <w:tab/>
      </w:r>
      <w:r w:rsidRPr="00852C99">
        <w:rPr>
          <w:color w:val="auto"/>
        </w:rPr>
        <w:t>Generation shares in each year from 2007, changes and the CAGRs over the period</w:t>
      </w:r>
      <w:r>
        <w:tab/>
      </w:r>
      <w:r>
        <w:fldChar w:fldCharType="begin"/>
      </w:r>
      <w:r>
        <w:instrText xml:space="preserve"> PAGEREF _Toc369890522 \h </w:instrText>
      </w:r>
      <w:r>
        <w:fldChar w:fldCharType="separate"/>
      </w:r>
      <w:r w:rsidR="00197E14">
        <w:t>67</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14.</w:t>
      </w:r>
      <w:r>
        <w:rPr>
          <w:rFonts w:asciiTheme="minorHAnsi" w:eastAsiaTheme="minorEastAsia" w:hAnsiTheme="minorHAnsi"/>
          <w:color w:val="auto"/>
          <w:lang w:eastAsia="en-GB"/>
        </w:rPr>
        <w:tab/>
      </w:r>
      <w:r>
        <w:t>Emissions intensity fell over time mainly due to decreased emissions intensity in brown coal and gas</w:t>
      </w:r>
      <w:r>
        <w:tab/>
      </w:r>
      <w:r>
        <w:fldChar w:fldCharType="begin"/>
      </w:r>
      <w:r>
        <w:instrText xml:space="preserve"> PAGEREF _Toc369890523 \h </w:instrText>
      </w:r>
      <w:r>
        <w:fldChar w:fldCharType="separate"/>
      </w:r>
      <w:r w:rsidR="00197E14">
        <w:t>68</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15.</w:t>
      </w:r>
      <w:r>
        <w:rPr>
          <w:rFonts w:asciiTheme="minorHAnsi" w:eastAsiaTheme="minorEastAsia" w:hAnsiTheme="minorHAnsi"/>
          <w:color w:val="auto"/>
          <w:lang w:eastAsia="en-GB"/>
        </w:rPr>
        <w:tab/>
      </w:r>
      <w:r>
        <w:t>Renewables contributed most in recent years between 2008 and 2011</w:t>
      </w:r>
      <w:r>
        <w:tab/>
      </w:r>
      <w:r>
        <w:fldChar w:fldCharType="begin"/>
      </w:r>
      <w:r>
        <w:instrText xml:space="preserve"> PAGEREF _Toc369890524 \h </w:instrText>
      </w:r>
      <w:r>
        <w:fldChar w:fldCharType="separate"/>
      </w:r>
      <w:r w:rsidR="00197E14">
        <w:t>74</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lastRenderedPageBreak/>
        <w:t>Table 16.</w:t>
      </w:r>
      <w:r>
        <w:rPr>
          <w:rFonts w:asciiTheme="minorHAnsi" w:eastAsiaTheme="minorEastAsia" w:hAnsiTheme="minorHAnsi"/>
          <w:color w:val="auto"/>
          <w:lang w:eastAsia="en-GB"/>
        </w:rPr>
        <w:tab/>
      </w:r>
      <w:r>
        <w:t>Changes in electricity generation emissions intensity are driven by policy and prices affecting the fossil fuel mix and renewable incentives</w:t>
      </w:r>
      <w:r>
        <w:tab/>
      </w:r>
      <w:r>
        <w:fldChar w:fldCharType="begin"/>
      </w:r>
      <w:r>
        <w:instrText xml:space="preserve"> PAGEREF _Toc369890525 \h </w:instrText>
      </w:r>
      <w:r>
        <w:fldChar w:fldCharType="separate"/>
      </w:r>
      <w:r w:rsidR="00197E14">
        <w:t>76</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17.</w:t>
      </w:r>
      <w:r>
        <w:rPr>
          <w:rFonts w:asciiTheme="minorHAnsi" w:eastAsiaTheme="minorEastAsia" w:hAnsiTheme="minorHAnsi"/>
          <w:color w:val="auto"/>
          <w:lang w:eastAsia="en-GB"/>
        </w:rPr>
        <w:tab/>
      </w:r>
      <w:r>
        <w:t>Wind generation has steadily gained a larger share of all renewable generation</w:t>
      </w:r>
      <w:r>
        <w:tab/>
      </w:r>
      <w:r>
        <w:fldChar w:fldCharType="begin"/>
      </w:r>
      <w:r>
        <w:instrText xml:space="preserve"> PAGEREF _Toc369890526 \h </w:instrText>
      </w:r>
      <w:r>
        <w:fldChar w:fldCharType="separate"/>
      </w:r>
      <w:r w:rsidR="00197E14">
        <w:t>81</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18.</w:t>
      </w:r>
      <w:r>
        <w:rPr>
          <w:rFonts w:asciiTheme="minorHAnsi" w:eastAsiaTheme="minorEastAsia" w:hAnsiTheme="minorHAnsi"/>
          <w:color w:val="auto"/>
          <w:lang w:eastAsia="en-GB"/>
        </w:rPr>
        <w:tab/>
      </w:r>
      <w:r>
        <w:t>The growth rate of economy-wide emissions excluding LULUCF slowed from 2008</w:t>
      </w:r>
      <w:r>
        <w:tab/>
      </w:r>
      <w:r>
        <w:fldChar w:fldCharType="begin"/>
      </w:r>
      <w:r>
        <w:instrText xml:space="preserve"> PAGEREF _Toc369890527 \h </w:instrText>
      </w:r>
      <w:r>
        <w:fldChar w:fldCharType="separate"/>
      </w:r>
      <w:r w:rsidR="00197E14">
        <w:t>89</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19.</w:t>
      </w:r>
      <w:r>
        <w:rPr>
          <w:rFonts w:asciiTheme="minorHAnsi" w:eastAsiaTheme="minorEastAsia" w:hAnsiTheme="minorHAnsi"/>
          <w:color w:val="auto"/>
          <w:lang w:eastAsia="en-GB"/>
        </w:rPr>
        <w:tab/>
      </w:r>
      <w:r>
        <w:t>Manufacturing and electricity emissions growth rates in the period 2008 to 2011 have turned negative</w:t>
      </w:r>
      <w:r>
        <w:tab/>
      </w:r>
      <w:r>
        <w:fldChar w:fldCharType="begin"/>
      </w:r>
      <w:r>
        <w:instrText xml:space="preserve"> PAGEREF _Toc369890528 \h </w:instrText>
      </w:r>
      <w:r>
        <w:fldChar w:fldCharType="separate"/>
      </w:r>
      <w:r w:rsidR="00197E14">
        <w:t>91</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20.</w:t>
      </w:r>
      <w:r>
        <w:rPr>
          <w:rFonts w:asciiTheme="minorHAnsi" w:eastAsiaTheme="minorEastAsia" w:hAnsiTheme="minorHAnsi"/>
          <w:color w:val="auto"/>
          <w:lang w:eastAsia="en-GB"/>
        </w:rPr>
        <w:tab/>
      </w:r>
      <w:r>
        <w:t>Agriculture subsector and Div. D Electricity, gas and water supply have helped reduce economy-wide emissions in the 2008 to 2011 period</w:t>
      </w:r>
      <w:r>
        <w:tab/>
      </w:r>
      <w:r>
        <w:fldChar w:fldCharType="begin"/>
      </w:r>
      <w:r>
        <w:instrText xml:space="preserve"> PAGEREF _Toc369890529 \h </w:instrText>
      </w:r>
      <w:r>
        <w:fldChar w:fldCharType="separate"/>
      </w:r>
      <w:r w:rsidR="00197E14">
        <w:t>92</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21.</w:t>
      </w:r>
      <w:r>
        <w:rPr>
          <w:rFonts w:asciiTheme="minorHAnsi" w:eastAsiaTheme="minorEastAsia" w:hAnsiTheme="minorHAnsi"/>
          <w:color w:val="auto"/>
          <w:lang w:eastAsia="en-GB"/>
        </w:rPr>
        <w:tab/>
      </w:r>
      <w:r>
        <w:t>Div. D Electricity and Agriculture have seen intensity fall sharply between 2008 and 2011.</w:t>
      </w:r>
      <w:r>
        <w:tab/>
      </w:r>
      <w:r>
        <w:fldChar w:fldCharType="begin"/>
      </w:r>
      <w:r>
        <w:instrText xml:space="preserve"> PAGEREF _Toc369890530 \h </w:instrText>
      </w:r>
      <w:r>
        <w:fldChar w:fldCharType="separate"/>
      </w:r>
      <w:r w:rsidR="00197E14">
        <w:t>96</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22.</w:t>
      </w:r>
      <w:r>
        <w:rPr>
          <w:rFonts w:asciiTheme="minorHAnsi" w:eastAsiaTheme="minorEastAsia" w:hAnsiTheme="minorHAnsi"/>
          <w:color w:val="auto"/>
          <w:lang w:eastAsia="en-GB"/>
        </w:rPr>
        <w:tab/>
      </w:r>
      <w:r>
        <w:t>Increased economic activity has been partially offset by structural change and reduced intensity</w:t>
      </w:r>
      <w:r>
        <w:tab/>
      </w:r>
      <w:r>
        <w:fldChar w:fldCharType="begin"/>
      </w:r>
      <w:r>
        <w:instrText xml:space="preserve"> PAGEREF _Toc369890531 \h </w:instrText>
      </w:r>
      <w:r>
        <w:fldChar w:fldCharType="separate"/>
      </w:r>
      <w:r w:rsidR="00197E14">
        <w:t>100</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23.</w:t>
      </w:r>
      <w:r>
        <w:rPr>
          <w:rFonts w:asciiTheme="minorHAnsi" w:eastAsiaTheme="minorEastAsia" w:hAnsiTheme="minorHAnsi"/>
          <w:color w:val="auto"/>
          <w:lang w:eastAsia="en-GB"/>
        </w:rPr>
        <w:tab/>
      </w:r>
      <w:r>
        <w:t>Mining and manufacturing have seen their sub-divisional composition move away from emissions intensive subsectors</w:t>
      </w:r>
      <w:r>
        <w:tab/>
      </w:r>
      <w:r>
        <w:fldChar w:fldCharType="begin"/>
      </w:r>
      <w:r>
        <w:instrText xml:space="preserve"> PAGEREF _Toc369890532 \h </w:instrText>
      </w:r>
      <w:r>
        <w:fldChar w:fldCharType="separate"/>
      </w:r>
      <w:r w:rsidR="00197E14">
        <w:t>104</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24.</w:t>
      </w:r>
      <w:r>
        <w:rPr>
          <w:rFonts w:asciiTheme="minorHAnsi" w:eastAsiaTheme="minorEastAsia" w:hAnsiTheme="minorHAnsi"/>
          <w:color w:val="auto"/>
          <w:lang w:eastAsia="en-GB"/>
        </w:rPr>
        <w:tab/>
      </w:r>
      <w:r>
        <w:t>Agriculture and electricity supply have contributed the most to the fall in emissions between 2008 and 2011 mainly due to improving intensity</w:t>
      </w:r>
      <w:r>
        <w:tab/>
      </w:r>
      <w:r>
        <w:fldChar w:fldCharType="begin"/>
      </w:r>
      <w:r>
        <w:instrText xml:space="preserve"> PAGEREF _Toc369890533 \h </w:instrText>
      </w:r>
      <w:r>
        <w:fldChar w:fldCharType="separate"/>
      </w:r>
      <w:r w:rsidR="00197E14">
        <w:t>107</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25.</w:t>
      </w:r>
      <w:r>
        <w:rPr>
          <w:rFonts w:asciiTheme="minorHAnsi" w:eastAsiaTheme="minorEastAsia" w:hAnsiTheme="minorHAnsi"/>
          <w:color w:val="auto"/>
          <w:lang w:eastAsia="en-GB"/>
        </w:rPr>
        <w:tab/>
      </w:r>
      <w:r>
        <w:t>The Bureau of Resources and Energy Economics, the National Greenhouse Gas Inventory (AGEIS) and the Bureau of Statistics are main data sources.</w:t>
      </w:r>
      <w:r>
        <w:tab/>
      </w:r>
      <w:r>
        <w:fldChar w:fldCharType="begin"/>
      </w:r>
      <w:r>
        <w:instrText xml:space="preserve"> PAGEREF _Toc369890534 \h </w:instrText>
      </w:r>
      <w:r>
        <w:fldChar w:fldCharType="separate"/>
      </w:r>
      <w:r w:rsidR="00197E14">
        <w:t>131</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26.</w:t>
      </w:r>
      <w:r>
        <w:rPr>
          <w:rFonts w:asciiTheme="minorHAnsi" w:eastAsiaTheme="minorEastAsia" w:hAnsiTheme="minorHAnsi"/>
          <w:color w:val="auto"/>
          <w:lang w:eastAsia="en-GB"/>
        </w:rPr>
        <w:tab/>
      </w:r>
      <w:r>
        <w:t>Electricity consumption in levels is non-stationary in all sectors</w:t>
      </w:r>
      <w:r>
        <w:tab/>
      </w:r>
      <w:r>
        <w:fldChar w:fldCharType="begin"/>
      </w:r>
      <w:r>
        <w:instrText xml:space="preserve"> PAGEREF _Toc369890535 \h </w:instrText>
      </w:r>
      <w:r>
        <w:fldChar w:fldCharType="separate"/>
      </w:r>
      <w:r w:rsidR="00197E14">
        <w:t>135</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27.</w:t>
      </w:r>
      <w:r>
        <w:rPr>
          <w:rFonts w:asciiTheme="minorHAnsi" w:eastAsiaTheme="minorEastAsia" w:hAnsiTheme="minorHAnsi"/>
          <w:color w:val="auto"/>
          <w:lang w:eastAsia="en-GB"/>
        </w:rPr>
        <w:tab/>
      </w:r>
      <w:r>
        <w:t>Manufacturing equations show consistent long run estimates of price and GVA elasticities</w:t>
      </w:r>
      <w:r>
        <w:tab/>
      </w:r>
      <w:r>
        <w:fldChar w:fldCharType="begin"/>
      </w:r>
      <w:r>
        <w:instrText xml:space="preserve"> PAGEREF _Toc369890536 \h </w:instrText>
      </w:r>
      <w:r>
        <w:fldChar w:fldCharType="separate"/>
      </w:r>
      <w:r w:rsidR="00197E14">
        <w:t>135</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28.</w:t>
      </w:r>
      <w:r>
        <w:rPr>
          <w:rFonts w:asciiTheme="minorHAnsi" w:eastAsiaTheme="minorEastAsia" w:hAnsiTheme="minorHAnsi"/>
          <w:color w:val="auto"/>
          <w:lang w:eastAsia="en-GB"/>
        </w:rPr>
        <w:tab/>
      </w:r>
      <w:r>
        <w:t>Commercial equations show consistent long run estimates of price and GVA elasticities</w:t>
      </w:r>
      <w:r>
        <w:tab/>
      </w:r>
      <w:r>
        <w:fldChar w:fldCharType="begin"/>
      </w:r>
      <w:r>
        <w:instrText xml:space="preserve"> PAGEREF _Toc369890537 \h </w:instrText>
      </w:r>
      <w:r>
        <w:fldChar w:fldCharType="separate"/>
      </w:r>
      <w:r w:rsidR="00197E14">
        <w:t>138</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29.</w:t>
      </w:r>
      <w:r>
        <w:rPr>
          <w:rFonts w:asciiTheme="minorHAnsi" w:eastAsiaTheme="minorEastAsia" w:hAnsiTheme="minorHAnsi"/>
          <w:color w:val="auto"/>
          <w:lang w:eastAsia="en-GB"/>
        </w:rPr>
        <w:tab/>
      </w:r>
      <w:r>
        <w:t>Residential equations show consistent long run estimates of price and GVA elasticities</w:t>
      </w:r>
      <w:r>
        <w:tab/>
      </w:r>
      <w:r>
        <w:fldChar w:fldCharType="begin"/>
      </w:r>
      <w:r>
        <w:instrText xml:space="preserve"> PAGEREF _Toc369890538 \h </w:instrText>
      </w:r>
      <w:r>
        <w:fldChar w:fldCharType="separate"/>
      </w:r>
      <w:r w:rsidR="00197E14">
        <w:t>140</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t>Table 30.</w:t>
      </w:r>
      <w:r>
        <w:rPr>
          <w:rFonts w:asciiTheme="minorHAnsi" w:eastAsiaTheme="minorEastAsia" w:hAnsiTheme="minorHAnsi"/>
          <w:color w:val="auto"/>
          <w:lang w:eastAsia="en-GB"/>
        </w:rPr>
        <w:tab/>
      </w:r>
      <w:r>
        <w:t>Consumption Models for NEM region 1990-2007</w:t>
      </w:r>
      <w:r>
        <w:tab/>
      </w:r>
      <w:r>
        <w:fldChar w:fldCharType="begin"/>
      </w:r>
      <w:r>
        <w:instrText xml:space="preserve"> PAGEREF _Toc369890539 \h </w:instrText>
      </w:r>
      <w:r>
        <w:fldChar w:fldCharType="separate"/>
      </w:r>
      <w:r w:rsidR="00197E14">
        <w:t>142</w:t>
      </w:r>
      <w:r>
        <w:fldChar w:fldCharType="end"/>
      </w:r>
    </w:p>
    <w:p w:rsidR="00BB4088" w:rsidRDefault="00BB4088">
      <w:pPr>
        <w:pStyle w:val="TableofFigures"/>
        <w:rPr>
          <w:rFonts w:asciiTheme="minorHAnsi" w:eastAsiaTheme="minorEastAsia" w:hAnsiTheme="minorHAnsi"/>
          <w:color w:val="auto"/>
          <w:lang w:eastAsia="en-GB"/>
        </w:rPr>
      </w:pPr>
      <w:r w:rsidRPr="00852C99">
        <w:rPr>
          <w:i/>
          <w:color w:val="000000"/>
        </w:rPr>
        <w:lastRenderedPageBreak/>
        <w:t>Table 31.</w:t>
      </w:r>
      <w:r>
        <w:rPr>
          <w:rFonts w:asciiTheme="minorHAnsi" w:eastAsiaTheme="minorEastAsia" w:hAnsiTheme="minorHAnsi"/>
          <w:color w:val="auto"/>
          <w:lang w:eastAsia="en-GB"/>
        </w:rPr>
        <w:tab/>
      </w:r>
      <w:r>
        <w:t>Consumption Models for Australia 1990-2012</w:t>
      </w:r>
      <w:r>
        <w:tab/>
      </w:r>
      <w:r>
        <w:fldChar w:fldCharType="begin"/>
      </w:r>
      <w:r>
        <w:instrText xml:space="preserve"> PAGEREF _Toc369890540 \h </w:instrText>
      </w:r>
      <w:r>
        <w:fldChar w:fldCharType="separate"/>
      </w:r>
      <w:r w:rsidR="00197E14">
        <w:t>142</w:t>
      </w:r>
      <w:r>
        <w:fldChar w:fldCharType="end"/>
      </w:r>
    </w:p>
    <w:p w:rsidR="000C43B2" w:rsidRPr="00EF51BF" w:rsidRDefault="005A66AE" w:rsidP="001C11C6">
      <w:pPr>
        <w:pStyle w:val="TOC3"/>
      </w:pPr>
      <w:r w:rsidRPr="00EF51BF">
        <w:fldChar w:fldCharType="end"/>
      </w:r>
    </w:p>
    <w:p w:rsidR="00580A54" w:rsidRPr="00EF51BF" w:rsidRDefault="00580A54" w:rsidP="00806A93"/>
    <w:p w:rsidR="000B4CB9" w:rsidRPr="00EF51BF" w:rsidRDefault="0044334F" w:rsidP="004D22CA">
      <w:pPr>
        <w:pStyle w:val="Listoffigures"/>
        <w:keepNext/>
      </w:pPr>
      <w:r>
        <w:t>List of figures</w:t>
      </w:r>
    </w:p>
    <w:p w:rsidR="00BB4088" w:rsidRDefault="005A66AE">
      <w:pPr>
        <w:pStyle w:val="TableofFigures"/>
        <w:rPr>
          <w:rFonts w:asciiTheme="minorHAnsi" w:eastAsiaTheme="minorEastAsia" w:hAnsiTheme="minorHAnsi"/>
          <w:color w:val="auto"/>
          <w:lang w:eastAsia="en-GB"/>
        </w:rPr>
      </w:pPr>
      <w:r w:rsidRPr="00EF51BF">
        <w:fldChar w:fldCharType="begin"/>
      </w:r>
      <w:r w:rsidR="003A037E" w:rsidRPr="00EF51BF">
        <w:instrText xml:space="preserve"> TOC \h \z \t "Chart title" \c </w:instrText>
      </w:r>
      <w:r w:rsidRPr="00EF51BF">
        <w:fldChar w:fldCharType="separate"/>
      </w:r>
      <w:hyperlink w:anchor="_Toc369890541" w:history="1">
        <w:r w:rsidR="00BB4088" w:rsidRPr="008F53FB">
          <w:rPr>
            <w:rStyle w:val="Hyperlink"/>
            <w:i/>
          </w:rPr>
          <w:t>Figure 1.</w:t>
        </w:r>
        <w:r w:rsidR="00BB4088">
          <w:rPr>
            <w:rFonts w:asciiTheme="minorHAnsi" w:eastAsiaTheme="minorEastAsia" w:hAnsiTheme="minorHAnsi"/>
            <w:color w:val="auto"/>
            <w:lang w:eastAsia="en-GB"/>
          </w:rPr>
          <w:tab/>
        </w:r>
        <w:r w:rsidR="00BB4088" w:rsidRPr="008F53FB">
          <w:rPr>
            <w:rStyle w:val="Hyperlink"/>
          </w:rPr>
          <w:t>Electricity consumption in Australia grew rapidly between 2000 and 2009 and slowed down between 2009 and 2012</w:t>
        </w:r>
        <w:r w:rsidR="00BB4088">
          <w:rPr>
            <w:webHidden/>
          </w:rPr>
          <w:tab/>
        </w:r>
        <w:r w:rsidR="00BB4088">
          <w:rPr>
            <w:webHidden/>
          </w:rPr>
          <w:fldChar w:fldCharType="begin"/>
        </w:r>
        <w:r w:rsidR="00BB4088">
          <w:rPr>
            <w:webHidden/>
          </w:rPr>
          <w:instrText xml:space="preserve"> PAGEREF _Toc369890541 \h </w:instrText>
        </w:r>
        <w:r w:rsidR="00BB4088">
          <w:rPr>
            <w:webHidden/>
          </w:rPr>
        </w:r>
        <w:r w:rsidR="00BB4088">
          <w:rPr>
            <w:webHidden/>
          </w:rPr>
          <w:fldChar w:fldCharType="separate"/>
        </w:r>
        <w:r w:rsidR="00197E14">
          <w:rPr>
            <w:webHidden/>
          </w:rPr>
          <w:t>25</w:t>
        </w:r>
        <w:r w:rsidR="00BB4088">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2" w:history="1">
        <w:r w:rsidRPr="008F53FB">
          <w:rPr>
            <w:rStyle w:val="Hyperlink"/>
            <w:i/>
          </w:rPr>
          <w:t>Figure 2.</w:t>
        </w:r>
        <w:r>
          <w:rPr>
            <w:rFonts w:asciiTheme="minorHAnsi" w:eastAsiaTheme="minorEastAsia" w:hAnsiTheme="minorHAnsi"/>
            <w:color w:val="auto"/>
            <w:lang w:eastAsia="en-GB"/>
          </w:rPr>
          <w:tab/>
        </w:r>
        <w:r w:rsidRPr="008F53FB">
          <w:rPr>
            <w:rStyle w:val="Hyperlink"/>
          </w:rPr>
          <w:t>Between 2008 and 2012 producer electricity prices increased by 9.2 per cent per year while consumer electricity prices increased by 12.2 per cent per year</w:t>
        </w:r>
        <w:r>
          <w:rPr>
            <w:webHidden/>
          </w:rPr>
          <w:tab/>
        </w:r>
        <w:r>
          <w:rPr>
            <w:webHidden/>
          </w:rPr>
          <w:fldChar w:fldCharType="begin"/>
        </w:r>
        <w:r>
          <w:rPr>
            <w:webHidden/>
          </w:rPr>
          <w:instrText xml:space="preserve"> PAGEREF _Toc369890542 \h </w:instrText>
        </w:r>
        <w:r>
          <w:rPr>
            <w:webHidden/>
          </w:rPr>
        </w:r>
        <w:r>
          <w:rPr>
            <w:webHidden/>
          </w:rPr>
          <w:fldChar w:fldCharType="separate"/>
        </w:r>
        <w:r w:rsidR="00197E14">
          <w:rPr>
            <w:webHidden/>
          </w:rPr>
          <w:t>26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3" w:history="1">
        <w:r w:rsidRPr="008F53FB">
          <w:rPr>
            <w:rStyle w:val="Hyperlink"/>
            <w:i/>
          </w:rPr>
          <w:t>Figure 3.</w:t>
        </w:r>
        <w:r>
          <w:rPr>
            <w:rFonts w:asciiTheme="minorHAnsi" w:eastAsiaTheme="minorEastAsia" w:hAnsiTheme="minorHAnsi"/>
            <w:color w:val="auto"/>
            <w:lang w:eastAsia="en-GB"/>
          </w:rPr>
          <w:tab/>
        </w:r>
        <w:r w:rsidRPr="008F53FB">
          <w:rPr>
            <w:rStyle w:val="Hyperlink"/>
          </w:rPr>
          <w:t>Total electricity consumption in the NEM fell after 2009</w:t>
        </w:r>
        <w:r>
          <w:rPr>
            <w:webHidden/>
          </w:rPr>
          <w:tab/>
        </w:r>
        <w:r>
          <w:rPr>
            <w:webHidden/>
          </w:rPr>
          <w:fldChar w:fldCharType="begin"/>
        </w:r>
        <w:r>
          <w:rPr>
            <w:webHidden/>
          </w:rPr>
          <w:instrText xml:space="preserve"> PAGEREF _Toc369890543 \h </w:instrText>
        </w:r>
        <w:r>
          <w:rPr>
            <w:webHidden/>
          </w:rPr>
        </w:r>
        <w:r>
          <w:rPr>
            <w:webHidden/>
          </w:rPr>
          <w:fldChar w:fldCharType="separate"/>
        </w:r>
        <w:r w:rsidR="00197E14">
          <w:rPr>
            <w:webHidden/>
          </w:rPr>
          <w:t>27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4" w:history="1">
        <w:r w:rsidRPr="008F53FB">
          <w:rPr>
            <w:rStyle w:val="Hyperlink"/>
            <w:i/>
          </w:rPr>
          <w:t>Figure 4.</w:t>
        </w:r>
        <w:r>
          <w:rPr>
            <w:rFonts w:asciiTheme="minorHAnsi" w:eastAsiaTheme="minorEastAsia" w:hAnsiTheme="minorHAnsi"/>
            <w:color w:val="auto"/>
            <w:lang w:eastAsia="en-GB"/>
          </w:rPr>
          <w:tab/>
        </w:r>
        <w:r w:rsidRPr="008F53FB">
          <w:rPr>
            <w:rStyle w:val="Hyperlink"/>
          </w:rPr>
          <w:t>Electricity consumption has been falling in the manufacturing sector whereas it has been increasing in the residential and commercial and services sectors, NEM region</w:t>
        </w:r>
        <w:r>
          <w:rPr>
            <w:webHidden/>
          </w:rPr>
          <w:tab/>
        </w:r>
        <w:r>
          <w:rPr>
            <w:webHidden/>
          </w:rPr>
          <w:fldChar w:fldCharType="begin"/>
        </w:r>
        <w:r>
          <w:rPr>
            <w:webHidden/>
          </w:rPr>
          <w:instrText xml:space="preserve"> PAGEREF _Toc369890544 \h </w:instrText>
        </w:r>
        <w:r>
          <w:rPr>
            <w:webHidden/>
          </w:rPr>
        </w:r>
        <w:r>
          <w:rPr>
            <w:webHidden/>
          </w:rPr>
          <w:fldChar w:fldCharType="separate"/>
        </w:r>
        <w:r w:rsidR="00197E14">
          <w:rPr>
            <w:webHidden/>
          </w:rPr>
          <w:t>29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5" w:history="1">
        <w:r w:rsidRPr="008F53FB">
          <w:rPr>
            <w:rStyle w:val="Hyperlink"/>
            <w:i/>
          </w:rPr>
          <w:t>Figure 5.</w:t>
        </w:r>
        <w:r>
          <w:rPr>
            <w:rFonts w:asciiTheme="minorHAnsi" w:eastAsiaTheme="minorEastAsia" w:hAnsiTheme="minorHAnsi"/>
            <w:color w:val="auto"/>
            <w:lang w:eastAsia="en-GB"/>
          </w:rPr>
          <w:tab/>
        </w:r>
        <w:r w:rsidRPr="008F53FB">
          <w:rPr>
            <w:rStyle w:val="Hyperlink"/>
          </w:rPr>
          <w:t>Electricity intensity, use per unit of GVA fell fastest in manufacturing in recent years, while commercial and services and residential exhibit similar, lower rates of improvement</w:t>
        </w:r>
        <w:r>
          <w:rPr>
            <w:webHidden/>
          </w:rPr>
          <w:tab/>
        </w:r>
        <w:r>
          <w:rPr>
            <w:webHidden/>
          </w:rPr>
          <w:fldChar w:fldCharType="begin"/>
        </w:r>
        <w:r>
          <w:rPr>
            <w:webHidden/>
          </w:rPr>
          <w:instrText xml:space="preserve"> PAGEREF _Toc369890545 \h </w:instrText>
        </w:r>
        <w:r>
          <w:rPr>
            <w:webHidden/>
          </w:rPr>
        </w:r>
        <w:r>
          <w:rPr>
            <w:webHidden/>
          </w:rPr>
          <w:fldChar w:fldCharType="separate"/>
        </w:r>
        <w:r w:rsidR="00197E14">
          <w:rPr>
            <w:webHidden/>
          </w:rPr>
          <w:t>31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6" w:history="1">
        <w:r w:rsidRPr="008F53FB">
          <w:rPr>
            <w:rStyle w:val="Hyperlink"/>
            <w:i/>
          </w:rPr>
          <w:t>Figure 6.</w:t>
        </w:r>
        <w:r>
          <w:rPr>
            <w:rFonts w:asciiTheme="minorHAnsi" w:eastAsiaTheme="minorEastAsia" w:hAnsiTheme="minorHAnsi"/>
            <w:color w:val="auto"/>
            <w:lang w:eastAsia="en-GB"/>
          </w:rPr>
          <w:tab/>
        </w:r>
        <w:r w:rsidRPr="008F53FB">
          <w:rPr>
            <w:rStyle w:val="Hyperlink"/>
          </w:rPr>
          <w:t>The NEM region restructured towards less electro-intensive sectors and the sectors themselves became less electro-intensive, while the economy grew</w:t>
        </w:r>
        <w:r>
          <w:rPr>
            <w:webHidden/>
          </w:rPr>
          <w:tab/>
        </w:r>
        <w:r>
          <w:rPr>
            <w:webHidden/>
          </w:rPr>
          <w:fldChar w:fldCharType="begin"/>
        </w:r>
        <w:r>
          <w:rPr>
            <w:webHidden/>
          </w:rPr>
          <w:instrText xml:space="preserve"> PAGEREF _Toc369890546 \h </w:instrText>
        </w:r>
        <w:r>
          <w:rPr>
            <w:webHidden/>
          </w:rPr>
        </w:r>
        <w:r>
          <w:rPr>
            <w:webHidden/>
          </w:rPr>
          <w:fldChar w:fldCharType="separate"/>
        </w:r>
        <w:r w:rsidR="00197E14">
          <w:rPr>
            <w:webHidden/>
          </w:rPr>
          <w:t>34</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7" w:history="1">
        <w:r w:rsidRPr="008F53FB">
          <w:rPr>
            <w:rStyle w:val="Hyperlink"/>
            <w:i/>
          </w:rPr>
          <w:t>Figure 7.</w:t>
        </w:r>
        <w:r>
          <w:rPr>
            <w:rFonts w:asciiTheme="minorHAnsi" w:eastAsiaTheme="minorEastAsia" w:hAnsiTheme="minorHAnsi"/>
            <w:color w:val="auto"/>
            <w:lang w:eastAsia="en-GB"/>
          </w:rPr>
          <w:tab/>
        </w:r>
        <w:r w:rsidRPr="008F53FB">
          <w:rPr>
            <w:rStyle w:val="Hyperlink"/>
          </w:rPr>
          <w:t>Between 2010 and 2012, sectors became unanimously less electro-intensive</w:t>
        </w:r>
        <w:r>
          <w:rPr>
            <w:webHidden/>
          </w:rPr>
          <w:tab/>
        </w:r>
        <w:r>
          <w:rPr>
            <w:webHidden/>
          </w:rPr>
          <w:fldChar w:fldCharType="begin"/>
        </w:r>
        <w:r>
          <w:rPr>
            <w:webHidden/>
          </w:rPr>
          <w:instrText xml:space="preserve"> PAGEREF _Toc369890547 \h </w:instrText>
        </w:r>
        <w:r>
          <w:rPr>
            <w:webHidden/>
          </w:rPr>
        </w:r>
        <w:r>
          <w:rPr>
            <w:webHidden/>
          </w:rPr>
          <w:fldChar w:fldCharType="separate"/>
        </w:r>
        <w:r w:rsidR="00197E14">
          <w:rPr>
            <w:webHidden/>
          </w:rPr>
          <w:t>35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8" w:history="1">
        <w:r w:rsidRPr="008F53FB">
          <w:rPr>
            <w:rStyle w:val="Hyperlink"/>
            <w:i/>
          </w:rPr>
          <w:t>Figure 8.</w:t>
        </w:r>
        <w:r>
          <w:rPr>
            <w:rFonts w:asciiTheme="minorHAnsi" w:eastAsiaTheme="minorEastAsia" w:hAnsiTheme="minorHAnsi"/>
            <w:color w:val="auto"/>
            <w:lang w:eastAsia="en-GB"/>
          </w:rPr>
          <w:tab/>
        </w:r>
        <w:r w:rsidRPr="008F53FB">
          <w:rPr>
            <w:rStyle w:val="Hyperlink"/>
          </w:rPr>
          <w:t>The greatest contributions to changes between 2003 and 2012 come from the manufacturing and residential sectors in the NEM</w:t>
        </w:r>
        <w:r>
          <w:rPr>
            <w:webHidden/>
          </w:rPr>
          <w:tab/>
        </w:r>
        <w:r>
          <w:rPr>
            <w:webHidden/>
          </w:rPr>
          <w:fldChar w:fldCharType="begin"/>
        </w:r>
        <w:r>
          <w:rPr>
            <w:webHidden/>
          </w:rPr>
          <w:instrText xml:space="preserve"> PAGEREF _Toc369890548 \h </w:instrText>
        </w:r>
        <w:r>
          <w:rPr>
            <w:webHidden/>
          </w:rPr>
        </w:r>
        <w:r>
          <w:rPr>
            <w:webHidden/>
          </w:rPr>
          <w:fldChar w:fldCharType="separate"/>
        </w:r>
        <w:r w:rsidR="00197E14">
          <w:rPr>
            <w:webHidden/>
          </w:rPr>
          <w:t>37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49" w:history="1">
        <w:r w:rsidRPr="008F53FB">
          <w:rPr>
            <w:rStyle w:val="Hyperlink"/>
            <w:i/>
          </w:rPr>
          <w:t>Figure 9.</w:t>
        </w:r>
        <w:r>
          <w:rPr>
            <w:rFonts w:asciiTheme="minorHAnsi" w:eastAsiaTheme="minorEastAsia" w:hAnsiTheme="minorHAnsi"/>
            <w:color w:val="auto"/>
            <w:lang w:eastAsia="en-GB"/>
          </w:rPr>
          <w:tab/>
        </w:r>
        <w:r w:rsidRPr="008F53FB">
          <w:rPr>
            <w:rStyle w:val="Hyperlink"/>
          </w:rPr>
          <w:t>Structural effect is driven by shrinking share of manufacturing output in overall economic activity</w:t>
        </w:r>
        <w:r>
          <w:rPr>
            <w:webHidden/>
          </w:rPr>
          <w:tab/>
        </w:r>
        <w:r>
          <w:rPr>
            <w:webHidden/>
          </w:rPr>
          <w:fldChar w:fldCharType="begin"/>
        </w:r>
        <w:r>
          <w:rPr>
            <w:webHidden/>
          </w:rPr>
          <w:instrText xml:space="preserve"> PAGEREF _Toc369890549 \h </w:instrText>
        </w:r>
        <w:r>
          <w:rPr>
            <w:webHidden/>
          </w:rPr>
        </w:r>
        <w:r>
          <w:rPr>
            <w:webHidden/>
          </w:rPr>
          <w:fldChar w:fldCharType="separate"/>
        </w:r>
        <w:r w:rsidR="00197E14">
          <w:rPr>
            <w:webHidden/>
          </w:rPr>
          <w:t>38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0" w:history="1">
        <w:r w:rsidRPr="008F53FB">
          <w:rPr>
            <w:rStyle w:val="Hyperlink"/>
            <w:i/>
          </w:rPr>
          <w:t>Figure 10.</w:t>
        </w:r>
        <w:r>
          <w:rPr>
            <w:rFonts w:asciiTheme="minorHAnsi" w:eastAsiaTheme="minorEastAsia" w:hAnsiTheme="minorHAnsi"/>
            <w:color w:val="auto"/>
            <w:lang w:eastAsia="en-GB"/>
          </w:rPr>
          <w:tab/>
        </w:r>
        <w:r w:rsidRPr="008F53FB">
          <w:rPr>
            <w:rStyle w:val="Hyperlink"/>
          </w:rPr>
          <w:t>Restructuring away from manufacturing to less electro-intensive sectors has been a continuous process since 2004</w:t>
        </w:r>
        <w:r>
          <w:rPr>
            <w:webHidden/>
          </w:rPr>
          <w:tab/>
        </w:r>
        <w:r>
          <w:rPr>
            <w:webHidden/>
          </w:rPr>
          <w:fldChar w:fldCharType="begin"/>
        </w:r>
        <w:r>
          <w:rPr>
            <w:webHidden/>
          </w:rPr>
          <w:instrText xml:space="preserve"> PAGEREF _Toc369890550 \h </w:instrText>
        </w:r>
        <w:r>
          <w:rPr>
            <w:webHidden/>
          </w:rPr>
        </w:r>
        <w:r>
          <w:rPr>
            <w:webHidden/>
          </w:rPr>
          <w:fldChar w:fldCharType="separate"/>
        </w:r>
        <w:r w:rsidR="00197E14">
          <w:rPr>
            <w:webHidden/>
          </w:rPr>
          <w:t>39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1" w:history="1">
        <w:r w:rsidRPr="008F53FB">
          <w:rPr>
            <w:rStyle w:val="Hyperlink"/>
            <w:i/>
          </w:rPr>
          <w:t>Figure 11.</w:t>
        </w:r>
        <w:r>
          <w:rPr>
            <w:rFonts w:asciiTheme="minorHAnsi" w:eastAsiaTheme="minorEastAsia" w:hAnsiTheme="minorHAnsi"/>
            <w:color w:val="auto"/>
            <w:lang w:eastAsia="en-GB"/>
          </w:rPr>
          <w:tab/>
        </w:r>
        <w:r w:rsidRPr="008F53FB">
          <w:rPr>
            <w:rStyle w:val="Hyperlink"/>
          </w:rPr>
          <w:t>Manufacturing and utilities had the largest intensity reduction in the period 2008 to 2012</w:t>
        </w:r>
        <w:r>
          <w:rPr>
            <w:webHidden/>
          </w:rPr>
          <w:tab/>
        </w:r>
        <w:r>
          <w:rPr>
            <w:webHidden/>
          </w:rPr>
          <w:fldChar w:fldCharType="begin"/>
        </w:r>
        <w:r>
          <w:rPr>
            <w:webHidden/>
          </w:rPr>
          <w:instrText xml:space="preserve"> PAGEREF _Toc369890551 \h </w:instrText>
        </w:r>
        <w:r>
          <w:rPr>
            <w:webHidden/>
          </w:rPr>
        </w:r>
        <w:r>
          <w:rPr>
            <w:webHidden/>
          </w:rPr>
          <w:fldChar w:fldCharType="separate"/>
        </w:r>
        <w:r w:rsidR="00197E14">
          <w:rPr>
            <w:webHidden/>
          </w:rPr>
          <w:t>40</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2" w:history="1">
        <w:r w:rsidRPr="008F53FB">
          <w:rPr>
            <w:rStyle w:val="Hyperlink"/>
            <w:i/>
          </w:rPr>
          <w:t>Figure 12.</w:t>
        </w:r>
        <w:r>
          <w:rPr>
            <w:rFonts w:asciiTheme="minorHAnsi" w:eastAsiaTheme="minorEastAsia" w:hAnsiTheme="minorHAnsi"/>
            <w:color w:val="auto"/>
            <w:lang w:eastAsia="en-GB"/>
          </w:rPr>
          <w:tab/>
        </w:r>
        <w:r w:rsidRPr="008F53FB">
          <w:rPr>
            <w:rStyle w:val="Hyperlink"/>
          </w:rPr>
          <w:t>The global financial crisis affected electro-intensity in 2009</w:t>
        </w:r>
        <w:r>
          <w:rPr>
            <w:webHidden/>
          </w:rPr>
          <w:tab/>
        </w:r>
        <w:r>
          <w:rPr>
            <w:webHidden/>
          </w:rPr>
          <w:fldChar w:fldCharType="begin"/>
        </w:r>
        <w:r>
          <w:rPr>
            <w:webHidden/>
          </w:rPr>
          <w:instrText xml:space="preserve"> PAGEREF _Toc369890552 \h </w:instrText>
        </w:r>
        <w:r>
          <w:rPr>
            <w:webHidden/>
          </w:rPr>
        </w:r>
        <w:r>
          <w:rPr>
            <w:webHidden/>
          </w:rPr>
          <w:fldChar w:fldCharType="separate"/>
        </w:r>
        <w:r w:rsidR="00197E14">
          <w:rPr>
            <w:webHidden/>
          </w:rPr>
          <w:t>41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3" w:history="1">
        <w:r w:rsidRPr="008F53FB">
          <w:rPr>
            <w:rStyle w:val="Hyperlink"/>
            <w:i/>
          </w:rPr>
          <w:t>Figure 13.</w:t>
        </w:r>
        <w:r>
          <w:rPr>
            <w:rFonts w:asciiTheme="minorHAnsi" w:eastAsiaTheme="minorEastAsia" w:hAnsiTheme="minorHAnsi"/>
            <w:color w:val="auto"/>
            <w:lang w:eastAsia="en-GB"/>
          </w:rPr>
          <w:tab/>
        </w:r>
        <w:r w:rsidRPr="008F53FB">
          <w:rPr>
            <w:rStyle w:val="Hyperlink"/>
          </w:rPr>
          <w:t>Lower economic activity between 2009 and 2012 contributed to a decrease in NEM-wide electricity consumption</w:t>
        </w:r>
        <w:r>
          <w:rPr>
            <w:webHidden/>
          </w:rPr>
          <w:tab/>
        </w:r>
        <w:r>
          <w:rPr>
            <w:webHidden/>
          </w:rPr>
          <w:fldChar w:fldCharType="begin"/>
        </w:r>
        <w:r>
          <w:rPr>
            <w:webHidden/>
          </w:rPr>
          <w:instrText xml:space="preserve"> PAGEREF _Toc369890553 \h </w:instrText>
        </w:r>
        <w:r>
          <w:rPr>
            <w:webHidden/>
          </w:rPr>
        </w:r>
        <w:r>
          <w:rPr>
            <w:webHidden/>
          </w:rPr>
          <w:fldChar w:fldCharType="separate"/>
        </w:r>
        <w:r w:rsidR="00197E14">
          <w:rPr>
            <w:webHidden/>
          </w:rPr>
          <w:t>42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4" w:history="1">
        <w:r w:rsidRPr="008F53FB">
          <w:rPr>
            <w:rStyle w:val="Hyperlink"/>
            <w:i/>
          </w:rPr>
          <w:t>Figure 14.</w:t>
        </w:r>
        <w:r>
          <w:rPr>
            <w:rFonts w:asciiTheme="minorHAnsi" w:eastAsiaTheme="minorEastAsia" w:hAnsiTheme="minorHAnsi"/>
            <w:color w:val="auto"/>
            <w:lang w:eastAsia="en-GB"/>
          </w:rPr>
          <w:tab/>
        </w:r>
        <w:r w:rsidRPr="008F53FB">
          <w:rPr>
            <w:rStyle w:val="Hyperlink"/>
          </w:rPr>
          <w:t>The trends in residential consumption between NEM and Western Australia and Northern Territory are similar</w:t>
        </w:r>
        <w:r>
          <w:rPr>
            <w:webHidden/>
          </w:rPr>
          <w:tab/>
        </w:r>
        <w:r>
          <w:rPr>
            <w:webHidden/>
          </w:rPr>
          <w:fldChar w:fldCharType="begin"/>
        </w:r>
        <w:r>
          <w:rPr>
            <w:webHidden/>
          </w:rPr>
          <w:instrText xml:space="preserve"> PAGEREF _Toc369890554 \h </w:instrText>
        </w:r>
        <w:r>
          <w:rPr>
            <w:webHidden/>
          </w:rPr>
        </w:r>
        <w:r>
          <w:rPr>
            <w:webHidden/>
          </w:rPr>
          <w:fldChar w:fldCharType="separate"/>
        </w:r>
        <w:r w:rsidR="00197E14">
          <w:rPr>
            <w:webHidden/>
          </w:rPr>
          <w:t>46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5" w:history="1">
        <w:r w:rsidRPr="008F53FB">
          <w:rPr>
            <w:rStyle w:val="Hyperlink"/>
            <w:i/>
          </w:rPr>
          <w:t>Figure 15.</w:t>
        </w:r>
        <w:r>
          <w:rPr>
            <w:rFonts w:asciiTheme="minorHAnsi" w:eastAsiaTheme="minorEastAsia" w:hAnsiTheme="minorHAnsi"/>
            <w:color w:val="auto"/>
            <w:lang w:eastAsia="en-GB"/>
          </w:rPr>
          <w:tab/>
        </w:r>
        <w:r w:rsidRPr="008F53FB">
          <w:rPr>
            <w:rStyle w:val="Hyperlink"/>
          </w:rPr>
          <w:t>The trends in residential consumption growth between NEM and WA and NT are similar</w:t>
        </w:r>
        <w:r>
          <w:rPr>
            <w:webHidden/>
          </w:rPr>
          <w:tab/>
        </w:r>
        <w:r>
          <w:rPr>
            <w:webHidden/>
          </w:rPr>
          <w:fldChar w:fldCharType="begin"/>
        </w:r>
        <w:r>
          <w:rPr>
            <w:webHidden/>
          </w:rPr>
          <w:instrText xml:space="preserve"> PAGEREF _Toc369890555 \h </w:instrText>
        </w:r>
        <w:r>
          <w:rPr>
            <w:webHidden/>
          </w:rPr>
        </w:r>
        <w:r>
          <w:rPr>
            <w:webHidden/>
          </w:rPr>
          <w:fldChar w:fldCharType="separate"/>
        </w:r>
        <w:r w:rsidR="00197E14">
          <w:rPr>
            <w:webHidden/>
          </w:rPr>
          <w:t>47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6" w:history="1">
        <w:r w:rsidRPr="008F53FB">
          <w:rPr>
            <w:rStyle w:val="Hyperlink"/>
            <w:i/>
          </w:rPr>
          <w:t>Figure 16.</w:t>
        </w:r>
        <w:r>
          <w:rPr>
            <w:rFonts w:asciiTheme="minorHAnsi" w:eastAsiaTheme="minorEastAsia" w:hAnsiTheme="minorHAnsi"/>
            <w:color w:val="auto"/>
            <w:lang w:eastAsia="en-GB"/>
          </w:rPr>
          <w:tab/>
        </w:r>
        <w:r w:rsidRPr="008F53FB">
          <w:rPr>
            <w:rStyle w:val="Hyperlink"/>
          </w:rPr>
          <w:t>Residential per capita electricity consumption in the NEM flattened between 2005 and 2012</w:t>
        </w:r>
        <w:r>
          <w:rPr>
            <w:webHidden/>
          </w:rPr>
          <w:tab/>
        </w:r>
        <w:r>
          <w:rPr>
            <w:webHidden/>
          </w:rPr>
          <w:fldChar w:fldCharType="begin"/>
        </w:r>
        <w:r>
          <w:rPr>
            <w:webHidden/>
          </w:rPr>
          <w:instrText xml:space="preserve"> PAGEREF _Toc369890556 \h </w:instrText>
        </w:r>
        <w:r>
          <w:rPr>
            <w:webHidden/>
          </w:rPr>
        </w:r>
        <w:r>
          <w:rPr>
            <w:webHidden/>
          </w:rPr>
          <w:fldChar w:fldCharType="separate"/>
        </w:r>
        <w:r w:rsidR="00197E14">
          <w:rPr>
            <w:webHidden/>
          </w:rPr>
          <w:t>48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7" w:history="1">
        <w:r w:rsidRPr="008F53FB">
          <w:rPr>
            <w:rStyle w:val="Hyperlink"/>
            <w:i/>
          </w:rPr>
          <w:t>Figure 17.</w:t>
        </w:r>
        <w:r>
          <w:rPr>
            <w:rFonts w:asciiTheme="minorHAnsi" w:eastAsiaTheme="minorEastAsia" w:hAnsiTheme="minorHAnsi"/>
            <w:color w:val="auto"/>
            <w:lang w:eastAsia="en-GB"/>
          </w:rPr>
          <w:tab/>
        </w:r>
        <w:r w:rsidRPr="008F53FB">
          <w:rPr>
            <w:rStyle w:val="Hyperlink"/>
          </w:rPr>
          <w:t>Residential electricity consumption did not react to prices since 2008 as it did before 2008</w:t>
        </w:r>
        <w:r>
          <w:rPr>
            <w:webHidden/>
          </w:rPr>
          <w:tab/>
        </w:r>
        <w:r>
          <w:rPr>
            <w:webHidden/>
          </w:rPr>
          <w:fldChar w:fldCharType="begin"/>
        </w:r>
        <w:r>
          <w:rPr>
            <w:webHidden/>
          </w:rPr>
          <w:instrText xml:space="preserve"> PAGEREF _Toc369890557 \h </w:instrText>
        </w:r>
        <w:r>
          <w:rPr>
            <w:webHidden/>
          </w:rPr>
        </w:r>
        <w:r>
          <w:rPr>
            <w:webHidden/>
          </w:rPr>
          <w:fldChar w:fldCharType="separate"/>
        </w:r>
        <w:r w:rsidR="00197E14">
          <w:rPr>
            <w:webHidden/>
          </w:rPr>
          <w:t>50</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8" w:history="1">
        <w:r w:rsidRPr="008F53FB">
          <w:rPr>
            <w:rStyle w:val="Hyperlink"/>
            <w:i/>
          </w:rPr>
          <w:t>Figure 18.</w:t>
        </w:r>
        <w:r>
          <w:rPr>
            <w:rFonts w:asciiTheme="minorHAnsi" w:eastAsiaTheme="minorEastAsia" w:hAnsiTheme="minorHAnsi"/>
            <w:color w:val="auto"/>
            <w:lang w:eastAsia="en-GB"/>
          </w:rPr>
          <w:tab/>
        </w:r>
        <w:r w:rsidRPr="008F53FB">
          <w:rPr>
            <w:rStyle w:val="Hyperlink"/>
          </w:rPr>
          <w:t>The estimated long run price elasticity for residential model collapses in 2010 but, when solar PV electricity generation is included as an explanatory variable in model, the elasticity is more stable</w:t>
        </w:r>
        <w:r>
          <w:rPr>
            <w:webHidden/>
          </w:rPr>
          <w:tab/>
        </w:r>
        <w:r>
          <w:rPr>
            <w:webHidden/>
          </w:rPr>
          <w:fldChar w:fldCharType="begin"/>
        </w:r>
        <w:r>
          <w:rPr>
            <w:webHidden/>
          </w:rPr>
          <w:instrText xml:space="preserve"> PAGEREF _Toc369890558 \h </w:instrText>
        </w:r>
        <w:r>
          <w:rPr>
            <w:webHidden/>
          </w:rPr>
        </w:r>
        <w:r>
          <w:rPr>
            <w:webHidden/>
          </w:rPr>
          <w:fldChar w:fldCharType="separate"/>
        </w:r>
        <w:r w:rsidR="00197E14">
          <w:rPr>
            <w:webHidden/>
          </w:rPr>
          <w:t>51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59" w:history="1">
        <w:r w:rsidRPr="008F53FB">
          <w:rPr>
            <w:rStyle w:val="Hyperlink"/>
            <w:i/>
          </w:rPr>
          <w:t>Figure 19.</w:t>
        </w:r>
        <w:r>
          <w:rPr>
            <w:rFonts w:asciiTheme="minorHAnsi" w:eastAsiaTheme="minorEastAsia" w:hAnsiTheme="minorHAnsi"/>
            <w:color w:val="auto"/>
            <w:lang w:eastAsia="en-GB"/>
          </w:rPr>
          <w:tab/>
        </w:r>
        <w:r w:rsidRPr="008F53FB">
          <w:rPr>
            <w:rStyle w:val="Hyperlink"/>
          </w:rPr>
          <w:t>The trends in commercial and services electricity consumption between NEM and WA and NT are similar, including the 2012 outlier</w:t>
        </w:r>
        <w:r>
          <w:rPr>
            <w:webHidden/>
          </w:rPr>
          <w:tab/>
        </w:r>
        <w:r>
          <w:rPr>
            <w:webHidden/>
          </w:rPr>
          <w:fldChar w:fldCharType="begin"/>
        </w:r>
        <w:r>
          <w:rPr>
            <w:webHidden/>
          </w:rPr>
          <w:instrText xml:space="preserve"> PAGEREF _Toc369890559 \h </w:instrText>
        </w:r>
        <w:r>
          <w:rPr>
            <w:webHidden/>
          </w:rPr>
        </w:r>
        <w:r>
          <w:rPr>
            <w:webHidden/>
          </w:rPr>
          <w:fldChar w:fldCharType="separate"/>
        </w:r>
        <w:r w:rsidR="00197E14">
          <w:rPr>
            <w:webHidden/>
          </w:rPr>
          <w:t>52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0" w:history="1">
        <w:r w:rsidRPr="008F53FB">
          <w:rPr>
            <w:rStyle w:val="Hyperlink"/>
            <w:i/>
          </w:rPr>
          <w:t>Figure 20.</w:t>
        </w:r>
        <w:r>
          <w:rPr>
            <w:rFonts w:asciiTheme="minorHAnsi" w:eastAsiaTheme="minorEastAsia" w:hAnsiTheme="minorHAnsi"/>
            <w:color w:val="auto"/>
            <w:lang w:eastAsia="en-GB"/>
          </w:rPr>
          <w:tab/>
        </w:r>
        <w:r w:rsidRPr="008F53FB">
          <w:rPr>
            <w:rStyle w:val="Hyperlink"/>
          </w:rPr>
          <w:t>The trends in commercial and services electricity consumption growth between NEM and WA and NT are similar, including the 2012 outlier</w:t>
        </w:r>
        <w:r>
          <w:rPr>
            <w:webHidden/>
          </w:rPr>
          <w:tab/>
        </w:r>
        <w:r>
          <w:rPr>
            <w:webHidden/>
          </w:rPr>
          <w:fldChar w:fldCharType="begin"/>
        </w:r>
        <w:r>
          <w:rPr>
            <w:webHidden/>
          </w:rPr>
          <w:instrText xml:space="preserve"> PAGEREF _Toc369890560 \h </w:instrText>
        </w:r>
        <w:r>
          <w:rPr>
            <w:webHidden/>
          </w:rPr>
        </w:r>
        <w:r>
          <w:rPr>
            <w:webHidden/>
          </w:rPr>
          <w:fldChar w:fldCharType="separate"/>
        </w:r>
        <w:r w:rsidR="00197E14">
          <w:rPr>
            <w:webHidden/>
          </w:rPr>
          <w:t>53</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1" w:history="1">
        <w:r w:rsidRPr="008F53FB">
          <w:rPr>
            <w:rStyle w:val="Hyperlink"/>
            <w:i/>
          </w:rPr>
          <w:t>Figure 21.</w:t>
        </w:r>
        <w:r>
          <w:rPr>
            <w:rFonts w:asciiTheme="minorHAnsi" w:eastAsiaTheme="minorEastAsia" w:hAnsiTheme="minorHAnsi"/>
            <w:color w:val="auto"/>
            <w:lang w:eastAsia="en-GB"/>
          </w:rPr>
          <w:tab/>
        </w:r>
        <w:r w:rsidRPr="008F53FB">
          <w:rPr>
            <w:rStyle w:val="Hyperlink"/>
          </w:rPr>
          <w:t>Commercial and services electricity consumption in 2011 and 2012 is slightly higher than forecasted</w:t>
        </w:r>
        <w:r>
          <w:rPr>
            <w:webHidden/>
          </w:rPr>
          <w:tab/>
        </w:r>
        <w:r>
          <w:rPr>
            <w:webHidden/>
          </w:rPr>
          <w:fldChar w:fldCharType="begin"/>
        </w:r>
        <w:r>
          <w:rPr>
            <w:webHidden/>
          </w:rPr>
          <w:instrText xml:space="preserve"> PAGEREF _Toc369890561 \h </w:instrText>
        </w:r>
        <w:r>
          <w:rPr>
            <w:webHidden/>
          </w:rPr>
        </w:r>
        <w:r>
          <w:rPr>
            <w:webHidden/>
          </w:rPr>
          <w:fldChar w:fldCharType="separate"/>
        </w:r>
        <w:r w:rsidR="00197E14">
          <w:rPr>
            <w:webHidden/>
          </w:rPr>
          <w:t>55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2" w:history="1">
        <w:r w:rsidRPr="008F53FB">
          <w:rPr>
            <w:rStyle w:val="Hyperlink"/>
            <w:i/>
          </w:rPr>
          <w:t>Figure 22.</w:t>
        </w:r>
        <w:r>
          <w:rPr>
            <w:rFonts w:asciiTheme="minorHAnsi" w:eastAsiaTheme="minorEastAsia" w:hAnsiTheme="minorHAnsi"/>
            <w:color w:val="auto"/>
            <w:lang w:eastAsia="en-GB"/>
          </w:rPr>
          <w:tab/>
        </w:r>
        <w:r w:rsidRPr="008F53FB">
          <w:rPr>
            <w:rStyle w:val="Hyperlink"/>
          </w:rPr>
          <w:t>There are differences between NEM and WA and NT manufacturing electricity consumption patterns, especially since 2006</w:t>
        </w:r>
        <w:r>
          <w:rPr>
            <w:webHidden/>
          </w:rPr>
          <w:tab/>
        </w:r>
        <w:r>
          <w:rPr>
            <w:webHidden/>
          </w:rPr>
          <w:fldChar w:fldCharType="begin"/>
        </w:r>
        <w:r>
          <w:rPr>
            <w:webHidden/>
          </w:rPr>
          <w:instrText xml:space="preserve"> PAGEREF _Toc369890562 \h </w:instrText>
        </w:r>
        <w:r>
          <w:rPr>
            <w:webHidden/>
          </w:rPr>
        </w:r>
        <w:r>
          <w:rPr>
            <w:webHidden/>
          </w:rPr>
          <w:fldChar w:fldCharType="separate"/>
        </w:r>
        <w:r w:rsidR="00197E14">
          <w:rPr>
            <w:webHidden/>
          </w:rPr>
          <w:t>56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3" w:history="1">
        <w:r w:rsidRPr="008F53FB">
          <w:rPr>
            <w:rStyle w:val="Hyperlink"/>
            <w:i/>
          </w:rPr>
          <w:t>Figure 23.</w:t>
        </w:r>
        <w:r>
          <w:rPr>
            <w:rFonts w:asciiTheme="minorHAnsi" w:eastAsiaTheme="minorEastAsia" w:hAnsiTheme="minorHAnsi"/>
            <w:color w:val="auto"/>
            <w:lang w:eastAsia="en-GB"/>
          </w:rPr>
          <w:tab/>
        </w:r>
        <w:r w:rsidRPr="008F53FB">
          <w:rPr>
            <w:rStyle w:val="Hyperlink"/>
          </w:rPr>
          <w:t>WA and NT manufacturing electricity consumption growth is more volatile than NEM, especially since 2006</w:t>
        </w:r>
        <w:r>
          <w:rPr>
            <w:webHidden/>
          </w:rPr>
          <w:tab/>
        </w:r>
        <w:r>
          <w:rPr>
            <w:webHidden/>
          </w:rPr>
          <w:fldChar w:fldCharType="begin"/>
        </w:r>
        <w:r>
          <w:rPr>
            <w:webHidden/>
          </w:rPr>
          <w:instrText xml:space="preserve"> PAGEREF _Toc369890563 \h </w:instrText>
        </w:r>
        <w:r>
          <w:rPr>
            <w:webHidden/>
          </w:rPr>
        </w:r>
        <w:r>
          <w:rPr>
            <w:webHidden/>
          </w:rPr>
          <w:fldChar w:fldCharType="separate"/>
        </w:r>
        <w:r w:rsidR="00197E14">
          <w:rPr>
            <w:webHidden/>
          </w:rPr>
          <w:t>57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4" w:history="1">
        <w:r w:rsidRPr="008F53FB">
          <w:rPr>
            <w:rStyle w:val="Hyperlink"/>
            <w:i/>
          </w:rPr>
          <w:t>Figure 24.</w:t>
        </w:r>
        <w:r>
          <w:rPr>
            <w:rFonts w:asciiTheme="minorHAnsi" w:eastAsiaTheme="minorEastAsia" w:hAnsiTheme="minorHAnsi"/>
            <w:color w:val="auto"/>
            <w:lang w:eastAsia="en-GB"/>
          </w:rPr>
          <w:tab/>
        </w:r>
        <w:r w:rsidRPr="008F53FB">
          <w:rPr>
            <w:rStyle w:val="Hyperlink"/>
          </w:rPr>
          <w:t>The relationship between the drivers and manufacturing consumption since 2008 is unchanged</w:t>
        </w:r>
        <w:r>
          <w:rPr>
            <w:webHidden/>
          </w:rPr>
          <w:tab/>
        </w:r>
        <w:r>
          <w:rPr>
            <w:webHidden/>
          </w:rPr>
          <w:fldChar w:fldCharType="begin"/>
        </w:r>
        <w:r>
          <w:rPr>
            <w:webHidden/>
          </w:rPr>
          <w:instrText xml:space="preserve"> PAGEREF _Toc369890564 \h </w:instrText>
        </w:r>
        <w:r>
          <w:rPr>
            <w:webHidden/>
          </w:rPr>
        </w:r>
        <w:r>
          <w:rPr>
            <w:webHidden/>
          </w:rPr>
          <w:fldChar w:fldCharType="separate"/>
        </w:r>
        <w:r w:rsidR="00197E14">
          <w:rPr>
            <w:webHidden/>
          </w:rPr>
          <w:t>59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5" w:history="1">
        <w:r w:rsidRPr="008F53FB">
          <w:rPr>
            <w:rStyle w:val="Hyperlink"/>
            <w:i/>
          </w:rPr>
          <w:t>Figure 25.</w:t>
        </w:r>
        <w:r>
          <w:rPr>
            <w:rFonts w:asciiTheme="minorHAnsi" w:eastAsiaTheme="minorEastAsia" w:hAnsiTheme="minorHAnsi"/>
            <w:color w:val="auto"/>
            <w:lang w:eastAsia="en-GB"/>
          </w:rPr>
          <w:tab/>
        </w:r>
        <w:r w:rsidRPr="008F53FB">
          <w:rPr>
            <w:rStyle w:val="Hyperlink"/>
          </w:rPr>
          <w:t>AEMO data and BREE equivalent data for the NEM region trends track quite closely when adjusting for 2012 commercial and services consumption</w:t>
        </w:r>
        <w:r>
          <w:rPr>
            <w:webHidden/>
          </w:rPr>
          <w:tab/>
        </w:r>
        <w:r>
          <w:rPr>
            <w:webHidden/>
          </w:rPr>
          <w:fldChar w:fldCharType="begin"/>
        </w:r>
        <w:r>
          <w:rPr>
            <w:webHidden/>
          </w:rPr>
          <w:instrText xml:space="preserve"> PAGEREF _Toc369890565 \h </w:instrText>
        </w:r>
        <w:r>
          <w:rPr>
            <w:webHidden/>
          </w:rPr>
        </w:r>
        <w:r>
          <w:rPr>
            <w:webHidden/>
          </w:rPr>
          <w:fldChar w:fldCharType="separate"/>
        </w:r>
        <w:r w:rsidR="00197E14">
          <w:rPr>
            <w:webHidden/>
          </w:rPr>
          <w:t>63</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6" w:history="1">
        <w:r w:rsidRPr="008F53FB">
          <w:rPr>
            <w:rStyle w:val="Hyperlink"/>
            <w:i/>
          </w:rPr>
          <w:t>Figure 26.</w:t>
        </w:r>
        <w:r>
          <w:rPr>
            <w:rFonts w:asciiTheme="minorHAnsi" w:eastAsiaTheme="minorEastAsia" w:hAnsiTheme="minorHAnsi"/>
            <w:color w:val="auto"/>
            <w:lang w:eastAsia="en-GB"/>
          </w:rPr>
          <w:tab/>
        </w:r>
        <w:r w:rsidRPr="008F53FB">
          <w:rPr>
            <w:rStyle w:val="Hyperlink"/>
          </w:rPr>
          <w:t>The emissions intensity of electricity started to decline since 2009 but was relatively constant before</w:t>
        </w:r>
        <w:r>
          <w:rPr>
            <w:webHidden/>
          </w:rPr>
          <w:tab/>
        </w:r>
        <w:r>
          <w:rPr>
            <w:webHidden/>
          </w:rPr>
          <w:fldChar w:fldCharType="begin"/>
        </w:r>
        <w:r>
          <w:rPr>
            <w:webHidden/>
          </w:rPr>
          <w:instrText xml:space="preserve"> PAGEREF _Toc369890566 \h </w:instrText>
        </w:r>
        <w:r>
          <w:rPr>
            <w:webHidden/>
          </w:rPr>
        </w:r>
        <w:r>
          <w:rPr>
            <w:webHidden/>
          </w:rPr>
          <w:fldChar w:fldCharType="separate"/>
        </w:r>
        <w:r w:rsidR="00197E14">
          <w:rPr>
            <w:webHidden/>
          </w:rPr>
          <w:t>65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7" w:history="1">
        <w:r w:rsidRPr="008F53FB">
          <w:rPr>
            <w:rStyle w:val="Hyperlink"/>
            <w:i/>
          </w:rPr>
          <w:t>Figure 27.</w:t>
        </w:r>
        <w:r>
          <w:rPr>
            <w:rFonts w:asciiTheme="minorHAnsi" w:eastAsiaTheme="minorEastAsia" w:hAnsiTheme="minorHAnsi"/>
            <w:color w:val="auto"/>
            <w:lang w:eastAsia="en-GB"/>
          </w:rPr>
          <w:tab/>
        </w:r>
        <w:r w:rsidRPr="008F53FB">
          <w:rPr>
            <w:rStyle w:val="Hyperlink"/>
          </w:rPr>
          <w:t>Australia's emissions intensity of electricity generation is higher than in several countries</w:t>
        </w:r>
        <w:r>
          <w:rPr>
            <w:webHidden/>
          </w:rPr>
          <w:tab/>
        </w:r>
        <w:r>
          <w:rPr>
            <w:webHidden/>
          </w:rPr>
          <w:fldChar w:fldCharType="begin"/>
        </w:r>
        <w:r>
          <w:rPr>
            <w:webHidden/>
          </w:rPr>
          <w:instrText xml:space="preserve"> PAGEREF _Toc369890567 \h </w:instrText>
        </w:r>
        <w:r>
          <w:rPr>
            <w:webHidden/>
          </w:rPr>
        </w:r>
        <w:r>
          <w:rPr>
            <w:webHidden/>
          </w:rPr>
          <w:fldChar w:fldCharType="separate"/>
        </w:r>
        <w:r w:rsidR="00197E14">
          <w:rPr>
            <w:webHidden/>
          </w:rPr>
          <w:t>66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8" w:history="1">
        <w:r w:rsidRPr="008F53FB">
          <w:rPr>
            <w:rStyle w:val="Hyperlink"/>
            <w:i/>
          </w:rPr>
          <w:t>Figure 28.</w:t>
        </w:r>
        <w:r>
          <w:rPr>
            <w:rFonts w:asciiTheme="minorHAnsi" w:eastAsiaTheme="minorEastAsia" w:hAnsiTheme="minorHAnsi"/>
            <w:color w:val="auto"/>
            <w:lang w:eastAsia="en-GB"/>
          </w:rPr>
          <w:tab/>
        </w:r>
        <w:r w:rsidRPr="008F53FB">
          <w:rPr>
            <w:rStyle w:val="Hyperlink"/>
          </w:rPr>
          <w:t>Gas-fired generation and renewables increased from 2009 whereas black coal generation declined</w:t>
        </w:r>
        <w:r>
          <w:rPr>
            <w:webHidden/>
          </w:rPr>
          <w:tab/>
        </w:r>
        <w:r>
          <w:rPr>
            <w:webHidden/>
          </w:rPr>
          <w:fldChar w:fldCharType="begin"/>
        </w:r>
        <w:r>
          <w:rPr>
            <w:webHidden/>
          </w:rPr>
          <w:instrText xml:space="preserve"> PAGEREF _Toc369890568 \h </w:instrText>
        </w:r>
        <w:r>
          <w:rPr>
            <w:webHidden/>
          </w:rPr>
        </w:r>
        <w:r>
          <w:rPr>
            <w:webHidden/>
          </w:rPr>
          <w:fldChar w:fldCharType="separate"/>
        </w:r>
        <w:r w:rsidR="00197E14">
          <w:rPr>
            <w:webHidden/>
          </w:rPr>
          <w:t>67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69" w:history="1">
        <w:r w:rsidRPr="008F53FB">
          <w:rPr>
            <w:rStyle w:val="Hyperlink"/>
            <w:i/>
          </w:rPr>
          <w:t>Figure 29.</w:t>
        </w:r>
        <w:r>
          <w:rPr>
            <w:rFonts w:asciiTheme="minorHAnsi" w:eastAsiaTheme="minorEastAsia" w:hAnsiTheme="minorHAnsi"/>
            <w:color w:val="auto"/>
            <w:lang w:eastAsia="en-GB"/>
          </w:rPr>
          <w:tab/>
        </w:r>
        <w:r w:rsidRPr="008F53FB">
          <w:rPr>
            <w:rStyle w:val="Hyperlink"/>
          </w:rPr>
          <w:t>The emissions intensity of each fuel has changed significantly over time</w:t>
        </w:r>
        <w:r>
          <w:rPr>
            <w:webHidden/>
          </w:rPr>
          <w:tab/>
        </w:r>
        <w:r>
          <w:rPr>
            <w:webHidden/>
          </w:rPr>
          <w:fldChar w:fldCharType="begin"/>
        </w:r>
        <w:r>
          <w:rPr>
            <w:webHidden/>
          </w:rPr>
          <w:instrText xml:space="preserve"> PAGEREF _Toc369890569 \h </w:instrText>
        </w:r>
        <w:r>
          <w:rPr>
            <w:webHidden/>
          </w:rPr>
        </w:r>
        <w:r>
          <w:rPr>
            <w:webHidden/>
          </w:rPr>
          <w:fldChar w:fldCharType="separate"/>
        </w:r>
        <w:r w:rsidR="00197E14">
          <w:rPr>
            <w:webHidden/>
          </w:rPr>
          <w:t>69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0" w:history="1">
        <w:r w:rsidRPr="008F53FB">
          <w:rPr>
            <w:rStyle w:val="Hyperlink"/>
            <w:i/>
          </w:rPr>
          <w:t>Figure 30.</w:t>
        </w:r>
        <w:r>
          <w:rPr>
            <w:rFonts w:asciiTheme="minorHAnsi" w:eastAsiaTheme="minorEastAsia" w:hAnsiTheme="minorHAnsi"/>
            <w:color w:val="auto"/>
            <w:lang w:eastAsia="en-GB"/>
          </w:rPr>
          <w:tab/>
        </w:r>
        <w:r w:rsidRPr="008F53FB">
          <w:rPr>
            <w:rStyle w:val="Hyperlink"/>
          </w:rPr>
          <w:t>The changes in the emissions intensity of electricity generation are mainly due to changes in the fossil fuel mix, increased renewable deployment and, to a lesser extent, a reduction in the carbon intensity of fuels</w:t>
        </w:r>
        <w:r>
          <w:rPr>
            <w:webHidden/>
          </w:rPr>
          <w:tab/>
        </w:r>
        <w:r>
          <w:rPr>
            <w:webHidden/>
          </w:rPr>
          <w:fldChar w:fldCharType="begin"/>
        </w:r>
        <w:r>
          <w:rPr>
            <w:webHidden/>
          </w:rPr>
          <w:instrText xml:space="preserve"> PAGEREF _Toc369890570 \h </w:instrText>
        </w:r>
        <w:r>
          <w:rPr>
            <w:webHidden/>
          </w:rPr>
        </w:r>
        <w:r>
          <w:rPr>
            <w:webHidden/>
          </w:rPr>
          <w:fldChar w:fldCharType="separate"/>
        </w:r>
        <w:r w:rsidR="00197E14">
          <w:rPr>
            <w:webHidden/>
          </w:rPr>
          <w:t>71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1" w:history="1">
        <w:r w:rsidRPr="008F53FB">
          <w:rPr>
            <w:rStyle w:val="Hyperlink"/>
            <w:i/>
          </w:rPr>
          <w:t>Figure 31.</w:t>
        </w:r>
        <w:r>
          <w:rPr>
            <w:rFonts w:asciiTheme="minorHAnsi" w:eastAsiaTheme="minorEastAsia" w:hAnsiTheme="minorHAnsi"/>
            <w:color w:val="auto"/>
            <w:lang w:eastAsia="en-GB"/>
          </w:rPr>
          <w:tab/>
        </w:r>
        <w:r w:rsidRPr="008F53FB">
          <w:rPr>
            <w:rStyle w:val="Hyperlink"/>
          </w:rPr>
          <w:t>Renewables have been consistently contributing to emissions intensity improvements since 2009</w:t>
        </w:r>
        <w:r>
          <w:rPr>
            <w:webHidden/>
          </w:rPr>
          <w:tab/>
        </w:r>
        <w:r>
          <w:rPr>
            <w:webHidden/>
          </w:rPr>
          <w:fldChar w:fldCharType="begin"/>
        </w:r>
        <w:r>
          <w:rPr>
            <w:webHidden/>
          </w:rPr>
          <w:instrText xml:space="preserve"> PAGEREF _Toc369890571 \h </w:instrText>
        </w:r>
        <w:r>
          <w:rPr>
            <w:webHidden/>
          </w:rPr>
        </w:r>
        <w:r>
          <w:rPr>
            <w:webHidden/>
          </w:rPr>
          <w:fldChar w:fldCharType="separate"/>
        </w:r>
        <w:r w:rsidR="00197E14">
          <w:rPr>
            <w:webHidden/>
          </w:rPr>
          <w:t>72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2" w:history="1">
        <w:r w:rsidRPr="008F53FB">
          <w:rPr>
            <w:rStyle w:val="Hyperlink"/>
            <w:i/>
          </w:rPr>
          <w:t>Figure 32.</w:t>
        </w:r>
        <w:r>
          <w:rPr>
            <w:rFonts w:asciiTheme="minorHAnsi" w:eastAsiaTheme="minorEastAsia" w:hAnsiTheme="minorHAnsi"/>
            <w:color w:val="auto"/>
            <w:lang w:eastAsia="en-GB"/>
          </w:rPr>
          <w:tab/>
        </w:r>
        <w:r w:rsidRPr="008F53FB">
          <w:rPr>
            <w:rStyle w:val="Hyperlink"/>
          </w:rPr>
          <w:t>Black coal electricity generation corresponds closely to black coal input in most periods, with 2000 and 2001 being outliers</w:t>
        </w:r>
        <w:r>
          <w:rPr>
            <w:webHidden/>
          </w:rPr>
          <w:tab/>
        </w:r>
        <w:r>
          <w:rPr>
            <w:webHidden/>
          </w:rPr>
          <w:fldChar w:fldCharType="begin"/>
        </w:r>
        <w:r>
          <w:rPr>
            <w:webHidden/>
          </w:rPr>
          <w:instrText xml:space="preserve"> PAGEREF _Toc369890572 \h </w:instrText>
        </w:r>
        <w:r>
          <w:rPr>
            <w:webHidden/>
          </w:rPr>
        </w:r>
        <w:r>
          <w:rPr>
            <w:webHidden/>
          </w:rPr>
          <w:fldChar w:fldCharType="separate"/>
        </w:r>
        <w:r w:rsidR="00197E14">
          <w:rPr>
            <w:webHidden/>
          </w:rPr>
          <w:t>73</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3" w:history="1">
        <w:r w:rsidRPr="008F53FB">
          <w:rPr>
            <w:rStyle w:val="Hyperlink"/>
            <w:i/>
          </w:rPr>
          <w:t>Figure 33.</w:t>
        </w:r>
        <w:r>
          <w:rPr>
            <w:rFonts w:asciiTheme="minorHAnsi" w:eastAsiaTheme="minorEastAsia" w:hAnsiTheme="minorHAnsi"/>
            <w:color w:val="auto"/>
            <w:lang w:eastAsia="en-GB"/>
          </w:rPr>
          <w:tab/>
        </w:r>
        <w:r w:rsidRPr="008F53FB">
          <w:rPr>
            <w:rStyle w:val="Hyperlink"/>
          </w:rPr>
          <w:t>The large changes in carbon intensity between years may be due to inventory movements</w:t>
        </w:r>
        <w:r>
          <w:rPr>
            <w:webHidden/>
          </w:rPr>
          <w:tab/>
        </w:r>
        <w:r>
          <w:rPr>
            <w:webHidden/>
          </w:rPr>
          <w:fldChar w:fldCharType="begin"/>
        </w:r>
        <w:r>
          <w:rPr>
            <w:webHidden/>
          </w:rPr>
          <w:instrText xml:space="preserve"> PAGEREF _Toc369890573 \h </w:instrText>
        </w:r>
        <w:r>
          <w:rPr>
            <w:webHidden/>
          </w:rPr>
        </w:r>
        <w:r>
          <w:rPr>
            <w:webHidden/>
          </w:rPr>
          <w:fldChar w:fldCharType="separate"/>
        </w:r>
        <w:r w:rsidR="00197E14">
          <w:rPr>
            <w:webHidden/>
          </w:rPr>
          <w:t>74</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4" w:history="1">
        <w:r w:rsidRPr="008F53FB">
          <w:rPr>
            <w:rStyle w:val="Hyperlink"/>
            <w:i/>
          </w:rPr>
          <w:t>Figure 34.</w:t>
        </w:r>
        <w:r>
          <w:rPr>
            <w:rFonts w:asciiTheme="minorHAnsi" w:eastAsiaTheme="minorEastAsia" w:hAnsiTheme="minorHAnsi"/>
            <w:color w:val="auto"/>
            <w:lang w:eastAsia="en-GB"/>
          </w:rPr>
          <w:tab/>
        </w:r>
        <w:r w:rsidRPr="008F53FB">
          <w:rPr>
            <w:rStyle w:val="Hyperlink"/>
          </w:rPr>
          <w:t>Gas generation share in Queensland between 2009 and 2012 has increased substantially</w:t>
        </w:r>
        <w:r>
          <w:rPr>
            <w:webHidden/>
          </w:rPr>
          <w:tab/>
        </w:r>
        <w:r>
          <w:rPr>
            <w:webHidden/>
          </w:rPr>
          <w:fldChar w:fldCharType="begin"/>
        </w:r>
        <w:r>
          <w:rPr>
            <w:webHidden/>
          </w:rPr>
          <w:instrText xml:space="preserve"> PAGEREF _Toc369890574 \h </w:instrText>
        </w:r>
        <w:r>
          <w:rPr>
            <w:webHidden/>
          </w:rPr>
        </w:r>
        <w:r>
          <w:rPr>
            <w:webHidden/>
          </w:rPr>
          <w:fldChar w:fldCharType="separate"/>
        </w:r>
        <w:r w:rsidR="00197E14">
          <w:rPr>
            <w:webHidden/>
          </w:rPr>
          <w:t>77</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5" w:history="1">
        <w:r w:rsidRPr="008F53FB">
          <w:rPr>
            <w:rStyle w:val="Hyperlink"/>
            <w:i/>
          </w:rPr>
          <w:t>Figure 35.</w:t>
        </w:r>
        <w:r>
          <w:rPr>
            <w:rFonts w:asciiTheme="minorHAnsi" w:eastAsiaTheme="minorEastAsia" w:hAnsiTheme="minorHAnsi"/>
            <w:color w:val="auto"/>
            <w:lang w:eastAsia="en-GB"/>
          </w:rPr>
          <w:tab/>
        </w:r>
        <w:r w:rsidRPr="008F53FB">
          <w:rPr>
            <w:rStyle w:val="Hyperlink"/>
          </w:rPr>
          <w:t>In New South Wales, both gas and renewables increased their share in the generation mix</w:t>
        </w:r>
        <w:r>
          <w:rPr>
            <w:webHidden/>
          </w:rPr>
          <w:tab/>
        </w:r>
        <w:r>
          <w:rPr>
            <w:webHidden/>
          </w:rPr>
          <w:fldChar w:fldCharType="begin"/>
        </w:r>
        <w:r>
          <w:rPr>
            <w:webHidden/>
          </w:rPr>
          <w:instrText xml:space="preserve"> PAGEREF _Toc369890575 \h </w:instrText>
        </w:r>
        <w:r>
          <w:rPr>
            <w:webHidden/>
          </w:rPr>
        </w:r>
        <w:r>
          <w:rPr>
            <w:webHidden/>
          </w:rPr>
          <w:fldChar w:fldCharType="separate"/>
        </w:r>
        <w:r w:rsidR="00197E14">
          <w:rPr>
            <w:webHidden/>
          </w:rPr>
          <w:t>78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6" w:history="1">
        <w:r w:rsidRPr="008F53FB">
          <w:rPr>
            <w:rStyle w:val="Hyperlink"/>
            <w:i/>
          </w:rPr>
          <w:t>Figure 36.</w:t>
        </w:r>
        <w:r>
          <w:rPr>
            <w:rFonts w:asciiTheme="minorHAnsi" w:eastAsiaTheme="minorEastAsia" w:hAnsiTheme="minorHAnsi"/>
            <w:color w:val="auto"/>
            <w:lang w:eastAsia="en-GB"/>
          </w:rPr>
          <w:tab/>
        </w:r>
        <w:r w:rsidRPr="008F53FB">
          <w:rPr>
            <w:rStyle w:val="Hyperlink"/>
          </w:rPr>
          <w:t>Gas prices are projected to rise between today and 2030 whereas black and brown coal prices are constant and decreasing respectively</w:t>
        </w:r>
        <w:r>
          <w:rPr>
            <w:webHidden/>
          </w:rPr>
          <w:tab/>
        </w:r>
        <w:r>
          <w:rPr>
            <w:webHidden/>
          </w:rPr>
          <w:fldChar w:fldCharType="begin"/>
        </w:r>
        <w:r>
          <w:rPr>
            <w:webHidden/>
          </w:rPr>
          <w:instrText xml:space="preserve"> PAGEREF _Toc369890576 \h </w:instrText>
        </w:r>
        <w:r>
          <w:rPr>
            <w:webHidden/>
          </w:rPr>
        </w:r>
        <w:r>
          <w:rPr>
            <w:webHidden/>
          </w:rPr>
          <w:fldChar w:fldCharType="separate"/>
        </w:r>
        <w:r w:rsidR="00197E14">
          <w:rPr>
            <w:webHidden/>
          </w:rPr>
          <w:t>79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7" w:history="1">
        <w:r w:rsidRPr="008F53FB">
          <w:rPr>
            <w:rStyle w:val="Hyperlink"/>
            <w:i/>
          </w:rPr>
          <w:t>Figure 37.</w:t>
        </w:r>
        <w:r>
          <w:rPr>
            <w:rFonts w:asciiTheme="minorHAnsi" w:eastAsiaTheme="minorEastAsia" w:hAnsiTheme="minorHAnsi"/>
            <w:color w:val="auto"/>
            <w:lang w:eastAsia="en-GB"/>
          </w:rPr>
          <w:tab/>
        </w:r>
        <w:r w:rsidRPr="008F53FB">
          <w:rPr>
            <w:rStyle w:val="Hyperlink"/>
          </w:rPr>
          <w:t>Renewable generation grew by 44 per cent between 2000 and 2012, supported by the LRET SRET policies</w:t>
        </w:r>
        <w:r>
          <w:rPr>
            <w:webHidden/>
          </w:rPr>
          <w:tab/>
        </w:r>
        <w:r>
          <w:rPr>
            <w:webHidden/>
          </w:rPr>
          <w:fldChar w:fldCharType="begin"/>
        </w:r>
        <w:r>
          <w:rPr>
            <w:webHidden/>
          </w:rPr>
          <w:instrText xml:space="preserve"> PAGEREF _Toc369890577 \h </w:instrText>
        </w:r>
        <w:r>
          <w:rPr>
            <w:webHidden/>
          </w:rPr>
        </w:r>
        <w:r>
          <w:rPr>
            <w:webHidden/>
          </w:rPr>
          <w:fldChar w:fldCharType="separate"/>
        </w:r>
        <w:r w:rsidR="00197E14">
          <w:rPr>
            <w:webHidden/>
          </w:rPr>
          <w:t>80</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8" w:history="1">
        <w:r w:rsidRPr="008F53FB">
          <w:rPr>
            <w:rStyle w:val="Hyperlink"/>
            <w:i/>
          </w:rPr>
          <w:t>Figure 38.</w:t>
        </w:r>
        <w:r>
          <w:rPr>
            <w:rFonts w:asciiTheme="minorHAnsi" w:eastAsiaTheme="minorEastAsia" w:hAnsiTheme="minorHAnsi"/>
            <w:color w:val="auto"/>
            <w:lang w:eastAsia="en-GB"/>
          </w:rPr>
          <w:tab/>
        </w:r>
        <w:r w:rsidRPr="008F53FB">
          <w:rPr>
            <w:rStyle w:val="Hyperlink"/>
          </w:rPr>
          <w:t>The contribution of solar PV increased steadily from 2009</w:t>
        </w:r>
        <w:r>
          <w:rPr>
            <w:webHidden/>
          </w:rPr>
          <w:tab/>
        </w:r>
        <w:r>
          <w:rPr>
            <w:webHidden/>
          </w:rPr>
          <w:fldChar w:fldCharType="begin"/>
        </w:r>
        <w:r>
          <w:rPr>
            <w:webHidden/>
          </w:rPr>
          <w:instrText xml:space="preserve"> PAGEREF _Toc369890578 \h </w:instrText>
        </w:r>
        <w:r>
          <w:rPr>
            <w:webHidden/>
          </w:rPr>
        </w:r>
        <w:r>
          <w:rPr>
            <w:webHidden/>
          </w:rPr>
          <w:fldChar w:fldCharType="separate"/>
        </w:r>
        <w:r w:rsidR="00197E14">
          <w:rPr>
            <w:webHidden/>
          </w:rPr>
          <w:t>81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79" w:history="1">
        <w:r w:rsidRPr="008F53FB">
          <w:rPr>
            <w:rStyle w:val="Hyperlink"/>
            <w:i/>
          </w:rPr>
          <w:t>Figure 39.</w:t>
        </w:r>
        <w:r>
          <w:rPr>
            <w:rFonts w:asciiTheme="minorHAnsi" w:eastAsiaTheme="minorEastAsia" w:hAnsiTheme="minorHAnsi"/>
            <w:color w:val="auto"/>
            <w:lang w:eastAsia="en-GB"/>
          </w:rPr>
          <w:tab/>
        </w:r>
        <w:r w:rsidRPr="008F53FB">
          <w:rPr>
            <w:rStyle w:val="Hyperlink"/>
          </w:rPr>
          <w:t>Solar PV took off after the introduction of the SRET in 2009</w:t>
        </w:r>
        <w:r>
          <w:rPr>
            <w:webHidden/>
          </w:rPr>
          <w:tab/>
        </w:r>
        <w:r>
          <w:rPr>
            <w:webHidden/>
          </w:rPr>
          <w:fldChar w:fldCharType="begin"/>
        </w:r>
        <w:r>
          <w:rPr>
            <w:webHidden/>
          </w:rPr>
          <w:instrText xml:space="preserve"> PAGEREF _Toc369890579 \h </w:instrText>
        </w:r>
        <w:r>
          <w:rPr>
            <w:webHidden/>
          </w:rPr>
        </w:r>
        <w:r>
          <w:rPr>
            <w:webHidden/>
          </w:rPr>
          <w:fldChar w:fldCharType="separate"/>
        </w:r>
        <w:r w:rsidR="00197E14">
          <w:rPr>
            <w:webHidden/>
          </w:rPr>
          <w:t>82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0" w:history="1">
        <w:r w:rsidRPr="008F53FB">
          <w:rPr>
            <w:rStyle w:val="Hyperlink"/>
            <w:i/>
          </w:rPr>
          <w:t>Figure 40.</w:t>
        </w:r>
        <w:r>
          <w:rPr>
            <w:rFonts w:asciiTheme="minorHAnsi" w:eastAsiaTheme="minorEastAsia" w:hAnsiTheme="minorHAnsi"/>
            <w:color w:val="auto"/>
            <w:lang w:eastAsia="en-GB"/>
          </w:rPr>
          <w:tab/>
        </w:r>
        <w:r w:rsidRPr="008F53FB">
          <w:rPr>
            <w:rStyle w:val="Hyperlink"/>
          </w:rPr>
          <w:t>Rapid growth in renewable generation is a consequence of the Mandatory Renewable Energy Target</w:t>
        </w:r>
        <w:r>
          <w:rPr>
            <w:webHidden/>
          </w:rPr>
          <w:tab/>
        </w:r>
        <w:r>
          <w:rPr>
            <w:webHidden/>
          </w:rPr>
          <w:fldChar w:fldCharType="begin"/>
        </w:r>
        <w:r>
          <w:rPr>
            <w:webHidden/>
          </w:rPr>
          <w:instrText xml:space="preserve"> PAGEREF _Toc369890580 \h </w:instrText>
        </w:r>
        <w:r>
          <w:rPr>
            <w:webHidden/>
          </w:rPr>
        </w:r>
        <w:r>
          <w:rPr>
            <w:webHidden/>
          </w:rPr>
          <w:fldChar w:fldCharType="separate"/>
        </w:r>
        <w:r w:rsidR="00197E14">
          <w:rPr>
            <w:webHidden/>
          </w:rPr>
          <w:t>83</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1" w:history="1">
        <w:r w:rsidRPr="008F53FB">
          <w:rPr>
            <w:rStyle w:val="Hyperlink"/>
            <w:i/>
          </w:rPr>
          <w:t>Figure 41.</w:t>
        </w:r>
        <w:r>
          <w:rPr>
            <w:rFonts w:asciiTheme="minorHAnsi" w:eastAsiaTheme="minorEastAsia" w:hAnsiTheme="minorHAnsi"/>
            <w:color w:val="auto"/>
            <w:lang w:eastAsia="en-GB"/>
          </w:rPr>
          <w:tab/>
        </w:r>
        <w:r w:rsidRPr="008F53FB">
          <w:rPr>
            <w:rStyle w:val="Hyperlink"/>
          </w:rPr>
          <w:t>Wind represents majority of large electricity new generation projects by capacity in the NEM</w:t>
        </w:r>
        <w:r>
          <w:rPr>
            <w:webHidden/>
          </w:rPr>
          <w:tab/>
        </w:r>
        <w:r>
          <w:rPr>
            <w:webHidden/>
          </w:rPr>
          <w:fldChar w:fldCharType="begin"/>
        </w:r>
        <w:r>
          <w:rPr>
            <w:webHidden/>
          </w:rPr>
          <w:instrText xml:space="preserve"> PAGEREF _Toc369890581 \h </w:instrText>
        </w:r>
        <w:r>
          <w:rPr>
            <w:webHidden/>
          </w:rPr>
        </w:r>
        <w:r>
          <w:rPr>
            <w:webHidden/>
          </w:rPr>
          <w:fldChar w:fldCharType="separate"/>
        </w:r>
        <w:r w:rsidR="00197E14">
          <w:rPr>
            <w:webHidden/>
          </w:rPr>
          <w:t>84</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2" w:history="1">
        <w:r w:rsidRPr="008F53FB">
          <w:rPr>
            <w:rStyle w:val="Hyperlink"/>
            <w:i/>
          </w:rPr>
          <w:t>Figure 42.</w:t>
        </w:r>
        <w:r>
          <w:rPr>
            <w:rFonts w:asciiTheme="minorHAnsi" w:eastAsiaTheme="minorEastAsia" w:hAnsiTheme="minorHAnsi"/>
            <w:color w:val="auto"/>
            <w:lang w:eastAsia="en-GB"/>
          </w:rPr>
          <w:tab/>
        </w:r>
        <w:r w:rsidRPr="008F53FB">
          <w:rPr>
            <w:rStyle w:val="Hyperlink"/>
          </w:rPr>
          <w:t>Black coal generation corresponds closely to black coal input, except for the previously identified outliers between 2000 and 2002</w:t>
        </w:r>
        <w:r>
          <w:rPr>
            <w:webHidden/>
          </w:rPr>
          <w:tab/>
        </w:r>
        <w:r>
          <w:rPr>
            <w:webHidden/>
          </w:rPr>
          <w:fldChar w:fldCharType="begin"/>
        </w:r>
        <w:r>
          <w:rPr>
            <w:webHidden/>
          </w:rPr>
          <w:instrText xml:space="preserve"> PAGEREF _Toc369890582 \h </w:instrText>
        </w:r>
        <w:r>
          <w:rPr>
            <w:webHidden/>
          </w:rPr>
        </w:r>
        <w:r>
          <w:rPr>
            <w:webHidden/>
          </w:rPr>
          <w:fldChar w:fldCharType="separate"/>
        </w:r>
        <w:r w:rsidR="00197E14">
          <w:rPr>
            <w:webHidden/>
          </w:rPr>
          <w:t>85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3" w:history="1">
        <w:r w:rsidRPr="008F53FB">
          <w:rPr>
            <w:rStyle w:val="Hyperlink"/>
            <w:i/>
          </w:rPr>
          <w:t>Figure 43.</w:t>
        </w:r>
        <w:r>
          <w:rPr>
            <w:rFonts w:asciiTheme="minorHAnsi" w:eastAsiaTheme="minorEastAsia" w:hAnsiTheme="minorHAnsi"/>
            <w:color w:val="auto"/>
            <w:lang w:eastAsia="en-GB"/>
          </w:rPr>
          <w:tab/>
        </w:r>
        <w:r w:rsidRPr="008F53FB">
          <w:rPr>
            <w:rStyle w:val="Hyperlink"/>
          </w:rPr>
          <w:t>Emissions excluding LULUCF have risen since 1990 and stabilised after 2008</w:t>
        </w:r>
        <w:r>
          <w:rPr>
            <w:webHidden/>
          </w:rPr>
          <w:tab/>
        </w:r>
        <w:r>
          <w:rPr>
            <w:webHidden/>
          </w:rPr>
          <w:fldChar w:fldCharType="begin"/>
        </w:r>
        <w:r>
          <w:rPr>
            <w:webHidden/>
          </w:rPr>
          <w:instrText xml:space="preserve"> PAGEREF _Toc369890583 \h </w:instrText>
        </w:r>
        <w:r>
          <w:rPr>
            <w:webHidden/>
          </w:rPr>
        </w:r>
        <w:r>
          <w:rPr>
            <w:webHidden/>
          </w:rPr>
          <w:fldChar w:fldCharType="separate"/>
        </w:r>
        <w:r w:rsidR="00197E14">
          <w:rPr>
            <w:webHidden/>
          </w:rPr>
          <w:t>88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4" w:history="1">
        <w:r w:rsidRPr="008F53FB">
          <w:rPr>
            <w:rStyle w:val="Hyperlink"/>
            <w:i/>
          </w:rPr>
          <w:t>Figure 44.</w:t>
        </w:r>
        <w:r>
          <w:rPr>
            <w:rFonts w:asciiTheme="minorHAnsi" w:eastAsiaTheme="minorEastAsia" w:hAnsiTheme="minorHAnsi"/>
            <w:color w:val="auto"/>
            <w:lang w:eastAsia="en-GB"/>
          </w:rPr>
          <w:tab/>
        </w:r>
        <w:r w:rsidRPr="008F53FB">
          <w:rPr>
            <w:rStyle w:val="Hyperlink"/>
          </w:rPr>
          <w:t>Emissions from mining and Div. I Transport are rising faster than from other sectors.</w:t>
        </w:r>
        <w:r>
          <w:rPr>
            <w:webHidden/>
          </w:rPr>
          <w:tab/>
        </w:r>
        <w:r>
          <w:rPr>
            <w:webHidden/>
          </w:rPr>
          <w:fldChar w:fldCharType="begin"/>
        </w:r>
        <w:r>
          <w:rPr>
            <w:webHidden/>
          </w:rPr>
          <w:instrText xml:space="preserve"> PAGEREF _Toc369890584 \h </w:instrText>
        </w:r>
        <w:r>
          <w:rPr>
            <w:webHidden/>
          </w:rPr>
        </w:r>
        <w:r>
          <w:rPr>
            <w:webHidden/>
          </w:rPr>
          <w:fldChar w:fldCharType="separate"/>
        </w:r>
        <w:r w:rsidR="00197E14">
          <w:rPr>
            <w:webHidden/>
          </w:rPr>
          <w:t>90</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5" w:history="1">
        <w:r w:rsidRPr="008F53FB">
          <w:rPr>
            <w:rStyle w:val="Hyperlink"/>
            <w:i/>
          </w:rPr>
          <w:t>Figure 45.</w:t>
        </w:r>
        <w:r>
          <w:rPr>
            <w:rFonts w:asciiTheme="minorHAnsi" w:eastAsiaTheme="minorEastAsia" w:hAnsiTheme="minorHAnsi"/>
            <w:color w:val="auto"/>
            <w:lang w:eastAsia="en-GB"/>
          </w:rPr>
          <w:tab/>
        </w:r>
        <w:r w:rsidRPr="008F53FB">
          <w:rPr>
            <w:rStyle w:val="Hyperlink"/>
          </w:rPr>
          <w:t>The economy-wide emissions intensity has been steadily declining between 2000 and 2011 at a rate of 1.9 per cent per year</w:t>
        </w:r>
        <w:r>
          <w:rPr>
            <w:webHidden/>
          </w:rPr>
          <w:tab/>
        </w:r>
        <w:r>
          <w:rPr>
            <w:webHidden/>
          </w:rPr>
          <w:fldChar w:fldCharType="begin"/>
        </w:r>
        <w:r>
          <w:rPr>
            <w:webHidden/>
          </w:rPr>
          <w:instrText xml:space="preserve"> PAGEREF _Toc369890585 \h </w:instrText>
        </w:r>
        <w:r>
          <w:rPr>
            <w:webHidden/>
          </w:rPr>
        </w:r>
        <w:r>
          <w:rPr>
            <w:webHidden/>
          </w:rPr>
          <w:fldChar w:fldCharType="separate"/>
        </w:r>
        <w:r w:rsidR="00197E14">
          <w:rPr>
            <w:webHidden/>
          </w:rPr>
          <w:t>94</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6" w:history="1">
        <w:r w:rsidRPr="008F53FB">
          <w:rPr>
            <w:rStyle w:val="Hyperlink"/>
            <w:i/>
          </w:rPr>
          <w:t>Figure 46.</w:t>
        </w:r>
        <w:r>
          <w:rPr>
            <w:rFonts w:asciiTheme="minorHAnsi" w:eastAsiaTheme="minorEastAsia" w:hAnsiTheme="minorHAnsi"/>
            <w:color w:val="auto"/>
            <w:lang w:eastAsia="en-GB"/>
          </w:rPr>
          <w:tab/>
        </w:r>
        <w:r w:rsidRPr="008F53FB">
          <w:rPr>
            <w:rStyle w:val="Hyperlink"/>
          </w:rPr>
          <w:t>Agriculture and electricity supply have seen declining emissions intensity in the last period</w:t>
        </w:r>
        <w:r>
          <w:rPr>
            <w:webHidden/>
          </w:rPr>
          <w:tab/>
        </w:r>
        <w:r>
          <w:rPr>
            <w:webHidden/>
          </w:rPr>
          <w:fldChar w:fldCharType="begin"/>
        </w:r>
        <w:r>
          <w:rPr>
            <w:webHidden/>
          </w:rPr>
          <w:instrText xml:space="preserve"> PAGEREF _Toc369890586 \h </w:instrText>
        </w:r>
        <w:r>
          <w:rPr>
            <w:webHidden/>
          </w:rPr>
        </w:r>
        <w:r>
          <w:rPr>
            <w:webHidden/>
          </w:rPr>
          <w:fldChar w:fldCharType="separate"/>
        </w:r>
        <w:r w:rsidR="00197E14">
          <w:rPr>
            <w:webHidden/>
          </w:rPr>
          <w:t>95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7" w:history="1">
        <w:r w:rsidRPr="008F53FB">
          <w:rPr>
            <w:rStyle w:val="Hyperlink"/>
            <w:i/>
          </w:rPr>
          <w:t>Figure 47.</w:t>
        </w:r>
        <w:r>
          <w:rPr>
            <w:rFonts w:asciiTheme="minorHAnsi" w:eastAsiaTheme="minorEastAsia" w:hAnsiTheme="minorHAnsi"/>
            <w:color w:val="auto"/>
            <w:lang w:eastAsia="en-GB"/>
          </w:rPr>
          <w:tab/>
        </w:r>
        <w:r w:rsidRPr="008F53FB">
          <w:rPr>
            <w:rStyle w:val="Hyperlink"/>
          </w:rPr>
          <w:t>The intensity effect was greatest from 2008 to 2011, when it contributed a 7 per cent reduction in emissions</w:t>
        </w:r>
        <w:r>
          <w:rPr>
            <w:webHidden/>
          </w:rPr>
          <w:tab/>
        </w:r>
        <w:r>
          <w:rPr>
            <w:webHidden/>
          </w:rPr>
          <w:fldChar w:fldCharType="begin"/>
        </w:r>
        <w:r>
          <w:rPr>
            <w:webHidden/>
          </w:rPr>
          <w:instrText xml:space="preserve"> PAGEREF _Toc369890587 \h </w:instrText>
        </w:r>
        <w:r>
          <w:rPr>
            <w:webHidden/>
          </w:rPr>
        </w:r>
        <w:r>
          <w:rPr>
            <w:webHidden/>
          </w:rPr>
          <w:fldChar w:fldCharType="separate"/>
        </w:r>
        <w:r w:rsidR="00197E14">
          <w:rPr>
            <w:webHidden/>
          </w:rPr>
          <w:t>98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8" w:history="1">
        <w:r w:rsidRPr="008F53FB">
          <w:rPr>
            <w:rStyle w:val="Hyperlink"/>
            <w:i/>
          </w:rPr>
          <w:t>Figure 48.</w:t>
        </w:r>
        <w:r>
          <w:rPr>
            <w:rFonts w:asciiTheme="minorHAnsi" w:eastAsiaTheme="minorEastAsia" w:hAnsiTheme="minorHAnsi"/>
            <w:color w:val="auto"/>
            <w:lang w:eastAsia="en-GB"/>
          </w:rPr>
          <w:tab/>
        </w:r>
        <w:r w:rsidRPr="008F53FB">
          <w:rPr>
            <w:rStyle w:val="Hyperlink"/>
          </w:rPr>
          <w:t>The intensity effect reduced emissions in almost every year since 2000</w:t>
        </w:r>
        <w:r>
          <w:rPr>
            <w:webHidden/>
          </w:rPr>
          <w:tab/>
        </w:r>
        <w:r>
          <w:rPr>
            <w:webHidden/>
          </w:rPr>
          <w:fldChar w:fldCharType="begin"/>
        </w:r>
        <w:r>
          <w:rPr>
            <w:webHidden/>
          </w:rPr>
          <w:instrText xml:space="preserve"> PAGEREF _Toc369890588 \h </w:instrText>
        </w:r>
        <w:r>
          <w:rPr>
            <w:webHidden/>
          </w:rPr>
        </w:r>
        <w:r>
          <w:rPr>
            <w:webHidden/>
          </w:rPr>
          <w:fldChar w:fldCharType="separate"/>
        </w:r>
        <w:r w:rsidR="00197E14">
          <w:rPr>
            <w:webHidden/>
          </w:rPr>
          <w:t>99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89" w:history="1">
        <w:r w:rsidRPr="008F53FB">
          <w:rPr>
            <w:rStyle w:val="Hyperlink"/>
            <w:i/>
          </w:rPr>
          <w:t>Figure 49.</w:t>
        </w:r>
        <w:r>
          <w:rPr>
            <w:rFonts w:asciiTheme="minorHAnsi" w:eastAsiaTheme="minorEastAsia" w:hAnsiTheme="minorHAnsi"/>
            <w:color w:val="auto"/>
            <w:lang w:eastAsia="en-GB"/>
          </w:rPr>
          <w:tab/>
        </w:r>
        <w:r w:rsidRPr="008F53FB">
          <w:rPr>
            <w:rStyle w:val="Hyperlink"/>
          </w:rPr>
          <w:t>A lower activity effect between 2009 and 2011 from the global economic slowdown after 2008</w:t>
        </w:r>
        <w:r>
          <w:rPr>
            <w:webHidden/>
          </w:rPr>
          <w:tab/>
        </w:r>
        <w:r>
          <w:rPr>
            <w:webHidden/>
          </w:rPr>
          <w:fldChar w:fldCharType="begin"/>
        </w:r>
        <w:r>
          <w:rPr>
            <w:webHidden/>
          </w:rPr>
          <w:instrText xml:space="preserve"> PAGEREF _Toc369890589 \h </w:instrText>
        </w:r>
        <w:r>
          <w:rPr>
            <w:webHidden/>
          </w:rPr>
        </w:r>
        <w:r>
          <w:rPr>
            <w:webHidden/>
          </w:rPr>
          <w:fldChar w:fldCharType="separate"/>
        </w:r>
        <w:r w:rsidR="00197E14">
          <w:rPr>
            <w:webHidden/>
          </w:rPr>
          <w:t>101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0" w:history="1">
        <w:r w:rsidRPr="008F53FB">
          <w:rPr>
            <w:rStyle w:val="Hyperlink"/>
            <w:i/>
          </w:rPr>
          <w:t>Figure 50.</w:t>
        </w:r>
        <w:r>
          <w:rPr>
            <w:rFonts w:asciiTheme="minorHAnsi" w:eastAsiaTheme="minorEastAsia" w:hAnsiTheme="minorHAnsi"/>
            <w:color w:val="auto"/>
            <w:lang w:eastAsia="en-GB"/>
          </w:rPr>
          <w:tab/>
        </w:r>
        <w:r w:rsidRPr="008F53FB">
          <w:rPr>
            <w:rStyle w:val="Hyperlink"/>
          </w:rPr>
          <w:t>Agriculture has the largest and most volatile structural contribution to economy-wide emissions</w:t>
        </w:r>
        <w:r>
          <w:rPr>
            <w:webHidden/>
          </w:rPr>
          <w:tab/>
        </w:r>
        <w:r>
          <w:rPr>
            <w:webHidden/>
          </w:rPr>
          <w:fldChar w:fldCharType="begin"/>
        </w:r>
        <w:r>
          <w:rPr>
            <w:webHidden/>
          </w:rPr>
          <w:instrText xml:space="preserve"> PAGEREF _Toc369890590 \h </w:instrText>
        </w:r>
        <w:r>
          <w:rPr>
            <w:webHidden/>
          </w:rPr>
        </w:r>
        <w:r>
          <w:rPr>
            <w:webHidden/>
          </w:rPr>
          <w:fldChar w:fldCharType="separate"/>
        </w:r>
        <w:r w:rsidR="00197E14">
          <w:rPr>
            <w:webHidden/>
          </w:rPr>
          <w:t>102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1" w:history="1">
        <w:r w:rsidRPr="008F53FB">
          <w:rPr>
            <w:rStyle w:val="Hyperlink"/>
            <w:i/>
          </w:rPr>
          <w:t>Figure 51.</w:t>
        </w:r>
        <w:r>
          <w:rPr>
            <w:rFonts w:asciiTheme="minorHAnsi" w:eastAsiaTheme="minorEastAsia" w:hAnsiTheme="minorHAnsi"/>
            <w:color w:val="auto"/>
            <w:lang w:eastAsia="en-GB"/>
          </w:rPr>
          <w:tab/>
        </w:r>
        <w:r w:rsidRPr="008F53FB">
          <w:rPr>
            <w:rStyle w:val="Hyperlink"/>
          </w:rPr>
          <w:t>Manufacturing and mining have a helpful structural effect in economy-wide gas emissions between 2008 and 2011</w:t>
        </w:r>
        <w:r>
          <w:rPr>
            <w:webHidden/>
          </w:rPr>
          <w:tab/>
        </w:r>
        <w:r>
          <w:rPr>
            <w:webHidden/>
          </w:rPr>
          <w:fldChar w:fldCharType="begin"/>
        </w:r>
        <w:r>
          <w:rPr>
            <w:webHidden/>
          </w:rPr>
          <w:instrText xml:space="preserve"> PAGEREF _Toc369890591 \h </w:instrText>
        </w:r>
        <w:r>
          <w:rPr>
            <w:webHidden/>
          </w:rPr>
        </w:r>
        <w:r>
          <w:rPr>
            <w:webHidden/>
          </w:rPr>
          <w:fldChar w:fldCharType="separate"/>
        </w:r>
        <w:r w:rsidR="00197E14">
          <w:rPr>
            <w:webHidden/>
          </w:rPr>
          <w:t>103</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2" w:history="1">
        <w:r w:rsidRPr="008F53FB">
          <w:rPr>
            <w:rStyle w:val="Hyperlink"/>
            <w:i/>
          </w:rPr>
          <w:t>Figure 52.</w:t>
        </w:r>
        <w:r>
          <w:rPr>
            <w:rFonts w:asciiTheme="minorHAnsi" w:eastAsiaTheme="minorEastAsia" w:hAnsiTheme="minorHAnsi"/>
            <w:color w:val="auto"/>
            <w:lang w:eastAsia="en-GB"/>
          </w:rPr>
          <w:tab/>
        </w:r>
        <w:r w:rsidRPr="008F53FB">
          <w:rPr>
            <w:rStyle w:val="Hyperlink"/>
          </w:rPr>
          <w:t>Electricity supply and agriculture gains have been the main contributors to an emissions decline in the period 2008 to 2011</w:t>
        </w:r>
        <w:r>
          <w:rPr>
            <w:webHidden/>
          </w:rPr>
          <w:tab/>
        </w:r>
        <w:r>
          <w:rPr>
            <w:webHidden/>
          </w:rPr>
          <w:fldChar w:fldCharType="begin"/>
        </w:r>
        <w:r>
          <w:rPr>
            <w:webHidden/>
          </w:rPr>
          <w:instrText xml:space="preserve"> PAGEREF _Toc369890592 \h </w:instrText>
        </w:r>
        <w:r>
          <w:rPr>
            <w:webHidden/>
          </w:rPr>
        </w:r>
        <w:r>
          <w:rPr>
            <w:webHidden/>
          </w:rPr>
          <w:fldChar w:fldCharType="separate"/>
        </w:r>
        <w:r w:rsidR="00197E14">
          <w:rPr>
            <w:webHidden/>
          </w:rPr>
          <w:t>105</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3" w:history="1">
        <w:r w:rsidRPr="008F53FB">
          <w:rPr>
            <w:rStyle w:val="Hyperlink"/>
            <w:i/>
          </w:rPr>
          <w:t>Figure 53.</w:t>
        </w:r>
        <w:r>
          <w:rPr>
            <w:rFonts w:asciiTheme="minorHAnsi" w:eastAsiaTheme="minorEastAsia" w:hAnsiTheme="minorHAnsi"/>
            <w:color w:val="auto"/>
            <w:lang w:eastAsia="en-GB"/>
          </w:rPr>
          <w:tab/>
        </w:r>
        <w:r w:rsidRPr="008F53FB">
          <w:rPr>
            <w:rStyle w:val="Hyperlink"/>
          </w:rPr>
          <w:t>Decreasing emissions intensity of electricity supply and agriculture have been the major drivers of declining emissions between 2008 and 2011</w:t>
        </w:r>
        <w:r>
          <w:rPr>
            <w:webHidden/>
          </w:rPr>
          <w:tab/>
        </w:r>
        <w:r>
          <w:rPr>
            <w:webHidden/>
          </w:rPr>
          <w:fldChar w:fldCharType="begin"/>
        </w:r>
        <w:r>
          <w:rPr>
            <w:webHidden/>
          </w:rPr>
          <w:instrText xml:space="preserve"> PAGEREF _Toc369890593 \h </w:instrText>
        </w:r>
        <w:r>
          <w:rPr>
            <w:webHidden/>
          </w:rPr>
        </w:r>
        <w:r>
          <w:rPr>
            <w:webHidden/>
          </w:rPr>
          <w:fldChar w:fldCharType="separate"/>
        </w:r>
        <w:r w:rsidR="00197E14">
          <w:rPr>
            <w:webHidden/>
          </w:rPr>
          <w:t>106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4" w:history="1">
        <w:r w:rsidRPr="008F53FB">
          <w:rPr>
            <w:rStyle w:val="Hyperlink"/>
            <w:i/>
          </w:rPr>
          <w:t>Figure 54.</w:t>
        </w:r>
        <w:r>
          <w:rPr>
            <w:rFonts w:asciiTheme="minorHAnsi" w:eastAsiaTheme="minorEastAsia" w:hAnsiTheme="minorHAnsi"/>
            <w:color w:val="auto"/>
            <w:lang w:eastAsia="en-GB"/>
          </w:rPr>
          <w:tab/>
        </w:r>
        <w:r w:rsidRPr="008F53FB">
          <w:rPr>
            <w:rStyle w:val="Hyperlink"/>
          </w:rPr>
          <w:t>A restructuring towards metal and non-metallic mineral products within manufacturing pushed up emissions</w:t>
        </w:r>
        <w:r>
          <w:rPr>
            <w:webHidden/>
          </w:rPr>
          <w:tab/>
        </w:r>
        <w:r>
          <w:rPr>
            <w:webHidden/>
          </w:rPr>
          <w:fldChar w:fldCharType="begin"/>
        </w:r>
        <w:r>
          <w:rPr>
            <w:webHidden/>
          </w:rPr>
          <w:instrText xml:space="preserve"> PAGEREF _Toc369890594 \h </w:instrText>
        </w:r>
        <w:r>
          <w:rPr>
            <w:webHidden/>
          </w:rPr>
        </w:r>
        <w:r>
          <w:rPr>
            <w:webHidden/>
          </w:rPr>
          <w:fldChar w:fldCharType="separate"/>
        </w:r>
        <w:r w:rsidR="00197E14">
          <w:rPr>
            <w:webHidden/>
          </w:rPr>
          <w:t>108</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5" w:history="1">
        <w:r w:rsidRPr="008F53FB">
          <w:rPr>
            <w:rStyle w:val="Hyperlink"/>
            <w:i/>
          </w:rPr>
          <w:t>Figure 55.</w:t>
        </w:r>
        <w:r>
          <w:rPr>
            <w:rFonts w:asciiTheme="minorHAnsi" w:eastAsiaTheme="minorEastAsia" w:hAnsiTheme="minorHAnsi"/>
            <w:color w:val="auto"/>
            <w:lang w:eastAsia="en-GB"/>
          </w:rPr>
          <w:tab/>
        </w:r>
        <w:r w:rsidRPr="008F53FB">
          <w:rPr>
            <w:rStyle w:val="Hyperlink"/>
          </w:rPr>
          <w:t>Manufacturing of metal products and non-metallic mineral products drove down the emissions intensity of manufacturing between 2005 and 2011</w:t>
        </w:r>
        <w:r>
          <w:rPr>
            <w:webHidden/>
          </w:rPr>
          <w:tab/>
        </w:r>
        <w:r>
          <w:rPr>
            <w:webHidden/>
          </w:rPr>
          <w:fldChar w:fldCharType="begin"/>
        </w:r>
        <w:r>
          <w:rPr>
            <w:webHidden/>
          </w:rPr>
          <w:instrText xml:space="preserve"> PAGEREF _Toc369890595 \h </w:instrText>
        </w:r>
        <w:r>
          <w:rPr>
            <w:webHidden/>
          </w:rPr>
        </w:r>
        <w:r>
          <w:rPr>
            <w:webHidden/>
          </w:rPr>
          <w:fldChar w:fldCharType="separate"/>
        </w:r>
        <w:r w:rsidR="00197E14">
          <w:rPr>
            <w:webHidden/>
          </w:rPr>
          <w:t>109</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6" w:history="1">
        <w:r w:rsidRPr="008F53FB">
          <w:rPr>
            <w:rStyle w:val="Hyperlink"/>
            <w:i/>
          </w:rPr>
          <w:t>Figure 56.</w:t>
        </w:r>
        <w:r>
          <w:rPr>
            <w:rFonts w:asciiTheme="minorHAnsi" w:eastAsiaTheme="minorEastAsia" w:hAnsiTheme="minorHAnsi"/>
            <w:color w:val="auto"/>
            <w:lang w:eastAsia="en-GB"/>
          </w:rPr>
          <w:tab/>
        </w:r>
        <w:r w:rsidRPr="008F53FB">
          <w:rPr>
            <w:rStyle w:val="Hyperlink"/>
          </w:rPr>
          <w:t>The structural change within the mining sector since 2008 contributed to a lower emissions intensity of the economy</w:t>
        </w:r>
        <w:r>
          <w:rPr>
            <w:webHidden/>
          </w:rPr>
          <w:tab/>
        </w:r>
        <w:r>
          <w:rPr>
            <w:webHidden/>
          </w:rPr>
          <w:fldChar w:fldCharType="begin"/>
        </w:r>
        <w:r>
          <w:rPr>
            <w:webHidden/>
          </w:rPr>
          <w:instrText xml:space="preserve"> PAGEREF _Toc369890596 \h </w:instrText>
        </w:r>
        <w:r>
          <w:rPr>
            <w:webHidden/>
          </w:rPr>
        </w:r>
        <w:r>
          <w:rPr>
            <w:webHidden/>
          </w:rPr>
          <w:fldChar w:fldCharType="separate"/>
        </w:r>
        <w:r w:rsidR="00197E14">
          <w:rPr>
            <w:webHidden/>
          </w:rPr>
          <w:t>110</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7" w:history="1">
        <w:r w:rsidRPr="008F53FB">
          <w:rPr>
            <w:rStyle w:val="Hyperlink"/>
            <w:i/>
          </w:rPr>
          <w:t>Figure 57.</w:t>
        </w:r>
        <w:r>
          <w:rPr>
            <w:rFonts w:asciiTheme="minorHAnsi" w:eastAsiaTheme="minorEastAsia" w:hAnsiTheme="minorHAnsi"/>
            <w:color w:val="auto"/>
            <w:lang w:eastAsia="en-GB"/>
          </w:rPr>
          <w:tab/>
        </w:r>
        <w:r w:rsidRPr="008F53FB">
          <w:rPr>
            <w:rStyle w:val="Hyperlink"/>
          </w:rPr>
          <w:t>Coal mining and oil and gas extraction increased the emissions intensity of the mining sector and affected the emissions intensity of the economy negatively</w:t>
        </w:r>
        <w:r>
          <w:rPr>
            <w:webHidden/>
          </w:rPr>
          <w:tab/>
        </w:r>
        <w:r>
          <w:rPr>
            <w:webHidden/>
          </w:rPr>
          <w:fldChar w:fldCharType="begin"/>
        </w:r>
        <w:r>
          <w:rPr>
            <w:webHidden/>
          </w:rPr>
          <w:instrText xml:space="preserve"> PAGEREF _Toc369890597 \h </w:instrText>
        </w:r>
        <w:r>
          <w:rPr>
            <w:webHidden/>
          </w:rPr>
        </w:r>
        <w:r>
          <w:rPr>
            <w:webHidden/>
          </w:rPr>
          <w:fldChar w:fldCharType="separate"/>
        </w:r>
        <w:r w:rsidR="00197E14">
          <w:rPr>
            <w:webHidden/>
          </w:rPr>
          <w:t>111</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598" w:history="1">
        <w:r w:rsidRPr="008F53FB">
          <w:rPr>
            <w:rStyle w:val="Hyperlink"/>
            <w:i/>
          </w:rPr>
          <w:t>Figure 58.</w:t>
        </w:r>
        <w:r>
          <w:rPr>
            <w:rFonts w:asciiTheme="minorHAnsi" w:eastAsiaTheme="minorEastAsia" w:hAnsiTheme="minorHAnsi"/>
            <w:color w:val="auto"/>
            <w:lang w:eastAsia="en-GB"/>
          </w:rPr>
          <w:tab/>
        </w:r>
        <w:r w:rsidRPr="008F53FB">
          <w:rPr>
            <w:rStyle w:val="Hyperlink"/>
          </w:rPr>
          <w:t>The trend analysis tests the data and builds a robust model to arrive at the final results</w:t>
        </w:r>
        <w:r>
          <w:rPr>
            <w:webHidden/>
          </w:rPr>
          <w:tab/>
        </w:r>
        <w:r>
          <w:rPr>
            <w:webHidden/>
          </w:rPr>
          <w:fldChar w:fldCharType="begin"/>
        </w:r>
        <w:r>
          <w:rPr>
            <w:webHidden/>
          </w:rPr>
          <w:instrText xml:space="preserve"> PAGEREF _Toc369890598 \h </w:instrText>
        </w:r>
        <w:r>
          <w:rPr>
            <w:webHidden/>
          </w:rPr>
        </w:r>
        <w:r>
          <w:rPr>
            <w:webHidden/>
          </w:rPr>
          <w:fldChar w:fldCharType="separate"/>
        </w:r>
        <w:r w:rsidR="00197E14">
          <w:rPr>
            <w:webHidden/>
          </w:rPr>
          <w:t>128</w:t>
        </w:r>
        <w:r>
          <w:rPr>
            <w:webHidden/>
          </w:rPr>
          <w:fldChar w:fldCharType="end"/>
        </w:r>
      </w:hyperlink>
    </w:p>
    <w:p w:rsidR="0044334F" w:rsidRDefault="005A66AE" w:rsidP="001C11C6">
      <w:pPr>
        <w:pStyle w:val="TOC3"/>
      </w:pPr>
      <w:r w:rsidRPr="00EF51BF">
        <w:lastRenderedPageBreak/>
        <w:fldChar w:fldCharType="end"/>
      </w:r>
      <w:bookmarkStart w:id="3" w:name="Section1"/>
    </w:p>
    <w:p w:rsidR="0044334F" w:rsidRPr="00EF51BF" w:rsidRDefault="0044334F" w:rsidP="004D22CA">
      <w:pPr>
        <w:pStyle w:val="Listoffigures"/>
        <w:keepNext/>
      </w:pPr>
      <w:r>
        <w:t>List of boxes</w:t>
      </w:r>
      <w:r w:rsidRPr="00EF51BF">
        <w:t xml:space="preserve"> </w:t>
      </w:r>
    </w:p>
    <w:p w:rsidR="00BB4088" w:rsidRDefault="005A66AE">
      <w:pPr>
        <w:pStyle w:val="TableofFigures"/>
        <w:rPr>
          <w:rFonts w:asciiTheme="minorHAnsi" w:eastAsiaTheme="minorEastAsia" w:hAnsiTheme="minorHAnsi"/>
          <w:color w:val="auto"/>
          <w:lang w:eastAsia="en-GB"/>
        </w:rPr>
      </w:pPr>
      <w:r>
        <w:fldChar w:fldCharType="begin"/>
      </w:r>
      <w:r w:rsidR="00963315">
        <w:instrText xml:space="preserve"> TOC \h \z \t "Box title" \c </w:instrText>
      </w:r>
      <w:r>
        <w:fldChar w:fldCharType="separate"/>
      </w:r>
      <w:hyperlink w:anchor="_Toc369890599" w:history="1">
        <w:r w:rsidR="00BB4088" w:rsidRPr="00372183">
          <w:rPr>
            <w:rStyle w:val="Hyperlink"/>
            <w:i/>
          </w:rPr>
          <w:t>Box 1.</w:t>
        </w:r>
        <w:r w:rsidR="00BB4088">
          <w:rPr>
            <w:rFonts w:asciiTheme="minorHAnsi" w:eastAsiaTheme="minorEastAsia" w:hAnsiTheme="minorHAnsi"/>
            <w:color w:val="auto"/>
            <w:lang w:eastAsia="en-GB"/>
          </w:rPr>
          <w:tab/>
        </w:r>
        <w:r w:rsidR="00BB4088" w:rsidRPr="00372183">
          <w:rPr>
            <w:rStyle w:val="Hyperlink"/>
          </w:rPr>
          <w:t>Electricity consumption in the NEM fell due to lower economic growth and higher electricity prices</w:t>
        </w:r>
        <w:r w:rsidR="00BB4088">
          <w:rPr>
            <w:webHidden/>
          </w:rPr>
          <w:tab/>
        </w:r>
        <w:r w:rsidR="00BB4088">
          <w:rPr>
            <w:webHidden/>
          </w:rPr>
          <w:fldChar w:fldCharType="begin"/>
        </w:r>
        <w:r w:rsidR="00BB4088">
          <w:rPr>
            <w:webHidden/>
          </w:rPr>
          <w:instrText xml:space="preserve"> PAGEREF _Toc369890599 \h </w:instrText>
        </w:r>
        <w:r w:rsidR="00BB4088">
          <w:rPr>
            <w:webHidden/>
          </w:rPr>
        </w:r>
        <w:r w:rsidR="00BB4088">
          <w:rPr>
            <w:webHidden/>
          </w:rPr>
          <w:fldChar w:fldCharType="separate"/>
        </w:r>
        <w:r w:rsidR="00197E14">
          <w:rPr>
            <w:webHidden/>
          </w:rPr>
          <w:t>61</w:t>
        </w:r>
        <w:r w:rsidR="00BB4088">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600" w:history="1">
        <w:r w:rsidRPr="00372183">
          <w:rPr>
            <w:rStyle w:val="Hyperlink"/>
            <w:i/>
          </w:rPr>
          <w:t>Box 2.</w:t>
        </w:r>
        <w:r>
          <w:rPr>
            <w:rFonts w:asciiTheme="minorHAnsi" w:eastAsiaTheme="minorEastAsia" w:hAnsiTheme="minorHAnsi"/>
            <w:color w:val="auto"/>
            <w:lang w:eastAsia="en-GB"/>
          </w:rPr>
          <w:tab/>
        </w:r>
        <w:r w:rsidRPr="00372183">
          <w:rPr>
            <w:rStyle w:val="Hyperlink"/>
          </w:rPr>
          <w:t>Comparison of data for the NEM region from the Bureau of Resources and Energy Economics and from the Australian Electricity Market Operator</w:t>
        </w:r>
        <w:r>
          <w:rPr>
            <w:webHidden/>
          </w:rPr>
          <w:tab/>
        </w:r>
        <w:r>
          <w:rPr>
            <w:webHidden/>
          </w:rPr>
          <w:fldChar w:fldCharType="begin"/>
        </w:r>
        <w:r>
          <w:rPr>
            <w:webHidden/>
          </w:rPr>
          <w:instrText xml:space="preserve"> PAGEREF _Toc369890600 \h </w:instrText>
        </w:r>
        <w:r>
          <w:rPr>
            <w:webHidden/>
          </w:rPr>
        </w:r>
        <w:r>
          <w:rPr>
            <w:webHidden/>
          </w:rPr>
          <w:fldChar w:fldCharType="separate"/>
        </w:r>
        <w:r w:rsidR="00197E14">
          <w:rPr>
            <w:webHidden/>
          </w:rPr>
          <w:t>62</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601" w:history="1">
        <w:r w:rsidRPr="00372183">
          <w:rPr>
            <w:rStyle w:val="Hyperlink"/>
            <w:i/>
          </w:rPr>
          <w:t>Box 3.</w:t>
        </w:r>
        <w:r>
          <w:rPr>
            <w:rFonts w:asciiTheme="minorHAnsi" w:eastAsiaTheme="minorEastAsia" w:hAnsiTheme="minorHAnsi"/>
            <w:color w:val="auto"/>
            <w:lang w:eastAsia="en-GB"/>
          </w:rPr>
          <w:tab/>
        </w:r>
        <w:r w:rsidRPr="00372183">
          <w:rPr>
            <w:rStyle w:val="Hyperlink"/>
          </w:rPr>
          <w:t>The emissions intensity of electricity generation depends largely on policies</w:t>
        </w:r>
        <w:r>
          <w:rPr>
            <w:webHidden/>
          </w:rPr>
          <w:tab/>
        </w:r>
        <w:r>
          <w:rPr>
            <w:webHidden/>
          </w:rPr>
          <w:fldChar w:fldCharType="begin"/>
        </w:r>
        <w:r>
          <w:rPr>
            <w:webHidden/>
          </w:rPr>
          <w:instrText xml:space="preserve"> PAGEREF _Toc369890601 \h </w:instrText>
        </w:r>
        <w:r>
          <w:rPr>
            <w:webHidden/>
          </w:rPr>
        </w:r>
        <w:r>
          <w:rPr>
            <w:webHidden/>
          </w:rPr>
          <w:fldChar w:fldCharType="separate"/>
        </w:r>
        <w:r w:rsidR="00197E14">
          <w:rPr>
            <w:webHidden/>
          </w:rPr>
          <w:t>86</w:t>
        </w:r>
        <w:r>
          <w:rPr>
            <w:webHidden/>
          </w:rPr>
          <w:fldChar w:fldCharType="end"/>
        </w:r>
      </w:hyperlink>
    </w:p>
    <w:p w:rsidR="00BB4088" w:rsidRDefault="00BB4088">
      <w:pPr>
        <w:pStyle w:val="TableofFigures"/>
        <w:rPr>
          <w:rFonts w:asciiTheme="minorHAnsi" w:eastAsiaTheme="minorEastAsia" w:hAnsiTheme="minorHAnsi"/>
          <w:color w:val="auto"/>
          <w:lang w:eastAsia="en-GB"/>
        </w:rPr>
      </w:pPr>
      <w:hyperlink w:anchor="_Toc369890602" w:history="1">
        <w:r w:rsidRPr="00372183">
          <w:rPr>
            <w:rStyle w:val="Hyperlink"/>
            <w:i/>
          </w:rPr>
          <w:t>Box 4.</w:t>
        </w:r>
        <w:r>
          <w:rPr>
            <w:rFonts w:asciiTheme="minorHAnsi" w:eastAsiaTheme="minorEastAsia" w:hAnsiTheme="minorHAnsi"/>
            <w:color w:val="auto"/>
            <w:lang w:eastAsia="en-GB"/>
          </w:rPr>
          <w:tab/>
        </w:r>
        <w:r w:rsidRPr="00372183">
          <w:rPr>
            <w:rStyle w:val="Hyperlink"/>
          </w:rPr>
          <w:t>Economy-wide emissions increased when LULUCF emissions are excluded</w:t>
        </w:r>
        <w:r>
          <w:rPr>
            <w:webHidden/>
          </w:rPr>
          <w:tab/>
        </w:r>
        <w:r>
          <w:rPr>
            <w:webHidden/>
          </w:rPr>
          <w:fldChar w:fldCharType="begin"/>
        </w:r>
        <w:r>
          <w:rPr>
            <w:webHidden/>
          </w:rPr>
          <w:instrText xml:space="preserve"> PAGEREF _Toc369890602 \h </w:instrText>
        </w:r>
        <w:r>
          <w:rPr>
            <w:webHidden/>
          </w:rPr>
        </w:r>
        <w:r>
          <w:rPr>
            <w:webHidden/>
          </w:rPr>
          <w:fldChar w:fldCharType="separate"/>
        </w:r>
        <w:r w:rsidR="00197E14">
          <w:rPr>
            <w:webHidden/>
          </w:rPr>
          <w:t>112</w:t>
        </w:r>
        <w:r>
          <w:rPr>
            <w:webHidden/>
          </w:rPr>
          <w:fldChar w:fldCharType="end"/>
        </w:r>
      </w:hyperlink>
    </w:p>
    <w:p w:rsidR="00747451" w:rsidRDefault="005A66AE" w:rsidP="00747451">
      <w:pPr>
        <w:pStyle w:val="TOC3"/>
      </w:pPr>
      <w:r>
        <w:fldChar w:fldCharType="end"/>
      </w:r>
    </w:p>
    <w:p w:rsidR="00B44B7C" w:rsidRPr="00B44B7C" w:rsidRDefault="00B44B7C" w:rsidP="0044334F">
      <w:r>
        <w:br w:type="page"/>
      </w:r>
    </w:p>
    <w:p w:rsidR="00B44B7C" w:rsidRPr="00B44B7C" w:rsidRDefault="00B44B7C" w:rsidP="00B44B7C">
      <w:pPr>
        <w:sectPr w:rsidR="00B44B7C" w:rsidRPr="00B44B7C" w:rsidSect="00A3383B">
          <w:footerReference w:type="default" r:id="rId13"/>
          <w:pgSz w:w="11906" w:h="16838" w:code="9"/>
          <w:pgMar w:top="1985" w:right="1134" w:bottom="1701" w:left="1134" w:header="425" w:footer="284" w:gutter="0"/>
          <w:cols w:space="708"/>
          <w:docGrid w:linePitch="360"/>
        </w:sectPr>
      </w:pPr>
    </w:p>
    <w:p w:rsidR="00B13EBD" w:rsidRPr="00AC341A" w:rsidRDefault="00C40B9D" w:rsidP="00AC341A">
      <w:pPr>
        <w:pStyle w:val="Heading1"/>
      </w:pPr>
      <w:bookmarkStart w:id="4" w:name="_Toc369890501"/>
      <w:r>
        <w:lastRenderedPageBreak/>
        <w:t>Introduction</w:t>
      </w:r>
      <w:bookmarkEnd w:id="4"/>
    </w:p>
    <w:p w:rsidR="00B13EBD" w:rsidRPr="00EF51BF" w:rsidRDefault="00F52FA3" w:rsidP="0093570F">
      <w:pPr>
        <w:pStyle w:val="Sectionsubheading"/>
      </w:pPr>
      <w:r w:rsidRPr="00F52FA3">
        <w:t>New work on electricity consumption</w:t>
      </w:r>
      <w:r w:rsidR="006F742C">
        <w:t>, electricity generation emissions intensity</w:t>
      </w:r>
      <w:r w:rsidRPr="00F52FA3">
        <w:t xml:space="preserve"> and</w:t>
      </w:r>
      <w:r w:rsidR="006F742C">
        <w:t xml:space="preserve"> economy-wide</w:t>
      </w:r>
      <w:r w:rsidRPr="00F52FA3">
        <w:t xml:space="preserve"> emissions trends since </w:t>
      </w:r>
      <w:r w:rsidR="006C667D">
        <w:t>2008</w:t>
      </w:r>
    </w:p>
    <w:p w:rsidR="00B13EBD" w:rsidRDefault="0002418D" w:rsidP="002A31C3">
      <w:pPr>
        <w:pStyle w:val="Sectioncontents"/>
      </w:pPr>
      <w:r>
        <w:t>Section c</w:t>
      </w:r>
      <w:r w:rsidR="00B13EBD"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FA793C" w:rsidRPr="00EF51BF">
        <w:rPr>
          <w:noProof w:val="0"/>
        </w:rPr>
        <w:instrText xml:space="preserve"> TOC \u \t "Heading </w:instrText>
      </w:r>
      <w:r w:rsidR="00FA793C">
        <w:rPr>
          <w:noProof w:val="0"/>
        </w:rPr>
        <w:instrText>2</w:instrText>
      </w:r>
      <w:r w:rsidR="00FA793C" w:rsidRPr="00EF51BF">
        <w:rPr>
          <w:noProof w:val="0"/>
        </w:rPr>
        <w:instrText>,</w:instrText>
      </w:r>
      <w:r w:rsidR="00FA793C">
        <w:rPr>
          <w:noProof w:val="0"/>
        </w:rPr>
        <w:instrText>1</w:instrText>
      </w:r>
      <w:r w:rsidR="00FA793C" w:rsidRPr="00EF51BF">
        <w:rPr>
          <w:noProof w:val="0"/>
        </w:rPr>
        <w:instrText xml:space="preserve">" </w:instrText>
      </w:r>
      <w:r w:rsidR="00FA793C">
        <w:rPr>
          <w:noProof w:val="0"/>
        </w:rPr>
        <w:instrText>\b "Section1"</w:instrText>
      </w:r>
      <w:r w:rsidR="00FA793C" w:rsidRPr="00EF51BF">
        <w:rPr>
          <w:noProof w:val="0"/>
        </w:rPr>
        <w:instrText xml:space="preserve"> </w:instrText>
      </w:r>
      <w:r w:rsidRPr="00EF51BF">
        <w:rPr>
          <w:noProof w:val="0"/>
        </w:rPr>
        <w:fldChar w:fldCharType="separate"/>
      </w:r>
      <w:r w:rsidR="00BB4088">
        <w:t>1.1</w:t>
      </w:r>
      <w:r w:rsidR="00BB4088">
        <w:rPr>
          <w:rFonts w:asciiTheme="minorHAnsi" w:eastAsiaTheme="minorEastAsia" w:hAnsiTheme="minorHAnsi" w:cstheme="minorBidi"/>
          <w:color w:val="auto"/>
          <w:lang w:eastAsia="en-GB"/>
        </w:rPr>
        <w:tab/>
      </w:r>
      <w:r w:rsidR="00BB4088">
        <w:t>Background</w:t>
      </w:r>
      <w:r w:rsidR="00BB4088">
        <w:tab/>
      </w:r>
      <w:r w:rsidR="00BB4088">
        <w:fldChar w:fldCharType="begin"/>
      </w:r>
      <w:r w:rsidR="00BB4088">
        <w:instrText xml:space="preserve"> PAGEREF _Toc369890603 \h </w:instrText>
      </w:r>
      <w:r w:rsidR="00BB4088">
        <w:fldChar w:fldCharType="separate"/>
      </w:r>
      <w:r w:rsidR="00197E14">
        <w:t>17</w:t>
      </w:r>
      <w:r w:rsidR="00BB4088">
        <w:fldChar w:fldCharType="end"/>
      </w:r>
    </w:p>
    <w:p w:rsidR="00BB4088" w:rsidRDefault="00BB4088">
      <w:pPr>
        <w:pStyle w:val="TOC1"/>
        <w:rPr>
          <w:rFonts w:asciiTheme="minorHAnsi" w:eastAsiaTheme="minorEastAsia" w:hAnsiTheme="minorHAnsi" w:cstheme="minorBidi"/>
          <w:color w:val="auto"/>
          <w:lang w:eastAsia="en-GB"/>
        </w:rPr>
      </w:pPr>
      <w:r>
        <w:t>1.2</w:t>
      </w:r>
      <w:r>
        <w:rPr>
          <w:rFonts w:asciiTheme="minorHAnsi" w:eastAsiaTheme="minorEastAsia" w:hAnsiTheme="minorHAnsi" w:cstheme="minorBidi"/>
          <w:color w:val="auto"/>
          <w:lang w:eastAsia="en-GB"/>
        </w:rPr>
        <w:tab/>
      </w:r>
      <w:r>
        <w:t>Aims</w:t>
      </w:r>
      <w:r>
        <w:tab/>
      </w:r>
      <w:r>
        <w:fldChar w:fldCharType="begin"/>
      </w:r>
      <w:r>
        <w:instrText xml:space="preserve"> PAGEREF _Toc369890604 \h </w:instrText>
      </w:r>
      <w:r>
        <w:fldChar w:fldCharType="separate"/>
      </w:r>
      <w:r w:rsidR="00197E14">
        <w:t>18</w:t>
      </w:r>
      <w:r>
        <w:fldChar w:fldCharType="end"/>
      </w:r>
    </w:p>
    <w:p w:rsidR="00BB4088" w:rsidRDefault="00BB4088">
      <w:pPr>
        <w:pStyle w:val="TOC1"/>
        <w:rPr>
          <w:rFonts w:asciiTheme="minorHAnsi" w:eastAsiaTheme="minorEastAsia" w:hAnsiTheme="minorHAnsi" w:cstheme="minorBidi"/>
          <w:color w:val="auto"/>
          <w:lang w:eastAsia="en-GB"/>
        </w:rPr>
      </w:pPr>
      <w:r>
        <w:t>1.3</w:t>
      </w:r>
      <w:r>
        <w:rPr>
          <w:rFonts w:asciiTheme="minorHAnsi" w:eastAsiaTheme="minorEastAsia" w:hAnsiTheme="minorHAnsi" w:cstheme="minorBidi"/>
          <w:color w:val="auto"/>
          <w:lang w:eastAsia="en-GB"/>
        </w:rPr>
        <w:tab/>
      </w:r>
      <w:r>
        <w:t>Approach</w:t>
      </w:r>
      <w:r>
        <w:tab/>
      </w:r>
      <w:r>
        <w:fldChar w:fldCharType="begin"/>
      </w:r>
      <w:r>
        <w:instrText xml:space="preserve"> PAGEREF _Toc369890605 \h </w:instrText>
      </w:r>
      <w:r>
        <w:fldChar w:fldCharType="separate"/>
      </w:r>
      <w:r w:rsidR="00197E14">
        <w:t>19</w:t>
      </w:r>
      <w:r>
        <w:fldChar w:fldCharType="end"/>
      </w:r>
    </w:p>
    <w:p w:rsidR="00BB4088" w:rsidRDefault="00BB4088">
      <w:pPr>
        <w:pStyle w:val="TOC1"/>
        <w:rPr>
          <w:rFonts w:asciiTheme="minorHAnsi" w:eastAsiaTheme="minorEastAsia" w:hAnsiTheme="minorHAnsi" w:cstheme="minorBidi"/>
          <w:color w:val="auto"/>
          <w:lang w:eastAsia="en-GB"/>
        </w:rPr>
      </w:pPr>
      <w:r>
        <w:t>1.4</w:t>
      </w:r>
      <w:r>
        <w:rPr>
          <w:rFonts w:asciiTheme="minorHAnsi" w:eastAsiaTheme="minorEastAsia" w:hAnsiTheme="minorHAnsi" w:cstheme="minorBidi"/>
          <w:color w:val="auto"/>
          <w:lang w:eastAsia="en-GB"/>
        </w:rPr>
        <w:tab/>
      </w:r>
      <w:r>
        <w:t>The context for the results</w:t>
      </w:r>
      <w:r>
        <w:tab/>
      </w:r>
      <w:r>
        <w:fldChar w:fldCharType="begin"/>
      </w:r>
      <w:r>
        <w:instrText xml:space="preserve"> PAGEREF _Toc369890606 \h </w:instrText>
      </w:r>
      <w:r>
        <w:fldChar w:fldCharType="separate"/>
      </w:r>
      <w:r w:rsidR="00197E14">
        <w:t>21</w:t>
      </w:r>
      <w:r>
        <w:fldChar w:fldCharType="end"/>
      </w:r>
    </w:p>
    <w:p w:rsidR="00BB4088" w:rsidRDefault="00BB4088">
      <w:pPr>
        <w:pStyle w:val="TOC1"/>
        <w:rPr>
          <w:rFonts w:asciiTheme="minorHAnsi" w:eastAsiaTheme="minorEastAsia" w:hAnsiTheme="minorHAnsi" w:cstheme="minorBidi"/>
          <w:color w:val="auto"/>
          <w:lang w:eastAsia="en-GB"/>
        </w:rPr>
      </w:pPr>
      <w:r>
        <w:t>1.5</w:t>
      </w:r>
      <w:r>
        <w:rPr>
          <w:rFonts w:asciiTheme="minorHAnsi" w:eastAsiaTheme="minorEastAsia" w:hAnsiTheme="minorHAnsi" w:cstheme="minorBidi"/>
          <w:color w:val="auto"/>
          <w:lang w:eastAsia="en-GB"/>
        </w:rPr>
        <w:tab/>
      </w:r>
      <w:r>
        <w:t>Structure of the report</w:t>
      </w:r>
      <w:r>
        <w:tab/>
      </w:r>
      <w:r>
        <w:fldChar w:fldCharType="begin"/>
      </w:r>
      <w:r>
        <w:instrText xml:space="preserve"> PAGEREF _Toc369890607 \h </w:instrText>
      </w:r>
      <w:r>
        <w:fldChar w:fldCharType="separate"/>
      </w:r>
      <w:r w:rsidR="00197E14">
        <w:t>22</w:t>
      </w:r>
      <w:r>
        <w:fldChar w:fldCharType="end"/>
      </w:r>
    </w:p>
    <w:p w:rsidR="00B13EBD" w:rsidRPr="00A6339C" w:rsidRDefault="005A66AE" w:rsidP="00DF6B0B">
      <w:pPr>
        <w:pStyle w:val="Sectionintroheading"/>
      </w:pPr>
      <w:r w:rsidRPr="00EF51BF">
        <w:fldChar w:fldCharType="end"/>
      </w:r>
      <w:r w:rsidR="006F742C">
        <w:t>E</w:t>
      </w:r>
      <w:r w:rsidR="00F70A6A">
        <w:t>conomic growth</w:t>
      </w:r>
      <w:r w:rsidR="001D611C">
        <w:t>, electricity</w:t>
      </w:r>
      <w:r w:rsidR="00F70A6A">
        <w:t xml:space="preserve"> prices </w:t>
      </w:r>
      <w:r w:rsidR="006F742C">
        <w:t xml:space="preserve">and policies in the electricity sectors changed markedly after </w:t>
      </w:r>
      <w:r w:rsidR="006C667D">
        <w:t>2008</w:t>
      </w:r>
      <w:r w:rsidR="00F70A6A">
        <w:t xml:space="preserve"> </w:t>
      </w:r>
    </w:p>
    <w:p w:rsidR="006B7695" w:rsidRPr="00EF51BF" w:rsidRDefault="006B7695" w:rsidP="008103D1">
      <w:pPr>
        <w:pStyle w:val="Indentedtext425cm"/>
      </w:pPr>
    </w:p>
    <w:p w:rsidR="007F565E" w:rsidRDefault="006F742C" w:rsidP="00F70A6A">
      <w:pPr>
        <w:pStyle w:val="Indentedtext425cm"/>
      </w:pPr>
      <w:r>
        <w:t xml:space="preserve">The analysis decomposes changes in electricity consumption, electricity </w:t>
      </w:r>
      <w:r w:rsidR="00F01B0D">
        <w:t>generation</w:t>
      </w:r>
      <w:r>
        <w:t xml:space="preserve"> intensity and economy-wide emissions to identify the underlying drivers and quantifies their relative contribution. Further statistical analysis on electricity consumption </w:t>
      </w:r>
      <w:r w:rsidR="00FD5CF8">
        <w:t>identifies</w:t>
      </w:r>
      <w:r>
        <w:t xml:space="preserve"> whether the trends between </w:t>
      </w:r>
      <w:r w:rsidR="006C667D">
        <w:t>2008</w:t>
      </w:r>
      <w:r>
        <w:t xml:space="preserve"> and </w:t>
      </w:r>
      <w:r w:rsidR="006C667D">
        <w:t>2012</w:t>
      </w:r>
      <w:r>
        <w:t xml:space="preserve"> are in line with the relationship</w:t>
      </w:r>
      <w:r w:rsidR="00FD5CF8">
        <w:t>s</w:t>
      </w:r>
      <w:r>
        <w:t xml:space="preserve"> before </w:t>
      </w:r>
      <w:r w:rsidR="006C667D">
        <w:t>2008</w:t>
      </w:r>
      <w:r>
        <w:t xml:space="preserve">. Electricity generation emissions intensity is decomposed into the contribution of gas fired electricity and renewables deployment, which is qualitatively attributed to market </w:t>
      </w:r>
      <w:r w:rsidR="00FD5CF8">
        <w:t>changes and policy</w:t>
      </w:r>
      <w:r>
        <w:t>. Econom</w:t>
      </w:r>
      <w:r w:rsidR="00FD5CF8">
        <w:t>y-wide emissions are decomposed, identifying</w:t>
      </w:r>
      <w:r>
        <w:t xml:space="preserve"> </w:t>
      </w:r>
      <w:r w:rsidR="00FD5CF8">
        <w:t xml:space="preserve">structural changes between </w:t>
      </w:r>
      <w:r>
        <w:t xml:space="preserve">sectors and subsectors, </w:t>
      </w:r>
      <w:r w:rsidR="00FD5CF8">
        <w:t xml:space="preserve">trends in </w:t>
      </w:r>
      <w:r>
        <w:t xml:space="preserve">emissions intensity and </w:t>
      </w:r>
      <w:r w:rsidR="00FD5CF8">
        <w:t xml:space="preserve">the </w:t>
      </w:r>
      <w:r>
        <w:t xml:space="preserve">offset </w:t>
      </w:r>
      <w:r w:rsidR="00FD5CF8">
        <w:t xml:space="preserve">underlying growth from </w:t>
      </w:r>
      <w:r>
        <w:t xml:space="preserve">the </w:t>
      </w:r>
      <w:r w:rsidR="00FD5CF8">
        <w:t xml:space="preserve">greater </w:t>
      </w:r>
      <w:r>
        <w:t xml:space="preserve">economic </w:t>
      </w:r>
      <w:r w:rsidR="00FD5CF8">
        <w:t>activity</w:t>
      </w:r>
      <w:r>
        <w:t xml:space="preserve">. </w:t>
      </w:r>
    </w:p>
    <w:p w:rsidR="00CC678B" w:rsidRDefault="00CC678B" w:rsidP="00F70A6A">
      <w:pPr>
        <w:pStyle w:val="Indentedtext425cm"/>
      </w:pPr>
    </w:p>
    <w:p w:rsidR="00720DFB" w:rsidRPr="00EF51BF" w:rsidRDefault="00720DFB" w:rsidP="00621A42">
      <w:pPr>
        <w:pStyle w:val="Quote"/>
        <w:ind w:left="2410"/>
      </w:pPr>
      <w:r w:rsidRPr="00EF51BF">
        <w:t>‘</w:t>
      </w:r>
      <w:r w:rsidR="008B5395">
        <w:t xml:space="preserve">Australia </w:t>
      </w:r>
      <w:r w:rsidR="00FD5CF8">
        <w:t xml:space="preserve">has experienced </w:t>
      </w:r>
      <w:r w:rsidR="008B5395">
        <w:t>significant changes since 2008</w:t>
      </w:r>
      <w:r w:rsidRPr="00EF51BF">
        <w:t>’</w:t>
      </w:r>
    </w:p>
    <w:p w:rsidR="00720DFB" w:rsidRPr="00EF51BF" w:rsidRDefault="00720DFB" w:rsidP="0067181C">
      <w:pPr>
        <w:pStyle w:val="Indentedtext425cm"/>
      </w:pPr>
    </w:p>
    <w:p w:rsidR="00D700BB" w:rsidRDefault="00D700BB" w:rsidP="002549FA">
      <w:pPr>
        <w:pStyle w:val="Heading2"/>
      </w:pPr>
      <w:bookmarkStart w:id="5" w:name="_Toc369890603"/>
      <w:r>
        <w:lastRenderedPageBreak/>
        <w:t>Background</w:t>
      </w:r>
      <w:bookmarkEnd w:id="5"/>
    </w:p>
    <w:p w:rsidR="00D700BB" w:rsidRPr="00EF2EFB" w:rsidRDefault="00D700BB" w:rsidP="00D700BB">
      <w:r w:rsidRPr="00EF2EFB">
        <w:t xml:space="preserve">Australia </w:t>
      </w:r>
      <w:r>
        <w:t xml:space="preserve">has experienced </w:t>
      </w:r>
      <w:r w:rsidRPr="00EF2EFB">
        <w:t xml:space="preserve">changes in electricity consumption, electricity generation emissions intensity and economy-wide emissions since </w:t>
      </w:r>
      <w:r w:rsidR="006C667D">
        <w:t>2008</w:t>
      </w:r>
      <w:r w:rsidRPr="00EF2EFB">
        <w:t xml:space="preserve">, which </w:t>
      </w:r>
      <w:r>
        <w:t>differ</w:t>
      </w:r>
      <w:r w:rsidRPr="00EF2EFB">
        <w:t xml:space="preserve"> from the period between </w:t>
      </w:r>
      <w:r w:rsidR="006C667D">
        <w:t>2000</w:t>
      </w:r>
      <w:r w:rsidRPr="00EF2EFB">
        <w:t xml:space="preserve"> and </w:t>
      </w:r>
      <w:r w:rsidR="006C667D">
        <w:t>2008</w:t>
      </w:r>
      <w:r w:rsidRPr="00EF2EFB">
        <w:t>.</w:t>
      </w:r>
    </w:p>
    <w:p w:rsidR="00D700BB" w:rsidRPr="00EF2EFB" w:rsidRDefault="00D700BB" w:rsidP="00D700BB"/>
    <w:p w:rsidR="00D700BB" w:rsidRPr="00EF2EFB" w:rsidRDefault="00D700BB" w:rsidP="00D700BB">
      <w:r w:rsidRPr="00EF2EFB">
        <w:t>Electricity consumption in Australia and National Electricity Market</w:t>
      </w:r>
      <w:r w:rsidR="00543506">
        <w:t xml:space="preserve"> (NEM)</w:t>
      </w:r>
      <w:r w:rsidRPr="00EF2EFB">
        <w:t xml:space="preserve"> </w:t>
      </w:r>
      <w:r w:rsidR="00CC678B">
        <w:t>slowed</w:t>
      </w:r>
      <w:r>
        <w:t xml:space="preserve"> </w:t>
      </w:r>
      <w:r w:rsidR="003F142F">
        <w:t>since</w:t>
      </w:r>
      <w:r>
        <w:t xml:space="preserve"> </w:t>
      </w:r>
      <w:r w:rsidR="006C667D">
        <w:t>2008</w:t>
      </w:r>
      <w:r w:rsidRPr="00EF2EFB">
        <w:t xml:space="preserve"> after a period of growth between </w:t>
      </w:r>
      <w:r w:rsidR="006C667D">
        <w:t>2000</w:t>
      </w:r>
      <w:r w:rsidRPr="00EF2EFB">
        <w:t xml:space="preserve"> and </w:t>
      </w:r>
      <w:r w:rsidR="006C667D">
        <w:t>2008</w:t>
      </w:r>
      <w:r>
        <w:t>, and while c</w:t>
      </w:r>
      <w:r w:rsidRPr="00EF2EFB">
        <w:t xml:space="preserve">onsumption in </w:t>
      </w:r>
      <w:r>
        <w:t xml:space="preserve">some </w:t>
      </w:r>
      <w:r w:rsidRPr="00EF2EFB">
        <w:t xml:space="preserve">subsectors </w:t>
      </w:r>
      <w:r>
        <w:t>continued to grow, in others it declined. At the same time, t</w:t>
      </w:r>
      <w:r w:rsidRPr="00EF2EFB">
        <w:t xml:space="preserve">he emissions intensity of electricity generation declined rapidly </w:t>
      </w:r>
      <w:r>
        <w:t xml:space="preserve">after </w:t>
      </w:r>
      <w:r w:rsidR="006C667D">
        <w:t>2008</w:t>
      </w:r>
      <w:r w:rsidRPr="00EF2EFB">
        <w:t xml:space="preserve">, albeit from an internationally high level. </w:t>
      </w:r>
      <w:r>
        <w:t>Australia has internationally high e</w:t>
      </w:r>
      <w:r w:rsidRPr="00EF2EFB">
        <w:t xml:space="preserve">lectricity emissions intensity driven by </w:t>
      </w:r>
      <w:r>
        <w:t xml:space="preserve">its reliance on </w:t>
      </w:r>
      <w:r w:rsidRPr="00EF2EFB">
        <w:t xml:space="preserve">black and brown coal, which represented </w:t>
      </w:r>
      <w:r w:rsidR="009B51B9">
        <w:t>83</w:t>
      </w:r>
      <w:r w:rsidRPr="00EF2EFB">
        <w:t xml:space="preserve"> per cent of the generation mix in </w:t>
      </w:r>
      <w:r w:rsidR="006C667D">
        <w:t>2000</w:t>
      </w:r>
      <w:r>
        <w:t>. However, its reliance on coal has been falling, reaching</w:t>
      </w:r>
      <w:r w:rsidR="009B51B9">
        <w:t xml:space="preserve"> </w:t>
      </w:r>
      <w:r w:rsidR="001B78D1">
        <w:t>69</w:t>
      </w:r>
      <w:r>
        <w:t xml:space="preserve"> per cent in </w:t>
      </w:r>
      <w:r w:rsidR="006C667D">
        <w:t>2012</w:t>
      </w:r>
      <w:r>
        <w:t>, being displaced by gas</w:t>
      </w:r>
      <w:r w:rsidR="00CC678B">
        <w:t>-</w:t>
      </w:r>
      <w:r w:rsidRPr="00EF2EFB">
        <w:t xml:space="preserve">fired generation </w:t>
      </w:r>
      <w:r>
        <w:t xml:space="preserve">and </w:t>
      </w:r>
      <w:r w:rsidRPr="00EF2EFB">
        <w:t>renewables.</w:t>
      </w:r>
      <w:r w:rsidR="009B51B9">
        <w:t xml:space="preserve"> This share has fallen further since.</w:t>
      </w:r>
    </w:p>
    <w:p w:rsidR="00D700BB" w:rsidRPr="00EF2EFB" w:rsidRDefault="00D700BB" w:rsidP="00D700BB"/>
    <w:p w:rsidR="00D700BB" w:rsidRDefault="00D700BB" w:rsidP="00D700BB">
      <w:r>
        <w:t>These figures are important because e</w:t>
      </w:r>
      <w:r w:rsidRPr="00EF2EFB">
        <w:t xml:space="preserve">lectricity </w:t>
      </w:r>
      <w:r>
        <w:t xml:space="preserve">contributes </w:t>
      </w:r>
      <w:r w:rsidRPr="00EF2EFB">
        <w:t xml:space="preserve">a large </w:t>
      </w:r>
      <w:r w:rsidR="00CC678B">
        <w:t>proportion</w:t>
      </w:r>
      <w:r w:rsidR="00CC678B" w:rsidRPr="00EF2EFB">
        <w:t xml:space="preserve"> </w:t>
      </w:r>
      <w:r w:rsidRPr="00EF2EFB">
        <w:t xml:space="preserve">of economy-wide emissions. </w:t>
      </w:r>
      <w:r w:rsidR="00546B3E">
        <w:t>Another important factor in the decline of e</w:t>
      </w:r>
      <w:r w:rsidRPr="00EF2EFB">
        <w:t xml:space="preserve">conomy-wide emissions </w:t>
      </w:r>
      <w:r w:rsidR="00546B3E">
        <w:t>is the change</w:t>
      </w:r>
      <w:r w:rsidRPr="00EF2EFB">
        <w:t xml:space="preserve"> in </w:t>
      </w:r>
      <w:r>
        <w:t>l</w:t>
      </w:r>
      <w:r w:rsidRPr="00EF2EFB">
        <w:t>and use, land-use</w:t>
      </w:r>
      <w:r w:rsidR="00546B3E">
        <w:t xml:space="preserve"> change and forestry emissions.</w:t>
      </w:r>
    </w:p>
    <w:p w:rsidR="00D700BB" w:rsidRDefault="00D700BB" w:rsidP="00D700BB"/>
    <w:p w:rsidR="00D700BB" w:rsidRPr="00EF2EFB" w:rsidRDefault="00D700BB" w:rsidP="002549FA">
      <w:pPr>
        <w:pStyle w:val="Heading2"/>
      </w:pPr>
      <w:bookmarkStart w:id="6" w:name="_Toc369890604"/>
      <w:r>
        <w:lastRenderedPageBreak/>
        <w:t>Aims</w:t>
      </w:r>
      <w:bookmarkEnd w:id="6"/>
    </w:p>
    <w:p w:rsidR="00D700BB" w:rsidRDefault="00D700BB" w:rsidP="00D700BB">
      <w:r w:rsidRPr="00EF2EFB">
        <w:t>The contribution of this work is to identify where these changes in electricity consumption, electricity generation emissions intensity and economy-wide emissions have occurred and what h</w:t>
      </w:r>
      <w:r w:rsidR="002611BB">
        <w:t>as driven the</w:t>
      </w:r>
      <w:r w:rsidRPr="00EF2EFB">
        <w:t xml:space="preserve"> changes, in particular since 2008. While</w:t>
      </w:r>
      <w:r>
        <w:t xml:space="preserve"> previous studies have focus</w:t>
      </w:r>
      <w:r w:rsidR="002611BB">
        <w:t>ed</w:t>
      </w:r>
      <w:r>
        <w:t xml:space="preserve"> on one or other aspect, the </w:t>
      </w:r>
      <w:r w:rsidR="00CC678B">
        <w:t xml:space="preserve">unique contribution </w:t>
      </w:r>
      <w:r>
        <w:t>of this work is that it considers the main drivers together.</w:t>
      </w:r>
    </w:p>
    <w:p w:rsidR="00D700BB" w:rsidRDefault="00D700BB" w:rsidP="00D700BB"/>
    <w:p w:rsidR="00D700BB" w:rsidRDefault="00D700BB" w:rsidP="00D700BB">
      <w:r>
        <w:t xml:space="preserve">Additional econometric analysis quantifies the contribution of electricity prices and economic growth to recent changes and evaluates </w:t>
      </w:r>
      <w:r w:rsidR="002611BB">
        <w:t xml:space="preserve">what </w:t>
      </w:r>
      <w:r>
        <w:t>other factors might have driven trends in each sector.</w:t>
      </w:r>
    </w:p>
    <w:p w:rsidR="00D700BB" w:rsidRDefault="00D700BB" w:rsidP="00D700BB"/>
    <w:p w:rsidR="00D700BB" w:rsidRPr="00EF2EFB" w:rsidRDefault="00D700BB" w:rsidP="00D700BB">
      <w:r w:rsidRPr="00EF2EFB">
        <w:t>Previous work by the Bureau of Resources and Energy Economics</w:t>
      </w:r>
      <w:r w:rsidR="00CC678B">
        <w:t xml:space="preserve"> (BREE)</w:t>
      </w:r>
      <w:r w:rsidRPr="00EF2EFB">
        <w:t xml:space="preserve"> has decomposed changes in energy use, which </w:t>
      </w:r>
      <w:r w:rsidR="002611BB">
        <w:t xml:space="preserve">spans </w:t>
      </w:r>
      <w:r w:rsidRPr="00EF2EFB">
        <w:t xml:space="preserve">all energy </w:t>
      </w:r>
      <w:r w:rsidR="002611BB">
        <w:t xml:space="preserve">use </w:t>
      </w:r>
      <w:r w:rsidRPr="00EF2EFB">
        <w:t xml:space="preserve">in the economy. This analysis </w:t>
      </w:r>
      <w:r w:rsidR="002611BB">
        <w:t>looks more deeply</w:t>
      </w:r>
      <w:r w:rsidRPr="00EF2EFB">
        <w:t xml:space="preserve"> </w:t>
      </w:r>
      <w:r w:rsidR="002611BB">
        <w:t xml:space="preserve">at </w:t>
      </w:r>
      <w:r w:rsidRPr="00EF2EFB">
        <w:t xml:space="preserve">the electricity sector </w:t>
      </w:r>
      <w:r w:rsidR="002611BB">
        <w:t xml:space="preserve">and places it alongside results for </w:t>
      </w:r>
      <w:r w:rsidRPr="00EF2EFB">
        <w:t>economy-wide emissions.</w:t>
      </w:r>
    </w:p>
    <w:p w:rsidR="00D700BB" w:rsidRPr="00EF2EFB" w:rsidRDefault="00D700BB" w:rsidP="002549FA">
      <w:pPr>
        <w:pStyle w:val="Heading2"/>
      </w:pPr>
      <w:bookmarkStart w:id="7" w:name="_Toc369890605"/>
      <w:r>
        <w:lastRenderedPageBreak/>
        <w:t>Approach</w:t>
      </w:r>
      <w:bookmarkEnd w:id="7"/>
    </w:p>
    <w:p w:rsidR="00D700BB" w:rsidRDefault="00D700BB" w:rsidP="00D700BB">
      <w:pPr>
        <w:rPr>
          <w:rFonts w:eastAsiaTheme="majorEastAsia" w:cstheme="majorBidi"/>
          <w:iCs/>
          <w:szCs w:val="24"/>
        </w:rPr>
      </w:pPr>
      <w:r w:rsidRPr="00EF2EFB">
        <w:rPr>
          <w:rFonts w:eastAsiaTheme="majorEastAsia" w:cstheme="majorBidi"/>
          <w:iCs/>
          <w:szCs w:val="24"/>
        </w:rPr>
        <w:t>The statistical analysis requires a relative</w:t>
      </w:r>
      <w:r w:rsidR="002611BB">
        <w:rPr>
          <w:rFonts w:eastAsiaTheme="majorEastAsia" w:cstheme="majorBidi"/>
          <w:iCs/>
          <w:szCs w:val="24"/>
        </w:rPr>
        <w:t>ly</w:t>
      </w:r>
      <w:r w:rsidRPr="00EF2EFB">
        <w:rPr>
          <w:rFonts w:eastAsiaTheme="majorEastAsia" w:cstheme="majorBidi"/>
          <w:iCs/>
          <w:szCs w:val="24"/>
        </w:rPr>
        <w:t xml:space="preserve"> long time</w:t>
      </w:r>
      <w:r>
        <w:rPr>
          <w:rFonts w:eastAsiaTheme="majorEastAsia" w:cstheme="majorBidi"/>
          <w:iCs/>
          <w:szCs w:val="24"/>
        </w:rPr>
        <w:t xml:space="preserve"> series</w:t>
      </w:r>
      <w:r w:rsidRPr="00EF2EFB">
        <w:rPr>
          <w:rFonts w:eastAsiaTheme="majorEastAsia" w:cstheme="majorBidi"/>
          <w:iCs/>
          <w:szCs w:val="24"/>
        </w:rPr>
        <w:t xml:space="preserve">. This restricts the available datasets to the </w:t>
      </w:r>
      <w:r w:rsidR="00CC678B">
        <w:rPr>
          <w:rFonts w:eastAsiaTheme="majorEastAsia" w:cstheme="majorBidi"/>
          <w:iCs/>
          <w:szCs w:val="24"/>
        </w:rPr>
        <w:t>BREE</w:t>
      </w:r>
      <w:r w:rsidRPr="00EF2EFB">
        <w:rPr>
          <w:rFonts w:eastAsiaTheme="majorEastAsia" w:cstheme="majorBidi"/>
          <w:iCs/>
          <w:szCs w:val="24"/>
        </w:rPr>
        <w:t xml:space="preserve"> for electricity consumption, </w:t>
      </w:r>
      <w:r w:rsidR="002611BB">
        <w:rPr>
          <w:rFonts w:eastAsiaTheme="majorEastAsia" w:cstheme="majorBidi"/>
          <w:iCs/>
          <w:szCs w:val="24"/>
        </w:rPr>
        <w:t xml:space="preserve">for </w:t>
      </w:r>
      <w:r w:rsidRPr="00EF2EFB">
        <w:rPr>
          <w:rFonts w:eastAsiaTheme="majorEastAsia" w:cstheme="majorBidi"/>
          <w:iCs/>
          <w:szCs w:val="24"/>
        </w:rPr>
        <w:t xml:space="preserve">which </w:t>
      </w:r>
      <w:r w:rsidR="002611BB">
        <w:rPr>
          <w:rFonts w:eastAsiaTheme="majorEastAsia" w:cstheme="majorBidi"/>
          <w:iCs/>
          <w:szCs w:val="24"/>
        </w:rPr>
        <w:t xml:space="preserve">the latest year </w:t>
      </w:r>
      <w:r w:rsidRPr="00EF2EFB">
        <w:rPr>
          <w:rFonts w:eastAsiaTheme="majorEastAsia" w:cstheme="majorBidi"/>
          <w:iCs/>
          <w:szCs w:val="24"/>
        </w:rPr>
        <w:t xml:space="preserve">available </w:t>
      </w:r>
      <w:r w:rsidR="002611BB">
        <w:rPr>
          <w:rFonts w:eastAsiaTheme="majorEastAsia" w:cstheme="majorBidi"/>
          <w:iCs/>
          <w:szCs w:val="24"/>
        </w:rPr>
        <w:t xml:space="preserve">is </w:t>
      </w:r>
      <w:r w:rsidR="006C667D">
        <w:rPr>
          <w:rFonts w:eastAsiaTheme="majorEastAsia" w:cstheme="majorBidi"/>
          <w:iCs/>
          <w:szCs w:val="24"/>
        </w:rPr>
        <w:t>2012</w:t>
      </w:r>
      <w:r w:rsidRPr="00EF2EFB">
        <w:rPr>
          <w:rFonts w:eastAsiaTheme="majorEastAsia" w:cstheme="majorBidi"/>
          <w:iCs/>
          <w:szCs w:val="24"/>
        </w:rPr>
        <w:t xml:space="preserve">, and the National Greenhouse Gas Inventory for electricity generation and economy-wide emissions, </w:t>
      </w:r>
      <w:r w:rsidR="002611BB">
        <w:rPr>
          <w:rFonts w:eastAsiaTheme="majorEastAsia" w:cstheme="majorBidi"/>
          <w:iCs/>
          <w:szCs w:val="24"/>
        </w:rPr>
        <w:t xml:space="preserve">for </w:t>
      </w:r>
      <w:r w:rsidRPr="00EF2EFB">
        <w:rPr>
          <w:rFonts w:eastAsiaTheme="majorEastAsia" w:cstheme="majorBidi"/>
          <w:iCs/>
          <w:szCs w:val="24"/>
        </w:rPr>
        <w:t xml:space="preserve">which data is available until </w:t>
      </w:r>
      <w:r w:rsidR="006C667D">
        <w:rPr>
          <w:rFonts w:eastAsiaTheme="majorEastAsia" w:cstheme="majorBidi"/>
          <w:iCs/>
          <w:szCs w:val="24"/>
        </w:rPr>
        <w:t>2011</w:t>
      </w:r>
      <w:r w:rsidRPr="00EF2EFB">
        <w:rPr>
          <w:rFonts w:eastAsiaTheme="majorEastAsia" w:cstheme="majorBidi"/>
          <w:iCs/>
          <w:szCs w:val="24"/>
        </w:rPr>
        <w:t xml:space="preserve">for emissions and </w:t>
      </w:r>
      <w:r w:rsidR="006C667D">
        <w:rPr>
          <w:rFonts w:eastAsiaTheme="majorEastAsia" w:cstheme="majorBidi"/>
          <w:iCs/>
          <w:szCs w:val="24"/>
        </w:rPr>
        <w:t>2012</w:t>
      </w:r>
      <w:r w:rsidRPr="00EF2EFB">
        <w:rPr>
          <w:rFonts w:eastAsiaTheme="majorEastAsia" w:cstheme="majorBidi"/>
          <w:iCs/>
          <w:szCs w:val="24"/>
        </w:rPr>
        <w:t xml:space="preserve"> for electricity consumption.</w:t>
      </w:r>
    </w:p>
    <w:p w:rsidR="00D700BB" w:rsidRPr="00EF2EFB" w:rsidRDefault="00D700BB" w:rsidP="00D700BB"/>
    <w:p w:rsidR="00D700BB" w:rsidRDefault="002611BB" w:rsidP="00D700BB">
      <w:r>
        <w:t>The</w:t>
      </w:r>
      <w:r w:rsidR="001267D6">
        <w:t xml:space="preserve"> work </w:t>
      </w:r>
      <w:r>
        <w:t>breaks</w:t>
      </w:r>
      <w:r w:rsidR="001267D6">
        <w:t xml:space="preserve"> new ground</w:t>
      </w:r>
      <w:r w:rsidR="00D700BB" w:rsidRPr="00EF2EFB">
        <w:t xml:space="preserve"> by </w:t>
      </w:r>
      <w:r>
        <w:t xml:space="preserve">analysing the </w:t>
      </w:r>
      <w:r w:rsidR="00D700BB" w:rsidRPr="00EF2EFB">
        <w:t xml:space="preserve">official data provided by BREE, </w:t>
      </w:r>
      <w:r>
        <w:t xml:space="preserve">as this identifies contributions from </w:t>
      </w:r>
      <w:r w:rsidR="00D700BB" w:rsidRPr="00EF2EFB">
        <w:t xml:space="preserve">individual sectors and subsectors. This </w:t>
      </w:r>
      <w:r>
        <w:t xml:space="preserve">offers </w:t>
      </w:r>
      <w:r w:rsidR="00D700BB">
        <w:t xml:space="preserve">insights </w:t>
      </w:r>
      <w:r>
        <w:t xml:space="preserve">which supplement </w:t>
      </w:r>
      <w:r w:rsidR="00D700BB">
        <w:t xml:space="preserve">the </w:t>
      </w:r>
      <w:r>
        <w:t xml:space="preserve">work presented </w:t>
      </w:r>
      <w:r w:rsidR="00D700BB" w:rsidRPr="00EF2EFB">
        <w:t xml:space="preserve">in the </w:t>
      </w:r>
      <w:r w:rsidR="009A0C17">
        <w:t>Australia Electricity Market Operator (AEMO) National Electricity Forecast Report (</w:t>
      </w:r>
      <w:r w:rsidR="00D700BB" w:rsidRPr="00EF2EFB">
        <w:t>NEFR</w:t>
      </w:r>
      <w:r w:rsidR="009A0C17">
        <w:t>)</w:t>
      </w:r>
      <w:r>
        <w:t>. Th</w:t>
      </w:r>
      <w:r w:rsidR="00CC678B">
        <w:t>is</w:t>
      </w:r>
      <w:r>
        <w:t xml:space="preserve"> is work at an aggregate level of</w:t>
      </w:r>
      <w:r w:rsidR="00D700BB">
        <w:t xml:space="preserve"> </w:t>
      </w:r>
      <w:r w:rsidR="00D700BB" w:rsidRPr="00EF2EFB">
        <w:t xml:space="preserve">electricity consumption from residential, commercial and services, and light industry, whereas this report separates </w:t>
      </w:r>
      <w:r>
        <w:t xml:space="preserve">out residential </w:t>
      </w:r>
      <w:r w:rsidR="00D700BB" w:rsidRPr="00EF2EFB">
        <w:t xml:space="preserve">and shows how much </w:t>
      </w:r>
      <w:r>
        <w:t xml:space="preserve">it </w:t>
      </w:r>
      <w:r w:rsidR="00D700BB" w:rsidRPr="00EF2EFB">
        <w:t>contributed</w:t>
      </w:r>
      <w:r w:rsidR="00D700BB">
        <w:t>.</w:t>
      </w:r>
    </w:p>
    <w:p w:rsidR="00D700BB" w:rsidRPr="00364F99" w:rsidRDefault="00D700BB" w:rsidP="00D700BB"/>
    <w:p w:rsidR="00D700BB" w:rsidRDefault="00D700BB" w:rsidP="0002418D">
      <w:pPr>
        <w:pStyle w:val="Heading3"/>
      </w:pPr>
      <w:r>
        <w:t>Electricity consumption</w:t>
      </w:r>
    </w:p>
    <w:p w:rsidR="00D700BB" w:rsidRPr="00EF2EFB" w:rsidRDefault="00D700BB" w:rsidP="00D700BB">
      <w:r w:rsidRPr="00EF2EFB">
        <w:t>Previous work left</w:t>
      </w:r>
      <w:r w:rsidR="0002418D">
        <w:t xml:space="preserve"> opportunities for further exploration of</w:t>
      </w:r>
      <w:r w:rsidRPr="00EF2EFB">
        <w:t xml:space="preserve"> the </w:t>
      </w:r>
      <w:r>
        <w:t xml:space="preserve">drivers of </w:t>
      </w:r>
      <w:r w:rsidRPr="00EF2EFB">
        <w:t xml:space="preserve">electricity consumption trends. Reports by AEMO describe the evolution of </w:t>
      </w:r>
      <w:r>
        <w:t xml:space="preserve">sector </w:t>
      </w:r>
      <w:r w:rsidRPr="00EF2EFB">
        <w:t>consumption</w:t>
      </w:r>
      <w:r>
        <w:t xml:space="preserve"> trends, </w:t>
      </w:r>
      <w:r w:rsidR="0002418D">
        <w:t xml:space="preserve">which leads to questions about </w:t>
      </w:r>
      <w:r>
        <w:t xml:space="preserve">trends </w:t>
      </w:r>
      <w:r w:rsidRPr="00EF2EFB">
        <w:t>between and within sectors. Using BREE</w:t>
      </w:r>
      <w:r>
        <w:t xml:space="preserve"> data</w:t>
      </w:r>
      <w:r w:rsidRPr="00EF2EFB">
        <w:t xml:space="preserve">, this analysis </w:t>
      </w:r>
      <w:r>
        <w:t xml:space="preserve">explores </w:t>
      </w:r>
      <w:r w:rsidRPr="00EF2EFB">
        <w:t xml:space="preserve">changes by sector and subsector </w:t>
      </w:r>
      <w:r w:rsidR="0002418D">
        <w:t xml:space="preserve">and </w:t>
      </w:r>
      <w:r w:rsidRPr="00EF2EFB">
        <w:t xml:space="preserve">the drivers </w:t>
      </w:r>
      <w:r w:rsidR="0002418D">
        <w:t>of these changes</w:t>
      </w:r>
      <w:r w:rsidRPr="00EF2EFB">
        <w:t>.</w:t>
      </w:r>
    </w:p>
    <w:p w:rsidR="00D700BB" w:rsidRPr="00EF2EFB" w:rsidRDefault="00D700BB" w:rsidP="00D700BB"/>
    <w:p w:rsidR="00D700BB" w:rsidRPr="004962F6" w:rsidRDefault="00D700BB" w:rsidP="0002418D">
      <w:r w:rsidRPr="00EF2EFB">
        <w:t xml:space="preserve">The analysis of electricity consumption </w:t>
      </w:r>
      <w:r>
        <w:t>first</w:t>
      </w:r>
      <w:r w:rsidR="0002418D">
        <w:t xml:space="preserve"> quantifies</w:t>
      </w:r>
      <w:r>
        <w:t xml:space="preserve"> how economic growth, restructuring in the economy and electricity intensity of sectors have influenced electricity consumption in t</w:t>
      </w:r>
      <w:r w:rsidR="0002418D">
        <w:t xml:space="preserve">he </w:t>
      </w:r>
      <w:r w:rsidR="00543506">
        <w:t>NEM</w:t>
      </w:r>
      <w:r w:rsidR="0002418D">
        <w:t>. It goes on to analyse</w:t>
      </w:r>
      <w:r>
        <w:t xml:space="preserve"> residential, commercial and services, and manufacturing demand. </w:t>
      </w:r>
      <w:r w:rsidR="0002418D">
        <w:t xml:space="preserve">In doing so, it reveals </w:t>
      </w:r>
      <w:r>
        <w:t xml:space="preserve">the effect of prices, economic growth and other potential drivers, and evaluates whether the trends since </w:t>
      </w:r>
      <w:r w:rsidR="006C667D">
        <w:t>2008</w:t>
      </w:r>
      <w:r>
        <w:t xml:space="preserve"> are in line with previous trends.</w:t>
      </w:r>
    </w:p>
    <w:p w:rsidR="00D700BB" w:rsidRDefault="00D700BB" w:rsidP="00D700BB"/>
    <w:p w:rsidR="00D700BB" w:rsidRDefault="00D700BB" w:rsidP="0002418D">
      <w:pPr>
        <w:pStyle w:val="Heading3"/>
      </w:pPr>
      <w:r>
        <w:t>Electricity generation emissions intensity</w:t>
      </w:r>
    </w:p>
    <w:p w:rsidR="00D700BB" w:rsidRDefault="00D700BB" w:rsidP="00D700BB">
      <w:r w:rsidRPr="00EF2EFB">
        <w:t xml:space="preserve">The analysis of electricity generation highlights the contribution of </w:t>
      </w:r>
      <w:r>
        <w:t xml:space="preserve">changes in </w:t>
      </w:r>
      <w:r w:rsidRPr="00EF2EFB">
        <w:t>the fossil fuel mix and of increased renewables deployment</w:t>
      </w:r>
      <w:r>
        <w:t xml:space="preserve">. It </w:t>
      </w:r>
      <w:r w:rsidRPr="00EF2EFB">
        <w:t xml:space="preserve">also </w:t>
      </w:r>
      <w:r>
        <w:t xml:space="preserve">considers </w:t>
      </w:r>
      <w:r w:rsidRPr="00EF2EFB">
        <w:t>whether fossil fuel generation within each type has become less or more carbon</w:t>
      </w:r>
      <w:r w:rsidR="00CC678B">
        <w:t>-</w:t>
      </w:r>
      <w:r w:rsidRPr="00EF2EFB">
        <w:t>intensive over time.</w:t>
      </w:r>
    </w:p>
    <w:p w:rsidR="00D700BB" w:rsidRPr="00994A1D" w:rsidRDefault="00D700BB" w:rsidP="00D700BB"/>
    <w:p w:rsidR="00D700BB" w:rsidRPr="00EF2EFB" w:rsidRDefault="00D700BB" w:rsidP="00D700BB">
      <w:r>
        <w:t>C</w:t>
      </w:r>
      <w:r w:rsidRPr="00EF2EFB">
        <w:t xml:space="preserve">hanges in two main areas, fossil fuel generation mix and renewables share, are then attributed to drivers. The contribution of the </w:t>
      </w:r>
      <w:r>
        <w:t xml:space="preserve">Queensland </w:t>
      </w:r>
      <w:r w:rsidRPr="00EF2EFB">
        <w:t xml:space="preserve">Gas Scheme and </w:t>
      </w:r>
      <w:r>
        <w:t xml:space="preserve">New South Wales </w:t>
      </w:r>
      <w:r w:rsidRPr="00EF2EFB">
        <w:t xml:space="preserve">Greenhouse Gas </w:t>
      </w:r>
      <w:r w:rsidR="009D0A1F">
        <w:t>Reduction</w:t>
      </w:r>
      <w:r w:rsidR="009D0A1F" w:rsidRPr="00EF2EFB">
        <w:t xml:space="preserve"> </w:t>
      </w:r>
      <w:r w:rsidRPr="00EF2EFB">
        <w:t xml:space="preserve">Scheme </w:t>
      </w:r>
      <w:r>
        <w:t xml:space="preserve">to </w:t>
      </w:r>
      <w:r w:rsidRPr="00EF2EFB">
        <w:t>changes in gas</w:t>
      </w:r>
      <w:r w:rsidR="00543506">
        <w:t>-</w:t>
      </w:r>
      <w:r w:rsidRPr="00EF2EFB">
        <w:t xml:space="preserve">fired electricity generation and capacity </w:t>
      </w:r>
      <w:r w:rsidR="0002418D">
        <w:t>is</w:t>
      </w:r>
      <w:r w:rsidRPr="00EF2EFB">
        <w:t xml:space="preserve"> </w:t>
      </w:r>
      <w:r>
        <w:t>ex</w:t>
      </w:r>
      <w:r w:rsidRPr="00EF2EFB">
        <w:t xml:space="preserve">plored. For renewables, the effect of the </w:t>
      </w:r>
      <w:r w:rsidR="003F142F">
        <w:t>M</w:t>
      </w:r>
      <w:r w:rsidRPr="00EF2EFB">
        <w:t xml:space="preserve">andatory </w:t>
      </w:r>
      <w:r w:rsidR="003F142F">
        <w:t>Renewable E</w:t>
      </w:r>
      <w:r w:rsidRPr="00EF2EFB">
        <w:t xml:space="preserve">nergy </w:t>
      </w:r>
      <w:r w:rsidR="003F142F">
        <w:t>T</w:t>
      </w:r>
      <w:r w:rsidRPr="00EF2EFB">
        <w:t>arget and its successor</w:t>
      </w:r>
      <w:r w:rsidR="00543506">
        <w:t>s</w:t>
      </w:r>
      <w:r w:rsidRPr="00EF2EFB">
        <w:t xml:space="preserve">, the LRET and SRET, </w:t>
      </w:r>
      <w:r w:rsidR="00543506">
        <w:t>is</w:t>
      </w:r>
      <w:r w:rsidR="00543506" w:rsidRPr="00EF2EFB">
        <w:t xml:space="preserve"> </w:t>
      </w:r>
      <w:r w:rsidR="0002418D">
        <w:t xml:space="preserve">found to be </w:t>
      </w:r>
      <w:r w:rsidRPr="00EF2EFB">
        <w:t xml:space="preserve">the principal driver of new renewable generation and capacity. The impact of the SRET and solar feed-in-tariffs on </w:t>
      </w:r>
      <w:r w:rsidR="00543506" w:rsidRPr="00EF2EFB">
        <w:t>solar</w:t>
      </w:r>
      <w:r w:rsidR="00543506">
        <w:t> </w:t>
      </w:r>
      <w:r w:rsidRPr="00EF2EFB">
        <w:t xml:space="preserve">PV generation is </w:t>
      </w:r>
      <w:r>
        <w:t xml:space="preserve">also </w:t>
      </w:r>
      <w:r w:rsidR="0002418D">
        <w:t>identified</w:t>
      </w:r>
      <w:r w:rsidRPr="00EF2EFB">
        <w:t>.</w:t>
      </w:r>
    </w:p>
    <w:p w:rsidR="00D700BB" w:rsidRPr="00EF2EFB" w:rsidRDefault="00D700BB" w:rsidP="00D700BB"/>
    <w:p w:rsidR="00D700BB" w:rsidRDefault="00D700BB" w:rsidP="0002418D">
      <w:pPr>
        <w:pStyle w:val="Heading3"/>
      </w:pPr>
      <w:r>
        <w:t>Economy-wide</w:t>
      </w:r>
      <w:r w:rsidRPr="002943DF">
        <w:t xml:space="preserve"> emissions </w:t>
      </w:r>
    </w:p>
    <w:p w:rsidR="00D700BB" w:rsidRPr="00EF2EFB" w:rsidRDefault="00D700BB" w:rsidP="00D700BB">
      <w:r>
        <w:t>The next component</w:t>
      </w:r>
      <w:r w:rsidRPr="00EF2EFB">
        <w:t xml:space="preserve"> </w:t>
      </w:r>
      <w:r w:rsidR="0002418D">
        <w:t xml:space="preserve">of work establishes </w:t>
      </w:r>
      <w:r w:rsidRPr="00EF2EFB">
        <w:t xml:space="preserve">where changes in economy-wide emissions have occurred before and </w:t>
      </w:r>
      <w:r>
        <w:t xml:space="preserve">after </w:t>
      </w:r>
      <w:r w:rsidRPr="00EF2EFB">
        <w:t xml:space="preserve">2008. </w:t>
      </w:r>
      <w:r>
        <w:t>T</w:t>
      </w:r>
      <w:r w:rsidRPr="00EF2EFB">
        <w:t xml:space="preserve">he </w:t>
      </w:r>
      <w:r>
        <w:t>data</w:t>
      </w:r>
      <w:r w:rsidRPr="00EF2EFB">
        <w:t xml:space="preserve"> allows the identification of sectors, such as manufacturing, </w:t>
      </w:r>
      <w:r>
        <w:t xml:space="preserve">and </w:t>
      </w:r>
      <w:r w:rsidRPr="00EF2EFB">
        <w:t xml:space="preserve">of subsectors within each main sector. This granularity allows </w:t>
      </w:r>
      <w:r>
        <w:t>contributions</w:t>
      </w:r>
      <w:r w:rsidR="009C3400">
        <w:t xml:space="preserve"> to be distinguished</w:t>
      </w:r>
      <w:r w:rsidRPr="00EF2EFB">
        <w:t xml:space="preserve">, for example, </w:t>
      </w:r>
      <w:r w:rsidR="009C3400">
        <w:t xml:space="preserve">those of </w:t>
      </w:r>
      <w:r w:rsidRPr="00EF2EFB">
        <w:t>oil and gas exploration</w:t>
      </w:r>
      <w:r>
        <w:t xml:space="preserve"> </w:t>
      </w:r>
      <w:r w:rsidRPr="00EF2EFB">
        <w:t xml:space="preserve">from </w:t>
      </w:r>
      <w:r w:rsidR="009C3400">
        <w:t xml:space="preserve">those of </w:t>
      </w:r>
      <w:r w:rsidRPr="00EF2EFB">
        <w:t>iron ore mining and coal mining, whereas pre</w:t>
      </w:r>
      <w:r>
        <w:t xml:space="preserve">vious work grouped all these into a </w:t>
      </w:r>
      <w:r>
        <w:lastRenderedPageBreak/>
        <w:t xml:space="preserve">single </w:t>
      </w:r>
      <w:r w:rsidRPr="00EF2EFB">
        <w:t>category. This is important because subsectors differ in their contribution to the activity, structural and intensity effect</w:t>
      </w:r>
      <w:r>
        <w:t>s which are driving changes</w:t>
      </w:r>
      <w:r w:rsidRPr="00EF2EFB">
        <w:t>.</w:t>
      </w:r>
    </w:p>
    <w:p w:rsidR="00D700BB" w:rsidRPr="00EF2EFB" w:rsidRDefault="00D700BB" w:rsidP="00D700BB"/>
    <w:p w:rsidR="00D700BB" w:rsidRDefault="00D700BB" w:rsidP="00D700BB">
      <w:r w:rsidRPr="00EF2EFB">
        <w:t>The quantification of restructuring towards less emissions-intensive sectors</w:t>
      </w:r>
      <w:r w:rsidR="009C3400">
        <w:t>,</w:t>
      </w:r>
      <w:r w:rsidRPr="00EF2EFB">
        <w:t xml:space="preserve"> as well as changing emissions intensity within sectors</w:t>
      </w:r>
      <w:r w:rsidR="009C3400">
        <w:t>,</w:t>
      </w:r>
      <w:r w:rsidRPr="00EF2EFB">
        <w:t xml:space="preserve"> provides details on the trends in emissions excluding LULUCF</w:t>
      </w:r>
      <w:r w:rsidR="009C3400">
        <w:t>,</w:t>
      </w:r>
      <w:r w:rsidRPr="00EF2EFB">
        <w:t xml:space="preserve"> and explains where and why these emissions have risen more slowly </w:t>
      </w:r>
      <w:r>
        <w:t xml:space="preserve">since </w:t>
      </w:r>
      <w:r w:rsidRPr="00EF2EFB">
        <w:t>2008</w:t>
      </w:r>
      <w:r>
        <w:t>.</w:t>
      </w:r>
    </w:p>
    <w:p w:rsidR="00575534" w:rsidRPr="006E1581" w:rsidRDefault="00575534" w:rsidP="00575534">
      <w:pPr>
        <w:pStyle w:val="Heading2"/>
      </w:pPr>
      <w:bookmarkStart w:id="8" w:name="_Toc369890606"/>
      <w:r w:rsidRPr="006E1581">
        <w:lastRenderedPageBreak/>
        <w:t>The context for the results</w:t>
      </w:r>
      <w:bookmarkEnd w:id="8"/>
    </w:p>
    <w:p w:rsidR="00575534" w:rsidRPr="006E1581" w:rsidRDefault="00575534" w:rsidP="00575534">
      <w:pPr>
        <w:spacing w:after="200" w:line="276" w:lineRule="auto"/>
      </w:pPr>
      <w:r w:rsidRPr="006E1581">
        <w:t>This work covers some ground already explored by others, applies quite advanced statistics to open up answers to new questions, and tackles politically sensitive issues. In order to do this, it has to embrace the complexity of the electricity market and emissions trends, consider the merits of its results alongside the findings of previous work, and make the findings policy</w:t>
      </w:r>
      <w:r w:rsidR="009C3400">
        <w:t>-</w:t>
      </w:r>
      <w:r w:rsidRPr="006E1581">
        <w:t>relevant without going beyond the reach of the evidence.</w:t>
      </w:r>
    </w:p>
    <w:p w:rsidR="00575534" w:rsidRPr="006E1581" w:rsidRDefault="00575534" w:rsidP="00575534">
      <w:pPr>
        <w:spacing w:after="200" w:line="276" w:lineRule="auto"/>
      </w:pPr>
      <w:r w:rsidRPr="006E1581">
        <w:t xml:space="preserve">The presentation of the work in this report is intended to be sufficiently transparent that expert readers can assess the reliability of the results and would be able to reproduce them. For those of a less technical background, the language chosen indicates the degree of reliance which can be placed on the results. In general, the statistical techniques have to work quite hard to produce answers from the data available, and so one can have confidence in the direction and general magnitude of effects which are reported without </w:t>
      </w:r>
      <w:r w:rsidR="009C3400">
        <w:t>focusing</w:t>
      </w:r>
      <w:r w:rsidR="009C3400" w:rsidRPr="006E1581">
        <w:t xml:space="preserve"> </w:t>
      </w:r>
      <w:r w:rsidRPr="006E1581">
        <w:t>in too much detail on precise numbers.</w:t>
      </w:r>
    </w:p>
    <w:p w:rsidR="00575534" w:rsidRPr="006E1581" w:rsidRDefault="00575534" w:rsidP="00575534">
      <w:pPr>
        <w:spacing w:after="200" w:line="276" w:lineRule="auto"/>
      </w:pPr>
      <w:r w:rsidRPr="006E1581">
        <w:t>This work has drawn out evidence from BREE data using statistical tools to complement other sources of evidence, in particular from the NEM. The results corroborate the findings of the NEM work and allow new insights into some of the drivers of change, particular</w:t>
      </w:r>
      <w:r w:rsidR="009C3400">
        <w:t>ly</w:t>
      </w:r>
      <w:r w:rsidRPr="006E1581">
        <w:t xml:space="preserve"> changes in the structure of the economy. While the statistical methods may be able to identify the types and scale of changes that have happened, the causes or origins of these changes which lie in the market and policy environment cannot be determined statistically in most cases. Instead, descriptive evidence provides the narrative and here the nature of work is economic history </w:t>
      </w:r>
      <w:r>
        <w:t xml:space="preserve">rather </w:t>
      </w:r>
      <w:r w:rsidRPr="006E1581">
        <w:t>than statistics.</w:t>
      </w:r>
    </w:p>
    <w:p w:rsidR="00575534" w:rsidRPr="006E1581" w:rsidRDefault="00575534" w:rsidP="00575534">
      <w:pPr>
        <w:spacing w:after="200" w:line="276" w:lineRule="auto"/>
      </w:pPr>
      <w:r w:rsidRPr="006E1581">
        <w:t>The main effort in this work has been the statistical research. Thus, while those statistical results have been set in the context of an economic history, the reader who is interested in that history may be much more satisfied by reading the work of other authors referenced within this report. This is particularly important around the effects of market and policy changes, the changes in the structure of the Australian economy and the drivers of the rise of gas-fired and renewable generation. The analysis in this work stops in 2011</w:t>
      </w:r>
      <w:r w:rsidR="00B317F4">
        <w:t xml:space="preserve"> for electricity generation emissions intensity and economy</w:t>
      </w:r>
      <w:r w:rsidR="00544455">
        <w:t>-</w:t>
      </w:r>
      <w:r w:rsidR="00B317F4">
        <w:t>wide emissions</w:t>
      </w:r>
      <w:r w:rsidR="00544455">
        <w:t>,</w:t>
      </w:r>
      <w:r w:rsidR="00B317F4">
        <w:t xml:space="preserve"> and in 2012 for electricity consumption</w:t>
      </w:r>
      <w:r w:rsidRPr="006E1581">
        <w:t>, so those readers interested in the effect of the carbon price introduced in 2012 will also have to turn to other sources.</w:t>
      </w:r>
    </w:p>
    <w:p w:rsidR="00575534" w:rsidRPr="006E1581" w:rsidRDefault="00575534" w:rsidP="00575534">
      <w:pPr>
        <w:spacing w:after="200" w:line="276" w:lineRule="auto"/>
      </w:pPr>
      <w:r w:rsidRPr="006E1581">
        <w:t>As in all statistical investigations, what comes out of the analysis depends on what goes into it. Here, the BREE data</w:t>
      </w:r>
      <w:r w:rsidR="00544455">
        <w:t>-</w:t>
      </w:r>
      <w:r w:rsidRPr="006E1581">
        <w:t xml:space="preserve">set was </w:t>
      </w:r>
      <w:r w:rsidR="00544455">
        <w:t xml:space="preserve">selected </w:t>
      </w:r>
      <w:r w:rsidRPr="006E1581">
        <w:t>because it makes possible the exploration of various questions which would not have been possible using NEM data. For this work, the more helpful structure of the BREE data was chosen above the</w:t>
      </w:r>
      <w:r>
        <w:t xml:space="preserve"> potentially</w:t>
      </w:r>
      <w:r w:rsidRPr="006E1581">
        <w:t xml:space="preserve"> higher data quality of the NEM. This introduces some uncertainty around estimated values and challenges the analyst to make some decisions concerning the introduction of structural breaks and the adjustment of data values in the models. This introduces some subjectivity into the work about which experts may reasonably disagree.</w:t>
      </w:r>
    </w:p>
    <w:p w:rsidR="00D700BB" w:rsidRPr="00EF2EFB" w:rsidRDefault="00D700BB" w:rsidP="002549FA">
      <w:pPr>
        <w:pStyle w:val="Heading2"/>
      </w:pPr>
      <w:bookmarkStart w:id="9" w:name="_Toc369890607"/>
      <w:r>
        <w:lastRenderedPageBreak/>
        <w:t>Structure of the report</w:t>
      </w:r>
      <w:bookmarkEnd w:id="9"/>
    </w:p>
    <w:p w:rsidR="00D700BB" w:rsidRPr="00EF2EFB" w:rsidRDefault="00D700BB" w:rsidP="00D700BB">
      <w:r w:rsidRPr="00EF2EFB">
        <w:t xml:space="preserve">The report </w:t>
      </w:r>
      <w:r>
        <w:t xml:space="preserve">addresses </w:t>
      </w:r>
      <w:r w:rsidRPr="00EF2EFB">
        <w:t>electricity consumption in Section</w:t>
      </w:r>
      <w:r w:rsidR="00A47ED1">
        <w:t xml:space="preserve"> </w:t>
      </w:r>
      <w:r w:rsidR="005A66AE">
        <w:fldChar w:fldCharType="begin"/>
      </w:r>
      <w:r w:rsidR="00A47ED1">
        <w:instrText xml:space="preserve"> REF _Ref366251310 \n \h </w:instrText>
      </w:r>
      <w:r w:rsidR="005A66AE">
        <w:fldChar w:fldCharType="separate"/>
      </w:r>
      <w:r w:rsidR="00197E14">
        <w:t>2</w:t>
      </w:r>
      <w:r w:rsidR="005A66AE">
        <w:fldChar w:fldCharType="end"/>
      </w:r>
      <w:r w:rsidRPr="00EF2EFB">
        <w:t>, electricity generation emissions intensity in Section</w:t>
      </w:r>
      <w:r w:rsidR="00A47ED1">
        <w:t xml:space="preserve"> </w:t>
      </w:r>
      <w:r w:rsidR="005A66AE">
        <w:fldChar w:fldCharType="begin"/>
      </w:r>
      <w:r w:rsidR="00A47ED1">
        <w:instrText xml:space="preserve"> REF _Ref366251323 \n \h </w:instrText>
      </w:r>
      <w:r w:rsidR="005A66AE">
        <w:fldChar w:fldCharType="separate"/>
      </w:r>
      <w:r w:rsidR="00197E14">
        <w:t>3</w:t>
      </w:r>
      <w:r w:rsidR="005A66AE">
        <w:fldChar w:fldCharType="end"/>
      </w:r>
      <w:r w:rsidRPr="00EF2EFB">
        <w:t xml:space="preserve"> and economy-wide emissions in Section</w:t>
      </w:r>
      <w:r w:rsidR="00A47ED1">
        <w:t xml:space="preserve"> </w:t>
      </w:r>
      <w:r w:rsidR="005A66AE">
        <w:fldChar w:fldCharType="begin"/>
      </w:r>
      <w:r w:rsidR="00A47ED1">
        <w:instrText xml:space="preserve"> REF _Ref366251335 \n \h </w:instrText>
      </w:r>
      <w:r w:rsidR="005A66AE">
        <w:fldChar w:fldCharType="separate"/>
      </w:r>
      <w:r w:rsidR="00197E14">
        <w:t>4</w:t>
      </w:r>
      <w:r w:rsidR="005A66AE">
        <w:fldChar w:fldCharType="end"/>
      </w:r>
      <w:r w:rsidRPr="00EF2EFB">
        <w:t>.</w:t>
      </w:r>
    </w:p>
    <w:p w:rsidR="00D700BB" w:rsidRPr="00EF2EFB" w:rsidRDefault="00D700BB" w:rsidP="00D700BB"/>
    <w:p w:rsidR="0002418D" w:rsidRPr="00EF2EFB" w:rsidRDefault="0002418D" w:rsidP="0002418D">
      <w:r>
        <w:t xml:space="preserve">Section </w:t>
      </w:r>
      <w:r w:rsidR="005A66AE">
        <w:fldChar w:fldCharType="begin"/>
      </w:r>
      <w:r>
        <w:instrText xml:space="preserve"> REF _Ref366251342 \n \h </w:instrText>
      </w:r>
      <w:r w:rsidR="005A66AE">
        <w:fldChar w:fldCharType="separate"/>
      </w:r>
      <w:r w:rsidR="00197E14">
        <w:t>5</w:t>
      </w:r>
      <w:r w:rsidR="005A66AE">
        <w:fldChar w:fldCharType="end"/>
      </w:r>
      <w:r w:rsidRPr="00EF2EFB">
        <w:t xml:space="preserve"> concludes the analysis and summarises the main results.</w:t>
      </w:r>
    </w:p>
    <w:p w:rsidR="0002418D" w:rsidRDefault="0002418D" w:rsidP="00D700BB"/>
    <w:p w:rsidR="00D700BB" w:rsidRPr="00EF2EFB" w:rsidRDefault="00D700BB" w:rsidP="00D700BB">
      <w:r w:rsidRPr="00EF2EFB">
        <w:t xml:space="preserve">Section </w:t>
      </w:r>
      <w:r w:rsidR="005A66AE">
        <w:fldChar w:fldCharType="begin"/>
      </w:r>
      <w:r w:rsidR="00A47ED1">
        <w:instrText xml:space="preserve"> REF _Ref366251349 \n \h </w:instrText>
      </w:r>
      <w:r w:rsidR="005A66AE">
        <w:fldChar w:fldCharType="separate"/>
      </w:r>
      <w:r w:rsidR="00197E14">
        <w:t>6</w:t>
      </w:r>
      <w:r w:rsidR="005A66AE">
        <w:fldChar w:fldCharType="end"/>
      </w:r>
      <w:r w:rsidR="00A47ED1" w:rsidRPr="00EF2EFB">
        <w:t xml:space="preserve"> </w:t>
      </w:r>
      <w:r>
        <w:t xml:space="preserve">describes </w:t>
      </w:r>
      <w:r w:rsidRPr="00EF2EFB">
        <w:t>the methodology</w:t>
      </w:r>
      <w:r>
        <w:t xml:space="preserve"> of </w:t>
      </w:r>
      <w:r w:rsidRPr="00EF2EFB">
        <w:t xml:space="preserve">decomposition </w:t>
      </w:r>
      <w:r>
        <w:t>and trend analysis.</w:t>
      </w:r>
    </w:p>
    <w:p w:rsidR="00D700BB" w:rsidRPr="00EF2EFB" w:rsidRDefault="00D700BB" w:rsidP="00D700BB"/>
    <w:p w:rsidR="00D700BB" w:rsidRPr="00EF2EFB" w:rsidRDefault="00A47ED1" w:rsidP="00D700BB">
      <w:r>
        <w:t xml:space="preserve">Section </w:t>
      </w:r>
      <w:r w:rsidR="005A66AE">
        <w:fldChar w:fldCharType="begin"/>
      </w:r>
      <w:r>
        <w:instrText xml:space="preserve"> REF _Ref366251408 \n \h </w:instrText>
      </w:r>
      <w:r w:rsidR="005A66AE">
        <w:fldChar w:fldCharType="separate"/>
      </w:r>
      <w:r w:rsidR="00197E14">
        <w:t>7</w:t>
      </w:r>
      <w:r w:rsidR="005A66AE">
        <w:fldChar w:fldCharType="end"/>
      </w:r>
      <w:r>
        <w:t xml:space="preserve"> </w:t>
      </w:r>
      <w:r w:rsidR="00D700BB">
        <w:t xml:space="preserve">lists </w:t>
      </w:r>
      <w:r w:rsidR="00D700BB" w:rsidRPr="00EF2EFB">
        <w:t xml:space="preserve">the data used in </w:t>
      </w:r>
      <w:r w:rsidR="00D700BB">
        <w:t xml:space="preserve">the </w:t>
      </w:r>
      <w:r w:rsidR="00D700BB" w:rsidRPr="00EF2EFB">
        <w:t>analysis, which differs from data used in other studies such as the NEFR. The data has been collected solely from public sources, such as the Bureau of Resources and Energy Economics and the National Greenhouse Gas Inventory.</w:t>
      </w:r>
    </w:p>
    <w:p w:rsidR="00D700BB" w:rsidRPr="00EF2EFB" w:rsidRDefault="00D700BB" w:rsidP="00D700BB"/>
    <w:p w:rsidR="00A37AD8" w:rsidRDefault="00AA6031" w:rsidP="00B612DB">
      <w:r>
        <w:t>The A</w:t>
      </w:r>
      <w:r w:rsidR="00D700BB" w:rsidRPr="00EF2EFB">
        <w:t xml:space="preserve">ppendix contains </w:t>
      </w:r>
      <w:r w:rsidR="00D700BB">
        <w:t>further detailed</w:t>
      </w:r>
      <w:r w:rsidR="00D700BB" w:rsidRPr="00EF2EFB">
        <w:t xml:space="preserve"> results.</w:t>
      </w:r>
    </w:p>
    <w:p w:rsidR="006E7A3D" w:rsidRDefault="006E7A3D" w:rsidP="00B612DB">
      <w:pPr>
        <w:sectPr w:rsidR="006E7A3D" w:rsidSect="00A3383B">
          <w:footerReference w:type="default" r:id="rId14"/>
          <w:pgSz w:w="11907" w:h="16840" w:code="9"/>
          <w:pgMar w:top="1985" w:right="1134" w:bottom="1701" w:left="1134" w:header="425" w:footer="284" w:gutter="0"/>
          <w:cols w:space="708"/>
          <w:docGrid w:linePitch="360"/>
        </w:sectPr>
      </w:pPr>
    </w:p>
    <w:p w:rsidR="00FA1A16" w:rsidRPr="00AC341A" w:rsidRDefault="000045AA" w:rsidP="00D62CE6">
      <w:pPr>
        <w:pStyle w:val="Heading1"/>
      </w:pPr>
      <w:bookmarkStart w:id="10" w:name="_Ref366251310"/>
      <w:bookmarkStart w:id="11" w:name="Section2"/>
      <w:bookmarkStart w:id="12" w:name="_Toc369890502"/>
      <w:bookmarkEnd w:id="3"/>
      <w:r>
        <w:lastRenderedPageBreak/>
        <w:t xml:space="preserve">Electricity consumption in the National Electricity </w:t>
      </w:r>
      <w:bookmarkEnd w:id="10"/>
      <w:r w:rsidR="00BD49A0">
        <w:t>Market</w:t>
      </w:r>
      <w:bookmarkEnd w:id="12"/>
    </w:p>
    <w:p w:rsidR="00FA1A16" w:rsidRPr="00EF51BF" w:rsidRDefault="000045AA" w:rsidP="00FA1A16">
      <w:pPr>
        <w:pStyle w:val="Sectionsubheading"/>
      </w:pPr>
      <w:r w:rsidRPr="000045AA">
        <w:t>Electricity consumption</w:t>
      </w:r>
      <w:r>
        <w:t xml:space="preserve"> in the National Electricity Market</w:t>
      </w:r>
      <w:r w:rsidRPr="000045AA">
        <w:t xml:space="preserve"> has </w:t>
      </w:r>
      <w:r w:rsidR="003D3A5D">
        <w:t xml:space="preserve">recently </w:t>
      </w:r>
      <w:r w:rsidRPr="000045AA">
        <w:t>started to stabilise and fall after a period of growth</w:t>
      </w:r>
    </w:p>
    <w:p w:rsidR="00FA1A16" w:rsidRDefault="0002418D" w:rsidP="00FA1A16">
      <w:pPr>
        <w:pStyle w:val="Sectioncontents"/>
      </w:pPr>
      <w:r>
        <w:t>Section c</w:t>
      </w:r>
      <w:r w:rsidR="00FA1A16"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FA793C" w:rsidRPr="00EF51BF">
        <w:rPr>
          <w:noProof w:val="0"/>
        </w:rPr>
        <w:instrText xml:space="preserve"> TOC \u \t "Heading </w:instrText>
      </w:r>
      <w:r w:rsidR="00FA793C">
        <w:rPr>
          <w:noProof w:val="0"/>
        </w:rPr>
        <w:instrText>2</w:instrText>
      </w:r>
      <w:r w:rsidR="00FA793C" w:rsidRPr="00EF51BF">
        <w:rPr>
          <w:noProof w:val="0"/>
        </w:rPr>
        <w:instrText>,</w:instrText>
      </w:r>
      <w:r w:rsidR="00FA793C">
        <w:rPr>
          <w:noProof w:val="0"/>
        </w:rPr>
        <w:instrText>1</w:instrText>
      </w:r>
      <w:r w:rsidR="00FA793C" w:rsidRPr="00EF51BF">
        <w:rPr>
          <w:noProof w:val="0"/>
        </w:rPr>
        <w:instrText xml:space="preserve">" </w:instrText>
      </w:r>
      <w:r w:rsidR="00FA793C">
        <w:rPr>
          <w:noProof w:val="0"/>
        </w:rPr>
        <w:instrText>\b "Section2"</w:instrText>
      </w:r>
      <w:r w:rsidR="00FA793C" w:rsidRPr="00EF51BF">
        <w:rPr>
          <w:noProof w:val="0"/>
        </w:rPr>
        <w:instrText xml:space="preserve"> </w:instrText>
      </w:r>
      <w:r w:rsidRPr="00EF51BF">
        <w:rPr>
          <w:noProof w:val="0"/>
        </w:rPr>
        <w:fldChar w:fldCharType="separate"/>
      </w:r>
      <w:r w:rsidR="00BB4088">
        <w:t>2.1</w:t>
      </w:r>
      <w:r w:rsidR="00BB4088">
        <w:rPr>
          <w:rFonts w:asciiTheme="minorHAnsi" w:eastAsiaTheme="minorEastAsia" w:hAnsiTheme="minorHAnsi" w:cstheme="minorBidi"/>
          <w:color w:val="auto"/>
          <w:lang w:eastAsia="en-GB"/>
        </w:rPr>
        <w:tab/>
      </w:r>
      <w:r w:rsidR="00BB4088">
        <w:t>Regional and sectoral differences in consumption trends</w:t>
      </w:r>
      <w:r w:rsidR="00BB4088">
        <w:tab/>
      </w:r>
      <w:r w:rsidR="00BB4088">
        <w:fldChar w:fldCharType="begin"/>
      </w:r>
      <w:r w:rsidR="00BB4088">
        <w:instrText xml:space="preserve"> PAGEREF _Toc369890608 \h </w:instrText>
      </w:r>
      <w:r w:rsidR="00BB4088">
        <w:fldChar w:fldCharType="separate"/>
      </w:r>
      <w:r w:rsidR="00197E14">
        <w:t>24</w:t>
      </w:r>
      <w:r w:rsidR="00BB4088">
        <w:fldChar w:fldCharType="end"/>
      </w:r>
    </w:p>
    <w:p w:rsidR="00BB4088" w:rsidRDefault="00BB4088">
      <w:pPr>
        <w:pStyle w:val="TOC1"/>
        <w:rPr>
          <w:rFonts w:asciiTheme="minorHAnsi" w:eastAsiaTheme="minorEastAsia" w:hAnsiTheme="minorHAnsi" w:cstheme="minorBidi"/>
          <w:color w:val="auto"/>
          <w:lang w:eastAsia="en-GB"/>
        </w:rPr>
      </w:pPr>
      <w:r>
        <w:t>2.2</w:t>
      </w:r>
      <w:r>
        <w:rPr>
          <w:rFonts w:asciiTheme="minorHAnsi" w:eastAsiaTheme="minorEastAsia" w:hAnsiTheme="minorHAnsi" w:cstheme="minorBidi"/>
          <w:color w:val="auto"/>
          <w:lang w:eastAsia="en-GB"/>
        </w:rPr>
        <w:tab/>
      </w:r>
      <w:r>
        <w:t>Description of decomposition analysis</w:t>
      </w:r>
      <w:r>
        <w:tab/>
      </w:r>
      <w:r>
        <w:fldChar w:fldCharType="begin"/>
      </w:r>
      <w:r>
        <w:instrText xml:space="preserve"> PAGEREF _Toc369890609 \h </w:instrText>
      </w:r>
      <w:r>
        <w:fldChar w:fldCharType="separate"/>
      </w:r>
      <w:r w:rsidR="00197E14">
        <w:t>33</w:t>
      </w:r>
      <w:r>
        <w:fldChar w:fldCharType="end"/>
      </w:r>
    </w:p>
    <w:p w:rsidR="00BB4088" w:rsidRDefault="00BB4088">
      <w:pPr>
        <w:pStyle w:val="TOC1"/>
        <w:rPr>
          <w:rFonts w:asciiTheme="minorHAnsi" w:eastAsiaTheme="minorEastAsia" w:hAnsiTheme="minorHAnsi" w:cstheme="minorBidi"/>
          <w:color w:val="auto"/>
          <w:lang w:eastAsia="en-GB"/>
        </w:rPr>
      </w:pPr>
      <w:r>
        <w:t>2.3</w:t>
      </w:r>
      <w:r>
        <w:rPr>
          <w:rFonts w:asciiTheme="minorHAnsi" w:eastAsiaTheme="minorEastAsia" w:hAnsiTheme="minorHAnsi" w:cstheme="minorBidi"/>
          <w:color w:val="auto"/>
          <w:lang w:eastAsia="en-GB"/>
        </w:rPr>
        <w:tab/>
      </w:r>
      <w:r>
        <w:t>Trends in electricity consumption</w:t>
      </w:r>
      <w:r>
        <w:tab/>
      </w:r>
      <w:r>
        <w:fldChar w:fldCharType="begin"/>
      </w:r>
      <w:r>
        <w:instrText xml:space="preserve"> PAGEREF _Toc369890610 \h </w:instrText>
      </w:r>
      <w:r>
        <w:fldChar w:fldCharType="separate"/>
      </w:r>
      <w:r w:rsidR="00197E14">
        <w:t>45</w:t>
      </w:r>
      <w:r>
        <w:fldChar w:fldCharType="end"/>
      </w:r>
    </w:p>
    <w:p w:rsidR="00BB4088" w:rsidRDefault="00BB4088">
      <w:pPr>
        <w:pStyle w:val="TOC1"/>
        <w:rPr>
          <w:rFonts w:asciiTheme="minorHAnsi" w:eastAsiaTheme="minorEastAsia" w:hAnsiTheme="minorHAnsi" w:cstheme="minorBidi"/>
          <w:color w:val="auto"/>
          <w:lang w:eastAsia="en-GB"/>
        </w:rPr>
      </w:pPr>
      <w:r>
        <w:t>2.4</w:t>
      </w:r>
      <w:r>
        <w:rPr>
          <w:rFonts w:asciiTheme="minorHAnsi" w:eastAsiaTheme="minorEastAsia" w:hAnsiTheme="minorHAnsi" w:cstheme="minorBidi"/>
          <w:color w:val="auto"/>
          <w:lang w:eastAsia="en-GB"/>
        </w:rPr>
        <w:tab/>
      </w:r>
      <w:r>
        <w:t>Summary of results</w:t>
      </w:r>
      <w:r>
        <w:tab/>
      </w:r>
      <w:r>
        <w:fldChar w:fldCharType="begin"/>
      </w:r>
      <w:r>
        <w:instrText xml:space="preserve"> PAGEREF _Toc369890611 \h </w:instrText>
      </w:r>
      <w:r>
        <w:fldChar w:fldCharType="separate"/>
      </w:r>
      <w:r w:rsidR="00197E14">
        <w:t>61</w:t>
      </w:r>
      <w:r>
        <w:fldChar w:fldCharType="end"/>
      </w:r>
    </w:p>
    <w:p w:rsidR="00BB4088" w:rsidRDefault="00BB4088">
      <w:pPr>
        <w:pStyle w:val="TOC1"/>
        <w:rPr>
          <w:rFonts w:asciiTheme="minorHAnsi" w:eastAsiaTheme="minorEastAsia" w:hAnsiTheme="minorHAnsi" w:cstheme="minorBidi"/>
          <w:color w:val="auto"/>
          <w:lang w:eastAsia="en-GB"/>
        </w:rPr>
      </w:pPr>
      <w:r>
        <w:t>2.5</w:t>
      </w:r>
      <w:r>
        <w:rPr>
          <w:rFonts w:asciiTheme="minorHAnsi" w:eastAsiaTheme="minorEastAsia" w:hAnsiTheme="minorHAnsi" w:cstheme="minorBidi"/>
          <w:color w:val="auto"/>
          <w:lang w:eastAsia="en-GB"/>
        </w:rPr>
        <w:tab/>
      </w:r>
      <w:r>
        <w:t>Choice of dataset</w:t>
      </w:r>
      <w:r>
        <w:tab/>
      </w:r>
      <w:r>
        <w:fldChar w:fldCharType="begin"/>
      </w:r>
      <w:r>
        <w:instrText xml:space="preserve"> PAGEREF _Toc369890612 \h </w:instrText>
      </w:r>
      <w:r>
        <w:fldChar w:fldCharType="separate"/>
      </w:r>
      <w:r w:rsidR="00197E14">
        <w:t>62</w:t>
      </w:r>
      <w:r>
        <w:fldChar w:fldCharType="end"/>
      </w:r>
    </w:p>
    <w:p w:rsidR="00303487" w:rsidRPr="00A6339C" w:rsidRDefault="005A66AE" w:rsidP="00303487">
      <w:pPr>
        <w:pStyle w:val="Sectionintroheading"/>
      </w:pPr>
      <w:r w:rsidRPr="00EF51BF">
        <w:rPr>
          <w:rFonts w:cs="Arial"/>
        </w:rPr>
        <w:fldChar w:fldCharType="end"/>
      </w:r>
      <w:r w:rsidR="00303487">
        <w:t xml:space="preserve">Lower economic growth and higher electricity prices reduced electricity consumption between </w:t>
      </w:r>
      <w:r w:rsidR="006C667D">
        <w:t>2008</w:t>
      </w:r>
      <w:r w:rsidR="00303487">
        <w:t xml:space="preserve"> and </w:t>
      </w:r>
      <w:r w:rsidR="006C667D">
        <w:t>2012</w:t>
      </w:r>
    </w:p>
    <w:p w:rsidR="00303487" w:rsidRPr="00EF51BF" w:rsidRDefault="00303487" w:rsidP="00303487">
      <w:pPr>
        <w:pStyle w:val="Indentedtext425cm"/>
      </w:pPr>
    </w:p>
    <w:p w:rsidR="008070D0" w:rsidRDefault="00303487" w:rsidP="00F578A7">
      <w:pPr>
        <w:pStyle w:val="Indentedtext425cm"/>
      </w:pPr>
      <w:r w:rsidRPr="00EF51BF">
        <w:t xml:space="preserve">This </w:t>
      </w:r>
      <w:r>
        <w:t xml:space="preserve">section decomposes changes in electricity consumption in the </w:t>
      </w:r>
      <w:r w:rsidR="00543506">
        <w:t>NEM</w:t>
      </w:r>
      <w:r>
        <w:t xml:space="preserve"> between </w:t>
      </w:r>
      <w:r w:rsidR="006C667D">
        <w:t>2000</w:t>
      </w:r>
      <w:r>
        <w:t xml:space="preserve"> and </w:t>
      </w:r>
      <w:r w:rsidR="006C667D">
        <w:t>2012</w:t>
      </w:r>
      <w:r>
        <w:t>. It investigates residential, commercial and services, and manufacturing consumption, which represent over 7</w:t>
      </w:r>
      <w:r w:rsidR="00D15A0A">
        <w:t>5</w:t>
      </w:r>
      <w:r>
        <w:t xml:space="preserve"> per cent of total consumption, </w:t>
      </w:r>
      <w:r w:rsidR="003D3A5D">
        <w:t>and quantifies</w:t>
      </w:r>
      <w:r>
        <w:t xml:space="preserve"> the contribution of prices, economic growth and weather. The data</w:t>
      </w:r>
      <w:r w:rsidR="003D3A5D">
        <w:t xml:space="preserve"> separates</w:t>
      </w:r>
      <w:r>
        <w:t xml:space="preserve"> sectors in the decomposition and detailed analysis </w:t>
      </w:r>
      <w:r w:rsidR="003D3A5D">
        <w:t xml:space="preserve">and includes </w:t>
      </w:r>
      <w:r>
        <w:t xml:space="preserve">off-grid generation and consumption. This leads to </w:t>
      </w:r>
      <w:r w:rsidR="00FC4503">
        <w:t xml:space="preserve">new </w:t>
      </w:r>
      <w:r w:rsidR="003D3A5D">
        <w:t>estimates</w:t>
      </w:r>
      <w:r>
        <w:t>, such as that residential electricity consumption gr</w:t>
      </w:r>
      <w:r w:rsidR="003D3A5D">
        <w:t>ew</w:t>
      </w:r>
      <w:r>
        <w:t xml:space="preserve"> slightly between </w:t>
      </w:r>
      <w:r w:rsidR="006C667D">
        <w:t>2008</w:t>
      </w:r>
      <w:r>
        <w:t xml:space="preserve"> and </w:t>
      </w:r>
      <w:r w:rsidR="006C667D">
        <w:t>2012</w:t>
      </w:r>
      <w:r>
        <w:t>.</w:t>
      </w:r>
    </w:p>
    <w:p w:rsidR="00F578A7" w:rsidRPr="00EF51BF" w:rsidRDefault="00F578A7" w:rsidP="00F578A7">
      <w:pPr>
        <w:pStyle w:val="Indentedtext425cm"/>
      </w:pPr>
    </w:p>
    <w:p w:rsidR="00FA1A16" w:rsidRPr="00EF51BF" w:rsidRDefault="00FA1A16" w:rsidP="00FA1A16">
      <w:pPr>
        <w:pStyle w:val="Quote"/>
        <w:ind w:left="2410"/>
      </w:pPr>
      <w:r w:rsidRPr="00EF51BF">
        <w:t>‘</w:t>
      </w:r>
      <w:r w:rsidR="00303487">
        <w:t xml:space="preserve">Residential electricity </w:t>
      </w:r>
      <w:r w:rsidR="00B24BE1">
        <w:t>consumption</w:t>
      </w:r>
      <w:r w:rsidR="00303487">
        <w:t xml:space="preserve"> did not respond as strongly to prices as expected</w:t>
      </w:r>
      <w:r w:rsidRPr="00EF51BF">
        <w:t>.’</w:t>
      </w:r>
    </w:p>
    <w:p w:rsidR="005329ED" w:rsidRDefault="005329ED" w:rsidP="005329ED">
      <w:pPr>
        <w:pStyle w:val="Heading2"/>
      </w:pPr>
      <w:bookmarkStart w:id="13" w:name="_Toc369890608"/>
      <w:r w:rsidRPr="005329ED">
        <w:lastRenderedPageBreak/>
        <w:t>Regional and sectoral differences in consumption trends</w:t>
      </w:r>
      <w:bookmarkEnd w:id="13"/>
    </w:p>
    <w:p w:rsidR="005329ED" w:rsidRDefault="005329ED" w:rsidP="005329ED">
      <w:r>
        <w:t>This section describes how electricity consumption changed in Australia, on the grid of the NEM and within the three main electricity consuming sectors in the NEM: residential, commercial and services, and manufacturing.</w:t>
      </w:r>
    </w:p>
    <w:p w:rsidR="005329ED" w:rsidRPr="000E5453" w:rsidRDefault="005329ED" w:rsidP="005329ED"/>
    <w:p w:rsidR="005329ED" w:rsidRDefault="005329ED" w:rsidP="005329ED">
      <w:pPr>
        <w:pStyle w:val="Heading3"/>
      </w:pPr>
      <w:r>
        <w:t xml:space="preserve">The stabilisation of electricity consumption across Australia since </w:t>
      </w:r>
      <w:r w:rsidR="006C667D">
        <w:t>2009</w:t>
      </w:r>
    </w:p>
    <w:p w:rsidR="00FC0A94" w:rsidRPr="00E52BF1" w:rsidRDefault="005329ED" w:rsidP="005329ED">
      <w:r w:rsidRPr="00E52BF1">
        <w:t xml:space="preserve">Electricity consumption in Australia grew by 19 per cent in the dozen years from </w:t>
      </w:r>
      <w:r w:rsidR="006C667D">
        <w:t>2000</w:t>
      </w:r>
      <w:r w:rsidRPr="00E52BF1">
        <w:t xml:space="preserve"> to </w:t>
      </w:r>
    </w:p>
    <w:p w:rsidR="005329ED" w:rsidRDefault="006C667D" w:rsidP="005329ED">
      <w:r>
        <w:t>2012</w:t>
      </w:r>
      <w:r w:rsidR="005329ED" w:rsidRPr="00E52BF1">
        <w:t>, which corresponds to a compound annualised growth rate (CAGR) of 1.5 per cent.</w:t>
      </w:r>
      <w:r w:rsidR="005329ED">
        <w:t xml:space="preserve"> Consumption rose steadily from </w:t>
      </w:r>
      <w:r>
        <w:t>2000</w:t>
      </w:r>
      <w:r w:rsidR="005329ED">
        <w:t xml:space="preserve"> to </w:t>
      </w:r>
      <w:r>
        <w:t>2008</w:t>
      </w:r>
      <w:r w:rsidR="005329ED">
        <w:t xml:space="preserve"> and then, coinciding with the global financial crisis, stabilised between </w:t>
      </w:r>
      <w:r>
        <w:t>2009</w:t>
      </w:r>
      <w:r w:rsidR="005329ED">
        <w:t xml:space="preserve"> and </w:t>
      </w:r>
      <w:r>
        <w:t>2012</w:t>
      </w:r>
      <w:r w:rsidR="005329ED">
        <w:t xml:space="preserve">. The data is shown in </w:t>
      </w:r>
      <w:r w:rsidR="005A66AE">
        <w:fldChar w:fldCharType="begin"/>
      </w:r>
      <w:r w:rsidR="005329ED">
        <w:instrText xml:space="preserve"> REF _Ref365798083 \r \h </w:instrText>
      </w:r>
      <w:r w:rsidR="005A66AE">
        <w:fldChar w:fldCharType="separate"/>
      </w:r>
      <w:r w:rsidR="00197E14">
        <w:t>Table 1</w:t>
      </w:r>
      <w:r w:rsidR="005A66AE">
        <w:fldChar w:fldCharType="end"/>
      </w:r>
      <w:r w:rsidR="005329ED">
        <w:t xml:space="preserve"> and </w:t>
      </w:r>
      <w:r w:rsidR="005A66AE">
        <w:fldChar w:fldCharType="begin"/>
      </w:r>
      <w:r w:rsidR="005329ED">
        <w:instrText xml:space="preserve"> REF _Ref365798089 \r \h </w:instrText>
      </w:r>
      <w:r w:rsidR="005A66AE">
        <w:fldChar w:fldCharType="separate"/>
      </w:r>
      <w:r w:rsidR="00197E14">
        <w:t>Figure 1</w:t>
      </w:r>
      <w:r w:rsidR="005A66AE">
        <w:fldChar w:fldCharType="end"/>
      </w:r>
      <w:r w:rsidR="005329ED">
        <w:t>.</w:t>
      </w:r>
    </w:p>
    <w:p w:rsidR="005329ED" w:rsidRPr="00DE4EAF" w:rsidRDefault="005329ED" w:rsidP="00645813">
      <w:pPr>
        <w:pStyle w:val="Tabletitle"/>
      </w:pPr>
      <w:bookmarkStart w:id="14" w:name="_Ref365798083"/>
      <w:bookmarkStart w:id="15" w:name="_Toc366004656"/>
      <w:bookmarkStart w:id="16" w:name="_Toc369890510"/>
      <w:r>
        <w:t xml:space="preserve">Growth in electricity consumption in Australia slowed to a stop after </w:t>
      </w:r>
      <w:r w:rsidR="006C667D">
        <w:t>2008</w:t>
      </w:r>
      <w:bookmarkEnd w:id="14"/>
      <w:bookmarkEnd w:id="15"/>
      <w:bookmarkEnd w:id="16"/>
    </w:p>
    <w:tbl>
      <w:tblPr>
        <w:tblStyle w:val="Vividtable"/>
        <w:tblW w:w="9854" w:type="dxa"/>
        <w:tblLook w:val="04A0" w:firstRow="1" w:lastRow="0" w:firstColumn="1" w:lastColumn="0" w:noHBand="0" w:noVBand="1"/>
      </w:tblPr>
      <w:tblGrid>
        <w:gridCol w:w="1792"/>
        <w:gridCol w:w="1622"/>
        <w:gridCol w:w="3220"/>
        <w:gridCol w:w="3220"/>
      </w:tblGrid>
      <w:tr w:rsidR="005329ED" w:rsidRPr="00980041" w:rsidTr="006054BB">
        <w:trPr>
          <w:cnfStyle w:val="100000000000" w:firstRow="1" w:lastRow="0" w:firstColumn="0" w:lastColumn="0" w:oddVBand="0" w:evenVBand="0" w:oddHBand="0" w:evenHBand="0" w:firstRowFirstColumn="0" w:firstRowLastColumn="0" w:lastRowFirstColumn="0" w:lastRowLastColumn="0"/>
          <w:cantSplit/>
          <w:trHeight w:val="340"/>
          <w:tblHeader/>
        </w:trPr>
        <w:tc>
          <w:tcPr>
            <w:tcW w:w="909" w:type="pct"/>
            <w:tcBorders>
              <w:bottom w:val="single" w:sz="4" w:space="0" w:color="000000" w:themeColor="text1"/>
            </w:tcBorders>
          </w:tcPr>
          <w:p w:rsidR="005329ED" w:rsidRDefault="005329ED" w:rsidP="006054BB">
            <w:pPr>
              <w:keepNext/>
              <w:rPr>
                <w:rStyle w:val="PlaceholderText"/>
                <w:rFonts w:ascii="Arial" w:hAnsi="Arial" w:cs="Arial"/>
                <w:szCs w:val="18"/>
              </w:rPr>
            </w:pPr>
            <w:r>
              <w:rPr>
                <w:rStyle w:val="PlaceholderText"/>
                <w:rFonts w:ascii="Arial" w:hAnsi="Arial" w:cs="Arial"/>
                <w:szCs w:val="18"/>
              </w:rPr>
              <w:t>Period</w:t>
            </w:r>
          </w:p>
        </w:tc>
        <w:tc>
          <w:tcPr>
            <w:tcW w:w="823" w:type="pct"/>
            <w:tcBorders>
              <w:bottom w:val="single" w:sz="4" w:space="0" w:color="000000" w:themeColor="text1"/>
            </w:tcBorders>
          </w:tcPr>
          <w:p w:rsidR="005329ED" w:rsidRPr="005C22C7" w:rsidRDefault="005329ED" w:rsidP="006054BB">
            <w:pPr>
              <w:keepNext/>
              <w:rPr>
                <w:rStyle w:val="PlaceholderText"/>
                <w:rFonts w:ascii="Arial" w:hAnsi="Arial" w:cs="Arial"/>
                <w:szCs w:val="18"/>
              </w:rPr>
            </w:pPr>
            <w:r w:rsidRPr="005C22C7">
              <w:rPr>
                <w:rStyle w:val="PlaceholderText"/>
                <w:rFonts w:ascii="Arial" w:hAnsi="Arial" w:cs="Arial"/>
                <w:szCs w:val="18"/>
              </w:rPr>
              <w:t>Years</w:t>
            </w:r>
          </w:p>
        </w:tc>
        <w:tc>
          <w:tcPr>
            <w:tcW w:w="1634" w:type="pct"/>
            <w:tcBorders>
              <w:bottom w:val="single" w:sz="4" w:space="0" w:color="000000" w:themeColor="text1"/>
            </w:tcBorders>
          </w:tcPr>
          <w:p w:rsidR="005329ED" w:rsidRDefault="005329ED" w:rsidP="006054BB">
            <w:pPr>
              <w:keepNext/>
              <w:jc w:val="center"/>
              <w:rPr>
                <w:rStyle w:val="PlaceholderText"/>
                <w:rFonts w:ascii="Arial" w:hAnsi="Arial" w:cs="Arial"/>
                <w:szCs w:val="18"/>
              </w:rPr>
            </w:pPr>
            <w:r>
              <w:rPr>
                <w:rStyle w:val="PlaceholderText"/>
                <w:rFonts w:ascii="Arial" w:hAnsi="Arial" w:cs="Arial"/>
                <w:szCs w:val="18"/>
              </w:rPr>
              <w:t>Compound annual growth rate</w:t>
            </w:r>
          </w:p>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(per cent)</w:t>
            </w:r>
          </w:p>
        </w:tc>
        <w:tc>
          <w:tcPr>
            <w:tcW w:w="1634" w:type="pct"/>
            <w:tcBorders>
              <w:bottom w:val="single" w:sz="4" w:space="0" w:color="000000" w:themeColor="text1"/>
            </w:tcBorders>
          </w:tcPr>
          <w:p w:rsidR="005329ED" w:rsidRDefault="005329ED" w:rsidP="006054BB">
            <w:pPr>
              <w:keepNext/>
              <w:jc w:val="center"/>
              <w:rPr>
                <w:rStyle w:val="PlaceholderText"/>
                <w:rFonts w:ascii="Arial" w:hAnsi="Arial" w:cs="Arial"/>
                <w:szCs w:val="18"/>
              </w:rPr>
            </w:pPr>
            <w:r>
              <w:rPr>
                <w:rStyle w:val="PlaceholderText"/>
                <w:rFonts w:ascii="Arial" w:hAnsi="Arial" w:cs="Arial"/>
                <w:szCs w:val="18"/>
              </w:rPr>
              <w:t>Total growth over period</w:t>
            </w:r>
          </w:p>
          <w:p w:rsidR="005329ED" w:rsidRDefault="005329ED" w:rsidP="006054BB">
            <w:pPr>
              <w:keepNext/>
              <w:jc w:val="center"/>
              <w:rPr>
                <w:rStyle w:val="PlaceholderText"/>
                <w:rFonts w:ascii="Arial" w:hAnsi="Arial" w:cs="Arial"/>
                <w:szCs w:val="18"/>
              </w:rPr>
            </w:pPr>
            <w:r>
              <w:rPr>
                <w:rStyle w:val="PlaceholderText"/>
                <w:rFonts w:ascii="Arial" w:hAnsi="Arial" w:cs="Arial"/>
                <w:szCs w:val="18"/>
              </w:rPr>
              <w:t>(GWh</w:t>
            </w:r>
            <w:r w:rsidR="00F578A7">
              <w:rPr>
                <w:rStyle w:val="PlaceholderText"/>
                <w:rFonts w:ascii="Arial" w:hAnsi="Arial" w:cs="Arial"/>
                <w:szCs w:val="18"/>
              </w:rPr>
              <w:t xml:space="preserve"> </w:t>
            </w:r>
            <w:r>
              <w:rPr>
                <w:rStyle w:val="PlaceholderText"/>
                <w:rFonts w:ascii="Arial" w:hAnsi="Arial" w:cs="Arial"/>
                <w:szCs w:val="18"/>
              </w:rPr>
              <w:t>/</w:t>
            </w:r>
            <w:r w:rsidR="00F578A7">
              <w:rPr>
                <w:rStyle w:val="PlaceholderText"/>
                <w:rFonts w:ascii="Arial" w:hAnsi="Arial" w:cs="Arial"/>
                <w:szCs w:val="18"/>
              </w:rPr>
              <w:t xml:space="preserve"> </w:t>
            </w:r>
            <w:r>
              <w:rPr>
                <w:rStyle w:val="PlaceholderText"/>
                <w:rFonts w:ascii="Arial" w:hAnsi="Arial" w:cs="Arial"/>
                <w:szCs w:val="18"/>
              </w:rPr>
              <w:t>per cent)</w:t>
            </w:r>
          </w:p>
        </w:tc>
      </w:tr>
      <w:tr w:rsidR="005329ED" w:rsidRPr="00980041" w:rsidTr="006054BB">
        <w:trPr>
          <w:cnfStyle w:val="000000100000" w:firstRow="0" w:lastRow="0" w:firstColumn="0" w:lastColumn="0" w:oddVBand="0" w:evenVBand="0" w:oddHBand="1" w:evenHBand="0" w:firstRowFirstColumn="0" w:firstRowLastColumn="0" w:lastRowFirstColumn="0" w:lastRowLastColumn="0"/>
          <w:cantSplit/>
          <w:trHeight w:val="587"/>
        </w:trPr>
        <w:tc>
          <w:tcPr>
            <w:tcW w:w="909"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First period</w:t>
            </w:r>
          </w:p>
        </w:tc>
        <w:tc>
          <w:tcPr>
            <w:tcW w:w="823" w:type="pct"/>
          </w:tcPr>
          <w:p w:rsidR="005329ED" w:rsidRPr="004328B0" w:rsidRDefault="006C667D" w:rsidP="006054BB">
            <w:pPr>
              <w:keepNext/>
              <w:spacing w:line="200" w:lineRule="exact"/>
              <w:rPr>
                <w:rStyle w:val="PlaceholderText"/>
                <w:rFonts w:ascii="Arial" w:hAnsi="Arial" w:cs="Arial"/>
                <w:szCs w:val="18"/>
              </w:rPr>
            </w:pPr>
            <w:r>
              <w:rPr>
                <w:rStyle w:val="PlaceholderText"/>
                <w:rFonts w:ascii="Arial" w:hAnsi="Arial" w:cs="Arial"/>
                <w:szCs w:val="18"/>
              </w:rPr>
              <w:t>2000</w:t>
            </w:r>
            <w:r w:rsidR="005329ED">
              <w:rPr>
                <w:rStyle w:val="PlaceholderText"/>
                <w:rFonts w:ascii="Arial" w:hAnsi="Arial" w:cs="Arial"/>
                <w:szCs w:val="18"/>
              </w:rPr>
              <w:t xml:space="preserve"> to </w:t>
            </w:r>
            <w:r>
              <w:rPr>
                <w:rStyle w:val="PlaceholderText"/>
                <w:rFonts w:ascii="Arial" w:hAnsi="Arial" w:cs="Arial"/>
                <w:szCs w:val="18"/>
              </w:rPr>
              <w:t>2008</w:t>
            </w:r>
          </w:p>
        </w:tc>
        <w:tc>
          <w:tcPr>
            <w:tcW w:w="1634" w:type="pct"/>
          </w:tcPr>
          <w:p w:rsidR="005329ED" w:rsidRPr="004328B0" w:rsidRDefault="005329ED" w:rsidP="00FC4503">
            <w:pPr>
              <w:keepNext/>
              <w:spacing w:line="200" w:lineRule="exact"/>
              <w:jc w:val="center"/>
              <w:rPr>
                <w:rStyle w:val="PlaceholderText"/>
                <w:rFonts w:ascii="Arial" w:hAnsi="Arial" w:cs="Arial"/>
                <w:szCs w:val="18"/>
              </w:rPr>
            </w:pPr>
            <w:r>
              <w:rPr>
                <w:rStyle w:val="PlaceholderText"/>
                <w:rFonts w:ascii="Arial" w:hAnsi="Arial" w:cs="Arial"/>
                <w:szCs w:val="18"/>
              </w:rPr>
              <w:t>1.</w:t>
            </w:r>
            <w:r w:rsidR="00FC4503">
              <w:rPr>
                <w:rStyle w:val="PlaceholderText"/>
                <w:rFonts w:ascii="Arial" w:hAnsi="Arial" w:cs="Arial"/>
                <w:szCs w:val="18"/>
              </w:rPr>
              <w:t>9</w:t>
            </w:r>
          </w:p>
        </w:tc>
        <w:tc>
          <w:tcPr>
            <w:tcW w:w="1634" w:type="pct"/>
          </w:tcPr>
          <w:p w:rsidR="005329ED" w:rsidRDefault="005329ED" w:rsidP="00FC4503">
            <w:pPr>
              <w:keepNext/>
              <w:spacing w:line="200" w:lineRule="exact"/>
              <w:jc w:val="center"/>
              <w:rPr>
                <w:rStyle w:val="PlaceholderText"/>
                <w:rFonts w:ascii="Arial" w:hAnsi="Arial" w:cs="Arial"/>
                <w:szCs w:val="18"/>
              </w:rPr>
            </w:pPr>
            <w:r>
              <w:rPr>
                <w:rStyle w:val="PlaceholderText"/>
                <w:rFonts w:ascii="Arial" w:hAnsi="Arial" w:cs="Arial"/>
                <w:szCs w:val="18"/>
              </w:rPr>
              <w:t>33,</w:t>
            </w:r>
            <w:r w:rsidR="00FC4503">
              <w:rPr>
                <w:rStyle w:val="PlaceholderText"/>
                <w:rFonts w:ascii="Arial" w:hAnsi="Arial" w:cs="Arial"/>
                <w:szCs w:val="18"/>
              </w:rPr>
              <w:t>600</w:t>
            </w:r>
            <w:r w:rsidR="00F578A7">
              <w:rPr>
                <w:rStyle w:val="PlaceholderText"/>
                <w:rFonts w:ascii="Arial" w:hAnsi="Arial" w:cs="Arial"/>
                <w:szCs w:val="18"/>
              </w:rPr>
              <w:t xml:space="preserve"> </w:t>
            </w:r>
            <w:r>
              <w:rPr>
                <w:rStyle w:val="PlaceholderText"/>
                <w:rFonts w:ascii="Arial" w:hAnsi="Arial" w:cs="Arial"/>
                <w:szCs w:val="18"/>
              </w:rPr>
              <w:t>/</w:t>
            </w:r>
            <w:r w:rsidR="00F578A7">
              <w:rPr>
                <w:rStyle w:val="PlaceholderText"/>
                <w:rFonts w:ascii="Arial" w:hAnsi="Arial" w:cs="Arial"/>
                <w:szCs w:val="18"/>
              </w:rPr>
              <w:t xml:space="preserve"> </w:t>
            </w:r>
            <w:r>
              <w:rPr>
                <w:rStyle w:val="PlaceholderText"/>
                <w:rFonts w:ascii="Arial" w:hAnsi="Arial" w:cs="Arial"/>
                <w:szCs w:val="18"/>
              </w:rPr>
              <w:t>16</w:t>
            </w:r>
          </w:p>
        </w:tc>
      </w:tr>
      <w:tr w:rsidR="005329ED" w:rsidRPr="00980041" w:rsidTr="006054BB">
        <w:trPr>
          <w:cantSplit/>
          <w:trHeight w:val="587"/>
        </w:trPr>
        <w:tc>
          <w:tcPr>
            <w:tcW w:w="909"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Second period</w:t>
            </w:r>
          </w:p>
        </w:tc>
        <w:tc>
          <w:tcPr>
            <w:tcW w:w="823" w:type="pct"/>
          </w:tcPr>
          <w:p w:rsidR="005329ED" w:rsidRPr="004328B0" w:rsidRDefault="006C667D" w:rsidP="006054BB">
            <w:pPr>
              <w:keepNext/>
              <w:spacing w:line="200" w:lineRule="exact"/>
              <w:rPr>
                <w:rStyle w:val="PlaceholderText"/>
                <w:rFonts w:ascii="Arial" w:hAnsi="Arial" w:cs="Arial"/>
                <w:szCs w:val="18"/>
              </w:rPr>
            </w:pPr>
            <w:r>
              <w:rPr>
                <w:rStyle w:val="PlaceholderText"/>
                <w:rFonts w:ascii="Arial" w:hAnsi="Arial" w:cs="Arial"/>
                <w:szCs w:val="18"/>
              </w:rPr>
              <w:t>2008</w:t>
            </w:r>
            <w:r w:rsidR="005329ED">
              <w:rPr>
                <w:rStyle w:val="PlaceholderText"/>
                <w:rFonts w:ascii="Arial" w:hAnsi="Arial" w:cs="Arial"/>
                <w:szCs w:val="18"/>
              </w:rPr>
              <w:t xml:space="preserve"> to </w:t>
            </w:r>
            <w:r>
              <w:rPr>
                <w:rStyle w:val="PlaceholderText"/>
                <w:rFonts w:ascii="Arial" w:hAnsi="Arial" w:cs="Arial"/>
                <w:szCs w:val="18"/>
              </w:rPr>
              <w:t>2012</w:t>
            </w:r>
          </w:p>
        </w:tc>
        <w:tc>
          <w:tcPr>
            <w:tcW w:w="1634" w:type="pct"/>
          </w:tcPr>
          <w:p w:rsidR="005329ED" w:rsidRPr="004328B0" w:rsidRDefault="00FC4503" w:rsidP="006054BB">
            <w:pPr>
              <w:keepNext/>
              <w:spacing w:line="200" w:lineRule="exact"/>
              <w:jc w:val="center"/>
              <w:rPr>
                <w:rStyle w:val="PlaceholderText"/>
                <w:rFonts w:ascii="Arial" w:hAnsi="Arial" w:cs="Arial"/>
                <w:szCs w:val="18"/>
              </w:rPr>
            </w:pPr>
            <w:r>
              <w:rPr>
                <w:rStyle w:val="PlaceholderText"/>
                <w:rFonts w:ascii="Arial" w:hAnsi="Arial" w:cs="Arial"/>
                <w:szCs w:val="18"/>
              </w:rPr>
              <w:t>0.2</w:t>
            </w:r>
            <w:r w:rsidR="005329ED">
              <w:rPr>
                <w:rStyle w:val="PlaceholderText"/>
                <w:rFonts w:ascii="Arial" w:hAnsi="Arial" w:cs="Arial"/>
                <w:szCs w:val="18"/>
              </w:rPr>
              <w:t>*</w:t>
            </w:r>
          </w:p>
        </w:tc>
        <w:tc>
          <w:tcPr>
            <w:tcW w:w="1634" w:type="pct"/>
          </w:tcPr>
          <w:p w:rsidR="005329ED" w:rsidRDefault="005329ED" w:rsidP="00FC4503">
            <w:pPr>
              <w:keepNext/>
              <w:spacing w:line="200" w:lineRule="exact"/>
              <w:jc w:val="center"/>
              <w:rPr>
                <w:rStyle w:val="PlaceholderText"/>
                <w:rFonts w:ascii="Arial" w:hAnsi="Arial" w:cs="Arial"/>
                <w:szCs w:val="18"/>
              </w:rPr>
            </w:pPr>
            <w:r>
              <w:rPr>
                <w:rStyle w:val="PlaceholderText"/>
                <w:rFonts w:ascii="Arial" w:hAnsi="Arial" w:cs="Arial"/>
                <w:szCs w:val="18"/>
              </w:rPr>
              <w:t>1,</w:t>
            </w:r>
            <w:r w:rsidR="00FC4503">
              <w:rPr>
                <w:rStyle w:val="PlaceholderText"/>
                <w:rFonts w:ascii="Arial" w:hAnsi="Arial" w:cs="Arial"/>
                <w:szCs w:val="18"/>
              </w:rPr>
              <w:t>900</w:t>
            </w:r>
            <w:r>
              <w:rPr>
                <w:rStyle w:val="PlaceholderText"/>
                <w:rFonts w:ascii="Arial" w:hAnsi="Arial" w:cs="Arial"/>
                <w:szCs w:val="18"/>
              </w:rPr>
              <w:t>*</w:t>
            </w:r>
            <w:r w:rsidR="00F578A7">
              <w:rPr>
                <w:rStyle w:val="PlaceholderText"/>
                <w:rFonts w:ascii="Arial" w:hAnsi="Arial" w:cs="Arial"/>
                <w:szCs w:val="18"/>
              </w:rPr>
              <w:t xml:space="preserve"> </w:t>
            </w:r>
            <w:r>
              <w:rPr>
                <w:rStyle w:val="PlaceholderText"/>
                <w:rFonts w:ascii="Arial" w:hAnsi="Arial" w:cs="Arial"/>
                <w:szCs w:val="18"/>
              </w:rPr>
              <w:t>/</w:t>
            </w:r>
            <w:r w:rsidR="00F578A7">
              <w:rPr>
                <w:rStyle w:val="PlaceholderText"/>
                <w:rFonts w:ascii="Arial" w:hAnsi="Arial" w:cs="Arial"/>
                <w:szCs w:val="18"/>
              </w:rPr>
              <w:t xml:space="preserve"> </w:t>
            </w:r>
            <w:r>
              <w:rPr>
                <w:rStyle w:val="PlaceholderText"/>
                <w:rFonts w:ascii="Arial" w:hAnsi="Arial" w:cs="Arial"/>
                <w:szCs w:val="18"/>
              </w:rPr>
              <w:t>2.8*</w:t>
            </w:r>
          </w:p>
        </w:tc>
      </w:tr>
      <w:tr w:rsidR="005329ED" w:rsidRPr="005C22C7" w:rsidTr="006054BB">
        <w:trPr>
          <w:cnfStyle w:val="000000100000" w:firstRow="0" w:lastRow="0" w:firstColumn="0" w:lastColumn="0" w:oddVBand="0" w:evenVBand="0" w:oddHBand="1" w:evenHBand="0" w:firstRowFirstColumn="0" w:firstRowLastColumn="0" w:lastRowFirstColumn="0" w:lastRowLastColumn="0"/>
          <w:cantSplit/>
          <w:trHeight w:val="587"/>
        </w:trPr>
        <w:tc>
          <w:tcPr>
            <w:tcW w:w="909" w:type="pct"/>
          </w:tcPr>
          <w:p w:rsidR="005329ED" w:rsidRPr="005C22C7" w:rsidRDefault="005329ED" w:rsidP="006054BB">
            <w:pPr>
              <w:keepNext/>
              <w:spacing w:line="200" w:lineRule="exact"/>
              <w:rPr>
                <w:rStyle w:val="PlaceholderText"/>
                <w:rFonts w:ascii="Arial" w:hAnsi="Arial" w:cs="Arial"/>
                <w:b/>
                <w:szCs w:val="18"/>
              </w:rPr>
            </w:pPr>
            <w:r w:rsidRPr="005C22C7">
              <w:rPr>
                <w:rStyle w:val="PlaceholderText"/>
                <w:rFonts w:ascii="Arial" w:hAnsi="Arial" w:cs="Arial"/>
                <w:b/>
                <w:szCs w:val="18"/>
              </w:rPr>
              <w:t>Overall</w:t>
            </w:r>
          </w:p>
        </w:tc>
        <w:tc>
          <w:tcPr>
            <w:tcW w:w="823" w:type="pct"/>
          </w:tcPr>
          <w:p w:rsidR="005329ED" w:rsidRPr="005C22C7" w:rsidRDefault="006C667D" w:rsidP="006054BB">
            <w:pPr>
              <w:keepNext/>
              <w:spacing w:line="200" w:lineRule="exact"/>
              <w:rPr>
                <w:rStyle w:val="PlaceholderText"/>
                <w:rFonts w:ascii="Arial" w:hAnsi="Arial" w:cs="Arial"/>
                <w:b/>
                <w:szCs w:val="18"/>
              </w:rPr>
            </w:pPr>
            <w:r>
              <w:rPr>
                <w:rStyle w:val="PlaceholderText"/>
                <w:rFonts w:ascii="Arial" w:hAnsi="Arial" w:cs="Arial"/>
                <w:b/>
                <w:szCs w:val="18"/>
              </w:rPr>
              <w:t>2000</w:t>
            </w:r>
            <w:r w:rsidR="005329ED" w:rsidRPr="005C22C7">
              <w:rPr>
                <w:rStyle w:val="PlaceholderText"/>
                <w:rFonts w:ascii="Arial" w:hAnsi="Arial" w:cs="Arial"/>
                <w:b/>
                <w:szCs w:val="18"/>
              </w:rPr>
              <w:t xml:space="preserve"> to </w:t>
            </w:r>
            <w:r>
              <w:rPr>
                <w:rStyle w:val="PlaceholderText"/>
                <w:rFonts w:ascii="Arial" w:hAnsi="Arial" w:cs="Arial"/>
                <w:b/>
                <w:szCs w:val="18"/>
              </w:rPr>
              <w:t>2012</w:t>
            </w:r>
          </w:p>
        </w:tc>
        <w:tc>
          <w:tcPr>
            <w:tcW w:w="1634" w:type="pct"/>
          </w:tcPr>
          <w:p w:rsidR="005329ED" w:rsidRPr="005C22C7" w:rsidRDefault="005329ED" w:rsidP="006054BB">
            <w:pPr>
              <w:keepNext/>
              <w:spacing w:line="200" w:lineRule="exact"/>
              <w:jc w:val="center"/>
              <w:rPr>
                <w:rStyle w:val="PlaceholderText"/>
                <w:rFonts w:ascii="Arial" w:hAnsi="Arial" w:cs="Arial"/>
                <w:b/>
                <w:szCs w:val="18"/>
              </w:rPr>
            </w:pPr>
            <w:r w:rsidRPr="005C22C7">
              <w:rPr>
                <w:rStyle w:val="PlaceholderText"/>
                <w:rFonts w:ascii="Arial" w:hAnsi="Arial" w:cs="Arial"/>
                <w:b/>
                <w:szCs w:val="18"/>
              </w:rPr>
              <w:t>1.</w:t>
            </w:r>
            <w:r w:rsidR="00FC4503">
              <w:rPr>
                <w:rStyle w:val="PlaceholderText"/>
                <w:rFonts w:ascii="Arial" w:hAnsi="Arial" w:cs="Arial"/>
                <w:b/>
                <w:szCs w:val="18"/>
              </w:rPr>
              <w:t>3</w:t>
            </w:r>
            <w:r>
              <w:rPr>
                <w:rStyle w:val="PlaceholderText"/>
                <w:rFonts w:ascii="Arial" w:hAnsi="Arial" w:cs="Arial"/>
                <w:b/>
                <w:szCs w:val="18"/>
              </w:rPr>
              <w:t>*</w:t>
            </w:r>
          </w:p>
        </w:tc>
        <w:tc>
          <w:tcPr>
            <w:tcW w:w="1634" w:type="pct"/>
          </w:tcPr>
          <w:p w:rsidR="005329ED" w:rsidRPr="005C22C7" w:rsidRDefault="005329ED" w:rsidP="00FC4503">
            <w:pPr>
              <w:keepNext/>
              <w:spacing w:line="200" w:lineRule="exact"/>
              <w:jc w:val="center"/>
              <w:rPr>
                <w:rStyle w:val="PlaceholderText"/>
                <w:rFonts w:ascii="Arial" w:hAnsi="Arial" w:cs="Arial"/>
                <w:b/>
                <w:szCs w:val="18"/>
              </w:rPr>
            </w:pPr>
            <w:r>
              <w:rPr>
                <w:rStyle w:val="PlaceholderText"/>
                <w:rFonts w:ascii="Arial" w:hAnsi="Arial" w:cs="Arial"/>
                <w:b/>
                <w:szCs w:val="18"/>
              </w:rPr>
              <w:t>35,</w:t>
            </w:r>
            <w:r w:rsidR="00FC4503">
              <w:rPr>
                <w:rStyle w:val="PlaceholderText"/>
                <w:rFonts w:ascii="Arial" w:hAnsi="Arial" w:cs="Arial"/>
                <w:b/>
                <w:szCs w:val="18"/>
              </w:rPr>
              <w:t>400</w:t>
            </w:r>
            <w:r>
              <w:rPr>
                <w:rStyle w:val="PlaceholderText"/>
                <w:rFonts w:ascii="Arial" w:hAnsi="Arial" w:cs="Arial"/>
                <w:b/>
                <w:szCs w:val="18"/>
              </w:rPr>
              <w:t>*</w:t>
            </w:r>
            <w:r w:rsidR="00F578A7">
              <w:rPr>
                <w:rStyle w:val="PlaceholderText"/>
                <w:rFonts w:ascii="Arial" w:hAnsi="Arial" w:cs="Arial"/>
                <w:b/>
                <w:szCs w:val="18"/>
              </w:rPr>
              <w:t xml:space="preserve"> </w:t>
            </w:r>
            <w:r>
              <w:rPr>
                <w:rStyle w:val="PlaceholderText"/>
                <w:rFonts w:ascii="Arial" w:hAnsi="Arial" w:cs="Arial"/>
                <w:b/>
                <w:szCs w:val="18"/>
              </w:rPr>
              <w:t>/</w:t>
            </w:r>
            <w:r w:rsidR="00F578A7">
              <w:rPr>
                <w:rStyle w:val="PlaceholderText"/>
                <w:rFonts w:ascii="Arial" w:hAnsi="Arial" w:cs="Arial"/>
                <w:b/>
                <w:szCs w:val="18"/>
              </w:rPr>
              <w:t xml:space="preserve"> </w:t>
            </w:r>
            <w:r>
              <w:rPr>
                <w:rStyle w:val="PlaceholderText"/>
                <w:rFonts w:ascii="Arial" w:hAnsi="Arial" w:cs="Arial"/>
                <w:b/>
                <w:szCs w:val="18"/>
              </w:rPr>
              <w:t>16.9*</w:t>
            </w:r>
          </w:p>
        </w:tc>
      </w:tr>
    </w:tbl>
    <w:p w:rsidR="005329ED" w:rsidRDefault="005329ED" w:rsidP="005329ED">
      <w:pPr>
        <w:pStyle w:val="Note"/>
      </w:pPr>
      <w:r>
        <w:t>Notes:</w:t>
      </w:r>
      <w:r>
        <w:tab/>
        <w:t xml:space="preserve">Compound annual growth rate (CAGR) is defined as the </w:t>
      </w:r>
      <w:r w:rsidRPr="00716A6E">
        <w:t>geometric mean that provides a constant rate of return over the time period</w:t>
      </w:r>
      <w:r>
        <w:t xml:space="preserve"> and dampens the effect of volatility, which would bias an arithmetic mean. *</w:t>
      </w:r>
      <w:r w:rsidRPr="00FE0BCA">
        <w:t xml:space="preserve"> If commercial and services sector</w:t>
      </w:r>
      <w:r>
        <w:t xml:space="preserve"> electricity consumption in </w:t>
      </w:r>
      <w:r w:rsidR="006C667D">
        <w:t>2012</w:t>
      </w:r>
      <w:r>
        <w:t xml:space="preserve"> i</w:t>
      </w:r>
      <w:r w:rsidRPr="00FE0BCA">
        <w:t>s</w:t>
      </w:r>
      <w:r>
        <w:t xml:space="preserve"> not</w:t>
      </w:r>
      <w:r w:rsidRPr="00FE0BCA">
        <w:t xml:space="preserve"> adjusted to reflect a consistent consumption pattern</w:t>
      </w:r>
      <w:r>
        <w:t>,</w:t>
      </w:r>
      <w:r w:rsidRPr="00FE0BCA">
        <w:t xml:space="preserve"> </w:t>
      </w:r>
      <w:r>
        <w:t xml:space="preserve">the </w:t>
      </w:r>
      <w:r w:rsidRPr="00FE0BCA">
        <w:t xml:space="preserve">CAGR </w:t>
      </w:r>
      <w:r>
        <w:t>is</w:t>
      </w:r>
      <w:r w:rsidRPr="00FE0BCA">
        <w:t xml:space="preserve"> 0.</w:t>
      </w:r>
      <w:r w:rsidR="00986824" w:rsidRPr="00FE0BCA">
        <w:t>7</w:t>
      </w:r>
      <w:r w:rsidR="00986824">
        <w:t> </w:t>
      </w:r>
      <w:r w:rsidR="00986824" w:rsidRPr="00FE0BCA">
        <w:t>pe</w:t>
      </w:r>
      <w:r w:rsidR="00986824">
        <w:t>r </w:t>
      </w:r>
      <w:r w:rsidRPr="00FE0BCA">
        <w:t>cent</w:t>
      </w:r>
      <w:r>
        <w:t xml:space="preserve"> in the </w:t>
      </w:r>
      <w:r w:rsidR="00FC4503">
        <w:t>second period and 1.5 overall</w:t>
      </w:r>
    </w:p>
    <w:p w:rsidR="005329ED" w:rsidRDefault="005329ED" w:rsidP="005329ED">
      <w:pPr>
        <w:pStyle w:val="Source"/>
      </w:pPr>
      <w:r w:rsidRPr="00EF51BF">
        <w:t>Source:</w:t>
      </w:r>
      <w:r>
        <w:tab/>
        <w:t>Vivid Economics</w:t>
      </w:r>
    </w:p>
    <w:p w:rsidR="005329ED" w:rsidRPr="000D25DC" w:rsidRDefault="005329ED" w:rsidP="005329ED">
      <w:pPr>
        <w:pStyle w:val="Charttitle"/>
      </w:pPr>
      <w:bookmarkStart w:id="17" w:name="_Ref365798089"/>
      <w:bookmarkStart w:id="18" w:name="_Toc366004668"/>
      <w:bookmarkStart w:id="19" w:name="_Toc366269826"/>
      <w:bookmarkStart w:id="20" w:name="_Toc369890541"/>
      <w:r>
        <w:lastRenderedPageBreak/>
        <w:t xml:space="preserve">Electricity consumption in Australia grew rapidly between </w:t>
      </w:r>
      <w:r w:rsidR="006C667D">
        <w:t>2000</w:t>
      </w:r>
      <w:r>
        <w:t xml:space="preserve"> and </w:t>
      </w:r>
      <w:r w:rsidR="006C667D">
        <w:t>2009</w:t>
      </w:r>
      <w:r>
        <w:t xml:space="preserve"> and slowed down between </w:t>
      </w:r>
      <w:r w:rsidR="006C667D">
        <w:t>2009</w:t>
      </w:r>
      <w:r>
        <w:t xml:space="preserve"> and </w:t>
      </w:r>
      <w:r w:rsidR="006C667D">
        <w:t>2012</w:t>
      </w:r>
      <w:bookmarkEnd w:id="17"/>
      <w:bookmarkEnd w:id="18"/>
      <w:bookmarkEnd w:id="19"/>
      <w:bookmarkEnd w:id="20"/>
    </w:p>
    <w:p w:rsidR="005329ED" w:rsidRPr="00430244" w:rsidRDefault="005329ED" w:rsidP="005329ED">
      <w:pPr>
        <w:pStyle w:val="Chartspacer"/>
        <w:rPr>
          <w:rStyle w:val="PlaceholderText"/>
        </w:rPr>
      </w:pPr>
      <w:r w:rsidRPr="004F3E55" w:rsidDel="004F3E55">
        <w:t xml:space="preserve"> </w:t>
      </w:r>
      <w:r w:rsidRPr="00895E76">
        <w:rPr>
          <w:noProof/>
          <w:lang w:eastAsia="en-GB"/>
        </w:rPr>
        <w:drawing>
          <wp:inline distT="0" distB="0" distL="0" distR="0" wp14:anchorId="7BC00537" wp14:editId="109509B7">
            <wp:extent cx="6120130" cy="3196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196193"/>
                    </a:xfrm>
                    <a:prstGeom prst="rect">
                      <a:avLst/>
                    </a:prstGeom>
                    <a:noFill/>
                    <a:ln>
                      <a:noFill/>
                    </a:ln>
                  </pic:spPr>
                </pic:pic>
              </a:graphicData>
            </a:graphic>
          </wp:inline>
        </w:drawing>
      </w:r>
    </w:p>
    <w:p w:rsidR="005329ED" w:rsidRDefault="005329ED" w:rsidP="005329ED">
      <w:pPr>
        <w:pStyle w:val="Note"/>
      </w:pPr>
      <w:r>
        <w:t>Notes:</w:t>
      </w:r>
      <w:r>
        <w:tab/>
        <w:t xml:space="preserve">The commercial and services sector electricity consumption in </w:t>
      </w:r>
      <w:r w:rsidR="006C667D">
        <w:t>2012</w:t>
      </w:r>
      <w:r>
        <w:t xml:space="preserve"> jumps up by 11.8  per cent compared </w:t>
      </w:r>
      <w:r w:rsidR="00986824">
        <w:t xml:space="preserve">with </w:t>
      </w:r>
      <w:r w:rsidR="006C667D">
        <w:t>2011</w:t>
      </w:r>
      <w:r>
        <w:t xml:space="preserve">, which is potentially an erroneous observation. The dotted line shows how Australian electricity consumption behaves if </w:t>
      </w:r>
      <w:r w:rsidR="00FC4503">
        <w:t xml:space="preserve">the final data point for </w:t>
      </w:r>
      <w:r>
        <w:t xml:space="preserve">commercial and services sector electricity consumption is adjusted using past </w:t>
      </w:r>
      <w:r w:rsidR="00FC4503">
        <w:t>trends</w:t>
      </w:r>
      <w:r>
        <w:t>.</w:t>
      </w:r>
    </w:p>
    <w:p w:rsidR="005329ED" w:rsidRDefault="005329ED" w:rsidP="005329ED">
      <w:pPr>
        <w:pStyle w:val="Source"/>
      </w:pPr>
      <w:r w:rsidRPr="005A132E">
        <w:t>Source:</w:t>
      </w:r>
      <w:r>
        <w:tab/>
        <w:t>Vivid Economics based on</w:t>
      </w:r>
      <w:r w:rsidR="005A66AE" w:rsidRPr="00AB0DBB">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"http://www.mendeley.com/documents/?uuid=e8bd9719-4583-4faa-85bb-4f9b2e37df9f", "http://www.mendeley.com/documents/?uuid=7bb54e57-0da4-4376-9aab-d79e47b268b1", "http://www.mendeley.com/documents/?uuid=868bffff-9827-46e6-ad32-d3013ba43a99" ] } ], "mendeley" : { "manualFormatting" :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AB0DBB">
        <w:fldChar w:fldCharType="separate"/>
      </w:r>
      <w:r w:rsidRPr="00AB0DBB">
        <w:rPr>
          <w:noProof/>
        </w:rPr>
        <w:t xml:space="preserve"> Australian Government Bureau of Resource and Energy Economics (2013)</w:t>
      </w:r>
      <w:r w:rsidR="005A66AE" w:rsidRPr="00AB0DBB">
        <w:fldChar w:fldCharType="end"/>
      </w:r>
      <w:r>
        <w:t xml:space="preserve"> </w:t>
      </w:r>
    </w:p>
    <w:p w:rsidR="005329ED" w:rsidRPr="000D25DC" w:rsidRDefault="005329ED" w:rsidP="005329ED">
      <w:pPr>
        <w:pStyle w:val="Charttitle"/>
      </w:pPr>
      <w:bookmarkStart w:id="21" w:name="_Toc366004669"/>
      <w:bookmarkStart w:id="22" w:name="_Toc366269827"/>
      <w:bookmarkStart w:id="23" w:name="_Toc369890542"/>
      <w:r>
        <w:lastRenderedPageBreak/>
        <w:t xml:space="preserve">Between </w:t>
      </w:r>
      <w:r w:rsidR="006C667D">
        <w:t>2008</w:t>
      </w:r>
      <w:r>
        <w:t xml:space="preserve"> and 201</w:t>
      </w:r>
      <w:r w:rsidR="00E864C6">
        <w:t>2</w:t>
      </w:r>
      <w:r>
        <w:t xml:space="preserve"> producer electricity prices increased by 9.2 per cent per year while consumer electricity prices increased by 12.2 per cent per year</w:t>
      </w:r>
      <w:bookmarkEnd w:id="21"/>
      <w:bookmarkEnd w:id="22"/>
      <w:bookmarkEnd w:id="23"/>
    </w:p>
    <w:p w:rsidR="005329ED" w:rsidRPr="00430244" w:rsidRDefault="005329ED" w:rsidP="005329ED">
      <w:pPr>
        <w:pStyle w:val="Chartspacer"/>
        <w:rPr>
          <w:rStyle w:val="PlaceholderText"/>
        </w:rPr>
      </w:pPr>
      <w:r w:rsidRPr="006E681F">
        <w:rPr>
          <w:rStyle w:val="PlaceholderText"/>
        </w:rPr>
        <w:t xml:space="preserve"> </w:t>
      </w:r>
      <w:r w:rsidRPr="006E681F">
        <w:rPr>
          <w:noProof/>
          <w:lang w:eastAsia="en-GB"/>
        </w:rPr>
        <w:drawing>
          <wp:inline distT="0" distB="0" distL="0" distR="0" wp14:anchorId="40A27930" wp14:editId="340FF9C2">
            <wp:extent cx="6120130" cy="320010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200105"/>
                    </a:xfrm>
                    <a:prstGeom prst="rect">
                      <a:avLst/>
                    </a:prstGeom>
                    <a:noFill/>
                    <a:ln>
                      <a:noFill/>
                    </a:ln>
                  </pic:spPr>
                </pic:pic>
              </a:graphicData>
            </a:graphic>
          </wp:inline>
        </w:drawing>
      </w:r>
    </w:p>
    <w:p w:rsidR="005329ED" w:rsidRDefault="00FC4503" w:rsidP="005329ED">
      <w:pPr>
        <w:pStyle w:val="Note"/>
      </w:pPr>
      <w:r>
        <w:t>Note:</w:t>
      </w:r>
      <w:r>
        <w:tab/>
        <w:t>Prices indexes a</w:t>
      </w:r>
      <w:r w:rsidR="005329ED">
        <w:t xml:space="preserve">re rebased to </w:t>
      </w:r>
      <w:r w:rsidR="006C667D">
        <w:t>2000</w:t>
      </w:r>
      <w:r w:rsidR="005329ED">
        <w:t xml:space="preserve"> to highlight the recent increase.</w:t>
      </w:r>
    </w:p>
    <w:p w:rsidR="005329ED" w:rsidRPr="005A132E" w:rsidRDefault="005329ED" w:rsidP="005329ED">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"http://www.mendeley.com/documents/?uuid=8a284225-a420-45fc-9ace-884671ea7b14", "http://www.mendeley.com/documents/?uuid=e9a78104-0cb4-4007-a1e9-87849e3097d4" ] } ], "mendeley" : { "manualFormatting" : "Australian Bureau of Statistics (2013)", "previouslyFormattedCitation" : "(Australian Bureau of Statistics, 2013)" }, "properties" : { "noteIndex" : 0 }, "schema" : "https://github.com/citation-style-language/schema/raw/master/csl-citation.json" }</w:instrText>
      </w:r>
      <w:r w:rsidR="005A66AE">
        <w:fldChar w:fldCharType="separate"/>
      </w:r>
      <w:r w:rsidRPr="001F5715">
        <w:rPr>
          <w:noProof/>
        </w:rPr>
        <w:t>Australian Bureau of Statistics (2013)</w:t>
      </w:r>
      <w:r w:rsidR="005A66AE">
        <w:fldChar w:fldCharType="end"/>
      </w:r>
    </w:p>
    <w:p w:rsidR="005329ED" w:rsidRDefault="005329ED" w:rsidP="005329ED">
      <w:pPr>
        <w:pStyle w:val="Heading3"/>
      </w:pPr>
      <w:r>
        <w:t xml:space="preserve">The fall in electricity consumption in the </w:t>
      </w:r>
      <w:r w:rsidR="00543506">
        <w:t>NEM</w:t>
      </w:r>
      <w:r>
        <w:t xml:space="preserve"> region since </w:t>
      </w:r>
      <w:r w:rsidR="006C667D">
        <w:t>2009</w:t>
      </w:r>
    </w:p>
    <w:p w:rsidR="005329ED" w:rsidRPr="00813355" w:rsidRDefault="005329ED" w:rsidP="005329ED">
      <w:r w:rsidRPr="00E52BF1">
        <w:t>In contrast to the whole of Australia, the reversal of trend before and after the global financial crisis broke was stronger in the NEM region.</w:t>
      </w:r>
      <w:r w:rsidRPr="00E52BF1">
        <w:rPr>
          <w:rStyle w:val="FootnoteReference"/>
        </w:rPr>
        <w:footnoteReference w:id="3"/>
      </w:r>
      <w:r w:rsidRPr="00813355">
        <w:t xml:space="preserve"> The NEM region’s electricity consumption grew faster in the years leading up to the crisis, at nearly 2 per cent per annum. </w:t>
      </w:r>
      <w:r>
        <w:t>It</w:t>
      </w:r>
      <w:r w:rsidR="00FC4503">
        <w:t xml:space="preserve"> fell back afterwards at -0.4</w:t>
      </w:r>
      <w:r w:rsidRPr="00813355">
        <w:t xml:space="preserve"> per cent per </w:t>
      </w:r>
      <w:r>
        <w:t>year</w:t>
      </w:r>
      <w:r w:rsidRPr="00813355">
        <w:t xml:space="preserve">, trimming 1.7 per cent off total </w:t>
      </w:r>
      <w:r w:rsidR="00B24BE1">
        <w:t>consumption</w:t>
      </w:r>
      <w:r>
        <w:t xml:space="preserve"> and leaving </w:t>
      </w:r>
      <w:r w:rsidRPr="00813355">
        <w:t>a</w:t>
      </w:r>
      <w:r>
        <w:t xml:space="preserve"> cumulative </w:t>
      </w:r>
      <w:r w:rsidRPr="00813355">
        <w:t xml:space="preserve">rise </w:t>
      </w:r>
      <w:r>
        <w:t xml:space="preserve">in consumption </w:t>
      </w:r>
      <w:r w:rsidR="00FC4503" w:rsidRPr="00813355">
        <w:t>of 1</w:t>
      </w:r>
      <w:r w:rsidR="00FC4503">
        <w:t>5</w:t>
      </w:r>
      <w:r w:rsidR="00FC4503" w:rsidRPr="00813355">
        <w:t xml:space="preserve"> per cent </w:t>
      </w:r>
      <w:r w:rsidRPr="00813355">
        <w:t xml:space="preserve">across the twelve year period between </w:t>
      </w:r>
      <w:r w:rsidR="006C667D">
        <w:t>2000</w:t>
      </w:r>
      <w:r w:rsidRPr="00813355">
        <w:t xml:space="preserve"> and </w:t>
      </w:r>
      <w:r w:rsidR="006C667D">
        <w:t>2012</w:t>
      </w:r>
      <w:r w:rsidRPr="00813355">
        <w:t>.</w:t>
      </w:r>
      <w:r>
        <w:t xml:space="preserve"> All figures are </w:t>
      </w:r>
      <w:r w:rsidR="00FC4503">
        <w:t xml:space="preserve">based on </w:t>
      </w:r>
      <w:r>
        <w:t xml:space="preserve">adjusted </w:t>
      </w:r>
      <w:r w:rsidR="00FC4503">
        <w:t xml:space="preserve">data for </w:t>
      </w:r>
      <w:r>
        <w:t xml:space="preserve">commercial and services consumption in </w:t>
      </w:r>
      <w:r w:rsidR="006C667D">
        <w:t>2012</w:t>
      </w:r>
      <w:r>
        <w:t>.</w:t>
      </w:r>
      <w:r>
        <w:rPr>
          <w:rStyle w:val="FootnoteReference"/>
        </w:rPr>
        <w:footnoteReference w:id="4"/>
      </w:r>
      <w:r>
        <w:t xml:space="preserve"> The data is shown in </w:t>
      </w:r>
      <w:r w:rsidR="005A66AE">
        <w:fldChar w:fldCharType="begin"/>
      </w:r>
      <w:r>
        <w:instrText xml:space="preserve"> REF _Ref365798550 \r \h </w:instrText>
      </w:r>
      <w:r w:rsidR="005A66AE">
        <w:fldChar w:fldCharType="separate"/>
      </w:r>
      <w:r w:rsidR="00197E14">
        <w:t>Table 2</w:t>
      </w:r>
      <w:r w:rsidR="005A66AE">
        <w:fldChar w:fldCharType="end"/>
      </w:r>
      <w:r>
        <w:t xml:space="preserve"> and </w:t>
      </w:r>
      <w:r w:rsidR="005A66AE">
        <w:fldChar w:fldCharType="begin"/>
      </w:r>
      <w:r>
        <w:instrText xml:space="preserve"> REF _Ref365798557 \r \h </w:instrText>
      </w:r>
      <w:r w:rsidR="005A66AE">
        <w:fldChar w:fldCharType="separate"/>
      </w:r>
      <w:r w:rsidR="00197E14">
        <w:t>Figure 3</w:t>
      </w:r>
      <w:r w:rsidR="005A66AE">
        <w:fldChar w:fldCharType="end"/>
      </w:r>
      <w:r>
        <w:t>.</w:t>
      </w:r>
    </w:p>
    <w:p w:rsidR="005329ED" w:rsidRPr="00DE4EAF" w:rsidRDefault="005329ED" w:rsidP="00645813">
      <w:pPr>
        <w:pStyle w:val="Tabletitle"/>
      </w:pPr>
      <w:bookmarkStart w:id="24" w:name="_Ref365798550"/>
      <w:bookmarkStart w:id="25" w:name="_Toc366004657"/>
      <w:bookmarkStart w:id="26" w:name="_Toc369890511"/>
      <w:r>
        <w:lastRenderedPageBreak/>
        <w:t>Growth in el</w:t>
      </w:r>
      <w:r w:rsidR="003F6ABB">
        <w:t>ectricity consumption in the NEM</w:t>
      </w:r>
      <w:r w:rsidR="003F6ABB">
        <w:tab/>
      </w:r>
      <w:r>
        <w:t xml:space="preserve"> region reversed after </w:t>
      </w:r>
      <w:r w:rsidR="006C667D">
        <w:t>2008</w:t>
      </w:r>
      <w:bookmarkEnd w:id="24"/>
      <w:bookmarkEnd w:id="25"/>
      <w:bookmarkEnd w:id="26"/>
    </w:p>
    <w:tbl>
      <w:tblPr>
        <w:tblStyle w:val="Vividtable"/>
        <w:tblW w:w="9854" w:type="dxa"/>
        <w:tblLook w:val="04A0" w:firstRow="1" w:lastRow="0" w:firstColumn="1" w:lastColumn="0" w:noHBand="0" w:noVBand="1"/>
      </w:tblPr>
      <w:tblGrid>
        <w:gridCol w:w="2662"/>
        <w:gridCol w:w="2409"/>
        <w:gridCol w:w="4783"/>
      </w:tblGrid>
      <w:tr w:rsidR="005329ED" w:rsidRPr="00980041" w:rsidTr="006054BB">
        <w:trPr>
          <w:cnfStyle w:val="100000000000" w:firstRow="1" w:lastRow="0" w:firstColumn="0" w:lastColumn="0" w:oddVBand="0" w:evenVBand="0" w:oddHBand="0" w:evenHBand="0" w:firstRowFirstColumn="0" w:firstRowLastColumn="0" w:lastRowFirstColumn="0" w:lastRowLastColumn="0"/>
          <w:cantSplit/>
          <w:trHeight w:val="340"/>
          <w:tblHeader/>
        </w:trPr>
        <w:tc>
          <w:tcPr>
            <w:tcW w:w="1350" w:type="pct"/>
            <w:tcBorders>
              <w:bottom w:val="single" w:sz="4" w:space="0" w:color="000000" w:themeColor="text1"/>
            </w:tcBorders>
          </w:tcPr>
          <w:p w:rsidR="005329ED" w:rsidRDefault="005329ED" w:rsidP="006054BB">
            <w:pPr>
              <w:keepNext/>
              <w:rPr>
                <w:rStyle w:val="PlaceholderText"/>
                <w:rFonts w:ascii="Arial" w:hAnsi="Arial" w:cs="Arial"/>
                <w:szCs w:val="18"/>
              </w:rPr>
            </w:pPr>
            <w:r>
              <w:rPr>
                <w:rStyle w:val="PlaceholderText"/>
                <w:rFonts w:ascii="Arial" w:hAnsi="Arial" w:cs="Arial"/>
                <w:szCs w:val="18"/>
              </w:rPr>
              <w:t>Period</w:t>
            </w:r>
          </w:p>
        </w:tc>
        <w:tc>
          <w:tcPr>
            <w:tcW w:w="1222" w:type="pct"/>
            <w:tcBorders>
              <w:bottom w:val="single" w:sz="4" w:space="0" w:color="000000" w:themeColor="text1"/>
            </w:tcBorders>
          </w:tcPr>
          <w:p w:rsidR="005329ED" w:rsidRPr="005C22C7" w:rsidRDefault="005329ED" w:rsidP="006054BB">
            <w:pPr>
              <w:keepNext/>
              <w:jc w:val="center"/>
              <w:rPr>
                <w:rStyle w:val="PlaceholderText"/>
                <w:rFonts w:ascii="Arial" w:hAnsi="Arial" w:cs="Arial"/>
                <w:szCs w:val="18"/>
              </w:rPr>
            </w:pPr>
            <w:r w:rsidRPr="005C22C7">
              <w:rPr>
                <w:rStyle w:val="PlaceholderText"/>
                <w:rFonts w:ascii="Arial" w:hAnsi="Arial" w:cs="Arial"/>
                <w:szCs w:val="18"/>
              </w:rPr>
              <w:t>Years</w:t>
            </w:r>
          </w:p>
        </w:tc>
        <w:tc>
          <w:tcPr>
            <w:tcW w:w="2427" w:type="pct"/>
            <w:tcBorders>
              <w:bottom w:val="single" w:sz="4" w:space="0" w:color="000000" w:themeColor="text1"/>
            </w:tcBorders>
          </w:tcPr>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Compound annual growth rate (per cent)</w:t>
            </w:r>
          </w:p>
        </w:tc>
      </w:tr>
      <w:tr w:rsidR="005329ED" w:rsidRPr="00980041" w:rsidTr="006054BB">
        <w:trPr>
          <w:cnfStyle w:val="000000100000" w:firstRow="0" w:lastRow="0" w:firstColumn="0" w:lastColumn="0" w:oddVBand="0" w:evenVBand="0" w:oddHBand="1" w:evenHBand="0" w:firstRowFirstColumn="0" w:firstRowLastColumn="0" w:lastRowFirstColumn="0" w:lastRowLastColumn="0"/>
          <w:cantSplit/>
          <w:trHeight w:val="520"/>
        </w:trPr>
        <w:tc>
          <w:tcPr>
            <w:tcW w:w="1350"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First period</w:t>
            </w:r>
          </w:p>
        </w:tc>
        <w:tc>
          <w:tcPr>
            <w:tcW w:w="1222" w:type="pct"/>
          </w:tcPr>
          <w:p w:rsidR="005329ED" w:rsidRPr="004328B0" w:rsidRDefault="006C667D" w:rsidP="006054BB">
            <w:pPr>
              <w:keepNext/>
              <w:spacing w:line="200" w:lineRule="exact"/>
              <w:jc w:val="center"/>
              <w:rPr>
                <w:rStyle w:val="PlaceholderText"/>
                <w:rFonts w:ascii="Arial" w:hAnsi="Arial" w:cs="Arial"/>
                <w:szCs w:val="18"/>
              </w:rPr>
            </w:pPr>
            <w:r>
              <w:rPr>
                <w:rStyle w:val="PlaceholderText"/>
                <w:rFonts w:ascii="Arial" w:hAnsi="Arial" w:cs="Arial"/>
                <w:szCs w:val="18"/>
              </w:rPr>
              <w:t>2000</w:t>
            </w:r>
            <w:r w:rsidR="005329ED">
              <w:rPr>
                <w:rStyle w:val="PlaceholderText"/>
                <w:rFonts w:ascii="Arial" w:hAnsi="Arial" w:cs="Arial"/>
                <w:szCs w:val="18"/>
              </w:rPr>
              <w:t xml:space="preserve"> to </w:t>
            </w:r>
            <w:r>
              <w:rPr>
                <w:rStyle w:val="PlaceholderText"/>
                <w:rFonts w:ascii="Arial" w:hAnsi="Arial" w:cs="Arial"/>
                <w:szCs w:val="18"/>
              </w:rPr>
              <w:t>2008</w:t>
            </w:r>
          </w:p>
        </w:tc>
        <w:tc>
          <w:tcPr>
            <w:tcW w:w="2427" w:type="pct"/>
          </w:tcPr>
          <w:p w:rsidR="005329ED" w:rsidRPr="004328B0" w:rsidRDefault="00FC4503" w:rsidP="006054BB">
            <w:pPr>
              <w:keepNext/>
              <w:spacing w:line="200" w:lineRule="exact"/>
              <w:jc w:val="center"/>
              <w:rPr>
                <w:rStyle w:val="PlaceholderText"/>
                <w:rFonts w:ascii="Arial" w:hAnsi="Arial" w:cs="Arial"/>
                <w:szCs w:val="18"/>
              </w:rPr>
            </w:pPr>
            <w:r>
              <w:rPr>
                <w:rStyle w:val="PlaceholderText"/>
                <w:rFonts w:ascii="Arial" w:hAnsi="Arial" w:cs="Arial"/>
                <w:szCs w:val="18"/>
              </w:rPr>
              <w:t>2</w:t>
            </w:r>
          </w:p>
        </w:tc>
      </w:tr>
      <w:tr w:rsidR="005329ED" w:rsidRPr="00980041" w:rsidTr="006054BB">
        <w:trPr>
          <w:cantSplit/>
          <w:trHeight w:val="520"/>
        </w:trPr>
        <w:tc>
          <w:tcPr>
            <w:tcW w:w="1350"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Second period</w:t>
            </w:r>
          </w:p>
        </w:tc>
        <w:tc>
          <w:tcPr>
            <w:tcW w:w="1222" w:type="pct"/>
          </w:tcPr>
          <w:p w:rsidR="005329ED" w:rsidRPr="004328B0" w:rsidRDefault="006C667D" w:rsidP="006054BB">
            <w:pPr>
              <w:keepNext/>
              <w:spacing w:line="200" w:lineRule="exact"/>
              <w:jc w:val="center"/>
              <w:rPr>
                <w:rStyle w:val="PlaceholderText"/>
                <w:rFonts w:ascii="Arial" w:hAnsi="Arial" w:cs="Arial"/>
                <w:szCs w:val="18"/>
              </w:rPr>
            </w:pPr>
            <w:r>
              <w:rPr>
                <w:rStyle w:val="PlaceholderText"/>
                <w:rFonts w:ascii="Arial" w:hAnsi="Arial" w:cs="Arial"/>
                <w:szCs w:val="18"/>
              </w:rPr>
              <w:t>2008</w:t>
            </w:r>
            <w:r w:rsidR="005329ED">
              <w:rPr>
                <w:rStyle w:val="PlaceholderText"/>
                <w:rFonts w:ascii="Arial" w:hAnsi="Arial" w:cs="Arial"/>
                <w:szCs w:val="18"/>
              </w:rPr>
              <w:t xml:space="preserve"> to </w:t>
            </w:r>
            <w:r>
              <w:rPr>
                <w:rStyle w:val="PlaceholderText"/>
                <w:rFonts w:ascii="Arial" w:hAnsi="Arial" w:cs="Arial"/>
                <w:szCs w:val="18"/>
              </w:rPr>
              <w:t>2012</w:t>
            </w:r>
          </w:p>
        </w:tc>
        <w:tc>
          <w:tcPr>
            <w:tcW w:w="2427" w:type="pct"/>
          </w:tcPr>
          <w:p w:rsidR="005329ED" w:rsidRPr="004328B0" w:rsidRDefault="00FC4503" w:rsidP="006054BB">
            <w:pPr>
              <w:keepNext/>
              <w:spacing w:line="200" w:lineRule="exact"/>
              <w:jc w:val="center"/>
              <w:rPr>
                <w:rStyle w:val="PlaceholderText"/>
                <w:rFonts w:ascii="Arial" w:hAnsi="Arial" w:cs="Arial"/>
                <w:szCs w:val="18"/>
              </w:rPr>
            </w:pPr>
            <w:r>
              <w:rPr>
                <w:rStyle w:val="PlaceholderText"/>
                <w:rFonts w:ascii="Arial" w:hAnsi="Arial" w:cs="Arial"/>
                <w:szCs w:val="18"/>
              </w:rPr>
              <w:t>-0.4</w:t>
            </w:r>
            <w:r w:rsidR="005329ED">
              <w:rPr>
                <w:rStyle w:val="PlaceholderText"/>
                <w:rFonts w:ascii="Arial" w:hAnsi="Arial" w:cs="Arial"/>
                <w:szCs w:val="18"/>
              </w:rPr>
              <w:t>*</w:t>
            </w:r>
          </w:p>
        </w:tc>
      </w:tr>
      <w:tr w:rsidR="005329ED" w:rsidRPr="005C22C7" w:rsidTr="006054BB">
        <w:trPr>
          <w:cnfStyle w:val="000000100000" w:firstRow="0" w:lastRow="0" w:firstColumn="0" w:lastColumn="0" w:oddVBand="0" w:evenVBand="0" w:oddHBand="1" w:evenHBand="0" w:firstRowFirstColumn="0" w:firstRowLastColumn="0" w:lastRowFirstColumn="0" w:lastRowLastColumn="0"/>
          <w:cantSplit/>
          <w:trHeight w:val="520"/>
        </w:trPr>
        <w:tc>
          <w:tcPr>
            <w:tcW w:w="1350" w:type="pct"/>
          </w:tcPr>
          <w:p w:rsidR="005329ED" w:rsidRPr="005C22C7" w:rsidRDefault="005329ED" w:rsidP="006054BB">
            <w:pPr>
              <w:keepNext/>
              <w:spacing w:line="200" w:lineRule="exact"/>
              <w:rPr>
                <w:rStyle w:val="PlaceholderText"/>
                <w:rFonts w:ascii="Arial" w:hAnsi="Arial" w:cs="Arial"/>
                <w:b/>
                <w:szCs w:val="18"/>
              </w:rPr>
            </w:pPr>
            <w:r w:rsidRPr="005C22C7">
              <w:rPr>
                <w:rStyle w:val="PlaceholderText"/>
                <w:rFonts w:ascii="Arial" w:hAnsi="Arial" w:cs="Arial"/>
                <w:b/>
                <w:szCs w:val="18"/>
              </w:rPr>
              <w:t>Overall</w:t>
            </w:r>
          </w:p>
        </w:tc>
        <w:tc>
          <w:tcPr>
            <w:tcW w:w="1222" w:type="pct"/>
          </w:tcPr>
          <w:p w:rsidR="005329ED" w:rsidRPr="005C22C7" w:rsidRDefault="006C667D" w:rsidP="006054BB">
            <w:pPr>
              <w:keepNext/>
              <w:spacing w:line="200" w:lineRule="exact"/>
              <w:jc w:val="center"/>
              <w:rPr>
                <w:rStyle w:val="PlaceholderText"/>
                <w:rFonts w:ascii="Arial" w:hAnsi="Arial" w:cs="Arial"/>
                <w:b/>
                <w:szCs w:val="18"/>
              </w:rPr>
            </w:pPr>
            <w:r>
              <w:rPr>
                <w:rStyle w:val="PlaceholderText"/>
                <w:rFonts w:ascii="Arial" w:hAnsi="Arial" w:cs="Arial"/>
                <w:b/>
                <w:szCs w:val="18"/>
              </w:rPr>
              <w:t>2000</w:t>
            </w:r>
            <w:r w:rsidR="005329ED" w:rsidRPr="005C22C7">
              <w:rPr>
                <w:rStyle w:val="PlaceholderText"/>
                <w:rFonts w:ascii="Arial" w:hAnsi="Arial" w:cs="Arial"/>
                <w:b/>
                <w:szCs w:val="18"/>
              </w:rPr>
              <w:t xml:space="preserve"> to </w:t>
            </w:r>
            <w:r>
              <w:rPr>
                <w:rStyle w:val="PlaceholderText"/>
                <w:rFonts w:ascii="Arial" w:hAnsi="Arial" w:cs="Arial"/>
                <w:b/>
                <w:szCs w:val="18"/>
              </w:rPr>
              <w:t>2012</w:t>
            </w:r>
          </w:p>
        </w:tc>
        <w:tc>
          <w:tcPr>
            <w:tcW w:w="2427" w:type="pct"/>
          </w:tcPr>
          <w:p w:rsidR="005329ED" w:rsidRPr="005C22C7" w:rsidRDefault="00FC4503" w:rsidP="006054BB">
            <w:pPr>
              <w:keepNext/>
              <w:spacing w:line="200" w:lineRule="exact"/>
              <w:jc w:val="center"/>
              <w:rPr>
                <w:rStyle w:val="PlaceholderText"/>
                <w:rFonts w:ascii="Arial" w:hAnsi="Arial" w:cs="Arial"/>
                <w:b/>
                <w:szCs w:val="18"/>
              </w:rPr>
            </w:pPr>
            <w:r>
              <w:rPr>
                <w:rStyle w:val="PlaceholderText"/>
                <w:rFonts w:ascii="Arial" w:hAnsi="Arial" w:cs="Arial"/>
                <w:b/>
                <w:szCs w:val="18"/>
              </w:rPr>
              <w:t>1.2</w:t>
            </w:r>
            <w:r w:rsidR="005329ED">
              <w:rPr>
                <w:rStyle w:val="PlaceholderText"/>
                <w:rFonts w:ascii="Arial" w:hAnsi="Arial" w:cs="Arial"/>
                <w:b/>
                <w:szCs w:val="18"/>
              </w:rPr>
              <w:t>*</w:t>
            </w:r>
          </w:p>
        </w:tc>
      </w:tr>
    </w:tbl>
    <w:p w:rsidR="005329ED" w:rsidRPr="00820511" w:rsidRDefault="005329ED" w:rsidP="005329ED">
      <w:pPr>
        <w:pStyle w:val="Header"/>
        <w:pBdr>
          <w:bottom w:val="none" w:sz="0" w:space="0" w:color="auto"/>
        </w:pBdr>
      </w:pPr>
    </w:p>
    <w:p w:rsidR="005329ED" w:rsidRDefault="005329ED" w:rsidP="005329ED">
      <w:pPr>
        <w:pStyle w:val="Note"/>
      </w:pPr>
      <w:r>
        <w:t>Note:</w:t>
      </w:r>
      <w:r>
        <w:tab/>
        <w:t>*</w:t>
      </w:r>
      <w:r w:rsidRPr="00FE0BCA">
        <w:t xml:space="preserve"> If commercial and services sector</w:t>
      </w:r>
      <w:r>
        <w:t xml:space="preserve"> electricity consumption in </w:t>
      </w:r>
      <w:r w:rsidR="006C667D">
        <w:t>2012</w:t>
      </w:r>
      <w:r>
        <w:t xml:space="preserve"> i</w:t>
      </w:r>
      <w:r w:rsidRPr="00FE0BCA">
        <w:t>s</w:t>
      </w:r>
      <w:r>
        <w:t xml:space="preserve"> not</w:t>
      </w:r>
      <w:r w:rsidRPr="00FE0BCA">
        <w:t xml:space="preserve"> adjusted to reflect a consistent consumption pattern</w:t>
      </w:r>
      <w:r>
        <w:t>,</w:t>
      </w:r>
      <w:r w:rsidRPr="00FE0BCA">
        <w:t xml:space="preserve"> </w:t>
      </w:r>
      <w:r>
        <w:t xml:space="preserve">the </w:t>
      </w:r>
      <w:r w:rsidRPr="00FE0BCA">
        <w:t xml:space="preserve">CAGR </w:t>
      </w:r>
      <w:r>
        <w:t>in the second period is</w:t>
      </w:r>
      <w:r w:rsidRPr="00FE0BCA">
        <w:t xml:space="preserve"> </w:t>
      </w:r>
      <w:r>
        <w:t>+</w:t>
      </w:r>
      <w:r w:rsidRPr="00FE0BCA">
        <w:t>0.</w:t>
      </w:r>
      <w:r>
        <w:t>1</w:t>
      </w:r>
      <w:r w:rsidRPr="00FE0BCA">
        <w:t xml:space="preserve"> per cent</w:t>
      </w:r>
      <w:r>
        <w:t xml:space="preserve"> and the overall increase is 0.4 per cent.</w:t>
      </w:r>
    </w:p>
    <w:p w:rsidR="005329ED" w:rsidRDefault="005329ED" w:rsidP="005329ED">
      <w:pPr>
        <w:pStyle w:val="Source"/>
      </w:pPr>
      <w:r w:rsidRPr="00EF51BF">
        <w:t>Source:</w:t>
      </w:r>
      <w:r>
        <w:tab/>
        <w:t>Vivid Economics</w:t>
      </w:r>
    </w:p>
    <w:p w:rsidR="005329ED" w:rsidRDefault="005329ED" w:rsidP="005329ED"/>
    <w:p w:rsidR="005329ED" w:rsidRPr="000D25DC" w:rsidRDefault="005329ED" w:rsidP="005329ED">
      <w:pPr>
        <w:pStyle w:val="Charttitle"/>
      </w:pPr>
      <w:bookmarkStart w:id="27" w:name="_Toc366269828"/>
      <w:bookmarkStart w:id="28" w:name="_Ref365798557"/>
      <w:bookmarkStart w:id="29" w:name="_Toc366004670"/>
      <w:bookmarkStart w:id="30" w:name="_Toc369890543"/>
      <w:r>
        <w:t xml:space="preserve">Total electricity consumption in the NEM fell after </w:t>
      </w:r>
      <w:r w:rsidR="006C667D">
        <w:t>2009</w:t>
      </w:r>
      <w:bookmarkEnd w:id="27"/>
      <w:bookmarkEnd w:id="30"/>
      <w:r>
        <w:t xml:space="preserve"> </w:t>
      </w:r>
      <w:bookmarkEnd w:id="28"/>
      <w:bookmarkEnd w:id="29"/>
    </w:p>
    <w:p w:rsidR="005329ED" w:rsidRPr="00430244" w:rsidRDefault="005329ED" w:rsidP="005329ED">
      <w:pPr>
        <w:pStyle w:val="Chartspacer"/>
        <w:rPr>
          <w:rStyle w:val="PlaceholderText"/>
        </w:rPr>
      </w:pPr>
      <w:r w:rsidRPr="004F3E55">
        <w:rPr>
          <w:rStyle w:val="PlaceholderText"/>
        </w:rPr>
        <w:t xml:space="preserve"> </w:t>
      </w:r>
      <w:r w:rsidRPr="00895E76">
        <w:rPr>
          <w:noProof/>
          <w:lang w:eastAsia="en-GB"/>
        </w:rPr>
        <w:drawing>
          <wp:inline distT="0" distB="0" distL="0" distR="0" wp14:anchorId="63ED60B7" wp14:editId="24A43322">
            <wp:extent cx="6120130" cy="31961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196193"/>
                    </a:xfrm>
                    <a:prstGeom prst="rect">
                      <a:avLst/>
                    </a:prstGeom>
                    <a:noFill/>
                    <a:ln>
                      <a:noFill/>
                    </a:ln>
                  </pic:spPr>
                </pic:pic>
              </a:graphicData>
            </a:graphic>
          </wp:inline>
        </w:drawing>
      </w:r>
    </w:p>
    <w:p w:rsidR="005329ED" w:rsidRDefault="005329ED" w:rsidP="005329ED">
      <w:pPr>
        <w:pStyle w:val="Note"/>
      </w:pPr>
      <w:r>
        <w:t>Notes:</w:t>
      </w:r>
      <w:r>
        <w:tab/>
        <w:t>The commercial and services sector electricity consump</w:t>
      </w:r>
      <w:r w:rsidR="00FC4503">
        <w:t xml:space="preserve">tion in </w:t>
      </w:r>
      <w:r w:rsidR="006C667D">
        <w:t>2012</w:t>
      </w:r>
      <w:r w:rsidR="00FC4503">
        <w:t xml:space="preserve"> jumps up by 11</w:t>
      </w:r>
      <w:r>
        <w:t xml:space="preserve"> per cent compared </w:t>
      </w:r>
      <w:r w:rsidR="00986824">
        <w:t xml:space="preserve">with </w:t>
      </w:r>
      <w:r w:rsidR="006C667D">
        <w:t>2011</w:t>
      </w:r>
      <w:r>
        <w:t>, which is potentially an erroneous observation. The dotted line shows how NEM electricity consumption behaves if commercial and services sector electricity consumption is adjusted to follow past patterns.</w:t>
      </w:r>
    </w:p>
    <w:p w:rsidR="005329ED" w:rsidRPr="005A132E" w:rsidRDefault="005329ED" w:rsidP="005329ED">
      <w:pPr>
        <w:pStyle w:val="Source"/>
      </w:pPr>
      <w:r w:rsidRPr="005A132E">
        <w:t>Source:</w:t>
      </w:r>
      <w:r>
        <w:tab/>
        <w:t xml:space="preserve">Vivid Economics based </w:t>
      </w:r>
      <w:r w:rsidRPr="003D3200">
        <w:t xml:space="preserve">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p>
    <w:p w:rsidR="005329ED" w:rsidRDefault="005329ED" w:rsidP="005329ED">
      <w:pPr>
        <w:pStyle w:val="Heading3"/>
      </w:pPr>
      <w:r>
        <w:t>Consumption by sector</w:t>
      </w:r>
    </w:p>
    <w:p w:rsidR="005329ED" w:rsidRPr="00642443" w:rsidRDefault="005329ED" w:rsidP="005329ED">
      <w:r w:rsidRPr="00642443">
        <w:t xml:space="preserve">The </w:t>
      </w:r>
      <w:r>
        <w:t xml:space="preserve">focus of the discussion of sectoral electricity consumption is on </w:t>
      </w:r>
      <w:r w:rsidRPr="00642443">
        <w:t>three sectors:</w:t>
      </w:r>
    </w:p>
    <w:p w:rsidR="005329ED" w:rsidRPr="002A3B57" w:rsidRDefault="005329ED" w:rsidP="005329ED">
      <w:pPr>
        <w:pStyle w:val="Dashedbullets"/>
        <w:ind w:left="502" w:hanging="360"/>
      </w:pPr>
      <w:r w:rsidRPr="002A3B57">
        <w:t>residential;</w:t>
      </w:r>
    </w:p>
    <w:p w:rsidR="005329ED" w:rsidRPr="002A3B57" w:rsidRDefault="005329ED" w:rsidP="005329ED">
      <w:pPr>
        <w:pStyle w:val="Dashedbullets"/>
        <w:ind w:left="502" w:hanging="360"/>
      </w:pPr>
      <w:r w:rsidRPr="002A3B57">
        <w:lastRenderedPageBreak/>
        <w:t>commercial</w:t>
      </w:r>
      <w:r>
        <w:t xml:space="preserve"> and services</w:t>
      </w:r>
      <w:r w:rsidRPr="002A3B57">
        <w:t>; and</w:t>
      </w:r>
    </w:p>
    <w:p w:rsidR="005329ED" w:rsidRDefault="005329ED" w:rsidP="005329ED">
      <w:pPr>
        <w:pStyle w:val="Dashedbullets"/>
        <w:ind w:left="502" w:hanging="360"/>
      </w:pPr>
      <w:r>
        <w:t>manufacturing.</w:t>
      </w:r>
    </w:p>
    <w:p w:rsidR="005329ED" w:rsidRDefault="005329ED" w:rsidP="005329ED">
      <w:pPr>
        <w:pStyle w:val="Dashedbullets"/>
        <w:numPr>
          <w:ilvl w:val="0"/>
          <w:numId w:val="0"/>
        </w:numPr>
        <w:ind w:left="502" w:hanging="360"/>
      </w:pPr>
    </w:p>
    <w:p w:rsidR="005329ED" w:rsidRDefault="005329ED" w:rsidP="005329ED">
      <w:r>
        <w:t xml:space="preserve">These are the largest consumers of electricity in the NEM region, followed by utilities and mining, as shown in </w:t>
      </w:r>
      <w:r w:rsidR="005A66AE">
        <w:fldChar w:fldCharType="begin"/>
      </w:r>
      <w:r>
        <w:instrText xml:space="preserve"> REF _Ref365800079 \r \h </w:instrText>
      </w:r>
      <w:r w:rsidR="005A66AE">
        <w:fldChar w:fldCharType="separate"/>
      </w:r>
      <w:r w:rsidR="00197E14">
        <w:t>Table 3</w:t>
      </w:r>
      <w:r w:rsidR="005A66AE">
        <w:fldChar w:fldCharType="end"/>
      </w:r>
      <w:r w:rsidR="00FC4503">
        <w:t>.</w:t>
      </w:r>
    </w:p>
    <w:p w:rsidR="005329ED" w:rsidRDefault="005329ED" w:rsidP="005329ED"/>
    <w:p w:rsidR="005329ED" w:rsidRDefault="005329ED" w:rsidP="005329ED">
      <w:r w:rsidRPr="00E52BF1">
        <w:t xml:space="preserve">There was a redistribution of electricity consumption in the NEM region, between </w:t>
      </w:r>
      <w:r w:rsidR="006C667D">
        <w:t>2008</w:t>
      </w:r>
      <w:r w:rsidRPr="00E52BF1">
        <w:t xml:space="preserve"> and </w:t>
      </w:r>
      <w:r w:rsidR="006C667D">
        <w:t>2012</w:t>
      </w:r>
      <w:r w:rsidRPr="00E52BF1">
        <w:t>, from manufacturing to residential and commercial and services sectors. Over this period</w:t>
      </w:r>
      <w:r>
        <w:t xml:space="preserve">, the share of consumption attributable to manufacturing fell by 3.9 percentage points and </w:t>
      </w:r>
      <w:r w:rsidR="00FC4503">
        <w:t xml:space="preserve">was transferred to </w:t>
      </w:r>
      <w:r>
        <w:t>commercial and services and residential.</w:t>
      </w:r>
    </w:p>
    <w:p w:rsidR="005329ED" w:rsidRPr="00DE4EAF" w:rsidRDefault="005329ED" w:rsidP="00645813">
      <w:pPr>
        <w:pStyle w:val="Tabletitle"/>
      </w:pPr>
      <w:bookmarkStart w:id="31" w:name="_Ref365800079"/>
      <w:bookmarkStart w:id="32" w:name="_Toc366004658"/>
      <w:bookmarkStart w:id="33" w:name="_Toc369890512"/>
      <w:r>
        <w:t xml:space="preserve">The share of electricity consumed by manufacturing declined between </w:t>
      </w:r>
      <w:r w:rsidR="006C667D">
        <w:t>2008</w:t>
      </w:r>
      <w:r>
        <w:t xml:space="preserve"> and </w:t>
      </w:r>
      <w:r w:rsidR="006C667D">
        <w:t>2012</w:t>
      </w:r>
      <w:r>
        <w:t xml:space="preserve"> whereas the share of commercial and services consumption grew in the same period</w:t>
      </w:r>
      <w:bookmarkEnd w:id="31"/>
      <w:bookmarkEnd w:id="32"/>
      <w:bookmarkEnd w:id="33"/>
    </w:p>
    <w:tbl>
      <w:tblPr>
        <w:tblStyle w:val="Vividtable"/>
        <w:tblW w:w="9747" w:type="dxa"/>
        <w:tblLayout w:type="fixed"/>
        <w:tblLook w:val="04A0" w:firstRow="1" w:lastRow="0" w:firstColumn="1" w:lastColumn="0" w:noHBand="0" w:noVBand="1"/>
      </w:tblPr>
      <w:tblGrid>
        <w:gridCol w:w="3965"/>
        <w:gridCol w:w="2891"/>
        <w:gridCol w:w="2891"/>
      </w:tblGrid>
      <w:tr w:rsidR="005329ED" w:rsidRPr="00215A21" w:rsidTr="006054BB">
        <w:trPr>
          <w:cnfStyle w:val="100000000000" w:firstRow="1" w:lastRow="0" w:firstColumn="0" w:lastColumn="0" w:oddVBand="0" w:evenVBand="0" w:oddHBand="0" w:evenHBand="0" w:firstRowFirstColumn="0" w:firstRowLastColumn="0" w:lastRowFirstColumn="0" w:lastRowLastColumn="0"/>
          <w:trHeight w:val="561"/>
        </w:trPr>
        <w:tc>
          <w:tcPr>
            <w:tcW w:w="3965" w:type="dxa"/>
            <w:vMerge w:val="restart"/>
          </w:tcPr>
          <w:p w:rsidR="005329ED" w:rsidRPr="00215A21" w:rsidRDefault="005329ED" w:rsidP="006054BB">
            <w:pPr>
              <w:keepNext/>
              <w:jc w:val="center"/>
              <w:rPr>
                <w:rStyle w:val="PlaceholderText"/>
                <w:rFonts w:ascii="Arial" w:hAnsi="Arial" w:cs="Arial"/>
                <w:b w:val="0"/>
                <w:szCs w:val="18"/>
              </w:rPr>
            </w:pPr>
            <w:r w:rsidRPr="00215A21">
              <w:rPr>
                <w:rStyle w:val="PlaceholderText"/>
                <w:rFonts w:ascii="Arial" w:hAnsi="Arial" w:cs="Arial"/>
                <w:szCs w:val="18"/>
              </w:rPr>
              <w:t>Sector</w:t>
            </w:r>
          </w:p>
        </w:tc>
        <w:tc>
          <w:tcPr>
            <w:tcW w:w="5782" w:type="dxa"/>
            <w:gridSpan w:val="2"/>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Share of electricity consumption (per cent)</w:t>
            </w:r>
          </w:p>
        </w:tc>
      </w:tr>
      <w:tr w:rsidR="005329ED" w:rsidRPr="00215A21" w:rsidTr="00FC4503">
        <w:trPr>
          <w:cnfStyle w:val="000000100000" w:firstRow="0" w:lastRow="0" w:firstColumn="0" w:lastColumn="0" w:oddVBand="0" w:evenVBand="0" w:oddHBand="1" w:evenHBand="0" w:firstRowFirstColumn="0" w:firstRowLastColumn="0" w:lastRowFirstColumn="0" w:lastRowLastColumn="0"/>
          <w:trHeight w:val="561"/>
        </w:trPr>
        <w:tc>
          <w:tcPr>
            <w:tcW w:w="3965" w:type="dxa"/>
            <w:vMerge/>
            <w:tcBorders>
              <w:bottom w:val="single" w:sz="4" w:space="0" w:color="auto"/>
            </w:tcBorders>
          </w:tcPr>
          <w:p w:rsidR="005329ED" w:rsidRPr="00215A21" w:rsidRDefault="005329ED" w:rsidP="006054BB">
            <w:pPr>
              <w:keepNext/>
              <w:rPr>
                <w:rStyle w:val="PlaceholderText"/>
                <w:rFonts w:ascii="Arial" w:hAnsi="Arial" w:cs="Arial"/>
                <w:b/>
                <w:iCs/>
                <w:color w:val="221E1F"/>
                <w:szCs w:val="18"/>
              </w:rPr>
            </w:pPr>
          </w:p>
        </w:tc>
        <w:tc>
          <w:tcPr>
            <w:tcW w:w="2891" w:type="dxa"/>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2008</w:t>
            </w:r>
          </w:p>
        </w:tc>
        <w:tc>
          <w:tcPr>
            <w:tcW w:w="2891" w:type="dxa"/>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2012</w:t>
            </w:r>
            <w:r w:rsidR="005329ED" w:rsidRPr="00215A21">
              <w:rPr>
                <w:rStyle w:val="PlaceholderText"/>
                <w:rFonts w:ascii="Arial" w:hAnsi="Arial" w:cs="Arial"/>
                <w:b/>
                <w:szCs w:val="18"/>
              </w:rPr>
              <w:t>*</w:t>
            </w:r>
          </w:p>
        </w:tc>
      </w:tr>
      <w:tr w:rsidR="005329ED" w:rsidRPr="00215A21" w:rsidTr="00FC4503">
        <w:trPr>
          <w:trHeight w:val="457"/>
        </w:trPr>
        <w:tc>
          <w:tcPr>
            <w:tcW w:w="3965" w:type="dxa"/>
            <w:tcBorders>
              <w:top w:val="single" w:sz="4" w:space="0" w:color="auto"/>
            </w:tcBorders>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A Agriculture, forestry and fishing</w:t>
            </w:r>
          </w:p>
        </w:tc>
        <w:tc>
          <w:tcPr>
            <w:tcW w:w="2891" w:type="dxa"/>
            <w:tcBorders>
              <w:top w:val="single" w:sz="4" w:space="0" w:color="auto"/>
            </w:tcBorders>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1</w:t>
            </w:r>
          </w:p>
        </w:tc>
        <w:tc>
          <w:tcPr>
            <w:tcW w:w="2891" w:type="dxa"/>
            <w:tcBorders>
              <w:top w:val="single" w:sz="4" w:space="0" w:color="auto"/>
            </w:tcBorders>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1</w:t>
            </w:r>
          </w:p>
        </w:tc>
      </w:tr>
      <w:tr w:rsidR="005329ED" w:rsidRPr="00215A21" w:rsidTr="00FC4503">
        <w:trPr>
          <w:cnfStyle w:val="000000100000" w:firstRow="0" w:lastRow="0" w:firstColumn="0" w:lastColumn="0" w:oddVBand="0" w:evenVBand="0" w:oddHBand="1" w:evenHBand="0" w:firstRowFirstColumn="0" w:firstRowLastColumn="0" w:lastRowFirstColumn="0" w:lastRowLastColumn="0"/>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B Mining</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5</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6</w:t>
            </w:r>
          </w:p>
        </w:tc>
      </w:tr>
      <w:tr w:rsidR="005329ED" w:rsidRPr="00215A21" w:rsidTr="00FC4503">
        <w:trPr>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C Manufacturing</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30</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26</w:t>
            </w:r>
          </w:p>
        </w:tc>
      </w:tr>
      <w:tr w:rsidR="005329ED" w:rsidRPr="00215A21" w:rsidTr="00FC4503">
        <w:trPr>
          <w:cnfStyle w:val="000000100000" w:firstRow="0" w:lastRow="0" w:firstColumn="0" w:lastColumn="0" w:oddVBand="0" w:evenVBand="0" w:oddHBand="1" w:evenHBand="0" w:firstRowFirstColumn="0" w:firstRowLastColumn="0" w:lastRowFirstColumn="0" w:lastRowLastColumn="0"/>
          <w:trHeight w:val="457"/>
        </w:trPr>
        <w:tc>
          <w:tcPr>
            <w:tcW w:w="3965" w:type="dxa"/>
          </w:tcPr>
          <w:p w:rsidR="005329ED" w:rsidRPr="00215A21" w:rsidRDefault="005329ED">
            <w:pPr>
              <w:keepNext/>
              <w:rPr>
                <w:rStyle w:val="PlaceholderText"/>
                <w:rFonts w:ascii="Arial" w:hAnsi="Arial" w:cs="Arial"/>
                <w:szCs w:val="18"/>
              </w:rPr>
            </w:pPr>
            <w:r w:rsidRPr="00215A21">
              <w:rPr>
                <w:rStyle w:val="PlaceholderText"/>
                <w:rFonts w:ascii="Arial" w:hAnsi="Arial" w:cs="Arial"/>
                <w:szCs w:val="18"/>
              </w:rPr>
              <w:t xml:space="preserve">Div. D Electricity, </w:t>
            </w:r>
            <w:r w:rsidR="00DF11CA">
              <w:rPr>
                <w:rStyle w:val="PlaceholderText"/>
                <w:rFonts w:ascii="Arial" w:hAnsi="Arial" w:cs="Arial"/>
                <w:szCs w:val="18"/>
              </w:rPr>
              <w:t>g</w:t>
            </w:r>
            <w:r w:rsidR="00DF11CA" w:rsidRPr="00215A21">
              <w:rPr>
                <w:rStyle w:val="PlaceholderText"/>
                <w:rFonts w:ascii="Arial" w:hAnsi="Arial" w:cs="Arial"/>
                <w:szCs w:val="18"/>
              </w:rPr>
              <w:t>as</w:t>
            </w:r>
            <w:r w:rsidRPr="00215A21">
              <w:rPr>
                <w:rStyle w:val="PlaceholderText"/>
                <w:rFonts w:ascii="Arial" w:hAnsi="Arial" w:cs="Arial"/>
                <w:szCs w:val="18"/>
              </w:rPr>
              <w:t xml:space="preserve">, </w:t>
            </w:r>
            <w:r w:rsidR="00DF11CA">
              <w:rPr>
                <w:rStyle w:val="PlaceholderText"/>
                <w:rFonts w:ascii="Arial" w:hAnsi="Arial" w:cs="Arial"/>
                <w:szCs w:val="18"/>
              </w:rPr>
              <w:t>w</w:t>
            </w:r>
            <w:r w:rsidR="00DF11CA" w:rsidRPr="00215A21">
              <w:rPr>
                <w:rStyle w:val="PlaceholderText"/>
                <w:rFonts w:ascii="Arial" w:hAnsi="Arial" w:cs="Arial"/>
                <w:szCs w:val="18"/>
              </w:rPr>
              <w:t xml:space="preserve">ater </w:t>
            </w:r>
            <w:r w:rsidRPr="00215A21">
              <w:rPr>
                <w:rStyle w:val="PlaceholderText"/>
                <w:rFonts w:ascii="Arial" w:hAnsi="Arial" w:cs="Arial"/>
                <w:szCs w:val="18"/>
              </w:rPr>
              <w:t xml:space="preserve">&amp; </w:t>
            </w:r>
            <w:r w:rsidR="00DF11CA">
              <w:rPr>
                <w:rStyle w:val="PlaceholderText"/>
                <w:rFonts w:ascii="Arial" w:hAnsi="Arial" w:cs="Arial"/>
                <w:szCs w:val="18"/>
              </w:rPr>
              <w:t>w</w:t>
            </w:r>
            <w:r w:rsidR="00DF11CA" w:rsidRPr="00215A21">
              <w:rPr>
                <w:rStyle w:val="PlaceholderText"/>
                <w:rFonts w:ascii="Arial" w:hAnsi="Arial" w:cs="Arial"/>
                <w:szCs w:val="18"/>
              </w:rPr>
              <w:t xml:space="preserve">aste </w:t>
            </w:r>
            <w:r w:rsidR="00DF11CA">
              <w:rPr>
                <w:rStyle w:val="PlaceholderText"/>
                <w:rFonts w:ascii="Arial" w:hAnsi="Arial" w:cs="Arial"/>
                <w:szCs w:val="18"/>
              </w:rPr>
              <w:t>s</w:t>
            </w:r>
            <w:r w:rsidR="00DF11CA" w:rsidRPr="00215A21">
              <w:rPr>
                <w:rStyle w:val="PlaceholderText"/>
                <w:rFonts w:ascii="Arial" w:hAnsi="Arial" w:cs="Arial"/>
                <w:szCs w:val="18"/>
              </w:rPr>
              <w:t>ervices</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14</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14</w:t>
            </w:r>
          </w:p>
        </w:tc>
      </w:tr>
      <w:tr w:rsidR="005329ED" w:rsidRPr="00215A21" w:rsidTr="00FC4503">
        <w:trPr>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E Construction</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0</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0</w:t>
            </w:r>
          </w:p>
        </w:tc>
      </w:tr>
      <w:tr w:rsidR="005329ED" w:rsidRPr="00215A21" w:rsidTr="00FC4503">
        <w:trPr>
          <w:cnfStyle w:val="000000100000" w:firstRow="0" w:lastRow="0" w:firstColumn="0" w:lastColumn="0" w:oddVBand="0" w:evenVBand="0" w:oddHBand="1" w:evenHBand="0" w:firstRowFirstColumn="0" w:firstRowLastColumn="0" w:lastRowFirstColumn="0" w:lastRowLastColumn="0"/>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I Transport &amp; storage</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2</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2</w:t>
            </w:r>
          </w:p>
        </w:tc>
      </w:tr>
      <w:tr w:rsidR="005329ED" w:rsidRPr="00215A21" w:rsidTr="00FC4503">
        <w:trPr>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Commercial and services</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23</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25*</w:t>
            </w:r>
          </w:p>
        </w:tc>
      </w:tr>
      <w:tr w:rsidR="005329ED" w:rsidRPr="00215A21" w:rsidTr="00FC4503">
        <w:trPr>
          <w:cnfStyle w:val="000000100000" w:firstRow="0" w:lastRow="0" w:firstColumn="0" w:lastColumn="0" w:oddVBand="0" w:evenVBand="0" w:oddHBand="1" w:evenHBand="0" w:firstRowFirstColumn="0" w:firstRowLastColumn="0" w:lastRowFirstColumn="0" w:lastRowLastColumn="0"/>
          <w:trHeight w:val="457"/>
        </w:trPr>
        <w:tc>
          <w:tcPr>
            <w:tcW w:w="3965" w:type="dxa"/>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Residential</w:t>
            </w:r>
          </w:p>
        </w:tc>
        <w:tc>
          <w:tcPr>
            <w:tcW w:w="2891" w:type="dxa"/>
          </w:tcPr>
          <w:p w:rsidR="005329ED" w:rsidRPr="00215A21" w:rsidRDefault="005329ED" w:rsidP="00FC4503">
            <w:pPr>
              <w:keepNext/>
              <w:tabs>
                <w:tab w:val="decimal" w:pos="1564"/>
              </w:tabs>
              <w:rPr>
                <w:rStyle w:val="PlaceholderText"/>
                <w:rFonts w:ascii="Arial" w:hAnsi="Arial" w:cs="Arial"/>
                <w:szCs w:val="18"/>
              </w:rPr>
            </w:pPr>
            <w:r w:rsidRPr="00215A21">
              <w:rPr>
                <w:rStyle w:val="PlaceholderText"/>
                <w:rFonts w:ascii="Arial" w:hAnsi="Arial" w:cs="Arial"/>
                <w:szCs w:val="18"/>
              </w:rPr>
              <w:t>24</w:t>
            </w:r>
          </w:p>
        </w:tc>
        <w:tc>
          <w:tcPr>
            <w:tcW w:w="2891" w:type="dxa"/>
          </w:tcPr>
          <w:p w:rsidR="005329ED" w:rsidRPr="00215A21" w:rsidRDefault="005329ED" w:rsidP="00FC4503">
            <w:pPr>
              <w:keepNext/>
              <w:tabs>
                <w:tab w:val="decimal" w:pos="1508"/>
              </w:tabs>
              <w:rPr>
                <w:rStyle w:val="PlaceholderText"/>
                <w:rFonts w:ascii="Arial" w:hAnsi="Arial" w:cs="Arial"/>
                <w:szCs w:val="18"/>
              </w:rPr>
            </w:pPr>
            <w:r w:rsidRPr="00215A21">
              <w:rPr>
                <w:rStyle w:val="PlaceholderText"/>
                <w:rFonts w:ascii="Arial" w:hAnsi="Arial" w:cs="Arial"/>
                <w:szCs w:val="18"/>
              </w:rPr>
              <w:t>26</w:t>
            </w:r>
          </w:p>
        </w:tc>
      </w:tr>
      <w:tr w:rsidR="005329ED" w:rsidRPr="00215A21" w:rsidTr="00FC4503">
        <w:trPr>
          <w:trHeight w:val="457"/>
        </w:trPr>
        <w:tc>
          <w:tcPr>
            <w:tcW w:w="3965" w:type="dxa"/>
          </w:tcPr>
          <w:p w:rsidR="005329ED" w:rsidRPr="00215A21" w:rsidRDefault="005329ED" w:rsidP="006054BB">
            <w:pPr>
              <w:keepNext/>
              <w:rPr>
                <w:rStyle w:val="PlaceholderText"/>
                <w:rFonts w:ascii="Arial" w:hAnsi="Arial" w:cs="Arial"/>
                <w:b/>
                <w:szCs w:val="18"/>
              </w:rPr>
            </w:pPr>
            <w:r w:rsidRPr="00215A21">
              <w:rPr>
                <w:rStyle w:val="PlaceholderText"/>
                <w:rFonts w:ascii="Arial" w:hAnsi="Arial" w:cs="Arial"/>
                <w:b/>
                <w:szCs w:val="18"/>
              </w:rPr>
              <w:t>Total</w:t>
            </w:r>
          </w:p>
        </w:tc>
        <w:tc>
          <w:tcPr>
            <w:tcW w:w="2891" w:type="dxa"/>
          </w:tcPr>
          <w:p w:rsidR="005329ED" w:rsidRPr="00215A21" w:rsidRDefault="005329ED" w:rsidP="00FC4503">
            <w:pPr>
              <w:keepNext/>
              <w:tabs>
                <w:tab w:val="decimal" w:pos="1564"/>
              </w:tabs>
              <w:rPr>
                <w:rStyle w:val="PlaceholderText"/>
                <w:rFonts w:ascii="Arial" w:hAnsi="Arial" w:cs="Arial"/>
                <w:b/>
                <w:szCs w:val="18"/>
              </w:rPr>
            </w:pPr>
            <w:r w:rsidRPr="00215A21">
              <w:rPr>
                <w:rStyle w:val="PlaceholderText"/>
                <w:rFonts w:ascii="Arial" w:hAnsi="Arial" w:cs="Arial"/>
                <w:b/>
                <w:szCs w:val="18"/>
              </w:rPr>
              <w:t>100</w:t>
            </w:r>
          </w:p>
        </w:tc>
        <w:tc>
          <w:tcPr>
            <w:tcW w:w="2891" w:type="dxa"/>
          </w:tcPr>
          <w:p w:rsidR="005329ED" w:rsidRPr="00215A21" w:rsidRDefault="005329ED" w:rsidP="00FC4503">
            <w:pPr>
              <w:keepNext/>
              <w:tabs>
                <w:tab w:val="decimal" w:pos="1508"/>
              </w:tabs>
              <w:rPr>
                <w:rStyle w:val="PlaceholderText"/>
                <w:rFonts w:ascii="Arial" w:hAnsi="Arial" w:cs="Arial"/>
                <w:b/>
                <w:szCs w:val="18"/>
              </w:rPr>
            </w:pPr>
            <w:r w:rsidRPr="00215A21">
              <w:rPr>
                <w:rStyle w:val="PlaceholderText"/>
                <w:rFonts w:ascii="Arial" w:hAnsi="Arial" w:cs="Arial"/>
                <w:b/>
                <w:szCs w:val="18"/>
              </w:rPr>
              <w:t>100</w:t>
            </w:r>
          </w:p>
        </w:tc>
      </w:tr>
    </w:tbl>
    <w:p w:rsidR="005329ED" w:rsidRPr="00820511" w:rsidRDefault="005329ED" w:rsidP="005329ED">
      <w:pPr>
        <w:pStyle w:val="Header"/>
        <w:pBdr>
          <w:bottom w:val="none" w:sz="0" w:space="0" w:color="auto"/>
        </w:pBdr>
      </w:pPr>
    </w:p>
    <w:p w:rsidR="005329ED" w:rsidRDefault="005329ED" w:rsidP="005329ED">
      <w:pPr>
        <w:pStyle w:val="Note"/>
      </w:pPr>
      <w:r>
        <w:t>Notes:</w:t>
      </w:r>
      <w:r>
        <w:tab/>
      </w:r>
      <w:r w:rsidR="006C667D">
        <w:t>2012</w:t>
      </w:r>
      <w:r>
        <w:t xml:space="preserve"> data is adjusted by using an estimated figure for commercial and services sector consumption that reflects the same sector use intensity (consumption GWh/real GVA) as in the year </w:t>
      </w:r>
      <w:r w:rsidR="006C667D">
        <w:t>2011</w:t>
      </w:r>
      <w:r>
        <w:t xml:space="preserve">. * indicates adjusted figure for commercial and services consumption in </w:t>
      </w:r>
      <w:r w:rsidR="006C667D">
        <w:t>2012</w:t>
      </w:r>
      <w:r>
        <w:t xml:space="preserve"> was used.</w:t>
      </w:r>
    </w:p>
    <w:p w:rsidR="005329ED" w:rsidRPr="003D3200" w:rsidRDefault="005329ED" w:rsidP="005329ED">
      <w:pPr>
        <w:pStyle w:val="Source"/>
      </w:pPr>
      <w:r w:rsidRPr="00EF51BF">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p>
    <w:p w:rsidR="005329ED" w:rsidRPr="00642443" w:rsidRDefault="005329ED" w:rsidP="005329ED">
      <w:r w:rsidRPr="00E52BF1">
        <w:t xml:space="preserve">Notwithstanding a change in data definitions in </w:t>
      </w:r>
      <w:r w:rsidR="00A44C3F">
        <w:t>2003</w:t>
      </w:r>
      <w:r w:rsidRPr="00E52BF1">
        <w:t xml:space="preserve">, see </w:t>
      </w:r>
      <w:r w:rsidR="007666E1">
        <w:fldChar w:fldCharType="begin"/>
      </w:r>
      <w:r w:rsidR="007666E1">
        <w:instrText xml:space="preserve"> REF _Ref365800334 \r \h  \* MERGEFORMAT </w:instrText>
      </w:r>
      <w:r w:rsidR="007666E1">
        <w:fldChar w:fldCharType="separate"/>
      </w:r>
      <w:r w:rsidR="00197E14">
        <w:t>Figure 4</w:t>
      </w:r>
      <w:r w:rsidR="007666E1">
        <w:fldChar w:fldCharType="end"/>
      </w:r>
      <w:r w:rsidRPr="00E52BF1">
        <w:t xml:space="preserve">, manufacturing consumption rose in the years preceding </w:t>
      </w:r>
      <w:r w:rsidR="006C667D">
        <w:t>2007</w:t>
      </w:r>
      <w:r w:rsidRPr="00E52BF1">
        <w:t xml:space="preserve">, then, after a brief levelling off, started falling sharply from </w:t>
      </w:r>
      <w:r w:rsidR="006C667D">
        <w:t>2010</w:t>
      </w:r>
      <w:r w:rsidRPr="00E52BF1">
        <w:t xml:space="preserve">. It fell by a CAGR of 4 per cent over the period </w:t>
      </w:r>
      <w:r w:rsidR="006C667D">
        <w:t>2008</w:t>
      </w:r>
      <w:r w:rsidR="00DF11CA">
        <w:t>–</w:t>
      </w:r>
      <w:r w:rsidR="006C667D">
        <w:t>2012</w:t>
      </w:r>
      <w:r>
        <w:t xml:space="preserve">, while residential and adjusted commercial and services consumption grew steadily at rates of 1.5 and 1.8 per cent respectively over the same period, see </w:t>
      </w:r>
      <w:r w:rsidR="005A66AE">
        <w:fldChar w:fldCharType="begin"/>
      </w:r>
      <w:r>
        <w:instrText xml:space="preserve"> REF _Ref365800409 \r \h </w:instrText>
      </w:r>
      <w:r w:rsidR="005A66AE">
        <w:fldChar w:fldCharType="separate"/>
      </w:r>
      <w:r w:rsidR="00197E14">
        <w:t>Table 4</w:t>
      </w:r>
      <w:r w:rsidR="005A66AE">
        <w:fldChar w:fldCharType="end"/>
      </w:r>
      <w:r>
        <w:t>.</w:t>
      </w:r>
    </w:p>
    <w:p w:rsidR="005329ED" w:rsidRPr="000D25DC" w:rsidRDefault="005329ED" w:rsidP="005329ED">
      <w:pPr>
        <w:pStyle w:val="Charttitle"/>
      </w:pPr>
      <w:bookmarkStart w:id="34" w:name="_Ref365800334"/>
      <w:bookmarkStart w:id="35" w:name="_Toc366004671"/>
      <w:bookmarkStart w:id="36" w:name="_Toc366269829"/>
      <w:bookmarkStart w:id="37" w:name="_Toc369890544"/>
      <w:r>
        <w:lastRenderedPageBreak/>
        <w:t>Electricity consumption has been falling in the manufacturing sector whereas it has been increasing in the residential and commercial and services sectors, NEM region</w:t>
      </w:r>
      <w:bookmarkEnd w:id="34"/>
      <w:bookmarkEnd w:id="35"/>
      <w:bookmarkEnd w:id="36"/>
      <w:bookmarkEnd w:id="37"/>
    </w:p>
    <w:p w:rsidR="005329ED" w:rsidRPr="00430244" w:rsidRDefault="005329ED" w:rsidP="005329ED">
      <w:pPr>
        <w:pStyle w:val="Chartspacer"/>
        <w:rPr>
          <w:rStyle w:val="PlaceholderText"/>
        </w:rPr>
      </w:pPr>
      <w:r w:rsidRPr="00895E76">
        <w:rPr>
          <w:noProof/>
          <w:lang w:eastAsia="en-GB"/>
        </w:rPr>
        <w:drawing>
          <wp:inline distT="0" distB="0" distL="0" distR="0" wp14:anchorId="4A4A7359" wp14:editId="2537E890">
            <wp:extent cx="6120130" cy="31961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196193"/>
                    </a:xfrm>
                    <a:prstGeom prst="rect">
                      <a:avLst/>
                    </a:prstGeom>
                    <a:noFill/>
                    <a:ln>
                      <a:noFill/>
                    </a:ln>
                  </pic:spPr>
                </pic:pic>
              </a:graphicData>
            </a:graphic>
          </wp:inline>
        </w:drawing>
      </w:r>
    </w:p>
    <w:p w:rsidR="005329ED" w:rsidRDefault="005329ED" w:rsidP="005329ED">
      <w:pPr>
        <w:pStyle w:val="Note"/>
      </w:pPr>
      <w:r>
        <w:t>Notes:</w:t>
      </w:r>
      <w:r>
        <w:tab/>
        <w:t xml:space="preserve">In </w:t>
      </w:r>
      <w:r w:rsidR="00A44C3F">
        <w:t>2003</w:t>
      </w:r>
      <w:r>
        <w:t>, a sectoral redefinition placed some subsectors of manufacturing into commerce and services. The dotted line for commercial and services electricity consumption shows adjusted data.</w:t>
      </w:r>
    </w:p>
    <w:p w:rsidR="005329ED" w:rsidRDefault="005329ED" w:rsidP="005329ED">
      <w:pPr>
        <w:pStyle w:val="Source"/>
      </w:pPr>
      <w:r w:rsidRPr="005A132E">
        <w:t>Source:</w:t>
      </w:r>
      <w:r>
        <w:tab/>
        <w:t xml:space="preserve">Vivid Economics based </w:t>
      </w:r>
      <w:r w:rsidRPr="003D3200">
        <w:t xml:space="preserve">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p>
    <w:p w:rsidR="005329ED" w:rsidRPr="00DE4EAF" w:rsidRDefault="005329ED" w:rsidP="00645813">
      <w:pPr>
        <w:pStyle w:val="Tabletitle"/>
      </w:pPr>
      <w:bookmarkStart w:id="38" w:name="_Ref365708659"/>
      <w:bookmarkStart w:id="39" w:name="_Ref365800409"/>
      <w:bookmarkStart w:id="40" w:name="_Toc366004659"/>
      <w:bookmarkStart w:id="41" w:name="_Toc369890513"/>
      <w:r>
        <w:lastRenderedPageBreak/>
        <w:t xml:space="preserve">Electricity consumption fell after </w:t>
      </w:r>
      <w:r w:rsidR="006C667D">
        <w:t>2008</w:t>
      </w:r>
      <w:bookmarkEnd w:id="38"/>
      <w:r>
        <w:t xml:space="preserve"> in agriculture, manufacturing, utilities and transport, NEM region</w:t>
      </w:r>
      <w:bookmarkEnd w:id="39"/>
      <w:bookmarkEnd w:id="40"/>
      <w:bookmarkEnd w:id="41"/>
    </w:p>
    <w:tbl>
      <w:tblPr>
        <w:tblStyle w:val="Vividtable"/>
        <w:tblW w:w="5000" w:type="pct"/>
        <w:tblLook w:val="04A0" w:firstRow="1" w:lastRow="0" w:firstColumn="1" w:lastColumn="0" w:noHBand="0" w:noVBand="1"/>
      </w:tblPr>
      <w:tblGrid>
        <w:gridCol w:w="4647"/>
        <w:gridCol w:w="1736"/>
        <w:gridCol w:w="1736"/>
        <w:gridCol w:w="1736"/>
      </w:tblGrid>
      <w:tr w:rsidR="005329ED" w:rsidRPr="00215A21" w:rsidTr="006054BB">
        <w:trPr>
          <w:cnfStyle w:val="100000000000" w:firstRow="1" w:lastRow="0" w:firstColumn="0" w:lastColumn="0" w:oddVBand="0" w:evenVBand="0" w:oddHBand="0" w:evenHBand="0" w:firstRowFirstColumn="0" w:firstRowLastColumn="0" w:lastRowFirstColumn="0" w:lastRowLastColumn="0"/>
          <w:trHeight w:val="561"/>
        </w:trPr>
        <w:tc>
          <w:tcPr>
            <w:tcW w:w="2357" w:type="pct"/>
            <w:vMerge w:val="restart"/>
          </w:tcPr>
          <w:p w:rsidR="005329ED" w:rsidRPr="00215A21" w:rsidRDefault="005329ED" w:rsidP="006054BB">
            <w:pPr>
              <w:keepNext/>
              <w:jc w:val="center"/>
              <w:rPr>
                <w:rStyle w:val="PlaceholderText"/>
                <w:rFonts w:ascii="Arial" w:hAnsi="Arial" w:cs="Arial"/>
                <w:b w:val="0"/>
                <w:szCs w:val="18"/>
              </w:rPr>
            </w:pPr>
            <w:r w:rsidRPr="00215A21">
              <w:rPr>
                <w:rStyle w:val="PlaceholderText"/>
                <w:rFonts w:ascii="Arial" w:hAnsi="Arial" w:cs="Arial"/>
                <w:szCs w:val="18"/>
              </w:rPr>
              <w:t>Sector</w:t>
            </w:r>
          </w:p>
        </w:tc>
        <w:tc>
          <w:tcPr>
            <w:tcW w:w="2643" w:type="pct"/>
            <w:gridSpan w:val="3"/>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CAGR of electricity consumption (per cent)</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561"/>
        </w:trPr>
        <w:tc>
          <w:tcPr>
            <w:tcW w:w="2357" w:type="pct"/>
            <w:vMerge/>
            <w:tcBorders>
              <w:bottom w:val="single" w:sz="4" w:space="0" w:color="auto"/>
            </w:tcBorders>
          </w:tcPr>
          <w:p w:rsidR="005329ED" w:rsidRPr="00215A21" w:rsidRDefault="005329ED" w:rsidP="006054BB">
            <w:pPr>
              <w:keepNext/>
              <w:rPr>
                <w:rStyle w:val="PlaceholderText"/>
                <w:rFonts w:ascii="Arial" w:hAnsi="Arial" w:cs="Arial"/>
                <w:b/>
                <w:iCs/>
                <w:color w:val="221E1F"/>
                <w:szCs w:val="18"/>
              </w:rPr>
            </w:pP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First period</w:t>
            </w: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Second period</w:t>
            </w: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Whole period</w:t>
            </w:r>
          </w:p>
        </w:tc>
      </w:tr>
      <w:tr w:rsidR="005329ED" w:rsidRPr="00215A21" w:rsidTr="006054BB">
        <w:trPr>
          <w:trHeight w:val="561"/>
        </w:trPr>
        <w:tc>
          <w:tcPr>
            <w:tcW w:w="2357" w:type="pct"/>
            <w:vMerge/>
            <w:tcBorders>
              <w:bottom w:val="single" w:sz="4" w:space="0" w:color="auto"/>
            </w:tcBorders>
          </w:tcPr>
          <w:p w:rsidR="005329ED" w:rsidRPr="00215A21" w:rsidRDefault="005329ED" w:rsidP="006054BB">
            <w:pPr>
              <w:keepNext/>
              <w:rPr>
                <w:rStyle w:val="PlaceholderText"/>
                <w:rFonts w:ascii="Arial" w:hAnsi="Arial" w:cs="Arial"/>
                <w:b/>
                <w:iCs/>
                <w:color w:val="221E1F"/>
                <w:szCs w:val="18"/>
              </w:rPr>
            </w:pPr>
          </w:p>
        </w:tc>
        <w:tc>
          <w:tcPr>
            <w:tcW w:w="881" w:type="pct"/>
            <w:tcBorders>
              <w:bottom w:val="single" w:sz="4" w:space="0" w:color="auto"/>
            </w:tcBorders>
          </w:tcPr>
          <w:p w:rsidR="005329ED" w:rsidRPr="00215A21" w:rsidRDefault="00A44C3F" w:rsidP="006054BB">
            <w:pPr>
              <w:keepNext/>
              <w:jc w:val="center"/>
              <w:rPr>
                <w:rStyle w:val="PlaceholderText"/>
                <w:rFonts w:ascii="Arial" w:hAnsi="Arial" w:cs="Arial"/>
                <w:b/>
                <w:szCs w:val="18"/>
              </w:rPr>
            </w:pPr>
            <w:r>
              <w:rPr>
                <w:rStyle w:val="PlaceholderText"/>
                <w:rFonts w:ascii="Arial" w:hAnsi="Arial" w:cs="Arial"/>
                <w:b/>
                <w:szCs w:val="18"/>
              </w:rPr>
              <w:t>2003</w:t>
            </w:r>
            <w:r w:rsidR="005329ED" w:rsidRPr="00215A21">
              <w:rPr>
                <w:rStyle w:val="PlaceholderText"/>
                <w:rFonts w:ascii="Arial" w:hAnsi="Arial" w:cs="Arial"/>
                <w:b/>
                <w:szCs w:val="18"/>
              </w:rPr>
              <w:t xml:space="preserve"> to </w:t>
            </w:r>
            <w:r w:rsidR="006C667D">
              <w:rPr>
                <w:rStyle w:val="PlaceholderText"/>
                <w:rFonts w:ascii="Arial" w:hAnsi="Arial" w:cs="Arial"/>
                <w:b/>
                <w:szCs w:val="18"/>
              </w:rPr>
              <w:t>2008</w:t>
            </w:r>
          </w:p>
        </w:tc>
        <w:tc>
          <w:tcPr>
            <w:tcW w:w="881" w:type="pct"/>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2008</w:t>
            </w:r>
            <w:r w:rsidR="005329ED" w:rsidRPr="00215A21">
              <w:rPr>
                <w:rStyle w:val="PlaceholderText"/>
                <w:rFonts w:ascii="Arial" w:hAnsi="Arial" w:cs="Arial"/>
                <w:b/>
                <w:szCs w:val="18"/>
              </w:rPr>
              <w:t xml:space="preserve"> to </w:t>
            </w:r>
            <w:r>
              <w:rPr>
                <w:rStyle w:val="PlaceholderText"/>
                <w:rFonts w:ascii="Arial" w:hAnsi="Arial" w:cs="Arial"/>
                <w:b/>
                <w:szCs w:val="18"/>
              </w:rPr>
              <w:t>2012</w:t>
            </w:r>
          </w:p>
        </w:tc>
        <w:tc>
          <w:tcPr>
            <w:tcW w:w="881" w:type="pct"/>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2004</w:t>
            </w:r>
            <w:r w:rsidR="005329ED" w:rsidRPr="00215A21">
              <w:rPr>
                <w:rStyle w:val="PlaceholderText"/>
                <w:rFonts w:ascii="Arial" w:hAnsi="Arial" w:cs="Arial"/>
                <w:b/>
                <w:szCs w:val="18"/>
              </w:rPr>
              <w:t xml:space="preserve"> to </w:t>
            </w:r>
            <w:r>
              <w:rPr>
                <w:rStyle w:val="PlaceholderText"/>
                <w:rFonts w:ascii="Arial" w:hAnsi="Arial" w:cs="Arial"/>
                <w:b/>
                <w:szCs w:val="18"/>
              </w:rPr>
              <w:t>2012</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2357" w:type="pct"/>
            <w:tcBorders>
              <w:top w:val="single" w:sz="4" w:space="0" w:color="auto"/>
            </w:tcBorders>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A Agriculture, forestry and fishing</w:t>
            </w:r>
          </w:p>
        </w:tc>
        <w:tc>
          <w:tcPr>
            <w:tcW w:w="881" w:type="pct"/>
            <w:tcBorders>
              <w:top w:val="single" w:sz="4" w:space="0" w:color="auto"/>
            </w:tcBorders>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-0.3</w:t>
            </w:r>
          </w:p>
        </w:tc>
        <w:tc>
          <w:tcPr>
            <w:tcW w:w="881" w:type="pct"/>
            <w:tcBorders>
              <w:top w:val="single" w:sz="4" w:space="0" w:color="auto"/>
            </w:tcBorders>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-3.3</w:t>
            </w:r>
          </w:p>
        </w:tc>
        <w:tc>
          <w:tcPr>
            <w:tcW w:w="881" w:type="pct"/>
            <w:tcBorders>
              <w:top w:val="single" w:sz="4" w:space="0" w:color="auto"/>
            </w:tcBorders>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-2.5</w:t>
            </w:r>
          </w:p>
        </w:tc>
      </w:tr>
      <w:tr w:rsidR="005329ED" w:rsidRPr="00215A21" w:rsidTr="006054BB">
        <w:trPr>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B Mining</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3.0</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1.3</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2.3</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C Manufacturing</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1.3</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-4.0</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-1.1</w:t>
            </w:r>
          </w:p>
        </w:tc>
      </w:tr>
      <w:tr w:rsidR="005329ED" w:rsidRPr="00215A21" w:rsidTr="006054BB">
        <w:trPr>
          <w:trHeight w:val="414"/>
        </w:trPr>
        <w:tc>
          <w:tcPr>
            <w:tcW w:w="2357" w:type="pct"/>
          </w:tcPr>
          <w:p w:rsidR="005329ED" w:rsidRPr="00215A21" w:rsidRDefault="005329ED">
            <w:pPr>
              <w:keepNext/>
              <w:rPr>
                <w:rStyle w:val="PlaceholderText"/>
                <w:rFonts w:ascii="Arial" w:hAnsi="Arial" w:cs="Arial"/>
                <w:szCs w:val="18"/>
              </w:rPr>
            </w:pPr>
            <w:r w:rsidRPr="00215A21">
              <w:rPr>
                <w:rStyle w:val="PlaceholderText"/>
                <w:rFonts w:ascii="Arial" w:hAnsi="Arial" w:cs="Arial"/>
                <w:szCs w:val="18"/>
              </w:rPr>
              <w:t xml:space="preserve">Div. D Electricity, </w:t>
            </w:r>
            <w:r w:rsidR="00831DEF">
              <w:rPr>
                <w:rStyle w:val="PlaceholderText"/>
                <w:rFonts w:ascii="Arial" w:hAnsi="Arial" w:cs="Arial"/>
                <w:szCs w:val="18"/>
              </w:rPr>
              <w:t>g</w:t>
            </w:r>
            <w:r w:rsidR="00831DEF" w:rsidRPr="00215A21">
              <w:rPr>
                <w:rStyle w:val="PlaceholderText"/>
                <w:rFonts w:ascii="Arial" w:hAnsi="Arial" w:cs="Arial"/>
                <w:szCs w:val="18"/>
              </w:rPr>
              <w:t>as</w:t>
            </w:r>
            <w:r w:rsidRPr="00215A21">
              <w:rPr>
                <w:rStyle w:val="PlaceholderText"/>
                <w:rFonts w:ascii="Arial" w:hAnsi="Arial" w:cs="Arial"/>
                <w:szCs w:val="18"/>
              </w:rPr>
              <w:t xml:space="preserve">, </w:t>
            </w:r>
            <w:r w:rsidR="00831DEF">
              <w:rPr>
                <w:rStyle w:val="PlaceholderText"/>
                <w:rFonts w:ascii="Arial" w:hAnsi="Arial" w:cs="Arial"/>
                <w:szCs w:val="18"/>
              </w:rPr>
              <w:t>w</w:t>
            </w:r>
            <w:r w:rsidRPr="00215A21">
              <w:rPr>
                <w:rStyle w:val="PlaceholderText"/>
                <w:rFonts w:ascii="Arial" w:hAnsi="Arial" w:cs="Arial"/>
                <w:szCs w:val="18"/>
              </w:rPr>
              <w:t xml:space="preserve">ater &amp; </w:t>
            </w:r>
            <w:r w:rsidR="00831DEF">
              <w:rPr>
                <w:rStyle w:val="PlaceholderText"/>
                <w:rFonts w:ascii="Arial" w:hAnsi="Arial" w:cs="Arial"/>
                <w:szCs w:val="18"/>
              </w:rPr>
              <w:t>w</w:t>
            </w:r>
            <w:r w:rsidR="00831DEF" w:rsidRPr="00215A21">
              <w:rPr>
                <w:rStyle w:val="PlaceholderText"/>
                <w:rFonts w:ascii="Arial" w:hAnsi="Arial" w:cs="Arial"/>
                <w:szCs w:val="18"/>
              </w:rPr>
              <w:t xml:space="preserve">aste </w:t>
            </w:r>
            <w:r w:rsidR="00831DEF">
              <w:rPr>
                <w:rStyle w:val="PlaceholderText"/>
                <w:rFonts w:ascii="Arial" w:hAnsi="Arial" w:cs="Arial"/>
                <w:szCs w:val="18"/>
              </w:rPr>
              <w:t>s</w:t>
            </w:r>
            <w:r w:rsidR="00831DEF" w:rsidRPr="00215A21">
              <w:rPr>
                <w:rStyle w:val="PlaceholderText"/>
                <w:rFonts w:ascii="Arial" w:hAnsi="Arial" w:cs="Arial"/>
                <w:szCs w:val="18"/>
              </w:rPr>
              <w:t>ervices</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0.9</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-1.5</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-0.2</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E Construction</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0.1</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8.9</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4.0</w:t>
            </w:r>
          </w:p>
        </w:tc>
      </w:tr>
      <w:tr w:rsidR="005329ED" w:rsidRPr="00215A21" w:rsidTr="006054BB">
        <w:trPr>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I Transport &amp; storage</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2.8</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-2.1</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0.6</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Commercial and services</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2.1</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3.9 [1.8*]</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2.9 [2.0*]</w:t>
            </w:r>
          </w:p>
        </w:tc>
      </w:tr>
      <w:tr w:rsidR="005329ED" w:rsidRPr="00215A21" w:rsidTr="006054BB">
        <w:trPr>
          <w:trHeight w:val="414"/>
        </w:trPr>
        <w:tc>
          <w:tcPr>
            <w:tcW w:w="2357"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Residential</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1.6</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1.5</w:t>
            </w:r>
          </w:p>
        </w:tc>
        <w:tc>
          <w:tcPr>
            <w:tcW w:w="881"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1.6</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2357" w:type="pct"/>
          </w:tcPr>
          <w:p w:rsidR="005329ED" w:rsidRPr="00215A21" w:rsidRDefault="005329ED" w:rsidP="006054BB">
            <w:pPr>
              <w:keepNext/>
              <w:rPr>
                <w:rStyle w:val="PlaceholderText"/>
                <w:rFonts w:ascii="Arial" w:hAnsi="Arial" w:cs="Arial"/>
                <w:b/>
                <w:szCs w:val="18"/>
              </w:rPr>
            </w:pPr>
            <w:r w:rsidRPr="00215A21">
              <w:rPr>
                <w:rStyle w:val="PlaceholderText"/>
                <w:rFonts w:ascii="Arial" w:hAnsi="Arial" w:cs="Arial"/>
                <w:b/>
                <w:szCs w:val="18"/>
              </w:rPr>
              <w:t>Total</w:t>
            </w: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2.0</w:t>
            </w: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0.1 [-0.4*]</w:t>
            </w:r>
          </w:p>
        </w:tc>
        <w:tc>
          <w:tcPr>
            <w:tcW w:w="881"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1.4 [1.2*]</w:t>
            </w:r>
          </w:p>
        </w:tc>
      </w:tr>
    </w:tbl>
    <w:p w:rsidR="005329ED" w:rsidRPr="00820511" w:rsidRDefault="005329ED" w:rsidP="005329ED">
      <w:pPr>
        <w:pStyle w:val="Header"/>
        <w:pBdr>
          <w:bottom w:val="none" w:sz="0" w:space="0" w:color="auto"/>
        </w:pBdr>
      </w:pPr>
    </w:p>
    <w:p w:rsidR="005329ED" w:rsidRDefault="005329ED" w:rsidP="005329ED">
      <w:pPr>
        <w:pStyle w:val="Note"/>
      </w:pPr>
      <w:r>
        <w:t>Notes:</w:t>
      </w:r>
      <w:r>
        <w:tab/>
        <w:t xml:space="preserve">CAGR is the compound annualised growth rate. * indicates </w:t>
      </w:r>
      <w:r w:rsidR="00831DEF">
        <w:t xml:space="preserve">that </w:t>
      </w:r>
      <w:r w:rsidR="006C0794">
        <w:t xml:space="preserve">the </w:t>
      </w:r>
      <w:r>
        <w:t xml:space="preserve">adjusted figure for commercial and services consumption in </w:t>
      </w:r>
      <w:r w:rsidR="006C667D">
        <w:t>2012</w:t>
      </w:r>
      <w:r>
        <w:t xml:space="preserve"> was used.</w:t>
      </w:r>
    </w:p>
    <w:p w:rsidR="005329ED" w:rsidRDefault="005329ED" w:rsidP="005329ED">
      <w:pPr>
        <w:pStyle w:val="Source"/>
      </w:pPr>
      <w:r w:rsidRPr="00EF51BF">
        <w:t>Source:</w:t>
      </w:r>
      <w:r>
        <w:tab/>
        <w:t xml:space="preserve">Vivid Economics based </w:t>
      </w:r>
      <w:r w:rsidRPr="003D3200">
        <w:t>on</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 xml:space="preserve"> Australian Government Bureau of Resource and Energy Economics (2013)</w:t>
      </w:r>
      <w:r w:rsidR="005A66AE" w:rsidRPr="003D3200">
        <w:fldChar w:fldCharType="end"/>
      </w:r>
      <w:r>
        <w:t xml:space="preserve"> </w:t>
      </w:r>
    </w:p>
    <w:p w:rsidR="005329ED" w:rsidRPr="00E52BF1" w:rsidRDefault="006C0794" w:rsidP="005329ED">
      <w:r>
        <w:t>The e</w:t>
      </w:r>
      <w:r w:rsidR="005329ED" w:rsidRPr="00E52BF1">
        <w:t xml:space="preserve">lectricity intensity of sectors is defined as the ratio of electricity use per unit of output and varies according to structural change in the sector between more and less electro-intensive sectors </w:t>
      </w:r>
      <w:r>
        <w:t xml:space="preserve">and </w:t>
      </w:r>
      <w:r w:rsidR="005329ED" w:rsidRPr="00E52BF1">
        <w:t>the electricity intensity of specific subsectors.</w:t>
      </w:r>
    </w:p>
    <w:p w:rsidR="005329ED" w:rsidRPr="00E52BF1" w:rsidRDefault="005329ED" w:rsidP="005329ED"/>
    <w:p w:rsidR="005329ED" w:rsidRPr="005A04CF" w:rsidRDefault="005329ED" w:rsidP="005329ED">
      <w:r w:rsidRPr="00E52BF1">
        <w:t xml:space="preserve">Electricity intensity decreased in the residential, commercial and services and manufacturing sectors from </w:t>
      </w:r>
      <w:r w:rsidR="006C667D">
        <w:t>2008</w:t>
      </w:r>
      <w:r w:rsidRPr="00E52BF1">
        <w:t xml:space="preserve"> to </w:t>
      </w:r>
      <w:r w:rsidR="006C667D">
        <w:t>2012</w:t>
      </w:r>
      <w:r w:rsidRPr="00E52BF1">
        <w:t xml:space="preserve">, as shown in </w:t>
      </w:r>
      <w:r w:rsidR="007666E1">
        <w:fldChar w:fldCharType="begin"/>
      </w:r>
      <w:r w:rsidR="007666E1">
        <w:instrText xml:space="preserve"> REF _Ref365800587 \r \h  \* MERGEFORMAT </w:instrText>
      </w:r>
      <w:r w:rsidR="007666E1">
        <w:fldChar w:fldCharType="separate"/>
      </w:r>
      <w:r w:rsidR="00197E14">
        <w:t>Figure 5</w:t>
      </w:r>
      <w:r w:rsidR="007666E1">
        <w:fldChar w:fldCharType="end"/>
      </w:r>
      <w:r w:rsidRPr="00E52BF1">
        <w:t xml:space="preserve">. Commercial and services consumption intensity appears to increase abruptly in </w:t>
      </w:r>
      <w:r w:rsidR="006C667D">
        <w:t>2012</w:t>
      </w:r>
      <w:r w:rsidRPr="00E52BF1">
        <w:t>, hence the proposed data adjustment, whereas</w:t>
      </w:r>
      <w:r w:rsidRPr="00E77CCB">
        <w:t xml:space="preserve"> it declined by 10 per cent over the period </w:t>
      </w:r>
      <w:r w:rsidR="00A44C3F">
        <w:t>2003</w:t>
      </w:r>
      <w:r w:rsidRPr="00E77CCB">
        <w:t xml:space="preserve"> to </w:t>
      </w:r>
      <w:r w:rsidR="006C667D">
        <w:t>2011</w:t>
      </w:r>
      <w:r w:rsidRPr="00E77CCB">
        <w:t xml:space="preserve">. </w:t>
      </w:r>
      <w:r>
        <w:t xml:space="preserve">This is the largest improvement in intensity of the three sectors. </w:t>
      </w:r>
      <w:r w:rsidRPr="00E77CCB">
        <w:t>Manufacturing</w:t>
      </w:r>
      <w:r>
        <w:t xml:space="preserve"> intensity declined by 3.7 per cent over the period </w:t>
      </w:r>
      <w:r w:rsidR="00A44C3F">
        <w:t>2003</w:t>
      </w:r>
      <w:r>
        <w:t xml:space="preserve"> to </w:t>
      </w:r>
      <w:r w:rsidR="006C667D">
        <w:t>2012</w:t>
      </w:r>
      <w:r>
        <w:t>, but more recently has been improving faster than commercial and services</w:t>
      </w:r>
      <w:r w:rsidR="006C0794">
        <w:t>,</w:t>
      </w:r>
      <w:r>
        <w:t xml:space="preserve"> </w:t>
      </w:r>
      <w:r w:rsidR="006C0794">
        <w:t>declining</w:t>
      </w:r>
      <w:r>
        <w:t xml:space="preserve"> by 6.3 per cent against 2 per cent in commercial and services (excluding the last year). Residential intensity fell by 3.0 per cent over the same period, on a steady trend.</w:t>
      </w:r>
    </w:p>
    <w:p w:rsidR="005329ED" w:rsidRPr="000D25DC" w:rsidRDefault="005329ED" w:rsidP="005329ED">
      <w:pPr>
        <w:pStyle w:val="Charttitle"/>
      </w:pPr>
      <w:bookmarkStart w:id="42" w:name="_Ref365800587"/>
      <w:bookmarkStart w:id="43" w:name="_Toc366004672"/>
      <w:bookmarkStart w:id="44" w:name="_Toc366269830"/>
      <w:bookmarkStart w:id="45" w:name="_Toc369890545"/>
      <w:r>
        <w:lastRenderedPageBreak/>
        <w:t xml:space="preserve">Electricity intensity, use per unit of GVA fell fastest in manufacturing </w:t>
      </w:r>
      <w:bookmarkEnd w:id="42"/>
      <w:r>
        <w:t>in recent years, while commercial and services and residential exhibit similar, lower rates of improvement</w:t>
      </w:r>
      <w:bookmarkEnd w:id="43"/>
      <w:bookmarkEnd w:id="44"/>
      <w:bookmarkEnd w:id="45"/>
    </w:p>
    <w:p w:rsidR="005329ED" w:rsidRPr="00430244" w:rsidRDefault="005329ED" w:rsidP="005329ED">
      <w:pPr>
        <w:pStyle w:val="Chartspacer"/>
        <w:rPr>
          <w:rStyle w:val="PlaceholderText"/>
        </w:rPr>
      </w:pPr>
      <w:r w:rsidRPr="00311588">
        <w:rPr>
          <w:rStyle w:val="PlaceholderText"/>
        </w:rPr>
        <w:t xml:space="preserve"> </w:t>
      </w:r>
      <w:r w:rsidRPr="009473D1">
        <w:rPr>
          <w:noProof/>
          <w:lang w:eastAsia="en-GB"/>
        </w:rPr>
        <w:drawing>
          <wp:inline distT="0" distB="0" distL="0" distR="0" wp14:anchorId="6CE19DDF" wp14:editId="267271BE">
            <wp:extent cx="6120130" cy="320010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200105"/>
                    </a:xfrm>
                    <a:prstGeom prst="rect">
                      <a:avLst/>
                    </a:prstGeom>
                    <a:noFill/>
                    <a:ln>
                      <a:noFill/>
                    </a:ln>
                  </pic:spPr>
                </pic:pic>
              </a:graphicData>
            </a:graphic>
          </wp:inline>
        </w:drawing>
      </w:r>
    </w:p>
    <w:p w:rsidR="005329ED" w:rsidRDefault="005329ED" w:rsidP="005329ED">
      <w:pPr>
        <w:pStyle w:val="Note"/>
      </w:pPr>
      <w:r>
        <w:t>Notes:</w:t>
      </w:r>
      <w:r>
        <w:tab/>
        <w:t xml:space="preserve">Manufacturing </w:t>
      </w:r>
      <w:r w:rsidR="00831DEF">
        <w:t>represented by the right-hand axis</w:t>
      </w:r>
      <w:r>
        <w:t>. Intensity is measured as electricity consumption in GWh divided by chain volume measured GVA for both manufacturing and commercial sectors and as electricity consumption divided by chain volume measured final consumption expenditure for residential.</w:t>
      </w:r>
      <w:r w:rsidR="009D3C41">
        <w:t xml:space="preserve"> The change in </w:t>
      </w:r>
      <w:r w:rsidR="00A44C3F">
        <w:t>2003</w:t>
      </w:r>
      <w:r w:rsidR="009D3C41">
        <w:t xml:space="preserve"> is due to a redefinition of sectors between manufacturing and commercial and services.</w:t>
      </w:r>
    </w:p>
    <w:p w:rsidR="005329ED" w:rsidRPr="003D3200"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Default="005329ED" w:rsidP="005329ED"/>
    <w:p w:rsidR="005329ED" w:rsidRPr="00DE4EAF" w:rsidRDefault="005329ED" w:rsidP="00645813">
      <w:pPr>
        <w:pStyle w:val="Tabletitle"/>
      </w:pPr>
      <w:bookmarkStart w:id="46" w:name="_Toc366004660"/>
      <w:bookmarkStart w:id="47" w:name="_Toc369890514"/>
      <w:r>
        <w:lastRenderedPageBreak/>
        <w:t>Electricity intensity</w:t>
      </w:r>
      <w:bookmarkEnd w:id="46"/>
      <w:r w:rsidR="00DB09FD">
        <w:t xml:space="preserve"> in the NEM</w:t>
      </w:r>
      <w:r>
        <w:t xml:space="preserve"> </w:t>
      </w:r>
      <w:r w:rsidR="006C0794">
        <w:t xml:space="preserve">fell more in </w:t>
      </w:r>
      <w:r>
        <w:t xml:space="preserve">manufacturing than </w:t>
      </w:r>
      <w:r w:rsidR="006C0794">
        <w:t xml:space="preserve">in </w:t>
      </w:r>
      <w:r>
        <w:t>commercial and services</w:t>
      </w:r>
      <w:bookmarkEnd w:id="47"/>
    </w:p>
    <w:tbl>
      <w:tblPr>
        <w:tblStyle w:val="Vividtable"/>
        <w:tblW w:w="5000" w:type="pct"/>
        <w:tblLook w:val="04A0" w:firstRow="1" w:lastRow="0" w:firstColumn="1" w:lastColumn="0" w:noHBand="0" w:noVBand="1"/>
      </w:tblPr>
      <w:tblGrid>
        <w:gridCol w:w="3084"/>
        <w:gridCol w:w="2257"/>
        <w:gridCol w:w="2257"/>
        <w:gridCol w:w="2257"/>
      </w:tblGrid>
      <w:tr w:rsidR="005329ED" w:rsidRPr="00215A21" w:rsidTr="006054BB">
        <w:trPr>
          <w:cnfStyle w:val="100000000000" w:firstRow="1" w:lastRow="0" w:firstColumn="0" w:lastColumn="0" w:oddVBand="0" w:evenVBand="0" w:oddHBand="0" w:evenHBand="0" w:firstRowFirstColumn="0" w:firstRowLastColumn="0" w:lastRowFirstColumn="0" w:lastRowLastColumn="0"/>
          <w:trHeight w:val="561"/>
        </w:trPr>
        <w:tc>
          <w:tcPr>
            <w:tcW w:w="1565" w:type="pct"/>
            <w:vMerge w:val="restart"/>
          </w:tcPr>
          <w:p w:rsidR="005329ED" w:rsidRPr="00215A21" w:rsidRDefault="005329ED" w:rsidP="006054BB">
            <w:pPr>
              <w:keepNext/>
              <w:jc w:val="center"/>
              <w:rPr>
                <w:rStyle w:val="PlaceholderText"/>
                <w:rFonts w:ascii="Arial" w:hAnsi="Arial" w:cs="Arial"/>
                <w:b w:val="0"/>
                <w:szCs w:val="18"/>
              </w:rPr>
            </w:pPr>
            <w:r w:rsidRPr="00215A21">
              <w:rPr>
                <w:rStyle w:val="PlaceholderText"/>
                <w:rFonts w:ascii="Arial" w:hAnsi="Arial" w:cs="Arial"/>
                <w:szCs w:val="18"/>
              </w:rPr>
              <w:t>Sector</w:t>
            </w:r>
          </w:p>
        </w:tc>
        <w:tc>
          <w:tcPr>
            <w:tcW w:w="3435" w:type="pct"/>
            <w:gridSpan w:val="3"/>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Electricity consumption per unit of GVA or income</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561"/>
        </w:trPr>
        <w:tc>
          <w:tcPr>
            <w:tcW w:w="1565" w:type="pct"/>
            <w:vMerge/>
            <w:tcBorders>
              <w:bottom w:val="single" w:sz="4" w:space="0" w:color="auto"/>
            </w:tcBorders>
          </w:tcPr>
          <w:p w:rsidR="005329ED" w:rsidRPr="00215A21" w:rsidRDefault="005329ED" w:rsidP="006054BB">
            <w:pPr>
              <w:keepNext/>
              <w:rPr>
                <w:rStyle w:val="PlaceholderText"/>
                <w:rFonts w:ascii="Arial" w:hAnsi="Arial" w:cs="Arial"/>
                <w:b/>
                <w:iCs/>
                <w:color w:val="221E1F"/>
                <w:szCs w:val="18"/>
              </w:rPr>
            </w:pPr>
          </w:p>
        </w:tc>
        <w:tc>
          <w:tcPr>
            <w:tcW w:w="1145"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First period</w:t>
            </w:r>
          </w:p>
        </w:tc>
        <w:tc>
          <w:tcPr>
            <w:tcW w:w="1145"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Second period</w:t>
            </w:r>
          </w:p>
        </w:tc>
        <w:tc>
          <w:tcPr>
            <w:tcW w:w="1145" w:type="pct"/>
          </w:tcPr>
          <w:p w:rsidR="005329ED" w:rsidRPr="00215A21" w:rsidRDefault="005329ED" w:rsidP="006054BB">
            <w:pPr>
              <w:keepNext/>
              <w:jc w:val="center"/>
              <w:rPr>
                <w:rStyle w:val="PlaceholderText"/>
                <w:rFonts w:ascii="Arial" w:hAnsi="Arial" w:cs="Arial"/>
                <w:b/>
                <w:szCs w:val="18"/>
              </w:rPr>
            </w:pPr>
            <w:r w:rsidRPr="00215A21">
              <w:rPr>
                <w:rStyle w:val="PlaceholderText"/>
                <w:rFonts w:ascii="Arial" w:hAnsi="Arial" w:cs="Arial"/>
                <w:b/>
                <w:szCs w:val="18"/>
              </w:rPr>
              <w:t>Whole period</w:t>
            </w:r>
          </w:p>
        </w:tc>
      </w:tr>
      <w:tr w:rsidR="005329ED" w:rsidRPr="00215A21" w:rsidTr="006054BB">
        <w:trPr>
          <w:trHeight w:val="561"/>
        </w:trPr>
        <w:tc>
          <w:tcPr>
            <w:tcW w:w="1565" w:type="pct"/>
            <w:vMerge/>
            <w:tcBorders>
              <w:bottom w:val="single" w:sz="4" w:space="0" w:color="auto"/>
            </w:tcBorders>
          </w:tcPr>
          <w:p w:rsidR="005329ED" w:rsidRPr="00215A21" w:rsidRDefault="005329ED" w:rsidP="006054BB">
            <w:pPr>
              <w:keepNext/>
              <w:rPr>
                <w:rStyle w:val="PlaceholderText"/>
                <w:rFonts w:ascii="Arial" w:hAnsi="Arial" w:cs="Arial"/>
                <w:b/>
                <w:iCs/>
                <w:color w:val="221E1F"/>
                <w:szCs w:val="18"/>
              </w:rPr>
            </w:pPr>
          </w:p>
        </w:tc>
        <w:tc>
          <w:tcPr>
            <w:tcW w:w="1145" w:type="pct"/>
            <w:tcBorders>
              <w:bottom w:val="single" w:sz="4" w:space="0" w:color="auto"/>
            </w:tcBorders>
          </w:tcPr>
          <w:p w:rsidR="005329ED" w:rsidRPr="00215A21" w:rsidRDefault="00A44C3F" w:rsidP="006054BB">
            <w:pPr>
              <w:keepNext/>
              <w:jc w:val="center"/>
              <w:rPr>
                <w:rStyle w:val="PlaceholderText"/>
                <w:rFonts w:ascii="Arial" w:hAnsi="Arial" w:cs="Arial"/>
                <w:b/>
                <w:szCs w:val="18"/>
              </w:rPr>
            </w:pPr>
            <w:r>
              <w:rPr>
                <w:rStyle w:val="PlaceholderText"/>
                <w:rFonts w:ascii="Arial" w:hAnsi="Arial" w:cs="Arial"/>
                <w:b/>
                <w:szCs w:val="18"/>
              </w:rPr>
              <w:t>2003</w:t>
            </w:r>
          </w:p>
        </w:tc>
        <w:tc>
          <w:tcPr>
            <w:tcW w:w="1145" w:type="pct"/>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2008</w:t>
            </w:r>
          </w:p>
        </w:tc>
        <w:tc>
          <w:tcPr>
            <w:tcW w:w="1145" w:type="pct"/>
            <w:tcBorders>
              <w:bottom w:val="single" w:sz="4" w:space="0" w:color="auto"/>
            </w:tcBorders>
          </w:tcPr>
          <w:p w:rsidR="005329ED" w:rsidRPr="00215A21" w:rsidRDefault="006C667D" w:rsidP="006054BB">
            <w:pPr>
              <w:keepNext/>
              <w:jc w:val="center"/>
              <w:rPr>
                <w:rStyle w:val="PlaceholderText"/>
                <w:rFonts w:ascii="Arial" w:hAnsi="Arial" w:cs="Arial"/>
                <w:b/>
                <w:szCs w:val="18"/>
              </w:rPr>
            </w:pPr>
            <w:r>
              <w:rPr>
                <w:rStyle w:val="PlaceholderText"/>
                <w:rFonts w:ascii="Arial" w:hAnsi="Arial" w:cs="Arial"/>
                <w:b/>
                <w:szCs w:val="18"/>
              </w:rPr>
              <w:t>2012</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1565"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Div. C Manufacturing</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0.622</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0.638</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0.599</w:t>
            </w:r>
          </w:p>
        </w:tc>
      </w:tr>
      <w:tr w:rsidR="005329ED" w:rsidRPr="00215A21" w:rsidTr="006054BB">
        <w:trPr>
          <w:trHeight w:val="414"/>
        </w:trPr>
        <w:tc>
          <w:tcPr>
            <w:tcW w:w="1565"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Commercial and services</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0.093</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0.085</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0.090 [0.083*]</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414"/>
        </w:trPr>
        <w:tc>
          <w:tcPr>
            <w:tcW w:w="1565" w:type="pct"/>
          </w:tcPr>
          <w:p w:rsidR="005329ED" w:rsidRPr="00215A21" w:rsidRDefault="005329ED" w:rsidP="006054BB">
            <w:pPr>
              <w:keepNext/>
              <w:rPr>
                <w:rStyle w:val="PlaceholderText"/>
                <w:rFonts w:ascii="Arial" w:hAnsi="Arial" w:cs="Arial"/>
                <w:szCs w:val="18"/>
              </w:rPr>
            </w:pPr>
            <w:r w:rsidRPr="00215A21">
              <w:rPr>
                <w:rStyle w:val="PlaceholderText"/>
                <w:rFonts w:ascii="Arial" w:hAnsi="Arial" w:cs="Arial"/>
                <w:szCs w:val="18"/>
              </w:rPr>
              <w:t>Residential</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0.073</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0.066</w:t>
            </w:r>
          </w:p>
        </w:tc>
        <w:tc>
          <w:tcPr>
            <w:tcW w:w="1145" w:type="pct"/>
          </w:tcPr>
          <w:p w:rsidR="005329ED" w:rsidRPr="00215A21" w:rsidRDefault="005329ED" w:rsidP="006054BB">
            <w:pPr>
              <w:keepNext/>
              <w:jc w:val="center"/>
              <w:rPr>
                <w:rStyle w:val="PlaceholderText"/>
                <w:rFonts w:ascii="Arial" w:hAnsi="Arial" w:cs="Arial"/>
                <w:szCs w:val="18"/>
              </w:rPr>
            </w:pPr>
            <w:r w:rsidRPr="00215A21">
              <w:rPr>
                <w:rStyle w:val="PlaceholderText"/>
                <w:rFonts w:ascii="Arial" w:hAnsi="Arial" w:cs="Arial"/>
                <w:szCs w:val="18"/>
              </w:rPr>
              <w:t>0.064</w:t>
            </w:r>
          </w:p>
        </w:tc>
      </w:tr>
    </w:tbl>
    <w:p w:rsidR="005329ED" w:rsidRPr="00820511" w:rsidRDefault="005329ED" w:rsidP="005329ED">
      <w:pPr>
        <w:pStyle w:val="Header"/>
        <w:pBdr>
          <w:bottom w:val="none" w:sz="0" w:space="0" w:color="auto"/>
        </w:pBdr>
      </w:pPr>
    </w:p>
    <w:p w:rsidR="005329ED" w:rsidRDefault="005329ED" w:rsidP="005329ED">
      <w:pPr>
        <w:pStyle w:val="Note"/>
      </w:pPr>
      <w:r>
        <w:t>Note:</w:t>
      </w:r>
      <w:r>
        <w:tab/>
        <w:t xml:space="preserve">* indicates </w:t>
      </w:r>
      <w:r w:rsidR="00831DEF">
        <w:t xml:space="preserve">that the </w:t>
      </w:r>
      <w:r>
        <w:t xml:space="preserve">adjusted figure for Commercial and services consumption in </w:t>
      </w:r>
      <w:r w:rsidR="006C667D">
        <w:t>2012</w:t>
      </w:r>
      <w:r>
        <w:t xml:space="preserve"> was used.</w:t>
      </w:r>
    </w:p>
    <w:p w:rsidR="00831DEF" w:rsidRDefault="005329ED">
      <w:pPr>
        <w:pStyle w:val="Source"/>
      </w:pPr>
      <w:r w:rsidRPr="00EF51BF">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Default="005329ED" w:rsidP="000B177D">
      <w:pPr>
        <w:pStyle w:val="Heading2"/>
      </w:pPr>
      <w:bookmarkStart w:id="48" w:name="_Toc369890609"/>
      <w:r>
        <w:lastRenderedPageBreak/>
        <w:t xml:space="preserve">Description of </w:t>
      </w:r>
      <w:r w:rsidRPr="000B177D">
        <w:t>decomposition</w:t>
      </w:r>
      <w:r>
        <w:t xml:space="preserve"> analysis</w:t>
      </w:r>
      <w:bookmarkEnd w:id="48"/>
    </w:p>
    <w:p w:rsidR="005329ED" w:rsidRPr="00680EEE" w:rsidRDefault="005329ED" w:rsidP="005329ED">
      <w:r w:rsidRPr="00680EEE">
        <w:t xml:space="preserve">The first part of this section </w:t>
      </w:r>
      <w:r>
        <w:t xml:space="preserve">explains </w:t>
      </w:r>
      <w:r w:rsidRPr="00680EEE">
        <w:t xml:space="preserve">the </w:t>
      </w:r>
      <w:r>
        <w:t xml:space="preserve">trends </w:t>
      </w:r>
      <w:r w:rsidRPr="00680EEE">
        <w:t xml:space="preserve">in electricity </w:t>
      </w:r>
      <w:r>
        <w:t xml:space="preserve">consumption </w:t>
      </w:r>
      <w:r w:rsidRPr="00680EEE">
        <w:t>in</w:t>
      </w:r>
      <w:r>
        <w:t xml:space="preserve"> terms of the factors driving them, which are </w:t>
      </w:r>
      <w:r w:rsidRPr="00680EEE">
        <w:t xml:space="preserve">economic activity, changes in </w:t>
      </w:r>
      <w:r>
        <w:t xml:space="preserve">shares of activity across </w:t>
      </w:r>
      <w:r w:rsidRPr="00680EEE">
        <w:t xml:space="preserve">sectors and changes in the electricity </w:t>
      </w:r>
      <w:r>
        <w:t xml:space="preserve">intensity </w:t>
      </w:r>
      <w:r w:rsidRPr="00680EEE">
        <w:t xml:space="preserve">of </w:t>
      </w:r>
      <w:r>
        <w:t>each sector</w:t>
      </w:r>
      <w:r w:rsidRPr="00680EEE">
        <w:t>.</w:t>
      </w:r>
    </w:p>
    <w:p w:rsidR="005329ED" w:rsidRPr="00680EEE" w:rsidRDefault="005329ED" w:rsidP="005329ED"/>
    <w:p w:rsidR="005329ED" w:rsidRDefault="005329ED" w:rsidP="005329ED">
      <w:pPr>
        <w:pStyle w:val="Heading3"/>
      </w:pPr>
      <w:r>
        <w:t>The components which drive trends in electricity consumption</w:t>
      </w:r>
    </w:p>
    <w:p w:rsidR="005329ED" w:rsidRPr="00146E3D" w:rsidRDefault="005329ED" w:rsidP="005329ED">
      <w:r>
        <w:t xml:space="preserve">The statistical technique used for decomposition, </w:t>
      </w:r>
      <w:r w:rsidR="00BB3FFF">
        <w:t>Log Mean Divisia Index (LMDI)</w:t>
      </w:r>
      <w:r>
        <w:t>, decomposes trends in electricity consumption</w:t>
      </w:r>
      <w:r w:rsidRPr="00146E3D">
        <w:t xml:space="preserve"> into the three effects:</w:t>
      </w:r>
    </w:p>
    <w:p w:rsidR="005329ED" w:rsidRPr="008478D5" w:rsidRDefault="005329ED" w:rsidP="005B5905">
      <w:pPr>
        <w:pStyle w:val="Indentedbullet"/>
      </w:pPr>
      <w:r w:rsidRPr="008478D5">
        <w:rPr>
          <w:b/>
          <w:bCs/>
        </w:rPr>
        <w:t xml:space="preserve">activity effect </w:t>
      </w:r>
      <w:r w:rsidRPr="008478D5">
        <w:t>(</w:t>
      </w:r>
      <m:oMath>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act</m:t>
            </m:r>
          </m:sub>
        </m:sSub>
      </m:oMath>
      <w:r w:rsidRPr="008478D5">
        <w:t xml:space="preserve">): the change in </w:t>
      </w:r>
      <w:r>
        <w:t xml:space="preserve">total electricity consumption due to changes </w:t>
      </w:r>
      <w:r w:rsidR="006C0794">
        <w:t xml:space="preserve">in </w:t>
      </w:r>
      <w:r>
        <w:t>aggregate economic activity;</w:t>
      </w:r>
    </w:p>
    <w:p w:rsidR="005329ED" w:rsidRPr="008478D5" w:rsidRDefault="005329ED" w:rsidP="005B5905">
      <w:pPr>
        <w:pStyle w:val="Indentedbullet"/>
      </w:pPr>
      <w:r w:rsidRPr="008478D5">
        <w:rPr>
          <w:b/>
          <w:bCs/>
        </w:rPr>
        <w:t>structural effect</w:t>
      </w:r>
      <w:r w:rsidRPr="008478D5">
        <w:t xml:space="preserve"> (</w:t>
      </w:r>
      <m:oMath>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str</m:t>
            </m:r>
          </m:sub>
        </m:sSub>
      </m:oMath>
      <w:r w:rsidRPr="008478D5">
        <w:t xml:space="preserve">): the change in </w:t>
      </w:r>
      <w:r>
        <w:t xml:space="preserve">total electricity consumption due to changing </w:t>
      </w:r>
      <w:r w:rsidRPr="008478D5">
        <w:t>share</w:t>
      </w:r>
      <w:r>
        <w:t xml:space="preserve">s of </w:t>
      </w:r>
      <w:r w:rsidRPr="008478D5">
        <w:t xml:space="preserve">total economic activity </w:t>
      </w:r>
      <w:r>
        <w:t>between sectors;</w:t>
      </w:r>
    </w:p>
    <w:p w:rsidR="005329ED" w:rsidRDefault="005329ED" w:rsidP="005B5905">
      <w:pPr>
        <w:pStyle w:val="Indentedbullet"/>
      </w:pPr>
      <w:r w:rsidRPr="008478D5">
        <w:rPr>
          <w:b/>
          <w:bCs/>
        </w:rPr>
        <w:t>intensity effect</w:t>
      </w:r>
      <w:r w:rsidRPr="008478D5">
        <w:t xml:space="preserve"> (</w:t>
      </w:r>
      <m:oMath>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int</m:t>
            </m:r>
          </m:sub>
        </m:sSub>
      </m:oMath>
      <w:r w:rsidRPr="008478D5">
        <w:t xml:space="preserve">): the change in </w:t>
      </w:r>
      <w:r>
        <w:t>total electricity consumption due to changing</w:t>
      </w:r>
      <w:r w:rsidRPr="008478D5">
        <w:t xml:space="preserve"> energy intensity </w:t>
      </w:r>
      <w:r>
        <w:t>within sectors.</w:t>
      </w:r>
    </w:p>
    <w:p w:rsidR="005329ED" w:rsidRDefault="005329ED" w:rsidP="005329ED"/>
    <w:p w:rsidR="005329ED" w:rsidRDefault="005329ED" w:rsidP="005329ED">
      <w:pPr>
        <w:pStyle w:val="Heading3"/>
      </w:pPr>
      <w:r>
        <w:t>Headline results</w:t>
      </w:r>
    </w:p>
    <w:p w:rsidR="005329ED" w:rsidRDefault="005329ED" w:rsidP="005329ED">
      <w:r w:rsidRPr="00E52BF1">
        <w:t xml:space="preserve">The activity effect is the main driver of electricity consumption in the NEM between </w:t>
      </w:r>
      <w:r w:rsidR="00A44C3F">
        <w:t>2003</w:t>
      </w:r>
      <w:r w:rsidRPr="00E52BF1">
        <w:t xml:space="preserve"> and </w:t>
      </w:r>
      <w:r w:rsidR="006C667D">
        <w:t>2012</w:t>
      </w:r>
      <w:r w:rsidRPr="00E52BF1">
        <w:t>. The acti</w:t>
      </w:r>
      <w:r>
        <w:t>vity effect drives up electricity consumption. Both, the structural effect</w:t>
      </w:r>
      <w:r w:rsidRPr="00146E3D">
        <w:t xml:space="preserve"> </w:t>
      </w:r>
      <w:r>
        <w:t>and the intensity effect offset parts of the activity effect in the first two periods (</w:t>
      </w:r>
      <w:r w:rsidR="00A44C3F">
        <w:t>2003</w:t>
      </w:r>
      <w:r>
        <w:t xml:space="preserve"> to </w:t>
      </w:r>
      <w:r w:rsidR="006C667D">
        <w:t>2006</w:t>
      </w:r>
      <w:r>
        <w:t xml:space="preserve"> and </w:t>
      </w:r>
      <w:r w:rsidR="006C667D">
        <w:t>2006</w:t>
      </w:r>
      <w:r>
        <w:t xml:space="preserve"> to </w:t>
      </w:r>
      <w:r w:rsidR="006C667D">
        <w:t>2008</w:t>
      </w:r>
      <w:r>
        <w:t xml:space="preserve">), though they are weakest in the second period. The </w:t>
      </w:r>
      <w:r w:rsidR="00C05FEC">
        <w:t xml:space="preserve">intensity and structural </w:t>
      </w:r>
      <w:r>
        <w:t>effects are greatest in the third period (</w:t>
      </w:r>
      <w:r w:rsidR="006C667D">
        <w:t>2008</w:t>
      </w:r>
      <w:r>
        <w:t xml:space="preserve"> and </w:t>
      </w:r>
      <w:r w:rsidR="006C667D">
        <w:t>2012</w:t>
      </w:r>
      <w:r>
        <w:t xml:space="preserve">), and more than offset the activity effect in that period, see </w:t>
      </w:r>
      <w:r w:rsidR="005A66AE">
        <w:fldChar w:fldCharType="begin"/>
      </w:r>
      <w:r>
        <w:instrText xml:space="preserve"> REF _Ref365802195 \r \h </w:instrText>
      </w:r>
      <w:r w:rsidR="005A66AE">
        <w:fldChar w:fldCharType="separate"/>
      </w:r>
      <w:r w:rsidR="00197E14">
        <w:t>Figure 6</w:t>
      </w:r>
      <w:r w:rsidR="005A66AE">
        <w:fldChar w:fldCharType="end"/>
      </w:r>
      <w:r w:rsidR="00020ECA">
        <w:t xml:space="preserve"> and </w:t>
      </w:r>
      <w:r w:rsidR="005A66AE">
        <w:fldChar w:fldCharType="begin"/>
      </w:r>
      <w:r w:rsidR="00B2119B">
        <w:instrText xml:space="preserve"> REF _Ref366270694 \r \h </w:instrText>
      </w:r>
      <w:r w:rsidR="005A66AE">
        <w:fldChar w:fldCharType="separate"/>
      </w:r>
      <w:r w:rsidR="00197E14">
        <w:t>Figure 7</w:t>
      </w:r>
      <w:r w:rsidR="005A66AE">
        <w:fldChar w:fldCharType="end"/>
      </w:r>
      <w:r>
        <w:t>.</w:t>
      </w:r>
    </w:p>
    <w:p w:rsidR="005329ED" w:rsidRPr="000D25DC" w:rsidRDefault="005329ED" w:rsidP="005329ED">
      <w:pPr>
        <w:pStyle w:val="Charttitle"/>
      </w:pPr>
      <w:bookmarkStart w:id="49" w:name="_Ref365802195"/>
      <w:bookmarkStart w:id="50" w:name="_Toc366004673"/>
      <w:bookmarkStart w:id="51" w:name="_Toc366269831"/>
      <w:bookmarkStart w:id="52" w:name="_Toc369890546"/>
      <w:r>
        <w:lastRenderedPageBreak/>
        <w:t xml:space="preserve">The NEM region restructured towards less electro-intensive sectors and the sectors themselves became less electro-intensive, while the economy </w:t>
      </w:r>
      <w:bookmarkEnd w:id="49"/>
      <w:r>
        <w:t>grew</w:t>
      </w:r>
      <w:bookmarkEnd w:id="50"/>
      <w:bookmarkEnd w:id="51"/>
      <w:bookmarkEnd w:id="52"/>
    </w:p>
    <w:p w:rsidR="005329ED" w:rsidRPr="00430244" w:rsidRDefault="005329ED" w:rsidP="005329ED">
      <w:pPr>
        <w:pStyle w:val="Chartspacer"/>
        <w:rPr>
          <w:rStyle w:val="PlaceholderText"/>
        </w:rPr>
      </w:pPr>
      <w:r w:rsidRPr="00311588">
        <w:rPr>
          <w:rStyle w:val="PlaceholderText"/>
        </w:rPr>
        <w:t xml:space="preserve"> </w:t>
      </w:r>
      <w:r w:rsidRPr="001F4BAE">
        <w:rPr>
          <w:noProof/>
          <w:lang w:eastAsia="en-GB"/>
        </w:rPr>
        <w:drawing>
          <wp:inline distT="0" distB="0" distL="0" distR="0" wp14:anchorId="0F8257EC" wp14:editId="1673C0AB">
            <wp:extent cx="6120130" cy="30126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012618"/>
                    </a:xfrm>
                    <a:prstGeom prst="rect">
                      <a:avLst/>
                    </a:prstGeom>
                    <a:noFill/>
                    <a:ln>
                      <a:noFill/>
                    </a:ln>
                  </pic:spPr>
                </pic:pic>
              </a:graphicData>
            </a:graphic>
          </wp:inline>
        </w:drawing>
      </w:r>
    </w:p>
    <w:p w:rsidR="005329ED" w:rsidRDefault="005329ED" w:rsidP="005329ED">
      <w:pPr>
        <w:pStyle w:val="Note"/>
      </w:pPr>
      <w:r>
        <w:t>Notes:</w:t>
      </w:r>
      <w:r>
        <w:tab/>
        <w:t xml:space="preserve">LMDI decomposition of growth of electricity consumption in the NEM region between </w:t>
      </w:r>
      <w:r w:rsidR="00A44C3F">
        <w:t>2003</w:t>
      </w:r>
      <w:r>
        <w:t xml:space="preserve"> and 2011-2012. Chain volume measure of sectoral GVA and income were used. Adjusted data is used for Commercial and services sector in </w:t>
      </w:r>
      <w:r w:rsidR="006C667D">
        <w:t>2012</w:t>
      </w:r>
      <w:r>
        <w:t>.</w:t>
      </w:r>
    </w:p>
    <w:p w:rsidR="005329ED"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Default="005329ED" w:rsidP="005329ED">
      <w:pPr>
        <w:rPr>
          <w:b/>
        </w:rPr>
      </w:pPr>
    </w:p>
    <w:p w:rsidR="005329ED" w:rsidRPr="000D25DC" w:rsidRDefault="00CF7C2D" w:rsidP="005329ED">
      <w:pPr>
        <w:pStyle w:val="Charttitle"/>
      </w:pPr>
      <w:bookmarkStart w:id="53" w:name="_Toc366269832"/>
      <w:bookmarkStart w:id="54" w:name="_Ref366270694"/>
      <w:bookmarkStart w:id="55" w:name="_Toc369890547"/>
      <w:r>
        <w:lastRenderedPageBreak/>
        <w:t xml:space="preserve">Between </w:t>
      </w:r>
      <w:r w:rsidR="006C667D">
        <w:t>2010</w:t>
      </w:r>
      <w:r>
        <w:t xml:space="preserve"> and </w:t>
      </w:r>
      <w:r w:rsidR="006C667D">
        <w:t>2012</w:t>
      </w:r>
      <w:r>
        <w:t>, sectors became unanimously less electro-intensive</w:t>
      </w:r>
      <w:bookmarkEnd w:id="53"/>
      <w:bookmarkEnd w:id="54"/>
      <w:bookmarkEnd w:id="55"/>
    </w:p>
    <w:p w:rsidR="005329ED" w:rsidRPr="00430244" w:rsidRDefault="005329ED" w:rsidP="005329ED">
      <w:pPr>
        <w:pStyle w:val="Chartspacer"/>
        <w:rPr>
          <w:rStyle w:val="PlaceholderText"/>
        </w:rPr>
      </w:pPr>
      <w:r>
        <w:t xml:space="preserve"> </w:t>
      </w:r>
      <w:r w:rsidRPr="00AB1EC8">
        <w:rPr>
          <w:noProof/>
          <w:lang w:eastAsia="en-GB"/>
        </w:rPr>
        <w:drawing>
          <wp:inline distT="0" distB="0" distL="0" distR="0" wp14:anchorId="71B321FB" wp14:editId="002B8D6D">
            <wp:extent cx="6120130" cy="3200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200105"/>
                    </a:xfrm>
                    <a:prstGeom prst="rect">
                      <a:avLst/>
                    </a:prstGeom>
                    <a:noFill/>
                    <a:ln>
                      <a:noFill/>
                    </a:ln>
                  </pic:spPr>
                </pic:pic>
              </a:graphicData>
            </a:graphic>
          </wp:inline>
        </w:drawing>
      </w:r>
    </w:p>
    <w:p w:rsidR="005329ED" w:rsidRDefault="005329ED" w:rsidP="005329ED">
      <w:pPr>
        <w:pStyle w:val="Note"/>
      </w:pPr>
      <w:r>
        <w:t>Note:</w:t>
      </w:r>
      <w:r>
        <w:tab/>
        <w:t xml:space="preserve">LMDI decomposition of growth of electricity consumption in the NEM region between </w:t>
      </w:r>
      <w:r w:rsidR="00A44C3F">
        <w:t>2003</w:t>
      </w:r>
      <w:r>
        <w:t xml:space="preserve"> and 2011-2012. Chain volume measure of sectoral GVA and income were used. Adjusted data is used for Commercial and services sector in </w:t>
      </w:r>
      <w:r w:rsidR="006C667D">
        <w:t>2012</w:t>
      </w:r>
      <w:r>
        <w:t>.</w:t>
      </w:r>
    </w:p>
    <w:p w:rsidR="005329ED" w:rsidRPr="005A132E"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Pr="00E52BF1" w:rsidRDefault="005329ED" w:rsidP="005329ED">
      <w:r w:rsidRPr="00E52BF1">
        <w:t xml:space="preserve">The total increase in electricity consumption between </w:t>
      </w:r>
      <w:r w:rsidR="00A44C3F">
        <w:t>2003</w:t>
      </w:r>
      <w:r w:rsidRPr="00E52BF1">
        <w:t xml:space="preserve"> and </w:t>
      </w:r>
      <w:r w:rsidR="006C667D">
        <w:t>2012</w:t>
      </w:r>
      <w:r w:rsidRPr="00E52BF1">
        <w:t xml:space="preserve"> was 6.4 per cent. Activity increased by 28 per cent, but the intensity effect offset </w:t>
      </w:r>
      <w:r w:rsidR="006C0794">
        <w:t>one third</w:t>
      </w:r>
      <w:r w:rsidRPr="00E52BF1">
        <w:t xml:space="preserve"> of this figure and the structural effect a further </w:t>
      </w:r>
      <w:r w:rsidR="00831DEF" w:rsidRPr="00E52BF1">
        <w:t>44</w:t>
      </w:r>
      <w:r w:rsidR="00831DEF">
        <w:t> </w:t>
      </w:r>
      <w:r w:rsidR="00831DEF" w:rsidRPr="00E52BF1">
        <w:t>per</w:t>
      </w:r>
      <w:r w:rsidR="00831DEF">
        <w:t> </w:t>
      </w:r>
      <w:r w:rsidRPr="00E52BF1">
        <w:t xml:space="preserve">cent. In total, </w:t>
      </w:r>
      <w:r w:rsidR="006C0794">
        <w:t>three quarters</w:t>
      </w:r>
      <w:r w:rsidRPr="00E52BF1">
        <w:t xml:space="preserve"> of the increase in economic activity was offset by changes in the way electricity is used within the economy.</w:t>
      </w:r>
    </w:p>
    <w:p w:rsidR="005329ED" w:rsidRPr="00E52BF1" w:rsidRDefault="005329ED" w:rsidP="005329ED"/>
    <w:p w:rsidR="005329ED" w:rsidRPr="00E52BF1" w:rsidRDefault="005329ED" w:rsidP="005329ED">
      <w:r w:rsidRPr="00E52BF1">
        <w:t xml:space="preserve">The structural effect has made a large contribution towards attenuating electricity consumption. </w:t>
      </w:r>
      <w:r w:rsidR="006C0794">
        <w:t>It reduced consumption by -11,000</w:t>
      </w:r>
      <w:r w:rsidRPr="00E52BF1">
        <w:t xml:space="preserve"> GWh in the period </w:t>
      </w:r>
      <w:r w:rsidR="006C667D">
        <w:t>2008</w:t>
      </w:r>
      <w:r w:rsidRPr="00E52BF1">
        <w:t xml:space="preserve"> to </w:t>
      </w:r>
      <w:r w:rsidR="006C667D">
        <w:t>2012</w:t>
      </w:r>
      <w:r w:rsidRPr="00E52BF1">
        <w:t xml:space="preserve"> and by -24,</w:t>
      </w:r>
      <w:r w:rsidR="006C0794">
        <w:t>000</w:t>
      </w:r>
      <w:r w:rsidRPr="00E52BF1">
        <w:t xml:space="preserve"> GWh in the period </w:t>
      </w:r>
      <w:r w:rsidR="00A44C3F">
        <w:t>2003</w:t>
      </w:r>
      <w:r w:rsidRPr="00E52BF1">
        <w:t xml:space="preserve"> to </w:t>
      </w:r>
      <w:r w:rsidR="006C667D">
        <w:t>2012</w:t>
      </w:r>
      <w:r w:rsidRPr="00E52BF1">
        <w:t xml:space="preserve">. In the period </w:t>
      </w:r>
      <w:r w:rsidR="006C667D">
        <w:t>2008</w:t>
      </w:r>
      <w:r w:rsidRPr="00E52BF1">
        <w:t xml:space="preserve"> to </w:t>
      </w:r>
      <w:r w:rsidR="006C667D">
        <w:t>2012</w:t>
      </w:r>
      <w:r w:rsidR="006C0794">
        <w:t>,</w:t>
      </w:r>
      <w:r w:rsidRPr="00E52BF1">
        <w:t xml:space="preserve"> a 5 per cent decrease in electricity consumption is the result of economic activity moving away from relatively high electricity intensive sectors. The contribution was 12 per cent over the whole period.</w:t>
      </w:r>
    </w:p>
    <w:p w:rsidR="005329ED" w:rsidRPr="00E52BF1" w:rsidRDefault="005329ED" w:rsidP="005329ED"/>
    <w:p w:rsidR="005329ED" w:rsidRPr="00E52BF1" w:rsidRDefault="005329ED" w:rsidP="005329ED">
      <w:r w:rsidRPr="00E52BF1">
        <w:t>Almost equally important in abating consumption is improvement in intensity of use. It reduced consumption by 10,5</w:t>
      </w:r>
      <w:r w:rsidR="006C0794">
        <w:t>0</w:t>
      </w:r>
      <w:r w:rsidRPr="00E52BF1">
        <w:t xml:space="preserve">0 GWh in the period </w:t>
      </w:r>
      <w:r w:rsidR="006C667D">
        <w:t>2008</w:t>
      </w:r>
      <w:r w:rsidRPr="00E52BF1">
        <w:t xml:space="preserve"> to </w:t>
      </w:r>
      <w:r w:rsidR="006C667D">
        <w:t>2012</w:t>
      </w:r>
      <w:r w:rsidRPr="00E52BF1">
        <w:t xml:space="preserve"> and by -18,</w:t>
      </w:r>
      <w:r w:rsidR="006C0794">
        <w:t xml:space="preserve">500 </w:t>
      </w:r>
      <w:r w:rsidRPr="00E52BF1">
        <w:t xml:space="preserve">GWh in the period </w:t>
      </w:r>
      <w:r w:rsidR="00A44C3F">
        <w:t>2003</w:t>
      </w:r>
      <w:r w:rsidRPr="00E52BF1">
        <w:t xml:space="preserve"> to </w:t>
      </w:r>
      <w:r w:rsidR="006C667D">
        <w:t>2012</w:t>
      </w:r>
      <w:r w:rsidRPr="00E52BF1">
        <w:t xml:space="preserve">. In the last period a further 4.9 per cent of consumption was avoided through a more efficient use of electricity within broad sectors. The intensity improvement resulted in a reduction of 9.3 per cent over the whole period from </w:t>
      </w:r>
      <w:r w:rsidR="00A44C3F">
        <w:t>2003</w:t>
      </w:r>
      <w:r w:rsidRPr="00E52BF1">
        <w:t>.</w:t>
      </w:r>
    </w:p>
    <w:p w:rsidR="005329ED" w:rsidRPr="00E52BF1" w:rsidRDefault="005329ED" w:rsidP="005329ED"/>
    <w:p w:rsidR="005329ED" w:rsidRPr="00146E3D" w:rsidRDefault="005329ED" w:rsidP="005329ED">
      <w:r w:rsidRPr="00E52BF1">
        <w:lastRenderedPageBreak/>
        <w:t xml:space="preserve">Although the restructuring of the economy between broad sectors is important in determining changes in electricity consumption over time, there is further restructuring </w:t>
      </w:r>
      <w:r w:rsidRPr="00E52BF1">
        <w:rPr>
          <w:i/>
        </w:rPr>
        <w:t>within</w:t>
      </w:r>
      <w:r w:rsidRPr="00E52BF1">
        <w:t xml:space="preserve"> these broad sectors which is captured </w:t>
      </w:r>
      <w:r w:rsidR="006C0794">
        <w:t xml:space="preserve">within </w:t>
      </w:r>
      <w:r w:rsidRPr="00E52BF1">
        <w:t>the intensity effect. The intensity effect is itself a composite of subsectoral restructuring and improvements in electricity efficiency. Thus it is likely that restructuring as a whole, both at broad sector and subsector level, has played the most important role in mitigating electricity consumption as the</w:t>
      </w:r>
      <w:r>
        <w:t xml:space="preserve"> economy has grown.</w:t>
      </w:r>
      <w:r w:rsidR="00B2119B">
        <w:t xml:space="preserve"> All effects are summarised in </w:t>
      </w:r>
      <w:r w:rsidR="005A66AE">
        <w:fldChar w:fldCharType="begin"/>
      </w:r>
      <w:r w:rsidR="00B2119B">
        <w:instrText xml:space="preserve"> REF _Ref366270727 \r \h </w:instrText>
      </w:r>
      <w:r w:rsidR="005A66AE">
        <w:fldChar w:fldCharType="separate"/>
      </w:r>
      <w:r w:rsidR="00197E14">
        <w:t>Table 6</w:t>
      </w:r>
      <w:r w:rsidR="005A66AE">
        <w:fldChar w:fldCharType="end"/>
      </w:r>
      <w:r w:rsidR="00B2119B">
        <w:t>.</w:t>
      </w:r>
    </w:p>
    <w:p w:rsidR="005329ED" w:rsidRPr="00DE4EAF" w:rsidRDefault="005329ED" w:rsidP="00645813">
      <w:pPr>
        <w:pStyle w:val="Tabletitle"/>
      </w:pPr>
      <w:bookmarkStart w:id="56" w:name="_Toc366004661"/>
      <w:bookmarkStart w:id="57" w:name="_Ref366270727"/>
      <w:bookmarkStart w:id="58" w:name="_Toc369890515"/>
      <w:r>
        <w:t>Structural shifts between sectors have been more important in offsetting the effects of growth than within</w:t>
      </w:r>
      <w:r w:rsidR="00831DEF">
        <w:t>-</w:t>
      </w:r>
      <w:r>
        <w:t>sector changes in intensity</w:t>
      </w:r>
      <w:bookmarkEnd w:id="56"/>
      <w:bookmarkEnd w:id="57"/>
      <w:bookmarkEnd w:id="58"/>
    </w:p>
    <w:tbl>
      <w:tblPr>
        <w:tblStyle w:val="Vividtable"/>
        <w:tblW w:w="9854" w:type="dxa"/>
        <w:tblLook w:val="04A0" w:firstRow="1" w:lastRow="0" w:firstColumn="1" w:lastColumn="0" w:noHBand="0" w:noVBand="1"/>
      </w:tblPr>
      <w:tblGrid>
        <w:gridCol w:w="1625"/>
        <w:gridCol w:w="1645"/>
        <w:gridCol w:w="1646"/>
        <w:gridCol w:w="1646"/>
        <w:gridCol w:w="1648"/>
        <w:gridCol w:w="1644"/>
      </w:tblGrid>
      <w:tr w:rsidR="009C47EF" w:rsidRPr="00215A21" w:rsidTr="009C47EF">
        <w:trPr>
          <w:cnfStyle w:val="100000000000" w:firstRow="1" w:lastRow="0" w:firstColumn="0" w:lastColumn="0" w:oddVBand="0" w:evenVBand="0" w:oddHBand="0" w:evenHBand="0" w:firstRowFirstColumn="0" w:firstRowLastColumn="0" w:lastRowFirstColumn="0" w:lastRowLastColumn="0"/>
          <w:trHeight w:val="737"/>
        </w:trPr>
        <w:tc>
          <w:tcPr>
            <w:tcW w:w="1659" w:type="pct"/>
            <w:gridSpan w:val="2"/>
          </w:tcPr>
          <w:p w:rsidR="009C47EF" w:rsidRPr="00215A21" w:rsidRDefault="009C47EF" w:rsidP="006054BB">
            <w:pPr>
              <w:jc w:val="center"/>
              <w:rPr>
                <w:rFonts w:ascii="Arial" w:hAnsi="Arial" w:cs="Arial"/>
                <w:szCs w:val="18"/>
              </w:rPr>
            </w:pPr>
          </w:p>
        </w:tc>
        <w:tc>
          <w:tcPr>
            <w:tcW w:w="835" w:type="pct"/>
          </w:tcPr>
          <w:p w:rsidR="009C47EF" w:rsidRPr="00215A21" w:rsidRDefault="009C47EF" w:rsidP="006054BB">
            <w:pPr>
              <w:jc w:val="center"/>
              <w:rPr>
                <w:rFonts w:ascii="Arial" w:hAnsi="Arial" w:cs="Arial"/>
                <w:szCs w:val="18"/>
              </w:rPr>
            </w:pPr>
            <w:r w:rsidRPr="00215A21">
              <w:rPr>
                <w:rFonts w:ascii="Arial" w:hAnsi="Arial" w:cs="Arial"/>
                <w:szCs w:val="18"/>
              </w:rPr>
              <w:t>First period</w:t>
            </w:r>
          </w:p>
        </w:tc>
        <w:tc>
          <w:tcPr>
            <w:tcW w:w="835" w:type="pct"/>
          </w:tcPr>
          <w:p w:rsidR="009C47EF" w:rsidRPr="00215A21" w:rsidRDefault="009C47EF" w:rsidP="006054BB">
            <w:pPr>
              <w:jc w:val="center"/>
              <w:rPr>
                <w:rFonts w:ascii="Arial" w:hAnsi="Arial" w:cs="Arial"/>
                <w:szCs w:val="18"/>
              </w:rPr>
            </w:pPr>
            <w:r w:rsidRPr="00215A21">
              <w:rPr>
                <w:rFonts w:ascii="Arial" w:hAnsi="Arial" w:cs="Arial"/>
                <w:szCs w:val="18"/>
              </w:rPr>
              <w:t>Second period</w:t>
            </w:r>
          </w:p>
        </w:tc>
        <w:tc>
          <w:tcPr>
            <w:tcW w:w="836" w:type="pct"/>
          </w:tcPr>
          <w:p w:rsidR="009C47EF" w:rsidRPr="00215A21" w:rsidRDefault="009C47EF" w:rsidP="006054BB">
            <w:pPr>
              <w:jc w:val="center"/>
              <w:rPr>
                <w:rFonts w:ascii="Arial" w:hAnsi="Arial" w:cs="Arial"/>
                <w:szCs w:val="18"/>
              </w:rPr>
            </w:pPr>
            <w:r w:rsidRPr="00215A21">
              <w:rPr>
                <w:rFonts w:ascii="Arial" w:hAnsi="Arial" w:cs="Arial"/>
                <w:szCs w:val="18"/>
              </w:rPr>
              <w:t>Third period</w:t>
            </w:r>
          </w:p>
        </w:tc>
        <w:tc>
          <w:tcPr>
            <w:tcW w:w="834" w:type="pct"/>
          </w:tcPr>
          <w:p w:rsidR="009C47EF" w:rsidRPr="00215A21" w:rsidRDefault="009C47EF" w:rsidP="006054BB">
            <w:pPr>
              <w:jc w:val="center"/>
              <w:rPr>
                <w:rFonts w:ascii="Arial" w:hAnsi="Arial" w:cs="Arial"/>
                <w:szCs w:val="18"/>
              </w:rPr>
            </w:pPr>
            <w:r w:rsidRPr="00215A21">
              <w:rPr>
                <w:rFonts w:ascii="Arial" w:hAnsi="Arial" w:cs="Arial"/>
                <w:szCs w:val="18"/>
              </w:rPr>
              <w:t>Whole period</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737"/>
        </w:trPr>
        <w:tc>
          <w:tcPr>
            <w:tcW w:w="825" w:type="pct"/>
            <w:tcBorders>
              <w:bottom w:val="single" w:sz="4" w:space="0" w:color="auto"/>
            </w:tcBorders>
          </w:tcPr>
          <w:p w:rsidR="005329ED" w:rsidRPr="00215A21" w:rsidRDefault="005329ED"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Effect</w:t>
            </w:r>
          </w:p>
        </w:tc>
        <w:tc>
          <w:tcPr>
            <w:tcW w:w="835" w:type="pct"/>
            <w:tcBorders>
              <w:bottom w:val="single" w:sz="4" w:space="0" w:color="auto"/>
            </w:tcBorders>
          </w:tcPr>
          <w:p w:rsidR="005329ED" w:rsidRPr="00215A21" w:rsidRDefault="005329ED" w:rsidP="006054BB">
            <w:pPr>
              <w:jc w:val="center"/>
              <w:rPr>
                <w:rFonts w:ascii="Arial" w:hAnsi="Arial" w:cs="Arial"/>
                <w:b/>
                <w:szCs w:val="18"/>
              </w:rPr>
            </w:pPr>
            <w:r w:rsidRPr="00215A21">
              <w:rPr>
                <w:rFonts w:ascii="Arial" w:hAnsi="Arial" w:cs="Arial"/>
                <w:b/>
                <w:szCs w:val="18"/>
              </w:rPr>
              <w:t>Units</w:t>
            </w:r>
          </w:p>
        </w:tc>
        <w:tc>
          <w:tcPr>
            <w:tcW w:w="835"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2006</w:t>
            </w:r>
          </w:p>
        </w:tc>
        <w:tc>
          <w:tcPr>
            <w:tcW w:w="835"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2006</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2008</w:t>
            </w:r>
          </w:p>
        </w:tc>
        <w:tc>
          <w:tcPr>
            <w:tcW w:w="836"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2008</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c>
          <w:tcPr>
            <w:tcW w:w="834"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r>
      <w:tr w:rsidR="005329ED" w:rsidRPr="00215A21" w:rsidTr="006054BB">
        <w:trPr>
          <w:trHeight w:val="600"/>
        </w:trPr>
        <w:tc>
          <w:tcPr>
            <w:tcW w:w="825" w:type="pct"/>
            <w:tcBorders>
              <w:top w:val="single" w:sz="4" w:space="0" w:color="auto"/>
            </w:tcBorders>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Activity</w:t>
            </w:r>
          </w:p>
        </w:tc>
        <w:tc>
          <w:tcPr>
            <w:tcW w:w="835"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35"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22,000</w:t>
            </w:r>
          </w:p>
        </w:tc>
        <w:tc>
          <w:tcPr>
            <w:tcW w:w="835"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16,000</w:t>
            </w:r>
          </w:p>
        </w:tc>
        <w:tc>
          <w:tcPr>
            <w:tcW w:w="836"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18,000</w:t>
            </w:r>
          </w:p>
          <w:p w:rsidR="005329ED" w:rsidRPr="00215A21" w:rsidRDefault="005329ED" w:rsidP="006054BB">
            <w:pPr>
              <w:jc w:val="center"/>
              <w:rPr>
                <w:rFonts w:ascii="Arial" w:hAnsi="Arial" w:cs="Arial"/>
                <w:szCs w:val="18"/>
              </w:rPr>
            </w:pPr>
            <w:r w:rsidRPr="00215A21">
              <w:rPr>
                <w:rFonts w:ascii="Arial" w:hAnsi="Arial" w:cs="Arial"/>
                <w:szCs w:val="18"/>
              </w:rPr>
              <w:t>(18,000*)</w:t>
            </w:r>
          </w:p>
        </w:tc>
        <w:tc>
          <w:tcPr>
            <w:tcW w:w="834"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55,000</w:t>
            </w:r>
          </w:p>
          <w:p w:rsidR="005329ED" w:rsidRPr="00215A21" w:rsidRDefault="005329ED" w:rsidP="006054BB">
            <w:pPr>
              <w:jc w:val="center"/>
              <w:rPr>
                <w:rFonts w:ascii="Arial" w:hAnsi="Arial" w:cs="Arial"/>
                <w:szCs w:val="18"/>
              </w:rPr>
            </w:pPr>
            <w:r w:rsidRPr="00215A21">
              <w:rPr>
                <w:rFonts w:ascii="Arial" w:hAnsi="Arial" w:cs="Arial"/>
                <w:szCs w:val="18"/>
              </w:rPr>
              <w:t>(55,000*)</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600"/>
        </w:trPr>
        <w:tc>
          <w:tcPr>
            <w:tcW w:w="825" w:type="pct"/>
          </w:tcPr>
          <w:p w:rsidR="005329ED" w:rsidRPr="00215A21" w:rsidRDefault="005329ED" w:rsidP="006054BB">
            <w:pPr>
              <w:keepNext/>
              <w:spacing w:line="200" w:lineRule="exact"/>
              <w:rPr>
                <w:rStyle w:val="PlaceholderText"/>
                <w:rFonts w:ascii="Arial" w:hAnsi="Arial" w:cs="Arial"/>
                <w:szCs w:val="18"/>
              </w:rPr>
            </w:pPr>
          </w:p>
        </w:tc>
        <w:tc>
          <w:tcPr>
            <w:tcW w:w="835" w:type="pct"/>
          </w:tcPr>
          <w:p w:rsidR="005329ED" w:rsidRPr="00215A21" w:rsidRDefault="006C0794"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10.8</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7.7</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8.3</w:t>
            </w:r>
          </w:p>
          <w:p w:rsidR="005329ED" w:rsidRPr="00215A21" w:rsidRDefault="005329ED" w:rsidP="006054BB">
            <w:pPr>
              <w:jc w:val="center"/>
              <w:rPr>
                <w:rFonts w:ascii="Arial" w:hAnsi="Arial" w:cs="Arial"/>
                <w:szCs w:val="18"/>
              </w:rPr>
            </w:pPr>
            <w:r w:rsidRPr="00215A21">
              <w:rPr>
                <w:rFonts w:ascii="Arial" w:hAnsi="Arial" w:cs="Arial"/>
                <w:szCs w:val="18"/>
              </w:rPr>
              <w:t>(8.2*)</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27.8</w:t>
            </w:r>
          </w:p>
          <w:p w:rsidR="005329ED" w:rsidRPr="00215A21" w:rsidRDefault="005329ED" w:rsidP="006054BB">
            <w:pPr>
              <w:jc w:val="center"/>
              <w:rPr>
                <w:rFonts w:ascii="Arial" w:hAnsi="Arial" w:cs="Arial"/>
                <w:szCs w:val="18"/>
              </w:rPr>
            </w:pPr>
            <w:r w:rsidRPr="00215A21">
              <w:rPr>
                <w:rFonts w:ascii="Arial" w:hAnsi="Arial" w:cs="Arial"/>
                <w:szCs w:val="18"/>
              </w:rPr>
              <w:t>(27.8*)</w:t>
            </w:r>
          </w:p>
        </w:tc>
      </w:tr>
      <w:tr w:rsidR="005329ED" w:rsidRPr="00215A21" w:rsidTr="006054BB">
        <w:trPr>
          <w:trHeight w:val="600"/>
        </w:trPr>
        <w:tc>
          <w:tcPr>
            <w:tcW w:w="82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Structural</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-8,800</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-4,400</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-11,000</w:t>
            </w:r>
          </w:p>
          <w:p w:rsidR="005329ED" w:rsidRPr="00215A21" w:rsidRDefault="005329ED" w:rsidP="006054BB">
            <w:pPr>
              <w:jc w:val="center"/>
              <w:rPr>
                <w:rFonts w:ascii="Arial" w:hAnsi="Arial" w:cs="Arial"/>
                <w:szCs w:val="18"/>
              </w:rPr>
            </w:pPr>
            <w:r w:rsidRPr="00215A21">
              <w:rPr>
                <w:rFonts w:ascii="Arial" w:hAnsi="Arial" w:cs="Arial"/>
                <w:szCs w:val="18"/>
              </w:rPr>
              <w:t>(-11,000*)</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-24,000</w:t>
            </w:r>
          </w:p>
          <w:p w:rsidR="005329ED" w:rsidRPr="00215A21" w:rsidRDefault="005329ED" w:rsidP="006054BB">
            <w:pPr>
              <w:jc w:val="center"/>
              <w:rPr>
                <w:rFonts w:ascii="Arial" w:hAnsi="Arial" w:cs="Arial"/>
                <w:szCs w:val="18"/>
              </w:rPr>
            </w:pPr>
            <w:r w:rsidRPr="00215A21">
              <w:rPr>
                <w:rFonts w:ascii="Arial" w:hAnsi="Arial" w:cs="Arial"/>
                <w:szCs w:val="18"/>
              </w:rPr>
              <w:t>(-24,000*)</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600"/>
        </w:trPr>
        <w:tc>
          <w:tcPr>
            <w:tcW w:w="825" w:type="pct"/>
          </w:tcPr>
          <w:p w:rsidR="005329ED" w:rsidRPr="00215A21" w:rsidRDefault="005329ED" w:rsidP="006054BB">
            <w:pPr>
              <w:keepNext/>
              <w:spacing w:line="200" w:lineRule="exact"/>
              <w:rPr>
                <w:rStyle w:val="PlaceholderText"/>
                <w:rFonts w:ascii="Arial" w:hAnsi="Arial" w:cs="Arial"/>
                <w:szCs w:val="18"/>
              </w:rPr>
            </w:pPr>
          </w:p>
        </w:tc>
        <w:tc>
          <w:tcPr>
            <w:tcW w:w="835" w:type="pct"/>
          </w:tcPr>
          <w:p w:rsidR="005329ED" w:rsidRPr="00215A21" w:rsidRDefault="006C0794" w:rsidP="006054BB">
            <w:pPr>
              <w:jc w:val="center"/>
              <w:rPr>
                <w:rFonts w:ascii="Arial" w:hAnsi="Arial" w:cs="Arial"/>
                <w:szCs w:val="18"/>
              </w:rPr>
            </w:pPr>
            <w:r w:rsidRPr="00215A21">
              <w:rPr>
                <w:rFonts w:ascii="Arial" w:hAnsi="Arial" w:cs="Arial"/>
                <w:szCs w:val="18"/>
              </w:rPr>
              <w:t xml:space="preserve">change </w:t>
            </w:r>
            <w:r w:rsidR="005329ED" w:rsidRPr="00215A21">
              <w:rPr>
                <w:rFonts w:ascii="Arial" w:hAnsi="Arial" w:cs="Arial"/>
                <w:szCs w:val="18"/>
              </w:rPr>
              <w:t>over period</w:t>
            </w:r>
            <w:r w:rsidRPr="00215A21">
              <w:rPr>
                <w:rFonts w:ascii="Arial" w:hAnsi="Arial" w:cs="Arial"/>
                <w:szCs w:val="18"/>
              </w:rPr>
              <w:t>, %</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-4.4</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-2.1</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-5.0</w:t>
            </w:r>
          </w:p>
          <w:p w:rsidR="005329ED" w:rsidRPr="00215A21" w:rsidRDefault="005329ED" w:rsidP="006054BB">
            <w:pPr>
              <w:jc w:val="center"/>
              <w:rPr>
                <w:rFonts w:ascii="Arial" w:hAnsi="Arial" w:cs="Arial"/>
                <w:szCs w:val="18"/>
              </w:rPr>
            </w:pPr>
            <w:r w:rsidRPr="00215A21">
              <w:rPr>
                <w:rFonts w:ascii="Arial" w:hAnsi="Arial" w:cs="Arial"/>
                <w:szCs w:val="18"/>
              </w:rPr>
              <w:t>(-5.0*)</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-12.1</w:t>
            </w:r>
          </w:p>
          <w:p w:rsidR="005329ED" w:rsidRPr="00215A21" w:rsidRDefault="005329ED" w:rsidP="006054BB">
            <w:pPr>
              <w:jc w:val="center"/>
              <w:rPr>
                <w:rFonts w:ascii="Arial" w:hAnsi="Arial" w:cs="Arial"/>
                <w:szCs w:val="18"/>
              </w:rPr>
            </w:pPr>
            <w:r w:rsidRPr="00215A21">
              <w:rPr>
                <w:rFonts w:ascii="Arial" w:hAnsi="Arial" w:cs="Arial"/>
                <w:szCs w:val="18"/>
              </w:rPr>
              <w:t>(-12.1*)</w:t>
            </w:r>
          </w:p>
        </w:tc>
      </w:tr>
      <w:tr w:rsidR="005329ED" w:rsidRPr="00215A21" w:rsidTr="006054BB">
        <w:trPr>
          <w:trHeight w:val="600"/>
        </w:trPr>
        <w:tc>
          <w:tcPr>
            <w:tcW w:w="82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Intensity</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-4,200</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-3,700</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-6,000</w:t>
            </w:r>
          </w:p>
          <w:p w:rsidR="005329ED" w:rsidRPr="00215A21" w:rsidRDefault="005329ED" w:rsidP="006054BB">
            <w:pPr>
              <w:jc w:val="center"/>
              <w:rPr>
                <w:rFonts w:ascii="Arial" w:hAnsi="Arial" w:cs="Arial"/>
                <w:szCs w:val="18"/>
              </w:rPr>
            </w:pPr>
            <w:r w:rsidRPr="00215A21">
              <w:rPr>
                <w:rFonts w:ascii="Arial" w:hAnsi="Arial" w:cs="Arial"/>
                <w:szCs w:val="18"/>
              </w:rPr>
              <w:t>(-11,000*)</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-14,000</w:t>
            </w:r>
          </w:p>
          <w:p w:rsidR="005329ED" w:rsidRPr="00215A21" w:rsidRDefault="005329ED" w:rsidP="006054BB">
            <w:pPr>
              <w:jc w:val="center"/>
              <w:rPr>
                <w:rFonts w:ascii="Arial" w:hAnsi="Arial" w:cs="Arial"/>
                <w:szCs w:val="18"/>
              </w:rPr>
            </w:pPr>
            <w:r w:rsidRPr="00215A21">
              <w:rPr>
                <w:rFonts w:ascii="Arial" w:hAnsi="Arial" w:cs="Arial"/>
                <w:szCs w:val="18"/>
              </w:rPr>
              <w:t>(-18,000*)</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600"/>
        </w:trPr>
        <w:tc>
          <w:tcPr>
            <w:tcW w:w="825" w:type="pct"/>
          </w:tcPr>
          <w:p w:rsidR="005329ED" w:rsidRPr="00215A21" w:rsidRDefault="005329ED" w:rsidP="006054BB">
            <w:pPr>
              <w:keepNext/>
              <w:spacing w:line="200" w:lineRule="exact"/>
              <w:rPr>
                <w:rStyle w:val="PlaceholderText"/>
                <w:rFonts w:ascii="Arial" w:hAnsi="Arial" w:cs="Arial"/>
                <w:szCs w:val="18"/>
              </w:rPr>
            </w:pPr>
          </w:p>
        </w:tc>
        <w:tc>
          <w:tcPr>
            <w:tcW w:w="835" w:type="pct"/>
          </w:tcPr>
          <w:p w:rsidR="005329ED" w:rsidRPr="00215A21" w:rsidRDefault="006C0794"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-2.1</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-1.8</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-2.8</w:t>
            </w:r>
          </w:p>
          <w:p w:rsidR="005329ED" w:rsidRPr="00215A21" w:rsidRDefault="005329ED" w:rsidP="006054BB">
            <w:pPr>
              <w:jc w:val="center"/>
              <w:rPr>
                <w:rFonts w:ascii="Arial" w:hAnsi="Arial" w:cs="Arial"/>
                <w:szCs w:val="18"/>
              </w:rPr>
            </w:pPr>
            <w:r w:rsidRPr="00215A21">
              <w:rPr>
                <w:rFonts w:ascii="Arial" w:hAnsi="Arial" w:cs="Arial"/>
                <w:szCs w:val="18"/>
              </w:rPr>
              <w:t>(-4.9*)</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-7.1</w:t>
            </w:r>
          </w:p>
          <w:p w:rsidR="005329ED" w:rsidRPr="00215A21" w:rsidRDefault="005329ED" w:rsidP="006054BB">
            <w:pPr>
              <w:jc w:val="center"/>
              <w:rPr>
                <w:rFonts w:ascii="Arial" w:hAnsi="Arial" w:cs="Arial"/>
                <w:szCs w:val="18"/>
              </w:rPr>
            </w:pPr>
            <w:r w:rsidRPr="00215A21">
              <w:rPr>
                <w:rFonts w:ascii="Arial" w:hAnsi="Arial" w:cs="Arial"/>
                <w:szCs w:val="18"/>
              </w:rPr>
              <w:t>(-9.3*)</w:t>
            </w:r>
          </w:p>
        </w:tc>
      </w:tr>
      <w:tr w:rsidR="005329ED" w:rsidRPr="00215A21" w:rsidTr="006054BB">
        <w:trPr>
          <w:trHeight w:val="600"/>
        </w:trPr>
        <w:tc>
          <w:tcPr>
            <w:tcW w:w="82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Total</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8,500</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7,900</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870</w:t>
            </w:r>
          </w:p>
          <w:p w:rsidR="005329ED" w:rsidRPr="00215A21" w:rsidRDefault="005329ED" w:rsidP="006054BB">
            <w:pPr>
              <w:jc w:val="center"/>
              <w:rPr>
                <w:rFonts w:ascii="Arial" w:hAnsi="Arial" w:cs="Arial"/>
                <w:szCs w:val="18"/>
              </w:rPr>
            </w:pPr>
            <w:r w:rsidRPr="00215A21">
              <w:rPr>
                <w:rFonts w:ascii="Arial" w:hAnsi="Arial" w:cs="Arial"/>
                <w:szCs w:val="18"/>
              </w:rPr>
              <w:t>(-3,600*)</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17,000</w:t>
            </w:r>
          </w:p>
          <w:p w:rsidR="005329ED" w:rsidRPr="00215A21" w:rsidRDefault="005329ED" w:rsidP="006054BB">
            <w:pPr>
              <w:jc w:val="center"/>
              <w:rPr>
                <w:rFonts w:ascii="Arial" w:hAnsi="Arial" w:cs="Arial"/>
                <w:szCs w:val="18"/>
              </w:rPr>
            </w:pPr>
            <w:r w:rsidRPr="00215A21">
              <w:rPr>
                <w:rFonts w:ascii="Arial" w:hAnsi="Arial" w:cs="Arial"/>
                <w:szCs w:val="18"/>
              </w:rPr>
              <w:t>(13,000*)</w:t>
            </w:r>
          </w:p>
        </w:tc>
      </w:tr>
      <w:tr w:rsidR="005329ED" w:rsidRPr="00215A21" w:rsidTr="006054BB">
        <w:trPr>
          <w:cnfStyle w:val="000000100000" w:firstRow="0" w:lastRow="0" w:firstColumn="0" w:lastColumn="0" w:oddVBand="0" w:evenVBand="0" w:oddHBand="1" w:evenHBand="0" w:firstRowFirstColumn="0" w:firstRowLastColumn="0" w:lastRowFirstColumn="0" w:lastRowLastColumn="0"/>
          <w:trHeight w:val="600"/>
        </w:trPr>
        <w:tc>
          <w:tcPr>
            <w:tcW w:w="825" w:type="pct"/>
          </w:tcPr>
          <w:p w:rsidR="005329ED" w:rsidRPr="00215A21" w:rsidRDefault="005329ED" w:rsidP="006054BB">
            <w:pPr>
              <w:keepNext/>
              <w:spacing w:line="200" w:lineRule="exact"/>
              <w:rPr>
                <w:rStyle w:val="PlaceholderText"/>
                <w:rFonts w:ascii="Arial" w:hAnsi="Arial" w:cs="Arial"/>
                <w:szCs w:val="18"/>
              </w:rPr>
            </w:pPr>
          </w:p>
        </w:tc>
        <w:tc>
          <w:tcPr>
            <w:tcW w:w="835" w:type="pct"/>
          </w:tcPr>
          <w:p w:rsidR="005329ED" w:rsidRPr="00215A21" w:rsidRDefault="006C0794"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4.3</w:t>
            </w:r>
          </w:p>
        </w:tc>
        <w:tc>
          <w:tcPr>
            <w:tcW w:w="835" w:type="pct"/>
          </w:tcPr>
          <w:p w:rsidR="005329ED" w:rsidRPr="00215A21" w:rsidRDefault="005329ED" w:rsidP="006054BB">
            <w:pPr>
              <w:jc w:val="center"/>
              <w:rPr>
                <w:rFonts w:ascii="Arial" w:hAnsi="Arial" w:cs="Arial"/>
                <w:szCs w:val="18"/>
              </w:rPr>
            </w:pPr>
            <w:r w:rsidRPr="00215A21">
              <w:rPr>
                <w:rFonts w:ascii="Arial" w:hAnsi="Arial" w:cs="Arial"/>
                <w:szCs w:val="18"/>
              </w:rPr>
              <w:t>3.8</w:t>
            </w:r>
          </w:p>
        </w:tc>
        <w:tc>
          <w:tcPr>
            <w:tcW w:w="836" w:type="pct"/>
          </w:tcPr>
          <w:p w:rsidR="005329ED" w:rsidRPr="00215A21" w:rsidRDefault="005329ED" w:rsidP="006054BB">
            <w:pPr>
              <w:jc w:val="center"/>
              <w:rPr>
                <w:rFonts w:ascii="Arial" w:hAnsi="Arial" w:cs="Arial"/>
                <w:szCs w:val="18"/>
              </w:rPr>
            </w:pPr>
            <w:r w:rsidRPr="00215A21">
              <w:rPr>
                <w:rFonts w:ascii="Arial" w:hAnsi="Arial" w:cs="Arial"/>
                <w:szCs w:val="18"/>
              </w:rPr>
              <w:t xml:space="preserve">0.4 </w:t>
            </w:r>
          </w:p>
          <w:p w:rsidR="005329ED" w:rsidRPr="00215A21" w:rsidRDefault="005329ED" w:rsidP="006054BB">
            <w:pPr>
              <w:jc w:val="center"/>
              <w:rPr>
                <w:rFonts w:ascii="Arial" w:hAnsi="Arial" w:cs="Arial"/>
                <w:szCs w:val="18"/>
              </w:rPr>
            </w:pPr>
            <w:r w:rsidRPr="00215A21">
              <w:rPr>
                <w:rFonts w:ascii="Arial" w:hAnsi="Arial" w:cs="Arial"/>
                <w:szCs w:val="18"/>
              </w:rPr>
              <w:t>(-1.7*)</w:t>
            </w:r>
          </w:p>
        </w:tc>
        <w:tc>
          <w:tcPr>
            <w:tcW w:w="834" w:type="pct"/>
          </w:tcPr>
          <w:p w:rsidR="005329ED" w:rsidRPr="00215A21" w:rsidRDefault="005329ED" w:rsidP="006054BB">
            <w:pPr>
              <w:jc w:val="center"/>
              <w:rPr>
                <w:rFonts w:ascii="Arial" w:hAnsi="Arial" w:cs="Arial"/>
                <w:szCs w:val="18"/>
              </w:rPr>
            </w:pPr>
            <w:r w:rsidRPr="00215A21">
              <w:rPr>
                <w:rFonts w:ascii="Arial" w:hAnsi="Arial" w:cs="Arial"/>
                <w:szCs w:val="18"/>
              </w:rPr>
              <w:t>8.7</w:t>
            </w:r>
          </w:p>
          <w:p w:rsidR="005329ED" w:rsidRPr="00215A21" w:rsidRDefault="005329ED" w:rsidP="006054BB">
            <w:pPr>
              <w:jc w:val="center"/>
              <w:rPr>
                <w:rFonts w:ascii="Arial" w:hAnsi="Arial" w:cs="Arial"/>
                <w:szCs w:val="18"/>
              </w:rPr>
            </w:pPr>
            <w:r w:rsidRPr="00215A21">
              <w:rPr>
                <w:rFonts w:ascii="Arial" w:hAnsi="Arial" w:cs="Arial"/>
                <w:szCs w:val="18"/>
              </w:rPr>
              <w:t>(6.4*)</w:t>
            </w:r>
          </w:p>
        </w:tc>
      </w:tr>
    </w:tbl>
    <w:p w:rsidR="005329ED" w:rsidRPr="00820511" w:rsidRDefault="005329ED" w:rsidP="005329ED">
      <w:pPr>
        <w:pStyle w:val="Header"/>
        <w:pBdr>
          <w:bottom w:val="none" w:sz="0" w:space="0" w:color="auto"/>
        </w:pBdr>
      </w:pPr>
    </w:p>
    <w:p w:rsidR="005329ED" w:rsidRDefault="005329ED" w:rsidP="005329ED">
      <w:pPr>
        <w:pStyle w:val="Note"/>
      </w:pPr>
      <w:r>
        <w:t>Notes:</w:t>
      </w:r>
      <w:r>
        <w:tab/>
        <w:t xml:space="preserve">Effects derived from LMDI decomposition of electricity consumption using chain volume GVA/income. The chain volume measure was chosen because it recovers true electricity use intensity as a quantity measure. Nominal GVA would be biased by general inflation and deflated nominal GVA is susceptible to changes in relative prices. Deflated GVA and income will </w:t>
      </w:r>
      <w:r w:rsidR="003F6ABB">
        <w:t xml:space="preserve">lead to a greater estimated reduction in intensity over this period, </w:t>
      </w:r>
      <w:r>
        <w:t xml:space="preserve">due to falling prices in manufacturing, where most of the intensity gain was achieved. (*) indicates adjusted figure for commercial and services consumption in </w:t>
      </w:r>
      <w:r w:rsidR="006C667D">
        <w:t>2012</w:t>
      </w:r>
      <w:r>
        <w:t xml:space="preserve"> was used.</w:t>
      </w:r>
    </w:p>
    <w:p w:rsidR="005329ED" w:rsidRDefault="005329ED" w:rsidP="005329ED">
      <w:pPr>
        <w:pStyle w:val="Source"/>
      </w:pPr>
      <w:r w:rsidRPr="00EF51BF">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"2012" ] ] }, "title" : "BREE AUS electricity generation", "type" : "report" }, "uris" : [ "http://www.mendeley.com/documents/?uuid=249012d5-42d1-4fd5-b032-3c75dea616db", "http://www.mendeley.com/documents/?uuid=c292e916-62ae-405b-994f-f0b321040fe8" ] } ], "mendeley" : { "manualFormatting" : "Australian Government Bureau of Resource and Energy Economics (2012)", "previouslyFormattedCitation" : "(Australian Government Bureau of Resource and Energy Economics, 2012)"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(2012)</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Pr="00E52BF1" w:rsidRDefault="005329ED" w:rsidP="005329ED">
      <w:r w:rsidRPr="00E52BF1">
        <w:t xml:space="preserve">The intensity change is most prominent in the period </w:t>
      </w:r>
      <w:r w:rsidR="006C667D">
        <w:t>2008</w:t>
      </w:r>
      <w:r w:rsidRPr="00E52BF1">
        <w:t xml:space="preserve"> to </w:t>
      </w:r>
      <w:r w:rsidR="006C667D">
        <w:t>2012</w:t>
      </w:r>
      <w:r w:rsidRPr="00E52BF1">
        <w:t xml:space="preserve">. Adjusted figures show a 4.9 per cent fall in electricity consumption, equivalent to 11,000 GWh, in the period </w:t>
      </w:r>
      <w:r w:rsidR="006C667D">
        <w:t>2008</w:t>
      </w:r>
      <w:r w:rsidRPr="00E52BF1">
        <w:t xml:space="preserve"> to </w:t>
      </w:r>
      <w:r w:rsidR="006C667D">
        <w:t>2012</w:t>
      </w:r>
      <w:r w:rsidRPr="00E52BF1">
        <w:t>.</w:t>
      </w:r>
    </w:p>
    <w:p w:rsidR="005329ED" w:rsidRPr="00E52BF1" w:rsidRDefault="005329ED" w:rsidP="005329ED"/>
    <w:p w:rsidR="005329ED" w:rsidRDefault="005329ED" w:rsidP="005329ED">
      <w:pPr>
        <w:pStyle w:val="Heading3"/>
      </w:pPr>
      <w:r>
        <w:t>Detailed decomposition analysis by sector</w:t>
      </w:r>
    </w:p>
    <w:p w:rsidR="005329ED" w:rsidRPr="00E52BF1" w:rsidRDefault="005329ED" w:rsidP="005329ED">
      <w:r w:rsidRPr="00E52BF1">
        <w:t xml:space="preserve">In the whole period </w:t>
      </w:r>
      <w:r w:rsidR="00A44C3F">
        <w:t>2003</w:t>
      </w:r>
      <w:r w:rsidRPr="00E52BF1">
        <w:t xml:space="preserve"> to </w:t>
      </w:r>
      <w:r w:rsidR="006C667D">
        <w:t>2012</w:t>
      </w:r>
      <w:r w:rsidRPr="00E52BF1">
        <w:t>, the structural effect was mainly caused by shrinking manufacturing and utilities sectors. Their relative structural contributions are -20,000 GWh (10 per cent) and -6,000 GWh (3 </w:t>
      </w:r>
      <w:r w:rsidR="00831DEF" w:rsidRPr="00E52BF1">
        <w:t>per</w:t>
      </w:r>
      <w:r w:rsidR="00831DEF">
        <w:t> </w:t>
      </w:r>
      <w:r w:rsidRPr="00E52BF1">
        <w:t xml:space="preserve">cent). They are visible in the left-pointing </w:t>
      </w:r>
      <w:r w:rsidR="00A62C46">
        <w:t>yellow</w:t>
      </w:r>
      <w:r w:rsidRPr="00E52BF1">
        <w:t xml:space="preserve"> and</w:t>
      </w:r>
      <w:r w:rsidR="00A62C46">
        <w:t xml:space="preserve"> light</w:t>
      </w:r>
      <w:r w:rsidRPr="00E52BF1">
        <w:t xml:space="preserve"> blue bars in the middle section of the chart, </w:t>
      </w:r>
      <w:r w:rsidR="007666E1">
        <w:fldChar w:fldCharType="begin"/>
      </w:r>
      <w:r w:rsidR="007666E1">
        <w:instrText xml:space="preserve"> REF _Ref365483584 \r \h  \* MERGEFORMAT </w:instrText>
      </w:r>
      <w:r w:rsidR="007666E1">
        <w:fldChar w:fldCharType="separate"/>
      </w:r>
      <w:r w:rsidR="00197E14">
        <w:t>Figure 8</w:t>
      </w:r>
      <w:r w:rsidR="007666E1">
        <w:fldChar w:fldCharType="end"/>
      </w:r>
      <w:r w:rsidRPr="00E52BF1">
        <w:t>. The bars which point to the left show a reduction in electricity consumption. Residential and commercial sectors grew, making small additions to consumption, pointing to the right in the chart. This is a complex chart, so it will also be shown in three expanded parts, following below.</w:t>
      </w:r>
    </w:p>
    <w:p w:rsidR="005329ED" w:rsidRPr="00E52BF1" w:rsidRDefault="005329ED" w:rsidP="005329ED"/>
    <w:p w:rsidR="005329ED" w:rsidRPr="00E52BF1" w:rsidRDefault="005329ED" w:rsidP="005329ED">
      <w:r w:rsidRPr="00E52BF1">
        <w:t xml:space="preserve">The intensity effect, in the top section of </w:t>
      </w:r>
      <w:r w:rsidR="007666E1">
        <w:fldChar w:fldCharType="begin"/>
      </w:r>
      <w:r w:rsidR="007666E1">
        <w:instrText xml:space="preserve"> REF _Ref366005267 \r \h  \* MERGEFORMAT </w:instrText>
      </w:r>
      <w:r w:rsidR="007666E1">
        <w:fldChar w:fldCharType="separate"/>
      </w:r>
      <w:r w:rsidR="00197E14">
        <w:t>Figure 8</w:t>
      </w:r>
      <w:r w:rsidR="007666E1">
        <w:fldChar w:fldCharType="end"/>
      </w:r>
      <w:r w:rsidRPr="00E52BF1">
        <w:t xml:space="preserve">, was negative for most sectors </w:t>
      </w:r>
      <w:r w:rsidR="000615D5">
        <w:t xml:space="preserve">because of </w:t>
      </w:r>
      <w:r w:rsidRPr="00E52BF1">
        <w:t>substantial gains in energy productivity. Over the entire period</w:t>
      </w:r>
      <w:r w:rsidR="000615D5">
        <w:t>,</w:t>
      </w:r>
      <w:r w:rsidRPr="00E52BF1">
        <w:t xml:space="preserve"> residential and commercial had the largest effects of 7,400 GWh (3.7 per cent) and 5,100 GWh (2.6 per cent) respectively. </w:t>
      </w:r>
      <w:r w:rsidR="00241735" w:rsidRPr="00E52BF1">
        <w:t xml:space="preserve">These effects are partially related to energy efficiency measures, which </w:t>
      </w:r>
      <w:r w:rsidR="00A12358" w:rsidRPr="00E52BF1">
        <w:t>are not quantified in this work, and increased electricity prices.</w:t>
      </w:r>
    </w:p>
    <w:p w:rsidR="005329ED" w:rsidRPr="00E52BF1" w:rsidRDefault="005329ED" w:rsidP="005329ED"/>
    <w:p w:rsidR="005329ED" w:rsidRPr="00E52BF1" w:rsidRDefault="005329ED" w:rsidP="005329ED">
      <w:r w:rsidRPr="00E52BF1">
        <w:t xml:space="preserve">The activity effect, the bottom part of </w:t>
      </w:r>
      <w:r w:rsidR="007666E1">
        <w:fldChar w:fldCharType="begin"/>
      </w:r>
      <w:r w:rsidR="007666E1">
        <w:instrText xml:space="preserve"> REF _Ref366005267 \r \h  \* MERGEFORMAT </w:instrText>
      </w:r>
      <w:r w:rsidR="007666E1">
        <w:fldChar w:fldCharType="separate"/>
      </w:r>
      <w:r w:rsidR="00197E14">
        <w:t>Figure 8</w:t>
      </w:r>
      <w:r w:rsidR="007666E1">
        <w:fldChar w:fldCharType="end"/>
      </w:r>
      <w:r w:rsidRPr="00E52BF1">
        <w:t>, reflects growth in the economy with sectoral contributions directly proportional to their consumption intensity. Over the period there was strong growth in manufacturing, residential, commercial and services and utilities.</w:t>
      </w:r>
    </w:p>
    <w:p w:rsidR="005329ED" w:rsidRPr="000D25DC" w:rsidRDefault="005329ED" w:rsidP="005329ED">
      <w:pPr>
        <w:pStyle w:val="Charttitle"/>
      </w:pPr>
      <w:bookmarkStart w:id="59" w:name="_Ref365483584"/>
      <w:bookmarkStart w:id="60" w:name="_Toc366004674"/>
      <w:bookmarkStart w:id="61" w:name="_Ref366005267"/>
      <w:bookmarkStart w:id="62" w:name="_Toc366269833"/>
      <w:bookmarkStart w:id="63" w:name="_Toc369890548"/>
      <w:r>
        <w:t>The greatest contributions to change</w:t>
      </w:r>
      <w:r w:rsidR="00CC14AB">
        <w:t xml:space="preserve">s between </w:t>
      </w:r>
      <w:r w:rsidR="00A44C3F">
        <w:t>2003</w:t>
      </w:r>
      <w:r w:rsidR="00CC14AB">
        <w:t xml:space="preserve"> and </w:t>
      </w:r>
      <w:r w:rsidR="006C667D">
        <w:t>2012</w:t>
      </w:r>
      <w:r>
        <w:t xml:space="preserve"> come from the manufacturing</w:t>
      </w:r>
      <w:bookmarkEnd w:id="59"/>
      <w:r>
        <w:t xml:space="preserve"> and residential sectors</w:t>
      </w:r>
      <w:bookmarkEnd w:id="60"/>
      <w:bookmarkEnd w:id="61"/>
      <w:bookmarkEnd w:id="62"/>
      <w:r w:rsidR="00A74CEC">
        <w:t xml:space="preserve"> in the NEM</w:t>
      </w:r>
      <w:bookmarkEnd w:id="63"/>
    </w:p>
    <w:p w:rsidR="005329ED" w:rsidRPr="00430244" w:rsidRDefault="005329ED" w:rsidP="005329ED">
      <w:pPr>
        <w:pStyle w:val="Chartspacer"/>
        <w:rPr>
          <w:rStyle w:val="PlaceholderText"/>
        </w:rPr>
      </w:pPr>
      <w:r w:rsidRPr="007424F9">
        <w:rPr>
          <w:rStyle w:val="PlaceholderText"/>
        </w:rPr>
        <w:t xml:space="preserve"> </w:t>
      </w:r>
      <w:r w:rsidRPr="001F4BAE">
        <w:rPr>
          <w:noProof/>
          <w:lang w:eastAsia="en-GB"/>
        </w:rPr>
        <w:drawing>
          <wp:inline distT="0" distB="0" distL="0" distR="0" wp14:anchorId="21DD5003" wp14:editId="42534C85">
            <wp:extent cx="6120130" cy="32443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244394"/>
                    </a:xfrm>
                    <a:prstGeom prst="rect">
                      <a:avLst/>
                    </a:prstGeom>
                    <a:noFill/>
                    <a:ln>
                      <a:noFill/>
                    </a:ln>
                  </pic:spPr>
                </pic:pic>
              </a:graphicData>
            </a:graphic>
          </wp:inline>
        </w:drawing>
      </w:r>
    </w:p>
    <w:p w:rsidR="005329ED" w:rsidRDefault="005329ED" w:rsidP="005329ED">
      <w:pPr>
        <w:pStyle w:val="Note"/>
      </w:pPr>
      <w:r>
        <w:t>Notes:</w:t>
      </w:r>
      <w:r>
        <w:tab/>
        <w:t xml:space="preserve">LMDI decomposition of the change in electricity consumption in the NEM region between </w:t>
      </w:r>
      <w:r w:rsidR="00A44C3F">
        <w:t>2003</w:t>
      </w:r>
      <w:r>
        <w:t xml:space="preserve"> and </w:t>
      </w:r>
      <w:r w:rsidR="006C667D">
        <w:t>2012</w:t>
      </w:r>
      <w:r>
        <w:t xml:space="preserve"> into activity, structural and intensity effects. Activity is measured by GVA (income for residential); intensity is defined as electricity consumption per 1 AUD of activity (GWh/AUD). Sectors are as defined per </w:t>
      </w:r>
      <w:r w:rsidRPr="00015159">
        <w:t>2006 ANZSIC</w:t>
      </w:r>
      <w:r>
        <w:t>.</w:t>
      </w:r>
    </w:p>
    <w:p w:rsidR="005329ED"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Pr="000C7DAB" w:rsidRDefault="005329ED" w:rsidP="005329ED">
      <w:r w:rsidRPr="00E52BF1">
        <w:lastRenderedPageBreak/>
        <w:t xml:space="preserve">Manufacturing declined for the entire period </w:t>
      </w:r>
      <w:r w:rsidR="00A44C3F">
        <w:t>2003</w:t>
      </w:r>
      <w:r w:rsidRPr="00E52BF1">
        <w:t xml:space="preserve"> to </w:t>
      </w:r>
      <w:r w:rsidR="006C667D">
        <w:t>2012</w:t>
      </w:r>
      <w:r w:rsidRPr="00E52BF1">
        <w:t xml:space="preserve"> and utilities have followed manufacturing’s lead. Manufacturing’s shrinking share in the NEM region economy</w:t>
      </w:r>
      <w:r w:rsidRPr="000C7DAB">
        <w:t xml:space="preserve"> in the period </w:t>
      </w:r>
      <w:r w:rsidR="006C667D">
        <w:t>2008</w:t>
      </w:r>
      <w:r w:rsidRPr="000C7DAB">
        <w:t xml:space="preserve"> to </w:t>
      </w:r>
      <w:r w:rsidR="006C667D">
        <w:t>2012</w:t>
      </w:r>
      <w:r w:rsidRPr="000C7DAB">
        <w:t xml:space="preserve"> led to a reduction of 1</w:t>
      </w:r>
      <w:r>
        <w:t>1</w:t>
      </w:r>
      <w:r w:rsidRPr="000C7DAB">
        <w:t>,</w:t>
      </w:r>
      <w:r>
        <w:t>000</w:t>
      </w:r>
      <w:r w:rsidRPr="000C7DAB">
        <w:t xml:space="preserve"> GWh in electricity consumption</w:t>
      </w:r>
      <w:r>
        <w:t>, see</w:t>
      </w:r>
      <w:r w:rsidRPr="000C7DAB">
        <w:t xml:space="preserve"> </w:t>
      </w:r>
      <w:r w:rsidR="005A66AE">
        <w:fldChar w:fldCharType="begin"/>
      </w:r>
      <w:r>
        <w:instrText xml:space="preserve"> REF _Ref365738523 \r \h </w:instrText>
      </w:r>
      <w:r w:rsidR="005A66AE">
        <w:fldChar w:fldCharType="separate"/>
      </w:r>
      <w:r w:rsidR="00197E14">
        <w:t>Figure 9</w:t>
      </w:r>
      <w:r w:rsidR="005A66AE">
        <w:fldChar w:fldCharType="end"/>
      </w:r>
      <w:r w:rsidR="00674C16">
        <w:t xml:space="preserve"> and </w:t>
      </w:r>
      <w:r w:rsidR="005A66AE">
        <w:fldChar w:fldCharType="begin"/>
      </w:r>
      <w:r w:rsidR="00674C16">
        <w:instrText xml:space="preserve"> REF _Ref366260801 \r \h </w:instrText>
      </w:r>
      <w:r w:rsidR="005A66AE">
        <w:fldChar w:fldCharType="separate"/>
      </w:r>
      <w:r w:rsidR="00197E14">
        <w:t>Figure 10</w:t>
      </w:r>
      <w:r w:rsidR="005A66AE">
        <w:fldChar w:fldCharType="end"/>
      </w:r>
      <w:r>
        <w:t>.</w:t>
      </w:r>
    </w:p>
    <w:p w:rsidR="005329ED" w:rsidRPr="000D25DC" w:rsidRDefault="005329ED" w:rsidP="005329ED">
      <w:pPr>
        <w:pStyle w:val="Charttitle"/>
      </w:pPr>
      <w:bookmarkStart w:id="64" w:name="_Ref365738523"/>
      <w:bookmarkStart w:id="65" w:name="_Toc366004675"/>
      <w:bookmarkStart w:id="66" w:name="_Toc366269834"/>
      <w:bookmarkStart w:id="67" w:name="_Toc369890549"/>
      <w:r>
        <w:t>Structural effect is driven by shrinking share of manufacturing</w:t>
      </w:r>
      <w:r w:rsidR="009C47EF">
        <w:t xml:space="preserve"> output in overall economic activity</w:t>
      </w:r>
      <w:bookmarkEnd w:id="64"/>
      <w:bookmarkEnd w:id="65"/>
      <w:bookmarkEnd w:id="66"/>
      <w:bookmarkEnd w:id="67"/>
    </w:p>
    <w:p w:rsidR="005329ED" w:rsidRPr="00430244" w:rsidRDefault="005329ED" w:rsidP="005329ED">
      <w:pPr>
        <w:pStyle w:val="Chartspacer"/>
        <w:rPr>
          <w:rStyle w:val="PlaceholderText"/>
        </w:rPr>
      </w:pPr>
      <w:r w:rsidRPr="00F9172D">
        <w:rPr>
          <w:noProof/>
          <w:lang w:eastAsia="en-GB"/>
        </w:rPr>
        <w:drawing>
          <wp:inline distT="0" distB="0" distL="0" distR="0" wp14:anchorId="10AB72D8" wp14:editId="1C618ADC">
            <wp:extent cx="6120130" cy="3266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266940"/>
                    </a:xfrm>
                    <a:prstGeom prst="rect">
                      <a:avLst/>
                    </a:prstGeom>
                    <a:noFill/>
                    <a:ln>
                      <a:noFill/>
                    </a:ln>
                  </pic:spPr>
                </pic:pic>
              </a:graphicData>
            </a:graphic>
          </wp:inline>
        </w:drawing>
      </w:r>
    </w:p>
    <w:p w:rsidR="005329ED" w:rsidRDefault="005329ED" w:rsidP="005329ED">
      <w:pPr>
        <w:pStyle w:val="Note"/>
      </w:pPr>
      <w:r>
        <w:t>Notes:</w:t>
      </w:r>
      <w:r>
        <w:tab/>
        <w:t xml:space="preserve">Structural effect contribution to electricity consumption growth in the NEM region. Sectors are as defined by </w:t>
      </w:r>
      <w:r w:rsidRPr="00015159">
        <w:t>2006 ANZSIC</w:t>
      </w:r>
      <w:r>
        <w:t>.</w:t>
      </w:r>
    </w:p>
    <w:p w:rsidR="005329ED" w:rsidRPr="005A132E"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Default="005329ED" w:rsidP="005329ED">
      <w:pPr>
        <w:rPr>
          <w:b/>
        </w:rPr>
      </w:pPr>
    </w:p>
    <w:p w:rsidR="005329ED" w:rsidRPr="000D25DC" w:rsidRDefault="008320C1" w:rsidP="005329ED">
      <w:pPr>
        <w:pStyle w:val="Charttitle"/>
      </w:pPr>
      <w:bookmarkStart w:id="68" w:name="_Ref366260801"/>
      <w:bookmarkStart w:id="69" w:name="_Toc366269835"/>
      <w:bookmarkStart w:id="70" w:name="_Toc369890550"/>
      <w:r>
        <w:lastRenderedPageBreak/>
        <w:t>Restructuring away from m</w:t>
      </w:r>
      <w:r w:rsidR="005329ED">
        <w:t>anufacturing</w:t>
      </w:r>
      <w:r w:rsidR="001770B5">
        <w:t xml:space="preserve"> to less electro-intensive sectors</w:t>
      </w:r>
      <w:r w:rsidR="005329ED">
        <w:t xml:space="preserve"> has been a </w:t>
      </w:r>
      <w:r>
        <w:t>continuous process</w:t>
      </w:r>
      <w:r w:rsidR="005329ED">
        <w:t xml:space="preserve"> since </w:t>
      </w:r>
      <w:r w:rsidR="006C667D">
        <w:t>2004</w:t>
      </w:r>
      <w:bookmarkEnd w:id="68"/>
      <w:bookmarkEnd w:id="69"/>
      <w:bookmarkEnd w:id="70"/>
    </w:p>
    <w:p w:rsidR="005329ED" w:rsidRPr="00430244" w:rsidRDefault="005329ED" w:rsidP="005329ED">
      <w:pPr>
        <w:pStyle w:val="Chartspacer"/>
        <w:rPr>
          <w:rStyle w:val="PlaceholderText"/>
        </w:rPr>
      </w:pPr>
      <w:r w:rsidRPr="00577BE2">
        <w:rPr>
          <w:noProof/>
          <w:lang w:eastAsia="en-GB"/>
        </w:rPr>
        <w:drawing>
          <wp:inline distT="0" distB="0" distL="0" distR="0" wp14:anchorId="6518CAD9" wp14:editId="032AD821">
            <wp:extent cx="6120130" cy="29229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922998"/>
                    </a:xfrm>
                    <a:prstGeom prst="rect">
                      <a:avLst/>
                    </a:prstGeom>
                    <a:noFill/>
                    <a:ln>
                      <a:noFill/>
                    </a:ln>
                  </pic:spPr>
                </pic:pic>
              </a:graphicData>
            </a:graphic>
          </wp:inline>
        </w:drawing>
      </w:r>
    </w:p>
    <w:p w:rsidR="005329ED" w:rsidRDefault="005329ED" w:rsidP="005329ED">
      <w:pPr>
        <w:pStyle w:val="Note"/>
      </w:pPr>
      <w:r>
        <w:t>Note:</w:t>
      </w:r>
      <w:r>
        <w:tab/>
        <w:t xml:space="preserve">Structural effect yearly contribution to electricity consumption growth in the NEM region. Sectors are as defined by </w:t>
      </w:r>
      <w:r w:rsidRPr="00015159">
        <w:t>2006 ANZSIC</w:t>
      </w:r>
      <w:r>
        <w:t>.</w:t>
      </w:r>
    </w:p>
    <w:p w:rsidR="005329ED" w:rsidRPr="005A132E"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Pr="00E52BF1" w:rsidRDefault="005329ED" w:rsidP="005329ED">
      <w:r w:rsidRPr="00E52BF1">
        <w:t xml:space="preserve">Most of the intensity gains in manufacturing happened in the period </w:t>
      </w:r>
      <w:r w:rsidR="006C667D">
        <w:t>2008</w:t>
      </w:r>
      <w:r w:rsidRPr="00E52BF1">
        <w:t xml:space="preserve"> to </w:t>
      </w:r>
      <w:r w:rsidR="006C667D">
        <w:t>2012</w:t>
      </w:r>
      <w:r w:rsidR="00674C16" w:rsidRPr="00E52BF1">
        <w:t xml:space="preserve"> as shown in </w:t>
      </w:r>
      <w:r w:rsidR="007666E1">
        <w:fldChar w:fldCharType="begin"/>
      </w:r>
      <w:r w:rsidR="007666E1">
        <w:instrText xml:space="preserve"> REF _Ref366260854 \r \h  \* MERGEFORMAT </w:instrText>
      </w:r>
      <w:r w:rsidR="007666E1">
        <w:fldChar w:fldCharType="separate"/>
      </w:r>
      <w:r w:rsidR="00197E14">
        <w:t>Figure 11</w:t>
      </w:r>
      <w:r w:rsidR="007666E1">
        <w:fldChar w:fldCharType="end"/>
      </w:r>
      <w:r w:rsidR="00674C16" w:rsidRPr="00E52BF1">
        <w:t xml:space="preserve"> and </w:t>
      </w:r>
      <w:r w:rsidR="007666E1">
        <w:fldChar w:fldCharType="begin"/>
      </w:r>
      <w:r w:rsidR="007666E1">
        <w:instrText xml:space="preserve"> REF _Ref366260857 \r \h  \* MERGEFORMAT </w:instrText>
      </w:r>
      <w:r w:rsidR="007666E1">
        <w:fldChar w:fldCharType="separate"/>
      </w:r>
      <w:r w:rsidR="00197E14">
        <w:t>Figure 12</w:t>
      </w:r>
      <w:r w:rsidR="007666E1">
        <w:fldChar w:fldCharType="end"/>
      </w:r>
      <w:r w:rsidRPr="00E52BF1">
        <w:t xml:space="preserve">. Electricity saving from less intensive use in manufacturing in this period was 4,000 GWh, which is a decrease of 1.7 per cent on </w:t>
      </w:r>
      <w:r w:rsidR="006C667D">
        <w:t>2008</w:t>
      </w:r>
      <w:r w:rsidRPr="00E52BF1">
        <w:t xml:space="preserve"> aggregate electricity consumption. Shortly before, in </w:t>
      </w:r>
      <w:r w:rsidR="00A44C3F">
        <w:t>2003</w:t>
      </w:r>
      <w:r w:rsidRPr="00E52BF1">
        <w:t xml:space="preserve"> to </w:t>
      </w:r>
      <w:r w:rsidR="006C667D">
        <w:t>2006</w:t>
      </w:r>
      <w:r w:rsidRPr="00E52BF1">
        <w:t xml:space="preserve">, intensity had been increasing, raising aggregate consumption by 1,600 GWh. As before, utilities followed suit, with 3,000 GWh, 1.4 per cent, reduction in consumption in the period </w:t>
      </w:r>
      <w:r w:rsidR="006C667D">
        <w:t>2008</w:t>
      </w:r>
      <w:r w:rsidRPr="00E52BF1">
        <w:t xml:space="preserve"> to </w:t>
      </w:r>
      <w:r w:rsidR="006C667D">
        <w:t>2012</w:t>
      </w:r>
      <w:r w:rsidRPr="00E52BF1">
        <w:t xml:space="preserve"> and an increase of 1,000 GWh in the previous period.</w:t>
      </w:r>
    </w:p>
    <w:p w:rsidR="005329ED" w:rsidRPr="00E52BF1" w:rsidRDefault="005329ED" w:rsidP="005329ED"/>
    <w:p w:rsidR="005329ED" w:rsidRPr="00E52BF1" w:rsidRDefault="005329ED" w:rsidP="005329ED">
      <w:r w:rsidRPr="00E52BF1">
        <w:t xml:space="preserve">Residential and commercial and services exhibit a more even reduction in intensity over the entire period, while agriculture still makes a significant contribution despite its low electricity intensity. In the period </w:t>
      </w:r>
      <w:r w:rsidR="006C667D">
        <w:t>2008</w:t>
      </w:r>
      <w:r w:rsidRPr="00E52BF1">
        <w:t xml:space="preserve"> to </w:t>
      </w:r>
      <w:r w:rsidR="006C667D">
        <w:t>2012</w:t>
      </w:r>
      <w:r w:rsidRPr="00E52BF1">
        <w:t>, agriculture improvements in intensity led to a 0.4 per cent saving in aggregate electricity consumption.</w:t>
      </w:r>
    </w:p>
    <w:p w:rsidR="005329ED" w:rsidRPr="00E52BF1" w:rsidRDefault="005329ED" w:rsidP="005329ED"/>
    <w:p w:rsidR="005329ED" w:rsidRPr="00E16AE2" w:rsidRDefault="005329ED" w:rsidP="005329ED">
      <w:r w:rsidRPr="00E52BF1">
        <w:t xml:space="preserve">Finally, in the period </w:t>
      </w:r>
      <w:r w:rsidR="006C667D">
        <w:t>2008</w:t>
      </w:r>
      <w:r w:rsidRPr="00E52BF1">
        <w:t xml:space="preserve"> to </w:t>
      </w:r>
      <w:r w:rsidR="006C667D">
        <w:t>2012</w:t>
      </w:r>
      <w:r w:rsidRPr="00E52BF1">
        <w:t>, a net reduction in electricity consumption of 1.7 per cent is made up of reductions of 4.4 per cent in manufacturing and 0.7 per cent in utilities, and increases of 1.5 per cent and 1.7 per cent in the commercial and services and residential sectors respectively. The manufacturing figure is made up of positive activity effect amounting to 2.3 per cent, a negative structural effect of 5 per cent (it did not grow as fast as other sectors) and a negative intensity effect of 1.7 per cent. The residential figure is made up of 2 per cent in activity effect (household incomes rose), 0.2 per cent in structural effect (residential economic share remained u</w:t>
      </w:r>
      <w:r>
        <w:t>nchanged)</w:t>
      </w:r>
      <w:r w:rsidRPr="00E16AE2">
        <w:t xml:space="preserve"> and -0.8 per cent in intensity effect. </w:t>
      </w:r>
      <w:r>
        <w:t>The c</w:t>
      </w:r>
      <w:r w:rsidRPr="00E16AE2">
        <w:t xml:space="preserve">ommercial figure is made up </w:t>
      </w:r>
      <w:r w:rsidRPr="00E16AE2">
        <w:lastRenderedPageBreak/>
        <w:t xml:space="preserve">of </w:t>
      </w:r>
      <w:r>
        <w:t>2 per cent</w:t>
      </w:r>
      <w:r w:rsidRPr="00E16AE2">
        <w:t xml:space="preserve"> in activity effect</w:t>
      </w:r>
      <w:r>
        <w:t xml:space="preserve"> (output grow modestly)</w:t>
      </w:r>
      <w:r w:rsidRPr="00E16AE2">
        <w:t>, 0.</w:t>
      </w:r>
      <w:r>
        <w:t>3</w:t>
      </w:r>
      <w:r w:rsidRPr="00E16AE2">
        <w:t xml:space="preserve"> per cent in structural effect </w:t>
      </w:r>
      <w:r>
        <w:t xml:space="preserve">(it retained its economic share) </w:t>
      </w:r>
      <w:r w:rsidRPr="00E16AE2">
        <w:t>and -0.</w:t>
      </w:r>
      <w:r>
        <w:t>5</w:t>
      </w:r>
      <w:r w:rsidRPr="00E16AE2">
        <w:t xml:space="preserve"> in intensity effect.</w:t>
      </w:r>
    </w:p>
    <w:p w:rsidR="005329ED" w:rsidRDefault="005329ED" w:rsidP="005329ED">
      <w:pPr>
        <w:pStyle w:val="Charttitle"/>
      </w:pPr>
      <w:bookmarkStart w:id="71" w:name="_Toc366004676"/>
      <w:bookmarkStart w:id="72" w:name="_Ref366260854"/>
      <w:bookmarkStart w:id="73" w:name="_Toc366269836"/>
      <w:bookmarkStart w:id="74" w:name="_Toc369890551"/>
      <w:r>
        <w:t xml:space="preserve">Manufacturing and utilities had the </w:t>
      </w:r>
      <w:r w:rsidR="0005187C">
        <w:t xml:space="preserve">largest </w:t>
      </w:r>
      <w:r>
        <w:t xml:space="preserve">intensity reduction in the period </w:t>
      </w:r>
      <w:r w:rsidR="006C667D">
        <w:t>2008</w:t>
      </w:r>
      <w:r>
        <w:t xml:space="preserve"> to </w:t>
      </w:r>
      <w:r w:rsidR="006C667D">
        <w:t>2012</w:t>
      </w:r>
      <w:bookmarkEnd w:id="71"/>
      <w:bookmarkEnd w:id="72"/>
      <w:bookmarkEnd w:id="73"/>
      <w:bookmarkEnd w:id="74"/>
    </w:p>
    <w:p w:rsidR="005329ED" w:rsidRPr="00430244" w:rsidRDefault="005329ED" w:rsidP="005329ED">
      <w:pPr>
        <w:pStyle w:val="Chartspacer"/>
        <w:rPr>
          <w:rStyle w:val="PlaceholderText"/>
        </w:rPr>
      </w:pPr>
      <w:r w:rsidRPr="00F9172D">
        <w:rPr>
          <w:noProof/>
          <w:lang w:eastAsia="en-GB"/>
        </w:rPr>
        <w:drawing>
          <wp:inline distT="0" distB="0" distL="0" distR="0" wp14:anchorId="1DB20FAE" wp14:editId="531047B3">
            <wp:extent cx="6120130" cy="31999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199954"/>
                    </a:xfrm>
                    <a:prstGeom prst="rect">
                      <a:avLst/>
                    </a:prstGeom>
                    <a:noFill/>
                    <a:ln>
                      <a:noFill/>
                    </a:ln>
                  </pic:spPr>
                </pic:pic>
              </a:graphicData>
            </a:graphic>
          </wp:inline>
        </w:drawing>
      </w:r>
    </w:p>
    <w:p w:rsidR="005329ED" w:rsidRDefault="005329ED" w:rsidP="005329ED">
      <w:pPr>
        <w:pStyle w:val="Note"/>
      </w:pPr>
      <w:r>
        <w:t>Notes:</w:t>
      </w:r>
      <w:r>
        <w:tab/>
        <w:t xml:space="preserve">Intensity effect contribution to electricity consumption growth in the NEM region. Sectors are as defined by </w:t>
      </w:r>
      <w:r w:rsidRPr="00015159">
        <w:t>2006 ANZSIC</w:t>
      </w:r>
      <w:r>
        <w:t>.</w:t>
      </w:r>
    </w:p>
    <w:p w:rsidR="005329ED"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5329ED" w:rsidRDefault="005329ED" w:rsidP="005329ED"/>
    <w:p w:rsidR="005329ED" w:rsidRPr="000D25DC" w:rsidRDefault="00911E89" w:rsidP="005329ED">
      <w:pPr>
        <w:pStyle w:val="Charttitle"/>
      </w:pPr>
      <w:bookmarkStart w:id="75" w:name="_Ref366260857"/>
      <w:bookmarkStart w:id="76" w:name="_Toc366269837"/>
      <w:bookmarkStart w:id="77" w:name="_Toc369890552"/>
      <w:r>
        <w:lastRenderedPageBreak/>
        <w:t xml:space="preserve">The </w:t>
      </w:r>
      <w:r w:rsidR="00260FA3">
        <w:t xml:space="preserve">global financial crisis </w:t>
      </w:r>
      <w:r w:rsidR="0005187C">
        <w:t>a</w:t>
      </w:r>
      <w:r>
        <w:t>ffect</w:t>
      </w:r>
      <w:r w:rsidR="0005187C">
        <w:t>ed</w:t>
      </w:r>
      <w:r>
        <w:t xml:space="preserve"> electro-intensity in </w:t>
      </w:r>
      <w:r w:rsidR="006C667D">
        <w:t>2009</w:t>
      </w:r>
      <w:bookmarkEnd w:id="75"/>
      <w:bookmarkEnd w:id="76"/>
      <w:bookmarkEnd w:id="77"/>
    </w:p>
    <w:p w:rsidR="005329ED" w:rsidRPr="00430244" w:rsidRDefault="005329ED" w:rsidP="005329ED">
      <w:pPr>
        <w:pStyle w:val="Chartspacer"/>
        <w:rPr>
          <w:rStyle w:val="PlaceholderText"/>
        </w:rPr>
      </w:pPr>
      <w:r w:rsidRPr="00577BE2">
        <w:rPr>
          <w:noProof/>
          <w:lang w:eastAsia="en-GB"/>
        </w:rPr>
        <w:drawing>
          <wp:inline distT="0" distB="0" distL="0" distR="0" wp14:anchorId="329B856E" wp14:editId="135A99EA">
            <wp:extent cx="6120130" cy="29229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922998"/>
                    </a:xfrm>
                    <a:prstGeom prst="rect">
                      <a:avLst/>
                    </a:prstGeom>
                    <a:noFill/>
                    <a:ln>
                      <a:noFill/>
                    </a:ln>
                  </pic:spPr>
                </pic:pic>
              </a:graphicData>
            </a:graphic>
          </wp:inline>
        </w:drawing>
      </w:r>
    </w:p>
    <w:p w:rsidR="005329ED" w:rsidRDefault="005329ED" w:rsidP="005329ED">
      <w:pPr>
        <w:pStyle w:val="Note"/>
      </w:pPr>
      <w:r>
        <w:t>Note:</w:t>
      </w:r>
      <w:r>
        <w:tab/>
        <w:t xml:space="preserve">Intensity effect yearly contribution to electricity consumption growth in the NEM region. Sectors are as defined by </w:t>
      </w:r>
      <w:r w:rsidRPr="00015159">
        <w:t>2006 ANZSIC</w:t>
      </w:r>
      <w:r>
        <w:t>.</w:t>
      </w:r>
    </w:p>
    <w:p w:rsidR="005329ED" w:rsidRDefault="005329ED" w:rsidP="005329ED">
      <w:pPr>
        <w:pStyle w:val="Source"/>
      </w:pPr>
      <w:r w:rsidRPr="005A132E">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9C47EF" w:rsidRDefault="00F6722A" w:rsidP="000814AE">
      <w:r>
        <w:t xml:space="preserve">Part of the intensity effect in </w:t>
      </w:r>
      <w:r w:rsidR="006C667D">
        <w:t>2009</w:t>
      </w:r>
      <w:r>
        <w:t xml:space="preserve"> is explained by a decline in value added in that year. Correspondingly, the activity effect, which measures how changes in aggregate economic activity influence electricity consumption, was lower between </w:t>
      </w:r>
      <w:r w:rsidR="006C667D">
        <w:t>2009</w:t>
      </w:r>
      <w:r>
        <w:t xml:space="preserve"> and </w:t>
      </w:r>
      <w:r w:rsidR="006C667D">
        <w:t>2012</w:t>
      </w:r>
      <w:r>
        <w:t xml:space="preserve"> than in </w:t>
      </w:r>
      <w:r w:rsidR="00FD5CF8">
        <w:t xml:space="preserve">the </w:t>
      </w:r>
      <w:r>
        <w:t xml:space="preserve">years before, as shown in </w:t>
      </w:r>
      <w:r w:rsidR="005A66AE">
        <w:fldChar w:fldCharType="begin"/>
      </w:r>
      <w:r>
        <w:instrText xml:space="preserve"> REF _Ref367654506 \r \h </w:instrText>
      </w:r>
      <w:r w:rsidR="005A66AE">
        <w:fldChar w:fldCharType="separate"/>
      </w:r>
      <w:r w:rsidR="00197E14">
        <w:t>Figure 13</w:t>
      </w:r>
      <w:r w:rsidR="005A66AE">
        <w:fldChar w:fldCharType="end"/>
      </w:r>
      <w:r>
        <w:t>.</w:t>
      </w:r>
      <w:r w:rsidR="00F3013F">
        <w:t xml:space="preserve"> The </w:t>
      </w:r>
      <w:r w:rsidR="00FD5CF8">
        <w:t xml:space="preserve">small </w:t>
      </w:r>
      <w:r w:rsidR="00F3013F">
        <w:t xml:space="preserve">increase in economic activity was </w:t>
      </w:r>
      <w:r w:rsidR="00FD5CF8">
        <w:t xml:space="preserve">more than compensated for by </w:t>
      </w:r>
      <w:r w:rsidR="00F3013F">
        <w:t xml:space="preserve">restructuring away from electro-intensive sectors and by </w:t>
      </w:r>
      <w:r w:rsidR="00FD5CF8">
        <w:t xml:space="preserve">general </w:t>
      </w:r>
      <w:r w:rsidR="00F3013F">
        <w:t>decreased electricity intensity.</w:t>
      </w:r>
    </w:p>
    <w:p w:rsidR="009C47EF" w:rsidRPr="000D25DC" w:rsidRDefault="000A68A5" w:rsidP="009C47EF">
      <w:pPr>
        <w:pStyle w:val="Charttitle"/>
      </w:pPr>
      <w:bookmarkStart w:id="78" w:name="_Ref367654506"/>
      <w:bookmarkStart w:id="79" w:name="_Toc369890553"/>
      <w:r>
        <w:lastRenderedPageBreak/>
        <w:t xml:space="preserve">Lower economic activity between </w:t>
      </w:r>
      <w:r w:rsidR="006C667D">
        <w:t>2009</w:t>
      </w:r>
      <w:r>
        <w:t xml:space="preserve"> and </w:t>
      </w:r>
      <w:r w:rsidR="006C667D">
        <w:t>2012</w:t>
      </w:r>
      <w:r>
        <w:t xml:space="preserve"> contributed to a </w:t>
      </w:r>
      <w:r w:rsidR="00F3013F">
        <w:t>decrease</w:t>
      </w:r>
      <w:r>
        <w:t xml:space="preserve"> in NEM</w:t>
      </w:r>
      <w:r w:rsidR="00260FA3">
        <w:t>-</w:t>
      </w:r>
      <w:r>
        <w:t>wide electricity consumption</w:t>
      </w:r>
      <w:bookmarkEnd w:id="78"/>
      <w:bookmarkEnd w:id="79"/>
    </w:p>
    <w:p w:rsidR="009C47EF" w:rsidRPr="00430244" w:rsidRDefault="000A68A5" w:rsidP="009C47EF">
      <w:pPr>
        <w:pStyle w:val="Chartspacer"/>
        <w:rPr>
          <w:rStyle w:val="PlaceholderText"/>
        </w:rPr>
      </w:pPr>
      <w:r w:rsidRPr="000A68A5">
        <w:rPr>
          <w:noProof/>
          <w:lang w:eastAsia="en-GB"/>
        </w:rPr>
        <w:drawing>
          <wp:inline distT="0" distB="0" distL="0" distR="0" wp14:anchorId="15CF6E64" wp14:editId="51CAB7A3">
            <wp:extent cx="6120765" cy="378715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787159"/>
                    </a:xfrm>
                    <a:prstGeom prst="rect">
                      <a:avLst/>
                    </a:prstGeom>
                    <a:noFill/>
                    <a:ln>
                      <a:noFill/>
                    </a:ln>
                  </pic:spPr>
                </pic:pic>
              </a:graphicData>
            </a:graphic>
          </wp:inline>
        </w:drawing>
      </w:r>
    </w:p>
    <w:p w:rsidR="009C47EF" w:rsidRDefault="009C47EF" w:rsidP="009C47EF">
      <w:pPr>
        <w:pStyle w:val="Note"/>
      </w:pPr>
      <w:r>
        <w:t>Note:</w:t>
      </w:r>
      <w:r>
        <w:tab/>
      </w:r>
      <w:r w:rsidR="003420C0">
        <w:t>The activity effect is computed for the aggregate of all economic sectors</w:t>
      </w:r>
      <w:r w:rsidR="00260FA3">
        <w:t>.</w:t>
      </w:r>
    </w:p>
    <w:p w:rsidR="009C47EF" w:rsidRDefault="009C47EF" w:rsidP="00F269A9">
      <w:pPr>
        <w:pStyle w:val="Source"/>
      </w:pPr>
      <w:r w:rsidRPr="005A132E">
        <w:t>Source:</w:t>
      </w:r>
      <w:r>
        <w:tab/>
        <w:t xml:space="preserve">Vivid Economics based on </w:t>
      </w:r>
      <w:r w:rsidR="005A66AE" w:rsidRPr="003D3200">
        <w:fldChar w:fldCharType="begin" w:fldLock="1"/>
      </w:r>
      <w:r>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(2013)</w:t>
      </w:r>
      <w:r w:rsidR="005A66AE" w:rsidRPr="003D3200">
        <w:fldChar w:fldCharType="end"/>
      </w:r>
      <w:r w:rsidRPr="003D3200">
        <w:t xml:space="preserve"> and </w:t>
      </w:r>
      <w:r w:rsidR="005A66AE" w:rsidRPr="003D3200">
        <w:fldChar w:fldCharType="begin" w:fldLock="1"/>
      </w:r>
      <w:r>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215A21" w:rsidRDefault="005A66AE" w:rsidP="000814AE">
      <w:r>
        <w:fldChar w:fldCharType="begin"/>
      </w:r>
      <w:r w:rsidR="000814AE">
        <w:instrText xml:space="preserve"> REF _Ref366260994 \r \h </w:instrText>
      </w:r>
      <w:r>
        <w:fldChar w:fldCharType="separate"/>
      </w:r>
      <w:r w:rsidR="00197E14">
        <w:t>Table 7</w:t>
      </w:r>
      <w:r>
        <w:fldChar w:fldCharType="end"/>
      </w:r>
      <w:r w:rsidR="000814AE">
        <w:t xml:space="preserve"> and </w:t>
      </w:r>
      <w:r>
        <w:fldChar w:fldCharType="begin"/>
      </w:r>
      <w:r w:rsidR="000814AE">
        <w:instrText xml:space="preserve"> REF _Ref366260996 \r \h </w:instrText>
      </w:r>
      <w:r>
        <w:fldChar w:fldCharType="separate"/>
      </w:r>
      <w:r w:rsidR="00197E14">
        <w:t>Table 8</w:t>
      </w:r>
      <w:r>
        <w:fldChar w:fldCharType="end"/>
      </w:r>
      <w:r w:rsidR="000814AE">
        <w:t xml:space="preserve"> summarise the </w:t>
      </w:r>
      <w:r w:rsidR="00F269A9">
        <w:t xml:space="preserve">intensity and structural </w:t>
      </w:r>
      <w:r w:rsidR="000814AE">
        <w:t>effects for the four main sectors</w:t>
      </w:r>
      <w:r w:rsidR="00260FA3">
        <w:t xml:space="preserve">: </w:t>
      </w:r>
      <w:r w:rsidR="000814AE">
        <w:t>manufacturing, utilities, commercial and services, and residential.</w:t>
      </w:r>
    </w:p>
    <w:p w:rsidR="00215A21" w:rsidRDefault="00215A21">
      <w:pPr>
        <w:spacing w:after="200" w:line="24" w:lineRule="auto"/>
      </w:pPr>
      <w:r>
        <w:br w:type="page"/>
      </w:r>
    </w:p>
    <w:p w:rsidR="005329ED" w:rsidRPr="00DE4EAF" w:rsidRDefault="0005187C" w:rsidP="00645813">
      <w:pPr>
        <w:pStyle w:val="Tabletitle"/>
      </w:pPr>
      <w:bookmarkStart w:id="80" w:name="_Toc366004663"/>
      <w:bookmarkStart w:id="81" w:name="_Ref366260994"/>
      <w:bookmarkStart w:id="82" w:name="_Toc369890516"/>
      <w:r>
        <w:lastRenderedPageBreak/>
        <w:t>The s</w:t>
      </w:r>
      <w:r w:rsidR="005329ED">
        <w:t>tructural effect in four main sectors</w:t>
      </w:r>
      <w:bookmarkEnd w:id="80"/>
      <w:bookmarkEnd w:id="81"/>
      <w:bookmarkEnd w:id="82"/>
    </w:p>
    <w:tbl>
      <w:tblPr>
        <w:tblStyle w:val="Vividtable"/>
        <w:tblW w:w="9625" w:type="dxa"/>
        <w:tblLook w:val="04A0" w:firstRow="1" w:lastRow="0" w:firstColumn="1" w:lastColumn="0" w:noHBand="0" w:noVBand="1"/>
      </w:tblPr>
      <w:tblGrid>
        <w:gridCol w:w="1357"/>
        <w:gridCol w:w="1378"/>
        <w:gridCol w:w="1723"/>
        <w:gridCol w:w="1723"/>
        <w:gridCol w:w="1723"/>
        <w:gridCol w:w="1721"/>
      </w:tblGrid>
      <w:tr w:rsidR="009C47EF" w:rsidRPr="00215A21" w:rsidTr="00215A21">
        <w:trPr>
          <w:cnfStyle w:val="100000000000" w:firstRow="1" w:lastRow="0" w:firstColumn="0" w:lastColumn="0" w:oddVBand="0" w:evenVBand="0" w:oddHBand="0" w:evenHBand="0" w:firstRowFirstColumn="0" w:firstRowLastColumn="0" w:lastRowFirstColumn="0" w:lastRowLastColumn="0"/>
          <w:trHeight w:val="340"/>
        </w:trPr>
        <w:tc>
          <w:tcPr>
            <w:tcW w:w="1421" w:type="pct"/>
            <w:gridSpan w:val="2"/>
          </w:tcPr>
          <w:p w:rsidR="009C47EF" w:rsidRPr="00215A21" w:rsidRDefault="009C47EF" w:rsidP="006054BB">
            <w:pPr>
              <w:jc w:val="center"/>
              <w:rPr>
                <w:rFonts w:ascii="Arial" w:hAnsi="Arial" w:cs="Arial"/>
                <w:szCs w:val="18"/>
              </w:rPr>
            </w:pPr>
            <w:r w:rsidRPr="00215A21">
              <w:rPr>
                <w:rFonts w:ascii="Arial" w:hAnsi="Arial" w:cs="Arial"/>
                <w:szCs w:val="18"/>
              </w:rPr>
              <w:t>Structural effect</w:t>
            </w:r>
          </w:p>
        </w:tc>
        <w:tc>
          <w:tcPr>
            <w:tcW w:w="895" w:type="pct"/>
          </w:tcPr>
          <w:p w:rsidR="009C47EF" w:rsidRPr="00215A21" w:rsidRDefault="009C47EF" w:rsidP="006054BB">
            <w:pPr>
              <w:jc w:val="center"/>
              <w:rPr>
                <w:rFonts w:ascii="Arial" w:hAnsi="Arial" w:cs="Arial"/>
                <w:szCs w:val="18"/>
              </w:rPr>
            </w:pPr>
            <w:r w:rsidRPr="00215A21">
              <w:rPr>
                <w:rFonts w:ascii="Arial" w:hAnsi="Arial" w:cs="Arial"/>
                <w:szCs w:val="18"/>
              </w:rPr>
              <w:t>First period</w:t>
            </w:r>
          </w:p>
        </w:tc>
        <w:tc>
          <w:tcPr>
            <w:tcW w:w="895" w:type="pct"/>
          </w:tcPr>
          <w:p w:rsidR="009C47EF" w:rsidRPr="00215A21" w:rsidRDefault="009C47EF" w:rsidP="006054BB">
            <w:pPr>
              <w:jc w:val="center"/>
              <w:rPr>
                <w:rFonts w:ascii="Arial" w:hAnsi="Arial" w:cs="Arial"/>
                <w:szCs w:val="18"/>
              </w:rPr>
            </w:pPr>
            <w:r w:rsidRPr="00215A21">
              <w:rPr>
                <w:rFonts w:ascii="Arial" w:hAnsi="Arial" w:cs="Arial"/>
                <w:szCs w:val="18"/>
              </w:rPr>
              <w:t>Second period</w:t>
            </w:r>
          </w:p>
        </w:tc>
        <w:tc>
          <w:tcPr>
            <w:tcW w:w="895" w:type="pct"/>
          </w:tcPr>
          <w:p w:rsidR="009C47EF" w:rsidRPr="00215A21" w:rsidRDefault="009C47EF" w:rsidP="006054BB">
            <w:pPr>
              <w:jc w:val="center"/>
              <w:rPr>
                <w:rFonts w:ascii="Arial" w:hAnsi="Arial" w:cs="Arial"/>
                <w:szCs w:val="18"/>
              </w:rPr>
            </w:pPr>
            <w:r w:rsidRPr="00215A21">
              <w:rPr>
                <w:rFonts w:ascii="Arial" w:hAnsi="Arial" w:cs="Arial"/>
                <w:szCs w:val="18"/>
              </w:rPr>
              <w:t>Third period</w:t>
            </w:r>
          </w:p>
        </w:tc>
        <w:tc>
          <w:tcPr>
            <w:tcW w:w="894" w:type="pct"/>
          </w:tcPr>
          <w:p w:rsidR="009C47EF" w:rsidRPr="00215A21" w:rsidRDefault="009C47EF" w:rsidP="006054BB">
            <w:pPr>
              <w:jc w:val="center"/>
              <w:rPr>
                <w:rFonts w:ascii="Arial" w:hAnsi="Arial" w:cs="Arial"/>
                <w:szCs w:val="18"/>
              </w:rPr>
            </w:pPr>
            <w:r w:rsidRPr="00215A21">
              <w:rPr>
                <w:rFonts w:ascii="Arial" w:hAnsi="Arial" w:cs="Arial"/>
                <w:szCs w:val="18"/>
              </w:rPr>
              <w:t>Whole period</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340"/>
        </w:trPr>
        <w:tc>
          <w:tcPr>
            <w:tcW w:w="705" w:type="pct"/>
            <w:tcBorders>
              <w:bottom w:val="single" w:sz="4" w:space="0" w:color="auto"/>
            </w:tcBorders>
          </w:tcPr>
          <w:p w:rsidR="005329ED" w:rsidRPr="00215A21" w:rsidRDefault="005329ED"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Sector</w:t>
            </w:r>
          </w:p>
        </w:tc>
        <w:tc>
          <w:tcPr>
            <w:tcW w:w="716" w:type="pct"/>
            <w:tcBorders>
              <w:bottom w:val="single" w:sz="4" w:space="0" w:color="auto"/>
            </w:tcBorders>
          </w:tcPr>
          <w:p w:rsidR="005329ED" w:rsidRPr="00215A21" w:rsidRDefault="005329ED" w:rsidP="006054BB">
            <w:pPr>
              <w:jc w:val="center"/>
              <w:rPr>
                <w:rFonts w:ascii="Arial" w:hAnsi="Arial" w:cs="Arial"/>
                <w:b/>
                <w:szCs w:val="18"/>
              </w:rPr>
            </w:pPr>
            <w:r w:rsidRPr="00215A21">
              <w:rPr>
                <w:rFonts w:ascii="Arial" w:hAnsi="Arial" w:cs="Arial"/>
                <w:b/>
                <w:szCs w:val="18"/>
              </w:rPr>
              <w:t>Units</w:t>
            </w:r>
          </w:p>
        </w:tc>
        <w:tc>
          <w:tcPr>
            <w:tcW w:w="895"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2006</w:t>
            </w:r>
          </w:p>
        </w:tc>
        <w:tc>
          <w:tcPr>
            <w:tcW w:w="895"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2006</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2008</w:t>
            </w:r>
          </w:p>
        </w:tc>
        <w:tc>
          <w:tcPr>
            <w:tcW w:w="895"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2008</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c>
          <w:tcPr>
            <w:tcW w:w="894"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r>
      <w:tr w:rsidR="005329ED" w:rsidRPr="00215A21" w:rsidTr="00215A21">
        <w:trPr>
          <w:trHeight w:val="340"/>
        </w:trPr>
        <w:tc>
          <w:tcPr>
            <w:tcW w:w="705" w:type="pct"/>
            <w:tcBorders>
              <w:top w:val="single" w:sz="4" w:space="0" w:color="auto"/>
            </w:tcBorders>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Manufacturing</w:t>
            </w:r>
          </w:p>
        </w:tc>
        <w:tc>
          <w:tcPr>
            <w:tcW w:w="716"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95" w:type="pct"/>
            <w:tcBorders>
              <w:top w:val="single" w:sz="4" w:space="0" w:color="auto"/>
            </w:tcBorders>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-6,732</w:t>
            </w:r>
          </w:p>
        </w:tc>
        <w:tc>
          <w:tcPr>
            <w:tcW w:w="895" w:type="pct"/>
            <w:tcBorders>
              <w:top w:val="single" w:sz="4" w:space="0" w:color="auto"/>
            </w:tcBorders>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-2,095</w:t>
            </w:r>
          </w:p>
        </w:tc>
        <w:tc>
          <w:tcPr>
            <w:tcW w:w="895" w:type="pct"/>
            <w:tcBorders>
              <w:top w:val="single" w:sz="4" w:space="0" w:color="auto"/>
            </w:tcBorders>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-10,744</w:t>
            </w:r>
          </w:p>
        </w:tc>
        <w:tc>
          <w:tcPr>
            <w:tcW w:w="894" w:type="pct"/>
            <w:tcBorders>
              <w:top w:val="single" w:sz="4" w:space="0" w:color="auto"/>
            </w:tcBorders>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-19,571</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340"/>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16"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95" w:type="pct"/>
          </w:tcPr>
          <w:p w:rsidR="005329ED" w:rsidRPr="00215A21" w:rsidRDefault="005329ED" w:rsidP="006054BB">
            <w:pPr>
              <w:tabs>
                <w:tab w:val="decimal" w:pos="866"/>
              </w:tabs>
              <w:jc w:val="center"/>
              <w:rPr>
                <w:rFonts w:ascii="Arial" w:hAnsi="Arial" w:cs="Arial"/>
                <w:bCs/>
                <w:szCs w:val="18"/>
              </w:rPr>
            </w:pPr>
            <w:r w:rsidRPr="00215A21">
              <w:rPr>
                <w:rFonts w:ascii="Arial" w:hAnsi="Arial" w:cs="Arial"/>
                <w:bCs/>
                <w:szCs w:val="18"/>
              </w:rPr>
              <w:t>-3.37</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-1.01</w:t>
            </w:r>
          </w:p>
        </w:tc>
        <w:tc>
          <w:tcPr>
            <w:tcW w:w="895" w:type="pct"/>
          </w:tcPr>
          <w:p w:rsidR="005329ED" w:rsidRPr="00215A21" w:rsidRDefault="005329ED" w:rsidP="006054BB">
            <w:pPr>
              <w:tabs>
                <w:tab w:val="decimal" w:pos="600"/>
              </w:tabs>
              <w:jc w:val="center"/>
              <w:rPr>
                <w:rFonts w:ascii="Arial" w:hAnsi="Arial" w:cs="Arial"/>
                <w:bCs/>
                <w:szCs w:val="18"/>
              </w:rPr>
            </w:pPr>
            <w:r w:rsidRPr="00215A21">
              <w:rPr>
                <w:rFonts w:ascii="Arial" w:hAnsi="Arial" w:cs="Arial"/>
                <w:bCs/>
                <w:szCs w:val="18"/>
              </w:rPr>
              <w:t>-4.98</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-9.81</w:t>
            </w:r>
          </w:p>
        </w:tc>
      </w:tr>
      <w:tr w:rsidR="005329ED" w:rsidRPr="00215A21" w:rsidTr="00215A21">
        <w:trPr>
          <w:trHeight w:val="340"/>
        </w:trPr>
        <w:tc>
          <w:tcPr>
            <w:tcW w:w="70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Utilities </w:t>
            </w:r>
          </w:p>
        </w:tc>
        <w:tc>
          <w:tcPr>
            <w:tcW w:w="716"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95" w:type="pct"/>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-2,629</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-2,351</w:t>
            </w:r>
          </w:p>
        </w:tc>
        <w:tc>
          <w:tcPr>
            <w:tcW w:w="895" w:type="pct"/>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-1,041</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-6,021</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340"/>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16"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95" w:type="pct"/>
          </w:tcPr>
          <w:p w:rsidR="005329ED" w:rsidRPr="00215A21" w:rsidRDefault="005329ED" w:rsidP="006054BB">
            <w:pPr>
              <w:tabs>
                <w:tab w:val="decimal" w:pos="866"/>
              </w:tabs>
              <w:jc w:val="center"/>
              <w:rPr>
                <w:rFonts w:ascii="Arial" w:hAnsi="Arial" w:cs="Arial"/>
                <w:bCs/>
                <w:szCs w:val="18"/>
              </w:rPr>
            </w:pPr>
            <w:r w:rsidRPr="00215A21">
              <w:rPr>
                <w:rFonts w:ascii="Arial" w:hAnsi="Arial" w:cs="Arial"/>
                <w:bCs/>
                <w:szCs w:val="18"/>
              </w:rPr>
              <w:t>-1.32</w:t>
            </w:r>
          </w:p>
        </w:tc>
        <w:tc>
          <w:tcPr>
            <w:tcW w:w="895" w:type="pct"/>
          </w:tcPr>
          <w:p w:rsidR="005329ED" w:rsidRPr="00215A21" w:rsidRDefault="005329ED" w:rsidP="006054BB">
            <w:pPr>
              <w:tabs>
                <w:tab w:val="decimal" w:pos="663"/>
              </w:tabs>
              <w:jc w:val="center"/>
              <w:rPr>
                <w:rFonts w:ascii="Arial" w:hAnsi="Arial" w:cs="Arial"/>
                <w:bCs/>
                <w:szCs w:val="18"/>
              </w:rPr>
            </w:pPr>
            <w:r w:rsidRPr="00215A21">
              <w:rPr>
                <w:rFonts w:ascii="Arial" w:hAnsi="Arial" w:cs="Arial"/>
                <w:bCs/>
                <w:szCs w:val="18"/>
              </w:rPr>
              <w:t>-1.13</w:t>
            </w:r>
          </w:p>
        </w:tc>
        <w:tc>
          <w:tcPr>
            <w:tcW w:w="895" w:type="pct"/>
          </w:tcPr>
          <w:p w:rsidR="005329ED" w:rsidRPr="00215A21" w:rsidRDefault="005329ED" w:rsidP="006054BB">
            <w:pPr>
              <w:tabs>
                <w:tab w:val="decimal" w:pos="600"/>
              </w:tabs>
              <w:jc w:val="center"/>
              <w:rPr>
                <w:rFonts w:ascii="Arial" w:hAnsi="Arial" w:cs="Arial"/>
                <w:bCs/>
                <w:szCs w:val="18"/>
              </w:rPr>
            </w:pPr>
            <w:r w:rsidRPr="00215A21">
              <w:rPr>
                <w:rFonts w:ascii="Arial" w:hAnsi="Arial" w:cs="Arial"/>
                <w:bCs/>
                <w:szCs w:val="18"/>
              </w:rPr>
              <w:t>-0.48</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-3.02</w:t>
            </w:r>
          </w:p>
        </w:tc>
      </w:tr>
      <w:tr w:rsidR="005329ED" w:rsidRPr="00215A21" w:rsidTr="00215A21">
        <w:trPr>
          <w:trHeight w:val="340"/>
        </w:trPr>
        <w:tc>
          <w:tcPr>
            <w:tcW w:w="705" w:type="pct"/>
          </w:tcPr>
          <w:p w:rsidR="005329ED" w:rsidRPr="00215A21" w:rsidRDefault="00DB317E" w:rsidP="006054BB">
            <w:pPr>
              <w:keepNext/>
              <w:spacing w:line="200" w:lineRule="exact"/>
              <w:rPr>
                <w:rStyle w:val="PlaceholderText"/>
                <w:rFonts w:ascii="Arial" w:hAnsi="Arial" w:cs="Arial"/>
                <w:szCs w:val="18"/>
              </w:rPr>
            </w:pPr>
            <w:r w:rsidRPr="00215A21">
              <w:rPr>
                <w:rStyle w:val="PlaceholderText"/>
                <w:rFonts w:ascii="Arial" w:hAnsi="Arial" w:cs="Arial"/>
                <w:szCs w:val="18"/>
              </w:rPr>
              <w:t>Commercial and services</w:t>
            </w:r>
          </w:p>
        </w:tc>
        <w:tc>
          <w:tcPr>
            <w:tcW w:w="716"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95" w:type="pct"/>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304</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123</w:t>
            </w:r>
          </w:p>
        </w:tc>
        <w:tc>
          <w:tcPr>
            <w:tcW w:w="895" w:type="pct"/>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 xml:space="preserve">547* </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974*</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340"/>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16" w:type="pct"/>
          </w:tcPr>
          <w:p w:rsidR="005329ED" w:rsidRPr="00215A21" w:rsidRDefault="0005187C" w:rsidP="0005187C">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95" w:type="pct"/>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0.15</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0.06</w:t>
            </w:r>
          </w:p>
        </w:tc>
        <w:tc>
          <w:tcPr>
            <w:tcW w:w="895" w:type="pct"/>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0.25*</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0.49*</w:t>
            </w:r>
          </w:p>
        </w:tc>
      </w:tr>
      <w:tr w:rsidR="005329ED" w:rsidRPr="00215A21" w:rsidTr="00215A21">
        <w:trPr>
          <w:trHeight w:val="340"/>
        </w:trPr>
        <w:tc>
          <w:tcPr>
            <w:tcW w:w="70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Residential</w:t>
            </w:r>
          </w:p>
        </w:tc>
        <w:tc>
          <w:tcPr>
            <w:tcW w:w="716"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95" w:type="pct"/>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335</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164</w:t>
            </w:r>
          </w:p>
        </w:tc>
        <w:tc>
          <w:tcPr>
            <w:tcW w:w="895" w:type="pct"/>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457</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956</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340"/>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16"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95" w:type="pct"/>
          </w:tcPr>
          <w:p w:rsidR="005329ED" w:rsidRPr="00215A21" w:rsidRDefault="005329ED" w:rsidP="006054BB">
            <w:pPr>
              <w:tabs>
                <w:tab w:val="decimal" w:pos="866"/>
              </w:tabs>
              <w:jc w:val="center"/>
              <w:rPr>
                <w:rFonts w:ascii="Arial" w:hAnsi="Arial" w:cs="Arial"/>
                <w:szCs w:val="18"/>
              </w:rPr>
            </w:pPr>
            <w:r w:rsidRPr="00215A21">
              <w:rPr>
                <w:rFonts w:ascii="Arial" w:hAnsi="Arial" w:cs="Arial"/>
                <w:szCs w:val="18"/>
              </w:rPr>
              <w:t>0.17</w:t>
            </w:r>
          </w:p>
        </w:tc>
        <w:tc>
          <w:tcPr>
            <w:tcW w:w="895" w:type="pct"/>
          </w:tcPr>
          <w:p w:rsidR="005329ED" w:rsidRPr="00215A21" w:rsidRDefault="005329ED" w:rsidP="006054BB">
            <w:pPr>
              <w:tabs>
                <w:tab w:val="decimal" w:pos="663"/>
              </w:tabs>
              <w:jc w:val="center"/>
              <w:rPr>
                <w:rFonts w:ascii="Arial" w:hAnsi="Arial" w:cs="Arial"/>
                <w:szCs w:val="18"/>
              </w:rPr>
            </w:pPr>
            <w:r w:rsidRPr="00215A21">
              <w:rPr>
                <w:rFonts w:ascii="Arial" w:hAnsi="Arial" w:cs="Arial"/>
                <w:szCs w:val="18"/>
              </w:rPr>
              <w:t>0.08</w:t>
            </w:r>
          </w:p>
        </w:tc>
        <w:tc>
          <w:tcPr>
            <w:tcW w:w="895" w:type="pct"/>
          </w:tcPr>
          <w:p w:rsidR="005329ED" w:rsidRPr="00215A21" w:rsidRDefault="005329ED" w:rsidP="006054BB">
            <w:pPr>
              <w:tabs>
                <w:tab w:val="decimal" w:pos="600"/>
              </w:tabs>
              <w:jc w:val="center"/>
              <w:rPr>
                <w:rFonts w:ascii="Arial" w:hAnsi="Arial" w:cs="Arial"/>
                <w:szCs w:val="18"/>
              </w:rPr>
            </w:pPr>
            <w:r w:rsidRPr="00215A21">
              <w:rPr>
                <w:rFonts w:ascii="Arial" w:hAnsi="Arial" w:cs="Arial"/>
                <w:szCs w:val="18"/>
              </w:rPr>
              <w:t>0.21</w:t>
            </w:r>
          </w:p>
        </w:tc>
        <w:tc>
          <w:tcPr>
            <w:tcW w:w="894" w:type="pct"/>
          </w:tcPr>
          <w:p w:rsidR="005329ED" w:rsidRPr="00215A21" w:rsidRDefault="005329ED" w:rsidP="006054BB">
            <w:pPr>
              <w:tabs>
                <w:tab w:val="decimal" w:pos="657"/>
              </w:tabs>
              <w:jc w:val="center"/>
              <w:rPr>
                <w:rFonts w:ascii="Arial" w:hAnsi="Arial" w:cs="Arial"/>
                <w:szCs w:val="18"/>
              </w:rPr>
            </w:pPr>
            <w:r w:rsidRPr="00215A21">
              <w:rPr>
                <w:rFonts w:ascii="Arial" w:hAnsi="Arial" w:cs="Arial"/>
                <w:szCs w:val="18"/>
              </w:rPr>
              <w:t>0.48</w:t>
            </w:r>
          </w:p>
        </w:tc>
      </w:tr>
    </w:tbl>
    <w:p w:rsidR="005329ED" w:rsidRPr="00820511" w:rsidRDefault="005329ED" w:rsidP="005329ED">
      <w:pPr>
        <w:pStyle w:val="Header"/>
        <w:pBdr>
          <w:bottom w:val="none" w:sz="0" w:space="0" w:color="auto"/>
        </w:pBdr>
      </w:pPr>
    </w:p>
    <w:p w:rsidR="005329ED" w:rsidRDefault="005329ED" w:rsidP="005329ED">
      <w:pPr>
        <w:pStyle w:val="Note"/>
      </w:pPr>
      <w:r>
        <w:t>Notes:</w:t>
      </w:r>
      <w:r>
        <w:tab/>
        <w:t xml:space="preserve">Structural shares are measured by GVA (Income for Residential). Sectors are as defined by </w:t>
      </w:r>
      <w:r w:rsidRPr="00015159">
        <w:t>2006 ANZSIC</w:t>
      </w:r>
      <w:r>
        <w:t>.</w:t>
      </w:r>
      <w:r w:rsidRPr="00F9172D">
        <w:t xml:space="preserve"> </w:t>
      </w:r>
      <w:r>
        <w:t xml:space="preserve">* indicates </w:t>
      </w:r>
      <w:r w:rsidR="00260FA3">
        <w:t xml:space="preserve">that the </w:t>
      </w:r>
      <w:r>
        <w:t xml:space="preserve">adjusted figure for Commercial and services consumption in </w:t>
      </w:r>
      <w:r w:rsidR="006C667D">
        <w:t>2012</w:t>
      </w:r>
      <w:r>
        <w:t xml:space="preserve"> was used.</w:t>
      </w:r>
    </w:p>
    <w:p w:rsidR="005329ED" w:rsidRDefault="005329ED" w:rsidP="005329ED">
      <w:pPr>
        <w:pStyle w:val="Source"/>
      </w:pPr>
      <w:r w:rsidRPr="00EF51BF">
        <w:t>Source:</w:t>
      </w:r>
      <w:r>
        <w:tab/>
        <w:t xml:space="preserve">Vivid Economics based on </w:t>
      </w:r>
      <w:r w:rsidR="005A66AE" w:rsidRPr="003D3200">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"2012" ] ] }, "title" : "BREE AUS electricity generation", "type" : "report" }, "uris" : [ "http://www.mendeley.com/documents/?uuid=c292e916-62ae-405b-994f-f0b321040fe8", "http://www.mendeley.com/documents/?uuid=249012d5-42d1-4fd5-b032-3c75dea616db" ] } ], "mendeley" : { "manualFormatting" : "Australian Government Bureau of Resource and Energy Economics (2012)", "previouslyFormattedCitation" : "(Australian Government Bureau of Resource and Energy Economics, 2012)" }, "properties" : { "noteIndex" : 0 }, "schema" : "https://github.com/citation-style-language/schema/raw/master/csl-citation.json" }</w:instrText>
      </w:r>
      <w:r w:rsidR="005A66AE" w:rsidRPr="003D3200">
        <w:fldChar w:fldCharType="separate"/>
      </w:r>
      <w:r w:rsidRPr="003D3200">
        <w:rPr>
          <w:noProof/>
        </w:rPr>
        <w:t>Australian Government Bureau of Resource and Energy Economics (2012)</w:t>
      </w:r>
      <w:r w:rsidR="005A66AE" w:rsidRPr="003D3200">
        <w:fldChar w:fldCharType="end"/>
      </w:r>
      <w:r w:rsidRPr="003D3200">
        <w:t xml:space="preserve"> and </w:t>
      </w:r>
      <w:r w:rsidR="005A66AE" w:rsidRPr="003D3200">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3D3200">
        <w:fldChar w:fldCharType="separate"/>
      </w:r>
      <w:r w:rsidRPr="003D3200">
        <w:rPr>
          <w:noProof/>
        </w:rPr>
        <w:t>Australian Bureau of Statistics (2013)</w:t>
      </w:r>
      <w:r w:rsidR="005A66AE" w:rsidRPr="003D3200">
        <w:fldChar w:fldCharType="end"/>
      </w:r>
    </w:p>
    <w:p w:rsidR="00215A21" w:rsidRDefault="00215A21">
      <w:pPr>
        <w:spacing w:after="200" w:line="24" w:lineRule="auto"/>
      </w:pPr>
      <w:r>
        <w:br w:type="page"/>
      </w:r>
    </w:p>
    <w:p w:rsidR="005329ED" w:rsidRPr="00DE4EAF" w:rsidRDefault="005329ED" w:rsidP="00645813">
      <w:pPr>
        <w:pStyle w:val="Tabletitle"/>
      </w:pPr>
      <w:bookmarkStart w:id="83" w:name="_Toc366004664"/>
      <w:bookmarkStart w:id="84" w:name="_Ref366260996"/>
      <w:bookmarkStart w:id="85" w:name="_Toc369890517"/>
      <w:r>
        <w:lastRenderedPageBreak/>
        <w:t>Intensity effect in four main sectors</w:t>
      </w:r>
      <w:bookmarkEnd w:id="83"/>
      <w:bookmarkEnd w:id="84"/>
      <w:bookmarkEnd w:id="85"/>
    </w:p>
    <w:tbl>
      <w:tblPr>
        <w:tblStyle w:val="Vividtable"/>
        <w:tblW w:w="9625" w:type="dxa"/>
        <w:tblLook w:val="04A0" w:firstRow="1" w:lastRow="0" w:firstColumn="1" w:lastColumn="0" w:noHBand="0" w:noVBand="1"/>
      </w:tblPr>
      <w:tblGrid>
        <w:gridCol w:w="1357"/>
        <w:gridCol w:w="1444"/>
        <w:gridCol w:w="1706"/>
        <w:gridCol w:w="1706"/>
        <w:gridCol w:w="1706"/>
        <w:gridCol w:w="1706"/>
      </w:tblGrid>
      <w:tr w:rsidR="009C47EF" w:rsidRPr="00215A21" w:rsidTr="00215A21">
        <w:trPr>
          <w:cnfStyle w:val="100000000000" w:firstRow="1" w:lastRow="0" w:firstColumn="0" w:lastColumn="0" w:oddVBand="0" w:evenVBand="0" w:oddHBand="0" w:evenHBand="0" w:firstRowFirstColumn="0" w:firstRowLastColumn="0" w:lastRowFirstColumn="0" w:lastRowLastColumn="0"/>
          <w:trHeight w:val="454"/>
        </w:trPr>
        <w:tc>
          <w:tcPr>
            <w:tcW w:w="1455" w:type="pct"/>
            <w:gridSpan w:val="2"/>
          </w:tcPr>
          <w:p w:rsidR="009C47EF" w:rsidRPr="00215A21" w:rsidRDefault="009C47EF" w:rsidP="006054BB">
            <w:pPr>
              <w:jc w:val="center"/>
              <w:rPr>
                <w:rFonts w:ascii="Arial" w:hAnsi="Arial" w:cs="Arial"/>
                <w:szCs w:val="18"/>
              </w:rPr>
            </w:pPr>
            <w:r w:rsidRPr="00215A21">
              <w:rPr>
                <w:rFonts w:ascii="Arial" w:hAnsi="Arial" w:cs="Arial"/>
                <w:szCs w:val="18"/>
              </w:rPr>
              <w:t>Intensity effect</w:t>
            </w:r>
          </w:p>
        </w:tc>
        <w:tc>
          <w:tcPr>
            <w:tcW w:w="886" w:type="pct"/>
          </w:tcPr>
          <w:p w:rsidR="009C47EF" w:rsidRPr="00215A21" w:rsidRDefault="009C47EF" w:rsidP="006054BB">
            <w:pPr>
              <w:jc w:val="center"/>
              <w:rPr>
                <w:rFonts w:ascii="Arial" w:hAnsi="Arial" w:cs="Arial"/>
                <w:szCs w:val="18"/>
              </w:rPr>
            </w:pPr>
            <w:r w:rsidRPr="00215A21">
              <w:rPr>
                <w:rFonts w:ascii="Arial" w:hAnsi="Arial" w:cs="Arial"/>
                <w:szCs w:val="18"/>
              </w:rPr>
              <w:t>First period</w:t>
            </w:r>
          </w:p>
        </w:tc>
        <w:tc>
          <w:tcPr>
            <w:tcW w:w="886" w:type="pct"/>
          </w:tcPr>
          <w:p w:rsidR="009C47EF" w:rsidRPr="00215A21" w:rsidRDefault="009C47EF" w:rsidP="006054BB">
            <w:pPr>
              <w:jc w:val="center"/>
              <w:rPr>
                <w:rFonts w:ascii="Arial" w:hAnsi="Arial" w:cs="Arial"/>
                <w:szCs w:val="18"/>
              </w:rPr>
            </w:pPr>
            <w:r w:rsidRPr="00215A21">
              <w:rPr>
                <w:rFonts w:ascii="Arial" w:hAnsi="Arial" w:cs="Arial"/>
                <w:szCs w:val="18"/>
              </w:rPr>
              <w:t>Second period</w:t>
            </w:r>
          </w:p>
        </w:tc>
        <w:tc>
          <w:tcPr>
            <w:tcW w:w="886" w:type="pct"/>
          </w:tcPr>
          <w:p w:rsidR="009C47EF" w:rsidRPr="00215A21" w:rsidRDefault="009C47EF" w:rsidP="006054BB">
            <w:pPr>
              <w:jc w:val="center"/>
              <w:rPr>
                <w:rFonts w:ascii="Arial" w:hAnsi="Arial" w:cs="Arial"/>
                <w:szCs w:val="18"/>
              </w:rPr>
            </w:pPr>
            <w:r w:rsidRPr="00215A21">
              <w:rPr>
                <w:rFonts w:ascii="Arial" w:hAnsi="Arial" w:cs="Arial"/>
                <w:szCs w:val="18"/>
              </w:rPr>
              <w:t>Third period</w:t>
            </w:r>
          </w:p>
        </w:tc>
        <w:tc>
          <w:tcPr>
            <w:tcW w:w="886" w:type="pct"/>
          </w:tcPr>
          <w:p w:rsidR="009C47EF" w:rsidRPr="00215A21" w:rsidRDefault="009C47EF" w:rsidP="006054BB">
            <w:pPr>
              <w:jc w:val="center"/>
              <w:rPr>
                <w:rFonts w:ascii="Arial" w:hAnsi="Arial" w:cs="Arial"/>
                <w:szCs w:val="18"/>
              </w:rPr>
            </w:pPr>
            <w:r w:rsidRPr="00215A21">
              <w:rPr>
                <w:rFonts w:ascii="Arial" w:hAnsi="Arial" w:cs="Arial"/>
                <w:szCs w:val="18"/>
              </w:rPr>
              <w:t>Whole period</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454"/>
        </w:trPr>
        <w:tc>
          <w:tcPr>
            <w:tcW w:w="705" w:type="pct"/>
            <w:tcBorders>
              <w:bottom w:val="single" w:sz="4" w:space="0" w:color="auto"/>
            </w:tcBorders>
          </w:tcPr>
          <w:p w:rsidR="005329ED" w:rsidRPr="00215A21" w:rsidRDefault="005329ED"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Sector</w:t>
            </w:r>
          </w:p>
        </w:tc>
        <w:tc>
          <w:tcPr>
            <w:tcW w:w="750" w:type="pct"/>
            <w:tcBorders>
              <w:bottom w:val="single" w:sz="4" w:space="0" w:color="auto"/>
            </w:tcBorders>
          </w:tcPr>
          <w:p w:rsidR="005329ED" w:rsidRPr="00215A21" w:rsidRDefault="005329ED" w:rsidP="006054BB">
            <w:pPr>
              <w:jc w:val="center"/>
              <w:rPr>
                <w:rFonts w:ascii="Arial" w:hAnsi="Arial" w:cs="Arial"/>
                <w:b/>
                <w:szCs w:val="18"/>
              </w:rPr>
            </w:pPr>
            <w:r w:rsidRPr="00215A21">
              <w:rPr>
                <w:rFonts w:ascii="Arial" w:hAnsi="Arial" w:cs="Arial"/>
                <w:b/>
                <w:szCs w:val="18"/>
              </w:rPr>
              <w:t>Units</w:t>
            </w:r>
          </w:p>
        </w:tc>
        <w:tc>
          <w:tcPr>
            <w:tcW w:w="886"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2006</w:t>
            </w:r>
          </w:p>
        </w:tc>
        <w:tc>
          <w:tcPr>
            <w:tcW w:w="886"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2006</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2008</w:t>
            </w:r>
          </w:p>
        </w:tc>
        <w:tc>
          <w:tcPr>
            <w:tcW w:w="886" w:type="pct"/>
            <w:tcBorders>
              <w:bottom w:val="single" w:sz="4" w:space="0" w:color="auto"/>
            </w:tcBorders>
          </w:tcPr>
          <w:p w:rsidR="005329ED" w:rsidRPr="00215A21" w:rsidRDefault="006C667D" w:rsidP="006054BB">
            <w:pPr>
              <w:jc w:val="center"/>
              <w:rPr>
                <w:rFonts w:ascii="Arial" w:hAnsi="Arial" w:cs="Arial"/>
                <w:b/>
                <w:szCs w:val="18"/>
              </w:rPr>
            </w:pPr>
            <w:r>
              <w:rPr>
                <w:rFonts w:ascii="Arial" w:hAnsi="Arial" w:cs="Arial"/>
                <w:b/>
                <w:szCs w:val="18"/>
              </w:rPr>
              <w:t>2008</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c>
          <w:tcPr>
            <w:tcW w:w="886" w:type="pct"/>
            <w:tcBorders>
              <w:bottom w:val="single" w:sz="4" w:space="0" w:color="auto"/>
            </w:tcBorders>
          </w:tcPr>
          <w:p w:rsidR="005329ED" w:rsidRPr="00215A21" w:rsidRDefault="00A44C3F" w:rsidP="006054BB">
            <w:pPr>
              <w:jc w:val="center"/>
              <w:rPr>
                <w:rFonts w:ascii="Arial" w:hAnsi="Arial" w:cs="Arial"/>
                <w:b/>
                <w:szCs w:val="18"/>
              </w:rPr>
            </w:pPr>
            <w:r>
              <w:rPr>
                <w:rFonts w:ascii="Arial" w:hAnsi="Arial" w:cs="Arial"/>
                <w:b/>
                <w:szCs w:val="18"/>
              </w:rPr>
              <w:t>2003</w:t>
            </w:r>
            <w:r w:rsidR="005329ED" w:rsidRPr="00215A21">
              <w:rPr>
                <w:rFonts w:ascii="Arial" w:hAnsi="Arial" w:cs="Arial"/>
                <w:b/>
                <w:szCs w:val="18"/>
              </w:rPr>
              <w:t xml:space="preserve"> to</w:t>
            </w:r>
          </w:p>
          <w:p w:rsidR="005329ED" w:rsidRPr="00215A21" w:rsidRDefault="006C667D" w:rsidP="006054BB">
            <w:pPr>
              <w:jc w:val="center"/>
              <w:rPr>
                <w:rFonts w:ascii="Arial" w:hAnsi="Arial" w:cs="Arial"/>
                <w:b/>
                <w:szCs w:val="18"/>
              </w:rPr>
            </w:pPr>
            <w:r>
              <w:rPr>
                <w:rFonts w:ascii="Arial" w:hAnsi="Arial" w:cs="Arial"/>
                <w:b/>
                <w:szCs w:val="18"/>
              </w:rPr>
              <w:t>2012</w:t>
            </w:r>
          </w:p>
        </w:tc>
      </w:tr>
      <w:tr w:rsidR="005329ED" w:rsidRPr="00215A21" w:rsidTr="00215A21">
        <w:trPr>
          <w:trHeight w:val="454"/>
        </w:trPr>
        <w:tc>
          <w:tcPr>
            <w:tcW w:w="705" w:type="pct"/>
            <w:tcBorders>
              <w:top w:val="single" w:sz="4" w:space="0" w:color="auto"/>
            </w:tcBorders>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Manufacturing</w:t>
            </w:r>
          </w:p>
        </w:tc>
        <w:tc>
          <w:tcPr>
            <w:tcW w:w="750" w:type="pct"/>
            <w:tcBorders>
              <w:top w:val="single" w:sz="4" w:space="0" w:color="auto"/>
            </w:tcBorders>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86" w:type="pct"/>
            <w:tcBorders>
              <w:top w:val="single" w:sz="4" w:space="0" w:color="auto"/>
            </w:tcBorders>
          </w:tcPr>
          <w:p w:rsidR="005329ED" w:rsidRPr="00215A21" w:rsidRDefault="005329ED" w:rsidP="006054BB">
            <w:pPr>
              <w:tabs>
                <w:tab w:val="decimal" w:pos="581"/>
              </w:tabs>
              <w:jc w:val="center"/>
              <w:rPr>
                <w:rFonts w:ascii="Arial" w:hAnsi="Arial" w:cs="Arial"/>
                <w:szCs w:val="18"/>
              </w:rPr>
            </w:pPr>
            <w:r w:rsidRPr="00215A21">
              <w:rPr>
                <w:rFonts w:ascii="Arial" w:hAnsi="Arial" w:cs="Arial"/>
                <w:szCs w:val="18"/>
              </w:rPr>
              <w:t>2,335</w:t>
            </w:r>
          </w:p>
        </w:tc>
        <w:tc>
          <w:tcPr>
            <w:tcW w:w="886" w:type="pct"/>
            <w:tcBorders>
              <w:top w:val="single" w:sz="4" w:space="0" w:color="auto"/>
            </w:tcBorders>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-762</w:t>
            </w:r>
          </w:p>
        </w:tc>
        <w:tc>
          <w:tcPr>
            <w:tcW w:w="886" w:type="pct"/>
            <w:tcBorders>
              <w:top w:val="single" w:sz="4" w:space="0" w:color="auto"/>
            </w:tcBorders>
          </w:tcPr>
          <w:p w:rsidR="005329ED" w:rsidRPr="00215A21" w:rsidRDefault="005329ED" w:rsidP="006054BB">
            <w:pPr>
              <w:tabs>
                <w:tab w:val="decimal" w:pos="533"/>
              </w:tabs>
              <w:jc w:val="center"/>
              <w:rPr>
                <w:rFonts w:ascii="Arial" w:hAnsi="Arial" w:cs="Arial"/>
                <w:szCs w:val="18"/>
              </w:rPr>
            </w:pPr>
            <w:r w:rsidRPr="00215A21">
              <w:rPr>
                <w:rFonts w:ascii="Arial" w:hAnsi="Arial" w:cs="Arial"/>
                <w:szCs w:val="18"/>
              </w:rPr>
              <w:t>-3,619</w:t>
            </w:r>
          </w:p>
        </w:tc>
        <w:tc>
          <w:tcPr>
            <w:tcW w:w="886" w:type="pct"/>
            <w:tcBorders>
              <w:top w:val="single" w:sz="4" w:space="0" w:color="auto"/>
            </w:tcBorders>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-2,046</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454"/>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50" w:type="pct"/>
          </w:tcPr>
          <w:p w:rsidR="005329ED" w:rsidRPr="00215A21" w:rsidRDefault="0005187C" w:rsidP="0005187C">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86" w:type="pct"/>
          </w:tcPr>
          <w:p w:rsidR="005329ED" w:rsidRPr="00215A21" w:rsidRDefault="005329ED" w:rsidP="006054BB">
            <w:pPr>
              <w:tabs>
                <w:tab w:val="decimal" w:pos="581"/>
              </w:tabs>
              <w:jc w:val="center"/>
              <w:rPr>
                <w:rFonts w:ascii="Arial" w:hAnsi="Arial" w:cs="Arial"/>
                <w:bCs/>
                <w:szCs w:val="18"/>
              </w:rPr>
            </w:pPr>
            <w:r w:rsidRPr="00215A21">
              <w:rPr>
                <w:rFonts w:ascii="Arial" w:hAnsi="Arial" w:cs="Arial"/>
                <w:bCs/>
                <w:szCs w:val="18"/>
              </w:rPr>
              <w:t>1.17</w:t>
            </w:r>
          </w:p>
        </w:tc>
        <w:tc>
          <w:tcPr>
            <w:tcW w:w="886" w:type="pct"/>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-0.37</w:t>
            </w:r>
          </w:p>
        </w:tc>
        <w:tc>
          <w:tcPr>
            <w:tcW w:w="886" w:type="pct"/>
          </w:tcPr>
          <w:p w:rsidR="005329ED" w:rsidRPr="00215A21" w:rsidRDefault="005329ED" w:rsidP="006054BB">
            <w:pPr>
              <w:tabs>
                <w:tab w:val="decimal" w:pos="533"/>
              </w:tabs>
              <w:jc w:val="center"/>
              <w:rPr>
                <w:rFonts w:ascii="Arial" w:hAnsi="Arial" w:cs="Arial"/>
                <w:bCs/>
                <w:szCs w:val="18"/>
              </w:rPr>
            </w:pPr>
            <w:r w:rsidRPr="00215A21">
              <w:rPr>
                <w:rFonts w:ascii="Arial" w:hAnsi="Arial" w:cs="Arial"/>
                <w:bCs/>
                <w:szCs w:val="18"/>
              </w:rPr>
              <w:t>-1.6</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-1.03</w:t>
            </w:r>
          </w:p>
        </w:tc>
      </w:tr>
      <w:tr w:rsidR="005329ED" w:rsidRPr="00215A21" w:rsidTr="00215A21">
        <w:trPr>
          <w:trHeight w:val="454"/>
        </w:trPr>
        <w:tc>
          <w:tcPr>
            <w:tcW w:w="70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Utilities </w:t>
            </w:r>
          </w:p>
        </w:tc>
        <w:tc>
          <w:tcPr>
            <w:tcW w:w="750"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86" w:type="pct"/>
          </w:tcPr>
          <w:p w:rsidR="005329ED" w:rsidRPr="00215A21" w:rsidRDefault="005329ED" w:rsidP="006054BB">
            <w:pPr>
              <w:tabs>
                <w:tab w:val="decimal" w:pos="581"/>
              </w:tabs>
              <w:jc w:val="center"/>
              <w:rPr>
                <w:rFonts w:ascii="Arial" w:hAnsi="Arial" w:cs="Arial"/>
                <w:szCs w:val="18"/>
              </w:rPr>
            </w:pPr>
            <w:r w:rsidRPr="00215A21">
              <w:rPr>
                <w:rFonts w:ascii="Arial" w:hAnsi="Arial" w:cs="Arial"/>
                <w:szCs w:val="18"/>
              </w:rPr>
              <w:t>1,328</w:t>
            </w:r>
          </w:p>
        </w:tc>
        <w:tc>
          <w:tcPr>
            <w:tcW w:w="886" w:type="pct"/>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-374</w:t>
            </w:r>
          </w:p>
        </w:tc>
        <w:tc>
          <w:tcPr>
            <w:tcW w:w="886" w:type="pct"/>
          </w:tcPr>
          <w:p w:rsidR="005329ED" w:rsidRPr="00215A21" w:rsidRDefault="005329ED" w:rsidP="006054BB">
            <w:pPr>
              <w:tabs>
                <w:tab w:val="decimal" w:pos="533"/>
              </w:tabs>
              <w:jc w:val="center"/>
              <w:rPr>
                <w:rFonts w:ascii="Arial" w:hAnsi="Arial" w:cs="Arial"/>
                <w:szCs w:val="18"/>
              </w:rPr>
            </w:pPr>
            <w:r w:rsidRPr="00215A21">
              <w:rPr>
                <w:rFonts w:ascii="Arial" w:hAnsi="Arial" w:cs="Arial"/>
                <w:szCs w:val="18"/>
              </w:rPr>
              <w:t>-3,081</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-2,127</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454"/>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50"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86" w:type="pct"/>
          </w:tcPr>
          <w:p w:rsidR="005329ED" w:rsidRPr="00215A21" w:rsidRDefault="005329ED" w:rsidP="006054BB">
            <w:pPr>
              <w:tabs>
                <w:tab w:val="decimal" w:pos="581"/>
              </w:tabs>
              <w:jc w:val="center"/>
              <w:rPr>
                <w:rFonts w:ascii="Arial" w:hAnsi="Arial" w:cs="Arial"/>
                <w:bCs/>
                <w:szCs w:val="18"/>
              </w:rPr>
            </w:pPr>
            <w:r w:rsidRPr="00215A21">
              <w:rPr>
                <w:rFonts w:ascii="Arial" w:hAnsi="Arial" w:cs="Arial"/>
                <w:bCs/>
                <w:szCs w:val="18"/>
              </w:rPr>
              <w:t>0.67</w:t>
            </w:r>
          </w:p>
        </w:tc>
        <w:tc>
          <w:tcPr>
            <w:tcW w:w="886" w:type="pct"/>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-0.18%</w:t>
            </w:r>
          </w:p>
        </w:tc>
        <w:tc>
          <w:tcPr>
            <w:tcW w:w="886" w:type="pct"/>
          </w:tcPr>
          <w:p w:rsidR="005329ED" w:rsidRPr="00215A21" w:rsidRDefault="005329ED" w:rsidP="006054BB">
            <w:pPr>
              <w:tabs>
                <w:tab w:val="decimal" w:pos="533"/>
              </w:tabs>
              <w:jc w:val="center"/>
              <w:rPr>
                <w:rFonts w:ascii="Arial" w:hAnsi="Arial" w:cs="Arial"/>
                <w:bCs/>
                <w:szCs w:val="18"/>
              </w:rPr>
            </w:pPr>
            <w:r w:rsidRPr="00215A21">
              <w:rPr>
                <w:rFonts w:ascii="Arial" w:hAnsi="Arial" w:cs="Arial"/>
                <w:bCs/>
                <w:szCs w:val="18"/>
              </w:rPr>
              <w:t>-1.43</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-1.07</w:t>
            </w:r>
          </w:p>
        </w:tc>
      </w:tr>
      <w:tr w:rsidR="005329ED" w:rsidRPr="00215A21" w:rsidTr="00215A21">
        <w:trPr>
          <w:trHeight w:val="454"/>
        </w:trPr>
        <w:tc>
          <w:tcPr>
            <w:tcW w:w="705" w:type="pct"/>
          </w:tcPr>
          <w:p w:rsidR="005329ED" w:rsidRPr="00215A21" w:rsidRDefault="00DB317E" w:rsidP="006054BB">
            <w:pPr>
              <w:keepNext/>
              <w:spacing w:line="200" w:lineRule="exact"/>
              <w:rPr>
                <w:rStyle w:val="PlaceholderText"/>
                <w:rFonts w:ascii="Arial" w:hAnsi="Arial" w:cs="Arial"/>
                <w:szCs w:val="18"/>
              </w:rPr>
            </w:pPr>
            <w:r w:rsidRPr="00215A21">
              <w:rPr>
                <w:rStyle w:val="PlaceholderText"/>
                <w:rFonts w:ascii="Arial" w:hAnsi="Arial" w:cs="Arial"/>
                <w:szCs w:val="18"/>
              </w:rPr>
              <w:t>Commercial and services</w:t>
            </w:r>
          </w:p>
        </w:tc>
        <w:tc>
          <w:tcPr>
            <w:tcW w:w="750"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86" w:type="pct"/>
          </w:tcPr>
          <w:p w:rsidR="005329ED" w:rsidRPr="00215A21" w:rsidRDefault="005329ED" w:rsidP="006054BB">
            <w:pPr>
              <w:tabs>
                <w:tab w:val="decimal" w:pos="581"/>
              </w:tabs>
              <w:jc w:val="center"/>
              <w:rPr>
                <w:rFonts w:ascii="Arial" w:hAnsi="Arial" w:cs="Arial"/>
                <w:szCs w:val="18"/>
              </w:rPr>
            </w:pPr>
            <w:r w:rsidRPr="00215A21">
              <w:rPr>
                <w:rFonts w:ascii="Arial" w:hAnsi="Arial" w:cs="Arial"/>
                <w:szCs w:val="18"/>
              </w:rPr>
              <w:t>-3,573</w:t>
            </w:r>
          </w:p>
        </w:tc>
        <w:tc>
          <w:tcPr>
            <w:tcW w:w="886" w:type="pct"/>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-513</w:t>
            </w:r>
          </w:p>
        </w:tc>
        <w:tc>
          <w:tcPr>
            <w:tcW w:w="886" w:type="pct"/>
          </w:tcPr>
          <w:p w:rsidR="005329ED" w:rsidRPr="00215A21" w:rsidRDefault="005329ED" w:rsidP="006054BB">
            <w:pPr>
              <w:tabs>
                <w:tab w:val="decimal" w:pos="533"/>
              </w:tabs>
              <w:jc w:val="center"/>
              <w:rPr>
                <w:rFonts w:ascii="Arial" w:hAnsi="Arial" w:cs="Arial"/>
                <w:szCs w:val="18"/>
              </w:rPr>
            </w:pPr>
            <w:r w:rsidRPr="00215A21">
              <w:rPr>
                <w:rFonts w:ascii="Arial" w:hAnsi="Arial" w:cs="Arial"/>
                <w:szCs w:val="18"/>
              </w:rPr>
              <w:t>-1,063*</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-5,149*</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454"/>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50"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86" w:type="pct"/>
          </w:tcPr>
          <w:p w:rsidR="005329ED" w:rsidRPr="00215A21" w:rsidRDefault="005329ED" w:rsidP="006054BB">
            <w:pPr>
              <w:tabs>
                <w:tab w:val="decimal" w:pos="581"/>
              </w:tabs>
              <w:jc w:val="center"/>
              <w:rPr>
                <w:rFonts w:ascii="Arial" w:hAnsi="Arial" w:cs="Arial"/>
                <w:bCs/>
                <w:szCs w:val="18"/>
              </w:rPr>
            </w:pPr>
            <w:r w:rsidRPr="00215A21">
              <w:rPr>
                <w:rFonts w:ascii="Arial" w:hAnsi="Arial" w:cs="Arial"/>
                <w:bCs/>
                <w:szCs w:val="18"/>
              </w:rPr>
              <w:t>-1.79</w:t>
            </w:r>
          </w:p>
        </w:tc>
        <w:tc>
          <w:tcPr>
            <w:tcW w:w="886" w:type="pct"/>
          </w:tcPr>
          <w:p w:rsidR="005329ED" w:rsidRPr="00215A21" w:rsidRDefault="005329ED" w:rsidP="006054BB">
            <w:pPr>
              <w:tabs>
                <w:tab w:val="decimal" w:pos="586"/>
              </w:tabs>
              <w:jc w:val="center"/>
              <w:rPr>
                <w:rFonts w:ascii="Arial" w:hAnsi="Arial" w:cs="Arial"/>
                <w:bCs/>
                <w:szCs w:val="18"/>
              </w:rPr>
            </w:pPr>
            <w:r w:rsidRPr="00215A21">
              <w:rPr>
                <w:rFonts w:ascii="Arial" w:hAnsi="Arial" w:cs="Arial"/>
                <w:bCs/>
                <w:szCs w:val="18"/>
              </w:rPr>
              <w:t>-0.25</w:t>
            </w:r>
          </w:p>
        </w:tc>
        <w:tc>
          <w:tcPr>
            <w:tcW w:w="886" w:type="pct"/>
          </w:tcPr>
          <w:p w:rsidR="005329ED" w:rsidRPr="00215A21" w:rsidRDefault="005329ED" w:rsidP="006054BB">
            <w:pPr>
              <w:tabs>
                <w:tab w:val="decimal" w:pos="533"/>
              </w:tabs>
              <w:jc w:val="center"/>
              <w:rPr>
                <w:rFonts w:ascii="Arial" w:hAnsi="Arial" w:cs="Arial"/>
                <w:bCs/>
                <w:szCs w:val="18"/>
              </w:rPr>
            </w:pPr>
            <w:r w:rsidRPr="00215A21">
              <w:rPr>
                <w:rFonts w:ascii="Arial" w:hAnsi="Arial" w:cs="Arial"/>
                <w:bCs/>
                <w:szCs w:val="18"/>
              </w:rPr>
              <w:t>-0.49*</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-2.58*</w:t>
            </w:r>
          </w:p>
        </w:tc>
      </w:tr>
      <w:tr w:rsidR="005329ED" w:rsidRPr="00215A21" w:rsidTr="00215A21">
        <w:trPr>
          <w:trHeight w:val="454"/>
        </w:trPr>
        <w:tc>
          <w:tcPr>
            <w:tcW w:w="705" w:type="pct"/>
          </w:tcPr>
          <w:p w:rsidR="005329ED" w:rsidRPr="00215A21" w:rsidRDefault="005329ED" w:rsidP="006054BB">
            <w:pPr>
              <w:keepNext/>
              <w:spacing w:line="200" w:lineRule="exact"/>
              <w:rPr>
                <w:rStyle w:val="PlaceholderText"/>
                <w:rFonts w:ascii="Arial" w:hAnsi="Arial" w:cs="Arial"/>
                <w:szCs w:val="18"/>
              </w:rPr>
            </w:pPr>
            <w:r w:rsidRPr="00215A21">
              <w:rPr>
                <w:rStyle w:val="PlaceholderText"/>
                <w:rFonts w:ascii="Arial" w:hAnsi="Arial" w:cs="Arial"/>
                <w:szCs w:val="18"/>
              </w:rPr>
              <w:t>Residential</w:t>
            </w:r>
          </w:p>
        </w:tc>
        <w:tc>
          <w:tcPr>
            <w:tcW w:w="750" w:type="pct"/>
          </w:tcPr>
          <w:p w:rsidR="005329ED" w:rsidRPr="00215A21" w:rsidRDefault="005329ED" w:rsidP="006054BB">
            <w:pPr>
              <w:jc w:val="center"/>
              <w:rPr>
                <w:rFonts w:ascii="Arial" w:hAnsi="Arial" w:cs="Arial"/>
                <w:szCs w:val="18"/>
              </w:rPr>
            </w:pPr>
            <w:r w:rsidRPr="00215A21">
              <w:rPr>
                <w:rFonts w:ascii="Arial" w:hAnsi="Arial" w:cs="Arial"/>
                <w:szCs w:val="18"/>
              </w:rPr>
              <w:t>GWh/yr</w:t>
            </w:r>
          </w:p>
        </w:tc>
        <w:tc>
          <w:tcPr>
            <w:tcW w:w="886" w:type="pct"/>
          </w:tcPr>
          <w:p w:rsidR="005329ED" w:rsidRPr="00215A21" w:rsidRDefault="005329ED" w:rsidP="006054BB">
            <w:pPr>
              <w:tabs>
                <w:tab w:val="decimal" w:pos="581"/>
              </w:tabs>
              <w:jc w:val="center"/>
              <w:rPr>
                <w:rFonts w:ascii="Arial" w:hAnsi="Arial" w:cs="Arial"/>
                <w:szCs w:val="18"/>
              </w:rPr>
            </w:pPr>
            <w:r w:rsidRPr="00215A21">
              <w:rPr>
                <w:rFonts w:ascii="Arial" w:hAnsi="Arial" w:cs="Arial"/>
                <w:szCs w:val="18"/>
              </w:rPr>
              <w:t>-3,580</w:t>
            </w:r>
          </w:p>
        </w:tc>
        <w:tc>
          <w:tcPr>
            <w:tcW w:w="886" w:type="pct"/>
          </w:tcPr>
          <w:p w:rsidR="005329ED" w:rsidRPr="00215A21" w:rsidRDefault="005329ED" w:rsidP="006054BB">
            <w:pPr>
              <w:tabs>
                <w:tab w:val="decimal" w:pos="586"/>
              </w:tabs>
              <w:jc w:val="center"/>
              <w:rPr>
                <w:rFonts w:ascii="Arial" w:hAnsi="Arial" w:cs="Arial"/>
                <w:szCs w:val="18"/>
              </w:rPr>
            </w:pPr>
            <w:r w:rsidRPr="00215A21">
              <w:rPr>
                <w:rFonts w:ascii="Arial" w:hAnsi="Arial" w:cs="Arial"/>
                <w:szCs w:val="18"/>
              </w:rPr>
              <w:t>-2,043</w:t>
            </w:r>
          </w:p>
        </w:tc>
        <w:tc>
          <w:tcPr>
            <w:tcW w:w="886" w:type="pct"/>
          </w:tcPr>
          <w:p w:rsidR="005329ED" w:rsidRPr="00215A21" w:rsidRDefault="005329ED" w:rsidP="006054BB">
            <w:pPr>
              <w:tabs>
                <w:tab w:val="decimal" w:pos="533"/>
              </w:tabs>
              <w:jc w:val="center"/>
              <w:rPr>
                <w:rFonts w:ascii="Arial" w:hAnsi="Arial" w:cs="Arial"/>
                <w:szCs w:val="18"/>
              </w:rPr>
            </w:pPr>
            <w:r w:rsidRPr="00215A21">
              <w:rPr>
                <w:rFonts w:ascii="Arial" w:hAnsi="Arial" w:cs="Arial"/>
                <w:szCs w:val="18"/>
              </w:rPr>
              <w:t>-1,757</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-7,380</w:t>
            </w:r>
          </w:p>
        </w:tc>
      </w:tr>
      <w:tr w:rsidR="005329ED" w:rsidRPr="00215A21" w:rsidTr="00215A21">
        <w:trPr>
          <w:cnfStyle w:val="000000100000" w:firstRow="0" w:lastRow="0" w:firstColumn="0" w:lastColumn="0" w:oddVBand="0" w:evenVBand="0" w:oddHBand="1" w:evenHBand="0" w:firstRowFirstColumn="0" w:firstRowLastColumn="0" w:lastRowFirstColumn="0" w:lastRowLastColumn="0"/>
          <w:trHeight w:val="454"/>
        </w:trPr>
        <w:tc>
          <w:tcPr>
            <w:tcW w:w="705" w:type="pct"/>
          </w:tcPr>
          <w:p w:rsidR="005329ED" w:rsidRPr="00215A21" w:rsidRDefault="005329ED" w:rsidP="006054BB">
            <w:pPr>
              <w:keepNext/>
              <w:spacing w:line="200" w:lineRule="exact"/>
              <w:rPr>
                <w:rStyle w:val="PlaceholderText"/>
                <w:rFonts w:ascii="Arial" w:hAnsi="Arial" w:cs="Arial"/>
                <w:szCs w:val="18"/>
              </w:rPr>
            </w:pPr>
          </w:p>
        </w:tc>
        <w:tc>
          <w:tcPr>
            <w:tcW w:w="750" w:type="pct"/>
          </w:tcPr>
          <w:p w:rsidR="005329ED" w:rsidRPr="00215A21" w:rsidRDefault="0005187C" w:rsidP="006054BB">
            <w:pPr>
              <w:jc w:val="center"/>
              <w:rPr>
                <w:rFonts w:ascii="Arial" w:hAnsi="Arial" w:cs="Arial"/>
                <w:szCs w:val="18"/>
              </w:rPr>
            </w:pPr>
            <w:r w:rsidRPr="00215A21">
              <w:rPr>
                <w:rFonts w:ascii="Arial" w:hAnsi="Arial" w:cs="Arial"/>
                <w:szCs w:val="18"/>
              </w:rPr>
              <w:t>change</w:t>
            </w:r>
            <w:r w:rsidR="005329ED" w:rsidRPr="00215A21">
              <w:rPr>
                <w:rFonts w:ascii="Arial" w:hAnsi="Arial" w:cs="Arial"/>
                <w:szCs w:val="18"/>
              </w:rPr>
              <w:t xml:space="preserve"> over period</w:t>
            </w:r>
            <w:r w:rsidRPr="00215A21">
              <w:rPr>
                <w:rFonts w:ascii="Arial" w:hAnsi="Arial" w:cs="Arial"/>
                <w:szCs w:val="18"/>
              </w:rPr>
              <w:t>, %</w:t>
            </w:r>
          </w:p>
        </w:tc>
        <w:tc>
          <w:tcPr>
            <w:tcW w:w="886" w:type="pct"/>
          </w:tcPr>
          <w:p w:rsidR="005329ED" w:rsidRPr="00215A21" w:rsidRDefault="005329ED" w:rsidP="006054BB">
            <w:pPr>
              <w:tabs>
                <w:tab w:val="decimal" w:pos="581"/>
              </w:tabs>
              <w:jc w:val="center"/>
              <w:rPr>
                <w:rFonts w:ascii="Arial" w:hAnsi="Arial" w:cs="Arial"/>
                <w:bCs/>
                <w:szCs w:val="18"/>
              </w:rPr>
            </w:pPr>
            <w:r w:rsidRPr="00215A21">
              <w:rPr>
                <w:rFonts w:ascii="Arial" w:hAnsi="Arial" w:cs="Arial"/>
                <w:bCs/>
                <w:szCs w:val="18"/>
              </w:rPr>
              <w:t>-1.79</w:t>
            </w:r>
          </w:p>
        </w:tc>
        <w:tc>
          <w:tcPr>
            <w:tcW w:w="886" w:type="pct"/>
          </w:tcPr>
          <w:p w:rsidR="005329ED" w:rsidRPr="00215A21" w:rsidRDefault="005329ED" w:rsidP="006054BB">
            <w:pPr>
              <w:tabs>
                <w:tab w:val="decimal" w:pos="586"/>
              </w:tabs>
              <w:jc w:val="center"/>
              <w:rPr>
                <w:rFonts w:ascii="Arial" w:hAnsi="Arial" w:cs="Arial"/>
                <w:bCs/>
                <w:szCs w:val="18"/>
              </w:rPr>
            </w:pPr>
            <w:r w:rsidRPr="00215A21">
              <w:rPr>
                <w:rFonts w:ascii="Arial" w:hAnsi="Arial" w:cs="Arial"/>
                <w:bCs/>
                <w:szCs w:val="18"/>
              </w:rPr>
              <w:t>-0.98</w:t>
            </w:r>
          </w:p>
        </w:tc>
        <w:tc>
          <w:tcPr>
            <w:tcW w:w="886" w:type="pct"/>
          </w:tcPr>
          <w:p w:rsidR="005329ED" w:rsidRPr="00215A21" w:rsidRDefault="005329ED" w:rsidP="006054BB">
            <w:pPr>
              <w:tabs>
                <w:tab w:val="decimal" w:pos="533"/>
              </w:tabs>
              <w:jc w:val="center"/>
              <w:rPr>
                <w:rFonts w:ascii="Arial" w:hAnsi="Arial" w:cs="Arial"/>
                <w:bCs/>
                <w:szCs w:val="18"/>
              </w:rPr>
            </w:pPr>
            <w:r w:rsidRPr="00215A21">
              <w:rPr>
                <w:rFonts w:ascii="Arial" w:hAnsi="Arial" w:cs="Arial"/>
                <w:bCs/>
                <w:szCs w:val="18"/>
              </w:rPr>
              <w:t>-0.81</w:t>
            </w:r>
          </w:p>
        </w:tc>
        <w:tc>
          <w:tcPr>
            <w:tcW w:w="886" w:type="pct"/>
          </w:tcPr>
          <w:p w:rsidR="005329ED" w:rsidRPr="00215A21" w:rsidRDefault="005329ED" w:rsidP="006054BB">
            <w:pPr>
              <w:tabs>
                <w:tab w:val="decimal" w:pos="545"/>
              </w:tabs>
              <w:jc w:val="center"/>
              <w:rPr>
                <w:rFonts w:ascii="Arial" w:hAnsi="Arial" w:cs="Arial"/>
                <w:szCs w:val="18"/>
              </w:rPr>
            </w:pPr>
            <w:r w:rsidRPr="00215A21">
              <w:rPr>
                <w:rFonts w:ascii="Arial" w:hAnsi="Arial" w:cs="Arial"/>
                <w:szCs w:val="18"/>
              </w:rPr>
              <w:t>-3.7</w:t>
            </w:r>
          </w:p>
        </w:tc>
      </w:tr>
    </w:tbl>
    <w:p w:rsidR="005329ED" w:rsidRPr="00820511" w:rsidRDefault="005329ED" w:rsidP="005329ED">
      <w:pPr>
        <w:pStyle w:val="Header"/>
        <w:pBdr>
          <w:bottom w:val="none" w:sz="0" w:space="0" w:color="auto"/>
        </w:pBdr>
      </w:pPr>
    </w:p>
    <w:p w:rsidR="005329ED" w:rsidRPr="00D9462F" w:rsidRDefault="005329ED" w:rsidP="005329ED">
      <w:pPr>
        <w:pStyle w:val="Note"/>
      </w:pPr>
      <w:r>
        <w:t>Notes:</w:t>
      </w:r>
      <w:r>
        <w:tab/>
        <w:t xml:space="preserve">Structural shares are measured by GVA (Income for Residential). Sectors are as defined by </w:t>
      </w:r>
      <w:r w:rsidRPr="00015159">
        <w:t>2006 ANZSIC</w:t>
      </w:r>
      <w:r>
        <w:t>. * indicate</w:t>
      </w:r>
      <w:r w:rsidR="00260FA3">
        <w:t>s that the</w:t>
      </w:r>
      <w:r>
        <w:t xml:space="preserve"> adjusted figure </w:t>
      </w:r>
      <w:r w:rsidRPr="00D9462F">
        <w:t xml:space="preserve">for Commercial and services consumption in </w:t>
      </w:r>
      <w:r w:rsidR="006C667D">
        <w:t>2012</w:t>
      </w:r>
      <w:r w:rsidRPr="00D9462F">
        <w:t xml:space="preserve"> was used.</w:t>
      </w:r>
    </w:p>
    <w:p w:rsidR="005329ED" w:rsidRPr="00D9462F" w:rsidRDefault="005329ED" w:rsidP="005329ED">
      <w:pPr>
        <w:pStyle w:val="Source"/>
      </w:pPr>
      <w:r w:rsidRPr="00D9462F">
        <w:t>Source:</w:t>
      </w:r>
      <w:r w:rsidRPr="00D9462F">
        <w:tab/>
        <w:t xml:space="preserve">Vivid Economics based on </w:t>
      </w:r>
      <w:r w:rsidR="005A66AE" w:rsidRPr="00D9462F">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"2012" ] ] }, "title" : "BREE AUS electricity generation", "type" : "report" }, "uris" : [ "http://www.mendeley.com/documents/?uuid=c292e916-62ae-405b-994f-f0b321040fe8", "http://www.mendeley.com/documents/?uuid=249012d5-42d1-4fd5-b032-3c75dea616db" ] } ], "mendeley" : { "manualFormatting" : "Australian Government Bureau of Resource and Energy Economics (2012)", "previouslyFormattedCitation" : "(Australian Government Bureau of Resource and Energy Economics, 2012)" }, "properties" : { "noteIndex" : 0 }, "schema" : "https://github.com/citation-style-language/schema/raw/master/csl-citation.json" }</w:instrText>
      </w:r>
      <w:r w:rsidR="005A66AE" w:rsidRPr="00D9462F">
        <w:fldChar w:fldCharType="separate"/>
      </w:r>
      <w:r w:rsidRPr="00D9462F">
        <w:rPr>
          <w:noProof/>
        </w:rPr>
        <w:t>Australian Government Bureau of Resource and Energy Economics (2012)</w:t>
      </w:r>
      <w:r w:rsidR="005A66AE" w:rsidRPr="00D9462F">
        <w:fldChar w:fldCharType="end"/>
      </w:r>
      <w:r w:rsidRPr="00D9462F">
        <w:t xml:space="preserve"> and </w:t>
      </w:r>
      <w:r w:rsidR="005A66AE" w:rsidRPr="00D9462F">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D9462F">
        <w:fldChar w:fldCharType="separate"/>
      </w:r>
      <w:r w:rsidRPr="00D9462F">
        <w:rPr>
          <w:noProof/>
        </w:rPr>
        <w:t>Australian Bureau of Statistics (2013)</w:t>
      </w:r>
      <w:r w:rsidR="005A66AE" w:rsidRPr="00D9462F">
        <w:fldChar w:fldCharType="end"/>
      </w:r>
    </w:p>
    <w:p w:rsidR="005329ED" w:rsidRPr="0086580B" w:rsidRDefault="005329ED" w:rsidP="00222F07">
      <w:pPr>
        <w:pStyle w:val="Heading2"/>
      </w:pPr>
      <w:bookmarkStart w:id="86" w:name="_Toc369890610"/>
      <w:r w:rsidRPr="00222F07">
        <w:lastRenderedPageBreak/>
        <w:t>Trends</w:t>
      </w:r>
      <w:r>
        <w:t xml:space="preserve"> in electricity consumption</w:t>
      </w:r>
      <w:bookmarkEnd w:id="86"/>
    </w:p>
    <w:p w:rsidR="00E52BF1" w:rsidRDefault="00E52BF1" w:rsidP="005329ED">
      <w:pPr>
        <w:rPr>
          <w:b/>
        </w:rPr>
      </w:pPr>
    </w:p>
    <w:p w:rsidR="005329ED" w:rsidRPr="00E52BF1" w:rsidRDefault="005329ED" w:rsidP="005329ED">
      <w:r w:rsidRPr="00E52BF1">
        <w:t>Further analysis of residential, commercial and manufacturing electricity consumption aims to:</w:t>
      </w:r>
    </w:p>
    <w:p w:rsidR="005329ED" w:rsidRPr="00E52BF1" w:rsidRDefault="005329ED" w:rsidP="005329ED">
      <w:pPr>
        <w:pStyle w:val="Dashedbullets"/>
        <w:ind w:left="502" w:hanging="360"/>
      </w:pPr>
      <w:r w:rsidRPr="00E52BF1">
        <w:t>shed light on the underlying drivers;</w:t>
      </w:r>
    </w:p>
    <w:p w:rsidR="005329ED" w:rsidRPr="00E52BF1" w:rsidRDefault="005329ED" w:rsidP="005329ED">
      <w:pPr>
        <w:pStyle w:val="Dashedbullets"/>
        <w:ind w:left="502" w:hanging="360"/>
      </w:pPr>
      <w:r w:rsidRPr="00E52BF1">
        <w:t>investigate whether the relationship between the drivers and electricity consumption has changed; and</w:t>
      </w:r>
    </w:p>
    <w:p w:rsidR="005329ED" w:rsidRPr="00D60723" w:rsidRDefault="00A3029E" w:rsidP="005329ED">
      <w:pPr>
        <w:pStyle w:val="Dashedbullets"/>
        <w:ind w:left="502" w:hanging="360"/>
      </w:pPr>
      <w:r>
        <w:t xml:space="preserve">distinguish </w:t>
      </w:r>
      <w:r w:rsidR="005329ED" w:rsidRPr="00E52BF1">
        <w:t>whether the observed trends are short or long</w:t>
      </w:r>
      <w:r w:rsidR="005329ED" w:rsidRPr="00D60723">
        <w:t xml:space="preserve"> term.</w:t>
      </w:r>
    </w:p>
    <w:p w:rsidR="005329ED" w:rsidRPr="005B3045" w:rsidRDefault="005329ED" w:rsidP="005329ED">
      <w:pPr>
        <w:pStyle w:val="Dashedbullets"/>
        <w:numPr>
          <w:ilvl w:val="0"/>
          <w:numId w:val="0"/>
        </w:numPr>
        <w:ind w:left="720" w:hanging="360"/>
      </w:pPr>
    </w:p>
    <w:p w:rsidR="005329ED" w:rsidRDefault="00AA3B32" w:rsidP="005329ED">
      <w:pPr>
        <w:pStyle w:val="Heading3"/>
      </w:pPr>
      <w:r>
        <w:t>Method</w:t>
      </w:r>
    </w:p>
    <w:p w:rsidR="005329ED" w:rsidRPr="00E52BF1" w:rsidRDefault="005329ED" w:rsidP="005329ED">
      <w:r w:rsidRPr="00E52BF1">
        <w:t xml:space="preserve">For each </w:t>
      </w:r>
      <w:r w:rsidR="00A3029E">
        <w:t>sector</w:t>
      </w:r>
      <w:r w:rsidRPr="00E52BF1">
        <w:t xml:space="preserve">, an Autoregressive Distributed Lag (ADL) model is estimated to identify the main drivers. ADL models have been used in </w:t>
      </w:r>
      <w:r w:rsidR="00A3029E">
        <w:t xml:space="preserve">other </w:t>
      </w:r>
      <w:r w:rsidRPr="00E52BF1">
        <w:t xml:space="preserve">studies for the same purpose </w:t>
      </w:r>
      <w:r w:rsidR="005A66AE" w:rsidRPr="00E52BF1">
        <w:fldChar w:fldCharType="begin" w:fldLock="1"/>
      </w:r>
      <w:r w:rsidR="00971CE6">
        <w:instrText>ADDIN CSL_CITATION { "citationItems" : [ { "id" : "ITEM-1", "itemData" : { "author" : [ { "dropping-particle" : "", "family" : "Madlener", "given" : "Reinhard", "non-dropping-particle" : "", "parse-names" : false, "suffix" : "" }, { "dropping-particle" : "", "family" : "Bernstein", "given" : "Ronald", "non-dropping-particle" : "", "parse-names" : false, "suffix" : "" }, { "dropping-particle" : "", "family" : "Gonzalez", "given" : "Miguel", "non-dropping-particle" : "", "parse-names" : false, "suffix" : "" } ], "id" : "ITEM-1", "issued" : { "date-parts" : [ [ "2011" ] ] }, "title" : "Econometric Estimation of Energy Demand Elasticities", "type" : "report" }, "uris" : [ "http://www.mendeley.com/documents/?uuid=a99fe16c-ea40-4be7-a081-41f73a4d9f3e" ] } ], "mendeley" : { "previouslyFormattedCitation" : "(Madlener, Bernstein, &amp; Gonzalez, 2011)" }, "properties" : { "noteIndex" : 0 }, "schema" : "https://github.com/citation-style-language/schema/raw/master/csl-citation.json" }</w:instrText>
      </w:r>
      <w:r w:rsidR="005A66AE" w:rsidRPr="00E52BF1">
        <w:fldChar w:fldCharType="separate"/>
      </w:r>
      <w:r w:rsidRPr="00E52BF1">
        <w:rPr>
          <w:noProof/>
        </w:rPr>
        <w:t>(Madlener, Bernstein, &amp; Gonzalez, 2011)</w:t>
      </w:r>
      <w:r w:rsidR="005A66AE" w:rsidRPr="00E52BF1">
        <w:fldChar w:fldCharType="end"/>
      </w:r>
      <w:r w:rsidRPr="00E52BF1">
        <w:t>.</w:t>
      </w:r>
    </w:p>
    <w:p w:rsidR="005329ED" w:rsidRPr="00E52BF1" w:rsidRDefault="005329ED" w:rsidP="005329ED"/>
    <w:p w:rsidR="005329ED" w:rsidRPr="00E52BF1" w:rsidRDefault="005329ED" w:rsidP="005329ED">
      <w:r w:rsidRPr="00E52BF1">
        <w:t xml:space="preserve">The methodology differs from the National Electricity Forecasting Report (NEFR) published by the Australian Electricity Market Operator (AEMO). The 2013 NEFR report uses dynamic Ordinary Least Squares (OLS) to identify the contribution of income and electricity prices on electricity consumption. The difference between the methodologies is that the ADL model estimates short and long run coefficient in a single step. More detail on the methodology comparison is provided in Section </w:t>
      </w:r>
      <w:r w:rsidR="007666E1">
        <w:fldChar w:fldCharType="begin"/>
      </w:r>
      <w:r w:rsidR="007666E1">
        <w:instrText xml:space="preserve"> REF _Ref366251349 \n \h  \* MERGEFORMAT </w:instrText>
      </w:r>
      <w:r w:rsidR="007666E1">
        <w:fldChar w:fldCharType="separate"/>
      </w:r>
      <w:r w:rsidR="00197E14">
        <w:t>6</w:t>
      </w:r>
      <w:r w:rsidR="007666E1">
        <w:fldChar w:fldCharType="end"/>
      </w:r>
      <w:r w:rsidR="006E2ED5" w:rsidRPr="00E52BF1">
        <w:t>.</w:t>
      </w:r>
    </w:p>
    <w:p w:rsidR="005329ED" w:rsidRPr="00E52BF1" w:rsidRDefault="005329ED" w:rsidP="005329ED"/>
    <w:p w:rsidR="005329ED" w:rsidRPr="00E52BF1" w:rsidRDefault="005329ED" w:rsidP="005329ED">
      <w:r w:rsidRPr="00E52BF1">
        <w:t xml:space="preserve">The drivers of interest are electricity prices, income, weather and value added. The effect of technology cannot be estimated beyond a general time trend, which might contain other non-technology effects. A detailed analysis of various policies cannot be undertaken </w:t>
      </w:r>
      <w:r w:rsidR="00A3029E">
        <w:t>since data is not available and, at</w:t>
      </w:r>
      <w:r w:rsidRPr="00E52BF1">
        <w:t xml:space="preserve"> the aggregate level, the effect of individual policies would be comingled.</w:t>
      </w:r>
    </w:p>
    <w:p w:rsidR="005329ED" w:rsidRPr="00E52BF1" w:rsidRDefault="005329ED" w:rsidP="005329ED">
      <w:r w:rsidRPr="00E52BF1">
        <w:t xml:space="preserve"> </w:t>
      </w:r>
    </w:p>
    <w:p w:rsidR="005329ED" w:rsidRPr="00E52BF1" w:rsidRDefault="005329ED" w:rsidP="005329ED">
      <w:r w:rsidRPr="00E52BF1">
        <w:t>The estimation is undertaken for both the NEM region as well as all of Australia since data going back further in</w:t>
      </w:r>
      <w:r w:rsidR="00A3029E">
        <w:t>to</w:t>
      </w:r>
      <w:r w:rsidRPr="00E52BF1">
        <w:t xml:space="preserve"> the past is available for Australia, </w:t>
      </w:r>
      <w:r w:rsidR="00A3029E">
        <w:t xml:space="preserve">offering </w:t>
      </w:r>
      <w:r w:rsidRPr="00E52BF1">
        <w:t xml:space="preserve">more accurate estimates. </w:t>
      </w:r>
      <w:r w:rsidR="00A3029E">
        <w:t xml:space="preserve">The </w:t>
      </w:r>
      <w:r w:rsidRPr="00E52BF1">
        <w:t>estimates are combined to arrive at a realistic range of the relationship between drivers and electricity consumption.</w:t>
      </w:r>
    </w:p>
    <w:p w:rsidR="005329ED" w:rsidRPr="00E52BF1" w:rsidRDefault="005329ED" w:rsidP="005329ED"/>
    <w:p w:rsidR="005329ED" w:rsidRPr="00E52BF1" w:rsidRDefault="005329ED" w:rsidP="005329ED">
      <w:r w:rsidRPr="00E52BF1">
        <w:t xml:space="preserve">For each model, specification tests are carried out to </w:t>
      </w:r>
      <w:r w:rsidR="00A3029E">
        <w:t xml:space="preserve">check </w:t>
      </w:r>
      <w:r w:rsidRPr="00E52BF1">
        <w:t>their robustness</w:t>
      </w:r>
      <w:r w:rsidR="00A3029E">
        <w:t>. T</w:t>
      </w:r>
      <w:r w:rsidRPr="00E52BF1">
        <w:t xml:space="preserve">he details of the tests are explained in Section </w:t>
      </w:r>
      <w:r w:rsidR="007666E1">
        <w:fldChar w:fldCharType="begin"/>
      </w:r>
      <w:r w:rsidR="007666E1">
        <w:instrText xml:space="preserve"> REF _Ref366251349 \n \h  \* MERGEFORMAT </w:instrText>
      </w:r>
      <w:r w:rsidR="007666E1">
        <w:fldChar w:fldCharType="separate"/>
      </w:r>
      <w:r w:rsidR="00197E14">
        <w:t>6</w:t>
      </w:r>
      <w:r w:rsidR="007666E1">
        <w:fldChar w:fldCharType="end"/>
      </w:r>
      <w:r w:rsidR="006E2ED5" w:rsidRPr="00E52BF1">
        <w:t xml:space="preserve"> </w:t>
      </w:r>
      <w:r w:rsidRPr="00E52BF1">
        <w:t xml:space="preserve">and the model results are shown in </w:t>
      </w:r>
      <w:r w:rsidR="009E4625" w:rsidRPr="00E52BF1">
        <w:t>the a</w:t>
      </w:r>
      <w:r w:rsidRPr="00E52BF1">
        <w:t>ppendix.</w:t>
      </w:r>
    </w:p>
    <w:p w:rsidR="005329ED" w:rsidRPr="00E52BF1" w:rsidRDefault="005329ED" w:rsidP="005329ED"/>
    <w:p w:rsidR="005329ED" w:rsidRPr="00E52BF1" w:rsidRDefault="00A3029E" w:rsidP="005329ED">
      <w:r>
        <w:t>T</w:t>
      </w:r>
      <w:r w:rsidRPr="00E52BF1">
        <w:t xml:space="preserve">he observed trends since </w:t>
      </w:r>
      <w:r w:rsidR="006C667D">
        <w:t>2008</w:t>
      </w:r>
      <w:r w:rsidRPr="00E52BF1">
        <w:t xml:space="preserve"> are compared with forecasts </w:t>
      </w:r>
      <w:r>
        <w:t>t</w:t>
      </w:r>
      <w:r w:rsidR="005329ED" w:rsidRPr="00E52BF1">
        <w:t>o evaluate whether the relationship between the variable of interest and the</w:t>
      </w:r>
      <w:r>
        <w:t xml:space="preserve"> identified drivers has changed</w:t>
      </w:r>
      <w:r w:rsidR="005329ED" w:rsidRPr="00E52BF1">
        <w:t xml:space="preserve">. The forecasts are obtained by estimating the drivers and their coefficients from the beginning of the sample, 1972 for Australia and 1990 for NEM, until 2007, producing forecasts using observed values of the drivers between </w:t>
      </w:r>
      <w:r w:rsidR="006C667D">
        <w:t>2008</w:t>
      </w:r>
      <w:r w:rsidR="005329ED" w:rsidRPr="00E52BF1">
        <w:t xml:space="preserve"> and </w:t>
      </w:r>
      <w:r w:rsidR="006C667D">
        <w:t>2012</w:t>
      </w:r>
      <w:r w:rsidR="005329ED" w:rsidRPr="00E52BF1">
        <w:t xml:space="preserve">. Details of the methodology are explained in Section </w:t>
      </w:r>
      <w:r w:rsidR="007666E1">
        <w:fldChar w:fldCharType="begin"/>
      </w:r>
      <w:r w:rsidR="007666E1">
        <w:instrText xml:space="preserve"> REF _Ref366251349 \n \h  \* MERGEFORMAT </w:instrText>
      </w:r>
      <w:r w:rsidR="007666E1">
        <w:fldChar w:fldCharType="separate"/>
      </w:r>
      <w:r w:rsidR="00197E14">
        <w:t>6</w:t>
      </w:r>
      <w:r w:rsidR="007666E1">
        <w:fldChar w:fldCharType="end"/>
      </w:r>
      <w:r w:rsidR="005329ED" w:rsidRPr="00E52BF1">
        <w:t>.</w:t>
      </w:r>
    </w:p>
    <w:p w:rsidR="005329ED" w:rsidRPr="00E52BF1" w:rsidRDefault="005329ED" w:rsidP="005329ED"/>
    <w:p w:rsidR="005329ED" w:rsidRPr="00C7264B" w:rsidRDefault="005329ED" w:rsidP="005329ED">
      <w:r w:rsidRPr="00E52BF1">
        <w:t xml:space="preserve">To investigate whether the </w:t>
      </w:r>
      <w:r w:rsidR="00AA3B32">
        <w:t xml:space="preserve">effect of the </w:t>
      </w:r>
      <w:r w:rsidRPr="00E52BF1">
        <w:t xml:space="preserve">drivers </w:t>
      </w:r>
      <w:r w:rsidR="00AA3B32">
        <w:t xml:space="preserve">changed </w:t>
      </w:r>
      <w:r w:rsidRPr="00E52BF1">
        <w:t xml:space="preserve">between </w:t>
      </w:r>
      <w:r w:rsidR="006C667D">
        <w:t>2008</w:t>
      </w:r>
      <w:r w:rsidRPr="00E52BF1">
        <w:t xml:space="preserve"> and </w:t>
      </w:r>
      <w:r w:rsidR="006C667D">
        <w:t>2012</w:t>
      </w:r>
      <w:r w:rsidRPr="00E52BF1">
        <w:t xml:space="preserve">, </w:t>
      </w:r>
      <w:r w:rsidR="00AA3B32">
        <w:t xml:space="preserve">several </w:t>
      </w:r>
      <w:r w:rsidRPr="00E52BF1">
        <w:t xml:space="preserve">forecasts are produced. For each, residential, commercial and services, and manufacturing consumption </w:t>
      </w:r>
      <w:r w:rsidR="00AA3B32">
        <w:t xml:space="preserve">there is a </w:t>
      </w:r>
      <w:r w:rsidRPr="00E52BF1">
        <w:t xml:space="preserve">central forecast. Central forecasts include all drivers and their observed values since </w:t>
      </w:r>
      <w:r w:rsidR="006C667D">
        <w:t>2008</w:t>
      </w:r>
      <w:r w:rsidRPr="00E52BF1">
        <w:t xml:space="preserve">. In addition, forecasts are produced </w:t>
      </w:r>
      <w:r w:rsidR="00AA3B32">
        <w:t xml:space="preserve">after </w:t>
      </w:r>
      <w:r w:rsidRPr="00E52BF1">
        <w:t xml:space="preserve">turning off the effect of </w:t>
      </w:r>
      <w:r w:rsidR="00AA3B32">
        <w:t xml:space="preserve">individual </w:t>
      </w:r>
      <w:r>
        <w:t xml:space="preserve">drivers. These forecasts </w:t>
      </w:r>
      <w:r w:rsidR="00AA3B32">
        <w:t xml:space="preserve">show </w:t>
      </w:r>
      <w:r>
        <w:t xml:space="preserve">whether </w:t>
      </w:r>
      <w:r w:rsidR="00AA3B32">
        <w:t>a driver</w:t>
      </w:r>
      <w:r>
        <w:t xml:space="preserve"> ha</w:t>
      </w:r>
      <w:r w:rsidR="00AA3B32">
        <w:t>s</w:t>
      </w:r>
      <w:r>
        <w:t xml:space="preserve"> </w:t>
      </w:r>
      <w:r w:rsidR="00AA3B32">
        <w:t xml:space="preserve">influenced the </w:t>
      </w:r>
      <w:r>
        <w:t xml:space="preserve">variable of interest more or less than expected </w:t>
      </w:r>
      <w:r w:rsidR="00AA3B32">
        <w:t xml:space="preserve">recently </w:t>
      </w:r>
      <w:r>
        <w:t xml:space="preserve">based on </w:t>
      </w:r>
      <w:r w:rsidR="00AA3B32">
        <w:t xml:space="preserve">its previous </w:t>
      </w:r>
      <w:r>
        <w:t xml:space="preserve">relationship. The methodology is explained in Section </w:t>
      </w:r>
      <w:r w:rsidR="005A66AE">
        <w:rPr>
          <w:highlight w:val="yellow"/>
        </w:rPr>
        <w:fldChar w:fldCharType="begin"/>
      </w:r>
      <w:r w:rsidR="000912E3">
        <w:instrText xml:space="preserve"> REF _Ref366251349 \n \h </w:instrText>
      </w:r>
      <w:r w:rsidR="005A66AE">
        <w:rPr>
          <w:highlight w:val="yellow"/>
        </w:rPr>
      </w:r>
      <w:r w:rsidR="005A66AE">
        <w:rPr>
          <w:highlight w:val="yellow"/>
        </w:rPr>
        <w:fldChar w:fldCharType="separate"/>
      </w:r>
      <w:r w:rsidR="00197E14">
        <w:t>6</w:t>
      </w:r>
      <w:r w:rsidR="005A66AE">
        <w:rPr>
          <w:highlight w:val="yellow"/>
        </w:rPr>
        <w:fldChar w:fldCharType="end"/>
      </w:r>
      <w:r>
        <w:t>.</w:t>
      </w:r>
    </w:p>
    <w:p w:rsidR="005329ED" w:rsidRDefault="005329ED" w:rsidP="005329ED">
      <w:pPr>
        <w:rPr>
          <w:b/>
        </w:rPr>
      </w:pPr>
    </w:p>
    <w:p w:rsidR="005329ED" w:rsidRPr="0086580B" w:rsidRDefault="005329ED" w:rsidP="005329ED">
      <w:pPr>
        <w:pStyle w:val="Heading3"/>
      </w:pPr>
      <w:bookmarkStart w:id="87" w:name="_Ref366330089"/>
      <w:r w:rsidRPr="0086580B">
        <w:lastRenderedPageBreak/>
        <w:t>Residential</w:t>
      </w:r>
      <w:bookmarkEnd w:id="87"/>
    </w:p>
    <w:p w:rsidR="005329ED" w:rsidRPr="00E52BF1" w:rsidRDefault="005329ED" w:rsidP="005329ED">
      <w:r w:rsidRPr="00E52BF1">
        <w:t xml:space="preserve">Residential electricity </w:t>
      </w:r>
      <w:r w:rsidRPr="004D580A">
        <w:t>consumption grew more slowly between</w:t>
      </w:r>
      <w:r w:rsidRPr="00E52BF1">
        <w:t xml:space="preserve"> </w:t>
      </w:r>
      <w:r w:rsidR="006C667D">
        <w:t>2008</w:t>
      </w:r>
      <w:r w:rsidRPr="00E52BF1">
        <w:t xml:space="preserve"> and </w:t>
      </w:r>
      <w:r w:rsidR="006C667D">
        <w:t>2012</w:t>
      </w:r>
      <w:r w:rsidRPr="00E52BF1">
        <w:t xml:space="preserve"> in the NEM than from </w:t>
      </w:r>
      <w:r w:rsidR="006C667D">
        <w:t>2000</w:t>
      </w:r>
      <w:r w:rsidRPr="00E52BF1">
        <w:t xml:space="preserve"> to </w:t>
      </w:r>
      <w:r w:rsidR="006C667D">
        <w:t>2008</w:t>
      </w:r>
      <w:r w:rsidRPr="00E52BF1">
        <w:t>. The growth</w:t>
      </w:r>
      <w:r w:rsidR="00AA3B32">
        <w:t xml:space="preserve"> rate slowed slightly from a CAGR of 1.6</w:t>
      </w:r>
      <w:r w:rsidRPr="00E52BF1">
        <w:t xml:space="preserve"> per cent between </w:t>
      </w:r>
      <w:r w:rsidR="00A44C3F">
        <w:t>2003</w:t>
      </w:r>
      <w:r w:rsidRPr="00E52BF1">
        <w:t xml:space="preserve"> and </w:t>
      </w:r>
      <w:r w:rsidR="006C667D">
        <w:t>2008</w:t>
      </w:r>
      <w:r w:rsidRPr="00E52BF1">
        <w:t xml:space="preserve"> to 1.5 per cent between </w:t>
      </w:r>
      <w:r w:rsidR="006C667D">
        <w:t>2008</w:t>
      </w:r>
      <w:r w:rsidRPr="00E52BF1">
        <w:t xml:space="preserve"> and </w:t>
      </w:r>
      <w:r w:rsidR="006C667D">
        <w:t>2012</w:t>
      </w:r>
      <w:r w:rsidRPr="00E52BF1">
        <w:t>.</w:t>
      </w:r>
    </w:p>
    <w:p w:rsidR="005329ED" w:rsidRPr="00E52BF1" w:rsidRDefault="005329ED" w:rsidP="005329ED"/>
    <w:p w:rsidR="005329ED" w:rsidRPr="00714DDB" w:rsidRDefault="005329ED" w:rsidP="005329ED">
      <w:r w:rsidRPr="00E52BF1">
        <w:t xml:space="preserve">The trends in residential electricity consumption between NEM and the remaining two regions, Northern Territory and Western Australia, are similar as shown in </w:t>
      </w:r>
      <w:r w:rsidR="007666E1">
        <w:fldChar w:fldCharType="begin"/>
      </w:r>
      <w:r w:rsidR="007666E1">
        <w:instrText xml:space="preserve"> REF _Ref365807189 \r \h  \* MERGEFORMAT </w:instrText>
      </w:r>
      <w:r w:rsidR="007666E1">
        <w:fldChar w:fldCharType="separate"/>
      </w:r>
      <w:r w:rsidR="00197E14">
        <w:t>Figure 14</w:t>
      </w:r>
      <w:r w:rsidR="007666E1">
        <w:fldChar w:fldCharType="end"/>
      </w:r>
      <w:r w:rsidR="002D4E4B">
        <w:t xml:space="preserve"> and </w:t>
      </w:r>
      <w:r w:rsidR="005A66AE">
        <w:fldChar w:fldCharType="begin"/>
      </w:r>
      <w:r w:rsidR="002D4E4B">
        <w:instrText xml:space="preserve"> REF _Ref366333057 \r \h </w:instrText>
      </w:r>
      <w:r w:rsidR="005A66AE">
        <w:fldChar w:fldCharType="separate"/>
      </w:r>
      <w:r w:rsidR="00197E14">
        <w:t>Figure 15</w:t>
      </w:r>
      <w:r w:rsidR="005A66AE">
        <w:fldChar w:fldCharType="end"/>
      </w:r>
      <w:r w:rsidRPr="00E52BF1">
        <w:t xml:space="preserve">. This comparison is important as the data for electricity consumption per sector for all of Australia </w:t>
      </w:r>
      <w:r w:rsidR="00AA3B32">
        <w:t xml:space="preserve">extends </w:t>
      </w:r>
      <w:r w:rsidRPr="00E52BF1">
        <w:t xml:space="preserve">back to 1972, whereas sectoral electricity consumption per </w:t>
      </w:r>
      <w:r w:rsidR="00671005">
        <w:t>state</w:t>
      </w:r>
      <w:r w:rsidRPr="00E52BF1">
        <w:t xml:space="preserve">, which is necessary to single out the NEM, </w:t>
      </w:r>
      <w:r w:rsidR="00AA3B32">
        <w:t xml:space="preserve">starts in </w:t>
      </w:r>
      <w:r w:rsidRPr="00E52BF1">
        <w:t xml:space="preserve">1990. The longer time series for Australia allows for a more accurate </w:t>
      </w:r>
      <w:r w:rsidR="00AA3B32">
        <w:t xml:space="preserve">test for </w:t>
      </w:r>
      <w:r w:rsidRPr="00E52BF1">
        <w:t xml:space="preserve">the drivers of residential electricity </w:t>
      </w:r>
      <w:r w:rsidR="00B24BE1">
        <w:t>consumption</w:t>
      </w:r>
      <w:r w:rsidRPr="00E52BF1">
        <w:t xml:space="preserve"> as well as of their relative magnitude. To check for the robustness</w:t>
      </w:r>
      <w:r>
        <w:t xml:space="preserve"> of the results, the estimates for all of Australia are compared with the NEM region estimates and the coefficients are not statistically significantly different</w:t>
      </w:r>
      <w:r w:rsidR="00AA3B32">
        <w:t>,</w:t>
      </w:r>
      <w:r>
        <w:t xml:space="preserve"> as shown in the appendix.</w:t>
      </w:r>
    </w:p>
    <w:p w:rsidR="005329ED" w:rsidRPr="000D25DC" w:rsidRDefault="005329ED" w:rsidP="005329ED">
      <w:pPr>
        <w:pStyle w:val="Charttitle"/>
      </w:pPr>
      <w:bookmarkStart w:id="88" w:name="_Ref365807189"/>
      <w:bookmarkStart w:id="89" w:name="_Toc366004677"/>
      <w:bookmarkStart w:id="90" w:name="_Toc366269838"/>
      <w:bookmarkStart w:id="91" w:name="_Toc369890554"/>
      <w:r>
        <w:t>The trends in</w:t>
      </w:r>
      <w:r w:rsidR="002D4E4B">
        <w:t xml:space="preserve"> residential</w:t>
      </w:r>
      <w:r>
        <w:t xml:space="preserve"> consumption between NEM and Western Australia and Northern Territory are similar</w:t>
      </w:r>
      <w:bookmarkEnd w:id="88"/>
      <w:bookmarkEnd w:id="89"/>
      <w:bookmarkEnd w:id="90"/>
      <w:bookmarkEnd w:id="91"/>
    </w:p>
    <w:p w:rsidR="005329ED" w:rsidRPr="00D9462F" w:rsidRDefault="005329ED" w:rsidP="005329ED">
      <w:pPr>
        <w:pStyle w:val="Chartspacer"/>
        <w:rPr>
          <w:rStyle w:val="PlaceholderText"/>
          <w:i/>
        </w:rPr>
      </w:pPr>
      <w:r w:rsidRPr="00D9462F">
        <w:rPr>
          <w:i/>
          <w:noProof/>
          <w:lang w:eastAsia="en-GB"/>
        </w:rPr>
        <w:drawing>
          <wp:inline distT="0" distB="0" distL="0" distR="0" wp14:anchorId="68F3C2BA" wp14:editId="6A824397">
            <wp:extent cx="6120130" cy="34545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454581"/>
                    </a:xfrm>
                    <a:prstGeom prst="rect">
                      <a:avLst/>
                    </a:prstGeom>
                    <a:noFill/>
                    <a:ln>
                      <a:noFill/>
                    </a:ln>
                  </pic:spPr>
                </pic:pic>
              </a:graphicData>
            </a:graphic>
          </wp:inline>
        </w:drawing>
      </w:r>
    </w:p>
    <w:p w:rsidR="005329ED" w:rsidRPr="00D9462F" w:rsidRDefault="005329ED" w:rsidP="005329ED">
      <w:pPr>
        <w:pStyle w:val="Source"/>
      </w:pPr>
      <w:r w:rsidRPr="00D9462F">
        <w:t>Source:</w:t>
      </w:r>
      <w:r w:rsidRPr="00D9462F">
        <w:tab/>
        <w:t xml:space="preserve">Vivid Economics based on </w:t>
      </w:r>
      <w:r w:rsidR="005A66AE" w:rsidRPr="00D9462F">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D9462F">
        <w:fldChar w:fldCharType="separate"/>
      </w:r>
      <w:r w:rsidRPr="00D9462F">
        <w:rPr>
          <w:noProof/>
        </w:rPr>
        <w:t>Australian Government Bureau of Resource and Energy Economics (2013)</w:t>
      </w:r>
      <w:r w:rsidR="005A66AE" w:rsidRPr="00D9462F">
        <w:fldChar w:fldCharType="end"/>
      </w:r>
    </w:p>
    <w:p w:rsidR="002D4E4B" w:rsidRDefault="002D4E4B" w:rsidP="005329ED"/>
    <w:p w:rsidR="002D4E4B" w:rsidRPr="000D25DC" w:rsidRDefault="002D4E4B" w:rsidP="00C8003C">
      <w:pPr>
        <w:pStyle w:val="Charttitle"/>
      </w:pPr>
      <w:bookmarkStart w:id="92" w:name="_Ref366333057"/>
      <w:bookmarkStart w:id="93" w:name="_Toc369890555"/>
      <w:r>
        <w:lastRenderedPageBreak/>
        <w:t xml:space="preserve">The trends in residential consumption growth between NEM and </w:t>
      </w:r>
      <w:r w:rsidR="00B26A1C">
        <w:t>WA</w:t>
      </w:r>
      <w:r>
        <w:t xml:space="preserve"> and </w:t>
      </w:r>
      <w:r w:rsidR="00B26A1C">
        <w:t>NT</w:t>
      </w:r>
      <w:r>
        <w:t xml:space="preserve"> are similar</w:t>
      </w:r>
      <w:bookmarkEnd w:id="92"/>
      <w:bookmarkEnd w:id="93"/>
    </w:p>
    <w:p w:rsidR="002D4E4B" w:rsidRPr="00430244" w:rsidRDefault="002D4E4B" w:rsidP="00C8003C">
      <w:pPr>
        <w:pStyle w:val="Chartspacer"/>
        <w:rPr>
          <w:rStyle w:val="PlaceholderText"/>
        </w:rPr>
      </w:pPr>
      <w:r w:rsidRPr="002D4E4B">
        <w:rPr>
          <w:noProof/>
          <w:lang w:eastAsia="en-GB"/>
        </w:rPr>
        <w:drawing>
          <wp:inline distT="0" distB="0" distL="0" distR="0" wp14:anchorId="2267F8E2" wp14:editId="09C3C7B4">
            <wp:extent cx="6120765" cy="369235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3692352"/>
                    </a:xfrm>
                    <a:prstGeom prst="rect">
                      <a:avLst/>
                    </a:prstGeom>
                    <a:noFill/>
                    <a:ln>
                      <a:noFill/>
                    </a:ln>
                  </pic:spPr>
                </pic:pic>
              </a:graphicData>
            </a:graphic>
          </wp:inline>
        </w:drawing>
      </w:r>
    </w:p>
    <w:p w:rsidR="002D4E4B" w:rsidRDefault="002D4E4B" w:rsidP="005F4C0F">
      <w:pPr>
        <w:pStyle w:val="Source"/>
      </w:pPr>
      <w:r w:rsidRPr="005A132E">
        <w:t>Source:</w:t>
      </w:r>
      <w:r>
        <w:tab/>
      </w:r>
      <w:r w:rsidRPr="00D9462F">
        <w:t xml:space="preserve">Vivid Economics based on </w:t>
      </w:r>
      <w:r w:rsidR="005A66AE" w:rsidRPr="00D9462F">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D9462F">
        <w:fldChar w:fldCharType="separate"/>
      </w:r>
      <w:r w:rsidRPr="00D9462F">
        <w:rPr>
          <w:noProof/>
        </w:rPr>
        <w:t>Australian Government Bureau of Resource and Energy Economics (2013)</w:t>
      </w:r>
      <w:r w:rsidR="005A66AE" w:rsidRPr="00D9462F">
        <w:fldChar w:fldCharType="end"/>
      </w:r>
    </w:p>
    <w:p w:rsidR="005329ED" w:rsidRPr="005C64B5" w:rsidRDefault="005329ED" w:rsidP="005329ED">
      <w:r w:rsidRPr="00E52BF1">
        <w:t xml:space="preserve">Electricity consumption </w:t>
      </w:r>
      <w:r w:rsidR="00260FA3">
        <w:t>was</w:t>
      </w:r>
      <w:r w:rsidRPr="00E52BF1">
        <w:t xml:space="preserve"> 6.36 MWh per household in 1990-00</w:t>
      </w:r>
      <w:r w:rsidR="00260FA3">
        <w:t>,</w:t>
      </w:r>
      <w:r w:rsidRPr="00E52BF1">
        <w:t xml:space="preserve"> and 6.41 MWh per household in </w:t>
      </w:r>
      <w:r w:rsidR="006C667D">
        <w:t>2012</w:t>
      </w:r>
      <w:r w:rsidRPr="00E52BF1">
        <w:t>, the latest available year for household size. Household size is measured</w:t>
      </w:r>
      <w:r w:rsidRPr="005C64B5">
        <w:t xml:space="preserve"> every five years, whereas electricity consumption per capita is available each year.</w:t>
      </w:r>
      <w:r>
        <w:t xml:space="preserve"> </w:t>
      </w:r>
      <w:r w:rsidRPr="005C64B5">
        <w:t xml:space="preserve">Electricity consumption per capita </w:t>
      </w:r>
      <w:r w:rsidR="00260FA3">
        <w:t>was</w:t>
      </w:r>
      <w:r w:rsidRPr="005C64B5">
        <w:t xml:space="preserve"> fairly constant between </w:t>
      </w:r>
      <w:r w:rsidR="006C667D">
        <w:t>2005</w:t>
      </w:r>
      <w:r w:rsidRPr="005C64B5">
        <w:t xml:space="preserve"> and 2007/08 and started to decline in 2011/12</w:t>
      </w:r>
      <w:r w:rsidR="00260FA3">
        <w:t>,</w:t>
      </w:r>
      <w:r w:rsidRPr="005C64B5">
        <w:t xml:space="preserve"> as shown in </w:t>
      </w:r>
      <w:r w:rsidR="00260FA3">
        <w:fldChar w:fldCharType="begin"/>
      </w:r>
      <w:r w:rsidR="00260FA3">
        <w:instrText xml:space="preserve"> REF _Ref365807912 \r \h  \* MERGEFORMAT </w:instrText>
      </w:r>
      <w:r w:rsidR="00260FA3">
        <w:fldChar w:fldCharType="separate"/>
      </w:r>
      <w:r w:rsidR="00197E14">
        <w:t>Figure 16</w:t>
      </w:r>
      <w:r w:rsidR="00260FA3">
        <w:fldChar w:fldCharType="end"/>
      </w:r>
      <w:r w:rsidRPr="005C64B5">
        <w:t>.</w:t>
      </w:r>
    </w:p>
    <w:p w:rsidR="005329ED" w:rsidRPr="000D25DC" w:rsidRDefault="005329ED" w:rsidP="005329ED">
      <w:pPr>
        <w:pStyle w:val="Charttitle"/>
      </w:pPr>
      <w:bookmarkStart w:id="94" w:name="_Ref365807912"/>
      <w:bookmarkStart w:id="95" w:name="_Toc366004678"/>
      <w:bookmarkStart w:id="96" w:name="_Toc366269839"/>
      <w:bookmarkStart w:id="97" w:name="_Toc369890556"/>
      <w:r>
        <w:lastRenderedPageBreak/>
        <w:t>Residential per capita electricity consumption</w:t>
      </w:r>
      <w:bookmarkEnd w:id="94"/>
      <w:r>
        <w:t xml:space="preserve"> in the NEM flattened between </w:t>
      </w:r>
      <w:r w:rsidR="006C667D">
        <w:t>2005</w:t>
      </w:r>
      <w:r>
        <w:t xml:space="preserve"> and </w:t>
      </w:r>
      <w:r w:rsidR="006C667D">
        <w:t>2012</w:t>
      </w:r>
      <w:bookmarkEnd w:id="95"/>
      <w:bookmarkEnd w:id="96"/>
      <w:bookmarkEnd w:id="97"/>
    </w:p>
    <w:p w:rsidR="005329ED" w:rsidRPr="00430244" w:rsidRDefault="005329ED" w:rsidP="005329ED">
      <w:pPr>
        <w:pStyle w:val="Chartspacer"/>
        <w:rPr>
          <w:rStyle w:val="PlaceholderText"/>
        </w:rPr>
      </w:pPr>
      <w:r w:rsidRPr="00F9172D">
        <w:rPr>
          <w:noProof/>
          <w:lang w:eastAsia="en-GB"/>
        </w:rPr>
        <w:drawing>
          <wp:inline distT="0" distB="0" distL="0" distR="0" wp14:anchorId="36D0F073" wp14:editId="08A53E21">
            <wp:extent cx="6120130" cy="34545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454581"/>
                    </a:xfrm>
                    <a:prstGeom prst="rect">
                      <a:avLst/>
                    </a:prstGeom>
                    <a:noFill/>
                    <a:ln>
                      <a:noFill/>
                    </a:ln>
                  </pic:spPr>
                </pic:pic>
              </a:graphicData>
            </a:graphic>
          </wp:inline>
        </w:drawing>
      </w:r>
    </w:p>
    <w:p w:rsidR="005329ED" w:rsidRPr="005A132E" w:rsidRDefault="005329ED" w:rsidP="005329ED">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C85E86">
        <w:rPr>
          <w:noProof/>
        </w:rPr>
        <w:t>Australian Government Bureau of Resource and Energy Economics (2013)</w:t>
      </w:r>
      <w:r w:rsidR="005A66AE">
        <w:fldChar w:fldCharType="end"/>
      </w:r>
    </w:p>
    <w:p w:rsidR="005329ED" w:rsidRPr="004A497F" w:rsidRDefault="005329ED" w:rsidP="005329ED">
      <w:r w:rsidRPr="00E52BF1">
        <w:t>The drivers of residential electricity consumption are prices and final consumption expenditure. Weather has been found to be statistically insignificant</w:t>
      </w:r>
      <w:r w:rsidR="003F3EE0">
        <w:t xml:space="preserve">, which </w:t>
      </w:r>
      <w:r w:rsidR="00B26A1C">
        <w:t xml:space="preserve">is in contrast to </w:t>
      </w:r>
      <w:r w:rsidR="003F3EE0">
        <w:t>previous work by AEMO</w:t>
      </w:r>
      <w:r w:rsidRPr="00E52BF1">
        <w:t xml:space="preserve">. Equation 1 below shows the estimation for changes in residential electricity </w:t>
      </w:r>
      <w:r w:rsidR="00B24BE1">
        <w:t>consumption</w:t>
      </w:r>
      <w:r w:rsidRPr="00E52BF1">
        <w:t xml:space="preserve"> together with the coefficient and significance of each driver</w:t>
      </w:r>
      <w:r>
        <w:t>.</w:t>
      </w:r>
    </w:p>
    <w:p w:rsidR="005329ED" w:rsidRDefault="005329ED" w:rsidP="00FF61AD">
      <w:pPr>
        <w:jc w:val="center"/>
      </w:pPr>
    </w:p>
    <w:p w:rsidR="005329ED" w:rsidRDefault="005329ED" w:rsidP="005329ED">
      <w:pPr>
        <w:jc w:val="center"/>
      </w:pPr>
    </w:p>
    <w:p w:rsidR="005329ED" w:rsidRDefault="003F142F" w:rsidP="005329ED">
      <w:pPr>
        <w:spacing w:line="360" w:lineRule="auto"/>
        <w:jc w:val="center"/>
      </w:pPr>
      <m:oMath>
        <m:sSub>
          <m:sSubPr>
            <m:ctrlPr>
              <w:rPr>
                <w:rFonts w:ascii="Cambria Math" w:hAnsi="Cambria Math"/>
                <w:i/>
                <w:iCs/>
              </w:rPr>
            </m:ctrlPr>
          </m:sSubPr>
          <m:e>
            <m:r>
              <w:rPr>
                <w:rFonts w:ascii="Cambria Math" w:hAnsi="Cambria Math"/>
                <w:lang w:val="el-GR"/>
              </w:rPr>
              <m:t>Δ</m:t>
            </m:r>
            <m:r>
              <w:rPr>
                <w:rFonts w:ascii="Cambria Math" w:hAnsi="Cambria Math"/>
              </w:rPr>
              <m:t>rese</m:t>
            </m:r>
          </m:e>
          <m:sub>
            <m:r>
              <w:rPr>
                <w:rFonts w:ascii="Cambria Math" w:hAnsi="Cambria Math"/>
              </w:rPr>
              <m:t>t</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1.06</m:t>
                </m:r>
              </m:e>
            </m:groupChr>
          </m:e>
          <m:lim>
            <m:r>
              <w:rPr>
                <w:rFonts w:ascii="Cambria Math" w:hAnsi="Cambria Math"/>
              </w:rPr>
              <m:t>0.01</m:t>
            </m:r>
          </m:lim>
        </m:limLow>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0.70</m:t>
                </m:r>
              </m:e>
            </m:groupChr>
          </m:e>
          <m:lim>
            <m:r>
              <w:rPr>
                <w:rFonts w:ascii="Cambria Math" w:hAnsi="Cambria Math"/>
              </w:rPr>
              <m:t>0.01</m:t>
            </m:r>
          </m:lim>
        </m:limLow>
        <m:r>
          <w:rPr>
            <w:rFonts w:ascii="Cambria Math" w:hAnsi="Cambria Math"/>
          </w:rPr>
          <m:t>res</m:t>
        </m:r>
        <m:sSub>
          <m:sSubPr>
            <m:ctrlPr>
              <w:rPr>
                <w:rFonts w:ascii="Cambria Math" w:hAnsi="Cambria Math"/>
                <w:i/>
                <w:iCs/>
              </w:rPr>
            </m:ctrlPr>
          </m:sSubPr>
          <m:e>
            <m:r>
              <w:rPr>
                <w:rFonts w:ascii="Cambria Math" w:hAnsi="Cambria Math"/>
              </w:rPr>
              <m:t>e</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0.48</m:t>
                </m:r>
              </m:e>
            </m:groupChr>
          </m:e>
          <m:lim>
            <m:r>
              <w:rPr>
                <w:rFonts w:ascii="Cambria Math" w:hAnsi="Cambria Math"/>
              </w:rPr>
              <m:t>0.01</m:t>
            </m:r>
          </m:lim>
        </m:limLow>
        <m:sSub>
          <m:sSubPr>
            <m:ctrlPr>
              <w:rPr>
                <w:rFonts w:ascii="Cambria Math" w:hAnsi="Cambria Math"/>
                <w:i/>
                <w:iCs/>
              </w:rPr>
            </m:ctrlPr>
          </m:sSubPr>
          <m:e>
            <m:r>
              <w:rPr>
                <w:rFonts w:ascii="Cambria Math" w:hAnsi="Cambria Math"/>
              </w:rPr>
              <m:t>c</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0.10</m:t>
                </m:r>
              </m:e>
            </m:groupChr>
          </m:e>
          <m:lim>
            <m:r>
              <w:rPr>
                <w:rFonts w:ascii="Cambria Math" w:hAnsi="Cambria Math"/>
              </w:rPr>
              <m:t>0.35</m:t>
            </m:r>
          </m:lim>
        </m:limLow>
        <m:sSub>
          <m:sSubPr>
            <m:ctrlPr>
              <w:rPr>
                <w:rFonts w:ascii="Cambria Math" w:hAnsi="Cambria Math"/>
                <w:i/>
                <w:iCs/>
              </w:rPr>
            </m:ctrlPr>
          </m:sSubPr>
          <m:e>
            <m:r>
              <w:rPr>
                <w:rFonts w:ascii="Cambria Math" w:hAnsi="Cambria Math"/>
              </w:rPr>
              <m:t>p</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0.18</m:t>
                </m:r>
              </m:e>
            </m:groupChr>
          </m:e>
          <m:lim>
            <m:r>
              <w:rPr>
                <w:rFonts w:ascii="Cambria Math" w:hAnsi="Cambria Math"/>
              </w:rPr>
              <m:t>0.17</m:t>
            </m:r>
          </m:lim>
        </m:limLow>
        <m:sSub>
          <m:sSubPr>
            <m:ctrlPr>
              <w:rPr>
                <w:rFonts w:ascii="Cambria Math" w:hAnsi="Cambria Math"/>
                <w:i/>
                <w:iCs/>
              </w:rPr>
            </m:ctrlPr>
          </m:sSubPr>
          <m:e>
            <m:r>
              <w:rPr>
                <w:rFonts w:ascii="Cambria Math" w:hAnsi="Cambria Math"/>
                <w:lang w:val="el-GR"/>
              </w:rPr>
              <m:t>Δ</m:t>
            </m:r>
            <m:r>
              <w:rPr>
                <w:rFonts w:ascii="Cambria Math" w:hAnsi="Cambria Math"/>
              </w:rPr>
              <m:t>p</m:t>
            </m:r>
          </m:e>
          <m:sub>
            <m:r>
              <w:rPr>
                <w:rFonts w:ascii="Cambria Math" w:hAnsi="Cambria Math"/>
              </w:rPr>
              <m:t>t</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0.04</m:t>
                </m:r>
              </m:e>
            </m:groupChr>
          </m:e>
          <m:lim>
            <m:r>
              <w:rPr>
                <w:rFonts w:ascii="Cambria Math" w:hAnsi="Cambria Math"/>
              </w:rPr>
              <m:t>0.00</m:t>
            </m:r>
          </m:lim>
        </m:limLow>
        <m:r>
          <w:rPr>
            <w:rFonts w:ascii="Cambria Math" w:hAnsi="Cambria Math"/>
          </w:rPr>
          <m:t>I</m:t>
        </m:r>
        <m:sSub>
          <m:sSubPr>
            <m:ctrlPr>
              <w:rPr>
                <w:rFonts w:ascii="Cambria Math" w:hAnsi="Cambria Math"/>
                <w:i/>
                <w:iCs/>
              </w:rPr>
            </m:ctrlPr>
          </m:sSubPr>
          <m:e>
            <m:r>
              <w:rPr>
                <w:rFonts w:ascii="Cambria Math" w:hAnsi="Cambria Math"/>
              </w:rPr>
              <m:t>D</m:t>
            </m:r>
          </m:e>
          <m:sub>
            <m:r>
              <w:rPr>
                <w:rFonts w:ascii="Cambria Math" w:hAnsi="Cambria Math"/>
              </w:rPr>
              <m:t>0304</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w:r w:rsidR="005329ED">
        <w:rPr>
          <w:rFonts w:eastAsiaTheme="minorEastAsia"/>
          <w:iCs/>
        </w:rPr>
        <w:tab/>
      </w:r>
      <w:r w:rsidR="005329ED">
        <w:rPr>
          <w:rFonts w:eastAsiaTheme="minorEastAsia"/>
          <w:iCs/>
        </w:rPr>
        <w:tab/>
      </w:r>
      <w:r w:rsidR="005329ED">
        <w:rPr>
          <w:rFonts w:eastAsiaTheme="minorEastAsia"/>
          <w:iCs/>
        </w:rPr>
        <w:tab/>
        <w:t>(1)</w:t>
      </w:r>
    </w:p>
    <w:p w:rsidR="005329ED" w:rsidRDefault="00A42794" w:rsidP="005329ED">
      <w:pPr>
        <w:ind w:left="720"/>
        <w:rPr>
          <w:sz w:val="18"/>
        </w:rPr>
      </w:pPr>
      <w:r>
        <w:rPr>
          <w:sz w:val="18"/>
        </w:rPr>
        <w:t>Note: p</w:t>
      </w:r>
      <w:r w:rsidR="005329ED" w:rsidRPr="0061072A">
        <w:rPr>
          <w:sz w:val="18"/>
        </w:rPr>
        <w:t xml:space="preserve"> values for the significance of the explanatory variables are provided under the coefficient estimates.</w:t>
      </w:r>
      <w:r>
        <w:rPr>
          <w:sz w:val="18"/>
        </w:rPr>
        <w:t xml:space="preserve"> </w:t>
      </w:r>
      <w:r w:rsidR="00260FA3">
        <w:rPr>
          <w:sz w:val="18"/>
        </w:rPr>
        <w:t>T</w:t>
      </w:r>
      <w:r>
        <w:rPr>
          <w:sz w:val="18"/>
        </w:rPr>
        <w:t xml:space="preserve">he nature of the model requires </w:t>
      </w:r>
      <w:r w:rsidR="00672465">
        <w:rPr>
          <w:sz w:val="18"/>
        </w:rPr>
        <w:t>conducting</w:t>
      </w:r>
      <w:r>
        <w:rPr>
          <w:sz w:val="18"/>
        </w:rPr>
        <w:t xml:space="preserve"> an F test, which has different bounds since it considers non-stationary, cointegrated time series data, and the F test rejects that the coefficients are insignificant.</w:t>
      </w:r>
    </w:p>
    <w:p w:rsidR="00FE0855" w:rsidRPr="0061072A" w:rsidRDefault="00FE0855" w:rsidP="005329ED">
      <w:pPr>
        <w:ind w:left="720"/>
        <w:rPr>
          <w:sz w:val="18"/>
        </w:rPr>
      </w:pPr>
    </w:p>
    <w:p w:rsidR="005329ED" w:rsidRPr="00AA3B32" w:rsidRDefault="00AA3B32" w:rsidP="005329ED">
      <w:r>
        <w:rPr>
          <w:iCs/>
        </w:rPr>
        <w:t>w</w:t>
      </w:r>
      <w:r w:rsidR="005329ED" w:rsidRPr="00AA3B32">
        <w:rPr>
          <w:iCs/>
        </w:rPr>
        <w:t>here</w:t>
      </w:r>
      <w:r>
        <w:rPr>
          <w:iCs/>
        </w:rPr>
        <w:t>:</w:t>
      </w:r>
    </w:p>
    <w:p w:rsidR="005329ED" w:rsidRPr="00FB45D2" w:rsidRDefault="005329ED" w:rsidP="005329ED">
      <w:pPr>
        <w:pStyle w:val="Dashedbullets"/>
        <w:ind w:left="502" w:hanging="360"/>
      </w:pPr>
      <w:r w:rsidRPr="00FB45D2">
        <w:rPr>
          <w:i/>
          <w:iCs/>
        </w:rPr>
        <w:t>rese</w:t>
      </w:r>
      <w:r w:rsidRPr="00FB45D2">
        <w:t xml:space="preserve"> is the logarithm of residential electricity consumption</w:t>
      </w:r>
      <w:r>
        <w:t>;</w:t>
      </w:r>
    </w:p>
    <w:p w:rsidR="005329ED" w:rsidRPr="00FB45D2" w:rsidRDefault="005329ED" w:rsidP="005329ED">
      <w:pPr>
        <w:pStyle w:val="Dashedbullets"/>
        <w:ind w:left="502" w:hanging="360"/>
      </w:pPr>
      <w:r w:rsidRPr="00FB45D2">
        <w:rPr>
          <w:i/>
          <w:iCs/>
        </w:rPr>
        <w:t>c</w:t>
      </w:r>
      <w:r w:rsidRPr="00FB45D2">
        <w:t xml:space="preserve"> is </w:t>
      </w:r>
      <w:r>
        <w:t>f</w:t>
      </w:r>
      <w:r w:rsidRPr="00FB45D2">
        <w:t>inal consumption expenditure</w:t>
      </w:r>
      <w:r>
        <w:t xml:space="preserve"> (FCE);</w:t>
      </w:r>
    </w:p>
    <w:p w:rsidR="005329ED" w:rsidRPr="00FB45D2" w:rsidRDefault="005329ED" w:rsidP="005329ED">
      <w:pPr>
        <w:pStyle w:val="Dashedbullets"/>
        <w:ind w:left="502" w:hanging="360"/>
      </w:pPr>
      <w:r w:rsidRPr="00FB45D2">
        <w:rPr>
          <w:i/>
          <w:iCs/>
        </w:rPr>
        <w:t>p</w:t>
      </w:r>
      <w:r w:rsidRPr="00FB45D2">
        <w:t xml:space="preserve"> is real electricity </w:t>
      </w:r>
      <w:r>
        <w:t>C</w:t>
      </w:r>
      <w:r w:rsidRPr="00FB45D2">
        <w:t>PI</w:t>
      </w:r>
      <w:r>
        <w:t>; and</w:t>
      </w:r>
    </w:p>
    <w:p w:rsidR="005329ED" w:rsidRPr="00FB45D2" w:rsidRDefault="005329ED" w:rsidP="005329ED">
      <w:pPr>
        <w:pStyle w:val="Dashedbullets"/>
        <w:ind w:left="502" w:hanging="360"/>
      </w:pPr>
      <w:r w:rsidRPr="00FB45D2">
        <w:rPr>
          <w:i/>
          <w:iCs/>
        </w:rPr>
        <w:t>ID</w:t>
      </w:r>
      <w:r w:rsidRPr="00FB45D2">
        <w:rPr>
          <w:i/>
          <w:iCs/>
          <w:vertAlign w:val="subscript"/>
        </w:rPr>
        <w:t>0304</w:t>
      </w:r>
      <w:r w:rsidRPr="00FB45D2">
        <w:t xml:space="preserve"> is an </w:t>
      </w:r>
      <w:r>
        <w:t>i</w:t>
      </w:r>
      <w:r w:rsidRPr="00FB45D2">
        <w:t xml:space="preserve">mpulse </w:t>
      </w:r>
      <w:r>
        <w:t>d</w:t>
      </w:r>
      <w:r w:rsidRPr="00FB45D2">
        <w:t xml:space="preserve">ummy </w:t>
      </w:r>
      <w:r>
        <w:t xml:space="preserve">variable </w:t>
      </w:r>
      <w:r w:rsidRPr="00FB45D2">
        <w:t>to isolate a possible outlier in 2003 and 2004</w:t>
      </w:r>
      <w:r>
        <w:t>.</w:t>
      </w:r>
    </w:p>
    <w:p w:rsidR="005329ED" w:rsidRDefault="005329ED" w:rsidP="005329ED"/>
    <w:p w:rsidR="005329ED" w:rsidRPr="00E52BF1" w:rsidRDefault="005329ED" w:rsidP="005329ED">
      <w:r w:rsidRPr="00E52BF1">
        <w:lastRenderedPageBreak/>
        <w:t>Based on the estimation, the long run price elasticity</w:t>
      </w:r>
      <w:r w:rsidRPr="00E52BF1">
        <w:rPr>
          <w:rStyle w:val="FootnoteReference"/>
        </w:rPr>
        <w:footnoteReference w:id="5"/>
      </w:r>
      <w:r w:rsidRPr="00E52BF1">
        <w:t xml:space="preserve"> for electricity </w:t>
      </w:r>
      <w:r w:rsidR="00B24BE1">
        <w:t>consumption</w:t>
      </w:r>
      <w:r w:rsidRPr="00E52BF1">
        <w:t xml:space="preserve"> in the NEM is approximately -0.14. The long run elasticity shows the permanent effect of a change in retail electricity prices on residential electricity </w:t>
      </w:r>
      <w:r w:rsidR="00B24BE1">
        <w:t>consumption</w:t>
      </w:r>
      <w:r w:rsidRPr="00E52BF1">
        <w:t>. The speed of adjustment is 0.7, meaning 70 per cent of any disequilibrium in long run relationship is adjusted within a year and 91 per cent in two years.</w:t>
      </w:r>
    </w:p>
    <w:p w:rsidR="005329ED" w:rsidRPr="00E52BF1" w:rsidRDefault="005329ED" w:rsidP="005329ED"/>
    <w:p w:rsidR="005329ED" w:rsidRPr="00E52BF1" w:rsidRDefault="005329ED" w:rsidP="005329ED">
      <w:r w:rsidRPr="00E52BF1">
        <w:t>Final consumption expenditure (FCE) tracks consumer spending and, based on the estimation, has a long run elasticity in the NEM of 0.68. The long run elasticity of FCE shows the permanent effect of a change in retail electricity prices on residential consumption. The speed of adjustment is 0.7 meaning 70 per cent of any disequilibrium in long run relationship is adjusted within a year, 91 per cent in two years.</w:t>
      </w:r>
    </w:p>
    <w:p w:rsidR="005329ED" w:rsidRPr="00E52BF1" w:rsidRDefault="005329ED" w:rsidP="005329ED"/>
    <w:p w:rsidR="005329ED" w:rsidRPr="00E52BF1" w:rsidRDefault="007666E1" w:rsidP="005329ED">
      <w:r>
        <w:fldChar w:fldCharType="begin"/>
      </w:r>
      <w:r>
        <w:instrText xml:space="preserve"> REF _Ref365921926 \r \h  \* MERGEFORMAT </w:instrText>
      </w:r>
      <w:r>
        <w:fldChar w:fldCharType="separate"/>
      </w:r>
      <w:r w:rsidR="00197E14">
        <w:t>Figure 17</w:t>
      </w:r>
      <w:r>
        <w:fldChar w:fldCharType="end"/>
      </w:r>
      <w:r w:rsidR="005329ED" w:rsidRPr="00E52BF1">
        <w:t xml:space="preserve"> shows that residential electricity consumption in the NEM since </w:t>
      </w:r>
      <w:r w:rsidR="006C667D">
        <w:t>2008</w:t>
      </w:r>
      <w:r w:rsidR="005329ED" w:rsidRPr="00E52BF1">
        <w:t xml:space="preserve"> is higher than expected given the changes in FCE and retail electricity prices. The central forecast predicted approximately flat residential electricity consumption between </w:t>
      </w:r>
      <w:r w:rsidR="006C667D">
        <w:t>2008</w:t>
      </w:r>
      <w:r w:rsidR="005329ED" w:rsidRPr="00E52BF1">
        <w:t xml:space="preserve"> and </w:t>
      </w:r>
      <w:r w:rsidR="006C667D">
        <w:t>2012</w:t>
      </w:r>
      <w:r w:rsidR="005329ED" w:rsidRPr="00E52BF1">
        <w:t xml:space="preserve">, whereas actual consumption increased further. </w:t>
      </w:r>
    </w:p>
    <w:p w:rsidR="005329ED" w:rsidRPr="00E52BF1" w:rsidRDefault="005329ED" w:rsidP="005329ED"/>
    <w:p w:rsidR="005329ED" w:rsidRPr="00E52BF1" w:rsidRDefault="005329ED" w:rsidP="005329ED">
      <w:r w:rsidRPr="00E52BF1">
        <w:t>To further investigate the point, three forecast scenarios are created in addition to the central forecast:</w:t>
      </w:r>
    </w:p>
    <w:p w:rsidR="005329ED" w:rsidRPr="00E52BF1" w:rsidRDefault="005329ED" w:rsidP="005329ED">
      <w:pPr>
        <w:pStyle w:val="Dashedbullets"/>
        <w:ind w:left="502" w:hanging="360"/>
      </w:pPr>
      <w:r w:rsidRPr="00E52BF1">
        <w:t>a scenario without changes in retail electricity prices;</w:t>
      </w:r>
    </w:p>
    <w:p w:rsidR="005329ED" w:rsidRPr="00E52BF1" w:rsidRDefault="005329ED" w:rsidP="005329ED">
      <w:pPr>
        <w:pStyle w:val="Dashedbullets"/>
        <w:ind w:left="502" w:hanging="360"/>
      </w:pPr>
      <w:r w:rsidRPr="00E52BF1">
        <w:t>a scenario without changes in FCE; and</w:t>
      </w:r>
    </w:p>
    <w:p w:rsidR="005329ED" w:rsidRPr="00E52BF1" w:rsidRDefault="005329ED" w:rsidP="005329ED">
      <w:pPr>
        <w:pStyle w:val="Dashedbullets"/>
        <w:ind w:left="502" w:hanging="360"/>
      </w:pPr>
      <w:r w:rsidRPr="00E52BF1">
        <w:t>a scenario without changes in either retail electricity prices and FCE, which solely relies on the autoregressive dynamics of residential electricity consumption.</w:t>
      </w:r>
    </w:p>
    <w:p w:rsidR="005329ED" w:rsidRPr="00E52BF1" w:rsidRDefault="005329ED" w:rsidP="005329ED"/>
    <w:p w:rsidR="005329ED" w:rsidRDefault="005329ED" w:rsidP="005329ED">
      <w:r w:rsidRPr="00E52BF1">
        <w:t xml:space="preserve">Based on the relationship between drivers and residential electricity consumption, the statistical analysis shows that retail electricity prices, which have increased rapidly since </w:t>
      </w:r>
      <w:r w:rsidR="006C667D">
        <w:t>2008</w:t>
      </w:r>
      <w:r w:rsidRPr="00E52BF1">
        <w:t xml:space="preserve">, did not have the same effect between </w:t>
      </w:r>
      <w:r w:rsidR="006C667D">
        <w:t>2008</w:t>
      </w:r>
      <w:r w:rsidRPr="00E52BF1">
        <w:t xml:space="preserve"> and </w:t>
      </w:r>
      <w:r w:rsidR="006C667D">
        <w:t>2012</w:t>
      </w:r>
      <w:r w:rsidRPr="00E52BF1">
        <w:t xml:space="preserve"> </w:t>
      </w:r>
      <w:r w:rsidR="00AA3B32">
        <w:t>as</w:t>
      </w:r>
      <w:r w:rsidRPr="00E52BF1">
        <w:t xml:space="preserve"> they had before </w:t>
      </w:r>
      <w:r w:rsidR="006C667D">
        <w:t>2008</w:t>
      </w:r>
      <w:r w:rsidRPr="00E52BF1">
        <w:t>. In fact, the forecast</w:t>
      </w:r>
      <w:r>
        <w:t xml:space="preserve"> which keeps prices constant fits the data best, meaning that the actual residential electricity consumption is in line with past trends and changes in FCE when electricity prices changes since </w:t>
      </w:r>
      <w:r w:rsidR="006C667D">
        <w:t>2008</w:t>
      </w:r>
      <w:r>
        <w:t xml:space="preserve"> are excluded.</w:t>
      </w:r>
    </w:p>
    <w:p w:rsidR="005329ED" w:rsidRPr="000D25DC" w:rsidRDefault="005329ED" w:rsidP="005329ED">
      <w:pPr>
        <w:pStyle w:val="Charttitle"/>
      </w:pPr>
      <w:bookmarkStart w:id="98" w:name="_Ref365921926"/>
      <w:bookmarkStart w:id="99" w:name="_Toc366004679"/>
      <w:bookmarkStart w:id="100" w:name="_Toc366269840"/>
      <w:bookmarkStart w:id="101" w:name="_Toc369890557"/>
      <w:r>
        <w:lastRenderedPageBreak/>
        <w:t xml:space="preserve">Residential electricity </w:t>
      </w:r>
      <w:r w:rsidR="00B24BE1">
        <w:t>consumption</w:t>
      </w:r>
      <w:r>
        <w:t xml:space="preserve"> did not react to prices since </w:t>
      </w:r>
      <w:r w:rsidR="006C667D">
        <w:t>2008</w:t>
      </w:r>
      <w:r>
        <w:t xml:space="preserve"> as it did before </w:t>
      </w:r>
      <w:r w:rsidR="006C667D">
        <w:t>2008</w:t>
      </w:r>
      <w:bookmarkEnd w:id="98"/>
      <w:bookmarkEnd w:id="99"/>
      <w:bookmarkEnd w:id="100"/>
      <w:bookmarkEnd w:id="101"/>
    </w:p>
    <w:p w:rsidR="005329ED" w:rsidRPr="00430244" w:rsidRDefault="00C41399" w:rsidP="005329ED">
      <w:pPr>
        <w:pStyle w:val="Chartspacer"/>
        <w:rPr>
          <w:rStyle w:val="PlaceholderText"/>
        </w:rPr>
      </w:pPr>
      <w:r w:rsidRPr="00C41399">
        <w:drawing>
          <wp:inline distT="0" distB="0" distL="0" distR="0" wp14:anchorId="7B7C3E32" wp14:editId="686AEB30">
            <wp:extent cx="6120765" cy="327113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271139"/>
                    </a:xfrm>
                    <a:prstGeom prst="rect">
                      <a:avLst/>
                    </a:prstGeom>
                    <a:noFill/>
                    <a:ln>
                      <a:noFill/>
                    </a:ln>
                  </pic:spPr>
                </pic:pic>
              </a:graphicData>
            </a:graphic>
          </wp:inline>
        </w:drawing>
      </w:r>
    </w:p>
    <w:p w:rsidR="00260FA3" w:rsidRDefault="005329ED">
      <w:pPr>
        <w:pStyle w:val="Source"/>
      </w:pPr>
      <w:r w:rsidRPr="005A132E">
        <w:t>Source:</w:t>
      </w:r>
      <w:r>
        <w:tab/>
        <w:t xml:space="preserve">Vivid Economics based on </w:t>
      </w:r>
      <w:r w:rsidR="005A66AE" w:rsidRPr="00C85E86">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C85E86">
        <w:fldChar w:fldCharType="separate"/>
      </w:r>
      <w:r w:rsidRPr="00C85E86">
        <w:rPr>
          <w:noProof/>
        </w:rPr>
        <w:t>Australian Government Bureau of Resource and Energy Economics (2013)</w:t>
      </w:r>
      <w:r w:rsidR="005A66AE" w:rsidRPr="00C85E86">
        <w:fldChar w:fldCharType="end"/>
      </w:r>
      <w:r w:rsidRPr="00C85E86">
        <w:t xml:space="preserve"> and </w:t>
      </w:r>
      <w:r w:rsidR="005A66AE" w:rsidRPr="00C85E86">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C85E86">
        <w:fldChar w:fldCharType="separate"/>
      </w:r>
      <w:r w:rsidRPr="00C85E86">
        <w:rPr>
          <w:noProof/>
        </w:rPr>
        <w:t>Australian Bureau of Statistics (2013)</w:t>
      </w:r>
      <w:r w:rsidR="005A66AE" w:rsidRPr="00C85E86">
        <w:fldChar w:fldCharType="end"/>
      </w:r>
    </w:p>
    <w:p w:rsidR="005329ED" w:rsidRDefault="005329ED" w:rsidP="005329ED">
      <w:r w:rsidRPr="00E52BF1">
        <w:t xml:space="preserve">The residential long run price elasticity is in line with previous work as shown in </w:t>
      </w:r>
      <w:r w:rsidR="00C41399">
        <w:fldChar w:fldCharType="begin"/>
      </w:r>
      <w:r w:rsidR="00C41399">
        <w:instrText xml:space="preserve"> REF _Ref369888685 \r \h </w:instrText>
      </w:r>
      <w:r w:rsidR="00C41399">
        <w:fldChar w:fldCharType="separate"/>
      </w:r>
      <w:r w:rsidR="00197E14">
        <w:t>Table 9</w:t>
      </w:r>
      <w:r w:rsidR="00C41399">
        <w:fldChar w:fldCharType="end"/>
      </w:r>
      <w:r w:rsidR="00C41399">
        <w:t xml:space="preserve">. </w:t>
      </w:r>
      <w:r w:rsidRPr="00E52BF1">
        <w:t>The long run price elasticity of -0.14 implies that a 1 per cent in electricity prices in this period leads to a consumption reduction of 0.14 per cent. The elasticity with respect to expenditure is not directly comp</w:t>
      </w:r>
      <w:r>
        <w:t>arable to AEMO estimates, which use either Gross State Product or State Final Demand. These are measures of income and not expenditure and differ by net savings. Nevertheless, the elasticities are comparable and the elasticity found in this work is within the range identified in the AEMO work.</w:t>
      </w:r>
    </w:p>
    <w:p w:rsidR="005329ED" w:rsidRPr="00DE4EAF" w:rsidRDefault="00922601" w:rsidP="00645813">
      <w:pPr>
        <w:pStyle w:val="Tabletitle"/>
      </w:pPr>
      <w:bookmarkStart w:id="102" w:name="_Ref369888685"/>
      <w:bookmarkStart w:id="103" w:name="_Toc369890518"/>
      <w:r>
        <w:t>The estimated residential electricity consumption price elastici</w:t>
      </w:r>
      <w:r w:rsidR="00CA5B28">
        <w:t xml:space="preserve">ty is at the low end of the </w:t>
      </w:r>
      <w:r w:rsidR="007D4A55">
        <w:t xml:space="preserve">estimates in the </w:t>
      </w:r>
      <w:r w:rsidR="00CA5B28">
        <w:t>previous AEMO work</w:t>
      </w:r>
      <w:bookmarkEnd w:id="102"/>
      <w:bookmarkEnd w:id="103"/>
    </w:p>
    <w:tbl>
      <w:tblPr>
        <w:tblStyle w:val="Vividtable"/>
        <w:tblW w:w="9747" w:type="dxa"/>
        <w:tblLook w:val="04A0" w:firstRow="1" w:lastRow="0" w:firstColumn="1" w:lastColumn="0" w:noHBand="0" w:noVBand="1"/>
      </w:tblPr>
      <w:tblGrid>
        <w:gridCol w:w="3086"/>
        <w:gridCol w:w="2977"/>
        <w:gridCol w:w="3684"/>
      </w:tblGrid>
      <w:tr w:rsidR="005329ED" w:rsidRPr="00980041" w:rsidTr="00215A21">
        <w:trPr>
          <w:cnfStyle w:val="100000000000" w:firstRow="1" w:lastRow="0" w:firstColumn="0" w:lastColumn="0" w:oddVBand="0" w:evenVBand="0" w:oddHBand="0" w:evenHBand="0" w:firstRowFirstColumn="0" w:firstRowLastColumn="0" w:lastRowFirstColumn="0" w:lastRowLastColumn="0"/>
          <w:cantSplit/>
          <w:trHeight w:val="454"/>
          <w:tblHeader/>
        </w:trPr>
        <w:tc>
          <w:tcPr>
            <w:tcW w:w="1583" w:type="pct"/>
            <w:tcBorders>
              <w:bottom w:val="single" w:sz="4" w:space="0" w:color="000000" w:themeColor="text1"/>
            </w:tcBorders>
          </w:tcPr>
          <w:p w:rsidR="005329ED" w:rsidRPr="004328B0" w:rsidRDefault="005329ED" w:rsidP="006054BB">
            <w:pPr>
              <w:keepNext/>
              <w:rPr>
                <w:rStyle w:val="PlaceholderText"/>
                <w:rFonts w:ascii="Arial" w:hAnsi="Arial" w:cs="Arial"/>
                <w:b w:val="0"/>
                <w:szCs w:val="18"/>
              </w:rPr>
            </w:pPr>
            <w:r>
              <w:rPr>
                <w:rStyle w:val="PlaceholderText"/>
                <w:rFonts w:ascii="Arial" w:hAnsi="Arial" w:cs="Arial"/>
                <w:szCs w:val="18"/>
              </w:rPr>
              <w:t>Long run elasticity</w:t>
            </w:r>
          </w:p>
        </w:tc>
        <w:tc>
          <w:tcPr>
            <w:tcW w:w="1527" w:type="pct"/>
            <w:tcBorders>
              <w:bottom w:val="single" w:sz="4" w:space="0" w:color="000000" w:themeColor="text1"/>
            </w:tcBorders>
          </w:tcPr>
          <w:p w:rsidR="005329ED" w:rsidRPr="004328B0" w:rsidRDefault="005329ED" w:rsidP="00AA3B32">
            <w:pPr>
              <w:keepNext/>
              <w:jc w:val="center"/>
              <w:rPr>
                <w:rStyle w:val="PlaceholderText"/>
                <w:rFonts w:ascii="Arial" w:hAnsi="Arial" w:cs="Arial"/>
                <w:b w:val="0"/>
                <w:szCs w:val="18"/>
              </w:rPr>
            </w:pPr>
            <w:r>
              <w:rPr>
                <w:rStyle w:val="PlaceholderText"/>
                <w:rFonts w:ascii="Arial" w:hAnsi="Arial" w:cs="Arial"/>
                <w:szCs w:val="18"/>
              </w:rPr>
              <w:t>Vivid Economics</w:t>
            </w:r>
          </w:p>
        </w:tc>
        <w:tc>
          <w:tcPr>
            <w:tcW w:w="1890" w:type="pct"/>
            <w:tcBorders>
              <w:bottom w:val="single" w:sz="4" w:space="0" w:color="000000" w:themeColor="text1"/>
            </w:tcBorders>
          </w:tcPr>
          <w:p w:rsidR="005329ED" w:rsidRPr="004328B0" w:rsidRDefault="005329ED" w:rsidP="00AA3B32">
            <w:pPr>
              <w:keepNext/>
              <w:jc w:val="center"/>
              <w:rPr>
                <w:rStyle w:val="PlaceholderText"/>
                <w:rFonts w:ascii="Arial" w:hAnsi="Arial" w:cs="Arial"/>
                <w:b w:val="0"/>
                <w:szCs w:val="18"/>
              </w:rPr>
            </w:pPr>
            <w:r>
              <w:rPr>
                <w:rStyle w:val="PlaceholderText"/>
                <w:rFonts w:ascii="Arial" w:hAnsi="Arial" w:cs="Arial"/>
                <w:szCs w:val="18"/>
              </w:rPr>
              <w:t>AEMO*</w:t>
            </w:r>
          </w:p>
        </w:tc>
      </w:tr>
      <w:tr w:rsidR="005329ED"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583" w:type="pct"/>
            <w:tcBorders>
              <w:top w:val="single" w:sz="4" w:space="0" w:color="000000" w:themeColor="text1"/>
            </w:tcBorders>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Electricity price</w:t>
            </w:r>
          </w:p>
        </w:tc>
        <w:tc>
          <w:tcPr>
            <w:tcW w:w="1527" w:type="pct"/>
            <w:tcBorders>
              <w:top w:val="single" w:sz="4" w:space="0" w:color="000000" w:themeColor="text1"/>
            </w:tcBorders>
          </w:tcPr>
          <w:p w:rsidR="005329ED" w:rsidRPr="004328B0" w:rsidRDefault="005329ED" w:rsidP="00AA3B32">
            <w:pPr>
              <w:keepNext/>
              <w:tabs>
                <w:tab w:val="decimal" w:pos="1450"/>
              </w:tabs>
              <w:spacing w:line="200" w:lineRule="exact"/>
              <w:rPr>
                <w:rStyle w:val="PlaceholderText"/>
                <w:rFonts w:ascii="Arial" w:hAnsi="Arial" w:cs="Arial"/>
                <w:b/>
                <w:szCs w:val="18"/>
              </w:rPr>
            </w:pPr>
            <w:r>
              <w:rPr>
                <w:rStyle w:val="PlaceholderText"/>
                <w:rFonts w:ascii="Arial" w:hAnsi="Arial" w:cs="Arial"/>
                <w:szCs w:val="18"/>
              </w:rPr>
              <w:t>-0.14</w:t>
            </w:r>
          </w:p>
        </w:tc>
        <w:tc>
          <w:tcPr>
            <w:tcW w:w="1890" w:type="pct"/>
            <w:tcBorders>
              <w:top w:val="single" w:sz="4" w:space="0" w:color="000000" w:themeColor="text1"/>
            </w:tcBorders>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-0.13 to -0.44</w:t>
            </w:r>
          </w:p>
        </w:tc>
      </w:tr>
      <w:tr w:rsidR="005329ED" w:rsidRPr="00980041" w:rsidTr="00215A21">
        <w:trPr>
          <w:cantSplit/>
          <w:trHeight w:val="454"/>
        </w:trPr>
        <w:tc>
          <w:tcPr>
            <w:tcW w:w="1583" w:type="pct"/>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Final consumption expenditure</w:t>
            </w:r>
          </w:p>
        </w:tc>
        <w:tc>
          <w:tcPr>
            <w:tcW w:w="1527" w:type="pct"/>
          </w:tcPr>
          <w:p w:rsidR="005329ED" w:rsidRPr="004328B0" w:rsidRDefault="005329ED" w:rsidP="00AA3B32">
            <w:pPr>
              <w:keepNext/>
              <w:tabs>
                <w:tab w:val="decimal" w:pos="1450"/>
              </w:tabs>
              <w:spacing w:line="200" w:lineRule="exact"/>
              <w:rPr>
                <w:rStyle w:val="PlaceholderText"/>
                <w:rFonts w:ascii="Arial" w:hAnsi="Arial" w:cs="Arial"/>
                <w:szCs w:val="18"/>
              </w:rPr>
            </w:pPr>
            <w:r>
              <w:rPr>
                <w:rStyle w:val="PlaceholderText"/>
                <w:rFonts w:ascii="Arial" w:hAnsi="Arial" w:cs="Arial"/>
                <w:szCs w:val="18"/>
              </w:rPr>
              <w:t>0.48</w:t>
            </w:r>
          </w:p>
        </w:tc>
        <w:tc>
          <w:tcPr>
            <w:tcW w:w="1890" w:type="pct"/>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0.23 to 0.71</w:t>
            </w:r>
          </w:p>
        </w:tc>
      </w:tr>
    </w:tbl>
    <w:p w:rsidR="005329ED" w:rsidRPr="00820511" w:rsidRDefault="005329ED" w:rsidP="005329ED">
      <w:pPr>
        <w:pStyle w:val="Header"/>
        <w:pBdr>
          <w:bottom w:val="none" w:sz="0" w:space="0" w:color="auto"/>
        </w:pBdr>
      </w:pPr>
    </w:p>
    <w:p w:rsidR="005329ED" w:rsidRDefault="005329ED" w:rsidP="005329ED">
      <w:pPr>
        <w:pStyle w:val="Note"/>
      </w:pPr>
      <w:r>
        <w:t>Note:</w:t>
      </w:r>
      <w:r>
        <w:tab/>
        <w:t xml:space="preserve">* AEMO elasticities are obtained per state </w:t>
      </w:r>
      <w:r w:rsidR="00A0602D">
        <w:t xml:space="preserve">and </w:t>
      </w:r>
      <w:r>
        <w:t>vary accordingly.</w:t>
      </w:r>
    </w:p>
    <w:p w:rsidR="005329ED" w:rsidRDefault="005329ED" w:rsidP="005329ED">
      <w:pPr>
        <w:pStyle w:val="Source"/>
      </w:pPr>
      <w:r w:rsidRPr="00EF51BF">
        <w:t>Source:</w:t>
      </w:r>
      <w:r>
        <w:tab/>
        <w:t>Vivid Economics</w:t>
      </w:r>
    </w:p>
    <w:p w:rsidR="005329ED" w:rsidRPr="00E52BF1" w:rsidRDefault="005329ED" w:rsidP="005329ED">
      <w:r w:rsidRPr="00AA3B32">
        <w:t xml:space="preserve">Residential consumption between </w:t>
      </w:r>
      <w:r w:rsidR="006C667D">
        <w:t>2008</w:t>
      </w:r>
      <w:r w:rsidRPr="00AA3B32">
        <w:t xml:space="preserve"> and </w:t>
      </w:r>
      <w:r w:rsidR="006C667D">
        <w:t>2012</w:t>
      </w:r>
      <w:r w:rsidRPr="00AA3B32">
        <w:t xml:space="preserve"> show</w:t>
      </w:r>
      <w:r w:rsidR="00AA3B32">
        <w:t>s</w:t>
      </w:r>
      <w:r w:rsidRPr="00AA3B32">
        <w:t xml:space="preserve"> little response to electricity prices compared with the period before </w:t>
      </w:r>
      <w:r w:rsidR="006C667D">
        <w:t>2008</w:t>
      </w:r>
      <w:r w:rsidRPr="00AA3B32">
        <w:t>.</w:t>
      </w:r>
      <w:r>
        <w:t xml:space="preserve"> As a result, the estimated long run price elasticity falls rapidly when </w:t>
      </w:r>
      <w:r w:rsidRPr="00E52BF1">
        <w:t xml:space="preserve">the estimation </w:t>
      </w:r>
      <w:r w:rsidRPr="00E52BF1">
        <w:lastRenderedPageBreak/>
        <w:t xml:space="preserve">period is extended beyond </w:t>
      </w:r>
      <w:r w:rsidR="006C667D">
        <w:t>2008</w:t>
      </w:r>
      <w:r w:rsidRPr="00E52BF1">
        <w:t xml:space="preserve">. The long run price elasticity more than halves from -0.15 in the period until </w:t>
      </w:r>
      <w:r w:rsidR="006C667D">
        <w:t>2008</w:t>
      </w:r>
      <w:r w:rsidRPr="00E52BF1">
        <w:t xml:space="preserve"> to a mere -0.06 if the estimation period extends to </w:t>
      </w:r>
      <w:r w:rsidR="006C667D">
        <w:t>2012</w:t>
      </w:r>
      <w:r w:rsidRPr="00E52BF1">
        <w:t xml:space="preserve"> as shown in </w:t>
      </w:r>
      <w:r w:rsidR="007666E1">
        <w:fldChar w:fldCharType="begin"/>
      </w:r>
      <w:r w:rsidR="007666E1">
        <w:instrText xml:space="preserve"> REF _Ref366219971 \r \h  \* MERGEFORMAT </w:instrText>
      </w:r>
      <w:r w:rsidR="007666E1">
        <w:fldChar w:fldCharType="separate"/>
      </w:r>
      <w:r w:rsidR="00197E14">
        <w:t>Figure 18</w:t>
      </w:r>
      <w:r w:rsidR="007666E1">
        <w:fldChar w:fldCharType="end"/>
      </w:r>
      <w:r w:rsidRPr="00E52BF1">
        <w:t>.</w:t>
      </w:r>
    </w:p>
    <w:p w:rsidR="005329ED" w:rsidRPr="00E52BF1" w:rsidRDefault="005329ED" w:rsidP="005329ED"/>
    <w:p w:rsidR="005329ED" w:rsidRPr="001D0678" w:rsidRDefault="005329ED" w:rsidP="005329ED">
      <w:r w:rsidRPr="00E52BF1">
        <w:t>The declining price elasticity may be explained by slow changes in electricity consumption behaviour, longer periods necessary to switch to more efficient appliance</w:t>
      </w:r>
      <w:r w:rsidR="00AA3B32">
        <w:t>s</w:t>
      </w:r>
      <w:r w:rsidRPr="00E52BF1">
        <w:t xml:space="preserve"> or to undertake measures such as better insulation, and the influence of off-grid electricity generation, particularly solar PV. </w:t>
      </w:r>
      <w:r w:rsidR="005E51AC" w:rsidRPr="00E52BF1">
        <w:t>The replacement period of appliances and other measures might reduce residential electricity</w:t>
      </w:r>
      <w:r w:rsidR="005E51AC">
        <w:t xml:space="preserve"> consumption further as electricity prices have risen rapidly only since 2008. </w:t>
      </w:r>
      <w:r w:rsidR="00E35145">
        <w:t xml:space="preserve">In addition, electricity </w:t>
      </w:r>
      <w:r w:rsidR="009466EE">
        <w:t xml:space="preserve">is </w:t>
      </w:r>
      <w:r w:rsidR="00E35145">
        <w:t>a small fraction of residential household expenditure.</w:t>
      </w:r>
      <w:r>
        <w:t xml:space="preserve"> To test the effect of solar PV, its </w:t>
      </w:r>
      <w:r w:rsidR="00AA3B32">
        <w:t xml:space="preserve">contribution </w:t>
      </w:r>
      <w:r>
        <w:t>is included in the estimation.</w:t>
      </w:r>
      <w:r w:rsidR="0017013F">
        <w:t xml:space="preserve"> This is done by including the amount of overall solar on- and off-grid electricity generation.</w:t>
      </w:r>
      <w:r>
        <w:t xml:space="preserve"> The result is that residential electricity consumption still responds almost as much to electricity prices since </w:t>
      </w:r>
      <w:r w:rsidR="006C667D">
        <w:t>2008</w:t>
      </w:r>
      <w:r>
        <w:t xml:space="preserve"> as before when solar PV</w:t>
      </w:r>
      <w:r>
        <w:rPr>
          <w:rStyle w:val="FootnoteReference"/>
        </w:rPr>
        <w:footnoteReference w:id="6"/>
      </w:r>
      <w:r>
        <w:t xml:space="preserve"> electricity generation is included in the estimation.</w:t>
      </w:r>
      <w:r w:rsidR="000F1E7D">
        <w:t xml:space="preserve"> This implies that on-grid residential electricity </w:t>
      </w:r>
      <w:r w:rsidR="00B24BE1">
        <w:t>consumption</w:t>
      </w:r>
      <w:r w:rsidR="000F1E7D">
        <w:t xml:space="preserve"> continued to respond to prices and that high electricity prices and solar feed-in-tariffs resulted in increased off-grid solar generation.</w:t>
      </w:r>
    </w:p>
    <w:p w:rsidR="005329ED" w:rsidRPr="000D25DC" w:rsidRDefault="00FE01B3" w:rsidP="005329ED">
      <w:pPr>
        <w:pStyle w:val="Charttitle"/>
      </w:pPr>
      <w:bookmarkStart w:id="104" w:name="_Ref366219971"/>
      <w:bookmarkStart w:id="105" w:name="_Toc366269841"/>
      <w:bookmarkStart w:id="106" w:name="_Toc369890558"/>
      <w:r>
        <w:t>The estimated l</w:t>
      </w:r>
      <w:r w:rsidR="005329ED">
        <w:t xml:space="preserve">ong run price elasticity for residential model collapses in </w:t>
      </w:r>
      <w:r w:rsidR="006C667D">
        <w:t>2010</w:t>
      </w:r>
      <w:r w:rsidR="005329ED">
        <w:t xml:space="preserve"> but</w:t>
      </w:r>
      <w:r w:rsidR="00BF5598">
        <w:t>,</w:t>
      </w:r>
      <w:r w:rsidR="005329ED">
        <w:t xml:space="preserve"> </w:t>
      </w:r>
      <w:r w:rsidR="003A5E2B">
        <w:t xml:space="preserve">when </w:t>
      </w:r>
      <w:r w:rsidR="005329ED">
        <w:t xml:space="preserve">solar PV electricity </w:t>
      </w:r>
      <w:r w:rsidR="003A5E2B">
        <w:t xml:space="preserve">generation </w:t>
      </w:r>
      <w:r w:rsidR="005329ED">
        <w:t>is included</w:t>
      </w:r>
      <w:r w:rsidR="003A5E2B">
        <w:t xml:space="preserve"> as an explanatory variable</w:t>
      </w:r>
      <w:r w:rsidR="005329ED">
        <w:t xml:space="preserve"> in model, the </w:t>
      </w:r>
      <w:r w:rsidR="003A5E2B">
        <w:t xml:space="preserve">elasticity </w:t>
      </w:r>
      <w:r w:rsidR="005329ED">
        <w:t>is more stable</w:t>
      </w:r>
      <w:bookmarkEnd w:id="104"/>
      <w:bookmarkEnd w:id="105"/>
      <w:bookmarkEnd w:id="106"/>
    </w:p>
    <w:p w:rsidR="005329ED" w:rsidRPr="00430244" w:rsidRDefault="005329ED" w:rsidP="005329ED">
      <w:pPr>
        <w:pStyle w:val="Chartspacer"/>
        <w:rPr>
          <w:rStyle w:val="PlaceholderText"/>
        </w:rPr>
      </w:pPr>
      <w:r w:rsidRPr="008941AA">
        <w:rPr>
          <w:noProof/>
          <w:lang w:eastAsia="en-GB"/>
        </w:rPr>
        <w:drawing>
          <wp:inline distT="0" distB="0" distL="0" distR="0" wp14:anchorId="1F35B369" wp14:editId="6A3095CA">
            <wp:extent cx="6120130" cy="3201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201378"/>
                    </a:xfrm>
                    <a:prstGeom prst="rect">
                      <a:avLst/>
                    </a:prstGeom>
                    <a:noFill/>
                    <a:ln>
                      <a:noFill/>
                    </a:ln>
                  </pic:spPr>
                </pic:pic>
              </a:graphicData>
            </a:graphic>
          </wp:inline>
        </w:drawing>
      </w:r>
    </w:p>
    <w:p w:rsidR="005329ED" w:rsidRDefault="005329ED" w:rsidP="005329ED">
      <w:pPr>
        <w:pStyle w:val="Note"/>
      </w:pPr>
      <w:r>
        <w:t>Note:</w:t>
      </w:r>
      <w:r>
        <w:tab/>
        <w:t xml:space="preserve">The price elasticities shown here are for the estimation period from 1990-91 or 1992-93 until the year shown on the </w:t>
      </w:r>
      <w:r w:rsidR="00A0602D">
        <w:br/>
      </w:r>
      <w:r>
        <w:t xml:space="preserve">x-axis. The model without solar PV starts in 1990-91, the earliest data point for the </w:t>
      </w:r>
      <w:r w:rsidR="00543506">
        <w:t>NEM</w:t>
      </w:r>
      <w:r>
        <w:t xml:space="preserve">, while the model with solar PV starts in 1992-93 due to a lack of data for solar PV before. The obtained coefficients for the short estimation period in the </w:t>
      </w:r>
      <w:r w:rsidR="00543506">
        <w:t>NEM</w:t>
      </w:r>
      <w:r>
        <w:t xml:space="preserve"> data shown here are not statistically different </w:t>
      </w:r>
      <w:r w:rsidR="00A0602D">
        <w:t xml:space="preserve">from </w:t>
      </w:r>
      <w:r>
        <w:t>estimates obtained for all of Australia using significantly more years, that is, starting in 1972.</w:t>
      </w:r>
    </w:p>
    <w:p w:rsidR="005329ED" w:rsidRPr="005A132E" w:rsidRDefault="005329ED" w:rsidP="005329ED">
      <w:pPr>
        <w:pStyle w:val="Source"/>
      </w:pPr>
      <w:r w:rsidRPr="005A132E">
        <w:t>Source:</w:t>
      </w:r>
      <w:r>
        <w:tab/>
        <w:t>Vivid Economics</w:t>
      </w:r>
    </w:p>
    <w:p w:rsidR="005329ED" w:rsidRDefault="005329ED" w:rsidP="005329ED">
      <w:pPr>
        <w:pStyle w:val="Heading3"/>
      </w:pPr>
      <w:r w:rsidRPr="0086580B">
        <w:lastRenderedPageBreak/>
        <w:t>Commercial</w:t>
      </w:r>
      <w:r>
        <w:t xml:space="preserve"> and services</w:t>
      </w:r>
    </w:p>
    <w:p w:rsidR="005329ED" w:rsidRPr="00E52BF1" w:rsidRDefault="005329ED" w:rsidP="005329ED">
      <w:r w:rsidRPr="00E52BF1">
        <w:t xml:space="preserve">Commercial and services electricity consumption grew more slowly between </w:t>
      </w:r>
      <w:r w:rsidR="006C667D">
        <w:t>2008</w:t>
      </w:r>
      <w:r w:rsidRPr="00E52BF1">
        <w:t xml:space="preserve"> and </w:t>
      </w:r>
      <w:r w:rsidR="006C667D">
        <w:t>2011</w:t>
      </w:r>
      <w:r w:rsidRPr="00E52BF1">
        <w:t xml:space="preserve"> in the NEM than from </w:t>
      </w:r>
      <w:r w:rsidR="006C667D">
        <w:t>2000</w:t>
      </w:r>
      <w:r w:rsidRPr="00E52BF1">
        <w:t xml:space="preserve"> to </w:t>
      </w:r>
      <w:r w:rsidR="006C667D">
        <w:t>2008</w:t>
      </w:r>
      <w:r w:rsidRPr="00E52BF1">
        <w:t xml:space="preserve">. The growth rate slowed from a CAGR of 2.1 per cent between </w:t>
      </w:r>
      <w:r w:rsidR="00A44C3F">
        <w:t>2003</w:t>
      </w:r>
      <w:r w:rsidRPr="00E52BF1">
        <w:t xml:space="preserve"> and </w:t>
      </w:r>
      <w:r w:rsidR="006C667D">
        <w:t>2008</w:t>
      </w:r>
      <w:r w:rsidRPr="00E52BF1">
        <w:t xml:space="preserve"> to 1.36 per cent between </w:t>
      </w:r>
      <w:r w:rsidR="006C667D">
        <w:t>2008</w:t>
      </w:r>
      <w:r w:rsidRPr="00E52BF1">
        <w:t xml:space="preserve"> and </w:t>
      </w:r>
      <w:r w:rsidR="006C667D">
        <w:t>2011</w:t>
      </w:r>
      <w:r w:rsidRPr="00E52BF1">
        <w:t>.</w:t>
      </w:r>
      <w:r w:rsidR="00E93B88">
        <w:rPr>
          <w:rStyle w:val="FootnoteReference"/>
        </w:rPr>
        <w:footnoteReference w:id="7"/>
      </w:r>
    </w:p>
    <w:p w:rsidR="005329ED" w:rsidRPr="00E52BF1" w:rsidRDefault="005329ED" w:rsidP="005329ED"/>
    <w:p w:rsidR="005329ED" w:rsidRPr="00714DDB" w:rsidRDefault="005329ED" w:rsidP="005329ED">
      <w:r w:rsidRPr="00E52BF1">
        <w:t xml:space="preserve">The trends in commercial and services electricity consumption between NEM and the remaining two regions, Northern Territory and Western Australia, are similar as shown in </w:t>
      </w:r>
      <w:r w:rsidR="007666E1">
        <w:fldChar w:fldCharType="begin"/>
      </w:r>
      <w:r w:rsidR="007666E1">
        <w:instrText xml:space="preserve"> REF _Ref366005470 \r \h  \* MERGEFORMAT </w:instrText>
      </w:r>
      <w:r w:rsidR="007666E1">
        <w:fldChar w:fldCharType="separate"/>
      </w:r>
      <w:r w:rsidR="00197E14">
        <w:t>Figure 19</w:t>
      </w:r>
      <w:r w:rsidR="007666E1">
        <w:fldChar w:fldCharType="end"/>
      </w:r>
      <w:r w:rsidR="002D4E4B">
        <w:t xml:space="preserve"> and </w:t>
      </w:r>
      <w:r w:rsidR="00A0602D">
        <w:fldChar w:fldCharType="begin"/>
      </w:r>
      <w:r w:rsidR="00A0602D">
        <w:instrText xml:space="preserve"> REF _Ref366333180 \r \h </w:instrText>
      </w:r>
      <w:r w:rsidR="00A0602D">
        <w:fldChar w:fldCharType="separate"/>
      </w:r>
      <w:r w:rsidR="00197E14">
        <w:t>Figure 19</w:t>
      </w:r>
      <w:r w:rsidR="00A0602D">
        <w:fldChar w:fldCharType="end"/>
      </w:r>
      <w:r w:rsidRPr="00E52BF1">
        <w:t xml:space="preserve">. </w:t>
      </w:r>
      <w:r w:rsidR="007229D1">
        <w:t xml:space="preserve">This comparison is important to ensure consistency of estimates, as explained in Section </w:t>
      </w:r>
      <w:r w:rsidR="005A66AE">
        <w:fldChar w:fldCharType="begin"/>
      </w:r>
      <w:r w:rsidR="007229D1">
        <w:instrText xml:space="preserve"> REF _Ref366330089 \n \h </w:instrText>
      </w:r>
      <w:r w:rsidR="005A66AE">
        <w:fldChar w:fldCharType="separate"/>
      </w:r>
      <w:r w:rsidR="00197E14">
        <w:t>2.3.2</w:t>
      </w:r>
      <w:r w:rsidR="005A66AE">
        <w:fldChar w:fldCharType="end"/>
      </w:r>
      <w:r w:rsidR="007229D1">
        <w:t>.</w:t>
      </w:r>
    </w:p>
    <w:p w:rsidR="005329ED" w:rsidRPr="000D25DC" w:rsidRDefault="005329ED" w:rsidP="005329ED">
      <w:pPr>
        <w:pStyle w:val="Charttitle"/>
      </w:pPr>
      <w:bookmarkStart w:id="107" w:name="_Toc366004680"/>
      <w:bookmarkStart w:id="108" w:name="_Ref366005470"/>
      <w:bookmarkStart w:id="109" w:name="_Toc366269842"/>
      <w:bookmarkStart w:id="110" w:name="_Ref366333180"/>
      <w:bookmarkStart w:id="111" w:name="_Toc369890559"/>
      <w:r>
        <w:t xml:space="preserve">The trends in </w:t>
      </w:r>
      <w:r w:rsidR="00C370E1">
        <w:t xml:space="preserve">commercial and services </w:t>
      </w:r>
      <w:r>
        <w:t xml:space="preserve">electricity consumption between NEM and WA and NT are similar, including the </w:t>
      </w:r>
      <w:r w:rsidR="006C667D">
        <w:t>2012</w:t>
      </w:r>
      <w:r>
        <w:t xml:space="preserve"> outlier</w:t>
      </w:r>
      <w:bookmarkEnd w:id="107"/>
      <w:bookmarkEnd w:id="108"/>
      <w:bookmarkEnd w:id="109"/>
      <w:bookmarkEnd w:id="110"/>
      <w:bookmarkEnd w:id="111"/>
    </w:p>
    <w:p w:rsidR="005329ED" w:rsidRPr="00430244" w:rsidRDefault="005329ED" w:rsidP="005329ED">
      <w:pPr>
        <w:pStyle w:val="Chartspacer"/>
        <w:rPr>
          <w:rStyle w:val="PlaceholderText"/>
        </w:rPr>
      </w:pPr>
      <w:r w:rsidRPr="00334CE1">
        <w:rPr>
          <w:noProof/>
          <w:lang w:eastAsia="en-GB"/>
        </w:rPr>
        <w:drawing>
          <wp:inline distT="0" distB="0" distL="0" distR="0" wp14:anchorId="64EF4DA2" wp14:editId="4B82253B">
            <wp:extent cx="6120130" cy="34545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454581"/>
                    </a:xfrm>
                    <a:prstGeom prst="rect">
                      <a:avLst/>
                    </a:prstGeom>
                    <a:noFill/>
                    <a:ln>
                      <a:noFill/>
                    </a:ln>
                  </pic:spPr>
                </pic:pic>
              </a:graphicData>
            </a:graphic>
          </wp:inline>
        </w:drawing>
      </w:r>
    </w:p>
    <w:p w:rsidR="005329ED" w:rsidRDefault="005329ED" w:rsidP="005329ED">
      <w:pPr>
        <w:pStyle w:val="Note"/>
      </w:pPr>
      <w:r>
        <w:t>Note:</w:t>
      </w:r>
      <w:r>
        <w:tab/>
      </w:r>
      <w:r w:rsidR="006C667D">
        <w:t>2012</w:t>
      </w:r>
      <w:r>
        <w:t xml:space="preserve"> is most likely an outlier as explained previously and is not used in the trend analysis.</w:t>
      </w:r>
      <w:r w:rsidR="0003593F">
        <w:t xml:space="preserve"> </w:t>
      </w:r>
      <w:r w:rsidR="005E51AC">
        <w:t xml:space="preserve">Consumption in WA and NT is </w:t>
      </w:r>
      <w:r w:rsidR="005E51AC">
        <w:t xml:space="preserve">also </w:t>
      </w:r>
      <w:r w:rsidR="005E51AC">
        <w:t>likely to be an outlier</w:t>
      </w:r>
      <w:r w:rsidR="005E51AC">
        <w:t>,</w:t>
      </w:r>
      <w:r w:rsidR="005E51AC">
        <w:t xml:space="preserve"> but is</w:t>
      </w:r>
      <w:r w:rsidR="005E51AC">
        <w:t xml:space="preserve"> not </w:t>
      </w:r>
      <w:r w:rsidR="005E51AC">
        <w:t>adjusted since it does</w:t>
      </w:r>
      <w:r w:rsidR="005E51AC">
        <w:t xml:space="preserve"> not </w:t>
      </w:r>
      <w:r w:rsidR="005E51AC">
        <w:t>enter the decomposition or trend analysis.</w:t>
      </w:r>
    </w:p>
    <w:p w:rsidR="005329ED" w:rsidRPr="005A132E" w:rsidRDefault="005329ED" w:rsidP="005329ED">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C85E86">
        <w:rPr>
          <w:noProof/>
        </w:rPr>
        <w:t>Australian Government Bureau of Resource and Energy Economics (2013)</w:t>
      </w:r>
      <w:r w:rsidR="005A66AE">
        <w:fldChar w:fldCharType="end"/>
      </w:r>
    </w:p>
    <w:p w:rsidR="002D4E4B" w:rsidRDefault="002D4E4B" w:rsidP="005329ED"/>
    <w:p w:rsidR="002D4E4B" w:rsidRPr="000D25DC" w:rsidRDefault="002D4E4B" w:rsidP="00C8003C">
      <w:pPr>
        <w:pStyle w:val="Charttitle"/>
      </w:pPr>
      <w:bookmarkStart w:id="112" w:name="_Toc369890560"/>
      <w:r>
        <w:lastRenderedPageBreak/>
        <w:t xml:space="preserve">The trends in commercial and services electricity consumption growth between NEM and WA and NT are similar, including the </w:t>
      </w:r>
      <w:r w:rsidR="006C667D">
        <w:t>2012</w:t>
      </w:r>
      <w:r>
        <w:t xml:space="preserve"> outlier</w:t>
      </w:r>
      <w:bookmarkEnd w:id="112"/>
    </w:p>
    <w:p w:rsidR="002D4E4B" w:rsidRPr="00430244" w:rsidRDefault="002D4E4B" w:rsidP="00C8003C">
      <w:pPr>
        <w:pStyle w:val="Chartspacer"/>
        <w:rPr>
          <w:rStyle w:val="PlaceholderText"/>
        </w:rPr>
      </w:pPr>
      <w:r w:rsidRPr="002D4E4B">
        <w:rPr>
          <w:noProof/>
          <w:lang w:eastAsia="en-GB"/>
        </w:rPr>
        <w:drawing>
          <wp:inline distT="0" distB="0" distL="0" distR="0" wp14:anchorId="5ADB190E" wp14:editId="225D1903">
            <wp:extent cx="6120765" cy="36923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3692352"/>
                    </a:xfrm>
                    <a:prstGeom prst="rect">
                      <a:avLst/>
                    </a:prstGeom>
                    <a:noFill/>
                    <a:ln>
                      <a:noFill/>
                    </a:ln>
                  </pic:spPr>
                </pic:pic>
              </a:graphicData>
            </a:graphic>
          </wp:inline>
        </w:drawing>
      </w:r>
    </w:p>
    <w:p w:rsidR="002D4E4B" w:rsidRDefault="002D4E4B" w:rsidP="002D4E4B">
      <w:pPr>
        <w:pStyle w:val="Note"/>
      </w:pPr>
      <w:r>
        <w:t>Note:</w:t>
      </w:r>
      <w:r>
        <w:tab/>
      </w:r>
      <w:r w:rsidR="006C667D">
        <w:t>2012</w:t>
      </w:r>
      <w:r>
        <w:t xml:space="preserve"> is most likely an outlier as explained previously and is not used in the trend analysis.</w:t>
      </w:r>
    </w:p>
    <w:p w:rsidR="002D4E4B" w:rsidRDefault="002D4E4B" w:rsidP="005F4C0F">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C85E86">
        <w:rPr>
          <w:noProof/>
        </w:rPr>
        <w:t>Australian Government Bureau of Resource and Energy Economics (2013)</w:t>
      </w:r>
      <w:r w:rsidR="005A66AE">
        <w:fldChar w:fldCharType="end"/>
      </w:r>
    </w:p>
    <w:p w:rsidR="005329ED" w:rsidRPr="004A497F" w:rsidRDefault="005329ED" w:rsidP="005329ED">
      <w:r w:rsidRPr="00C370E1">
        <w:t>The drivers of commercial electricity consumption are electricity prices, Gross Value Added in the sector and the number of very hot days in a year. Equation</w:t>
      </w:r>
      <w:r>
        <w:t xml:space="preserve"> 2</w:t>
      </w:r>
      <w:r w:rsidRPr="005C64B5">
        <w:t xml:space="preserve"> below shows the estimation for changes in</w:t>
      </w:r>
      <w:r>
        <w:t xml:space="preserve"> commercial and services electricity </w:t>
      </w:r>
      <w:r w:rsidR="00B24BE1">
        <w:t>consumption</w:t>
      </w:r>
      <w:r>
        <w:t xml:space="preserve"> together with the coefficient and significance of each driver.</w:t>
      </w:r>
    </w:p>
    <w:p w:rsidR="005329ED" w:rsidRDefault="005329ED" w:rsidP="009A479B">
      <w:pPr>
        <w:jc w:val="center"/>
      </w:pPr>
    </w:p>
    <w:p w:rsidR="005329ED" w:rsidRDefault="005329ED" w:rsidP="009A479B">
      <w:pPr>
        <w:jc w:val="center"/>
      </w:pPr>
    </w:p>
    <w:p w:rsidR="005329ED" w:rsidRDefault="005329ED" w:rsidP="005329ED">
      <w:pPr>
        <w:spacing w:line="360" w:lineRule="auto"/>
        <w:jc w:val="both"/>
        <w:rPr>
          <w:rFonts w:eastAsiaTheme="minorEastAsia"/>
          <w:iCs/>
        </w:rPr>
      </w:pPr>
      <m:oMath>
        <m:r>
          <w:rPr>
            <w:rFonts w:ascii="Cambria Math" w:hAnsi="Cambria Math"/>
            <w:lang w:val="el-GR"/>
          </w:rPr>
          <m:t>Δ</m:t>
        </m:r>
        <m:r>
          <w:rPr>
            <w:rFonts w:ascii="Cambria Math" w:hAnsi="Cambria Math"/>
          </w:rPr>
          <m:t>com</m:t>
        </m:r>
        <m:sSub>
          <m:sSubPr>
            <m:ctrlPr>
              <w:rPr>
                <w:rFonts w:ascii="Cambria Math" w:hAnsi="Cambria Math"/>
                <w:i/>
                <w:iCs/>
              </w:rPr>
            </m:ctrlPr>
          </m:sSubPr>
          <m:e>
            <m:r>
              <w:rPr>
                <w:rFonts w:ascii="Cambria Math" w:hAnsi="Cambria Math"/>
              </w:rPr>
              <m:t>e</m:t>
            </m:r>
          </m:e>
          <m:sub>
            <m:r>
              <w:rPr>
                <w:rFonts w:ascii="Cambria Math" w:hAnsi="Cambria Math"/>
              </w:rPr>
              <m:t>t</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1.48</m:t>
                </m:r>
              </m:e>
            </m:groupChr>
          </m:e>
          <m:lim>
            <m:r>
              <w:rPr>
                <w:rFonts w:ascii="Cambria Math" w:hAnsi="Cambria Math"/>
              </w:rPr>
              <m:t>0.01</m:t>
            </m:r>
          </m:lim>
        </m:limLow>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0.53</m:t>
                </m:r>
              </m:e>
            </m:groupChr>
          </m:e>
          <m:lim>
            <m:r>
              <w:rPr>
                <w:rFonts w:ascii="Cambria Math" w:hAnsi="Cambria Math"/>
              </w:rPr>
              <m:t>0.00</m:t>
            </m:r>
          </m:lim>
        </m:limLow>
        <m:d>
          <m:dPr>
            <m:ctrlPr>
              <w:rPr>
                <w:rFonts w:ascii="Cambria Math" w:hAnsi="Cambria Math"/>
                <w:i/>
                <w:iCs/>
              </w:rPr>
            </m:ctrlPr>
          </m:dPr>
          <m:e>
            <m:sSub>
              <m:sSubPr>
                <m:ctrlPr>
                  <w:rPr>
                    <w:rFonts w:ascii="Cambria Math" w:hAnsi="Cambria Math"/>
                    <w:i/>
                    <w:iCs/>
                  </w:rPr>
                </m:ctrlPr>
              </m:sSubPr>
              <m:e>
                <m:r>
                  <w:rPr>
                    <w:rFonts w:ascii="Cambria Math" w:hAnsi="Cambria Math"/>
                  </w:rPr>
                  <m:t>come</m:t>
                </m:r>
              </m:e>
              <m:sub>
                <m:r>
                  <w:rPr>
                    <w:rFonts w:ascii="Cambria Math" w:hAnsi="Cambria Math"/>
                  </w:rPr>
                  <m:t>t-1</m:t>
                </m:r>
              </m:sub>
            </m:sSub>
            <m:r>
              <w:rPr>
                <w:rFonts w:ascii="Cambria Math" w:hAnsi="Cambria Math"/>
              </w:rPr>
              <m:t>-comgv</m:t>
            </m:r>
            <m:sSub>
              <m:sSubPr>
                <m:ctrlPr>
                  <w:rPr>
                    <w:rFonts w:ascii="Cambria Math" w:hAnsi="Cambria Math"/>
                    <w:i/>
                    <w:iCs/>
                  </w:rPr>
                </m:ctrlPr>
              </m:sSubPr>
              <m:e>
                <m:r>
                  <w:rPr>
                    <w:rFonts w:ascii="Cambria Math" w:hAnsi="Cambria Math"/>
                  </w:rPr>
                  <m:t>a</m:t>
                </m:r>
              </m:e>
              <m:sub>
                <m:r>
                  <w:rPr>
                    <w:rFonts w:ascii="Cambria Math" w:hAnsi="Cambria Math"/>
                  </w:rPr>
                  <m:t>t-1</m:t>
                </m:r>
              </m:sub>
            </m:sSub>
          </m:e>
        </m:d>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0.22</m:t>
                </m:r>
              </m:e>
            </m:groupChr>
          </m:e>
          <m:lim>
            <m:r>
              <w:rPr>
                <w:rFonts w:ascii="Cambria Math" w:hAnsi="Cambria Math"/>
              </w:rPr>
              <m:t>0.00</m:t>
            </m:r>
          </m:lim>
        </m:limLow>
        <m:sSub>
          <m:sSubPr>
            <m:ctrlPr>
              <w:rPr>
                <w:rFonts w:ascii="Cambria Math" w:hAnsi="Cambria Math"/>
                <w:i/>
                <w:iCs/>
              </w:rPr>
            </m:ctrlPr>
          </m:sSubPr>
          <m:e>
            <m:r>
              <w:rPr>
                <w:rFonts w:ascii="Cambria Math" w:hAnsi="Cambria Math"/>
              </w:rPr>
              <m:t>p</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0.04</m:t>
                </m:r>
              </m:e>
            </m:groupChr>
          </m:e>
          <m:lim>
            <m:r>
              <w:rPr>
                <w:rFonts w:ascii="Cambria Math" w:hAnsi="Cambria Math"/>
              </w:rPr>
              <m:t>0.00</m:t>
            </m:r>
          </m:lim>
        </m:limLow>
        <m:r>
          <w:rPr>
            <w:rFonts w:ascii="Cambria Math" w:hAnsi="Cambria Math"/>
          </w:rPr>
          <m:t>nvh</m:t>
        </m:r>
        <m:sSub>
          <m:sSubPr>
            <m:ctrlPr>
              <w:rPr>
                <w:rFonts w:ascii="Cambria Math" w:hAnsi="Cambria Math"/>
                <w:i/>
                <w:iCs/>
              </w:rPr>
            </m:ctrlPr>
          </m:sSubPr>
          <m:e>
            <m:r>
              <w:rPr>
                <w:rFonts w:ascii="Cambria Math" w:hAnsi="Cambria Math"/>
              </w:rPr>
              <m:t>d</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0.26</m:t>
                </m:r>
              </m:e>
            </m:groupChr>
          </m:e>
          <m:lim>
            <m:r>
              <w:rPr>
                <w:rFonts w:ascii="Cambria Math" w:hAnsi="Cambria Math"/>
              </w:rPr>
              <m:t>0.00</m:t>
            </m:r>
          </m:lim>
        </m:limLow>
        <m:r>
          <w:rPr>
            <w:rFonts w:ascii="Cambria Math" w:hAnsi="Cambria Math"/>
            <w:lang w:val="el-GR"/>
          </w:rPr>
          <m:t>Δ</m:t>
        </m:r>
        <m:r>
          <w:rPr>
            <w:rFonts w:ascii="Cambria Math" w:hAnsi="Cambria Math"/>
          </w:rPr>
          <m:t>com</m:t>
        </m:r>
        <m:sSub>
          <m:sSubPr>
            <m:ctrlPr>
              <w:rPr>
                <w:rFonts w:ascii="Cambria Math" w:hAnsi="Cambria Math"/>
                <w:i/>
                <w:iCs/>
              </w:rPr>
            </m:ctrlPr>
          </m:sSubPr>
          <m:e>
            <m:r>
              <w:rPr>
                <w:rFonts w:ascii="Cambria Math" w:hAnsi="Cambria Math"/>
              </w:rPr>
              <m:t>e</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0.15</m:t>
                </m:r>
              </m:e>
            </m:groupChr>
          </m:e>
          <m:lim>
            <m:r>
              <w:rPr>
                <w:rFonts w:ascii="Cambria Math" w:hAnsi="Cambria Math"/>
              </w:rPr>
              <m:t>0.03</m:t>
            </m:r>
          </m:lim>
        </m:limLow>
        <m:r>
          <w:rPr>
            <w:rFonts w:ascii="Cambria Math" w:hAnsi="Cambria Math"/>
            <w:lang w:val="el-GR"/>
          </w:rPr>
          <m:t>Δ</m:t>
        </m:r>
        <m:sSub>
          <m:sSubPr>
            <m:ctrlPr>
              <w:rPr>
                <w:rFonts w:ascii="Cambria Math" w:hAnsi="Cambria Math"/>
                <w:i/>
                <w:iCs/>
              </w:rPr>
            </m:ctrlPr>
          </m:sSubPr>
          <m:e>
            <m:r>
              <w:rPr>
                <w:rFonts w:ascii="Cambria Math" w:hAnsi="Cambria Math"/>
              </w:rPr>
              <m:t>p</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1.04</m:t>
                </m:r>
              </m:e>
            </m:groupChr>
          </m:e>
          <m:lim>
            <m:r>
              <w:rPr>
                <w:rFonts w:ascii="Cambria Math" w:hAnsi="Cambria Math"/>
              </w:rPr>
              <m:t>0.00</m:t>
            </m:r>
          </m:lim>
        </m:limLow>
        <m:r>
          <m:rPr>
            <m:sty m:val="p"/>
          </m:rPr>
          <w:rPr>
            <w:rFonts w:ascii="Cambria Math" w:hAnsi="Cambria Math"/>
          </w:rPr>
          <m:t>Δ</m:t>
        </m:r>
        <m:r>
          <w:rPr>
            <w:rFonts w:ascii="Cambria Math" w:hAnsi="Cambria Math"/>
          </w:rPr>
          <m:t>comgv</m:t>
        </m:r>
        <m:sSub>
          <m:sSubPr>
            <m:ctrlPr>
              <w:rPr>
                <w:rFonts w:ascii="Cambria Math" w:hAnsi="Cambria Math"/>
                <w:i/>
                <w:iCs/>
              </w:rPr>
            </m:ctrlPr>
          </m:sSubPr>
          <m:e>
            <m:r>
              <w:rPr>
                <w:rFonts w:ascii="Cambria Math" w:hAnsi="Cambria Math"/>
              </w:rPr>
              <m:t>a</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0.032</m:t>
                </m:r>
              </m:e>
            </m:groupChr>
          </m:e>
          <m:lim>
            <m:r>
              <w:rPr>
                <w:rFonts w:ascii="Cambria Math" w:hAnsi="Cambria Math"/>
              </w:rPr>
              <m:t>0.00</m:t>
            </m:r>
          </m:lim>
        </m:limLow>
        <m:sSub>
          <m:sSubPr>
            <m:ctrlPr>
              <w:rPr>
                <w:rFonts w:ascii="Cambria Math" w:hAnsi="Cambria Math"/>
                <w:i/>
                <w:iCs/>
              </w:rPr>
            </m:ctrlPr>
          </m:sSubPr>
          <m:e>
            <m:r>
              <w:rPr>
                <w:rFonts w:ascii="Cambria Math" w:hAnsi="Cambria Math"/>
              </w:rPr>
              <m:t>D</m:t>
            </m:r>
          </m:e>
          <m:sub>
            <m:r>
              <w:rPr>
                <w:rFonts w:ascii="Cambria Math" w:hAnsi="Cambria Math"/>
              </w:rPr>
              <m:t>00</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0.024</m:t>
                </m:r>
              </m:e>
            </m:groupChr>
          </m:e>
          <m:lim>
            <m:r>
              <w:rPr>
                <w:rFonts w:ascii="Cambria Math" w:hAnsi="Cambria Math"/>
              </w:rPr>
              <m:t>0.00</m:t>
            </m:r>
          </m:lim>
        </m:limLow>
        <m:sSub>
          <m:sSubPr>
            <m:ctrlPr>
              <w:rPr>
                <w:rFonts w:ascii="Cambria Math" w:hAnsi="Cambria Math"/>
                <w:i/>
                <w:iCs/>
              </w:rPr>
            </m:ctrlPr>
          </m:sSubPr>
          <m:e>
            <m:r>
              <w:rPr>
                <w:rFonts w:ascii="Cambria Math" w:hAnsi="Cambria Math"/>
              </w:rPr>
              <m:t>ID</m:t>
            </m:r>
          </m:e>
          <m:sub>
            <m:r>
              <w:rPr>
                <w:rFonts w:ascii="Cambria Math" w:hAnsi="Cambria Math"/>
              </w:rPr>
              <m:t>99</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0.106</m:t>
                </m:r>
              </m:e>
            </m:groupChr>
          </m:e>
          <m:lim>
            <m:r>
              <w:rPr>
                <w:rFonts w:ascii="Cambria Math" w:hAnsi="Cambria Math"/>
              </w:rPr>
              <m:t>0.04</m:t>
            </m:r>
          </m:lim>
        </m:limLow>
        <m:r>
          <w:rPr>
            <w:rFonts w:ascii="Cambria Math" w:hAnsi="Cambria Math"/>
          </w:rPr>
          <m:t>1</m:t>
        </m:r>
        <m:sSub>
          <m:sSubPr>
            <m:ctrlPr>
              <w:rPr>
                <w:rFonts w:ascii="Cambria Math" w:hAnsi="Cambria Math"/>
                <w:i/>
                <w:iCs/>
              </w:rPr>
            </m:ctrlPr>
          </m:sSubPr>
          <m:e>
            <m:r>
              <w:rPr>
                <w:rFonts w:ascii="Cambria Math" w:hAnsi="Cambria Math"/>
              </w:rPr>
              <m:t>ID</m:t>
            </m:r>
          </m:e>
          <m:sub>
            <m:r>
              <w:rPr>
                <w:rFonts w:ascii="Cambria Math" w:hAnsi="Cambria Math"/>
              </w:rPr>
              <m:t>03</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w:r>
        <w:rPr>
          <w:rFonts w:eastAsiaTheme="minorEastAsia"/>
          <w:iCs/>
        </w:rPr>
        <w:tab/>
      </w:r>
      <w:r>
        <w:rPr>
          <w:rFonts w:eastAsiaTheme="minorEastAsia"/>
          <w:iCs/>
        </w:rPr>
        <w:tab/>
      </w:r>
      <w:r>
        <w:rPr>
          <w:rFonts w:eastAsiaTheme="minorEastAsia"/>
          <w:iCs/>
        </w:rPr>
        <w:tab/>
      </w:r>
      <w:r>
        <w:rPr>
          <w:rFonts w:eastAsiaTheme="minorEastAsia"/>
          <w:iCs/>
        </w:rPr>
        <w:tab/>
        <w:t>(2)</w:t>
      </w:r>
    </w:p>
    <w:p w:rsidR="005329ED" w:rsidRPr="003F7728" w:rsidRDefault="005329ED" w:rsidP="005329ED">
      <w:pPr>
        <w:spacing w:line="360" w:lineRule="auto"/>
        <w:jc w:val="both"/>
      </w:pPr>
    </w:p>
    <w:p w:rsidR="005329ED" w:rsidRDefault="00672465" w:rsidP="005329ED">
      <w:pPr>
        <w:ind w:left="720"/>
        <w:rPr>
          <w:sz w:val="18"/>
        </w:rPr>
      </w:pPr>
      <w:r>
        <w:rPr>
          <w:sz w:val="18"/>
        </w:rPr>
        <w:t>Note: p</w:t>
      </w:r>
      <w:r w:rsidR="005329ED" w:rsidRPr="0061072A">
        <w:rPr>
          <w:sz w:val="18"/>
        </w:rPr>
        <w:t xml:space="preserve"> values for the significance of the explanatory variables are provided under the coefficient estimates.</w:t>
      </w:r>
      <w:r>
        <w:rPr>
          <w:sz w:val="18"/>
        </w:rPr>
        <w:t xml:space="preserve"> </w:t>
      </w:r>
      <w:r w:rsidR="003563AB">
        <w:rPr>
          <w:sz w:val="18"/>
        </w:rPr>
        <w:t>T</w:t>
      </w:r>
      <w:r>
        <w:rPr>
          <w:sz w:val="18"/>
        </w:rPr>
        <w:t>he nature of the model requires conducting an F test, which has different bounds since it considers non-stationary, cointegrated time series data, and the F test rejects that the coefficients are insignificant.</w:t>
      </w:r>
    </w:p>
    <w:p w:rsidR="005329ED" w:rsidRPr="0061072A" w:rsidRDefault="005329ED" w:rsidP="005329ED">
      <w:pPr>
        <w:ind w:left="720"/>
        <w:rPr>
          <w:sz w:val="18"/>
        </w:rPr>
      </w:pPr>
    </w:p>
    <w:p w:rsidR="005329ED" w:rsidRPr="00C370E1" w:rsidRDefault="00C370E1" w:rsidP="005329ED">
      <w:r>
        <w:t>w</w:t>
      </w:r>
      <w:r w:rsidR="005329ED" w:rsidRPr="00C370E1">
        <w:t>here</w:t>
      </w:r>
      <w:r>
        <w:t>:</w:t>
      </w:r>
    </w:p>
    <w:p w:rsidR="005329ED" w:rsidRPr="003F7728" w:rsidRDefault="005329ED" w:rsidP="005329ED">
      <w:pPr>
        <w:pStyle w:val="Dashedbullets"/>
        <w:ind w:left="502" w:hanging="360"/>
      </w:pPr>
      <w:r w:rsidRPr="003F7728">
        <w:rPr>
          <w:i/>
          <w:iCs/>
        </w:rPr>
        <w:t>come</w:t>
      </w:r>
      <w:r w:rsidRPr="003F7728">
        <w:t xml:space="preserve"> is the logarithm of commercial and services sector electricity consumption</w:t>
      </w:r>
      <w:r>
        <w:t>;</w:t>
      </w:r>
    </w:p>
    <w:p w:rsidR="005329ED" w:rsidRPr="003F7728" w:rsidRDefault="005329ED" w:rsidP="005329ED">
      <w:pPr>
        <w:pStyle w:val="Dashedbullets"/>
        <w:ind w:left="502" w:hanging="360"/>
      </w:pPr>
      <w:r w:rsidRPr="003F7728">
        <w:rPr>
          <w:i/>
          <w:iCs/>
        </w:rPr>
        <w:t>comgva</w:t>
      </w:r>
      <w:r w:rsidRPr="003F7728">
        <w:t xml:space="preserve"> is  </w:t>
      </w:r>
      <w:r>
        <w:t xml:space="preserve">the </w:t>
      </w:r>
      <w:r w:rsidRPr="003F7728">
        <w:t>GVA of commercial and services sector</w:t>
      </w:r>
      <w:r>
        <w:t>;</w:t>
      </w:r>
    </w:p>
    <w:p w:rsidR="005329ED" w:rsidRPr="003F7728" w:rsidRDefault="005329ED" w:rsidP="005329ED">
      <w:pPr>
        <w:pStyle w:val="Dashedbullets"/>
        <w:ind w:left="502" w:hanging="360"/>
      </w:pPr>
      <w:r w:rsidRPr="003F7728">
        <w:rPr>
          <w:i/>
          <w:iCs/>
        </w:rPr>
        <w:t>p</w:t>
      </w:r>
      <w:r w:rsidRPr="003F7728">
        <w:t xml:space="preserve"> is</w:t>
      </w:r>
      <w:r>
        <w:t xml:space="preserve"> the</w:t>
      </w:r>
      <w:r w:rsidRPr="003F7728">
        <w:t xml:space="preserve"> real electricity </w:t>
      </w:r>
      <w:r>
        <w:t xml:space="preserve">price </w:t>
      </w:r>
      <w:r w:rsidRPr="003F7728">
        <w:t>PPI</w:t>
      </w:r>
      <w:r>
        <w:t>;</w:t>
      </w:r>
    </w:p>
    <w:p w:rsidR="005329ED" w:rsidRPr="003F7728" w:rsidRDefault="005329ED" w:rsidP="005329ED">
      <w:pPr>
        <w:pStyle w:val="Dashedbullets"/>
        <w:ind w:left="502" w:hanging="360"/>
      </w:pPr>
      <w:r w:rsidRPr="003F7728">
        <w:rPr>
          <w:i/>
          <w:iCs/>
        </w:rPr>
        <w:lastRenderedPageBreak/>
        <w:t>nvhd</w:t>
      </w:r>
      <w:r w:rsidRPr="003F7728">
        <w:t xml:space="preserve"> is the number of very hot days in a year</w:t>
      </w:r>
      <w:r>
        <w:t>;</w:t>
      </w:r>
    </w:p>
    <w:p w:rsidR="005329ED" w:rsidRPr="003F7728" w:rsidRDefault="005329ED" w:rsidP="005329ED">
      <w:pPr>
        <w:pStyle w:val="Dashedbullets"/>
        <w:ind w:left="502" w:hanging="360"/>
      </w:pPr>
      <w:r w:rsidRPr="003F7728">
        <w:rPr>
          <w:i/>
          <w:iCs/>
        </w:rPr>
        <w:t>D</w:t>
      </w:r>
      <w:r w:rsidRPr="003F7728">
        <w:rPr>
          <w:vertAlign w:val="subscript"/>
        </w:rPr>
        <w:t>00</w:t>
      </w:r>
      <w:r>
        <w:t xml:space="preserve"> is</w:t>
      </w:r>
      <w:r w:rsidRPr="003F7728">
        <w:t xml:space="preserve"> a </w:t>
      </w:r>
      <w:r>
        <w:t>l</w:t>
      </w:r>
      <w:r w:rsidRPr="003F7728">
        <w:t xml:space="preserve">evel </w:t>
      </w:r>
      <w:r>
        <w:t>d</w:t>
      </w:r>
      <w:r w:rsidRPr="003F7728">
        <w:t xml:space="preserve">ummy variable taking value 1 </w:t>
      </w:r>
      <w:r>
        <w:t xml:space="preserve">after </w:t>
      </w:r>
      <w:r w:rsidR="006C667D">
        <w:t>2000</w:t>
      </w:r>
      <w:r>
        <w:t xml:space="preserve"> and</w:t>
      </w:r>
      <w:r w:rsidRPr="003F7728">
        <w:t xml:space="preserve"> 0</w:t>
      </w:r>
      <w:r>
        <w:t xml:space="preserve"> before; and</w:t>
      </w:r>
    </w:p>
    <w:p w:rsidR="005329ED" w:rsidRPr="003F7728" w:rsidRDefault="005329ED" w:rsidP="005329ED">
      <w:pPr>
        <w:pStyle w:val="Dashedbullets"/>
        <w:ind w:left="502" w:hanging="360"/>
      </w:pPr>
      <w:r w:rsidRPr="003F7728">
        <w:rPr>
          <w:i/>
          <w:iCs/>
        </w:rPr>
        <w:t>ID</w:t>
      </w:r>
      <w:r>
        <w:rPr>
          <w:i/>
          <w:iCs/>
          <w:vertAlign w:val="subscript"/>
        </w:rPr>
        <w:t xml:space="preserve">99 </w:t>
      </w:r>
      <w:r>
        <w:rPr>
          <w:i/>
          <w:iCs/>
        </w:rPr>
        <w:t xml:space="preserve">and </w:t>
      </w:r>
      <w:r w:rsidRPr="003F7728">
        <w:rPr>
          <w:i/>
          <w:iCs/>
        </w:rPr>
        <w:t>ID</w:t>
      </w:r>
      <w:r w:rsidRPr="003F7728">
        <w:rPr>
          <w:i/>
          <w:iCs/>
          <w:vertAlign w:val="subscript"/>
        </w:rPr>
        <w:t>03</w:t>
      </w:r>
      <w:r w:rsidRPr="003F7728">
        <w:t xml:space="preserve"> </w:t>
      </w:r>
      <w:r>
        <w:t>are i</w:t>
      </w:r>
      <w:r w:rsidRPr="003F7728">
        <w:t>mpulse dummy</w:t>
      </w:r>
      <w:r>
        <w:t xml:space="preserve"> variables</w:t>
      </w:r>
      <w:r w:rsidRPr="003F7728">
        <w:t xml:space="preserve"> to isolate a pos</w:t>
      </w:r>
      <w:r>
        <w:t>sible outlier in 1999 and 2003.</w:t>
      </w:r>
    </w:p>
    <w:p w:rsidR="005329ED" w:rsidRDefault="005329ED" w:rsidP="005329ED"/>
    <w:p w:rsidR="005329ED" w:rsidRPr="00E52BF1" w:rsidRDefault="005329ED" w:rsidP="005329ED">
      <w:r w:rsidRPr="00E52BF1">
        <w:t xml:space="preserve">Based on the estimation, the long run price elasticity for commercial electricity </w:t>
      </w:r>
      <w:r w:rsidR="00B24BE1">
        <w:t>consumption</w:t>
      </w:r>
      <w:r w:rsidRPr="00E52BF1">
        <w:t xml:space="preserve"> in the NEM is approximately -0.42. This estimate is in line with previous estimates obtained by AEMO, yet it is towards the top range, as shown in </w:t>
      </w:r>
      <w:r w:rsidR="00366A8E">
        <w:fldChar w:fldCharType="begin"/>
      </w:r>
      <w:r w:rsidR="00366A8E">
        <w:instrText xml:space="preserve"> REF _Ref369793420 \r \h </w:instrText>
      </w:r>
      <w:r w:rsidR="00366A8E">
        <w:fldChar w:fldCharType="separate"/>
      </w:r>
      <w:r w:rsidR="00197E14">
        <w:t>Table 10</w:t>
      </w:r>
      <w:r w:rsidR="00366A8E">
        <w:fldChar w:fldCharType="end"/>
      </w:r>
      <w:r w:rsidRPr="00E52BF1">
        <w:t xml:space="preserve">. The speed of adjustment is 0.53 leading to an equilibrium correction of 50 per cent in the first year and 75 per cent within two years. </w:t>
      </w:r>
    </w:p>
    <w:p w:rsidR="005329ED" w:rsidRPr="00E52BF1" w:rsidRDefault="005329ED" w:rsidP="005329ED"/>
    <w:p w:rsidR="005329ED" w:rsidRPr="00DE4EAF" w:rsidRDefault="00366A8E" w:rsidP="00645813">
      <w:pPr>
        <w:pStyle w:val="Tabletitle"/>
      </w:pPr>
      <w:bookmarkStart w:id="113" w:name="_Ref369793420"/>
      <w:bookmarkStart w:id="114" w:name="_Toc369890519"/>
      <w:r>
        <w:t>The estimated price elasticity is towards the top end of the range identified in previous AEMO work</w:t>
      </w:r>
      <w:bookmarkEnd w:id="113"/>
      <w:bookmarkEnd w:id="114"/>
      <w:r>
        <w:t xml:space="preserve"> </w:t>
      </w:r>
    </w:p>
    <w:tbl>
      <w:tblPr>
        <w:tblStyle w:val="Vividtable"/>
        <w:tblW w:w="5000" w:type="pct"/>
        <w:tblLook w:val="04A0" w:firstRow="1" w:lastRow="0" w:firstColumn="1" w:lastColumn="0" w:noHBand="0" w:noVBand="1"/>
      </w:tblPr>
      <w:tblGrid>
        <w:gridCol w:w="3285"/>
        <w:gridCol w:w="3286"/>
        <w:gridCol w:w="3284"/>
      </w:tblGrid>
      <w:tr w:rsidR="005329ED" w:rsidRPr="00980041" w:rsidTr="006054BB">
        <w:trPr>
          <w:cnfStyle w:val="100000000000" w:firstRow="1" w:lastRow="0" w:firstColumn="0" w:lastColumn="0" w:oddVBand="0" w:evenVBand="0" w:oddHBand="0" w:evenHBand="0" w:firstRowFirstColumn="0" w:firstRowLastColumn="0" w:lastRowFirstColumn="0" w:lastRowLastColumn="0"/>
          <w:cantSplit/>
          <w:trHeight w:val="340"/>
          <w:tblHeader/>
        </w:trPr>
        <w:tc>
          <w:tcPr>
            <w:tcW w:w="1667" w:type="pct"/>
            <w:tcBorders>
              <w:bottom w:val="single" w:sz="4" w:space="0" w:color="000000" w:themeColor="text1"/>
            </w:tcBorders>
          </w:tcPr>
          <w:p w:rsidR="005329ED" w:rsidRPr="004328B0" w:rsidRDefault="005329ED" w:rsidP="006054BB">
            <w:pPr>
              <w:keepNext/>
              <w:rPr>
                <w:rStyle w:val="PlaceholderText"/>
                <w:rFonts w:ascii="Arial" w:hAnsi="Arial" w:cs="Arial"/>
                <w:b w:val="0"/>
                <w:szCs w:val="18"/>
              </w:rPr>
            </w:pPr>
            <w:r>
              <w:rPr>
                <w:rStyle w:val="PlaceholderText"/>
                <w:rFonts w:ascii="Arial" w:hAnsi="Arial" w:cs="Arial"/>
                <w:szCs w:val="18"/>
              </w:rPr>
              <w:t>Long run elasticity</w:t>
            </w:r>
          </w:p>
        </w:tc>
        <w:tc>
          <w:tcPr>
            <w:tcW w:w="1667" w:type="pct"/>
            <w:tcBorders>
              <w:bottom w:val="single" w:sz="4" w:space="0" w:color="000000" w:themeColor="text1"/>
            </w:tcBorders>
          </w:tcPr>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Vivid Economics</w:t>
            </w:r>
          </w:p>
        </w:tc>
        <w:tc>
          <w:tcPr>
            <w:tcW w:w="1666" w:type="pct"/>
            <w:tcBorders>
              <w:bottom w:val="single" w:sz="4" w:space="0" w:color="000000" w:themeColor="text1"/>
            </w:tcBorders>
          </w:tcPr>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AEMO*</w:t>
            </w:r>
          </w:p>
        </w:tc>
      </w:tr>
      <w:tr w:rsidR="005329ED" w:rsidRPr="00980041" w:rsidTr="006054BB">
        <w:trPr>
          <w:cnfStyle w:val="000000100000" w:firstRow="0" w:lastRow="0" w:firstColumn="0" w:lastColumn="0" w:oddVBand="0" w:evenVBand="0" w:oddHBand="1" w:evenHBand="0" w:firstRowFirstColumn="0" w:firstRowLastColumn="0" w:lastRowFirstColumn="0" w:lastRowLastColumn="0"/>
          <w:cantSplit/>
          <w:trHeight w:val="474"/>
        </w:trPr>
        <w:tc>
          <w:tcPr>
            <w:tcW w:w="1667" w:type="pct"/>
            <w:tcBorders>
              <w:top w:val="single" w:sz="4" w:space="0" w:color="000000" w:themeColor="text1"/>
            </w:tcBorders>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Price</w:t>
            </w:r>
          </w:p>
        </w:tc>
        <w:tc>
          <w:tcPr>
            <w:tcW w:w="1667" w:type="pct"/>
            <w:tcBorders>
              <w:top w:val="single" w:sz="4" w:space="0" w:color="000000" w:themeColor="text1"/>
            </w:tcBorders>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-0.42</w:t>
            </w:r>
          </w:p>
        </w:tc>
        <w:tc>
          <w:tcPr>
            <w:tcW w:w="1666" w:type="pct"/>
            <w:tcBorders>
              <w:top w:val="single" w:sz="4" w:space="0" w:color="000000" w:themeColor="text1"/>
            </w:tcBorders>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-0.13 to -0.44</w:t>
            </w:r>
          </w:p>
        </w:tc>
      </w:tr>
      <w:tr w:rsidR="005329ED" w:rsidRPr="00980041" w:rsidTr="006054BB">
        <w:trPr>
          <w:cantSplit/>
          <w:trHeight w:val="474"/>
        </w:trPr>
        <w:tc>
          <w:tcPr>
            <w:tcW w:w="1667" w:type="pct"/>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GVA</w:t>
            </w:r>
            <w:r w:rsidR="000166CD">
              <w:rPr>
                <w:rStyle w:val="PlaceholderText"/>
                <w:rFonts w:ascii="Arial" w:hAnsi="Arial" w:cs="Arial"/>
                <w:szCs w:val="18"/>
              </w:rPr>
              <w:t>**</w:t>
            </w:r>
          </w:p>
        </w:tc>
        <w:tc>
          <w:tcPr>
            <w:tcW w:w="1667" w:type="pct"/>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1.00</w:t>
            </w:r>
            <w:r w:rsidR="000166CD">
              <w:rPr>
                <w:rStyle w:val="PlaceholderText"/>
                <w:rFonts w:ascii="Arial" w:hAnsi="Arial" w:cs="Arial"/>
                <w:szCs w:val="18"/>
              </w:rPr>
              <w:t>**</w:t>
            </w:r>
          </w:p>
        </w:tc>
        <w:tc>
          <w:tcPr>
            <w:tcW w:w="1666" w:type="pct"/>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0.23 to 0.71</w:t>
            </w:r>
          </w:p>
        </w:tc>
      </w:tr>
      <w:tr w:rsidR="005329ED" w:rsidRPr="00980041" w:rsidTr="006054BB">
        <w:trPr>
          <w:cnfStyle w:val="000000100000" w:firstRow="0" w:lastRow="0" w:firstColumn="0" w:lastColumn="0" w:oddVBand="0" w:evenVBand="0" w:oddHBand="1" w:evenHBand="0" w:firstRowFirstColumn="0" w:firstRowLastColumn="0" w:lastRowFirstColumn="0" w:lastRowLastColumn="0"/>
          <w:cantSplit/>
          <w:trHeight w:val="474"/>
        </w:trPr>
        <w:tc>
          <w:tcPr>
            <w:tcW w:w="1667" w:type="pct"/>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Weather</w:t>
            </w:r>
          </w:p>
        </w:tc>
        <w:tc>
          <w:tcPr>
            <w:tcW w:w="1667" w:type="pct"/>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0.08</w:t>
            </w:r>
          </w:p>
        </w:tc>
        <w:tc>
          <w:tcPr>
            <w:tcW w:w="1666" w:type="pct"/>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NA</w:t>
            </w:r>
          </w:p>
        </w:tc>
      </w:tr>
    </w:tbl>
    <w:p w:rsidR="005329ED" w:rsidRPr="00820511" w:rsidRDefault="005329ED" w:rsidP="005329ED">
      <w:pPr>
        <w:pStyle w:val="Header"/>
        <w:pBdr>
          <w:bottom w:val="none" w:sz="0" w:space="0" w:color="auto"/>
        </w:pBdr>
      </w:pPr>
    </w:p>
    <w:p w:rsidR="005329ED" w:rsidRDefault="005329ED" w:rsidP="005329ED">
      <w:pPr>
        <w:pStyle w:val="Note"/>
      </w:pPr>
      <w:r>
        <w:t>Note:</w:t>
      </w:r>
      <w:r>
        <w:tab/>
        <w:t xml:space="preserve">* AEMO elasticities are obtained per state </w:t>
      </w:r>
      <w:r w:rsidR="00A0602D">
        <w:t xml:space="preserve">and </w:t>
      </w:r>
      <w:r>
        <w:t>vary accordingly.</w:t>
      </w:r>
      <w:r w:rsidR="000166CD">
        <w:t xml:space="preserve"> ** The GVA long run elasticity is imposed to be 1 and statistical tests cannot reject that </w:t>
      </w:r>
      <w:r w:rsidR="00ED468C">
        <w:t xml:space="preserve">it could be 0.7. </w:t>
      </w:r>
      <w:r w:rsidR="00215A21">
        <w:t>The long run elasticity of GVA is imposed to be proportionate. This restriction greatly improves model stability. If the GVA elasticity is estimated, it is lower than 1 but statistical tests cannot reject that it is in fact 1.</w:t>
      </w:r>
      <w:r w:rsidR="00215A21" w:rsidRPr="00E52BF1" w:rsidDel="000166CD">
        <w:t xml:space="preserve"> </w:t>
      </w:r>
      <w:bookmarkStart w:id="115" w:name="_Ref365919762"/>
      <w:bookmarkStart w:id="116" w:name="_Toc366004665"/>
      <w:r w:rsidR="00215A21">
        <w:t xml:space="preserve">The </w:t>
      </w:r>
      <w:bookmarkEnd w:id="115"/>
      <w:bookmarkEnd w:id="116"/>
      <w:r w:rsidR="00215A21">
        <w:t>estimated long run price elasticity is similar to previous work</w:t>
      </w:r>
      <w:r w:rsidR="00F137E5">
        <w:t>.</w:t>
      </w:r>
    </w:p>
    <w:p w:rsidR="005329ED" w:rsidRDefault="005329ED" w:rsidP="005329ED">
      <w:pPr>
        <w:pStyle w:val="Source"/>
      </w:pPr>
      <w:r w:rsidRPr="00EF51BF">
        <w:t>Source:</w:t>
      </w:r>
      <w:r>
        <w:tab/>
        <w:t>Vivid Economics</w:t>
      </w:r>
    </w:p>
    <w:p w:rsidR="005329ED" w:rsidRPr="00E52BF1" w:rsidRDefault="005329ED" w:rsidP="005329ED">
      <w:r w:rsidRPr="00E52BF1">
        <w:t xml:space="preserve">To investigate whether there are any significant differences between the period before </w:t>
      </w:r>
      <w:r w:rsidR="006C667D">
        <w:t>2008</w:t>
      </w:r>
      <w:r w:rsidRPr="00E52BF1">
        <w:t xml:space="preserve"> and between </w:t>
      </w:r>
      <w:r w:rsidR="006C667D">
        <w:t>2008</w:t>
      </w:r>
      <w:r w:rsidRPr="00E52BF1">
        <w:t xml:space="preserve"> and </w:t>
      </w:r>
      <w:r w:rsidR="006C667D">
        <w:t>2011</w:t>
      </w:r>
      <w:r w:rsidRPr="00E52BF1">
        <w:t>, three different forecast scenarios are created in addition to the central forecast:</w:t>
      </w:r>
    </w:p>
    <w:p w:rsidR="005329ED" w:rsidRPr="00D439C3" w:rsidRDefault="005329ED" w:rsidP="005329ED">
      <w:pPr>
        <w:pStyle w:val="Dashedbullets"/>
        <w:ind w:left="502" w:hanging="360"/>
      </w:pPr>
      <w:r w:rsidRPr="00E52BF1">
        <w:t>a scenario without changes in</w:t>
      </w:r>
      <w:r w:rsidRPr="00D439C3">
        <w:t xml:space="preserve"> electricity prices;</w:t>
      </w:r>
    </w:p>
    <w:p w:rsidR="005329ED" w:rsidRPr="00D439C3" w:rsidRDefault="005329ED" w:rsidP="005329ED">
      <w:pPr>
        <w:pStyle w:val="Dashedbullets"/>
        <w:ind w:left="502" w:hanging="360"/>
      </w:pPr>
      <w:r w:rsidRPr="00D439C3">
        <w:t xml:space="preserve">a scenario without changes in </w:t>
      </w:r>
      <w:r>
        <w:t>commercial and services GVA</w:t>
      </w:r>
      <w:r w:rsidRPr="00D439C3">
        <w:t>; and</w:t>
      </w:r>
    </w:p>
    <w:p w:rsidR="005329ED" w:rsidRPr="00D439C3" w:rsidRDefault="005329ED" w:rsidP="005329ED">
      <w:pPr>
        <w:pStyle w:val="Dashedbullets"/>
        <w:ind w:left="502" w:hanging="360"/>
      </w:pPr>
      <w:r w:rsidRPr="00D439C3">
        <w:t xml:space="preserve">a scenario without changes in either electricity prices </w:t>
      </w:r>
      <w:r w:rsidR="005E51AC">
        <w:t>or</w:t>
      </w:r>
      <w:r w:rsidR="005E51AC" w:rsidRPr="00D439C3">
        <w:t xml:space="preserve"> </w:t>
      </w:r>
      <w:r>
        <w:t>GVA</w:t>
      </w:r>
      <w:r w:rsidRPr="00D439C3">
        <w:t xml:space="preserve">, which solely relies on the autoregressive dynamics of </w:t>
      </w:r>
      <w:r>
        <w:t>commercial and services</w:t>
      </w:r>
      <w:r w:rsidRPr="00D439C3">
        <w:t xml:space="preserve"> electricity consumption.</w:t>
      </w:r>
    </w:p>
    <w:p w:rsidR="005329ED" w:rsidRDefault="005329ED" w:rsidP="005329ED">
      <w:pPr>
        <w:rPr>
          <w:b/>
        </w:rPr>
      </w:pPr>
    </w:p>
    <w:p w:rsidR="005329ED" w:rsidRPr="00E52BF1" w:rsidRDefault="005329ED" w:rsidP="005329ED">
      <w:r w:rsidRPr="00E52BF1">
        <w:t xml:space="preserve">The observed commercial and electricity consumption between </w:t>
      </w:r>
      <w:r w:rsidR="006C667D">
        <w:t>2008</w:t>
      </w:r>
      <w:r w:rsidRPr="00E52BF1">
        <w:t xml:space="preserve"> and </w:t>
      </w:r>
      <w:r w:rsidR="006C667D">
        <w:t>2011</w:t>
      </w:r>
      <w:r w:rsidRPr="00E52BF1">
        <w:t xml:space="preserve"> is in line with the estimated past relationship between consumption and its drivers, electricity prices, GVA and weather as shown in </w:t>
      </w:r>
      <w:r w:rsidR="007666E1">
        <w:fldChar w:fldCharType="begin"/>
      </w:r>
      <w:r w:rsidR="007666E1">
        <w:instrText xml:space="preserve"> REF _Ref365920469 \r \h  \* MERGEFORMAT </w:instrText>
      </w:r>
      <w:r w:rsidR="007666E1">
        <w:fldChar w:fldCharType="separate"/>
      </w:r>
      <w:r w:rsidR="00197E14">
        <w:t>Figure 21</w:t>
      </w:r>
      <w:r w:rsidR="007666E1">
        <w:fldChar w:fldCharType="end"/>
      </w:r>
      <w:r w:rsidRPr="00E52BF1">
        <w:t xml:space="preserve">. Consumption in </w:t>
      </w:r>
      <w:r w:rsidR="006C667D">
        <w:t>2012</w:t>
      </w:r>
      <w:r w:rsidRPr="00E52BF1">
        <w:t xml:space="preserve"> is significantly higher than in preceding years and </w:t>
      </w:r>
      <w:r w:rsidR="00C370E1">
        <w:t xml:space="preserve">could </w:t>
      </w:r>
      <w:r w:rsidRPr="00E52BF1">
        <w:t>be an outlier</w:t>
      </w:r>
      <w:r w:rsidR="00C370E1">
        <w:t>,</w:t>
      </w:r>
      <w:r w:rsidRPr="00E52BF1">
        <w:t xml:space="preserve"> based on further evidence of a constant electricity intensity of the sector over time. If this outlier is adjusted, the forecast scenarios all projected a decline in commercial and services electricity consumption between </w:t>
      </w:r>
      <w:r w:rsidR="006C667D">
        <w:t>2008</w:t>
      </w:r>
      <w:r w:rsidRPr="00E52BF1">
        <w:t xml:space="preserve"> and </w:t>
      </w:r>
      <w:r w:rsidR="006C667D">
        <w:t>2011</w:t>
      </w:r>
      <w:r w:rsidRPr="00E52BF1">
        <w:t xml:space="preserve"> </w:t>
      </w:r>
      <w:r w:rsidR="00C370E1">
        <w:t xml:space="preserve">whereas </w:t>
      </w:r>
      <w:r w:rsidRPr="00E52BF1">
        <w:t>actual consumption has levelled off in the same period.</w:t>
      </w:r>
    </w:p>
    <w:p w:rsidR="005329ED" w:rsidRPr="00E52BF1" w:rsidRDefault="005329ED" w:rsidP="005329ED"/>
    <w:p w:rsidR="005329ED" w:rsidRPr="0086580B" w:rsidRDefault="005329ED" w:rsidP="005329ED">
      <w:r w:rsidRPr="00E52BF1">
        <w:t>AEMO data</w:t>
      </w:r>
      <w:r w:rsidR="00C370E1">
        <w:t xml:space="preserve"> indicates that </w:t>
      </w:r>
      <w:r w:rsidRPr="00E52BF1">
        <w:t xml:space="preserve">per capita energy consumption for residential, commercial and services users has been declining since </w:t>
      </w:r>
      <w:r w:rsidR="006C667D">
        <w:t>2009</w:t>
      </w:r>
      <w:r w:rsidRPr="00E52BF1">
        <w:t xml:space="preserve"> </w:t>
      </w:r>
      <w:r w:rsidR="005A66AE" w:rsidRPr="00E52BF1">
        <w:fldChar w:fldCharType="begin" w:fldLock="1"/>
      </w:r>
      <w:r w:rsidR="00971CE6">
        <w:instrText>ADDIN CSL_CITATION { "citationItems" : [ { "id" : "ITEM-1", "itemData" : { "author" : [ { "dropping-particle" : "", "family" : "AEMO", "given" : "", "non-dropping-particle" : "", "parse-names" : false, "suffix" : "" } ], "container-title" : "AEMO Australian Energy Market Operator", "id" : "ITEM-1", "issued" : { "date-parts" : [ [ "2013" ] ] }, "title" : "National Electricity Forecasting Report", "type" : "article-journal" }, "uris" : [ "http://www.mendeley.com/documents/?uuid=e213eba3-b512-4289-9943-23f2fb6c4e4c" ] } ], "mendeley" : { "previouslyFormattedCitation" : "(AEMO, 2013a)" }, "properties" : { "noteIndex" : 0 }, "schema" : "https://github.com/citation-style-language/schema/raw/master/csl-citation.json" }</w:instrText>
      </w:r>
      <w:r w:rsidR="005A66AE" w:rsidRPr="00E52BF1">
        <w:fldChar w:fldCharType="separate"/>
      </w:r>
      <w:r w:rsidR="00C8003C" w:rsidRPr="00C8003C">
        <w:rPr>
          <w:noProof/>
        </w:rPr>
        <w:t>(AEMO, 2013a)</w:t>
      </w:r>
      <w:r w:rsidR="005A66AE" w:rsidRPr="00E52BF1">
        <w:fldChar w:fldCharType="end"/>
      </w:r>
      <w:r w:rsidRPr="00E52BF1">
        <w:t xml:space="preserve">. In Queensland, the National Electricity Forecasting Report (NEFR) predicted a </w:t>
      </w:r>
      <w:r w:rsidRPr="00E52BF1">
        <w:t>10</w:t>
      </w:r>
      <w:r w:rsidRPr="00E52BF1">
        <w:t xml:space="preserve">-year average energy </w:t>
      </w:r>
      <w:r w:rsidR="00B24BE1">
        <w:t>consumption</w:t>
      </w:r>
      <w:r w:rsidRPr="00E52BF1">
        <w:t xml:space="preserve"> growth of 3.1 per cent owing to population and economic growth, and an ‘easing of electricity</w:t>
      </w:r>
      <w:r>
        <w:t xml:space="preserve"> prices after 2014-15’. However, a number of large new </w:t>
      </w:r>
      <w:r>
        <w:lastRenderedPageBreak/>
        <w:t xml:space="preserve">industrial projects were not operational at the expected time, leading to lower short-term energy </w:t>
      </w:r>
      <w:r w:rsidR="00B24BE1">
        <w:t>consumption</w:t>
      </w:r>
      <w:r>
        <w:t xml:space="preserve"> </w:t>
      </w:r>
      <w:r w:rsidR="00C370E1">
        <w:t>growth than previously forecast</w:t>
      </w:r>
      <w:r>
        <w:t>. In New South Wales, rising population and small industrial energy consumption was accompanied by a reduction in large industrial consumption, leading to a flatter 0.6 per cent energy</w:t>
      </w:r>
      <w:r w:rsidR="00DD3D98">
        <w:t xml:space="preserve"> per year</w:t>
      </w:r>
      <w:r>
        <w:t xml:space="preserve"> </w:t>
      </w:r>
      <w:r w:rsidR="00B24BE1">
        <w:t>consumption</w:t>
      </w:r>
      <w:r>
        <w:t xml:space="preserve"> growth. In Victoria, the </w:t>
      </w:r>
      <w:r>
        <w:t>10</w:t>
      </w:r>
      <w:r>
        <w:t xml:space="preserve">-year average energy </w:t>
      </w:r>
      <w:r w:rsidR="00B24BE1">
        <w:t>consumption</w:t>
      </w:r>
      <w:r>
        <w:t xml:space="preserve"> growth forecast </w:t>
      </w:r>
      <w:r w:rsidR="00C370E1">
        <w:t xml:space="preserve">is </w:t>
      </w:r>
      <w:r>
        <w:t>0.9 per cent</w:t>
      </w:r>
      <w:r w:rsidR="00C370E1">
        <w:t xml:space="preserve"> per year</w:t>
      </w:r>
      <w:r>
        <w:t xml:space="preserve">, down from 1.4 per cent </w:t>
      </w:r>
      <w:r w:rsidR="00C370E1">
        <w:t xml:space="preserve">per year </w:t>
      </w:r>
      <w:r>
        <w:t xml:space="preserve">forecast in 2012, owing to energy efficiency savings in the interim. In South Australia, a combination of lower-than-expected population and economic growth, energy efficiency savings owing to solar </w:t>
      </w:r>
      <w:r w:rsidR="00F137E5">
        <w:t xml:space="preserve">PV </w:t>
      </w:r>
      <w:r>
        <w:t>technologies</w:t>
      </w:r>
      <w:r w:rsidRPr="00F577A1">
        <w:t xml:space="preserve">, and the deferral of large industrial projects such as the Olympic Dam mining expansion, contributed to an average </w:t>
      </w:r>
      <w:r w:rsidR="00B24BE1">
        <w:t>consumption</w:t>
      </w:r>
      <w:r w:rsidRPr="00F577A1">
        <w:t xml:space="preserve"> growth of 0.1</w:t>
      </w:r>
      <w:r>
        <w:t xml:space="preserve"> per cent</w:t>
      </w:r>
      <w:r w:rsidRPr="00F577A1">
        <w:t xml:space="preserve"> </w:t>
      </w:r>
      <w:r w:rsidR="00C370E1">
        <w:t xml:space="preserve">per cent </w:t>
      </w:r>
      <w:r w:rsidRPr="00F577A1">
        <w:t>for the next ten years, down from 0.7</w:t>
      </w:r>
      <w:r>
        <w:t xml:space="preserve"> per cent</w:t>
      </w:r>
      <w:r w:rsidRPr="00F577A1">
        <w:t xml:space="preserve"> </w:t>
      </w:r>
      <w:r w:rsidR="00C370E1">
        <w:t xml:space="preserve">per year </w:t>
      </w:r>
      <w:r w:rsidRPr="00F577A1">
        <w:t xml:space="preserve">in the previous year’s forecast. In Tasmania, </w:t>
      </w:r>
      <w:r w:rsidR="00B24BE1">
        <w:t>consumption</w:t>
      </w:r>
      <w:r w:rsidRPr="00F577A1">
        <w:t xml:space="preserve"> is forecast to be flat over the next ten years, owing to energy efficiency savings and lower-than-expected industrial consumption</w:t>
      </w:r>
      <w:r w:rsidR="00C25052">
        <w:t>.</w:t>
      </w:r>
    </w:p>
    <w:p w:rsidR="005329ED" w:rsidRPr="000D25DC" w:rsidRDefault="005329ED" w:rsidP="005329ED">
      <w:pPr>
        <w:pStyle w:val="Charttitle"/>
      </w:pPr>
      <w:bookmarkStart w:id="117" w:name="_Ref365920469"/>
      <w:bookmarkStart w:id="118" w:name="_Toc366004681"/>
      <w:bookmarkStart w:id="119" w:name="_Toc366269843"/>
      <w:bookmarkStart w:id="120" w:name="_Toc369890561"/>
      <w:r>
        <w:t xml:space="preserve">Commercial and services electricity consumption </w:t>
      </w:r>
      <w:r w:rsidR="00170C06">
        <w:t xml:space="preserve">in </w:t>
      </w:r>
      <w:r w:rsidR="006C667D">
        <w:t>2011</w:t>
      </w:r>
      <w:r w:rsidR="00170C06">
        <w:t xml:space="preserve"> and </w:t>
      </w:r>
      <w:r w:rsidR="006C667D">
        <w:t>2012</w:t>
      </w:r>
      <w:r>
        <w:t xml:space="preserve"> is slightly higher than forecast</w:t>
      </w:r>
      <w:r>
        <w:t>ed</w:t>
      </w:r>
      <w:bookmarkEnd w:id="117"/>
      <w:bookmarkEnd w:id="118"/>
      <w:bookmarkEnd w:id="119"/>
      <w:bookmarkEnd w:id="120"/>
    </w:p>
    <w:p w:rsidR="005329ED" w:rsidRPr="00430244" w:rsidRDefault="00906CDE" w:rsidP="005329ED">
      <w:pPr>
        <w:pStyle w:val="Chartspacer"/>
        <w:rPr>
          <w:rStyle w:val="PlaceholderText"/>
        </w:rPr>
      </w:pPr>
      <w:r w:rsidRPr="00906CDE">
        <w:drawing>
          <wp:inline distT="0" distB="0" distL="0" distR="0" wp14:anchorId="2AA42830" wp14:editId="76A67EF8">
            <wp:extent cx="6120765" cy="322085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220856"/>
                    </a:xfrm>
                    <a:prstGeom prst="rect">
                      <a:avLst/>
                    </a:prstGeom>
                    <a:noFill/>
                    <a:ln>
                      <a:noFill/>
                    </a:ln>
                  </pic:spPr>
                </pic:pic>
              </a:graphicData>
            </a:graphic>
          </wp:inline>
        </w:drawing>
      </w:r>
    </w:p>
    <w:p w:rsidR="005329ED" w:rsidRDefault="005329ED" w:rsidP="005329ED">
      <w:pPr>
        <w:pStyle w:val="Note"/>
      </w:pPr>
      <w:r>
        <w:t>Note:</w:t>
      </w:r>
      <w:r>
        <w:tab/>
        <w:t>Adjusting commercial and services electricity consumption results in a more credible pattern.</w:t>
      </w:r>
    </w:p>
    <w:p w:rsidR="005329ED" w:rsidRDefault="005329ED" w:rsidP="005329ED">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FE4E2D">
        <w:rPr>
          <w:noProof/>
        </w:rPr>
        <w:t>Australian Government Bureau of Resource and Energy Economics (2013)</w:t>
      </w:r>
      <w:r w:rsidR="005A66AE">
        <w:fldChar w:fldCharType="end"/>
      </w:r>
      <w:r>
        <w:t xml:space="preserve"> and </w:t>
      </w:r>
      <w:r w:rsidR="005A66AE">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fldChar w:fldCharType="separate"/>
      </w:r>
      <w:r w:rsidRPr="00FE4E2D">
        <w:rPr>
          <w:noProof/>
        </w:rPr>
        <w:t>Australian Bureau of Statistics (2013)</w:t>
      </w:r>
      <w:r w:rsidR="005A66AE">
        <w:fldChar w:fldCharType="end"/>
      </w:r>
      <w:r w:rsidR="00F137E5">
        <w:t xml:space="preserve"> </w:t>
      </w:r>
    </w:p>
    <w:p w:rsidR="005329ED" w:rsidRDefault="005329ED" w:rsidP="005329ED">
      <w:pPr>
        <w:pStyle w:val="Heading3"/>
      </w:pPr>
      <w:r>
        <w:t>Manufacturing</w:t>
      </w:r>
    </w:p>
    <w:p w:rsidR="005329ED" w:rsidRPr="00E52BF1" w:rsidRDefault="005329ED" w:rsidP="005329ED">
      <w:r w:rsidRPr="00E52BF1">
        <w:t xml:space="preserve">Manufacturing electricity consumption declined between </w:t>
      </w:r>
      <w:r w:rsidR="006C667D">
        <w:t>2008</w:t>
      </w:r>
      <w:r w:rsidRPr="00E52BF1">
        <w:t xml:space="preserve"> and </w:t>
      </w:r>
      <w:r w:rsidR="006C667D">
        <w:t>2011</w:t>
      </w:r>
      <w:r w:rsidRPr="00E52BF1">
        <w:t xml:space="preserve"> in the NEM whereas it stayed relatively constant </w:t>
      </w:r>
      <w:r w:rsidR="00F137E5">
        <w:t xml:space="preserve">between </w:t>
      </w:r>
      <w:r w:rsidR="006C667D">
        <w:t>2000</w:t>
      </w:r>
      <w:r w:rsidRPr="00E52BF1">
        <w:t xml:space="preserve"> </w:t>
      </w:r>
      <w:r w:rsidR="00F137E5">
        <w:t>and</w:t>
      </w:r>
      <w:r w:rsidR="00F137E5" w:rsidRPr="00E52BF1">
        <w:t xml:space="preserve"> </w:t>
      </w:r>
      <w:r w:rsidR="006C667D">
        <w:t>2008</w:t>
      </w:r>
      <w:r w:rsidRPr="00E52BF1">
        <w:t xml:space="preserve">. Manufacturing electricity consumption declined by a CAGR of 4 per cent between </w:t>
      </w:r>
      <w:r w:rsidR="006C667D">
        <w:t>2008</w:t>
      </w:r>
      <w:r w:rsidRPr="00E52BF1">
        <w:t xml:space="preserve"> and </w:t>
      </w:r>
      <w:r w:rsidR="006C667D">
        <w:t>201</w:t>
      </w:r>
      <w:r w:rsidR="00E93B88">
        <w:t>2</w:t>
      </w:r>
      <w:r w:rsidRPr="00E52BF1">
        <w:t>.</w:t>
      </w:r>
    </w:p>
    <w:p w:rsidR="005329ED" w:rsidRPr="00E52BF1" w:rsidRDefault="005329ED" w:rsidP="005329ED"/>
    <w:p w:rsidR="005329ED" w:rsidRPr="00714DDB" w:rsidRDefault="005329ED" w:rsidP="005329ED">
      <w:r w:rsidRPr="00E52BF1">
        <w:t xml:space="preserve">The trends in manufacturing electricity consumption differ slightly between NEM and the remaining two regions, Northern Territory and Western Australia, as shown </w:t>
      </w:r>
      <w:r w:rsidR="00373C41" w:rsidRPr="00E52BF1">
        <w:t xml:space="preserve">in </w:t>
      </w:r>
      <w:r w:rsidR="005A66AE">
        <w:fldChar w:fldCharType="begin"/>
      </w:r>
      <w:r w:rsidR="0073678F">
        <w:instrText xml:space="preserve"> REF _Ref366270866 \r \h </w:instrText>
      </w:r>
      <w:r w:rsidR="005A66AE">
        <w:fldChar w:fldCharType="separate"/>
      </w:r>
      <w:r w:rsidR="00197E14">
        <w:t>Figure 22</w:t>
      </w:r>
      <w:r w:rsidR="005A66AE">
        <w:fldChar w:fldCharType="end"/>
      </w:r>
      <w:r w:rsidR="00343677">
        <w:t xml:space="preserve"> and </w:t>
      </w:r>
      <w:r w:rsidR="005A66AE">
        <w:fldChar w:fldCharType="begin"/>
      </w:r>
      <w:r w:rsidR="00343677">
        <w:instrText xml:space="preserve"> REF _Ref366333308 \r \h </w:instrText>
      </w:r>
      <w:r w:rsidR="005A66AE">
        <w:fldChar w:fldCharType="separate"/>
      </w:r>
      <w:r w:rsidR="00197E14">
        <w:t>Figure 23</w:t>
      </w:r>
      <w:r w:rsidR="005A66AE">
        <w:fldChar w:fldCharType="end"/>
      </w:r>
      <w:r w:rsidR="00C370E1">
        <w:t>.</w:t>
      </w:r>
      <w:r w:rsidRPr="00E52BF1">
        <w:t xml:space="preserve"> </w:t>
      </w:r>
      <w:r w:rsidR="00937C0A">
        <w:t xml:space="preserve">This comparison is important to ensure consistency of estimates, as explained in Section </w:t>
      </w:r>
      <w:r w:rsidR="005A66AE">
        <w:fldChar w:fldCharType="begin"/>
      </w:r>
      <w:r w:rsidR="00937C0A">
        <w:instrText xml:space="preserve"> REF _Ref366330089 \n \h </w:instrText>
      </w:r>
      <w:r w:rsidR="005A66AE">
        <w:fldChar w:fldCharType="separate"/>
      </w:r>
      <w:r w:rsidR="00197E14">
        <w:t>2.3.2</w:t>
      </w:r>
      <w:r w:rsidR="005A66AE">
        <w:fldChar w:fldCharType="end"/>
      </w:r>
      <w:r w:rsidR="00937C0A">
        <w:t>.</w:t>
      </w:r>
      <w:r w:rsidR="00937C0A" w:rsidRPr="00937C0A">
        <w:t xml:space="preserve"> </w:t>
      </w:r>
      <w:r w:rsidR="00937C0A">
        <w:t xml:space="preserve">Even though the series differ </w:t>
      </w:r>
      <w:r w:rsidR="00937C0A">
        <w:lastRenderedPageBreak/>
        <w:t>slightly, WA and NT manufacturing electricity consumption is less than 10 per cent of the NEM region</w:t>
      </w:r>
      <w:r w:rsidR="00937C0A" w:rsidRPr="00697252">
        <w:t xml:space="preserve"> and the coefficients are not statistically significantly different as shown in </w:t>
      </w:r>
      <w:r w:rsidR="00937C0A">
        <w:t>the a</w:t>
      </w:r>
      <w:r w:rsidR="00937C0A" w:rsidRPr="00697252">
        <w:t>ppendix.</w:t>
      </w:r>
      <w:r w:rsidRPr="00E52BF1">
        <w:t xml:space="preserve"> </w:t>
      </w:r>
      <w:r w:rsidR="00FE2F34">
        <w:t>The difference in growth rates between the NEM</w:t>
      </w:r>
      <w:r w:rsidR="009466EE">
        <w:t xml:space="preserve">, </w:t>
      </w:r>
      <w:r w:rsidR="00FE2F34">
        <w:t xml:space="preserve">WA and NT is </w:t>
      </w:r>
      <w:r w:rsidR="00667FE4">
        <w:t xml:space="preserve">mainly </w:t>
      </w:r>
      <w:r w:rsidR="009466EE">
        <w:t xml:space="preserve">due to </w:t>
      </w:r>
      <w:r w:rsidR="00FE2F34">
        <w:t>increased mining activity</w:t>
      </w:r>
      <w:r w:rsidR="009466EE">
        <w:t xml:space="preserve"> in the latter two areas</w:t>
      </w:r>
      <w:r w:rsidR="00FE2F34">
        <w:t>.</w:t>
      </w:r>
    </w:p>
    <w:p w:rsidR="005329ED" w:rsidRPr="000D25DC" w:rsidRDefault="005329ED" w:rsidP="005329ED">
      <w:pPr>
        <w:pStyle w:val="Charttitle"/>
      </w:pPr>
      <w:bookmarkStart w:id="121" w:name="_Toc366004682"/>
      <w:bookmarkStart w:id="122" w:name="_Ref366005541"/>
      <w:bookmarkStart w:id="123" w:name="_Toc366269844"/>
      <w:bookmarkStart w:id="124" w:name="_Ref366270866"/>
      <w:bookmarkStart w:id="125" w:name="_Toc369890562"/>
      <w:r>
        <w:t>The</w:t>
      </w:r>
      <w:r w:rsidR="00C370E1">
        <w:t>re are</w:t>
      </w:r>
      <w:r>
        <w:t xml:space="preserve"> differences between NEM and WA and NT manufacturing electricity consumption </w:t>
      </w:r>
      <w:r w:rsidR="00C370E1">
        <w:t xml:space="preserve">patterns, especially </w:t>
      </w:r>
      <w:r>
        <w:t xml:space="preserve">since </w:t>
      </w:r>
      <w:r w:rsidR="006C667D">
        <w:t>2006</w:t>
      </w:r>
      <w:bookmarkEnd w:id="121"/>
      <w:bookmarkEnd w:id="122"/>
      <w:bookmarkEnd w:id="123"/>
      <w:bookmarkEnd w:id="124"/>
      <w:bookmarkEnd w:id="125"/>
    </w:p>
    <w:p w:rsidR="005329ED" w:rsidRPr="00430244" w:rsidRDefault="005329ED" w:rsidP="005329ED">
      <w:pPr>
        <w:pStyle w:val="Chartspacer"/>
        <w:rPr>
          <w:rStyle w:val="PlaceholderText"/>
        </w:rPr>
      </w:pPr>
      <w:r w:rsidRPr="006A0E43">
        <w:rPr>
          <w:noProof/>
          <w:lang w:eastAsia="en-GB"/>
        </w:rPr>
        <w:drawing>
          <wp:inline distT="0" distB="0" distL="0" distR="0" wp14:anchorId="447DF976" wp14:editId="2FD7F252">
            <wp:extent cx="6120130" cy="34232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423262"/>
                    </a:xfrm>
                    <a:prstGeom prst="rect">
                      <a:avLst/>
                    </a:prstGeom>
                    <a:noFill/>
                    <a:ln>
                      <a:noFill/>
                    </a:ln>
                  </pic:spPr>
                </pic:pic>
              </a:graphicData>
            </a:graphic>
          </wp:inline>
        </w:drawing>
      </w:r>
    </w:p>
    <w:p w:rsidR="005329ED" w:rsidRPr="005A132E" w:rsidRDefault="005329ED" w:rsidP="005329ED">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FE4E2D">
        <w:rPr>
          <w:noProof/>
        </w:rPr>
        <w:t>Australian Government Bureau of Resource and Energy Economics (2013)</w:t>
      </w:r>
      <w:r w:rsidR="005A66AE">
        <w:fldChar w:fldCharType="end"/>
      </w:r>
    </w:p>
    <w:p w:rsidR="002D4E4B" w:rsidRDefault="002D4E4B" w:rsidP="005329ED">
      <w:pPr>
        <w:rPr>
          <w:b/>
        </w:rPr>
      </w:pPr>
    </w:p>
    <w:p w:rsidR="002D4E4B" w:rsidRPr="000D25DC" w:rsidRDefault="002D4E4B" w:rsidP="00C8003C">
      <w:pPr>
        <w:pStyle w:val="Charttitle"/>
      </w:pPr>
      <w:bookmarkStart w:id="126" w:name="_Ref366333308"/>
      <w:bookmarkStart w:id="127" w:name="_Toc369890563"/>
      <w:r>
        <w:lastRenderedPageBreak/>
        <w:t xml:space="preserve">WA and NT manufacturing electricity consumption growth is more volatile than NEM, especially since </w:t>
      </w:r>
      <w:r w:rsidR="006C667D">
        <w:t>2006</w:t>
      </w:r>
      <w:bookmarkEnd w:id="126"/>
      <w:bookmarkEnd w:id="127"/>
    </w:p>
    <w:p w:rsidR="002D4E4B" w:rsidRPr="00430244" w:rsidRDefault="002D4E4B" w:rsidP="00C8003C">
      <w:pPr>
        <w:pStyle w:val="Chartspacer"/>
        <w:rPr>
          <w:rStyle w:val="PlaceholderText"/>
        </w:rPr>
      </w:pPr>
      <w:r w:rsidRPr="002D4E4B">
        <w:rPr>
          <w:noProof/>
          <w:lang w:eastAsia="en-GB"/>
        </w:rPr>
        <w:drawing>
          <wp:inline distT="0" distB="0" distL="0" distR="0" wp14:anchorId="0A77EE16" wp14:editId="35F5819B">
            <wp:extent cx="6120765" cy="36988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698883"/>
                    </a:xfrm>
                    <a:prstGeom prst="rect">
                      <a:avLst/>
                    </a:prstGeom>
                    <a:noFill/>
                    <a:ln>
                      <a:noFill/>
                    </a:ln>
                  </pic:spPr>
                </pic:pic>
              </a:graphicData>
            </a:graphic>
          </wp:inline>
        </w:drawing>
      </w:r>
    </w:p>
    <w:p w:rsidR="002D4E4B" w:rsidRPr="005A132E" w:rsidRDefault="002D4E4B" w:rsidP="002D4E4B">
      <w:pPr>
        <w:pStyle w:val="Source"/>
      </w:pPr>
      <w:r w:rsidRPr="005A132E">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FE4E2D">
        <w:rPr>
          <w:noProof/>
        </w:rPr>
        <w:t>Australian Government Bureau of Resource and Energy Economics (2013)</w:t>
      </w:r>
      <w:r w:rsidR="005A66AE">
        <w:fldChar w:fldCharType="end"/>
      </w:r>
    </w:p>
    <w:p w:rsidR="005329ED" w:rsidRPr="001A7777" w:rsidRDefault="005329ED" w:rsidP="005329ED">
      <w:pPr>
        <w:rPr>
          <w:b/>
        </w:rPr>
      </w:pPr>
      <w:r w:rsidRPr="009773EA">
        <w:t>The drivers of manufacturing electricity consumption are electricity prices and Gross Value Added in the sector.</w:t>
      </w:r>
      <w:r w:rsidRPr="002D37D0">
        <w:rPr>
          <w:b/>
        </w:rPr>
        <w:t xml:space="preserve"> </w:t>
      </w:r>
      <w:r>
        <w:t>Equation 3</w:t>
      </w:r>
      <w:r w:rsidRPr="005C64B5">
        <w:t xml:space="preserve"> below shows the estimation for changes in</w:t>
      </w:r>
      <w:r>
        <w:t xml:space="preserve"> </w:t>
      </w:r>
      <w:r w:rsidR="00937C0A">
        <w:t>manufacturing</w:t>
      </w:r>
      <w:r>
        <w:t xml:space="preserve"> electricity </w:t>
      </w:r>
      <w:r w:rsidR="00B24BE1">
        <w:t>consumption</w:t>
      </w:r>
      <w:r>
        <w:t xml:space="preserve"> together with the coefficient and significance of each driver.</w:t>
      </w:r>
    </w:p>
    <w:p w:rsidR="005329ED" w:rsidRDefault="005329ED" w:rsidP="003556BE">
      <w:pPr>
        <w:jc w:val="center"/>
      </w:pPr>
    </w:p>
    <w:p w:rsidR="005329ED" w:rsidRDefault="005329ED" w:rsidP="003556BE">
      <w:pPr>
        <w:jc w:val="center"/>
      </w:pPr>
    </w:p>
    <w:p w:rsidR="005329ED" w:rsidRPr="00914404" w:rsidRDefault="003F142F" w:rsidP="005329ED">
      <w:pPr>
        <w:spacing w:line="360" w:lineRule="auto"/>
      </w:pPr>
      <m:oMath>
        <m:sSub>
          <m:sSubPr>
            <m:ctrlPr>
              <w:rPr>
                <w:rFonts w:ascii="Cambria Math" w:hAnsi="Cambria Math"/>
                <w:i/>
                <w:iCs/>
              </w:rPr>
            </m:ctrlPr>
          </m:sSubPr>
          <m:e>
            <m:r>
              <m:rPr>
                <m:sty m:val="p"/>
              </m:rPr>
              <w:rPr>
                <w:rFonts w:ascii="Cambria Math" w:hAnsi="Cambria Math"/>
              </w:rPr>
              <m:t>Δ</m:t>
            </m:r>
            <m:r>
              <w:rPr>
                <w:rFonts w:ascii="Cambria Math" w:hAnsi="Cambria Math"/>
              </w:rPr>
              <m:t>mane</m:t>
            </m:r>
          </m:e>
          <m:sub>
            <m:r>
              <w:rPr>
                <w:rFonts w:ascii="Cambria Math" w:hAnsi="Cambria Math"/>
              </w:rPr>
              <m:t>t</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0.21</m:t>
                </m:r>
              </m:e>
            </m:groupChr>
          </m:e>
          <m:lim>
            <m:r>
              <w:rPr>
                <w:rFonts w:ascii="Cambria Math" w:hAnsi="Cambria Math"/>
              </w:rPr>
              <m:t>0.04</m:t>
            </m:r>
          </m:lim>
        </m:limLow>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0.52</m:t>
                </m:r>
              </m:e>
            </m:groupChr>
          </m:e>
          <m:lim>
            <m:r>
              <w:rPr>
                <w:rFonts w:ascii="Cambria Math" w:hAnsi="Cambria Math"/>
              </w:rPr>
              <m:t>0.03</m:t>
            </m:r>
          </m:lim>
        </m:limLow>
        <m:d>
          <m:dPr>
            <m:ctrlPr>
              <w:rPr>
                <w:rFonts w:ascii="Cambria Math" w:hAnsi="Cambria Math"/>
                <w:i/>
                <w:iCs/>
              </w:rPr>
            </m:ctrlPr>
          </m:dPr>
          <m:e>
            <m:sSub>
              <m:sSubPr>
                <m:ctrlPr>
                  <w:rPr>
                    <w:rFonts w:ascii="Cambria Math" w:hAnsi="Cambria Math"/>
                    <w:i/>
                    <w:iCs/>
                  </w:rPr>
                </m:ctrlPr>
              </m:sSubPr>
              <m:e>
                <m:r>
                  <w:rPr>
                    <w:rFonts w:ascii="Cambria Math" w:hAnsi="Cambria Math"/>
                  </w:rPr>
                  <m:t>mane</m:t>
                </m:r>
              </m:e>
              <m:sub>
                <m:r>
                  <w:rPr>
                    <w:rFonts w:ascii="Cambria Math" w:hAnsi="Cambria Math"/>
                  </w:rPr>
                  <m:t>t-1</m:t>
                </m:r>
              </m:sub>
            </m:sSub>
            <m:r>
              <w:rPr>
                <w:rFonts w:ascii="Cambria Math" w:hAnsi="Cambria Math"/>
              </w:rPr>
              <m:t>-mangv</m:t>
            </m:r>
            <m:sSub>
              <m:sSubPr>
                <m:ctrlPr>
                  <w:rPr>
                    <w:rFonts w:ascii="Cambria Math" w:hAnsi="Cambria Math"/>
                    <w:i/>
                    <w:iCs/>
                  </w:rPr>
                </m:ctrlPr>
              </m:sSubPr>
              <m:e>
                <m:r>
                  <w:rPr>
                    <w:rFonts w:ascii="Cambria Math" w:hAnsi="Cambria Math"/>
                  </w:rPr>
                  <m:t>a</m:t>
                </m:r>
              </m:e>
              <m:sub>
                <m:r>
                  <w:rPr>
                    <w:rFonts w:ascii="Cambria Math" w:hAnsi="Cambria Math"/>
                  </w:rPr>
                  <m:t>t-1</m:t>
                </m:r>
              </m:sub>
            </m:sSub>
          </m:e>
        </m:d>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0.29</m:t>
                </m:r>
              </m:e>
            </m:groupChr>
          </m:e>
          <m:lim>
            <m:r>
              <w:rPr>
                <w:rFonts w:ascii="Cambria Math" w:hAnsi="Cambria Math"/>
              </w:rPr>
              <m:t>0.01</m:t>
            </m:r>
          </m:lim>
        </m:limLow>
        <m:sSub>
          <m:sSubPr>
            <m:ctrlPr>
              <w:rPr>
                <w:rFonts w:ascii="Cambria Math" w:hAnsi="Cambria Math"/>
                <w:i/>
                <w:iCs/>
              </w:rPr>
            </m:ctrlPr>
          </m:sSubPr>
          <m:e>
            <m:r>
              <w:rPr>
                <w:rFonts w:ascii="Cambria Math" w:hAnsi="Cambria Math"/>
              </w:rPr>
              <m:t>p</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0.99</m:t>
                </m:r>
              </m:e>
            </m:groupChr>
          </m:e>
          <m:lim>
            <m:r>
              <w:rPr>
                <w:rFonts w:ascii="Cambria Math" w:hAnsi="Cambria Math"/>
              </w:rPr>
              <m:t>0.01</m:t>
            </m:r>
          </m:lim>
        </m:limLow>
        <m:r>
          <w:rPr>
            <w:rFonts w:ascii="Cambria Math" w:hAnsi="Cambria Math"/>
            <w:lang w:val="el-GR"/>
          </w:rPr>
          <m:t>Δman</m:t>
        </m:r>
        <m:r>
          <w:rPr>
            <w:rFonts w:ascii="Cambria Math" w:hAnsi="Cambria Math"/>
          </w:rPr>
          <m:t>gv</m:t>
        </m:r>
        <m:sSub>
          <m:sSubPr>
            <m:ctrlPr>
              <w:rPr>
                <w:rFonts w:ascii="Cambria Math" w:hAnsi="Cambria Math"/>
                <w:i/>
                <w:iCs/>
              </w:rPr>
            </m:ctrlPr>
          </m:sSubPr>
          <m:e>
            <m:r>
              <w:rPr>
                <w:rFonts w:ascii="Cambria Math" w:hAnsi="Cambria Math"/>
              </w:rPr>
              <m:t>a</m:t>
            </m:r>
          </m:e>
          <m:sub>
            <m:r>
              <w:rPr>
                <w:rFonts w:ascii="Cambria Math" w:hAnsi="Cambria Math"/>
              </w:rPr>
              <m:t>t</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0.30</m:t>
                </m:r>
              </m:e>
            </m:groupChr>
          </m:e>
          <m:lim>
            <m:r>
              <w:rPr>
                <w:rFonts w:ascii="Cambria Math" w:hAnsi="Cambria Math"/>
              </w:rPr>
              <m:t>0.06</m:t>
            </m:r>
          </m:lim>
        </m:limLow>
        <m:r>
          <w:rPr>
            <w:rFonts w:ascii="Cambria Math" w:hAnsi="Cambria Math"/>
            <w:lang w:val="el-GR"/>
          </w:rPr>
          <m:t>Δman</m:t>
        </m:r>
        <m:sSub>
          <m:sSubPr>
            <m:ctrlPr>
              <w:rPr>
                <w:rFonts w:ascii="Cambria Math" w:hAnsi="Cambria Math"/>
                <w:i/>
                <w:iCs/>
              </w:rPr>
            </m:ctrlPr>
          </m:sSubPr>
          <m:e>
            <m:r>
              <w:rPr>
                <w:rFonts w:ascii="Cambria Math" w:hAnsi="Cambria Math"/>
              </w:rPr>
              <m:t>e</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0.59</m:t>
                </m:r>
              </m:e>
            </m:groupChr>
          </m:e>
          <m:lim>
            <m:r>
              <w:rPr>
                <w:rFonts w:ascii="Cambria Math" w:hAnsi="Cambria Math"/>
              </w:rPr>
              <m:t>0.05</m:t>
            </m:r>
          </m:lim>
        </m:limLow>
        <m:r>
          <w:rPr>
            <w:rFonts w:ascii="Cambria Math" w:hAnsi="Cambria Math"/>
            <w:lang w:val="el-GR"/>
          </w:rPr>
          <m:t>Δman</m:t>
        </m:r>
        <m:r>
          <w:rPr>
            <w:rFonts w:ascii="Cambria Math" w:hAnsi="Cambria Math"/>
          </w:rPr>
          <m:t>gv</m:t>
        </m:r>
        <m:sSub>
          <m:sSubPr>
            <m:ctrlPr>
              <w:rPr>
                <w:rFonts w:ascii="Cambria Math" w:hAnsi="Cambria Math"/>
                <w:i/>
                <w:iCs/>
              </w:rPr>
            </m:ctrlPr>
          </m:sSubPr>
          <m:e>
            <m:r>
              <w:rPr>
                <w:rFonts w:ascii="Cambria Math" w:hAnsi="Cambria Math"/>
              </w:rPr>
              <m:t>a</m:t>
            </m:r>
          </m:e>
          <m:sub>
            <m:r>
              <w:rPr>
                <w:rFonts w:ascii="Cambria Math" w:hAnsi="Cambria Math"/>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0.37</m:t>
                </m:r>
              </m:e>
            </m:groupChr>
          </m:e>
          <m:lim>
            <m:r>
              <w:rPr>
                <w:rFonts w:ascii="Cambria Math" w:hAnsi="Cambria Math"/>
              </w:rPr>
              <m:t>0.03</m:t>
            </m:r>
          </m:lim>
        </m:limLow>
        <m:r>
          <w:rPr>
            <w:rFonts w:ascii="Cambria Math" w:hAnsi="Cambria Math"/>
            <w:lang w:val="el-GR"/>
          </w:rPr>
          <m:t>Δ</m:t>
        </m:r>
        <m:sSub>
          <m:sSubPr>
            <m:ctrlPr>
              <w:rPr>
                <w:rFonts w:ascii="Cambria Math" w:hAnsi="Cambria Math"/>
                <w:i/>
                <w:iCs/>
                <w:lang w:val="el-GR"/>
              </w:rPr>
            </m:ctrlPr>
          </m:sSubPr>
          <m:e>
            <m:r>
              <w:rPr>
                <w:rFonts w:ascii="Cambria Math" w:hAnsi="Cambria Math"/>
                <w:lang w:val="el-GR"/>
              </w:rPr>
              <m:t>p</m:t>
            </m:r>
          </m:e>
          <m:sub>
            <m:r>
              <w:rPr>
                <w:rFonts w:ascii="Cambria Math" w:hAnsi="Cambria Math"/>
                <w:lang w:val="el-GR"/>
              </w:rPr>
              <m:t>t-1</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0.069</m:t>
                </m:r>
              </m:e>
            </m:groupChr>
          </m:e>
          <m:lim>
            <m:r>
              <w:rPr>
                <w:rFonts w:ascii="Cambria Math" w:hAnsi="Cambria Math"/>
              </w:rPr>
              <m:t>0.03</m:t>
            </m:r>
          </m:lim>
        </m:limLow>
        <m:sSub>
          <m:sSubPr>
            <m:ctrlPr>
              <w:rPr>
                <w:rFonts w:ascii="Cambria Math" w:hAnsi="Cambria Math"/>
                <w:i/>
                <w:iCs/>
              </w:rPr>
            </m:ctrlPr>
          </m:sSubPr>
          <m:e>
            <m:r>
              <w:rPr>
                <w:rFonts w:ascii="Cambria Math" w:hAnsi="Cambria Math"/>
              </w:rPr>
              <m:t>D</m:t>
            </m:r>
          </m:e>
          <m:sub>
            <m:r>
              <w:rPr>
                <w:rFonts w:ascii="Cambria Math" w:hAnsi="Cambria Math"/>
              </w:rPr>
              <m:t>04</m:t>
            </m:r>
          </m:sub>
        </m:sSub>
        <m:r>
          <w:rPr>
            <w:rFonts w:ascii="Cambria Math" w:hAnsi="Cambria Math"/>
          </w:rPr>
          <m:t>-</m:t>
        </m:r>
        <m:limLow>
          <m:limLowPr>
            <m:ctrlPr>
              <w:rPr>
                <w:rFonts w:ascii="Cambria Math" w:hAnsi="Cambria Math"/>
                <w:i/>
                <w:iCs/>
              </w:rPr>
            </m:ctrlPr>
          </m:limLowPr>
          <m:e>
            <m:groupChr>
              <m:groupChrPr>
                <m:ctrlPr>
                  <w:rPr>
                    <w:rFonts w:ascii="Cambria Math" w:hAnsi="Cambria Math"/>
                    <w:i/>
                    <w:iCs/>
                  </w:rPr>
                </m:ctrlPr>
              </m:groupChrPr>
              <m:e>
                <m:r>
                  <w:rPr>
                    <w:rFonts w:ascii="Cambria Math" w:hAnsi="Cambria Math"/>
                  </w:rPr>
                  <m:t>0.18</m:t>
                </m:r>
              </m:e>
            </m:groupChr>
          </m:e>
          <m:lim>
            <m:r>
              <w:rPr>
                <w:rFonts w:ascii="Cambria Math" w:hAnsi="Cambria Math"/>
              </w:rPr>
              <m:t>0.00</m:t>
            </m:r>
          </m:lim>
        </m:limLow>
        <m:sSub>
          <m:sSubPr>
            <m:ctrlPr>
              <w:rPr>
                <w:rFonts w:ascii="Cambria Math" w:hAnsi="Cambria Math"/>
                <w:i/>
                <w:iCs/>
              </w:rPr>
            </m:ctrlPr>
          </m:sSubPr>
          <m:e>
            <m:r>
              <w:rPr>
                <w:rFonts w:ascii="Cambria Math" w:hAnsi="Cambria Math"/>
              </w:rPr>
              <m:t>ID</m:t>
            </m:r>
          </m:e>
          <m:sub>
            <m:r>
              <w:rPr>
                <w:rFonts w:ascii="Cambria Math" w:hAnsi="Cambria Math"/>
              </w:rPr>
              <m:t>03</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w:r w:rsidR="005329ED">
        <w:rPr>
          <w:rFonts w:eastAsiaTheme="minorEastAsia"/>
          <w:iCs/>
        </w:rPr>
        <w:t xml:space="preserve"> </w:t>
      </w:r>
      <w:r w:rsidR="005329ED">
        <w:rPr>
          <w:rFonts w:eastAsiaTheme="minorEastAsia"/>
          <w:iCs/>
        </w:rPr>
        <w:tab/>
      </w:r>
      <w:r w:rsidR="005329ED">
        <w:rPr>
          <w:rFonts w:eastAsiaTheme="minorEastAsia"/>
          <w:iCs/>
        </w:rPr>
        <w:tab/>
      </w:r>
      <w:r w:rsidR="005329ED">
        <w:rPr>
          <w:rFonts w:eastAsiaTheme="minorEastAsia"/>
          <w:iCs/>
        </w:rPr>
        <w:tab/>
      </w:r>
      <w:r w:rsidR="005329ED">
        <w:rPr>
          <w:rFonts w:eastAsiaTheme="minorEastAsia"/>
          <w:iCs/>
        </w:rPr>
        <w:tab/>
      </w:r>
      <w:r w:rsidR="005329ED">
        <w:rPr>
          <w:rFonts w:eastAsiaTheme="minorEastAsia"/>
          <w:iCs/>
        </w:rPr>
        <w:tab/>
      </w:r>
      <w:r w:rsidR="005329ED">
        <w:rPr>
          <w:rFonts w:eastAsiaTheme="minorEastAsia"/>
          <w:iCs/>
        </w:rPr>
        <w:tab/>
        <w:t>(3)</w:t>
      </w:r>
    </w:p>
    <w:p w:rsidR="005329ED" w:rsidRDefault="00672465" w:rsidP="00672465">
      <w:pPr>
        <w:ind w:left="709" w:firstLine="11"/>
        <w:rPr>
          <w:sz w:val="18"/>
        </w:rPr>
      </w:pPr>
      <w:r>
        <w:rPr>
          <w:sz w:val="18"/>
        </w:rPr>
        <w:t>Note: p</w:t>
      </w:r>
      <w:r w:rsidR="005329ED" w:rsidRPr="00B02DAB">
        <w:rPr>
          <w:sz w:val="18"/>
        </w:rPr>
        <w:t xml:space="preserve"> values for the significance of the explanatory variables are provided under the coefficient estimates.</w:t>
      </w:r>
      <w:r>
        <w:rPr>
          <w:sz w:val="18"/>
        </w:rPr>
        <w:t xml:space="preserve"> </w:t>
      </w:r>
      <w:r w:rsidR="003563AB">
        <w:rPr>
          <w:sz w:val="18"/>
        </w:rPr>
        <w:t>T</w:t>
      </w:r>
      <w:r>
        <w:rPr>
          <w:sz w:val="18"/>
        </w:rPr>
        <w:t>he nature of the model requires conducting an F test, which has different bounds since it considers non-stationary, cointegrated time series data, and the F test rejects that the coefficients are insignificant.</w:t>
      </w:r>
    </w:p>
    <w:p w:rsidR="00FE0855" w:rsidRPr="00B02DAB" w:rsidRDefault="00FE0855" w:rsidP="005329ED">
      <w:pPr>
        <w:ind w:firstLine="720"/>
        <w:rPr>
          <w:sz w:val="18"/>
        </w:rPr>
      </w:pPr>
    </w:p>
    <w:p w:rsidR="005329ED" w:rsidRPr="00C370E1" w:rsidRDefault="00C370E1" w:rsidP="005329ED">
      <w:r>
        <w:rPr>
          <w:iCs/>
        </w:rPr>
        <w:t>w</w:t>
      </w:r>
      <w:r w:rsidR="005329ED" w:rsidRPr="00C370E1">
        <w:rPr>
          <w:iCs/>
        </w:rPr>
        <w:t>here</w:t>
      </w:r>
      <w:r>
        <w:rPr>
          <w:iCs/>
        </w:rPr>
        <w:t>:</w:t>
      </w:r>
    </w:p>
    <w:p w:rsidR="005329ED" w:rsidRPr="00914404" w:rsidRDefault="005329ED" w:rsidP="005329ED">
      <w:pPr>
        <w:pStyle w:val="Dashedbullets"/>
        <w:ind w:left="502" w:hanging="360"/>
      </w:pPr>
      <w:r>
        <w:rPr>
          <w:i/>
          <w:iCs/>
        </w:rPr>
        <w:t>man</w:t>
      </w:r>
      <w:r w:rsidRPr="00914404">
        <w:rPr>
          <w:i/>
          <w:iCs/>
        </w:rPr>
        <w:t>e</w:t>
      </w:r>
      <w:r w:rsidRPr="00914404">
        <w:t xml:space="preserve"> is the logarithm of industrial sector electricity consumption</w:t>
      </w:r>
      <w:r>
        <w:t>;</w:t>
      </w:r>
    </w:p>
    <w:p w:rsidR="005329ED" w:rsidRPr="00914404" w:rsidRDefault="005329ED" w:rsidP="005329ED">
      <w:pPr>
        <w:pStyle w:val="Dashedbullets"/>
        <w:ind w:left="502" w:hanging="360"/>
      </w:pPr>
      <w:r>
        <w:rPr>
          <w:i/>
          <w:iCs/>
        </w:rPr>
        <w:t>man</w:t>
      </w:r>
      <w:r w:rsidRPr="00914404">
        <w:rPr>
          <w:i/>
          <w:iCs/>
        </w:rPr>
        <w:t>gva</w:t>
      </w:r>
      <w:r w:rsidRPr="00914404">
        <w:t xml:space="preserve"> is  GVA of industrial sector</w:t>
      </w:r>
      <w:r>
        <w:t>;</w:t>
      </w:r>
    </w:p>
    <w:p w:rsidR="005329ED" w:rsidRPr="00914404" w:rsidRDefault="005329ED" w:rsidP="005329ED">
      <w:pPr>
        <w:pStyle w:val="Dashedbullets"/>
        <w:ind w:left="502" w:hanging="360"/>
      </w:pPr>
      <w:r w:rsidRPr="00914404">
        <w:rPr>
          <w:i/>
          <w:iCs/>
        </w:rPr>
        <w:t>p</w:t>
      </w:r>
      <w:r w:rsidRPr="00914404">
        <w:t xml:space="preserve"> is real electricity PPI</w:t>
      </w:r>
      <w:r>
        <w:t>;</w:t>
      </w:r>
    </w:p>
    <w:p w:rsidR="005329ED" w:rsidRPr="00914404" w:rsidRDefault="005329ED" w:rsidP="005329ED">
      <w:pPr>
        <w:pStyle w:val="Dashedbullets"/>
        <w:ind w:left="502" w:hanging="360"/>
      </w:pPr>
      <w:r w:rsidRPr="00914404">
        <w:rPr>
          <w:i/>
          <w:iCs/>
        </w:rPr>
        <w:t>D</w:t>
      </w:r>
      <w:r w:rsidRPr="00914404">
        <w:rPr>
          <w:vertAlign w:val="subscript"/>
        </w:rPr>
        <w:t>0</w:t>
      </w:r>
      <w:r>
        <w:rPr>
          <w:vertAlign w:val="subscript"/>
        </w:rPr>
        <w:t>4</w:t>
      </w:r>
      <w:r w:rsidRPr="00914404">
        <w:t xml:space="preserve"> is a </w:t>
      </w:r>
      <w:r>
        <w:t>l</w:t>
      </w:r>
      <w:r w:rsidRPr="00914404">
        <w:t xml:space="preserve">evel </w:t>
      </w:r>
      <w:r>
        <w:t>d</w:t>
      </w:r>
      <w:r w:rsidRPr="00914404">
        <w:t>ummy variable taking value 1</w:t>
      </w:r>
      <w:r>
        <w:t xml:space="preserve"> after 2004</w:t>
      </w:r>
      <w:r w:rsidRPr="00914404">
        <w:t xml:space="preserve"> and 0</w:t>
      </w:r>
      <w:r>
        <w:t xml:space="preserve"> before; and</w:t>
      </w:r>
    </w:p>
    <w:p w:rsidR="005329ED" w:rsidRPr="00914404" w:rsidRDefault="005329ED" w:rsidP="005329ED">
      <w:pPr>
        <w:pStyle w:val="Dashedbullets"/>
        <w:ind w:left="502" w:hanging="360"/>
      </w:pPr>
      <w:r w:rsidRPr="00914404">
        <w:rPr>
          <w:i/>
          <w:iCs/>
        </w:rPr>
        <w:t>ID</w:t>
      </w:r>
      <w:r w:rsidRPr="00914404">
        <w:rPr>
          <w:i/>
          <w:iCs/>
          <w:vertAlign w:val="subscript"/>
        </w:rPr>
        <w:t>03</w:t>
      </w:r>
      <w:r w:rsidRPr="00914404">
        <w:t xml:space="preserve"> </w:t>
      </w:r>
      <w:r>
        <w:t>is an i</w:t>
      </w:r>
      <w:r w:rsidRPr="00914404">
        <w:t xml:space="preserve">mpulse dummy </w:t>
      </w:r>
      <w:r>
        <w:t>variable</w:t>
      </w:r>
      <w:r w:rsidRPr="00914404">
        <w:t xml:space="preserve"> to isolate an outlier in 2003</w:t>
      </w:r>
      <w:r>
        <w:t>.</w:t>
      </w:r>
    </w:p>
    <w:p w:rsidR="005329ED" w:rsidRDefault="005329ED" w:rsidP="005329ED"/>
    <w:p w:rsidR="005329ED" w:rsidRDefault="002F2205" w:rsidP="005329ED">
      <w:pPr>
        <w:rPr>
          <w:b/>
        </w:rPr>
      </w:pPr>
      <w:r>
        <w:t>T</w:t>
      </w:r>
      <w:r w:rsidR="005329ED" w:rsidRPr="00E52BF1">
        <w:t xml:space="preserve">he long run price elasticity for manufacturing electricity </w:t>
      </w:r>
      <w:r w:rsidR="00B24BE1">
        <w:t>consumption</w:t>
      </w:r>
      <w:r w:rsidR="009A479B">
        <w:t xml:space="preserve"> </w:t>
      </w:r>
      <w:r w:rsidR="005329ED" w:rsidRPr="00E52BF1">
        <w:t xml:space="preserve">in the NEM is approximately -0.55, which is higher than in previous work by AEMO, as </w:t>
      </w:r>
      <w:r w:rsidR="005329ED" w:rsidRPr="00C370E1">
        <w:t xml:space="preserve">shown in </w:t>
      </w:r>
      <w:r w:rsidR="007666E1">
        <w:fldChar w:fldCharType="begin"/>
      </w:r>
      <w:r w:rsidR="007666E1">
        <w:instrText xml:space="preserve"> REF _Ref365922362 \r \h  \* MERGEFORMAT </w:instrText>
      </w:r>
      <w:r w:rsidR="007666E1">
        <w:fldChar w:fldCharType="separate"/>
      </w:r>
      <w:r w:rsidR="00197E14">
        <w:t>Table 11</w:t>
      </w:r>
      <w:r w:rsidR="007666E1">
        <w:fldChar w:fldCharType="end"/>
      </w:r>
      <w:r w:rsidR="005329ED" w:rsidRPr="00C370E1">
        <w:t>.</w:t>
      </w:r>
    </w:p>
    <w:p w:rsidR="005329ED" w:rsidRDefault="005329ED" w:rsidP="005329ED">
      <w:pPr>
        <w:rPr>
          <w:b/>
        </w:rPr>
      </w:pPr>
    </w:p>
    <w:p w:rsidR="005329ED" w:rsidRPr="00040C38" w:rsidRDefault="002F2205" w:rsidP="005329ED">
      <w:r>
        <w:t>T</w:t>
      </w:r>
      <w:r w:rsidR="005329ED" w:rsidRPr="00E52BF1">
        <w:t xml:space="preserve">he long run elasticity of GVA for manufacturing electricity </w:t>
      </w:r>
      <w:r w:rsidR="00B24BE1">
        <w:t>consumption</w:t>
      </w:r>
      <w:r w:rsidR="00035298">
        <w:t xml:space="preserve"> </w:t>
      </w:r>
      <w:r w:rsidR="005329ED" w:rsidRPr="00E52BF1">
        <w:t xml:space="preserve">in the NEM is </w:t>
      </w:r>
      <w:r w:rsidR="00035298">
        <w:t>restricted to be unity for the same reasons it is restricted to be unity in the commercial and services consumption model. Statistical tests cannot rule out</w:t>
      </w:r>
      <w:r w:rsidR="00FF73BF">
        <w:t xml:space="preserve"> </w:t>
      </w:r>
      <w:r w:rsidR="00035298">
        <w:t>tha</w:t>
      </w:r>
      <w:r w:rsidR="005329ED" w:rsidRPr="00E52BF1">
        <w:t>t the GVA</w:t>
      </w:r>
      <w:r w:rsidR="005329ED">
        <w:t xml:space="preserve"> long run elasticity is 0.7, as shown in</w:t>
      </w:r>
      <w:r w:rsidR="003556BE">
        <w:t xml:space="preserve"> the</w:t>
      </w:r>
      <w:r w:rsidR="005329ED">
        <w:t xml:space="preserve"> </w:t>
      </w:r>
      <w:r w:rsidR="003556BE">
        <w:t>a</w:t>
      </w:r>
      <w:r w:rsidR="005329ED">
        <w:t>ppendix.</w:t>
      </w:r>
    </w:p>
    <w:p w:rsidR="005329ED" w:rsidRPr="00DE4EAF" w:rsidRDefault="005329ED" w:rsidP="00645813">
      <w:pPr>
        <w:pStyle w:val="Tabletitle"/>
      </w:pPr>
      <w:bookmarkStart w:id="128" w:name="_Ref365922362"/>
      <w:bookmarkStart w:id="129" w:name="_Toc366004666"/>
      <w:bookmarkStart w:id="130" w:name="_Toc369890520"/>
      <w:r>
        <w:t>The estimated long run</w:t>
      </w:r>
      <w:r w:rsidR="005478F3">
        <w:t xml:space="preserve"> price</w:t>
      </w:r>
      <w:r>
        <w:t xml:space="preserve"> elasticity of manufacturing electricity consumption </w:t>
      </w:r>
      <w:r w:rsidR="005478F3">
        <w:t xml:space="preserve">is </w:t>
      </w:r>
      <w:r>
        <w:t>higher than in the AEMO NEFR (2013)</w:t>
      </w:r>
      <w:bookmarkEnd w:id="128"/>
      <w:bookmarkEnd w:id="129"/>
      <w:bookmarkEnd w:id="130"/>
    </w:p>
    <w:tbl>
      <w:tblPr>
        <w:tblStyle w:val="Vividtable"/>
        <w:tblW w:w="5000" w:type="pct"/>
        <w:tblLook w:val="04A0" w:firstRow="1" w:lastRow="0" w:firstColumn="1" w:lastColumn="0" w:noHBand="0" w:noVBand="1"/>
      </w:tblPr>
      <w:tblGrid>
        <w:gridCol w:w="3260"/>
        <w:gridCol w:w="3296"/>
        <w:gridCol w:w="3299"/>
      </w:tblGrid>
      <w:tr w:rsidR="005329ED" w:rsidRPr="00980041" w:rsidTr="006054BB">
        <w:trPr>
          <w:cnfStyle w:val="100000000000" w:firstRow="1" w:lastRow="0" w:firstColumn="0" w:lastColumn="0" w:oddVBand="0" w:evenVBand="0" w:oddHBand="0" w:evenHBand="0" w:firstRowFirstColumn="0" w:firstRowLastColumn="0" w:lastRowFirstColumn="0" w:lastRowLastColumn="0"/>
          <w:trHeight w:val="340"/>
        </w:trPr>
        <w:tc>
          <w:tcPr>
            <w:tcW w:w="1654" w:type="pct"/>
            <w:tcBorders>
              <w:bottom w:val="single" w:sz="4" w:space="0" w:color="auto"/>
            </w:tcBorders>
          </w:tcPr>
          <w:p w:rsidR="005329ED" w:rsidRPr="004328B0" w:rsidRDefault="005329ED" w:rsidP="006054BB">
            <w:pPr>
              <w:keepNext/>
              <w:rPr>
                <w:rStyle w:val="PlaceholderText"/>
                <w:rFonts w:ascii="Arial" w:hAnsi="Arial" w:cs="Arial"/>
                <w:b w:val="0"/>
                <w:szCs w:val="18"/>
              </w:rPr>
            </w:pPr>
            <w:r>
              <w:rPr>
                <w:rStyle w:val="PlaceholderText"/>
                <w:rFonts w:ascii="Arial" w:hAnsi="Arial" w:cs="Arial"/>
                <w:szCs w:val="18"/>
              </w:rPr>
              <w:t>Long run elasticity</w:t>
            </w:r>
          </w:p>
        </w:tc>
        <w:tc>
          <w:tcPr>
            <w:tcW w:w="1672" w:type="pct"/>
            <w:tcBorders>
              <w:bottom w:val="single" w:sz="4" w:space="0" w:color="auto"/>
            </w:tcBorders>
          </w:tcPr>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Vivid Economics</w:t>
            </w:r>
          </w:p>
        </w:tc>
        <w:tc>
          <w:tcPr>
            <w:tcW w:w="1674" w:type="pct"/>
            <w:tcBorders>
              <w:bottom w:val="single" w:sz="4" w:space="0" w:color="auto"/>
            </w:tcBorders>
          </w:tcPr>
          <w:p w:rsidR="005329ED" w:rsidRPr="004328B0" w:rsidRDefault="005329ED" w:rsidP="006054BB">
            <w:pPr>
              <w:keepNext/>
              <w:jc w:val="center"/>
              <w:rPr>
                <w:rStyle w:val="PlaceholderText"/>
                <w:rFonts w:ascii="Arial" w:hAnsi="Arial" w:cs="Arial"/>
                <w:b w:val="0"/>
                <w:szCs w:val="18"/>
              </w:rPr>
            </w:pPr>
            <w:r>
              <w:rPr>
                <w:rStyle w:val="PlaceholderText"/>
                <w:rFonts w:ascii="Arial" w:hAnsi="Arial" w:cs="Arial"/>
                <w:szCs w:val="18"/>
              </w:rPr>
              <w:t>AEMO</w:t>
            </w:r>
          </w:p>
        </w:tc>
      </w:tr>
      <w:tr w:rsidR="005329ED" w:rsidRPr="00980041" w:rsidTr="006054BB">
        <w:trPr>
          <w:cnfStyle w:val="000000100000" w:firstRow="0" w:lastRow="0" w:firstColumn="0" w:lastColumn="0" w:oddVBand="0" w:evenVBand="0" w:oddHBand="1" w:evenHBand="0" w:firstRowFirstColumn="0" w:firstRowLastColumn="0" w:lastRowFirstColumn="0" w:lastRowLastColumn="0"/>
          <w:trHeight w:val="519"/>
        </w:trPr>
        <w:tc>
          <w:tcPr>
            <w:tcW w:w="1654" w:type="pct"/>
            <w:tcBorders>
              <w:top w:val="single" w:sz="4" w:space="0" w:color="auto"/>
            </w:tcBorders>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Price</w:t>
            </w:r>
          </w:p>
        </w:tc>
        <w:tc>
          <w:tcPr>
            <w:tcW w:w="1672" w:type="pct"/>
            <w:tcBorders>
              <w:top w:val="single" w:sz="4" w:space="0" w:color="auto"/>
            </w:tcBorders>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-0.55</w:t>
            </w:r>
          </w:p>
        </w:tc>
        <w:tc>
          <w:tcPr>
            <w:tcW w:w="1674" w:type="pct"/>
            <w:tcBorders>
              <w:top w:val="single" w:sz="4" w:space="0" w:color="auto"/>
            </w:tcBorders>
          </w:tcPr>
          <w:p w:rsidR="005329ED" w:rsidRPr="004328B0" w:rsidRDefault="005329ED" w:rsidP="006054BB">
            <w:pPr>
              <w:keepNext/>
              <w:spacing w:line="200" w:lineRule="exact"/>
              <w:jc w:val="center"/>
              <w:rPr>
                <w:rStyle w:val="PlaceholderText"/>
                <w:rFonts w:ascii="Arial" w:hAnsi="Arial" w:cs="Arial"/>
                <w:szCs w:val="18"/>
              </w:rPr>
            </w:pPr>
            <w:r>
              <w:rPr>
                <w:rStyle w:val="PlaceholderText"/>
                <w:rFonts w:ascii="Arial" w:hAnsi="Arial" w:cs="Arial"/>
                <w:szCs w:val="18"/>
              </w:rPr>
              <w:t>-0.13 to -0.44</w:t>
            </w:r>
          </w:p>
        </w:tc>
      </w:tr>
    </w:tbl>
    <w:p w:rsidR="005329ED" w:rsidRDefault="005329ED" w:rsidP="009A479B">
      <w:pPr>
        <w:pStyle w:val="Note"/>
        <w:ind w:left="0" w:firstLine="0"/>
      </w:pPr>
    </w:p>
    <w:p w:rsidR="005329ED" w:rsidRDefault="005329ED" w:rsidP="005329ED">
      <w:pPr>
        <w:pStyle w:val="Source"/>
      </w:pPr>
      <w:r w:rsidRPr="00EF51BF">
        <w:t>Source:</w:t>
      </w:r>
      <w:r>
        <w:tab/>
        <w:t>Vivid Economics</w:t>
      </w:r>
    </w:p>
    <w:p w:rsidR="005329ED" w:rsidRPr="00E52BF1" w:rsidRDefault="005329ED" w:rsidP="005329ED">
      <w:r w:rsidRPr="00E52BF1">
        <w:t xml:space="preserve">To investigate whether there are any significant differences between the period before </w:t>
      </w:r>
      <w:r w:rsidR="006C667D">
        <w:t>2008</w:t>
      </w:r>
      <w:r w:rsidRPr="00E52BF1">
        <w:t xml:space="preserve"> and between </w:t>
      </w:r>
      <w:r w:rsidR="006C667D">
        <w:t>2008</w:t>
      </w:r>
      <w:r w:rsidRPr="00E52BF1">
        <w:t xml:space="preserve"> and </w:t>
      </w:r>
      <w:r w:rsidR="006C667D">
        <w:t>2011</w:t>
      </w:r>
      <w:r w:rsidRPr="00E52BF1">
        <w:t>, three forecast scenarios are created in addition to the central forecast:</w:t>
      </w:r>
    </w:p>
    <w:p w:rsidR="005329ED" w:rsidRPr="00D439C3" w:rsidRDefault="005329ED" w:rsidP="005329ED">
      <w:pPr>
        <w:pStyle w:val="Dashedbullets"/>
        <w:ind w:left="502" w:hanging="360"/>
      </w:pPr>
      <w:r w:rsidRPr="00E52BF1">
        <w:t>a scenario without changes</w:t>
      </w:r>
      <w:r w:rsidRPr="00D439C3">
        <w:t xml:space="preserve"> in electricity prices;</w:t>
      </w:r>
    </w:p>
    <w:p w:rsidR="005329ED" w:rsidRPr="00D439C3" w:rsidRDefault="005329ED" w:rsidP="005329ED">
      <w:pPr>
        <w:pStyle w:val="Dashedbullets"/>
        <w:ind w:left="502" w:hanging="360"/>
      </w:pPr>
      <w:r w:rsidRPr="00D439C3">
        <w:t xml:space="preserve">a scenario without changes in </w:t>
      </w:r>
      <w:r>
        <w:t>manufacturing GVA</w:t>
      </w:r>
      <w:r w:rsidRPr="00D439C3">
        <w:t>; and</w:t>
      </w:r>
    </w:p>
    <w:p w:rsidR="005329ED" w:rsidRPr="00D439C3" w:rsidRDefault="005329ED" w:rsidP="005329ED">
      <w:pPr>
        <w:pStyle w:val="Dashedbullets"/>
        <w:ind w:left="502" w:hanging="360"/>
      </w:pPr>
      <w:r w:rsidRPr="00D439C3">
        <w:t xml:space="preserve">a scenario without changes in either electricity prices </w:t>
      </w:r>
      <w:r w:rsidR="005E51AC">
        <w:t>or</w:t>
      </w:r>
      <w:r w:rsidR="005E51AC" w:rsidRPr="00D439C3">
        <w:t xml:space="preserve"> </w:t>
      </w:r>
      <w:r>
        <w:t>GVA</w:t>
      </w:r>
      <w:r w:rsidRPr="00D439C3">
        <w:t xml:space="preserve">, which solely relies on the autoregressive dynamics of </w:t>
      </w:r>
      <w:r>
        <w:t xml:space="preserve">manufacturing </w:t>
      </w:r>
      <w:r w:rsidRPr="00D439C3">
        <w:t>electricity consumption.</w:t>
      </w:r>
    </w:p>
    <w:p w:rsidR="005329ED" w:rsidRDefault="005329ED" w:rsidP="005329ED">
      <w:pPr>
        <w:rPr>
          <w:b/>
        </w:rPr>
      </w:pPr>
    </w:p>
    <w:p w:rsidR="005329ED" w:rsidRPr="0086580B" w:rsidRDefault="005329ED" w:rsidP="005329ED">
      <w:r w:rsidRPr="00E52BF1">
        <w:t xml:space="preserve">The observed manufacturing electricity consumption between </w:t>
      </w:r>
      <w:r w:rsidR="006C667D">
        <w:t>2008</w:t>
      </w:r>
      <w:r w:rsidRPr="00E52BF1">
        <w:t xml:space="preserve"> and </w:t>
      </w:r>
      <w:r w:rsidR="006C667D">
        <w:t>2011</w:t>
      </w:r>
      <w:r w:rsidRPr="00E52BF1">
        <w:t xml:space="preserve"> is in line with the estimated past relationship between consumption and its drivers, electricity prices and GVA, as shown in </w:t>
      </w:r>
      <w:r w:rsidR="007666E1">
        <w:fldChar w:fldCharType="begin"/>
      </w:r>
      <w:r w:rsidR="007666E1">
        <w:instrText xml:space="preserve"> REF _Ref366005576 \r \h  \* MERGEFORMAT </w:instrText>
      </w:r>
      <w:r w:rsidR="007666E1">
        <w:fldChar w:fldCharType="separate"/>
      </w:r>
      <w:r w:rsidR="00197E14">
        <w:t>Figure 24</w:t>
      </w:r>
      <w:r w:rsidR="007666E1">
        <w:fldChar w:fldCharType="end"/>
      </w:r>
      <w:r w:rsidRPr="00E52BF1">
        <w:t xml:space="preserve">. Electricity consumption declined slightly further than </w:t>
      </w:r>
      <w:r w:rsidR="002F2205">
        <w:t>forecast</w:t>
      </w:r>
      <w:r w:rsidRPr="00E52BF1">
        <w:t xml:space="preserve">, but is still within the statistically viable range </w:t>
      </w:r>
      <w:r w:rsidR="002F2205">
        <w:t xml:space="preserve">given by </w:t>
      </w:r>
      <w:r w:rsidRPr="00E52BF1">
        <w:t>the relationship</w:t>
      </w:r>
      <w:r>
        <w:t xml:space="preserve"> between consumption and the drivers before </w:t>
      </w:r>
      <w:r w:rsidR="006C667D">
        <w:t>2008</w:t>
      </w:r>
      <w:r>
        <w:t>.</w:t>
      </w:r>
    </w:p>
    <w:p w:rsidR="005329ED" w:rsidRPr="000D25DC" w:rsidRDefault="005329ED" w:rsidP="005329ED">
      <w:pPr>
        <w:pStyle w:val="Charttitle"/>
      </w:pPr>
      <w:bookmarkStart w:id="131" w:name="_Toc366004683"/>
      <w:bookmarkStart w:id="132" w:name="_Ref366005576"/>
      <w:bookmarkStart w:id="133" w:name="_Toc366269845"/>
      <w:bookmarkStart w:id="134" w:name="_Toc369890564"/>
      <w:r>
        <w:lastRenderedPageBreak/>
        <w:t xml:space="preserve">The relationship between the drivers and manufacturing consumption since </w:t>
      </w:r>
      <w:r w:rsidR="006C667D">
        <w:t>2008</w:t>
      </w:r>
      <w:r>
        <w:t xml:space="preserve"> is unchanged</w:t>
      </w:r>
      <w:bookmarkEnd w:id="131"/>
      <w:bookmarkEnd w:id="132"/>
      <w:bookmarkEnd w:id="133"/>
      <w:bookmarkEnd w:id="134"/>
    </w:p>
    <w:p w:rsidR="005329ED" w:rsidRPr="00430244" w:rsidRDefault="00B37F46" w:rsidP="005329ED">
      <w:pPr>
        <w:pStyle w:val="Chartspacer"/>
        <w:rPr>
          <w:rStyle w:val="PlaceholderText"/>
        </w:rPr>
      </w:pPr>
      <w:r w:rsidRPr="00B37F46">
        <w:drawing>
          <wp:inline distT="0" distB="0" distL="0" distR="0" wp14:anchorId="6FA5CC80" wp14:editId="46A34229">
            <wp:extent cx="6120765" cy="32208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3220856"/>
                    </a:xfrm>
                    <a:prstGeom prst="rect">
                      <a:avLst/>
                    </a:prstGeom>
                    <a:noFill/>
                    <a:ln>
                      <a:noFill/>
                    </a:ln>
                  </pic:spPr>
                </pic:pic>
              </a:graphicData>
            </a:graphic>
          </wp:inline>
        </w:drawing>
      </w:r>
    </w:p>
    <w:p w:rsidR="005329ED" w:rsidRDefault="005329ED" w:rsidP="005329ED">
      <w:pPr>
        <w:pStyle w:val="Source"/>
      </w:pPr>
      <w:r w:rsidRPr="003D0E9A">
        <w:t>Source:</w:t>
      </w:r>
      <w:r w:rsidRPr="003D0E9A">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"http://www.mendeley.com/documents/?uuid=e8bd9719-4583-4faa-85bb-4f9b2e37df9f"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FE4E2D">
        <w:rPr>
          <w:noProof/>
        </w:rPr>
        <w:t>Australian Government Bureau of Resource and Energy Economics (2013)</w:t>
      </w:r>
      <w:r w:rsidR="005A66AE">
        <w:fldChar w:fldCharType="end"/>
      </w:r>
      <w:r w:rsidRPr="003D0E9A">
        <w:t xml:space="preserve"> and </w:t>
      </w:r>
      <w:r w:rsidR="005A66AE">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fldChar w:fldCharType="separate"/>
      </w:r>
      <w:r w:rsidRPr="00FE4E2D">
        <w:rPr>
          <w:noProof/>
        </w:rPr>
        <w:t>Australian Bureau of Statistics (2013)</w:t>
      </w:r>
      <w:r w:rsidR="005A66AE">
        <w:fldChar w:fldCharType="end"/>
      </w:r>
    </w:p>
    <w:p w:rsidR="00E52BF1" w:rsidRPr="004045A7" w:rsidRDefault="004045A7" w:rsidP="00E52BF1">
      <w:r w:rsidRPr="004045A7">
        <w:t>Trends beyond this sample have been examined in other reports, such as the National Electricity Forecast Report by the Australian Electricity Market Operator. According to the report, e</w:t>
      </w:r>
      <w:r w:rsidR="00E52BF1" w:rsidRPr="004045A7">
        <w:t xml:space="preserve">lectricity consumption in 2013-14 is </w:t>
      </w:r>
      <w:r w:rsidR="00FD5CF8">
        <w:t>will</w:t>
      </w:r>
      <w:r w:rsidR="00E52BF1" w:rsidRPr="004045A7">
        <w:t xml:space="preserve"> </w:t>
      </w:r>
      <w:r w:rsidR="00363715">
        <w:t xml:space="preserve">respond to </w:t>
      </w:r>
      <w:r w:rsidR="00B24BE1">
        <w:t>consumption</w:t>
      </w:r>
      <w:r w:rsidR="00E52BF1" w:rsidRPr="004045A7">
        <w:t xml:space="preserve"> growth in residential and commercial and light industrial energy consumption</w:t>
      </w:r>
      <w:r w:rsidR="00FD5CF8">
        <w:t xml:space="preserve">, mitigated by the installation of </w:t>
      </w:r>
      <w:r w:rsidR="00E52BF1" w:rsidRPr="004045A7">
        <w:t xml:space="preserve">rooftop </w:t>
      </w:r>
      <w:r w:rsidR="00461F6A">
        <w:t>solar PV</w:t>
      </w:r>
      <w:r w:rsidR="00E52BF1" w:rsidRPr="004045A7">
        <w:t xml:space="preserve"> systems and energy efficiency improvements necessitated by new building regulations </w:t>
      </w:r>
      <w:r w:rsidR="005A66AE" w:rsidRPr="004045A7">
        <w:fldChar w:fldCharType="begin" w:fldLock="1"/>
      </w:r>
      <w:r w:rsidR="00971CE6">
        <w:instrText>ADDIN CSL_CITATION { "citationItems" : [ { "id" : "ITEM-1", "itemData" : { "author" : [ { "dropping-particle" : "", "family" : "AEMO", "given" : "", "non-dropping-particle" : "", "parse-names" : false, "suffix" : "" } ], "container-title" : "AEMO Australian Energy Market Operator", "id" : "ITEM-1", "issued" : { "date-parts" : [ [ "2013" ] ] }, "title" : "National Electricity Forecasting Report", "type" : "article-journal" }, "uris" : [ "http://www.mendeley.com/documents/?uuid=e213eba3-b512-4289-9943-23f2fb6c4e4c" ] } ], "mendeley" : { "previouslyFormattedCitation" : "(AEMO, 2013a)" }, "properties" : { "noteIndex" : 0 }, "schema" : "https://github.com/citation-style-language/schema/raw/master/csl-citation.json" }</w:instrText>
      </w:r>
      <w:r w:rsidR="005A66AE" w:rsidRPr="004045A7">
        <w:fldChar w:fldCharType="separate"/>
      </w:r>
      <w:r w:rsidR="00C8003C" w:rsidRPr="00C8003C">
        <w:rPr>
          <w:noProof/>
        </w:rPr>
        <w:t>(AEMO, 2013a)</w:t>
      </w:r>
      <w:r w:rsidR="005A66AE" w:rsidRPr="004045A7">
        <w:fldChar w:fldCharType="end"/>
      </w:r>
      <w:r w:rsidR="00E52BF1" w:rsidRPr="004045A7">
        <w:t>.</w:t>
      </w:r>
      <w:r w:rsidR="00E70275">
        <w:t xml:space="preserve"> Changes in manufacturing </w:t>
      </w:r>
      <w:r w:rsidR="00B24BE1">
        <w:t>consumption</w:t>
      </w:r>
      <w:r w:rsidR="00E70275">
        <w:t xml:space="preserve"> are to an extent driven by single events, such as the closure </w:t>
      </w:r>
      <w:r w:rsidR="00E52BF1" w:rsidRPr="004045A7">
        <w:t>of the Kurri Kurri smelter in New South Wales; deferral of the Olympic Dam mine expansion in South Australia and changes to levels of operation of Victoria’s Wonthaggi desalination plant.</w:t>
      </w:r>
    </w:p>
    <w:p w:rsidR="00E52BF1" w:rsidRPr="003D0E9A" w:rsidRDefault="00E52BF1" w:rsidP="00E52BF1"/>
    <w:p w:rsidR="005329ED" w:rsidRDefault="005329ED" w:rsidP="005329ED">
      <w:pPr>
        <w:pStyle w:val="Heading3"/>
      </w:pPr>
      <w:r>
        <w:t>Contribution of drivers to forecast electricity consumption in sectors</w:t>
      </w:r>
    </w:p>
    <w:p w:rsidR="005329ED" w:rsidRPr="00E52BF1" w:rsidRDefault="00C25052" w:rsidP="005329ED">
      <w:r>
        <w:t>Shares of each factor of the total contribution</w:t>
      </w:r>
      <w:r w:rsidR="005329ED" w:rsidRPr="00E52BF1">
        <w:t xml:space="preserve"> are derived by comparing the no change in GVA/income and prices with the scenarios allowing for a change in only one driver. </w:t>
      </w:r>
      <w:r w:rsidR="00363715">
        <w:t>The f</w:t>
      </w:r>
      <w:r w:rsidR="005329ED" w:rsidRPr="00E52BF1">
        <w:t>orecast is made up of three main components being activity, price and short run dynamics plus trend. When keeping activity levels and price constant, the path of consumption represent</w:t>
      </w:r>
      <w:r w:rsidR="00363715">
        <w:t>s</w:t>
      </w:r>
      <w:r w:rsidR="005329ED" w:rsidRPr="00E52BF1">
        <w:t xml:space="preserve"> short run dynamics and trend</w:t>
      </w:r>
      <w:r w:rsidR="00363715">
        <w:t>s</w:t>
      </w:r>
      <w:r w:rsidR="005329ED" w:rsidRPr="00E52BF1">
        <w:t xml:space="preserve">. </w:t>
      </w:r>
    </w:p>
    <w:p w:rsidR="005329ED" w:rsidRPr="00E52BF1" w:rsidRDefault="005329ED" w:rsidP="005329ED"/>
    <w:p w:rsidR="005329ED" w:rsidRDefault="005329ED" w:rsidP="005329ED">
      <w:r w:rsidRPr="00E52BF1">
        <w:t xml:space="preserve">Allowing GVA to change </w:t>
      </w:r>
      <w:r w:rsidR="00363715">
        <w:t xml:space="preserve">shows </w:t>
      </w:r>
      <w:r w:rsidRPr="00E52BF1">
        <w:t xml:space="preserve">what happens to consumption when only that driver </w:t>
      </w:r>
      <w:r w:rsidR="00363715">
        <w:t>changes</w:t>
      </w:r>
      <w:r w:rsidRPr="00E52BF1">
        <w:t>. When comparing this path of consumption with the no change scenario above, the difference come</w:t>
      </w:r>
      <w:r w:rsidR="00363715">
        <w:t>s</w:t>
      </w:r>
      <w:r w:rsidRPr="00E52BF1">
        <w:t xml:space="preserve"> from changing activity level only. Likewise if only price is allowed to change the new path for consumption will represent the effect of price on consumption and when compared with the no change path it will isolate the price contribution to consumption</w:t>
      </w:r>
      <w:r>
        <w:t xml:space="preserve"> growth over the forecast horizon.</w:t>
      </w:r>
    </w:p>
    <w:p w:rsidR="005329ED" w:rsidRDefault="005329ED" w:rsidP="005329ED"/>
    <w:p w:rsidR="005329ED" w:rsidRPr="00E52BF1" w:rsidRDefault="007666E1" w:rsidP="005329ED">
      <w:r>
        <w:lastRenderedPageBreak/>
        <w:fldChar w:fldCharType="begin"/>
      </w:r>
      <w:r>
        <w:instrText xml:space="preserve"> REF _Ref365923433 \r \h  \* MERGEFORMAT </w:instrText>
      </w:r>
      <w:r>
        <w:fldChar w:fldCharType="separate"/>
      </w:r>
      <w:r w:rsidR="00197E14">
        <w:t>Table 12</w:t>
      </w:r>
      <w:r>
        <w:fldChar w:fldCharType="end"/>
      </w:r>
      <w:r w:rsidR="005329ED" w:rsidRPr="00E52BF1">
        <w:t xml:space="preserve"> shows the estimated relative contribution of the main drivers to electricity consumption in each sector.</w:t>
      </w:r>
    </w:p>
    <w:p w:rsidR="005329ED" w:rsidRPr="00E52BF1" w:rsidRDefault="005329ED" w:rsidP="005329ED"/>
    <w:p w:rsidR="005329ED" w:rsidRPr="00E52BF1" w:rsidRDefault="005329ED" w:rsidP="005329ED">
      <w:r w:rsidRPr="00E52BF1">
        <w:t xml:space="preserve">Residential electricity consumption increased due to higher final consumption expenditure in both periods. Electricity prices decreased residential electricity </w:t>
      </w:r>
      <w:r w:rsidR="00B24BE1">
        <w:t>consumption</w:t>
      </w:r>
      <w:r w:rsidRPr="00E52BF1">
        <w:t xml:space="preserve"> but were outweighed by increased final consumption expenditures. The dynamics and residual contribute a significant part, which is expected since the forecast error is relatively large, as shown in </w:t>
      </w:r>
      <w:r w:rsidR="002F5972" w:rsidRPr="00E52BF1">
        <w:t>the appendix</w:t>
      </w:r>
      <w:r w:rsidR="0017656C" w:rsidRPr="00E52BF1">
        <w:t xml:space="preserve"> and </w:t>
      </w:r>
      <w:r w:rsidR="007666E1">
        <w:fldChar w:fldCharType="begin"/>
      </w:r>
      <w:r w:rsidR="007666E1">
        <w:instrText xml:space="preserve"> REF _Ref365923433 \r \h  \* MERGEFORMAT </w:instrText>
      </w:r>
      <w:r w:rsidR="007666E1">
        <w:fldChar w:fldCharType="separate"/>
      </w:r>
      <w:r w:rsidR="00197E14">
        <w:t>Table 12</w:t>
      </w:r>
      <w:r w:rsidR="007666E1">
        <w:fldChar w:fldCharType="end"/>
      </w:r>
      <w:r w:rsidRPr="00E52BF1">
        <w:t>.</w:t>
      </w:r>
    </w:p>
    <w:p w:rsidR="005329ED" w:rsidRPr="00E52BF1" w:rsidRDefault="005329ED" w:rsidP="005329ED"/>
    <w:p w:rsidR="005329ED" w:rsidRPr="00E52BF1" w:rsidRDefault="005329ED" w:rsidP="005329ED">
      <w:r w:rsidRPr="00E52BF1">
        <w:t>In the commercial and services sector, the response to higher electricity prices offsets approximately one third of the effect of increased GVA.</w:t>
      </w:r>
    </w:p>
    <w:p w:rsidR="005329ED" w:rsidRPr="00E52BF1" w:rsidRDefault="005329ED" w:rsidP="005329ED"/>
    <w:p w:rsidR="005329ED" w:rsidRPr="004E7E12" w:rsidRDefault="005329ED" w:rsidP="005329ED">
      <w:r w:rsidRPr="00E52BF1">
        <w:t xml:space="preserve">Manufacturing has responded more strongly to rising electricity prices than residential or commerce and services between </w:t>
      </w:r>
      <w:r w:rsidR="006C667D">
        <w:t>2008</w:t>
      </w:r>
      <w:r w:rsidRPr="00E52BF1">
        <w:t xml:space="preserve"> and </w:t>
      </w:r>
      <w:r w:rsidR="006C667D">
        <w:t>2012</w:t>
      </w:r>
      <w:r w:rsidRPr="00E52BF1">
        <w:t>. Declining GVA contributed further to a redu</w:t>
      </w:r>
      <w:r>
        <w:t xml:space="preserve">ction in manufacturing electricity consumption between </w:t>
      </w:r>
      <w:r w:rsidR="006C667D">
        <w:t>2008</w:t>
      </w:r>
      <w:r>
        <w:t xml:space="preserve"> and </w:t>
      </w:r>
      <w:r w:rsidR="006C667D">
        <w:t>2012</w:t>
      </w:r>
      <w:r>
        <w:t>.</w:t>
      </w:r>
    </w:p>
    <w:p w:rsidR="005329ED" w:rsidRPr="00DE4EAF" w:rsidRDefault="005329ED" w:rsidP="00645813">
      <w:pPr>
        <w:pStyle w:val="Tabletitle"/>
      </w:pPr>
      <w:bookmarkStart w:id="135" w:name="_Ref365923433"/>
      <w:bookmarkStart w:id="136" w:name="_Toc366004667"/>
      <w:bookmarkStart w:id="137" w:name="_Toc369890521"/>
      <w:r>
        <w:t>The percentage changes induced by drivers provide the relative magnitude of the effect of drivers on electricity consumption in the respective sectors</w:t>
      </w:r>
      <w:bookmarkEnd w:id="135"/>
      <w:bookmarkEnd w:id="136"/>
      <w:bookmarkEnd w:id="137"/>
    </w:p>
    <w:tbl>
      <w:tblPr>
        <w:tblStyle w:val="Vividtable"/>
        <w:tblW w:w="9781" w:type="dxa"/>
        <w:tblLook w:val="04A0" w:firstRow="1" w:lastRow="0" w:firstColumn="1" w:lastColumn="0" w:noHBand="0" w:noVBand="1"/>
      </w:tblPr>
      <w:tblGrid>
        <w:gridCol w:w="1051"/>
        <w:gridCol w:w="1469"/>
        <w:gridCol w:w="1418"/>
        <w:gridCol w:w="1416"/>
        <w:gridCol w:w="1452"/>
        <w:gridCol w:w="1418"/>
        <w:gridCol w:w="1557"/>
      </w:tblGrid>
      <w:tr w:rsidR="005329ED" w:rsidRPr="00980041" w:rsidTr="00215A21">
        <w:trPr>
          <w:cnfStyle w:val="100000000000" w:firstRow="1" w:lastRow="0" w:firstColumn="0" w:lastColumn="0" w:oddVBand="0" w:evenVBand="0" w:oddHBand="0" w:evenHBand="0" w:firstRowFirstColumn="0" w:firstRowLastColumn="0" w:lastRowFirstColumn="0" w:lastRowLastColumn="0"/>
          <w:cantSplit/>
          <w:trHeight w:val="567"/>
          <w:tblHeader/>
        </w:trPr>
        <w:tc>
          <w:tcPr>
            <w:tcW w:w="537" w:type="pct"/>
            <w:vMerge w:val="restart"/>
          </w:tcPr>
          <w:p w:rsidR="005329ED" w:rsidRDefault="005329ED" w:rsidP="006054BB">
            <w:pPr>
              <w:keepNext/>
              <w:rPr>
                <w:rStyle w:val="PlaceholderText"/>
                <w:rFonts w:ascii="Arial" w:hAnsi="Arial" w:cs="Arial"/>
                <w:szCs w:val="18"/>
              </w:rPr>
            </w:pPr>
            <w:r>
              <w:rPr>
                <w:rStyle w:val="PlaceholderText"/>
                <w:rFonts w:ascii="Arial" w:hAnsi="Arial" w:cs="Arial"/>
                <w:szCs w:val="18"/>
              </w:rPr>
              <w:t>Driver</w:t>
            </w:r>
          </w:p>
        </w:tc>
        <w:tc>
          <w:tcPr>
            <w:tcW w:w="4463" w:type="pct"/>
            <w:gridSpan w:val="6"/>
          </w:tcPr>
          <w:p w:rsidR="005329ED" w:rsidRDefault="006F11F8" w:rsidP="006054BB">
            <w:pPr>
              <w:keepNext/>
              <w:jc w:val="center"/>
              <w:rPr>
                <w:rStyle w:val="PlaceholderText"/>
                <w:rFonts w:ascii="Arial" w:hAnsi="Arial" w:cs="Arial"/>
                <w:szCs w:val="18"/>
              </w:rPr>
            </w:pPr>
            <w:r>
              <w:rPr>
                <w:rStyle w:val="PlaceholderText"/>
                <w:rFonts w:ascii="Arial" w:hAnsi="Arial" w:cs="Arial"/>
                <w:szCs w:val="18"/>
              </w:rPr>
              <w:t xml:space="preserve">Contribution, in percentage points, to </w:t>
            </w:r>
            <w:r w:rsidR="005329ED">
              <w:rPr>
                <w:rStyle w:val="PlaceholderText"/>
                <w:rFonts w:ascii="Arial" w:hAnsi="Arial" w:cs="Arial"/>
                <w:szCs w:val="18"/>
              </w:rPr>
              <w:t>percentage changes induced by drivers</w:t>
            </w:r>
            <w:r w:rsidR="006C2129">
              <w:rPr>
                <w:rStyle w:val="PlaceholderText"/>
                <w:rFonts w:ascii="Arial" w:hAnsi="Arial" w:cs="Arial"/>
                <w:szCs w:val="18"/>
              </w:rPr>
              <w:t>, which explains how much of the total change is due to each driver</w:t>
            </w:r>
          </w:p>
        </w:tc>
      </w:tr>
      <w:tr w:rsidR="005329ED" w:rsidRPr="00980041" w:rsidTr="00215A21">
        <w:trPr>
          <w:cnfStyle w:val="100000000000" w:firstRow="1" w:lastRow="0" w:firstColumn="0" w:lastColumn="0" w:oddVBand="0" w:evenVBand="0" w:oddHBand="0" w:evenHBand="0" w:firstRowFirstColumn="0" w:firstRowLastColumn="0" w:lastRowFirstColumn="0" w:lastRowLastColumn="0"/>
          <w:cantSplit/>
          <w:trHeight w:val="567"/>
          <w:tblHeader/>
        </w:trPr>
        <w:tc>
          <w:tcPr>
            <w:tcW w:w="537" w:type="pct"/>
            <w:vMerge/>
          </w:tcPr>
          <w:p w:rsidR="005329ED" w:rsidRDefault="005329ED" w:rsidP="006054BB">
            <w:pPr>
              <w:keepNext/>
              <w:rPr>
                <w:rStyle w:val="PlaceholderText"/>
                <w:rFonts w:ascii="Arial" w:hAnsi="Arial" w:cs="Arial"/>
                <w:szCs w:val="18"/>
              </w:rPr>
            </w:pPr>
          </w:p>
        </w:tc>
        <w:tc>
          <w:tcPr>
            <w:tcW w:w="1476" w:type="pct"/>
            <w:gridSpan w:val="2"/>
            <w:tcBorders>
              <w:bottom w:val="single" w:sz="4" w:space="0" w:color="000000" w:themeColor="text1"/>
            </w:tcBorders>
          </w:tcPr>
          <w:p w:rsidR="005329ED" w:rsidRPr="004328B0" w:rsidRDefault="005329ED" w:rsidP="006054BB">
            <w:pPr>
              <w:keepNext/>
              <w:rPr>
                <w:rStyle w:val="PlaceholderText"/>
                <w:rFonts w:ascii="Arial" w:hAnsi="Arial" w:cs="Arial"/>
                <w:szCs w:val="18"/>
              </w:rPr>
            </w:pPr>
            <w:r>
              <w:rPr>
                <w:rStyle w:val="PlaceholderText"/>
                <w:rFonts w:ascii="Arial" w:hAnsi="Arial" w:cs="Arial"/>
                <w:szCs w:val="18"/>
              </w:rPr>
              <w:t>Residential</w:t>
            </w:r>
          </w:p>
        </w:tc>
        <w:tc>
          <w:tcPr>
            <w:tcW w:w="1466" w:type="pct"/>
            <w:gridSpan w:val="2"/>
            <w:tcBorders>
              <w:bottom w:val="single" w:sz="4" w:space="0" w:color="000000" w:themeColor="text1"/>
            </w:tcBorders>
          </w:tcPr>
          <w:p w:rsidR="005329ED" w:rsidRDefault="005329ED" w:rsidP="006054BB">
            <w:pPr>
              <w:keepNext/>
              <w:rPr>
                <w:rStyle w:val="PlaceholderText"/>
                <w:rFonts w:ascii="Arial" w:hAnsi="Arial" w:cs="Arial"/>
                <w:szCs w:val="18"/>
              </w:rPr>
            </w:pPr>
            <w:r>
              <w:rPr>
                <w:rStyle w:val="PlaceholderText"/>
                <w:rFonts w:ascii="Arial" w:hAnsi="Arial" w:cs="Arial"/>
                <w:szCs w:val="18"/>
              </w:rPr>
              <w:t>Commercial and services</w:t>
            </w:r>
          </w:p>
        </w:tc>
        <w:tc>
          <w:tcPr>
            <w:tcW w:w="1522" w:type="pct"/>
            <w:gridSpan w:val="2"/>
            <w:tcBorders>
              <w:bottom w:val="single" w:sz="4" w:space="0" w:color="000000" w:themeColor="text1"/>
            </w:tcBorders>
          </w:tcPr>
          <w:p w:rsidR="005329ED" w:rsidRDefault="005329ED" w:rsidP="006054BB">
            <w:pPr>
              <w:keepNext/>
              <w:rPr>
                <w:rStyle w:val="PlaceholderText"/>
                <w:rFonts w:ascii="Arial" w:hAnsi="Arial" w:cs="Arial"/>
                <w:szCs w:val="18"/>
              </w:rPr>
            </w:pPr>
            <w:r>
              <w:rPr>
                <w:rStyle w:val="PlaceholderText"/>
                <w:rFonts w:ascii="Arial" w:hAnsi="Arial" w:cs="Arial"/>
                <w:szCs w:val="18"/>
              </w:rPr>
              <w:t>Manufacturing</w:t>
            </w:r>
          </w:p>
        </w:tc>
      </w:tr>
      <w:tr w:rsidR="005329ED" w:rsidRPr="00980041" w:rsidTr="00215A21">
        <w:trPr>
          <w:cnfStyle w:val="100000000000" w:firstRow="1" w:lastRow="0" w:firstColumn="0" w:lastColumn="0" w:oddVBand="0" w:evenVBand="0" w:oddHBand="0" w:evenHBand="0" w:firstRowFirstColumn="0" w:firstRowLastColumn="0" w:lastRowFirstColumn="0" w:lastRowLastColumn="0"/>
          <w:cantSplit/>
          <w:trHeight w:val="567"/>
          <w:tblHeader/>
        </w:trPr>
        <w:tc>
          <w:tcPr>
            <w:tcW w:w="537" w:type="pct"/>
            <w:vMerge/>
            <w:tcBorders>
              <w:bottom w:val="single" w:sz="4" w:space="0" w:color="000000" w:themeColor="text1"/>
            </w:tcBorders>
          </w:tcPr>
          <w:p w:rsidR="005329ED" w:rsidRPr="004328B0" w:rsidRDefault="005329ED" w:rsidP="006054BB">
            <w:pPr>
              <w:keepNext/>
              <w:rPr>
                <w:rStyle w:val="PlaceholderText"/>
                <w:rFonts w:ascii="Arial" w:hAnsi="Arial" w:cs="Arial"/>
                <w:b w:val="0"/>
                <w:szCs w:val="18"/>
              </w:rPr>
            </w:pPr>
          </w:p>
        </w:tc>
        <w:tc>
          <w:tcPr>
            <w:tcW w:w="751" w:type="pct"/>
            <w:tcBorders>
              <w:bottom w:val="single" w:sz="4" w:space="0" w:color="000000" w:themeColor="text1"/>
            </w:tcBorders>
          </w:tcPr>
          <w:p w:rsidR="005329ED" w:rsidRPr="004328B0" w:rsidRDefault="00A44C3F" w:rsidP="006054BB">
            <w:pPr>
              <w:keepNext/>
              <w:rPr>
                <w:rStyle w:val="PlaceholderText"/>
                <w:rFonts w:ascii="Arial" w:hAnsi="Arial" w:cs="Arial"/>
                <w:b w:val="0"/>
                <w:szCs w:val="18"/>
              </w:rPr>
            </w:pPr>
            <w:r>
              <w:rPr>
                <w:rStyle w:val="PlaceholderText"/>
                <w:rFonts w:ascii="Arial" w:hAnsi="Arial" w:cs="Arial"/>
                <w:szCs w:val="18"/>
              </w:rPr>
              <w:t>2003</w:t>
            </w:r>
            <w:r w:rsidR="005329ED">
              <w:rPr>
                <w:rStyle w:val="PlaceholderText"/>
                <w:rFonts w:ascii="Arial" w:hAnsi="Arial" w:cs="Arial"/>
                <w:szCs w:val="18"/>
              </w:rPr>
              <w:t xml:space="preserve"> to </w:t>
            </w:r>
            <w:r w:rsidR="006C667D">
              <w:rPr>
                <w:rStyle w:val="PlaceholderText"/>
                <w:rFonts w:ascii="Arial" w:hAnsi="Arial" w:cs="Arial"/>
                <w:szCs w:val="18"/>
              </w:rPr>
              <w:t>2008</w:t>
            </w:r>
          </w:p>
        </w:tc>
        <w:tc>
          <w:tcPr>
            <w:tcW w:w="725" w:type="pct"/>
            <w:tcBorders>
              <w:bottom w:val="single" w:sz="4" w:space="0" w:color="000000" w:themeColor="text1"/>
            </w:tcBorders>
          </w:tcPr>
          <w:p w:rsidR="005329ED" w:rsidRPr="004328B0" w:rsidRDefault="006C667D" w:rsidP="006054BB">
            <w:pPr>
              <w:keepNext/>
              <w:rPr>
                <w:rStyle w:val="PlaceholderText"/>
                <w:rFonts w:ascii="Arial" w:hAnsi="Arial" w:cs="Arial"/>
                <w:b w:val="0"/>
                <w:szCs w:val="18"/>
              </w:rPr>
            </w:pPr>
            <w:r>
              <w:rPr>
                <w:rStyle w:val="PlaceholderText"/>
                <w:rFonts w:ascii="Arial" w:hAnsi="Arial" w:cs="Arial"/>
                <w:szCs w:val="18"/>
              </w:rPr>
              <w:t>2008</w:t>
            </w:r>
            <w:r w:rsidR="005329ED">
              <w:rPr>
                <w:rStyle w:val="PlaceholderText"/>
                <w:rFonts w:ascii="Arial" w:hAnsi="Arial" w:cs="Arial"/>
                <w:szCs w:val="18"/>
              </w:rPr>
              <w:t xml:space="preserve"> to </w:t>
            </w:r>
            <w:r>
              <w:rPr>
                <w:rStyle w:val="PlaceholderText"/>
                <w:rFonts w:ascii="Arial" w:hAnsi="Arial" w:cs="Arial"/>
                <w:szCs w:val="18"/>
              </w:rPr>
              <w:t>2012</w:t>
            </w:r>
          </w:p>
        </w:tc>
        <w:tc>
          <w:tcPr>
            <w:tcW w:w="724" w:type="pct"/>
            <w:tcBorders>
              <w:bottom w:val="single" w:sz="4" w:space="0" w:color="000000" w:themeColor="text1"/>
            </w:tcBorders>
          </w:tcPr>
          <w:p w:rsidR="005329ED" w:rsidRPr="004328B0" w:rsidRDefault="00A44C3F" w:rsidP="006054BB">
            <w:pPr>
              <w:keepNext/>
              <w:rPr>
                <w:rStyle w:val="PlaceholderText"/>
                <w:rFonts w:ascii="Arial" w:hAnsi="Arial" w:cs="Arial"/>
                <w:b w:val="0"/>
                <w:szCs w:val="18"/>
              </w:rPr>
            </w:pPr>
            <w:r>
              <w:rPr>
                <w:rStyle w:val="PlaceholderText"/>
                <w:rFonts w:ascii="Arial" w:hAnsi="Arial" w:cs="Arial"/>
                <w:szCs w:val="18"/>
              </w:rPr>
              <w:t>2003</w:t>
            </w:r>
            <w:r w:rsidR="005329ED">
              <w:rPr>
                <w:rStyle w:val="PlaceholderText"/>
                <w:rFonts w:ascii="Arial" w:hAnsi="Arial" w:cs="Arial"/>
                <w:szCs w:val="18"/>
              </w:rPr>
              <w:t xml:space="preserve"> to </w:t>
            </w:r>
            <w:r w:rsidR="006C667D">
              <w:rPr>
                <w:rStyle w:val="PlaceholderText"/>
                <w:rFonts w:ascii="Arial" w:hAnsi="Arial" w:cs="Arial"/>
                <w:szCs w:val="18"/>
              </w:rPr>
              <w:t>2008</w:t>
            </w:r>
          </w:p>
        </w:tc>
        <w:tc>
          <w:tcPr>
            <w:tcW w:w="742" w:type="pct"/>
            <w:tcBorders>
              <w:bottom w:val="single" w:sz="4" w:space="0" w:color="000000" w:themeColor="text1"/>
            </w:tcBorders>
          </w:tcPr>
          <w:p w:rsidR="005329ED" w:rsidRPr="004328B0" w:rsidRDefault="006C667D" w:rsidP="006054BB">
            <w:pPr>
              <w:keepNext/>
              <w:rPr>
                <w:rStyle w:val="PlaceholderText"/>
                <w:rFonts w:ascii="Arial" w:hAnsi="Arial" w:cs="Arial"/>
                <w:b w:val="0"/>
                <w:szCs w:val="18"/>
              </w:rPr>
            </w:pPr>
            <w:r>
              <w:rPr>
                <w:rStyle w:val="PlaceholderText"/>
                <w:rFonts w:ascii="Arial" w:hAnsi="Arial" w:cs="Arial"/>
                <w:szCs w:val="18"/>
              </w:rPr>
              <w:t>2008</w:t>
            </w:r>
            <w:r w:rsidR="005329ED">
              <w:rPr>
                <w:rStyle w:val="PlaceholderText"/>
                <w:rFonts w:ascii="Arial" w:hAnsi="Arial" w:cs="Arial"/>
                <w:szCs w:val="18"/>
              </w:rPr>
              <w:t xml:space="preserve"> to </w:t>
            </w:r>
            <w:r>
              <w:rPr>
                <w:rStyle w:val="PlaceholderText"/>
                <w:rFonts w:ascii="Arial" w:hAnsi="Arial" w:cs="Arial"/>
                <w:szCs w:val="18"/>
              </w:rPr>
              <w:t>2011</w:t>
            </w:r>
            <w:r w:rsidR="005329ED">
              <w:rPr>
                <w:rStyle w:val="PlaceholderText"/>
                <w:rFonts w:ascii="Arial" w:hAnsi="Arial" w:cs="Arial"/>
                <w:szCs w:val="18"/>
              </w:rPr>
              <w:t>*</w:t>
            </w:r>
          </w:p>
        </w:tc>
        <w:tc>
          <w:tcPr>
            <w:tcW w:w="725" w:type="pct"/>
            <w:tcBorders>
              <w:bottom w:val="single" w:sz="4" w:space="0" w:color="000000" w:themeColor="text1"/>
            </w:tcBorders>
          </w:tcPr>
          <w:p w:rsidR="005329ED" w:rsidRPr="004328B0" w:rsidRDefault="00A44C3F" w:rsidP="006054BB">
            <w:pPr>
              <w:keepNext/>
              <w:rPr>
                <w:rStyle w:val="PlaceholderText"/>
                <w:rFonts w:ascii="Arial" w:hAnsi="Arial" w:cs="Arial"/>
                <w:b w:val="0"/>
                <w:szCs w:val="18"/>
              </w:rPr>
            </w:pPr>
            <w:r>
              <w:rPr>
                <w:rStyle w:val="PlaceholderText"/>
                <w:rFonts w:ascii="Arial" w:hAnsi="Arial" w:cs="Arial"/>
                <w:szCs w:val="18"/>
              </w:rPr>
              <w:t>2003</w:t>
            </w:r>
            <w:r w:rsidR="005329ED">
              <w:rPr>
                <w:rStyle w:val="PlaceholderText"/>
                <w:rFonts w:ascii="Arial" w:hAnsi="Arial" w:cs="Arial"/>
                <w:szCs w:val="18"/>
              </w:rPr>
              <w:t xml:space="preserve"> to </w:t>
            </w:r>
            <w:r w:rsidR="006C667D">
              <w:rPr>
                <w:rStyle w:val="PlaceholderText"/>
                <w:rFonts w:ascii="Arial" w:hAnsi="Arial" w:cs="Arial"/>
                <w:szCs w:val="18"/>
              </w:rPr>
              <w:t>2008</w:t>
            </w:r>
          </w:p>
        </w:tc>
        <w:tc>
          <w:tcPr>
            <w:tcW w:w="797" w:type="pct"/>
            <w:tcBorders>
              <w:bottom w:val="single" w:sz="4" w:space="0" w:color="000000" w:themeColor="text1"/>
            </w:tcBorders>
          </w:tcPr>
          <w:p w:rsidR="005329ED" w:rsidRPr="004328B0" w:rsidRDefault="006C667D" w:rsidP="006054BB">
            <w:pPr>
              <w:keepNext/>
              <w:rPr>
                <w:rStyle w:val="PlaceholderText"/>
                <w:rFonts w:ascii="Arial" w:hAnsi="Arial" w:cs="Arial"/>
                <w:b w:val="0"/>
                <w:szCs w:val="18"/>
              </w:rPr>
            </w:pPr>
            <w:r>
              <w:rPr>
                <w:rStyle w:val="PlaceholderText"/>
                <w:rFonts w:ascii="Arial" w:hAnsi="Arial" w:cs="Arial"/>
                <w:szCs w:val="18"/>
              </w:rPr>
              <w:t>2008</w:t>
            </w:r>
            <w:r w:rsidR="005329ED">
              <w:rPr>
                <w:rStyle w:val="PlaceholderText"/>
                <w:rFonts w:ascii="Arial" w:hAnsi="Arial" w:cs="Arial"/>
                <w:szCs w:val="18"/>
              </w:rPr>
              <w:t xml:space="preserve"> to </w:t>
            </w:r>
            <w:r>
              <w:rPr>
                <w:rStyle w:val="PlaceholderText"/>
                <w:rFonts w:ascii="Arial" w:hAnsi="Arial" w:cs="Arial"/>
                <w:szCs w:val="18"/>
              </w:rPr>
              <w:t>2012</w:t>
            </w:r>
          </w:p>
        </w:tc>
      </w:tr>
      <w:tr w:rsidR="005329ED" w:rsidRPr="00980041" w:rsidTr="00215A21">
        <w:trPr>
          <w:cnfStyle w:val="000000100000" w:firstRow="0" w:lastRow="0" w:firstColumn="0" w:lastColumn="0" w:oddVBand="0" w:evenVBand="0" w:oddHBand="1" w:evenHBand="0" w:firstRowFirstColumn="0" w:firstRowLastColumn="0" w:lastRowFirstColumn="0" w:lastRowLastColumn="0"/>
          <w:cantSplit/>
          <w:trHeight w:val="567"/>
        </w:trPr>
        <w:tc>
          <w:tcPr>
            <w:tcW w:w="537" w:type="pct"/>
            <w:tcBorders>
              <w:top w:val="single" w:sz="4" w:space="0" w:color="000000" w:themeColor="text1"/>
            </w:tcBorders>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Electricity price</w:t>
            </w:r>
          </w:p>
        </w:tc>
        <w:tc>
          <w:tcPr>
            <w:tcW w:w="751" w:type="pct"/>
            <w:tcBorders>
              <w:top w:val="single" w:sz="4" w:space="0" w:color="000000" w:themeColor="text1"/>
            </w:tcBorders>
          </w:tcPr>
          <w:p w:rsidR="005329ED" w:rsidRPr="004328B0" w:rsidRDefault="005329ED" w:rsidP="006054BB">
            <w:pPr>
              <w:keepNext/>
              <w:tabs>
                <w:tab w:val="decimal" w:pos="482"/>
              </w:tabs>
              <w:spacing w:line="200" w:lineRule="exact"/>
              <w:rPr>
                <w:rStyle w:val="PlaceholderText"/>
                <w:rFonts w:ascii="Arial" w:hAnsi="Arial" w:cs="Arial"/>
                <w:szCs w:val="18"/>
              </w:rPr>
            </w:pPr>
            <w:r>
              <w:rPr>
                <w:rStyle w:val="PlaceholderText"/>
                <w:rFonts w:ascii="Arial" w:hAnsi="Arial" w:cs="Arial"/>
                <w:szCs w:val="18"/>
              </w:rPr>
              <w:t>-0.97</w:t>
            </w:r>
          </w:p>
        </w:tc>
        <w:tc>
          <w:tcPr>
            <w:tcW w:w="725" w:type="pct"/>
            <w:tcBorders>
              <w:top w:val="single" w:sz="4" w:space="0" w:color="000000" w:themeColor="text1"/>
              <w:right w:val="single" w:sz="4" w:space="0" w:color="auto"/>
            </w:tcBorders>
          </w:tcPr>
          <w:p w:rsidR="005329ED" w:rsidRPr="004328B0" w:rsidRDefault="005329ED" w:rsidP="006054BB">
            <w:pPr>
              <w:keepNext/>
              <w:tabs>
                <w:tab w:val="decimal" w:pos="402"/>
              </w:tabs>
              <w:spacing w:line="200" w:lineRule="exact"/>
              <w:rPr>
                <w:rStyle w:val="PlaceholderText"/>
                <w:rFonts w:ascii="Arial" w:hAnsi="Arial" w:cs="Arial"/>
                <w:szCs w:val="18"/>
              </w:rPr>
            </w:pPr>
            <w:r>
              <w:rPr>
                <w:rStyle w:val="PlaceholderText"/>
                <w:rFonts w:ascii="Arial" w:hAnsi="Arial" w:cs="Arial"/>
                <w:szCs w:val="18"/>
              </w:rPr>
              <w:t>-2.06</w:t>
            </w:r>
          </w:p>
        </w:tc>
        <w:tc>
          <w:tcPr>
            <w:tcW w:w="724" w:type="pct"/>
            <w:tcBorders>
              <w:top w:val="single" w:sz="4" w:space="0" w:color="000000" w:themeColor="text1"/>
              <w:left w:val="single" w:sz="4" w:space="0" w:color="auto"/>
            </w:tcBorders>
          </w:tcPr>
          <w:p w:rsidR="005329ED" w:rsidRPr="004328B0" w:rsidRDefault="005329ED" w:rsidP="006054BB">
            <w:pPr>
              <w:keepNext/>
              <w:tabs>
                <w:tab w:val="decimal" w:pos="397"/>
              </w:tabs>
              <w:spacing w:line="200" w:lineRule="exact"/>
              <w:rPr>
                <w:rStyle w:val="PlaceholderText"/>
                <w:rFonts w:ascii="Arial" w:hAnsi="Arial" w:cs="Arial"/>
                <w:szCs w:val="18"/>
              </w:rPr>
            </w:pPr>
            <w:r>
              <w:rPr>
                <w:rStyle w:val="PlaceholderText"/>
                <w:rFonts w:ascii="Arial" w:hAnsi="Arial" w:cs="Arial"/>
                <w:szCs w:val="18"/>
              </w:rPr>
              <w:t>1.59</w:t>
            </w:r>
          </w:p>
        </w:tc>
        <w:tc>
          <w:tcPr>
            <w:tcW w:w="742" w:type="pct"/>
            <w:tcBorders>
              <w:top w:val="single" w:sz="4" w:space="0" w:color="000000" w:themeColor="text1"/>
              <w:right w:val="single" w:sz="4" w:space="0" w:color="auto"/>
            </w:tcBorders>
          </w:tcPr>
          <w:p w:rsidR="005329ED" w:rsidRPr="004328B0" w:rsidRDefault="005329ED" w:rsidP="006054BB">
            <w:pPr>
              <w:keepNext/>
              <w:tabs>
                <w:tab w:val="decimal" w:pos="175"/>
              </w:tabs>
              <w:spacing w:line="200" w:lineRule="exact"/>
              <w:rPr>
                <w:rStyle w:val="PlaceholderText"/>
                <w:rFonts w:ascii="Arial" w:hAnsi="Arial" w:cs="Arial"/>
                <w:szCs w:val="18"/>
              </w:rPr>
            </w:pPr>
            <w:r>
              <w:rPr>
                <w:rStyle w:val="PlaceholderText"/>
                <w:rFonts w:ascii="Arial" w:hAnsi="Arial" w:cs="Arial"/>
                <w:szCs w:val="18"/>
              </w:rPr>
              <w:t>-1.31</w:t>
            </w:r>
          </w:p>
        </w:tc>
        <w:tc>
          <w:tcPr>
            <w:tcW w:w="725" w:type="pct"/>
            <w:tcBorders>
              <w:top w:val="single" w:sz="4" w:space="0" w:color="000000" w:themeColor="text1"/>
              <w:left w:val="single" w:sz="4" w:space="0" w:color="auto"/>
            </w:tcBorders>
          </w:tcPr>
          <w:p w:rsidR="005329ED" w:rsidRPr="004328B0" w:rsidRDefault="005329ED" w:rsidP="006054BB">
            <w:pPr>
              <w:keepNext/>
              <w:tabs>
                <w:tab w:val="decimal" w:pos="166"/>
              </w:tabs>
              <w:spacing w:line="200" w:lineRule="exact"/>
              <w:rPr>
                <w:rStyle w:val="PlaceholderText"/>
                <w:rFonts w:ascii="Arial" w:hAnsi="Arial" w:cs="Arial"/>
                <w:szCs w:val="18"/>
              </w:rPr>
            </w:pPr>
            <w:r>
              <w:rPr>
                <w:rStyle w:val="PlaceholderText"/>
                <w:rFonts w:ascii="Arial" w:hAnsi="Arial" w:cs="Arial"/>
                <w:szCs w:val="18"/>
              </w:rPr>
              <w:t>1.72</w:t>
            </w:r>
          </w:p>
        </w:tc>
        <w:tc>
          <w:tcPr>
            <w:tcW w:w="797" w:type="pct"/>
            <w:tcBorders>
              <w:top w:val="single" w:sz="4" w:space="0" w:color="000000" w:themeColor="text1"/>
            </w:tcBorders>
          </w:tcPr>
          <w:p w:rsidR="005329ED" w:rsidRPr="004328B0" w:rsidRDefault="005329ED" w:rsidP="006054BB">
            <w:pPr>
              <w:keepNext/>
              <w:tabs>
                <w:tab w:val="decimal" w:pos="147"/>
              </w:tabs>
              <w:spacing w:line="200" w:lineRule="exact"/>
              <w:rPr>
                <w:rStyle w:val="PlaceholderText"/>
                <w:rFonts w:ascii="Arial" w:hAnsi="Arial" w:cs="Arial"/>
                <w:szCs w:val="18"/>
              </w:rPr>
            </w:pPr>
            <w:r>
              <w:rPr>
                <w:rStyle w:val="PlaceholderText"/>
                <w:rFonts w:ascii="Arial" w:hAnsi="Arial" w:cs="Arial"/>
                <w:szCs w:val="18"/>
              </w:rPr>
              <w:t>-5.35</w:t>
            </w:r>
          </w:p>
        </w:tc>
      </w:tr>
      <w:tr w:rsidR="005329ED" w:rsidRPr="00980041" w:rsidTr="00215A21">
        <w:trPr>
          <w:cantSplit/>
          <w:trHeight w:val="567"/>
        </w:trPr>
        <w:tc>
          <w:tcPr>
            <w:tcW w:w="537" w:type="pct"/>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GVA</w:t>
            </w:r>
          </w:p>
        </w:tc>
        <w:tc>
          <w:tcPr>
            <w:tcW w:w="751" w:type="pct"/>
          </w:tcPr>
          <w:p w:rsidR="005329ED" w:rsidRPr="004328B0" w:rsidRDefault="005329ED" w:rsidP="00FE0855">
            <w:pPr>
              <w:keepNext/>
              <w:tabs>
                <w:tab w:val="decimal" w:pos="482"/>
              </w:tabs>
              <w:spacing w:line="200" w:lineRule="exact"/>
              <w:rPr>
                <w:rStyle w:val="PlaceholderText"/>
                <w:rFonts w:ascii="Arial" w:hAnsi="Arial" w:cs="Arial"/>
                <w:szCs w:val="18"/>
              </w:rPr>
            </w:pPr>
            <w:r>
              <w:rPr>
                <w:rStyle w:val="PlaceholderText"/>
                <w:rFonts w:ascii="Arial" w:hAnsi="Arial" w:cs="Arial"/>
                <w:szCs w:val="18"/>
              </w:rPr>
              <w:t>NA</w:t>
            </w:r>
          </w:p>
        </w:tc>
        <w:tc>
          <w:tcPr>
            <w:tcW w:w="725" w:type="pct"/>
            <w:tcBorders>
              <w:right w:val="single" w:sz="4" w:space="0" w:color="auto"/>
            </w:tcBorders>
          </w:tcPr>
          <w:p w:rsidR="005329ED" w:rsidRPr="004328B0" w:rsidRDefault="005329ED" w:rsidP="003F7456">
            <w:pPr>
              <w:keepNext/>
              <w:tabs>
                <w:tab w:val="decimal" w:pos="402"/>
              </w:tabs>
              <w:spacing w:line="200" w:lineRule="exact"/>
              <w:rPr>
                <w:rStyle w:val="PlaceholderText"/>
                <w:rFonts w:ascii="Arial" w:hAnsi="Arial" w:cs="Arial"/>
                <w:szCs w:val="18"/>
              </w:rPr>
            </w:pPr>
            <w:r>
              <w:rPr>
                <w:rStyle w:val="PlaceholderText"/>
                <w:rFonts w:ascii="Arial" w:hAnsi="Arial" w:cs="Arial"/>
                <w:szCs w:val="18"/>
              </w:rPr>
              <w:t>NA</w:t>
            </w:r>
          </w:p>
        </w:tc>
        <w:tc>
          <w:tcPr>
            <w:tcW w:w="724" w:type="pct"/>
            <w:tcBorders>
              <w:left w:val="single" w:sz="4" w:space="0" w:color="auto"/>
            </w:tcBorders>
          </w:tcPr>
          <w:p w:rsidR="005329ED" w:rsidRPr="004328B0" w:rsidRDefault="005329ED" w:rsidP="006054BB">
            <w:pPr>
              <w:keepNext/>
              <w:tabs>
                <w:tab w:val="decimal" w:pos="397"/>
              </w:tabs>
              <w:spacing w:line="200" w:lineRule="exact"/>
              <w:rPr>
                <w:rStyle w:val="PlaceholderText"/>
                <w:rFonts w:ascii="Arial" w:hAnsi="Arial" w:cs="Arial"/>
                <w:szCs w:val="18"/>
              </w:rPr>
            </w:pPr>
            <w:r>
              <w:rPr>
                <w:rStyle w:val="PlaceholderText"/>
                <w:rFonts w:ascii="Arial" w:hAnsi="Arial" w:cs="Arial"/>
                <w:szCs w:val="18"/>
              </w:rPr>
              <w:t>20.65</w:t>
            </w:r>
          </w:p>
        </w:tc>
        <w:tc>
          <w:tcPr>
            <w:tcW w:w="742" w:type="pct"/>
            <w:tcBorders>
              <w:right w:val="single" w:sz="4" w:space="0" w:color="auto"/>
            </w:tcBorders>
          </w:tcPr>
          <w:p w:rsidR="005329ED" w:rsidRPr="004328B0" w:rsidRDefault="005329ED" w:rsidP="006054BB">
            <w:pPr>
              <w:keepNext/>
              <w:tabs>
                <w:tab w:val="decimal" w:pos="175"/>
              </w:tabs>
              <w:spacing w:line="200" w:lineRule="exact"/>
              <w:rPr>
                <w:rStyle w:val="PlaceholderText"/>
                <w:rFonts w:ascii="Arial" w:hAnsi="Arial" w:cs="Arial"/>
                <w:szCs w:val="18"/>
              </w:rPr>
            </w:pPr>
            <w:r>
              <w:rPr>
                <w:rStyle w:val="PlaceholderText"/>
                <w:rFonts w:ascii="Arial" w:hAnsi="Arial" w:cs="Arial"/>
                <w:szCs w:val="18"/>
              </w:rPr>
              <w:t>4.65</w:t>
            </w:r>
          </w:p>
        </w:tc>
        <w:tc>
          <w:tcPr>
            <w:tcW w:w="725" w:type="pct"/>
            <w:tcBorders>
              <w:left w:val="single" w:sz="4" w:space="0" w:color="auto"/>
            </w:tcBorders>
          </w:tcPr>
          <w:p w:rsidR="005329ED" w:rsidRPr="004328B0" w:rsidRDefault="005329ED" w:rsidP="006054BB">
            <w:pPr>
              <w:keepNext/>
              <w:tabs>
                <w:tab w:val="decimal" w:pos="166"/>
              </w:tabs>
              <w:spacing w:line="200" w:lineRule="exact"/>
              <w:rPr>
                <w:rStyle w:val="PlaceholderText"/>
                <w:rFonts w:ascii="Arial" w:hAnsi="Arial" w:cs="Arial"/>
                <w:szCs w:val="18"/>
              </w:rPr>
            </w:pPr>
            <w:r>
              <w:rPr>
                <w:rStyle w:val="PlaceholderText"/>
                <w:rFonts w:ascii="Arial" w:hAnsi="Arial" w:cs="Arial"/>
                <w:szCs w:val="18"/>
              </w:rPr>
              <w:t>2.66</w:t>
            </w:r>
          </w:p>
        </w:tc>
        <w:tc>
          <w:tcPr>
            <w:tcW w:w="797" w:type="pct"/>
          </w:tcPr>
          <w:p w:rsidR="005329ED" w:rsidRPr="004328B0" w:rsidRDefault="005329ED" w:rsidP="006054BB">
            <w:pPr>
              <w:keepNext/>
              <w:tabs>
                <w:tab w:val="decimal" w:pos="147"/>
              </w:tabs>
              <w:spacing w:line="200" w:lineRule="exact"/>
              <w:rPr>
                <w:rStyle w:val="PlaceholderText"/>
                <w:rFonts w:ascii="Arial" w:hAnsi="Arial" w:cs="Arial"/>
                <w:szCs w:val="18"/>
              </w:rPr>
            </w:pPr>
            <w:r>
              <w:rPr>
                <w:rStyle w:val="PlaceholderText"/>
                <w:rFonts w:ascii="Arial" w:hAnsi="Arial" w:cs="Arial"/>
                <w:szCs w:val="18"/>
              </w:rPr>
              <w:t>-8.09</w:t>
            </w:r>
          </w:p>
        </w:tc>
      </w:tr>
      <w:tr w:rsidR="005329ED" w:rsidRPr="00980041" w:rsidTr="00215A21">
        <w:trPr>
          <w:cnfStyle w:val="000000100000" w:firstRow="0" w:lastRow="0" w:firstColumn="0" w:lastColumn="0" w:oddVBand="0" w:evenVBand="0" w:oddHBand="1" w:evenHBand="0" w:firstRowFirstColumn="0" w:firstRowLastColumn="0" w:lastRowFirstColumn="0" w:lastRowLastColumn="0"/>
          <w:cantSplit/>
          <w:trHeight w:val="567"/>
        </w:trPr>
        <w:tc>
          <w:tcPr>
            <w:tcW w:w="537" w:type="pct"/>
          </w:tcPr>
          <w:p w:rsidR="005329ED" w:rsidRPr="004328B0"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FCE</w:t>
            </w:r>
          </w:p>
        </w:tc>
        <w:tc>
          <w:tcPr>
            <w:tcW w:w="751" w:type="pct"/>
          </w:tcPr>
          <w:p w:rsidR="005329ED" w:rsidRPr="004328B0" w:rsidRDefault="005329ED" w:rsidP="006054BB">
            <w:pPr>
              <w:keepNext/>
              <w:tabs>
                <w:tab w:val="decimal" w:pos="482"/>
              </w:tabs>
              <w:spacing w:line="200" w:lineRule="exact"/>
              <w:rPr>
                <w:rStyle w:val="PlaceholderText"/>
                <w:rFonts w:ascii="Arial" w:hAnsi="Arial" w:cs="Arial"/>
                <w:szCs w:val="18"/>
              </w:rPr>
            </w:pPr>
            <w:r>
              <w:rPr>
                <w:rStyle w:val="PlaceholderText"/>
                <w:rFonts w:ascii="Arial" w:hAnsi="Arial" w:cs="Arial"/>
                <w:szCs w:val="18"/>
              </w:rPr>
              <w:t>9.52</w:t>
            </w:r>
          </w:p>
        </w:tc>
        <w:tc>
          <w:tcPr>
            <w:tcW w:w="725" w:type="pct"/>
            <w:tcBorders>
              <w:right w:val="single" w:sz="4" w:space="0" w:color="auto"/>
            </w:tcBorders>
          </w:tcPr>
          <w:p w:rsidR="005329ED" w:rsidRPr="004328B0" w:rsidRDefault="005329ED" w:rsidP="006054BB">
            <w:pPr>
              <w:keepNext/>
              <w:tabs>
                <w:tab w:val="decimal" w:pos="402"/>
              </w:tabs>
              <w:spacing w:line="200" w:lineRule="exact"/>
              <w:rPr>
                <w:rStyle w:val="PlaceholderText"/>
                <w:rFonts w:ascii="Arial" w:hAnsi="Arial" w:cs="Arial"/>
                <w:szCs w:val="18"/>
              </w:rPr>
            </w:pPr>
            <w:r>
              <w:rPr>
                <w:rStyle w:val="PlaceholderText"/>
                <w:rFonts w:ascii="Arial" w:hAnsi="Arial" w:cs="Arial"/>
                <w:szCs w:val="18"/>
              </w:rPr>
              <w:t>3.47</w:t>
            </w:r>
          </w:p>
        </w:tc>
        <w:tc>
          <w:tcPr>
            <w:tcW w:w="724" w:type="pct"/>
            <w:tcBorders>
              <w:left w:val="single" w:sz="4" w:space="0" w:color="auto"/>
            </w:tcBorders>
          </w:tcPr>
          <w:p w:rsidR="005329ED" w:rsidRPr="004328B0" w:rsidRDefault="005329ED" w:rsidP="006054BB">
            <w:pPr>
              <w:keepNext/>
              <w:tabs>
                <w:tab w:val="decimal" w:pos="397"/>
              </w:tabs>
              <w:spacing w:line="200" w:lineRule="exact"/>
              <w:rPr>
                <w:rStyle w:val="PlaceholderText"/>
                <w:rFonts w:ascii="Arial" w:hAnsi="Arial" w:cs="Arial"/>
                <w:szCs w:val="18"/>
              </w:rPr>
            </w:pPr>
            <w:r>
              <w:rPr>
                <w:rStyle w:val="PlaceholderText"/>
                <w:rFonts w:ascii="Arial" w:hAnsi="Arial" w:cs="Arial"/>
                <w:szCs w:val="18"/>
              </w:rPr>
              <w:t>NA</w:t>
            </w:r>
          </w:p>
        </w:tc>
        <w:tc>
          <w:tcPr>
            <w:tcW w:w="742" w:type="pct"/>
            <w:tcBorders>
              <w:right w:val="single" w:sz="4" w:space="0" w:color="auto"/>
            </w:tcBorders>
          </w:tcPr>
          <w:p w:rsidR="005329ED" w:rsidRPr="004328B0" w:rsidRDefault="005329ED" w:rsidP="006054BB">
            <w:pPr>
              <w:keepNext/>
              <w:tabs>
                <w:tab w:val="decimal" w:pos="175"/>
              </w:tabs>
              <w:spacing w:line="200" w:lineRule="exact"/>
              <w:rPr>
                <w:rStyle w:val="PlaceholderText"/>
                <w:rFonts w:ascii="Arial" w:hAnsi="Arial" w:cs="Arial"/>
                <w:szCs w:val="18"/>
              </w:rPr>
            </w:pPr>
            <w:r>
              <w:rPr>
                <w:rStyle w:val="PlaceholderText"/>
                <w:rFonts w:ascii="Arial" w:hAnsi="Arial" w:cs="Arial"/>
                <w:szCs w:val="18"/>
              </w:rPr>
              <w:t>NA</w:t>
            </w:r>
          </w:p>
        </w:tc>
        <w:tc>
          <w:tcPr>
            <w:tcW w:w="725" w:type="pct"/>
            <w:tcBorders>
              <w:left w:val="single" w:sz="4" w:space="0" w:color="auto"/>
            </w:tcBorders>
          </w:tcPr>
          <w:p w:rsidR="005329ED" w:rsidRPr="004328B0" w:rsidRDefault="005329ED" w:rsidP="006054BB">
            <w:pPr>
              <w:keepNext/>
              <w:tabs>
                <w:tab w:val="decimal" w:pos="166"/>
              </w:tabs>
              <w:spacing w:line="200" w:lineRule="exact"/>
              <w:rPr>
                <w:rStyle w:val="PlaceholderText"/>
                <w:rFonts w:ascii="Arial" w:hAnsi="Arial" w:cs="Arial"/>
                <w:szCs w:val="18"/>
              </w:rPr>
            </w:pPr>
            <w:r>
              <w:rPr>
                <w:rStyle w:val="PlaceholderText"/>
                <w:rFonts w:ascii="Arial" w:hAnsi="Arial" w:cs="Arial"/>
                <w:szCs w:val="18"/>
              </w:rPr>
              <w:t>NA</w:t>
            </w:r>
          </w:p>
        </w:tc>
        <w:tc>
          <w:tcPr>
            <w:tcW w:w="797" w:type="pct"/>
          </w:tcPr>
          <w:p w:rsidR="005329ED" w:rsidRPr="004328B0" w:rsidRDefault="005329ED" w:rsidP="006054BB">
            <w:pPr>
              <w:keepNext/>
              <w:tabs>
                <w:tab w:val="decimal" w:pos="147"/>
              </w:tabs>
              <w:spacing w:line="200" w:lineRule="exact"/>
              <w:rPr>
                <w:rStyle w:val="PlaceholderText"/>
                <w:rFonts w:ascii="Arial" w:hAnsi="Arial" w:cs="Arial"/>
                <w:szCs w:val="18"/>
              </w:rPr>
            </w:pPr>
            <w:r>
              <w:rPr>
                <w:rStyle w:val="PlaceholderText"/>
                <w:rFonts w:ascii="Arial" w:hAnsi="Arial" w:cs="Arial"/>
                <w:szCs w:val="18"/>
              </w:rPr>
              <w:t>NA</w:t>
            </w:r>
          </w:p>
        </w:tc>
      </w:tr>
      <w:tr w:rsidR="005329ED" w:rsidRPr="00980041" w:rsidTr="00215A21">
        <w:trPr>
          <w:cantSplit/>
          <w:trHeight w:val="567"/>
        </w:trPr>
        <w:tc>
          <w:tcPr>
            <w:tcW w:w="537"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Weather</w:t>
            </w:r>
          </w:p>
        </w:tc>
        <w:tc>
          <w:tcPr>
            <w:tcW w:w="751" w:type="pct"/>
          </w:tcPr>
          <w:p w:rsidR="005329ED" w:rsidRPr="004328B0" w:rsidRDefault="005329ED" w:rsidP="006054BB">
            <w:pPr>
              <w:keepNext/>
              <w:tabs>
                <w:tab w:val="decimal" w:pos="482"/>
              </w:tabs>
              <w:spacing w:line="200" w:lineRule="exact"/>
              <w:rPr>
                <w:rStyle w:val="PlaceholderText"/>
                <w:rFonts w:ascii="Arial" w:hAnsi="Arial" w:cs="Arial"/>
                <w:szCs w:val="18"/>
              </w:rPr>
            </w:pPr>
            <w:r>
              <w:rPr>
                <w:rStyle w:val="PlaceholderText"/>
                <w:rFonts w:ascii="Arial" w:hAnsi="Arial" w:cs="Arial"/>
                <w:szCs w:val="18"/>
              </w:rPr>
              <w:t>NA</w:t>
            </w:r>
          </w:p>
        </w:tc>
        <w:tc>
          <w:tcPr>
            <w:tcW w:w="725" w:type="pct"/>
            <w:tcBorders>
              <w:right w:val="single" w:sz="4" w:space="0" w:color="auto"/>
            </w:tcBorders>
          </w:tcPr>
          <w:p w:rsidR="005329ED" w:rsidRPr="004328B0" w:rsidRDefault="005329ED" w:rsidP="006054BB">
            <w:pPr>
              <w:keepNext/>
              <w:tabs>
                <w:tab w:val="decimal" w:pos="402"/>
              </w:tabs>
              <w:spacing w:line="200" w:lineRule="exact"/>
              <w:rPr>
                <w:rStyle w:val="PlaceholderText"/>
                <w:rFonts w:ascii="Arial" w:hAnsi="Arial" w:cs="Arial"/>
                <w:szCs w:val="18"/>
              </w:rPr>
            </w:pPr>
            <w:r>
              <w:rPr>
                <w:rStyle w:val="PlaceholderText"/>
                <w:rFonts w:ascii="Arial" w:hAnsi="Arial" w:cs="Arial"/>
                <w:szCs w:val="18"/>
              </w:rPr>
              <w:t>NA</w:t>
            </w:r>
          </w:p>
        </w:tc>
        <w:tc>
          <w:tcPr>
            <w:tcW w:w="724" w:type="pct"/>
            <w:tcBorders>
              <w:left w:val="single" w:sz="4" w:space="0" w:color="auto"/>
            </w:tcBorders>
          </w:tcPr>
          <w:p w:rsidR="005329ED" w:rsidRPr="004328B0" w:rsidRDefault="005329ED" w:rsidP="006054BB">
            <w:pPr>
              <w:keepNext/>
              <w:tabs>
                <w:tab w:val="decimal" w:pos="397"/>
              </w:tabs>
              <w:spacing w:line="200" w:lineRule="exact"/>
              <w:rPr>
                <w:rStyle w:val="PlaceholderText"/>
                <w:rFonts w:ascii="Arial" w:hAnsi="Arial" w:cs="Arial"/>
                <w:szCs w:val="18"/>
              </w:rPr>
            </w:pPr>
            <w:r>
              <w:rPr>
                <w:rStyle w:val="PlaceholderText"/>
                <w:rFonts w:ascii="Arial" w:hAnsi="Arial" w:cs="Arial"/>
                <w:szCs w:val="18"/>
              </w:rPr>
              <w:t>-0.9</w:t>
            </w:r>
          </w:p>
        </w:tc>
        <w:tc>
          <w:tcPr>
            <w:tcW w:w="742" w:type="pct"/>
            <w:tcBorders>
              <w:right w:val="single" w:sz="4" w:space="0" w:color="auto"/>
            </w:tcBorders>
          </w:tcPr>
          <w:p w:rsidR="005329ED" w:rsidRPr="004328B0" w:rsidRDefault="005329ED" w:rsidP="006054BB">
            <w:pPr>
              <w:keepNext/>
              <w:tabs>
                <w:tab w:val="decimal" w:pos="175"/>
              </w:tabs>
              <w:spacing w:line="200" w:lineRule="exact"/>
              <w:rPr>
                <w:rStyle w:val="PlaceholderText"/>
                <w:rFonts w:ascii="Arial" w:hAnsi="Arial" w:cs="Arial"/>
                <w:szCs w:val="18"/>
              </w:rPr>
            </w:pPr>
            <w:r>
              <w:rPr>
                <w:rStyle w:val="PlaceholderText"/>
                <w:rFonts w:ascii="Arial" w:hAnsi="Arial" w:cs="Arial"/>
                <w:szCs w:val="18"/>
              </w:rPr>
              <w:t>-0.14</w:t>
            </w:r>
          </w:p>
        </w:tc>
        <w:tc>
          <w:tcPr>
            <w:tcW w:w="725" w:type="pct"/>
            <w:tcBorders>
              <w:left w:val="single" w:sz="4" w:space="0" w:color="auto"/>
            </w:tcBorders>
          </w:tcPr>
          <w:p w:rsidR="005329ED" w:rsidRPr="004328B0" w:rsidRDefault="005329ED" w:rsidP="006054BB">
            <w:pPr>
              <w:keepNext/>
              <w:tabs>
                <w:tab w:val="decimal" w:pos="166"/>
              </w:tabs>
              <w:spacing w:line="200" w:lineRule="exact"/>
              <w:rPr>
                <w:rStyle w:val="PlaceholderText"/>
                <w:rFonts w:ascii="Arial" w:hAnsi="Arial" w:cs="Arial"/>
                <w:szCs w:val="18"/>
              </w:rPr>
            </w:pPr>
            <w:r>
              <w:rPr>
                <w:rStyle w:val="PlaceholderText"/>
                <w:rFonts w:ascii="Arial" w:hAnsi="Arial" w:cs="Arial"/>
                <w:szCs w:val="18"/>
              </w:rPr>
              <w:t>NA</w:t>
            </w:r>
          </w:p>
        </w:tc>
        <w:tc>
          <w:tcPr>
            <w:tcW w:w="797" w:type="pct"/>
          </w:tcPr>
          <w:p w:rsidR="005329ED" w:rsidRPr="004328B0" w:rsidRDefault="005329ED" w:rsidP="006054BB">
            <w:pPr>
              <w:keepNext/>
              <w:tabs>
                <w:tab w:val="decimal" w:pos="147"/>
              </w:tabs>
              <w:spacing w:line="200" w:lineRule="exact"/>
              <w:rPr>
                <w:rStyle w:val="PlaceholderText"/>
                <w:rFonts w:ascii="Arial" w:hAnsi="Arial" w:cs="Arial"/>
                <w:szCs w:val="18"/>
              </w:rPr>
            </w:pPr>
            <w:r>
              <w:rPr>
                <w:rStyle w:val="PlaceholderText"/>
                <w:rFonts w:ascii="Arial" w:hAnsi="Arial" w:cs="Arial"/>
                <w:szCs w:val="18"/>
              </w:rPr>
              <w:t>NA</w:t>
            </w:r>
          </w:p>
        </w:tc>
      </w:tr>
      <w:tr w:rsidR="005329ED" w:rsidRPr="00980041" w:rsidTr="00215A21">
        <w:trPr>
          <w:cnfStyle w:val="000000100000" w:firstRow="0" w:lastRow="0" w:firstColumn="0" w:lastColumn="0" w:oddVBand="0" w:evenVBand="0" w:oddHBand="1" w:evenHBand="0" w:firstRowFirstColumn="0" w:firstRowLastColumn="0" w:lastRowFirstColumn="0" w:lastRowLastColumn="0"/>
          <w:cantSplit/>
          <w:trHeight w:val="567"/>
        </w:trPr>
        <w:tc>
          <w:tcPr>
            <w:tcW w:w="537" w:type="pct"/>
          </w:tcPr>
          <w:p w:rsidR="005329ED" w:rsidRDefault="005329ED" w:rsidP="006054BB">
            <w:pPr>
              <w:keepNext/>
              <w:spacing w:line="200" w:lineRule="exact"/>
              <w:rPr>
                <w:rStyle w:val="PlaceholderText"/>
                <w:rFonts w:ascii="Arial" w:hAnsi="Arial" w:cs="Arial"/>
                <w:szCs w:val="18"/>
              </w:rPr>
            </w:pPr>
            <w:r>
              <w:rPr>
                <w:rStyle w:val="PlaceholderText"/>
                <w:rFonts w:ascii="Arial" w:hAnsi="Arial" w:cs="Arial"/>
                <w:szCs w:val="18"/>
              </w:rPr>
              <w:t>Dynamics and residual**</w:t>
            </w:r>
          </w:p>
        </w:tc>
        <w:tc>
          <w:tcPr>
            <w:tcW w:w="751" w:type="pct"/>
          </w:tcPr>
          <w:p w:rsidR="005329ED" w:rsidRPr="004328B0" w:rsidRDefault="005329ED" w:rsidP="006054BB">
            <w:pPr>
              <w:keepNext/>
              <w:tabs>
                <w:tab w:val="decimal" w:pos="482"/>
              </w:tabs>
              <w:spacing w:line="200" w:lineRule="exact"/>
              <w:rPr>
                <w:rStyle w:val="PlaceholderText"/>
                <w:rFonts w:ascii="Arial" w:hAnsi="Arial" w:cs="Arial"/>
                <w:szCs w:val="18"/>
              </w:rPr>
            </w:pPr>
            <w:r>
              <w:rPr>
                <w:rStyle w:val="PlaceholderText"/>
                <w:rFonts w:ascii="Arial" w:hAnsi="Arial" w:cs="Arial"/>
                <w:szCs w:val="18"/>
              </w:rPr>
              <w:t>-0.27</w:t>
            </w:r>
          </w:p>
        </w:tc>
        <w:tc>
          <w:tcPr>
            <w:tcW w:w="725" w:type="pct"/>
            <w:tcBorders>
              <w:right w:val="single" w:sz="4" w:space="0" w:color="auto"/>
            </w:tcBorders>
          </w:tcPr>
          <w:p w:rsidR="005329ED" w:rsidRPr="004328B0" w:rsidRDefault="005329ED" w:rsidP="006054BB">
            <w:pPr>
              <w:keepNext/>
              <w:tabs>
                <w:tab w:val="decimal" w:pos="402"/>
              </w:tabs>
              <w:spacing w:line="200" w:lineRule="exact"/>
              <w:rPr>
                <w:rStyle w:val="PlaceholderText"/>
                <w:rFonts w:ascii="Arial" w:hAnsi="Arial" w:cs="Arial"/>
                <w:szCs w:val="18"/>
              </w:rPr>
            </w:pPr>
            <w:r>
              <w:rPr>
                <w:rStyle w:val="PlaceholderText"/>
                <w:rFonts w:ascii="Arial" w:hAnsi="Arial" w:cs="Arial"/>
                <w:szCs w:val="18"/>
              </w:rPr>
              <w:t>4.73</w:t>
            </w:r>
          </w:p>
        </w:tc>
        <w:tc>
          <w:tcPr>
            <w:tcW w:w="724" w:type="pct"/>
            <w:tcBorders>
              <w:left w:val="single" w:sz="4" w:space="0" w:color="auto"/>
            </w:tcBorders>
          </w:tcPr>
          <w:p w:rsidR="005329ED" w:rsidRPr="004328B0" w:rsidRDefault="005329ED" w:rsidP="006054BB">
            <w:pPr>
              <w:keepNext/>
              <w:tabs>
                <w:tab w:val="decimal" w:pos="397"/>
              </w:tabs>
              <w:spacing w:line="200" w:lineRule="exact"/>
              <w:rPr>
                <w:rStyle w:val="PlaceholderText"/>
                <w:rFonts w:ascii="Arial" w:hAnsi="Arial" w:cs="Arial"/>
                <w:szCs w:val="18"/>
              </w:rPr>
            </w:pPr>
            <w:r>
              <w:rPr>
                <w:rStyle w:val="PlaceholderText"/>
                <w:rFonts w:ascii="Arial" w:hAnsi="Arial" w:cs="Arial"/>
                <w:szCs w:val="18"/>
              </w:rPr>
              <w:t>-10.57</w:t>
            </w:r>
          </w:p>
        </w:tc>
        <w:tc>
          <w:tcPr>
            <w:tcW w:w="742" w:type="pct"/>
            <w:tcBorders>
              <w:right w:val="single" w:sz="4" w:space="0" w:color="auto"/>
            </w:tcBorders>
          </w:tcPr>
          <w:p w:rsidR="005329ED" w:rsidRPr="004328B0" w:rsidRDefault="005329ED" w:rsidP="006054BB">
            <w:pPr>
              <w:keepNext/>
              <w:tabs>
                <w:tab w:val="decimal" w:pos="175"/>
              </w:tabs>
              <w:spacing w:line="200" w:lineRule="exact"/>
              <w:rPr>
                <w:rStyle w:val="PlaceholderText"/>
                <w:rFonts w:ascii="Arial" w:hAnsi="Arial" w:cs="Arial"/>
                <w:szCs w:val="18"/>
              </w:rPr>
            </w:pPr>
            <w:r>
              <w:rPr>
                <w:rStyle w:val="PlaceholderText"/>
                <w:rFonts w:ascii="Arial" w:hAnsi="Arial" w:cs="Arial"/>
                <w:szCs w:val="18"/>
              </w:rPr>
              <w:t>0.97</w:t>
            </w:r>
          </w:p>
        </w:tc>
        <w:tc>
          <w:tcPr>
            <w:tcW w:w="725" w:type="pct"/>
            <w:tcBorders>
              <w:left w:val="single" w:sz="4" w:space="0" w:color="auto"/>
            </w:tcBorders>
          </w:tcPr>
          <w:p w:rsidR="005329ED" w:rsidRPr="004328B0" w:rsidRDefault="005329ED" w:rsidP="006054BB">
            <w:pPr>
              <w:keepNext/>
              <w:tabs>
                <w:tab w:val="decimal" w:pos="166"/>
              </w:tabs>
              <w:spacing w:line="200" w:lineRule="exact"/>
              <w:rPr>
                <w:rStyle w:val="PlaceholderText"/>
                <w:rFonts w:ascii="Arial" w:hAnsi="Arial" w:cs="Arial"/>
                <w:szCs w:val="18"/>
              </w:rPr>
            </w:pPr>
            <w:r>
              <w:rPr>
                <w:rStyle w:val="PlaceholderText"/>
                <w:rFonts w:ascii="Arial" w:hAnsi="Arial" w:cs="Arial"/>
                <w:szCs w:val="18"/>
              </w:rPr>
              <w:t>2.34</w:t>
            </w:r>
          </w:p>
        </w:tc>
        <w:tc>
          <w:tcPr>
            <w:tcW w:w="797" w:type="pct"/>
          </w:tcPr>
          <w:p w:rsidR="005329ED" w:rsidRPr="004328B0" w:rsidRDefault="005329ED" w:rsidP="006054BB">
            <w:pPr>
              <w:keepNext/>
              <w:tabs>
                <w:tab w:val="decimal" w:pos="147"/>
              </w:tabs>
              <w:spacing w:line="200" w:lineRule="exact"/>
              <w:rPr>
                <w:rStyle w:val="PlaceholderText"/>
                <w:rFonts w:ascii="Arial" w:hAnsi="Arial" w:cs="Arial"/>
                <w:szCs w:val="18"/>
              </w:rPr>
            </w:pPr>
            <w:r>
              <w:rPr>
                <w:rStyle w:val="PlaceholderText"/>
                <w:rFonts w:ascii="Arial" w:hAnsi="Arial" w:cs="Arial"/>
                <w:szCs w:val="18"/>
              </w:rPr>
              <w:t>-1.04</w:t>
            </w:r>
          </w:p>
        </w:tc>
      </w:tr>
      <w:tr w:rsidR="005329ED" w:rsidRPr="00980041" w:rsidTr="00215A21">
        <w:trPr>
          <w:cantSplit/>
          <w:trHeight w:val="567"/>
        </w:trPr>
        <w:tc>
          <w:tcPr>
            <w:tcW w:w="537" w:type="pct"/>
          </w:tcPr>
          <w:p w:rsidR="005329ED" w:rsidRPr="003B545E" w:rsidRDefault="005329ED" w:rsidP="006054BB">
            <w:pPr>
              <w:keepNext/>
              <w:spacing w:line="200" w:lineRule="exact"/>
              <w:rPr>
                <w:rStyle w:val="PlaceholderText"/>
                <w:rFonts w:ascii="Arial" w:hAnsi="Arial" w:cs="Arial"/>
                <w:b/>
                <w:szCs w:val="18"/>
              </w:rPr>
            </w:pPr>
            <w:r w:rsidRPr="003B545E">
              <w:rPr>
                <w:rStyle w:val="PlaceholderText"/>
                <w:rFonts w:ascii="Arial" w:hAnsi="Arial" w:cs="Arial"/>
                <w:b/>
                <w:szCs w:val="18"/>
              </w:rPr>
              <w:t>Total</w:t>
            </w:r>
          </w:p>
        </w:tc>
        <w:tc>
          <w:tcPr>
            <w:tcW w:w="751" w:type="pct"/>
          </w:tcPr>
          <w:p w:rsidR="005329ED" w:rsidRPr="003B545E" w:rsidRDefault="005329ED" w:rsidP="006054BB">
            <w:pPr>
              <w:keepNext/>
              <w:tabs>
                <w:tab w:val="decimal" w:pos="482"/>
              </w:tabs>
              <w:spacing w:line="200" w:lineRule="exact"/>
              <w:rPr>
                <w:rStyle w:val="PlaceholderText"/>
                <w:rFonts w:ascii="Arial" w:hAnsi="Arial" w:cs="Arial"/>
                <w:b/>
                <w:szCs w:val="18"/>
              </w:rPr>
            </w:pPr>
            <w:r>
              <w:rPr>
                <w:rStyle w:val="PlaceholderText"/>
                <w:rFonts w:ascii="Arial" w:hAnsi="Arial" w:cs="Arial"/>
                <w:b/>
                <w:szCs w:val="18"/>
              </w:rPr>
              <w:t>8.28</w:t>
            </w:r>
          </w:p>
        </w:tc>
        <w:tc>
          <w:tcPr>
            <w:tcW w:w="725" w:type="pct"/>
            <w:tcBorders>
              <w:right w:val="single" w:sz="4" w:space="0" w:color="auto"/>
            </w:tcBorders>
          </w:tcPr>
          <w:p w:rsidR="005329ED" w:rsidRPr="003B545E" w:rsidRDefault="005329ED" w:rsidP="006054BB">
            <w:pPr>
              <w:keepNext/>
              <w:tabs>
                <w:tab w:val="decimal" w:pos="402"/>
              </w:tabs>
              <w:spacing w:line="200" w:lineRule="exact"/>
              <w:rPr>
                <w:rStyle w:val="PlaceholderText"/>
                <w:rFonts w:ascii="Arial" w:hAnsi="Arial" w:cs="Arial"/>
                <w:b/>
                <w:szCs w:val="18"/>
              </w:rPr>
            </w:pPr>
            <w:r>
              <w:rPr>
                <w:rStyle w:val="PlaceholderText"/>
                <w:rFonts w:ascii="Arial" w:hAnsi="Arial" w:cs="Arial"/>
                <w:b/>
                <w:szCs w:val="18"/>
              </w:rPr>
              <w:t>6.14</w:t>
            </w:r>
          </w:p>
        </w:tc>
        <w:tc>
          <w:tcPr>
            <w:tcW w:w="724" w:type="pct"/>
            <w:tcBorders>
              <w:left w:val="single" w:sz="4" w:space="0" w:color="auto"/>
            </w:tcBorders>
          </w:tcPr>
          <w:p w:rsidR="005329ED" w:rsidRPr="003B545E" w:rsidRDefault="005329ED" w:rsidP="006054BB">
            <w:pPr>
              <w:keepNext/>
              <w:tabs>
                <w:tab w:val="decimal" w:pos="397"/>
              </w:tabs>
              <w:spacing w:line="200" w:lineRule="exact"/>
              <w:rPr>
                <w:rStyle w:val="PlaceholderText"/>
                <w:rFonts w:ascii="Arial" w:hAnsi="Arial" w:cs="Arial"/>
                <w:b/>
                <w:szCs w:val="18"/>
              </w:rPr>
            </w:pPr>
            <w:r>
              <w:rPr>
                <w:rStyle w:val="PlaceholderText"/>
                <w:rFonts w:ascii="Arial" w:hAnsi="Arial" w:cs="Arial"/>
                <w:b/>
                <w:szCs w:val="18"/>
              </w:rPr>
              <w:t>10.77</w:t>
            </w:r>
          </w:p>
        </w:tc>
        <w:tc>
          <w:tcPr>
            <w:tcW w:w="742" w:type="pct"/>
            <w:tcBorders>
              <w:right w:val="single" w:sz="4" w:space="0" w:color="auto"/>
            </w:tcBorders>
          </w:tcPr>
          <w:p w:rsidR="005329ED" w:rsidRPr="003B545E" w:rsidRDefault="005329ED" w:rsidP="006054BB">
            <w:pPr>
              <w:keepNext/>
              <w:tabs>
                <w:tab w:val="decimal" w:pos="175"/>
              </w:tabs>
              <w:spacing w:line="200" w:lineRule="exact"/>
              <w:rPr>
                <w:rStyle w:val="PlaceholderText"/>
                <w:rFonts w:ascii="Arial" w:hAnsi="Arial" w:cs="Arial"/>
                <w:b/>
                <w:szCs w:val="18"/>
              </w:rPr>
            </w:pPr>
            <w:r>
              <w:rPr>
                <w:rStyle w:val="PlaceholderText"/>
                <w:rFonts w:ascii="Arial" w:hAnsi="Arial" w:cs="Arial"/>
                <w:b/>
                <w:szCs w:val="18"/>
              </w:rPr>
              <w:t>4.17</w:t>
            </w:r>
          </w:p>
        </w:tc>
        <w:tc>
          <w:tcPr>
            <w:tcW w:w="725" w:type="pct"/>
            <w:tcBorders>
              <w:left w:val="single" w:sz="4" w:space="0" w:color="auto"/>
            </w:tcBorders>
          </w:tcPr>
          <w:p w:rsidR="005329ED" w:rsidRPr="003B545E" w:rsidRDefault="005329ED" w:rsidP="006054BB">
            <w:pPr>
              <w:keepNext/>
              <w:tabs>
                <w:tab w:val="decimal" w:pos="166"/>
              </w:tabs>
              <w:spacing w:line="200" w:lineRule="exact"/>
              <w:rPr>
                <w:rStyle w:val="PlaceholderText"/>
                <w:rFonts w:ascii="Arial" w:hAnsi="Arial" w:cs="Arial"/>
                <w:b/>
                <w:szCs w:val="18"/>
              </w:rPr>
            </w:pPr>
            <w:r>
              <w:rPr>
                <w:rStyle w:val="PlaceholderText"/>
                <w:rFonts w:ascii="Arial" w:hAnsi="Arial" w:cs="Arial"/>
                <w:b/>
                <w:szCs w:val="18"/>
              </w:rPr>
              <w:t>6.72</w:t>
            </w:r>
          </w:p>
        </w:tc>
        <w:tc>
          <w:tcPr>
            <w:tcW w:w="797" w:type="pct"/>
          </w:tcPr>
          <w:p w:rsidR="005329ED" w:rsidRPr="003B545E" w:rsidRDefault="005329ED" w:rsidP="006054BB">
            <w:pPr>
              <w:keepNext/>
              <w:tabs>
                <w:tab w:val="decimal" w:pos="147"/>
              </w:tabs>
              <w:spacing w:line="200" w:lineRule="exact"/>
              <w:rPr>
                <w:rStyle w:val="PlaceholderText"/>
                <w:rFonts w:ascii="Arial" w:hAnsi="Arial" w:cs="Arial"/>
                <w:b/>
                <w:szCs w:val="18"/>
              </w:rPr>
            </w:pPr>
            <w:r>
              <w:rPr>
                <w:rStyle w:val="PlaceholderText"/>
                <w:rFonts w:ascii="Arial" w:hAnsi="Arial" w:cs="Arial"/>
                <w:b/>
                <w:szCs w:val="18"/>
              </w:rPr>
              <w:t>-14.48</w:t>
            </w:r>
          </w:p>
        </w:tc>
      </w:tr>
    </w:tbl>
    <w:p w:rsidR="005329ED" w:rsidRDefault="005329ED" w:rsidP="005329ED">
      <w:pPr>
        <w:pStyle w:val="Note"/>
      </w:pPr>
      <w:r>
        <w:t>Notes:</w:t>
      </w:r>
      <w:r>
        <w:tab/>
        <w:t>The respective ADL models are simulated under different scenario and relative contribution is obtained as the difference between relevant scenarios. *</w:t>
      </w:r>
      <w:r w:rsidR="006C667D">
        <w:t>2011</w:t>
      </w:r>
      <w:r>
        <w:t xml:space="preserve"> is chosen as the latest point to exclude the likely outlier in </w:t>
      </w:r>
      <w:r w:rsidR="006C667D">
        <w:t>2012</w:t>
      </w:r>
      <w:r>
        <w:t>. ** Dynamics and residual include parts of the model beyond the driver, such as the constant, trend and autoregressive component and the difference between the forecast and observed electricity consumption.</w:t>
      </w:r>
    </w:p>
    <w:p w:rsidR="005329ED" w:rsidRDefault="005329ED" w:rsidP="005329ED">
      <w:pPr>
        <w:pStyle w:val="Source"/>
      </w:pPr>
      <w:r w:rsidRPr="00EF51BF">
        <w:t>Source:</w:t>
      </w:r>
      <w:r>
        <w:tab/>
        <w:t xml:space="preserve">Vivid Economics based on </w:t>
      </w:r>
      <w:r w:rsidR="005A66AE">
        <w:fldChar w:fldCharType="begin" w:fldLock="1"/>
      </w:r>
      <w:r w:rsidR="00971CE6">
        <w:instrText>ADDIN CSL_CITATION { "citationItems" : [ { "id" : "ITEM-1", "itemData" : { "ISBN" : "9781922106797", "author" : [ { "dropping-particle" : "", "family" : "Australian Government Bureau of Resources and Energy Economics", "given" : "", "non-dropping-particle" : "", "parse-names" : false, "suffix" : "" } ], "id" : "ITEM-1", "issue" : "May", "issued" : { "date-parts" : [ [ "2013" ] ] }, "title" : "Energy in Australia", "type" : "article" }, "uris" : [ "http://www.mendeley.com/documents/?uuid=fb71bd1e-5d83-453c-9154-759865ab22bf", "http://www.mendeley.com/documents/?uuid=cc0b1b58-68ca-499b-8e44-5a54b09b728a" ] } ], "mendeley" : { "previouslyFormattedCitation" : "(Australian Government Bureau of Resources and Energy Economics, 2013)" }, "properties" : { "noteIndex" : 0 }, "schema" : "https://github.com/citation-style-language/schema/raw/master/csl-citation.json" }</w:instrText>
      </w:r>
      <w:r w:rsidR="005A66AE">
        <w:fldChar w:fldCharType="separate"/>
      </w:r>
      <w:r w:rsidRPr="0051050D">
        <w:rPr>
          <w:i w:val="0"/>
          <w:noProof/>
        </w:rPr>
        <w:t>(Australian Government Bureau of Resources and Energy Economics, 2013)</w:t>
      </w:r>
      <w:r w:rsidR="005A66AE">
        <w:fldChar w:fldCharType="end"/>
      </w:r>
      <w:r>
        <w:t xml:space="preserve"> and </w:t>
      </w:r>
      <w:r w:rsidR="005A66AE">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"http://www.mendeley.com/documents/?uuid=8a284225-a420-45fc-9ace-884671ea7b14" ] } ], "mendeley" : { "manualFormatting" : "Australian Bureau of Statistics (2013)", "previouslyFormattedCitation" : "(Australian Bureau of Statistics, 2013)" }, "properties" : { "noteIndex" : 0 }, "schema" : "https://github.com/citation-style-language/schema/raw/master/csl-citation.json" }</w:instrText>
      </w:r>
      <w:r w:rsidR="005A66AE">
        <w:fldChar w:fldCharType="separate"/>
      </w:r>
      <w:r w:rsidRPr="00FE4E2D">
        <w:rPr>
          <w:noProof/>
        </w:rPr>
        <w:t>Australian Bureau of Statistics (2013)</w:t>
      </w:r>
      <w:r w:rsidR="005A66AE">
        <w:fldChar w:fldCharType="end"/>
      </w:r>
    </w:p>
    <w:p w:rsidR="00CE37A5" w:rsidRDefault="00CE37A5" w:rsidP="00CE37A5">
      <w:pPr>
        <w:pStyle w:val="Heading2"/>
      </w:pPr>
      <w:bookmarkStart w:id="138" w:name="_Toc369890611"/>
      <w:r>
        <w:lastRenderedPageBreak/>
        <w:t>Summary of results</w:t>
      </w:r>
      <w:bookmarkEnd w:id="138"/>
    </w:p>
    <w:p w:rsidR="00CE37A5" w:rsidRPr="00CE37A5" w:rsidRDefault="00CE37A5" w:rsidP="00CE37A5"/>
    <w:p w:rsidR="005329ED" w:rsidRDefault="005329ED" w:rsidP="005329ED">
      <w:r>
        <w:t xml:space="preserve">The main results are summarised in </w:t>
      </w:r>
      <w:r w:rsidR="005A66AE">
        <w:fldChar w:fldCharType="begin"/>
      </w:r>
      <w:r>
        <w:instrText xml:space="preserve"> REF _Ref366240165 \r \h </w:instrText>
      </w:r>
      <w:r w:rsidR="005A66AE">
        <w:fldChar w:fldCharType="separate"/>
      </w:r>
      <w:r w:rsidR="00197E14">
        <w:t>Box 1</w:t>
      </w:r>
      <w:r w:rsidR="005A66AE">
        <w:fldChar w:fldCharType="end"/>
      </w:r>
      <w:r>
        <w:t>.</w:t>
      </w:r>
    </w:p>
    <w:p w:rsidR="009C3406" w:rsidRDefault="009C3406" w:rsidP="005329E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DE5D" w:themeFill="text2"/>
        <w:tblLook w:val="04A0" w:firstRow="1" w:lastRow="0" w:firstColumn="1" w:lastColumn="0" w:noHBand="0" w:noVBand="1"/>
      </w:tblPr>
      <w:tblGrid>
        <w:gridCol w:w="9356"/>
      </w:tblGrid>
      <w:tr w:rsidR="005329ED" w:rsidRPr="003721F3" w:rsidTr="006054BB">
        <w:trPr>
          <w:trHeight w:val="567"/>
        </w:trPr>
        <w:tc>
          <w:tcPr>
            <w:tcW w:w="9356" w:type="dxa"/>
            <w:shd w:val="clear" w:color="auto" w:fill="FEDE5D" w:themeFill="text2"/>
          </w:tcPr>
          <w:p w:rsidR="005329ED" w:rsidRPr="003721F3" w:rsidRDefault="005329ED" w:rsidP="006054BB">
            <w:pPr>
              <w:pStyle w:val="Boxtitle"/>
              <w:ind w:left="680" w:hanging="680"/>
            </w:pPr>
            <w:bookmarkStart w:id="139" w:name="_Ref366240165"/>
            <w:bookmarkStart w:id="140" w:name="_Toc369890599"/>
            <w:r>
              <w:t xml:space="preserve">Electricity consumption </w:t>
            </w:r>
            <w:r w:rsidR="00362B35">
              <w:t xml:space="preserve">in the NEM </w:t>
            </w:r>
            <w:r>
              <w:t>fell due to lower economic growth and higher electricity prices</w:t>
            </w:r>
            <w:bookmarkEnd w:id="139"/>
            <w:bookmarkEnd w:id="140"/>
          </w:p>
          <w:p w:rsidR="005329ED" w:rsidRDefault="005329ED" w:rsidP="006054BB">
            <w:r w:rsidRPr="00B37248">
              <w:t xml:space="preserve">Electricity consumption </w:t>
            </w:r>
            <w:r>
              <w:t xml:space="preserve">in the </w:t>
            </w:r>
            <w:r w:rsidR="00543506">
              <w:t>NEM</w:t>
            </w:r>
            <w:r>
              <w:t xml:space="preserve"> </w:t>
            </w:r>
            <w:r w:rsidRPr="00B37248">
              <w:t>has fallen by 1.7 per cent (3,6</w:t>
            </w:r>
            <w:r>
              <w:t>00</w:t>
            </w:r>
            <w:r w:rsidRPr="00B37248">
              <w:t xml:space="preserve"> GWh) </w:t>
            </w:r>
            <w:r>
              <w:t xml:space="preserve">between </w:t>
            </w:r>
            <w:r w:rsidR="006C667D">
              <w:t>2008</w:t>
            </w:r>
            <w:r>
              <w:t xml:space="preserve"> and </w:t>
            </w:r>
            <w:r w:rsidR="006C667D">
              <w:t>2012</w:t>
            </w:r>
            <w:r>
              <w:t>, which is due to low economic growth, restructuring towards less electro-intensive sectors and improving electricity intensity.</w:t>
            </w:r>
          </w:p>
          <w:p w:rsidR="005329ED" w:rsidRDefault="005329ED" w:rsidP="006054BB"/>
          <w:p w:rsidR="005329ED" w:rsidRDefault="005329ED" w:rsidP="006054BB">
            <w:r>
              <w:t>Economic growth would have increased electricity consumption by 8.2 per cent (17,800 GWh)</w:t>
            </w:r>
            <w:r w:rsidRPr="00841F2B">
              <w:t xml:space="preserve"> </w:t>
            </w:r>
            <w:r>
              <w:t>without restructuring of the economy or electricity intensity improvements within subsectors, however  each offset 60 per</w:t>
            </w:r>
            <w:r w:rsidR="00192F2A">
              <w:t xml:space="preserve"> cent of the growth (10,900 GWh</w:t>
            </w:r>
            <w:r>
              <w:t xml:space="preserve"> and 10,</w:t>
            </w:r>
            <w:r w:rsidR="008F2454">
              <w:t>60</w:t>
            </w:r>
            <w:r>
              <w:t>0 GWh) respectively.</w:t>
            </w:r>
          </w:p>
          <w:p w:rsidR="005329ED" w:rsidRDefault="005329ED" w:rsidP="006054BB"/>
          <w:p w:rsidR="005329ED" w:rsidRDefault="005329ED" w:rsidP="006054BB">
            <w:r>
              <w:t>Manufacturing, commercial and services and residential were analysed and represent 78 per cent of total electricity consumption in the NEM. For these sectors, consumption fell by 1.4 per cent, or 2,400 GWh out of the total decline of 3,6</w:t>
            </w:r>
            <w:r w:rsidR="00363715">
              <w:t>00 GWh in the NEM. Out of the 2</w:t>
            </w:r>
            <w:r>
              <w:t>4</w:t>
            </w:r>
            <w:r w:rsidR="00363715">
              <w:t>,</w:t>
            </w:r>
            <w:r>
              <w:t xml:space="preserve">000 GWh reduction in these sectors, prices have reduced consumption by 6,200 GWh (3.7 per cent), and weather reduced consumption by 1,000 GWh (0.6 per cent) while changes in economic </w:t>
            </w:r>
            <w:r w:rsidR="009466EE">
              <w:t xml:space="preserve">activity </w:t>
            </w:r>
            <w:r w:rsidR="00A93F1C">
              <w:t xml:space="preserve">reduced consumption by </w:t>
            </w:r>
            <w:r>
              <w:t>a mere 550 GWh (0.33 per cent). The remaining increase of 4,</w:t>
            </w:r>
            <w:r w:rsidR="00363715">
              <w:t>30</w:t>
            </w:r>
            <w:r>
              <w:t>0 GWh (1.4 per cent) stems from other unquantified factors.</w:t>
            </w:r>
          </w:p>
          <w:p w:rsidR="005329ED" w:rsidRPr="003721F3" w:rsidRDefault="005329ED" w:rsidP="006054BB"/>
        </w:tc>
      </w:tr>
    </w:tbl>
    <w:p w:rsidR="005329ED" w:rsidRDefault="005329ED" w:rsidP="009F3A85">
      <w:pPr>
        <w:pStyle w:val="Heading2"/>
      </w:pPr>
      <w:bookmarkStart w:id="141" w:name="_Toc369890612"/>
      <w:r w:rsidRPr="009F3A85">
        <w:lastRenderedPageBreak/>
        <w:t>Choice</w:t>
      </w:r>
      <w:r>
        <w:t xml:space="preserve"> of dataset</w:t>
      </w:r>
      <w:bookmarkEnd w:id="141"/>
    </w:p>
    <w:p w:rsidR="005329ED" w:rsidRDefault="005329ED" w:rsidP="005329ED">
      <w:r w:rsidRPr="00E52BF1">
        <w:t>For this study, data from the Australian Bureau of Resources and Energy Economics (BREE) are used. The BREE dataset was chosen because it offers a sectoral decomposition which is amenable to the decomposition techniques applied</w:t>
      </w:r>
      <w:r>
        <w:t xml:space="preserve"> in this section.</w:t>
      </w:r>
      <w:r w:rsidRPr="00B81B0B">
        <w:t xml:space="preserve"> </w:t>
      </w:r>
      <w:r>
        <w:t>P</w:t>
      </w:r>
      <w:r w:rsidRPr="00935CE6">
        <w:t>revious</w:t>
      </w:r>
      <w:r>
        <w:t xml:space="preserve"> studies, in contrast, such as the Australian Energy Market Operator (AEMO) National Electricity Forecast Report </w:t>
      </w:r>
      <w:r w:rsidR="005A66AE">
        <w:fldChar w:fldCharType="begin" w:fldLock="1"/>
      </w:r>
      <w:r w:rsidR="00971CE6">
        <w:instrText>ADDIN CSL_CITATION { "citationItems" : [ { "id" : "ITEM-1", "itemData" : { "author" : [ { "dropping-particle" : "", "family" : "AEMO", "given" : "", "non-dropping-particle" : "", "parse-names" : false, "suffix" : "" } ], "container-title" : "AEMO Australian Energy Market Operator", "id" : "ITEM-1", "issued" : { "date-parts" : [ [ "2013" ] ] }, "title" : "National Electricity Forecasting Report", "type" : "article-journal" }, "uris" : [ "http://www.mendeley.com/documents/?uuid=72c2c907-532d-46e1-ba79-ff6626a5755e", "http://www.mendeley.com/documents/?uuid=e213eba3-b512-4289-9943-23f2fb6c4e4c" ] } ], "mendeley" : { "previouslyFormattedCitation" : "(AEMO, 2013b)" }, "properties" : { "noteIndex" : 0 }, "schema" : "https://github.com/citation-style-language/schema/raw/master/csl-citation.json" }</w:instrText>
      </w:r>
      <w:r w:rsidR="005A66AE">
        <w:fldChar w:fldCharType="separate"/>
      </w:r>
      <w:r w:rsidR="00C8003C" w:rsidRPr="00C8003C">
        <w:rPr>
          <w:noProof/>
        </w:rPr>
        <w:t>(AEMO, 2013b)</w:t>
      </w:r>
      <w:r w:rsidR="005A66AE">
        <w:fldChar w:fldCharType="end"/>
      </w:r>
      <w:r>
        <w:t xml:space="preserve"> , have used AEMO data. </w:t>
      </w:r>
      <w:r w:rsidR="005A66AE">
        <w:fldChar w:fldCharType="begin"/>
      </w:r>
      <w:r>
        <w:instrText xml:space="preserve"> REF _Ref365794962 \r \h </w:instrText>
      </w:r>
      <w:r w:rsidR="005A66AE">
        <w:fldChar w:fldCharType="separate"/>
      </w:r>
      <w:r w:rsidR="00197E14">
        <w:t>Box 2</w:t>
      </w:r>
      <w:r w:rsidR="005A66AE">
        <w:fldChar w:fldCharType="end"/>
      </w:r>
      <w:r>
        <w:t xml:space="preserve"> summarises the differences between datasets.</w:t>
      </w:r>
    </w:p>
    <w:p w:rsidR="005329ED" w:rsidRDefault="005329ED" w:rsidP="005329E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CCFF"/>
        <w:tblLook w:val="04A0" w:firstRow="1" w:lastRow="0" w:firstColumn="1" w:lastColumn="0" w:noHBand="0" w:noVBand="1"/>
      </w:tblPr>
      <w:tblGrid>
        <w:gridCol w:w="9356"/>
      </w:tblGrid>
      <w:tr w:rsidR="005329ED" w:rsidRPr="003721F3" w:rsidTr="006054BB">
        <w:trPr>
          <w:trHeight w:val="567"/>
        </w:trPr>
        <w:tc>
          <w:tcPr>
            <w:tcW w:w="9356" w:type="dxa"/>
            <w:shd w:val="clear" w:color="auto" w:fill="90E1F9"/>
          </w:tcPr>
          <w:p w:rsidR="005329ED" w:rsidRPr="003721F3" w:rsidRDefault="005329ED" w:rsidP="006054BB">
            <w:pPr>
              <w:pStyle w:val="Boxtitle"/>
              <w:ind w:left="680" w:hanging="680"/>
            </w:pPr>
            <w:bookmarkStart w:id="142" w:name="_Ref365794962"/>
            <w:bookmarkStart w:id="143" w:name="_Toc369890600"/>
            <w:r>
              <w:t>Comparison of data for the NEM region from the Bureau of Resources and Energy Economics and from the Australian Electricity Market Operator</w:t>
            </w:r>
            <w:bookmarkEnd w:id="142"/>
            <w:bookmarkEnd w:id="143"/>
          </w:p>
          <w:p w:rsidR="005329ED" w:rsidRPr="00E52BF1" w:rsidRDefault="005329ED" w:rsidP="006054BB">
            <w:r w:rsidRPr="00E52BF1">
              <w:t>The data for the NEM region from BREE and AEMO show similar trends but differ in two points. Firstly, BREE data uses the Australian and New Zealand Sector Industrial Classification (ANZSIC) whereas the NEM AEMO data uses an alternative grouping. Second, BREE data excludes all own electricity consumption in the electricity supply sectors, which consists of auxiliary consumption, grid losses and other usage, whereas the NEM AEMO data excludes all the above except other usage.</w:t>
            </w:r>
          </w:p>
          <w:p w:rsidR="005329ED" w:rsidRPr="00E52BF1" w:rsidRDefault="005329ED" w:rsidP="006054BB"/>
          <w:p w:rsidR="005329ED" w:rsidRPr="00E52BF1" w:rsidRDefault="005329ED" w:rsidP="006054BB">
            <w:r w:rsidRPr="00E52BF1">
              <w:t xml:space="preserve">The BREE data allows for the investigation of electricity consumption within ANZSIC sectors, specifically residential, commercial and services, and manufacturing. The NEM AEMO data groups together residential, commercial and services and those parts of manufacturing </w:t>
            </w:r>
            <w:r w:rsidR="00B24BE1">
              <w:t>consumption</w:t>
            </w:r>
            <w:r w:rsidRPr="00E52BF1">
              <w:t xml:space="preserve"> labelled ‘light industrial’. For the purpose of identifying trends in specific sectors and to decompose changes in electricity consumption by sector, the BREE data is preferable. In addition, BREE electricity consumption data extends back to 1972, which provides a greater number of data points and thus the opportunity to analyse trends more accurately, than the shorter AEMO dataset, which starts in 1990.</w:t>
            </w:r>
          </w:p>
          <w:p w:rsidR="005329ED" w:rsidRPr="00E52BF1" w:rsidRDefault="005329ED" w:rsidP="006054BB"/>
          <w:p w:rsidR="005329ED" w:rsidRPr="00E52BF1" w:rsidRDefault="005329ED" w:rsidP="006054BB">
            <w:r w:rsidRPr="00E52BF1">
              <w:t>Vivid Economics constructed BREE data for the NEM region by subtracting the figures for Western Australia and Northern Territory from the national total.</w:t>
            </w:r>
          </w:p>
          <w:p w:rsidR="005329ED" w:rsidRPr="00E52BF1" w:rsidRDefault="005329ED" w:rsidP="006054BB"/>
          <w:p w:rsidR="005329ED" w:rsidRPr="00E52BF1" w:rsidRDefault="005329ED" w:rsidP="006054BB">
            <w:r w:rsidRPr="00E52BF1">
              <w:t xml:space="preserve">The trends in the two datasets are similar, if the final year’s data point for NEM is adjusted. The commercial and services data was adjusted because it appeared to be an outlier because it exhibits an unlikely rise in electricity in the year </w:t>
            </w:r>
            <w:r w:rsidR="006C667D">
              <w:t>2012</w:t>
            </w:r>
            <w:r w:rsidRPr="00E52BF1">
              <w:t xml:space="preserve"> for which an adjustment has been made. The adjusted data point is measured by taking the sector’s ratio of electricity consumption to GVA in the previous year, and applying it to the level of GVA in </w:t>
            </w:r>
            <w:r w:rsidR="006C667D">
              <w:t>2012</w:t>
            </w:r>
            <w:r w:rsidRPr="00E52BF1">
              <w:t xml:space="preserve">. The BREE figure for commercial and services sector consumption in </w:t>
            </w:r>
            <w:r w:rsidR="006C667D">
              <w:t>2011</w:t>
            </w:r>
            <w:r w:rsidRPr="00E52BF1">
              <w:t xml:space="preserve"> is 58,361 GWh with a corresponding intensity of 0.09 GWh/AUD, whereas the intensity figure in </w:t>
            </w:r>
            <w:r w:rsidR="006C667D">
              <w:t>2011</w:t>
            </w:r>
            <w:r w:rsidRPr="00E52BF1">
              <w:t xml:space="preserve"> is 0.083 GWh/AUD implying an electricity consumption of 53,856 GWh in </w:t>
            </w:r>
            <w:r w:rsidR="006C667D">
              <w:t>2012</w:t>
            </w:r>
            <w:r w:rsidRPr="00E52BF1">
              <w:t>.</w:t>
            </w:r>
          </w:p>
          <w:p w:rsidR="005329ED" w:rsidRPr="00E52BF1" w:rsidRDefault="005329ED" w:rsidP="006054BB"/>
          <w:p w:rsidR="005329ED" w:rsidRPr="00E52BF1" w:rsidRDefault="005329ED" w:rsidP="006054BB">
            <w:r w:rsidRPr="00E52BF1">
              <w:t xml:space="preserve">If one accepts this adjustment, one would expect results obtained from the BREE data to correspond closely to those if the AEMO data had been used, as illustrated in </w:t>
            </w:r>
            <w:r w:rsidR="005A66AE">
              <w:fldChar w:fldCharType="begin"/>
            </w:r>
            <w:r w:rsidR="00C05FEC">
              <w:instrText xml:space="preserve"> REF _Ref367654805 \r \h </w:instrText>
            </w:r>
            <w:r w:rsidR="005A66AE">
              <w:fldChar w:fldCharType="separate"/>
            </w:r>
            <w:r w:rsidR="00197E14">
              <w:t>Figure 25</w:t>
            </w:r>
            <w:r w:rsidR="005A66AE">
              <w:fldChar w:fldCharType="end"/>
            </w:r>
            <w:r w:rsidR="00C05FEC">
              <w:t>.</w:t>
            </w:r>
          </w:p>
          <w:p w:rsidR="005329ED" w:rsidRPr="004F3A4F" w:rsidRDefault="005329ED" w:rsidP="006054BB">
            <w:pPr>
              <w:rPr>
                <w:b/>
              </w:rPr>
            </w:pPr>
          </w:p>
        </w:tc>
      </w:tr>
    </w:tbl>
    <w:p w:rsidR="00A606D5" w:rsidRDefault="00A606D5" w:rsidP="00A606D5">
      <w:bookmarkStart w:id="144" w:name="_Ref365907495"/>
      <w:bookmarkStart w:id="145" w:name="_Toc366004684"/>
      <w:bookmarkStart w:id="146" w:name="_Toc366269846"/>
    </w:p>
    <w:p w:rsidR="005329ED" w:rsidRPr="000D25DC" w:rsidRDefault="005329ED" w:rsidP="005329ED">
      <w:pPr>
        <w:pStyle w:val="Charttitle"/>
      </w:pPr>
      <w:bookmarkStart w:id="147" w:name="_Ref367654805"/>
      <w:bookmarkStart w:id="148" w:name="_Toc369890565"/>
      <w:r>
        <w:lastRenderedPageBreak/>
        <w:t xml:space="preserve">AEMO data and BREE equivalent data for the NEM region trends track quite closely when adjusting for </w:t>
      </w:r>
      <w:r w:rsidR="006C667D">
        <w:t>2012</w:t>
      </w:r>
      <w:r>
        <w:t xml:space="preserve"> commercial and services consumption</w:t>
      </w:r>
      <w:bookmarkEnd w:id="144"/>
      <w:bookmarkEnd w:id="145"/>
      <w:bookmarkEnd w:id="146"/>
      <w:bookmarkEnd w:id="147"/>
      <w:bookmarkEnd w:id="148"/>
    </w:p>
    <w:p w:rsidR="005329ED" w:rsidRPr="00430244" w:rsidRDefault="005329ED" w:rsidP="005329ED">
      <w:pPr>
        <w:pStyle w:val="Chartspacer"/>
        <w:rPr>
          <w:rStyle w:val="PlaceholderText"/>
        </w:rPr>
      </w:pPr>
      <w:r w:rsidRPr="00D8413B">
        <w:rPr>
          <w:noProof/>
          <w:lang w:eastAsia="en-GB"/>
        </w:rPr>
        <w:drawing>
          <wp:inline distT="0" distB="0" distL="0" distR="0" wp14:anchorId="2FF107CB" wp14:editId="4CC4C772">
            <wp:extent cx="6120130" cy="3225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225874"/>
                    </a:xfrm>
                    <a:prstGeom prst="rect">
                      <a:avLst/>
                    </a:prstGeom>
                    <a:noFill/>
                    <a:ln>
                      <a:noFill/>
                    </a:ln>
                  </pic:spPr>
                </pic:pic>
              </a:graphicData>
            </a:graphic>
          </wp:inline>
        </w:drawing>
      </w:r>
    </w:p>
    <w:p w:rsidR="005329ED" w:rsidRDefault="005329ED" w:rsidP="005329ED">
      <w:pPr>
        <w:pStyle w:val="Note"/>
      </w:pPr>
      <w:r>
        <w:t>Notes:</w:t>
      </w:r>
      <w:r>
        <w:tab/>
        <w:t>BREE NEM equivalent data was obtained by subtracting the consumption data for WA and NT for each sector then summing all sectors while subtracting the consumption of division ‘</w:t>
      </w:r>
      <w:r w:rsidRPr="00FE3A65">
        <w:t>26 Electricity supply</w:t>
      </w:r>
      <w:r>
        <w:t xml:space="preserve">’, which mainly represents auxiliary consumption and grid loss. The </w:t>
      </w:r>
      <w:r w:rsidR="006C667D">
        <w:t>2012</w:t>
      </w:r>
      <w:r>
        <w:t xml:space="preserve"> adjustment is made by adjusting the commercial and service consumption figure for </w:t>
      </w:r>
      <w:r w:rsidR="006C667D">
        <w:t>2012</w:t>
      </w:r>
      <w:r>
        <w:t xml:space="preserve"> by assuming that the intensity (consumption/GVA) remains at the </w:t>
      </w:r>
      <w:r w:rsidR="006C667D">
        <w:t>2011</w:t>
      </w:r>
      <w:r>
        <w:t xml:space="preserve"> rate and applying the </w:t>
      </w:r>
      <w:r w:rsidR="006C667D">
        <w:t>2012</w:t>
      </w:r>
      <w:r>
        <w:t xml:space="preserve"> GVA activity level.</w:t>
      </w:r>
    </w:p>
    <w:p w:rsidR="005329ED" w:rsidRDefault="005329ED" w:rsidP="005329ED">
      <w:pPr>
        <w:pStyle w:val="Source"/>
      </w:pPr>
      <w:r w:rsidRPr="005A132E">
        <w:t>Source:</w:t>
      </w:r>
      <w:r>
        <w:tab/>
        <w:t xml:space="preserve">Vivid Economics based on AEMO (2013) and </w:t>
      </w:r>
      <w:r w:rsidR="005A66AE" w:rsidRPr="009B73BA">
        <w:fldChar w:fldCharType="begin" w:fldLock="1"/>
      </w:r>
      <w:r w:rsidR="00971CE6">
        <w:instrText>ADDIN CSL_CITATION { "citationItems" : [ { "id" : "ITEM-1", "itemData" : { "ISBN" : "9781922106797", "author" : [ { "dropping-particle" : "", "family" : "Australian Government Bureau of Resources and Energy Economics", "given" : "", "non-dropping-particle" : "", "parse-names" : false, "suffix" : "" } ], "id" : "ITEM-1", "issue" : "May", "issued" : { "date-parts" : [ [ "2013" ] ] }, "title" : "Energy in Australia", "type" : "article" }, "uris" : [ "http://www.mendeley.com/documents/?uuid=cc0b1b58-68ca-499b-8e44-5a54b09b728a", "http://www.mendeley.com/documents/?uuid=fb71bd1e-5d83-453c-9154-759865ab22bf" ] } ], "mendeley" : { "previouslyFormattedCitation" : "(Australian Government Bureau of Resources and Energy Economics, 2013)" }, "properties" : { "noteIndex" : 0 }, "schema" : "https://github.com/citation-style-language/schema/raw/master/csl-citation.json" }</w:instrText>
      </w:r>
      <w:r w:rsidR="005A66AE" w:rsidRPr="009B73BA">
        <w:fldChar w:fldCharType="separate"/>
      </w:r>
      <w:r w:rsidRPr="009B73BA">
        <w:rPr>
          <w:noProof/>
        </w:rPr>
        <w:t xml:space="preserve">Australian Government Bureau of Resources and Energy Economics </w:t>
      </w:r>
      <w:r w:rsidR="00C05FEC">
        <w:rPr>
          <w:noProof/>
        </w:rPr>
        <w:t>(</w:t>
      </w:r>
      <w:r w:rsidRPr="009B73BA">
        <w:rPr>
          <w:noProof/>
        </w:rPr>
        <w:t>2013)</w:t>
      </w:r>
      <w:r w:rsidR="005A66AE" w:rsidRPr="009B73BA">
        <w:fldChar w:fldCharType="end"/>
      </w:r>
      <w:r w:rsidRPr="009B73BA">
        <w:t>. Development of electricity consump</w:t>
      </w:r>
      <w:r w:rsidRPr="0086580B">
        <w:t>tion</w:t>
      </w:r>
      <w:r>
        <w:t xml:space="preserve"> in Australia and the National </w:t>
      </w:r>
      <w:r w:rsidR="00543506">
        <w:t>Electricity Market</w:t>
      </w:r>
    </w:p>
    <w:p w:rsidR="00B4019B" w:rsidRPr="00AC341A" w:rsidRDefault="000045AA" w:rsidP="00B4019B">
      <w:pPr>
        <w:pStyle w:val="Heading1"/>
      </w:pPr>
      <w:bookmarkStart w:id="149" w:name="_Ref366251323"/>
      <w:bookmarkStart w:id="150" w:name="Section3"/>
      <w:bookmarkStart w:id="151" w:name="_Toc369890503"/>
      <w:bookmarkEnd w:id="11"/>
      <w:r>
        <w:lastRenderedPageBreak/>
        <w:t>Electricity generation emissions intensity</w:t>
      </w:r>
      <w:bookmarkEnd w:id="149"/>
      <w:bookmarkEnd w:id="151"/>
    </w:p>
    <w:p w:rsidR="00B4019B" w:rsidRPr="00EF51BF" w:rsidRDefault="000045AA" w:rsidP="00B4019B">
      <w:pPr>
        <w:pStyle w:val="Sectionsubheading"/>
      </w:pPr>
      <w:r w:rsidRPr="000045AA">
        <w:t xml:space="preserve">Changes since </w:t>
      </w:r>
      <w:r w:rsidR="006C667D">
        <w:t>2000</w:t>
      </w:r>
      <w:r w:rsidRPr="000045AA">
        <w:t xml:space="preserve"> and their drivers, particularly since </w:t>
      </w:r>
      <w:r w:rsidR="006C667D">
        <w:t>2008</w:t>
      </w:r>
    </w:p>
    <w:p w:rsidR="00B4019B" w:rsidRDefault="0002418D" w:rsidP="00B4019B">
      <w:pPr>
        <w:pStyle w:val="Sectioncontents"/>
      </w:pPr>
      <w:r>
        <w:t>Section c</w:t>
      </w:r>
      <w:r w:rsidR="00B4019B"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B4019B" w:rsidRPr="00EF51BF">
        <w:rPr>
          <w:noProof w:val="0"/>
        </w:rPr>
        <w:instrText xml:space="preserve"> TOC \u \t "Heading </w:instrText>
      </w:r>
      <w:r w:rsidR="00B4019B">
        <w:rPr>
          <w:noProof w:val="0"/>
        </w:rPr>
        <w:instrText>2</w:instrText>
      </w:r>
      <w:r w:rsidR="00B4019B" w:rsidRPr="00EF51BF">
        <w:rPr>
          <w:noProof w:val="0"/>
        </w:rPr>
        <w:instrText>,</w:instrText>
      </w:r>
      <w:r w:rsidR="00B4019B">
        <w:rPr>
          <w:noProof w:val="0"/>
        </w:rPr>
        <w:instrText>1</w:instrText>
      </w:r>
      <w:r w:rsidR="00B4019B" w:rsidRPr="00EF51BF">
        <w:rPr>
          <w:noProof w:val="0"/>
        </w:rPr>
        <w:instrText xml:space="preserve">" </w:instrText>
      </w:r>
      <w:r w:rsidR="00B4019B">
        <w:rPr>
          <w:noProof w:val="0"/>
        </w:rPr>
        <w:instrText>\b "Section3"</w:instrText>
      </w:r>
      <w:r w:rsidR="00B4019B" w:rsidRPr="00EF51BF">
        <w:rPr>
          <w:noProof w:val="0"/>
        </w:rPr>
        <w:instrText xml:space="preserve"> </w:instrText>
      </w:r>
      <w:r w:rsidRPr="00EF51BF">
        <w:rPr>
          <w:noProof w:val="0"/>
        </w:rPr>
        <w:fldChar w:fldCharType="separate"/>
      </w:r>
      <w:r w:rsidR="00BB4088">
        <w:t>3.1</w:t>
      </w:r>
      <w:r w:rsidR="00BB4088">
        <w:rPr>
          <w:rFonts w:asciiTheme="minorHAnsi" w:eastAsiaTheme="minorEastAsia" w:hAnsiTheme="minorHAnsi" w:cstheme="minorBidi"/>
          <w:color w:val="auto"/>
          <w:lang w:eastAsia="en-GB"/>
        </w:rPr>
        <w:tab/>
      </w:r>
      <w:r w:rsidR="00BB4088">
        <w:t>Development of electricity generation emissions intensity</w:t>
      </w:r>
      <w:r w:rsidR="00BB4088">
        <w:tab/>
      </w:r>
      <w:r w:rsidR="00BB4088">
        <w:fldChar w:fldCharType="begin"/>
      </w:r>
      <w:r w:rsidR="00BB4088">
        <w:instrText xml:space="preserve"> PAGEREF _Toc369890613 \h </w:instrText>
      </w:r>
      <w:r w:rsidR="00BB4088">
        <w:fldChar w:fldCharType="separate"/>
      </w:r>
      <w:r w:rsidR="00197E14">
        <w:t>65</w:t>
      </w:r>
      <w:r w:rsidR="00BB4088">
        <w:fldChar w:fldCharType="end"/>
      </w:r>
    </w:p>
    <w:p w:rsidR="00BB4088" w:rsidRDefault="00BB4088">
      <w:pPr>
        <w:pStyle w:val="TOC1"/>
        <w:rPr>
          <w:rFonts w:asciiTheme="minorHAnsi" w:eastAsiaTheme="minorEastAsia" w:hAnsiTheme="minorHAnsi" w:cstheme="minorBidi"/>
          <w:color w:val="auto"/>
          <w:lang w:eastAsia="en-GB"/>
        </w:rPr>
      </w:pPr>
      <w:r>
        <w:t>3.2</w:t>
      </w:r>
      <w:r>
        <w:rPr>
          <w:rFonts w:asciiTheme="minorHAnsi" w:eastAsiaTheme="minorEastAsia" w:hAnsiTheme="minorHAnsi" w:cstheme="minorBidi"/>
          <w:color w:val="auto"/>
          <w:lang w:eastAsia="en-GB"/>
        </w:rPr>
        <w:tab/>
      </w:r>
      <w:r>
        <w:t>Explaining the changes in electricity generation emissions intensity</w:t>
      </w:r>
      <w:r>
        <w:tab/>
      </w:r>
      <w:r>
        <w:fldChar w:fldCharType="begin"/>
      </w:r>
      <w:r>
        <w:instrText xml:space="preserve"> PAGEREF _Toc369890614 \h </w:instrText>
      </w:r>
      <w:r>
        <w:fldChar w:fldCharType="separate"/>
      </w:r>
      <w:r w:rsidR="00197E14">
        <w:t>70</w:t>
      </w:r>
      <w:r>
        <w:fldChar w:fldCharType="end"/>
      </w:r>
    </w:p>
    <w:p w:rsidR="00BB4088" w:rsidRDefault="00BB4088">
      <w:pPr>
        <w:pStyle w:val="TOC1"/>
        <w:rPr>
          <w:rFonts w:asciiTheme="minorHAnsi" w:eastAsiaTheme="minorEastAsia" w:hAnsiTheme="minorHAnsi" w:cstheme="minorBidi"/>
          <w:color w:val="auto"/>
          <w:lang w:eastAsia="en-GB"/>
        </w:rPr>
      </w:pPr>
      <w:r>
        <w:t>3.3</w:t>
      </w:r>
      <w:r>
        <w:rPr>
          <w:rFonts w:asciiTheme="minorHAnsi" w:eastAsiaTheme="minorEastAsia" w:hAnsiTheme="minorHAnsi" w:cstheme="minorBidi"/>
          <w:color w:val="auto"/>
          <w:lang w:eastAsia="en-GB"/>
        </w:rPr>
        <w:tab/>
      </w:r>
      <w:r>
        <w:t>Summary of results</w:t>
      </w:r>
      <w:r>
        <w:tab/>
      </w:r>
      <w:r>
        <w:fldChar w:fldCharType="begin"/>
      </w:r>
      <w:r>
        <w:instrText xml:space="preserve"> PAGEREF _Toc369890615 \h </w:instrText>
      </w:r>
      <w:r>
        <w:fldChar w:fldCharType="separate"/>
      </w:r>
      <w:r w:rsidR="00197E14">
        <w:t>86</w:t>
      </w:r>
      <w:r>
        <w:fldChar w:fldCharType="end"/>
      </w:r>
    </w:p>
    <w:p w:rsidR="00B4019B" w:rsidRPr="00EF51BF" w:rsidRDefault="005A66AE" w:rsidP="009A1AE7">
      <w:pPr>
        <w:pStyle w:val="Sectionintroheading"/>
      </w:pPr>
      <w:r w:rsidRPr="00EF51BF">
        <w:rPr>
          <w:rFonts w:cs="Arial"/>
        </w:rPr>
        <w:fldChar w:fldCharType="end"/>
      </w:r>
      <w:r w:rsidR="003C39D1">
        <w:t>The emissions intensity of electricity generation has fallen due to increased gas-fired and renewable generation replacing black coal</w:t>
      </w:r>
    </w:p>
    <w:p w:rsidR="004E7F11" w:rsidRDefault="004E7F11" w:rsidP="009052A0">
      <w:pPr>
        <w:pStyle w:val="Indentedtext425cm"/>
      </w:pPr>
    </w:p>
    <w:p w:rsidR="00E078DB" w:rsidRDefault="00E078DB" w:rsidP="009052A0">
      <w:pPr>
        <w:pStyle w:val="Indentedtext425cm"/>
      </w:pPr>
      <w:r>
        <w:t xml:space="preserve">Renewable generation beyond existing hydro is chiefly driven by the Mandatory Renewable Energy Target and its successors, the Large and </w:t>
      </w:r>
      <w:r w:rsidR="005E51AC">
        <w:t xml:space="preserve">Small </w:t>
      </w:r>
      <w:r>
        <w:t>Scale Renewable Energy Target</w:t>
      </w:r>
      <w:r w:rsidR="00894D61">
        <w:t>.</w:t>
      </w:r>
      <w:r w:rsidR="002D09B1">
        <w:t xml:space="preserve"> This resulted in an increas</w:t>
      </w:r>
      <w:r w:rsidR="00BD27E5">
        <w:t xml:space="preserve">e of renewable generation from 8.5 per cent in </w:t>
      </w:r>
      <w:r w:rsidR="006C667D">
        <w:t>2000</w:t>
      </w:r>
      <w:r w:rsidR="00BD27E5">
        <w:t xml:space="preserve"> to 9.5</w:t>
      </w:r>
      <w:r w:rsidR="002D09B1">
        <w:t xml:space="preserve"> per cent in </w:t>
      </w:r>
      <w:r w:rsidR="006C667D">
        <w:t>2012</w:t>
      </w:r>
      <w:r w:rsidR="002D09B1">
        <w:t>.</w:t>
      </w:r>
    </w:p>
    <w:p w:rsidR="00BD27E5" w:rsidRDefault="00BD27E5" w:rsidP="009052A0">
      <w:pPr>
        <w:pStyle w:val="Indentedtext425cm"/>
      </w:pPr>
    </w:p>
    <w:p w:rsidR="00BD27E5" w:rsidRPr="00EF51BF" w:rsidRDefault="00BD27E5" w:rsidP="009052A0">
      <w:pPr>
        <w:pStyle w:val="Indentedtext425cm"/>
      </w:pPr>
      <w:r>
        <w:t xml:space="preserve">Gas generation increased more than doubled its share in the generation mix from 7.7 per cent in </w:t>
      </w:r>
      <w:r w:rsidR="006C667D">
        <w:t>2000</w:t>
      </w:r>
      <w:r>
        <w:t xml:space="preserve"> to 19.3 per cent in </w:t>
      </w:r>
      <w:r w:rsidR="006C667D">
        <w:t>2012</w:t>
      </w:r>
      <w:r>
        <w:t xml:space="preserve">. The increase is partially due to prices, the development of coal seam gas and policies such as the Queensland Gas Scheme and the New South Wales Greenhouse Gas </w:t>
      </w:r>
      <w:r w:rsidR="009D0A1F">
        <w:t xml:space="preserve">Reduction </w:t>
      </w:r>
      <w:r>
        <w:t>Scheme.</w:t>
      </w:r>
    </w:p>
    <w:p w:rsidR="00DD571B" w:rsidRPr="00DD571B" w:rsidRDefault="00DD571B" w:rsidP="00DD571B">
      <w:pPr>
        <w:pStyle w:val="Indentedtext425cm"/>
      </w:pPr>
    </w:p>
    <w:p w:rsidR="00B4019B" w:rsidRPr="00EF51BF" w:rsidRDefault="00B4019B" w:rsidP="0027564C">
      <w:pPr>
        <w:pStyle w:val="Quote"/>
        <w:ind w:left="2410"/>
      </w:pPr>
      <w:r w:rsidRPr="00EF51BF">
        <w:t>‘</w:t>
      </w:r>
      <w:r w:rsidR="00C51BD9">
        <w:t>Policy is a</w:t>
      </w:r>
      <w:r w:rsidR="00FD659D" w:rsidRPr="00FD659D">
        <w:t xml:space="preserve"> significant driver behind a decline in the emissions intensity of electricity generation</w:t>
      </w:r>
      <w:r w:rsidRPr="00EF51BF">
        <w:t>.’</w:t>
      </w:r>
    </w:p>
    <w:p w:rsidR="00B4019B" w:rsidRDefault="00B4019B" w:rsidP="00B4019B">
      <w:pPr>
        <w:spacing w:after="200" w:line="276" w:lineRule="auto"/>
      </w:pPr>
      <w:r w:rsidRPr="00EF51BF">
        <w:br w:type="page"/>
      </w:r>
    </w:p>
    <w:p w:rsidR="00B75E40" w:rsidRDefault="00B75E40" w:rsidP="00B75E40">
      <w:pPr>
        <w:pStyle w:val="Heading2"/>
      </w:pPr>
      <w:bookmarkStart w:id="152" w:name="_Toc369890613"/>
      <w:r>
        <w:lastRenderedPageBreak/>
        <w:t xml:space="preserve">Development of electricity </w:t>
      </w:r>
      <w:r w:rsidR="00F01B0D">
        <w:t>generation</w:t>
      </w:r>
      <w:r>
        <w:t xml:space="preserve"> emissions intensity</w:t>
      </w:r>
      <w:bookmarkEnd w:id="152"/>
    </w:p>
    <w:p w:rsidR="00B75E40" w:rsidRPr="00022AAC" w:rsidRDefault="00B75E40" w:rsidP="00B75E40">
      <w:r w:rsidRPr="00C51BD9">
        <w:t xml:space="preserve">The emissions intensity of electricity generation in the whole of Australia, both grid-connected and off-grid, </w:t>
      </w:r>
      <w:r w:rsidR="00CC678B">
        <w:t>remained</w:t>
      </w:r>
      <w:r w:rsidRPr="00C51BD9">
        <w:t xml:space="preserve"> relatively constant at around 0.84 tCO</w:t>
      </w:r>
      <w:r w:rsidRPr="00C51BD9">
        <w:rPr>
          <w:vertAlign w:val="subscript"/>
        </w:rPr>
        <w:t>2</w:t>
      </w:r>
      <w:r w:rsidRPr="00C51BD9">
        <w:t xml:space="preserve">/MWh between </w:t>
      </w:r>
      <w:r w:rsidR="006C667D">
        <w:t>2000</w:t>
      </w:r>
      <w:r w:rsidRPr="00C51BD9">
        <w:t xml:space="preserve"> and </w:t>
      </w:r>
      <w:r w:rsidR="006C667D">
        <w:t>2008</w:t>
      </w:r>
      <w:r w:rsidRPr="00C51BD9">
        <w:t xml:space="preserve">, as shown in </w:t>
      </w:r>
      <w:r w:rsidR="005A66AE" w:rsidRPr="00C51BD9">
        <w:fldChar w:fldCharType="begin"/>
      </w:r>
      <w:r w:rsidRPr="00C51BD9">
        <w:instrText xml:space="preserve"> REF _Ref366005684 \r \h </w:instrText>
      </w:r>
      <w:r w:rsidR="00C51BD9">
        <w:instrText xml:space="preserve"> \* MERGEFORMAT </w:instrText>
      </w:r>
      <w:r w:rsidR="005A66AE" w:rsidRPr="00C51BD9">
        <w:fldChar w:fldCharType="separate"/>
      </w:r>
      <w:r w:rsidR="00197E14">
        <w:t>Figure 26</w:t>
      </w:r>
      <w:r w:rsidR="005A66AE" w:rsidRPr="00C51BD9">
        <w:fldChar w:fldCharType="end"/>
      </w:r>
      <w:r w:rsidRPr="00C51BD9">
        <w:t>. The</w:t>
      </w:r>
      <w:r w:rsidRPr="00022AAC">
        <w:t xml:space="preserve"> emissions intensity fluctuated as the fuel mix varied.</w:t>
      </w:r>
    </w:p>
    <w:p w:rsidR="00B75E40" w:rsidRPr="000D25DC" w:rsidRDefault="00B75E40" w:rsidP="00B75E40">
      <w:pPr>
        <w:pStyle w:val="Charttitle"/>
      </w:pPr>
      <w:bookmarkStart w:id="153" w:name="_Ref366005684"/>
      <w:bookmarkStart w:id="154" w:name="_Ref366153400"/>
      <w:bookmarkStart w:id="155" w:name="_Toc366155612"/>
      <w:bookmarkStart w:id="156" w:name="_Toc366269847"/>
      <w:bookmarkStart w:id="157" w:name="_Toc369890566"/>
      <w:r>
        <w:t xml:space="preserve">The emissions intensity of electricity started to decline since </w:t>
      </w:r>
      <w:r w:rsidR="006C667D">
        <w:t>2009</w:t>
      </w:r>
      <w:r>
        <w:t xml:space="preserve"> but was relatively constant before</w:t>
      </w:r>
      <w:bookmarkEnd w:id="153"/>
      <w:bookmarkEnd w:id="154"/>
      <w:bookmarkEnd w:id="155"/>
      <w:bookmarkEnd w:id="156"/>
      <w:bookmarkEnd w:id="157"/>
    </w:p>
    <w:p w:rsidR="00B75E40" w:rsidRPr="00430244" w:rsidRDefault="00B75E40" w:rsidP="00B75E40">
      <w:pPr>
        <w:pStyle w:val="Chartspacer"/>
        <w:rPr>
          <w:rStyle w:val="PlaceholderText"/>
        </w:rPr>
      </w:pPr>
      <w:r w:rsidRPr="004865B1">
        <w:rPr>
          <w:rStyle w:val="PlaceholderText"/>
        </w:rPr>
        <w:t xml:space="preserve"> </w:t>
      </w:r>
      <w:r w:rsidRPr="00140545">
        <w:rPr>
          <w:noProof/>
          <w:lang w:eastAsia="en-GB"/>
        </w:rPr>
        <w:drawing>
          <wp:inline distT="0" distB="0" distL="0" distR="0" wp14:anchorId="34242BF1" wp14:editId="6AB699FC">
            <wp:extent cx="6120130" cy="319954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199544"/>
                    </a:xfrm>
                    <a:prstGeom prst="rect">
                      <a:avLst/>
                    </a:prstGeom>
                    <a:noFill/>
                    <a:ln>
                      <a:noFill/>
                    </a:ln>
                  </pic:spPr>
                </pic:pic>
              </a:graphicData>
            </a:graphic>
          </wp:inline>
        </w:drawing>
      </w:r>
    </w:p>
    <w:p w:rsidR="00B75E40" w:rsidRDefault="00B75E40" w:rsidP="00B75E40">
      <w:pPr>
        <w:pStyle w:val="Note"/>
      </w:pPr>
      <w:r>
        <w:t>Note:</w:t>
      </w:r>
      <w:r>
        <w:tab/>
        <w:t>Intensity is defined as quantity of CO</w:t>
      </w:r>
      <w:r w:rsidRPr="006E24A3">
        <w:rPr>
          <w:vertAlign w:val="subscript"/>
        </w:rPr>
        <w:t>2</w:t>
      </w:r>
      <w:r>
        <w:t xml:space="preserve"> equivalent gas emissions in metric tonnes per electricity generation in MWh.</w:t>
      </w:r>
    </w:p>
    <w:p w:rsidR="00B75E40" w:rsidRPr="005A132E" w:rsidRDefault="00B75E40" w:rsidP="00B75E40">
      <w:pPr>
        <w:pStyle w:val="Source"/>
      </w:pPr>
      <w:r w:rsidRPr="005A132E">
        <w:t>Source:</w:t>
      </w:r>
      <w:r>
        <w:tab/>
        <w:t xml:space="preserve">Vivid Economics based on </w:t>
      </w:r>
      <w:r w:rsidR="005A66AE" w:rsidRPr="00A83B19">
        <w:rPr>
          <w:i w:val="0"/>
        </w:rPr>
        <w:fldChar w:fldCharType="begin" w:fldLock="1"/>
      </w:r>
      <w:r w:rsidR="00971CE6">
        <w:rPr>
          <w:i w:val="0"/>
        </w:rPr>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A83B19">
        <w:rPr>
          <w:i w:val="0"/>
        </w:rPr>
        <w:fldChar w:fldCharType="separate"/>
      </w:r>
      <w:r w:rsidRPr="00A83B19">
        <w:rPr>
          <w:i w:val="0"/>
          <w:noProof/>
        </w:rPr>
        <w:t>Australian Government Bureau of Resource and Energy Economics (2013)</w:t>
      </w:r>
      <w:r w:rsidR="005A66AE" w:rsidRPr="00A83B19">
        <w:rPr>
          <w:i w:val="0"/>
        </w:rPr>
        <w:fldChar w:fldCharType="end"/>
      </w:r>
      <w:r>
        <w:t xml:space="preserve"> and </w:t>
      </w:r>
      <w:r w:rsidR="005A66AE" w:rsidRPr="00A83B19">
        <w:fldChar w:fldCharType="begin" w:fldLock="1"/>
      </w:r>
      <w:r w:rsidR="00971CE6">
        <w:instrText>ADDIN CSL_CITATION { "citationItems" : [ { "id" : "ITEM-1", "itemData" : { "author" : [ { "dropping-particle" : "", "family" : "Australian Government National Greenhouse Gas Inventory", "given" : "", "non-dropping-particle" : "", "parse-names" : false, "suffix" : "" } ], "id" : "ITEM-1", "issued" : { "date-parts" : [ [ "2013" ] ] }, "title" : "National Greenhouse Gas Inventory", "type" : "article" }, "uris" : [ "http://www.mendeley.com/documents/?uuid=ce12e04c-8c1c-4fd8-a36e-505d880f28a5", "http://www.mendeley.com/documents/?uuid=7430264a-e1fa-4938-a749-f9be68e27f8d" ] } ], "mendeley" : { "manualFormatting" : "Australian Government National Greenhouse Gas Inventory (2013)", "previouslyFormattedCitation" : "(Australian Government National Greenhouse Gas Inventory, 2013)" }, "properties" : { "noteIndex" : 0 }, "schema" : "https://github.com/citation-style-language/schema/raw/master/csl-citation.json" }</w:instrText>
      </w:r>
      <w:r w:rsidR="005A66AE" w:rsidRPr="00A83B19">
        <w:fldChar w:fldCharType="separate"/>
      </w:r>
      <w:r w:rsidRPr="00A83B19">
        <w:rPr>
          <w:noProof/>
        </w:rPr>
        <w:t>Australian Government National Greenhouse Gas Inventory (2013)</w:t>
      </w:r>
      <w:r w:rsidR="005A66AE" w:rsidRPr="00A83B19">
        <w:fldChar w:fldCharType="end"/>
      </w:r>
    </w:p>
    <w:p w:rsidR="00B75E40" w:rsidRDefault="00B75E40" w:rsidP="00B75E40">
      <w:r w:rsidRPr="00022AAC">
        <w:t xml:space="preserve">The emissions </w:t>
      </w:r>
      <w:r w:rsidRPr="00C330D5">
        <w:t>intensity fell by 6</w:t>
      </w:r>
      <w:r w:rsidRPr="0021447C">
        <w:t>.</w:t>
      </w:r>
      <w:r w:rsidRPr="00C330D5">
        <w:t xml:space="preserve">3 per cent between </w:t>
      </w:r>
      <w:r w:rsidR="006C667D">
        <w:t>2008</w:t>
      </w:r>
      <w:r w:rsidRPr="00C330D5">
        <w:t xml:space="preserve"> and </w:t>
      </w:r>
      <w:r w:rsidR="006C667D">
        <w:t>2011</w:t>
      </w:r>
      <w:r w:rsidRPr="00C330D5">
        <w:t>. This corresponds to a compound</w:t>
      </w:r>
      <w:r>
        <w:t>ed</w:t>
      </w:r>
      <w:r w:rsidRPr="00C330D5">
        <w:t xml:space="preserve"> annual decline of 2</w:t>
      </w:r>
      <w:r w:rsidR="00C51BD9">
        <w:t>.2</w:t>
      </w:r>
      <w:r w:rsidRPr="00C330D5">
        <w:t xml:space="preserve"> per cent</w:t>
      </w:r>
      <w:r w:rsidRPr="00022AAC">
        <w:t xml:space="preserve">. </w:t>
      </w:r>
      <w:r w:rsidR="00FB0D46">
        <w:t>D</w:t>
      </w:r>
      <w:r w:rsidRPr="00022AAC">
        <w:t xml:space="preserve">ata for the </w:t>
      </w:r>
      <w:r w:rsidR="00543506">
        <w:t>NEM</w:t>
      </w:r>
      <w:r w:rsidRPr="00022AAC">
        <w:t xml:space="preserve"> </w:t>
      </w:r>
      <w:r w:rsidR="00FB0D46">
        <w:t xml:space="preserve">since 2012 </w:t>
      </w:r>
      <w:r w:rsidRPr="00022AAC">
        <w:t>show a further decrease</w:t>
      </w:r>
      <w:r w:rsidR="00C67438">
        <w:t xml:space="preserve">, partially due the shutdown of the Yallourn brown coal plant </w:t>
      </w:r>
      <w:r w:rsidR="00B800C7">
        <w:t xml:space="preserve">and partially due to further gas and renewable expansion </w:t>
      </w:r>
      <w:r w:rsidR="00FB0D46">
        <w:t>(</w:t>
      </w:r>
      <w:r w:rsidR="005A66AE">
        <w:fldChar w:fldCharType="begin" w:fldLock="1"/>
      </w:r>
      <w:r w:rsidR="00971CE6">
        <w:instrText>ADDIN CSL_CITATION { "citationItems" : [ { "id" : "ITEM-1", "itemData" : { "author" : [ { "dropping-particle" : "", "family" : "Pitt and Sherry", "given" : "", "non-dropping-particle" : "", "parse-names" : false, "suffix" : "" } ], "id" : "ITEM-1", "issue" : "July", "issued" : { "date-parts" : [ [ "2013" ] ] }, "title" : "National Electricity Market demand and emissions continue to fall . Peak and WA seem to be following .", "type" : "article-journal" }, "uris" : [ "http://www.mendeley.com/documents/?uuid=1a1a950f-144e-4f81-a8cb-ce9d79100e10" ] } ], "mendeley" : { "manualFormatting" : "Pitt and Sherry, 2013)", "previouslyFormattedCitation" : "(Pitt and Sherry, 2013)" }, "properties" : { "noteIndex" : 0 }, "schema" : "https://github.com/citation-style-language/schema/raw/master/csl-citation.json" }</w:instrText>
      </w:r>
      <w:r w:rsidR="005A66AE">
        <w:fldChar w:fldCharType="separate"/>
      </w:r>
      <w:r>
        <w:rPr>
          <w:noProof/>
        </w:rPr>
        <w:t>Pitt and Sherry</w:t>
      </w:r>
      <w:r w:rsidR="00056616">
        <w:rPr>
          <w:noProof/>
        </w:rPr>
        <w:t xml:space="preserve">, </w:t>
      </w:r>
      <w:r w:rsidRPr="00E738B6">
        <w:rPr>
          <w:noProof/>
        </w:rPr>
        <w:t>2013)</w:t>
      </w:r>
      <w:r w:rsidR="005A66AE">
        <w:fldChar w:fldCharType="end"/>
      </w:r>
      <w:r w:rsidRPr="00022AAC">
        <w:t>.</w:t>
      </w:r>
      <w:r>
        <w:t xml:space="preserve"> </w:t>
      </w:r>
      <w:r w:rsidR="00C51BD9">
        <w:t>This coincided with the introduction of national carbon pricing</w:t>
      </w:r>
      <w:r w:rsidR="00017E43">
        <w:t xml:space="preserve"> mechanism</w:t>
      </w:r>
      <w:r w:rsidR="00C51BD9">
        <w:t xml:space="preserve">. </w:t>
      </w:r>
      <w:r>
        <w:t xml:space="preserve">Nevertheless, the emissions intensity of electricity generation in Australia is still higher than most countries as seen in </w:t>
      </w:r>
      <w:r w:rsidR="005A66AE">
        <w:rPr>
          <w:b/>
          <w:bCs/>
          <w:lang w:val="en-US"/>
        </w:rPr>
        <w:fldChar w:fldCharType="begin"/>
      </w:r>
      <w:r>
        <w:instrText xml:space="preserve"> REF _Ref366005804 \r \h </w:instrText>
      </w:r>
      <w:r w:rsidR="005A66AE">
        <w:rPr>
          <w:b/>
          <w:bCs/>
          <w:lang w:val="en-US"/>
        </w:rPr>
      </w:r>
      <w:r w:rsidR="005A66AE">
        <w:rPr>
          <w:b/>
          <w:bCs/>
          <w:lang w:val="en-US"/>
        </w:rPr>
        <w:fldChar w:fldCharType="separate"/>
      </w:r>
      <w:r w:rsidR="00197E14">
        <w:t>Figure 27</w:t>
      </w:r>
      <w:r w:rsidR="005A66AE">
        <w:rPr>
          <w:b/>
          <w:bCs/>
          <w:lang w:val="en-US"/>
        </w:rPr>
        <w:fldChar w:fldCharType="end"/>
      </w:r>
      <w:r w:rsidRPr="00C51BD9">
        <w:rPr>
          <w:bCs/>
          <w:lang w:val="en-US"/>
        </w:rPr>
        <w:t>.</w:t>
      </w:r>
    </w:p>
    <w:p w:rsidR="00B75E40" w:rsidRPr="000D25DC" w:rsidRDefault="00B75E40" w:rsidP="00B75E40">
      <w:pPr>
        <w:pStyle w:val="Charttitle"/>
      </w:pPr>
      <w:bookmarkStart w:id="158" w:name="_Toc366155613"/>
      <w:bookmarkStart w:id="159" w:name="_Toc366269848"/>
      <w:bookmarkStart w:id="160" w:name="_Ref366005804"/>
      <w:bookmarkStart w:id="161" w:name="_Toc369890567"/>
      <w:r>
        <w:lastRenderedPageBreak/>
        <w:t>Australia's emissions intensity of electricity generation is higher than in several countries</w:t>
      </w:r>
      <w:bookmarkEnd w:id="158"/>
      <w:bookmarkEnd w:id="159"/>
      <w:bookmarkEnd w:id="161"/>
      <w:r>
        <w:t xml:space="preserve"> </w:t>
      </w:r>
      <w:bookmarkEnd w:id="160"/>
    </w:p>
    <w:p w:rsidR="00B75E40" w:rsidRPr="00430244" w:rsidRDefault="00B75E40" w:rsidP="00B75E40">
      <w:pPr>
        <w:pStyle w:val="Chartspacer"/>
        <w:rPr>
          <w:rStyle w:val="PlaceholderText"/>
        </w:rPr>
      </w:pPr>
      <w:r w:rsidRPr="008C6C9A">
        <w:rPr>
          <w:noProof/>
          <w:lang w:eastAsia="en-GB"/>
        </w:rPr>
        <w:drawing>
          <wp:inline distT="0" distB="0" distL="0" distR="0" wp14:anchorId="7A3E45CA" wp14:editId="42085024">
            <wp:extent cx="6120130" cy="375982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759829"/>
                    </a:xfrm>
                    <a:prstGeom prst="rect">
                      <a:avLst/>
                    </a:prstGeom>
                    <a:noFill/>
                    <a:ln>
                      <a:noFill/>
                    </a:ln>
                  </pic:spPr>
                </pic:pic>
              </a:graphicData>
            </a:graphic>
          </wp:inline>
        </w:drawing>
      </w:r>
    </w:p>
    <w:p w:rsidR="00B75E40" w:rsidRDefault="00B75E40" w:rsidP="00B75E40">
      <w:pPr>
        <w:pStyle w:val="Note"/>
      </w:pPr>
      <w:r>
        <w:t>Note:</w:t>
      </w:r>
      <w:r>
        <w:tab/>
        <w:t>Emissions intensity is defined as tons of CO</w:t>
      </w:r>
      <w:r w:rsidRPr="008C6C9A">
        <w:rPr>
          <w:vertAlign w:val="subscript"/>
        </w:rPr>
        <w:t>2</w:t>
      </w:r>
      <w:r>
        <w:t xml:space="preserve"> equivalent greenhouse gases emissions per 1 MWh of generated electricity from all energy sources.</w:t>
      </w:r>
    </w:p>
    <w:p w:rsidR="00B75E40" w:rsidRPr="005A132E" w:rsidRDefault="00B75E40" w:rsidP="00B75E40">
      <w:pPr>
        <w:pStyle w:val="Source"/>
      </w:pPr>
      <w:r w:rsidRPr="005A132E">
        <w:t>Source:</w:t>
      </w:r>
      <w:r>
        <w:tab/>
        <w:t xml:space="preserve">Vivid Economics based on </w:t>
      </w:r>
      <w:r w:rsidR="005A66AE" w:rsidRPr="00D21E79">
        <w:fldChar w:fldCharType="begin" w:fldLock="1"/>
      </w:r>
      <w:r w:rsidR="00971CE6">
        <w:instrText>ADDIN CSL_CITATION { "citationItems" : [ { "id" : "ITEM-1", "itemData" : { "author" : [ { "dropping-particle" : "", "family" : "International Energy Agency", "given" : "", "non-dropping-particle" : "", "parse-names" : false, "suffix" : "" } ], "id" : "ITEM-1", "issued" : { "date-parts" : [ [ "2013" ] ] }, "title" : "CO2 emissions from fuel combustion", "type" : "article" }, "uris" : [ "http://www.mendeley.com/documents/?uuid=4c37c248-3cd2-474a-b713-9a99336a5aed", "http://www.mendeley.com/documents/?uuid=e92fe1f7-2a7b-4cf8-bbe3-578456ca324b" ] } ], "mendeley" : { "manualFormatting" : "International Energy Agency (2013)", "previouslyFormattedCitation" : "(International Energy Agency, 2013)" }, "properties" : { "noteIndex" : 0 }, "schema" : "https://github.com/citation-style-language/schema/raw/master/csl-citation.json" }</w:instrText>
      </w:r>
      <w:r w:rsidR="005A66AE" w:rsidRPr="00D21E79">
        <w:fldChar w:fldCharType="separate"/>
      </w:r>
      <w:r w:rsidRPr="00D21E79">
        <w:rPr>
          <w:noProof/>
        </w:rPr>
        <w:t>International Energy Agency (2013)</w:t>
      </w:r>
      <w:r w:rsidR="005A66AE" w:rsidRPr="00D21E79">
        <w:fldChar w:fldCharType="end"/>
      </w:r>
      <w:r>
        <w:t xml:space="preserve">, World Bank, </w:t>
      </w:r>
      <w:r w:rsidR="005A66AE" w:rsidRPr="00C520F1">
        <w:fldChar w:fldCharType="begin" w:fldLock="1"/>
      </w:r>
      <w:r w:rsidR="00971CE6">
        <w:instrText>ADDIN CSL_CITATION { "citationItems" : [ { "id" : "ITEM-1", "itemData" : { "author" : [ { "dropping-particle" : "", "family" : "Australian Government National Greenhouse Gas Inventory", "given" : "", "non-dropping-particle" : "", "parse-names" : false, "suffix" : "" } ], "id" : "ITEM-1", "issued" : { "date-parts" : [ [ "2013" ] ] }, "title" : "National Greenhouse Gas Inventory", "type" : "article" }, "uris" : [ "http://www.mendeley.com/documents/?uuid=7430264a-e1fa-4938-a749-f9be68e27f8d", "http://www.mendeley.com/documents/?uuid=ce12e04c-8c1c-4fd8-a36e-505d880f28a5" ] } ], "mendeley" : { "manualFormatting" : "Australian Government National Greenhouse Gas Inventory (2013)", "previouslyFormattedCitation" : "(Australian Government National Greenhouse Gas Inventory, 2013)" }, "properties" : { "noteIndex" : 0 }, "schema" : "https://github.com/citation-style-language/schema/raw/master/csl-citation.json" }</w:instrText>
      </w:r>
      <w:r w:rsidR="005A66AE" w:rsidRPr="00C520F1">
        <w:fldChar w:fldCharType="separate"/>
      </w:r>
      <w:r w:rsidRPr="00C520F1">
        <w:rPr>
          <w:noProof/>
        </w:rPr>
        <w:t>Australian Government National Greenhouse Gas Inventory (2013)</w:t>
      </w:r>
      <w:r w:rsidR="005A66AE" w:rsidRPr="00C520F1">
        <w:fldChar w:fldCharType="end"/>
      </w:r>
      <w:r>
        <w:t xml:space="preserve"> and </w:t>
      </w:r>
      <w:r w:rsidR="005A66AE" w:rsidRPr="00C520F1">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C520F1">
        <w:fldChar w:fldCharType="separate"/>
      </w:r>
      <w:r w:rsidRPr="00C520F1">
        <w:rPr>
          <w:noProof/>
        </w:rPr>
        <w:t>Australian Government Bureau of Resource and Energy Economics (2013)</w:t>
      </w:r>
      <w:r w:rsidR="005A66AE" w:rsidRPr="00C520F1">
        <w:fldChar w:fldCharType="end"/>
      </w:r>
    </w:p>
    <w:p w:rsidR="00436428" w:rsidRDefault="00B75E40" w:rsidP="00B75E40">
      <w:r w:rsidRPr="00022AAC">
        <w:t>The reason for the decline in the emissions intensity has been a shift in the generation mix. Gas fired electricity generation and renewables have increased their shares</w:t>
      </w:r>
      <w:r>
        <w:t xml:space="preserve"> from 7.7</w:t>
      </w:r>
      <w:r w:rsidRPr="00022AAC">
        <w:t xml:space="preserve"> and </w:t>
      </w:r>
      <w:r>
        <w:t>8.6</w:t>
      </w:r>
      <w:r w:rsidRPr="00022AAC">
        <w:t xml:space="preserve"> per cent in </w:t>
      </w:r>
      <w:r w:rsidR="006C667D">
        <w:t>2000</w:t>
      </w:r>
      <w:r w:rsidRPr="00022AAC">
        <w:t xml:space="preserve"> to </w:t>
      </w:r>
      <w:r>
        <w:t>19</w:t>
      </w:r>
      <w:r w:rsidRPr="00022AAC">
        <w:t xml:space="preserve"> and </w:t>
      </w:r>
      <w:r>
        <w:t>9.5</w:t>
      </w:r>
      <w:r w:rsidRPr="00022AAC">
        <w:t xml:space="preserve"> per cent in </w:t>
      </w:r>
      <w:r w:rsidR="006C667D">
        <w:t>2011</w:t>
      </w:r>
      <w:r w:rsidRPr="00022AAC">
        <w:t xml:space="preserve"> respectively. Black coal’s output </w:t>
      </w:r>
      <w:r>
        <w:t xml:space="preserve">share </w:t>
      </w:r>
      <w:r w:rsidRPr="00022AAC">
        <w:t xml:space="preserve">fell by </w:t>
      </w:r>
      <w:r>
        <w:t>11</w:t>
      </w:r>
      <w:r w:rsidRPr="00022AAC">
        <w:t xml:space="preserve"> per cent between </w:t>
      </w:r>
      <w:r w:rsidR="006C667D">
        <w:t>2008</w:t>
      </w:r>
      <w:r w:rsidRPr="00022AAC">
        <w:t xml:space="preserve"> and </w:t>
      </w:r>
      <w:r w:rsidR="006C667D">
        <w:t>2012</w:t>
      </w:r>
      <w:r w:rsidRPr="00022AAC">
        <w:t xml:space="preserve"> and brown coal has fallen by </w:t>
      </w:r>
      <w:r>
        <w:t>4</w:t>
      </w:r>
      <w:r w:rsidRPr="00022AAC">
        <w:t>.</w:t>
      </w:r>
      <w:r>
        <w:t>8</w:t>
      </w:r>
      <w:r w:rsidRPr="00022AAC">
        <w:t xml:space="preserve"> per cent since </w:t>
      </w:r>
      <w:r w:rsidR="006C667D">
        <w:t>2009</w:t>
      </w:r>
      <w:r>
        <w:t xml:space="preserve"> , representing a CAGR of -2.9 </w:t>
      </w:r>
      <w:r w:rsidRPr="00022AAC">
        <w:t xml:space="preserve">and </w:t>
      </w:r>
    </w:p>
    <w:p w:rsidR="00B75E40" w:rsidRPr="00022AAC" w:rsidRDefault="00B75E40" w:rsidP="00B75E40">
      <w:r>
        <w:t xml:space="preserve">-1.6 </w:t>
      </w:r>
      <w:r w:rsidRPr="00022AAC">
        <w:t>p</w:t>
      </w:r>
      <w:r>
        <w:t>er cent respectively</w:t>
      </w:r>
      <w:r w:rsidRPr="00022AAC">
        <w:t xml:space="preserve">. The decline in black coal started in </w:t>
      </w:r>
      <w:r w:rsidR="006C667D">
        <w:t>2007</w:t>
      </w:r>
      <w:r w:rsidRPr="00022AAC">
        <w:t xml:space="preserve">, while brown coal started to decline in </w:t>
      </w:r>
      <w:r w:rsidR="006C667D">
        <w:t>2009</w:t>
      </w:r>
      <w:r w:rsidRPr="00022AAC">
        <w:t xml:space="preserve">. These trends are shown in </w:t>
      </w:r>
      <w:r w:rsidR="005A66AE">
        <w:rPr>
          <w:b/>
          <w:bCs/>
          <w:lang w:val="en-US"/>
        </w:rPr>
        <w:fldChar w:fldCharType="begin"/>
      </w:r>
      <w:r>
        <w:instrText xml:space="preserve"> REF _Ref366005958 \r \h </w:instrText>
      </w:r>
      <w:r w:rsidR="005A66AE">
        <w:rPr>
          <w:b/>
          <w:bCs/>
          <w:lang w:val="en-US"/>
        </w:rPr>
      </w:r>
      <w:r w:rsidR="005A66AE">
        <w:rPr>
          <w:b/>
          <w:bCs/>
          <w:lang w:val="en-US"/>
        </w:rPr>
        <w:fldChar w:fldCharType="separate"/>
      </w:r>
      <w:r w:rsidR="00197E14">
        <w:t>Figure 28</w:t>
      </w:r>
      <w:r w:rsidR="005A66AE">
        <w:rPr>
          <w:b/>
          <w:bCs/>
          <w:lang w:val="en-US"/>
        </w:rPr>
        <w:fldChar w:fldCharType="end"/>
      </w:r>
      <w:r w:rsidRPr="00022AAC">
        <w:t xml:space="preserve"> and </w:t>
      </w:r>
      <w:r w:rsidR="005A66AE">
        <w:fldChar w:fldCharType="begin"/>
      </w:r>
      <w:r>
        <w:instrText xml:space="preserve"> REF _Ref365896499 \r \h </w:instrText>
      </w:r>
      <w:r w:rsidR="005A66AE">
        <w:fldChar w:fldCharType="separate"/>
      </w:r>
      <w:r w:rsidR="00197E14">
        <w:t>Table 13</w:t>
      </w:r>
      <w:r w:rsidR="005A66AE">
        <w:fldChar w:fldCharType="end"/>
      </w:r>
      <w:r>
        <w:t>.</w:t>
      </w:r>
    </w:p>
    <w:p w:rsidR="00B75E40" w:rsidRPr="000D25DC" w:rsidRDefault="00B75E40" w:rsidP="00B75E40">
      <w:pPr>
        <w:pStyle w:val="Charttitle"/>
      </w:pPr>
      <w:bookmarkStart w:id="162" w:name="_Ref366005958"/>
      <w:bookmarkStart w:id="163" w:name="_Toc366155614"/>
      <w:bookmarkStart w:id="164" w:name="_Toc366269849"/>
      <w:bookmarkStart w:id="165" w:name="_Toc369890568"/>
      <w:r>
        <w:lastRenderedPageBreak/>
        <w:t xml:space="preserve">Gas-fired generation and renewables increased </w:t>
      </w:r>
      <w:r w:rsidR="00C51BD9">
        <w:t xml:space="preserve">from </w:t>
      </w:r>
      <w:r w:rsidR="006C667D">
        <w:t>2009</w:t>
      </w:r>
      <w:r>
        <w:t xml:space="preserve"> whereas black coal generation declined</w:t>
      </w:r>
      <w:bookmarkEnd w:id="162"/>
      <w:bookmarkEnd w:id="163"/>
      <w:bookmarkEnd w:id="164"/>
      <w:bookmarkEnd w:id="165"/>
    </w:p>
    <w:p w:rsidR="00B75E40" w:rsidRPr="00430244" w:rsidRDefault="00FE4A0F" w:rsidP="00B75E40">
      <w:pPr>
        <w:pStyle w:val="Chartspacer"/>
        <w:rPr>
          <w:rStyle w:val="PlaceholderText"/>
        </w:rPr>
      </w:pPr>
      <w:r w:rsidRPr="00FE4A0F">
        <w:drawing>
          <wp:inline distT="0" distB="0" distL="0" distR="0" wp14:anchorId="7900ECA9" wp14:editId="33840DA6">
            <wp:extent cx="6120765" cy="3994930"/>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B75E40" w:rsidRDefault="00B75E40" w:rsidP="00B75E40">
      <w:pPr>
        <w:pStyle w:val="Note"/>
      </w:pPr>
      <w:r>
        <w:t>Note:</w:t>
      </w:r>
      <w:r>
        <w:tab/>
        <w:t xml:space="preserve">Electricity generation by fuel type. Black coal generation falls sharply in the year </w:t>
      </w:r>
      <w:r w:rsidR="006C667D">
        <w:t>2002</w:t>
      </w:r>
      <w:r>
        <w:t xml:space="preserve"> while total output is constant due to an increase in gas</w:t>
      </w:r>
      <w:r w:rsidR="009B5BD3">
        <w:t>-</w:t>
      </w:r>
      <w:r>
        <w:t>fired electricity generation.</w:t>
      </w:r>
    </w:p>
    <w:p w:rsidR="00B75E40" w:rsidRDefault="00B75E40" w:rsidP="00B75E40">
      <w:pPr>
        <w:pStyle w:val="Source"/>
      </w:pPr>
      <w:r w:rsidRPr="005A132E">
        <w:t>Source:</w:t>
      </w:r>
      <w:r>
        <w:tab/>
        <w:t xml:space="preserve">Vivid Economics based on </w:t>
      </w:r>
      <w:r w:rsidR="005A66AE" w:rsidRPr="00B7453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B7453A">
        <w:fldChar w:fldCharType="separate"/>
      </w:r>
      <w:r w:rsidRPr="00B7453A">
        <w:rPr>
          <w:noProof/>
        </w:rPr>
        <w:t>Australian Government Bureau of Resource and Energy Economics (2013)</w:t>
      </w:r>
      <w:r w:rsidR="005A66AE" w:rsidRPr="00B7453A">
        <w:fldChar w:fldCharType="end"/>
      </w:r>
    </w:p>
    <w:p w:rsidR="00B75E40" w:rsidRPr="005A132E" w:rsidRDefault="00B75E40" w:rsidP="00B75E40"/>
    <w:p w:rsidR="00B75E40" w:rsidRPr="001E6032" w:rsidRDefault="00C51BD9" w:rsidP="00B75E40">
      <w:pPr>
        <w:pStyle w:val="Tabletitle"/>
        <w:rPr>
          <w:color w:val="auto"/>
        </w:rPr>
      </w:pPr>
      <w:bookmarkStart w:id="166" w:name="_Toc366155606"/>
      <w:bookmarkStart w:id="167" w:name="_Ref365896499"/>
      <w:bookmarkStart w:id="168" w:name="_Toc366155607"/>
      <w:bookmarkStart w:id="169" w:name="_Toc369890522"/>
      <w:bookmarkEnd w:id="166"/>
      <w:r>
        <w:rPr>
          <w:color w:val="auto"/>
        </w:rPr>
        <w:t xml:space="preserve">Generation </w:t>
      </w:r>
      <w:r w:rsidR="00B75E40" w:rsidRPr="001E6032">
        <w:rPr>
          <w:color w:val="auto"/>
        </w:rPr>
        <w:t xml:space="preserve">shares in each year from </w:t>
      </w:r>
      <w:r w:rsidR="006C667D">
        <w:rPr>
          <w:color w:val="auto"/>
        </w:rPr>
        <w:t>2007</w:t>
      </w:r>
      <w:r w:rsidR="00B75E40" w:rsidRPr="001E6032">
        <w:rPr>
          <w:color w:val="auto"/>
        </w:rPr>
        <w:t>, changes and the CAGRs over the period</w:t>
      </w:r>
      <w:bookmarkEnd w:id="167"/>
      <w:bookmarkEnd w:id="168"/>
      <w:bookmarkEnd w:id="169"/>
    </w:p>
    <w:tbl>
      <w:tblPr>
        <w:tblStyle w:val="Vividtable"/>
        <w:tblW w:w="9747" w:type="dxa"/>
        <w:tblLook w:val="04A0" w:firstRow="1" w:lastRow="0" w:firstColumn="1" w:lastColumn="0" w:noHBand="0" w:noVBand="1"/>
      </w:tblPr>
      <w:tblGrid>
        <w:gridCol w:w="1319"/>
        <w:gridCol w:w="1201"/>
        <w:gridCol w:w="1201"/>
        <w:gridCol w:w="1205"/>
        <w:gridCol w:w="2413"/>
        <w:gridCol w:w="2408"/>
      </w:tblGrid>
      <w:tr w:rsidR="00B75E40" w:rsidRPr="00980041" w:rsidTr="00215A21">
        <w:trPr>
          <w:cnfStyle w:val="100000000000" w:firstRow="1" w:lastRow="0" w:firstColumn="0" w:lastColumn="0" w:oddVBand="0" w:evenVBand="0" w:oddHBand="0" w:evenHBand="0" w:firstRowFirstColumn="0" w:firstRowLastColumn="0" w:lastRowFirstColumn="0" w:lastRowLastColumn="0"/>
          <w:trHeight w:val="397"/>
        </w:trPr>
        <w:tc>
          <w:tcPr>
            <w:tcW w:w="677" w:type="pct"/>
            <w:vMerge w:val="restart"/>
            <w:tcBorders>
              <w:bottom w:val="single" w:sz="4" w:space="0" w:color="auto"/>
            </w:tcBorders>
          </w:tcPr>
          <w:p w:rsidR="00B75E40" w:rsidRPr="004328B0" w:rsidRDefault="00B75E40" w:rsidP="006054BB">
            <w:pPr>
              <w:keepNext/>
              <w:rPr>
                <w:rStyle w:val="PlaceholderText"/>
                <w:rFonts w:ascii="Arial" w:hAnsi="Arial" w:cs="Arial"/>
                <w:b w:val="0"/>
                <w:szCs w:val="18"/>
              </w:rPr>
            </w:pPr>
            <w:r>
              <w:rPr>
                <w:rStyle w:val="PlaceholderText"/>
                <w:rFonts w:ascii="Arial" w:hAnsi="Arial" w:cs="Arial"/>
                <w:szCs w:val="18"/>
              </w:rPr>
              <w:t>Fuel</w:t>
            </w:r>
          </w:p>
        </w:tc>
        <w:tc>
          <w:tcPr>
            <w:tcW w:w="1850" w:type="pct"/>
            <w:gridSpan w:val="3"/>
            <w:tcBorders>
              <w:bottom w:val="single" w:sz="4" w:space="0" w:color="auto"/>
            </w:tcBorders>
          </w:tcPr>
          <w:p w:rsidR="00B75E40" w:rsidRPr="002752D4" w:rsidRDefault="00B75E40" w:rsidP="006054BB">
            <w:pPr>
              <w:keepNext/>
              <w:jc w:val="center"/>
              <w:rPr>
                <w:rStyle w:val="PlaceholderText"/>
                <w:rFonts w:ascii="Arial" w:hAnsi="Arial" w:cs="Arial"/>
                <w:b w:val="0"/>
                <w:szCs w:val="18"/>
              </w:rPr>
            </w:pPr>
            <w:r>
              <w:rPr>
                <w:rStyle w:val="PlaceholderText"/>
                <w:rFonts w:ascii="Arial" w:hAnsi="Arial" w:cs="Arial"/>
                <w:szCs w:val="18"/>
              </w:rPr>
              <w:t>Share in</w:t>
            </w:r>
          </w:p>
        </w:tc>
        <w:tc>
          <w:tcPr>
            <w:tcW w:w="1238" w:type="pct"/>
            <w:vMerge w:val="restart"/>
            <w:tcBorders>
              <w:bottom w:val="single" w:sz="4" w:space="0" w:color="auto"/>
            </w:tcBorders>
          </w:tcPr>
          <w:p w:rsidR="00B75E40" w:rsidRDefault="00B75E40" w:rsidP="006054BB">
            <w:pPr>
              <w:keepNext/>
              <w:jc w:val="center"/>
              <w:rPr>
                <w:rStyle w:val="PlaceholderText"/>
                <w:rFonts w:ascii="Arial" w:hAnsi="Arial" w:cs="Arial"/>
                <w:b w:val="0"/>
                <w:szCs w:val="18"/>
              </w:rPr>
            </w:pPr>
            <w:r w:rsidRPr="002752D4">
              <w:rPr>
                <w:rStyle w:val="PlaceholderText"/>
                <w:rFonts w:ascii="Arial" w:hAnsi="Arial" w:cs="Arial"/>
                <w:szCs w:val="18"/>
              </w:rPr>
              <w:t>Change</w:t>
            </w:r>
          </w:p>
          <w:p w:rsidR="00B75E40" w:rsidRDefault="006C667D" w:rsidP="006054BB">
            <w:pPr>
              <w:keepNext/>
              <w:jc w:val="center"/>
              <w:rPr>
                <w:rStyle w:val="PlaceholderText"/>
                <w:rFonts w:ascii="Arial" w:hAnsi="Arial" w:cs="Arial"/>
                <w:b w:val="0"/>
                <w:szCs w:val="18"/>
              </w:rPr>
            </w:pPr>
            <w:r>
              <w:rPr>
                <w:rStyle w:val="PlaceholderText"/>
                <w:rFonts w:ascii="Arial" w:hAnsi="Arial" w:cs="Arial"/>
                <w:szCs w:val="18"/>
              </w:rPr>
              <w:t>2007</w:t>
            </w:r>
            <w:r w:rsidR="00B75E40">
              <w:rPr>
                <w:rStyle w:val="PlaceholderText"/>
                <w:rFonts w:ascii="Arial" w:hAnsi="Arial" w:cs="Arial"/>
                <w:szCs w:val="18"/>
              </w:rPr>
              <w:t xml:space="preserve"> to </w:t>
            </w:r>
            <w:r>
              <w:rPr>
                <w:rStyle w:val="PlaceholderText"/>
                <w:rFonts w:ascii="Arial" w:hAnsi="Arial" w:cs="Arial"/>
                <w:szCs w:val="18"/>
              </w:rPr>
              <w:t>2012</w:t>
            </w:r>
          </w:p>
          <w:p w:rsidR="00C51BD9" w:rsidRPr="002752D4" w:rsidRDefault="00C51BD9" w:rsidP="006054BB">
            <w:pPr>
              <w:keepNext/>
              <w:jc w:val="center"/>
              <w:rPr>
                <w:rStyle w:val="PlaceholderText"/>
                <w:rFonts w:ascii="Arial" w:hAnsi="Arial" w:cs="Arial"/>
                <w:b w:val="0"/>
                <w:szCs w:val="18"/>
              </w:rPr>
            </w:pPr>
            <w:r>
              <w:rPr>
                <w:rStyle w:val="PlaceholderText"/>
                <w:rFonts w:ascii="Arial" w:hAnsi="Arial" w:cs="Arial"/>
                <w:szCs w:val="18"/>
              </w:rPr>
              <w:t>%</w:t>
            </w:r>
          </w:p>
          <w:p w:rsidR="00B75E40" w:rsidRPr="002752D4" w:rsidRDefault="00B75E40" w:rsidP="006054BB">
            <w:pPr>
              <w:keepNext/>
              <w:jc w:val="center"/>
              <w:rPr>
                <w:rStyle w:val="PlaceholderText"/>
                <w:rFonts w:ascii="Arial" w:hAnsi="Arial" w:cs="Arial"/>
                <w:b w:val="0"/>
                <w:szCs w:val="18"/>
              </w:rPr>
            </w:pPr>
          </w:p>
        </w:tc>
        <w:tc>
          <w:tcPr>
            <w:tcW w:w="1235" w:type="pct"/>
            <w:vMerge w:val="restart"/>
            <w:tcBorders>
              <w:bottom w:val="single" w:sz="4" w:space="0" w:color="auto"/>
            </w:tcBorders>
          </w:tcPr>
          <w:p w:rsidR="00B75E40" w:rsidRPr="002752D4" w:rsidRDefault="00B75E40" w:rsidP="00C51BD9">
            <w:pPr>
              <w:keepNext/>
              <w:jc w:val="center"/>
              <w:rPr>
                <w:rStyle w:val="PlaceholderText"/>
                <w:rFonts w:ascii="Arial" w:hAnsi="Arial" w:cs="Arial"/>
                <w:b w:val="0"/>
                <w:szCs w:val="18"/>
              </w:rPr>
            </w:pPr>
            <w:r w:rsidRPr="002752D4">
              <w:rPr>
                <w:rStyle w:val="PlaceholderText"/>
                <w:rFonts w:ascii="Arial" w:hAnsi="Arial" w:cs="Arial"/>
                <w:szCs w:val="18"/>
              </w:rPr>
              <w:t>CAGR</w:t>
            </w:r>
          </w:p>
          <w:p w:rsidR="00B75E40" w:rsidRDefault="006C667D" w:rsidP="006054BB">
            <w:pPr>
              <w:keepNext/>
              <w:jc w:val="center"/>
              <w:rPr>
                <w:rStyle w:val="PlaceholderText"/>
                <w:rFonts w:ascii="Arial" w:hAnsi="Arial" w:cs="Arial"/>
                <w:b w:val="0"/>
                <w:szCs w:val="18"/>
              </w:rPr>
            </w:pPr>
            <w:r>
              <w:rPr>
                <w:rStyle w:val="PlaceholderText"/>
                <w:rFonts w:ascii="Arial" w:hAnsi="Arial" w:cs="Arial"/>
                <w:szCs w:val="18"/>
              </w:rPr>
              <w:t>2007</w:t>
            </w:r>
            <w:r w:rsidR="00B75E40">
              <w:rPr>
                <w:rStyle w:val="PlaceholderText"/>
                <w:rFonts w:ascii="Arial" w:hAnsi="Arial" w:cs="Arial"/>
                <w:szCs w:val="18"/>
              </w:rPr>
              <w:t xml:space="preserve"> to </w:t>
            </w:r>
            <w:r>
              <w:rPr>
                <w:rStyle w:val="PlaceholderText"/>
                <w:rFonts w:ascii="Arial" w:hAnsi="Arial" w:cs="Arial"/>
                <w:szCs w:val="18"/>
              </w:rPr>
              <w:t>2012</w:t>
            </w:r>
          </w:p>
          <w:p w:rsidR="00C51BD9" w:rsidRPr="002752D4" w:rsidRDefault="00C51BD9" w:rsidP="006054BB">
            <w:pPr>
              <w:keepNext/>
              <w:jc w:val="center"/>
              <w:rPr>
                <w:rStyle w:val="PlaceholderText"/>
                <w:rFonts w:ascii="Arial" w:hAnsi="Arial" w:cs="Arial"/>
                <w:b w:val="0"/>
                <w:szCs w:val="18"/>
              </w:rPr>
            </w:pPr>
            <w:r>
              <w:rPr>
                <w:rStyle w:val="PlaceholderText"/>
                <w:rFonts w:ascii="Arial" w:hAnsi="Arial" w:cs="Arial"/>
                <w:szCs w:val="18"/>
              </w:rPr>
              <w:t>%</w:t>
            </w:r>
          </w:p>
        </w:tc>
      </w:tr>
      <w:tr w:rsidR="00B75E40" w:rsidRPr="00980041" w:rsidTr="00215A21">
        <w:trPr>
          <w:cnfStyle w:val="000000100000" w:firstRow="0" w:lastRow="0" w:firstColumn="0" w:lastColumn="0" w:oddVBand="0" w:evenVBand="0" w:oddHBand="1" w:evenHBand="0" w:firstRowFirstColumn="0" w:firstRowLastColumn="0" w:lastRowFirstColumn="0" w:lastRowLastColumn="0"/>
          <w:trHeight w:val="397"/>
        </w:trPr>
        <w:tc>
          <w:tcPr>
            <w:tcW w:w="677" w:type="pct"/>
            <w:vMerge/>
            <w:tcBorders>
              <w:top w:val="single" w:sz="4" w:space="0" w:color="auto"/>
              <w:bottom w:val="single" w:sz="4" w:space="0" w:color="auto"/>
            </w:tcBorders>
          </w:tcPr>
          <w:p w:rsidR="00B75E40" w:rsidRDefault="00B75E40" w:rsidP="006054BB">
            <w:pPr>
              <w:keepNext/>
              <w:rPr>
                <w:rStyle w:val="PlaceholderText"/>
                <w:rFonts w:ascii="Arial" w:hAnsi="Arial" w:cs="Arial"/>
                <w:szCs w:val="18"/>
              </w:rPr>
            </w:pPr>
          </w:p>
        </w:tc>
        <w:tc>
          <w:tcPr>
            <w:tcW w:w="616" w:type="pct"/>
            <w:tcBorders>
              <w:top w:val="single" w:sz="4" w:space="0" w:color="auto"/>
              <w:bottom w:val="single" w:sz="4" w:space="0" w:color="auto"/>
            </w:tcBorders>
            <w:shd w:val="clear" w:color="auto" w:fill="auto"/>
          </w:tcPr>
          <w:p w:rsidR="00B75E40" w:rsidRDefault="006C667D" w:rsidP="006054BB">
            <w:pPr>
              <w:keepNext/>
              <w:jc w:val="center"/>
              <w:rPr>
                <w:rStyle w:val="PlaceholderText"/>
                <w:rFonts w:ascii="Arial" w:hAnsi="Arial" w:cs="Arial"/>
                <w:b/>
                <w:szCs w:val="18"/>
              </w:rPr>
            </w:pPr>
            <w:r>
              <w:rPr>
                <w:rStyle w:val="PlaceholderText"/>
                <w:rFonts w:ascii="Arial" w:hAnsi="Arial" w:cs="Arial"/>
                <w:szCs w:val="18"/>
              </w:rPr>
              <w:t>2007</w:t>
            </w:r>
          </w:p>
          <w:p w:rsidR="00B75E40" w:rsidRPr="002752D4" w:rsidRDefault="00B75E40" w:rsidP="006054BB">
            <w:pPr>
              <w:keepNext/>
              <w:jc w:val="center"/>
              <w:rPr>
                <w:rStyle w:val="PlaceholderText"/>
                <w:rFonts w:ascii="Arial" w:hAnsi="Arial" w:cs="Arial"/>
                <w:b/>
                <w:szCs w:val="18"/>
              </w:rPr>
            </w:pPr>
            <w:r>
              <w:rPr>
                <w:rStyle w:val="PlaceholderText"/>
                <w:rFonts w:ascii="Arial" w:hAnsi="Arial" w:cs="Arial"/>
                <w:szCs w:val="18"/>
              </w:rPr>
              <w:t>%</w:t>
            </w:r>
          </w:p>
        </w:tc>
        <w:tc>
          <w:tcPr>
            <w:tcW w:w="616" w:type="pct"/>
            <w:tcBorders>
              <w:top w:val="single" w:sz="4" w:space="0" w:color="auto"/>
              <w:bottom w:val="single" w:sz="4" w:space="0" w:color="auto"/>
            </w:tcBorders>
            <w:shd w:val="clear" w:color="auto" w:fill="auto"/>
          </w:tcPr>
          <w:p w:rsidR="00B75E40" w:rsidRDefault="006C667D" w:rsidP="006054BB">
            <w:pPr>
              <w:keepNext/>
              <w:jc w:val="center"/>
              <w:rPr>
                <w:rStyle w:val="PlaceholderText"/>
                <w:rFonts w:ascii="Arial" w:hAnsi="Arial" w:cs="Arial"/>
                <w:b/>
                <w:szCs w:val="18"/>
              </w:rPr>
            </w:pPr>
            <w:r>
              <w:rPr>
                <w:rStyle w:val="PlaceholderText"/>
                <w:rFonts w:ascii="Arial" w:hAnsi="Arial" w:cs="Arial"/>
                <w:szCs w:val="18"/>
              </w:rPr>
              <w:t>2009</w:t>
            </w:r>
          </w:p>
          <w:p w:rsidR="00B75E40" w:rsidRPr="002752D4" w:rsidRDefault="00B75E40" w:rsidP="006054BB">
            <w:pPr>
              <w:keepNext/>
              <w:jc w:val="center"/>
              <w:rPr>
                <w:rStyle w:val="PlaceholderText"/>
                <w:rFonts w:ascii="Arial" w:hAnsi="Arial" w:cs="Arial"/>
                <w:b/>
                <w:szCs w:val="18"/>
              </w:rPr>
            </w:pPr>
            <w:r>
              <w:rPr>
                <w:rStyle w:val="PlaceholderText"/>
                <w:rFonts w:ascii="Arial" w:hAnsi="Arial" w:cs="Arial"/>
                <w:szCs w:val="18"/>
              </w:rPr>
              <w:t>%</w:t>
            </w:r>
          </w:p>
        </w:tc>
        <w:tc>
          <w:tcPr>
            <w:tcW w:w="618" w:type="pct"/>
            <w:tcBorders>
              <w:top w:val="single" w:sz="4" w:space="0" w:color="auto"/>
              <w:bottom w:val="single" w:sz="4" w:space="0" w:color="auto"/>
            </w:tcBorders>
            <w:shd w:val="clear" w:color="auto" w:fill="auto"/>
          </w:tcPr>
          <w:p w:rsidR="00B75E40" w:rsidRDefault="006C667D" w:rsidP="006054BB">
            <w:pPr>
              <w:keepNext/>
              <w:jc w:val="center"/>
              <w:rPr>
                <w:rStyle w:val="PlaceholderText"/>
                <w:rFonts w:ascii="Arial" w:hAnsi="Arial" w:cs="Arial"/>
                <w:b/>
                <w:szCs w:val="18"/>
              </w:rPr>
            </w:pPr>
            <w:r>
              <w:rPr>
                <w:rStyle w:val="PlaceholderText"/>
                <w:rFonts w:ascii="Arial" w:hAnsi="Arial" w:cs="Arial"/>
                <w:szCs w:val="18"/>
              </w:rPr>
              <w:t>2012</w:t>
            </w:r>
          </w:p>
          <w:p w:rsidR="00B75E40" w:rsidRPr="002752D4" w:rsidRDefault="00B75E40" w:rsidP="006054BB">
            <w:pPr>
              <w:keepNext/>
              <w:jc w:val="center"/>
              <w:rPr>
                <w:rStyle w:val="PlaceholderText"/>
                <w:rFonts w:ascii="Arial" w:hAnsi="Arial" w:cs="Arial"/>
                <w:szCs w:val="18"/>
              </w:rPr>
            </w:pPr>
            <w:r>
              <w:rPr>
                <w:rStyle w:val="PlaceholderText"/>
                <w:rFonts w:ascii="Arial" w:hAnsi="Arial" w:cs="Arial"/>
                <w:szCs w:val="18"/>
              </w:rPr>
              <w:t>%</w:t>
            </w:r>
          </w:p>
        </w:tc>
        <w:tc>
          <w:tcPr>
            <w:tcW w:w="1238" w:type="pct"/>
            <w:vMerge/>
            <w:tcBorders>
              <w:bottom w:val="single" w:sz="4" w:space="0" w:color="auto"/>
            </w:tcBorders>
          </w:tcPr>
          <w:p w:rsidR="00B75E40" w:rsidRDefault="00B75E40" w:rsidP="006054BB">
            <w:pPr>
              <w:keepNext/>
              <w:jc w:val="center"/>
              <w:rPr>
                <w:rStyle w:val="PlaceholderText"/>
                <w:rFonts w:ascii="Arial" w:hAnsi="Arial" w:cs="Arial"/>
                <w:b/>
                <w:szCs w:val="18"/>
              </w:rPr>
            </w:pPr>
          </w:p>
        </w:tc>
        <w:tc>
          <w:tcPr>
            <w:tcW w:w="1235" w:type="pct"/>
            <w:vMerge/>
            <w:tcBorders>
              <w:bottom w:val="single" w:sz="4" w:space="0" w:color="auto"/>
            </w:tcBorders>
          </w:tcPr>
          <w:p w:rsidR="00B75E40" w:rsidRDefault="00B75E40" w:rsidP="006054BB">
            <w:pPr>
              <w:keepNext/>
              <w:jc w:val="center"/>
              <w:rPr>
                <w:rStyle w:val="PlaceholderText"/>
                <w:rFonts w:ascii="Arial" w:hAnsi="Arial" w:cs="Arial"/>
                <w:szCs w:val="18"/>
              </w:rPr>
            </w:pPr>
          </w:p>
        </w:tc>
      </w:tr>
      <w:tr w:rsidR="00B75E40" w:rsidRPr="00980041" w:rsidTr="00215A21">
        <w:trPr>
          <w:trHeight w:val="397"/>
        </w:trPr>
        <w:tc>
          <w:tcPr>
            <w:tcW w:w="677" w:type="pct"/>
            <w:tcBorders>
              <w:top w:val="single" w:sz="4" w:space="0" w:color="auto"/>
            </w:tcBorders>
            <w:shd w:val="clear" w:color="auto" w:fill="D9D9D9" w:themeFill="background1" w:themeFillShade="D9"/>
          </w:tcPr>
          <w:p w:rsidR="00B75E40" w:rsidRPr="002752D4" w:rsidRDefault="00B75E40" w:rsidP="006054BB">
            <w:pPr>
              <w:spacing w:line="240" w:lineRule="auto"/>
            </w:pPr>
            <w:r w:rsidRPr="002752D4">
              <w:t>Black coal</w:t>
            </w:r>
          </w:p>
        </w:tc>
        <w:tc>
          <w:tcPr>
            <w:tcW w:w="616" w:type="pct"/>
            <w:tcBorders>
              <w:top w:val="single" w:sz="4" w:space="0" w:color="auto"/>
            </w:tcBorders>
            <w:shd w:val="clear" w:color="auto" w:fill="D9D9D9" w:themeFill="background1" w:themeFillShade="D9"/>
          </w:tcPr>
          <w:p w:rsidR="00B75E40" w:rsidRPr="002752D4" w:rsidRDefault="00B75E40" w:rsidP="006054BB">
            <w:pPr>
              <w:tabs>
                <w:tab w:val="decimal" w:pos="401"/>
              </w:tabs>
              <w:spacing w:line="240" w:lineRule="auto"/>
              <w:jc w:val="center"/>
              <w:rPr>
                <w:rFonts w:ascii="Arial" w:hAnsi="Arial" w:cs="Arial"/>
                <w:szCs w:val="18"/>
              </w:rPr>
            </w:pPr>
            <w:r w:rsidRPr="002752D4">
              <w:rPr>
                <w:rFonts w:ascii="Arial" w:hAnsi="Arial" w:cs="Arial"/>
                <w:szCs w:val="18"/>
              </w:rPr>
              <w:t>54.4</w:t>
            </w:r>
          </w:p>
        </w:tc>
        <w:tc>
          <w:tcPr>
            <w:tcW w:w="616" w:type="pct"/>
            <w:tcBorders>
              <w:top w:val="single" w:sz="4" w:space="0" w:color="auto"/>
            </w:tcBorders>
            <w:shd w:val="clear" w:color="auto" w:fill="D9D9D9" w:themeFill="background1" w:themeFillShade="D9"/>
          </w:tcPr>
          <w:p w:rsidR="00B75E40" w:rsidRPr="002752D4" w:rsidRDefault="00B75E40" w:rsidP="006054BB">
            <w:pPr>
              <w:tabs>
                <w:tab w:val="decimal" w:pos="414"/>
              </w:tabs>
              <w:spacing w:line="240" w:lineRule="auto"/>
              <w:jc w:val="center"/>
              <w:rPr>
                <w:rFonts w:ascii="Arial" w:hAnsi="Arial" w:cs="Arial"/>
                <w:szCs w:val="18"/>
              </w:rPr>
            </w:pPr>
            <w:r w:rsidRPr="002752D4">
              <w:rPr>
                <w:rFonts w:ascii="Arial" w:hAnsi="Arial" w:cs="Arial"/>
                <w:szCs w:val="18"/>
              </w:rPr>
              <w:t>51.0</w:t>
            </w:r>
          </w:p>
        </w:tc>
        <w:tc>
          <w:tcPr>
            <w:tcW w:w="618" w:type="pct"/>
            <w:tcBorders>
              <w:top w:val="single" w:sz="4" w:space="0" w:color="auto"/>
            </w:tcBorders>
            <w:shd w:val="clear" w:color="auto" w:fill="D9D9D9" w:themeFill="background1" w:themeFillShade="D9"/>
          </w:tcPr>
          <w:p w:rsidR="00B75E40" w:rsidRPr="002752D4" w:rsidRDefault="00B75E40" w:rsidP="006054BB">
            <w:pPr>
              <w:tabs>
                <w:tab w:val="decimal" w:pos="406"/>
              </w:tabs>
              <w:spacing w:line="240" w:lineRule="auto"/>
              <w:jc w:val="center"/>
              <w:rPr>
                <w:rFonts w:ascii="Arial" w:hAnsi="Arial" w:cs="Arial"/>
                <w:szCs w:val="18"/>
              </w:rPr>
            </w:pPr>
            <w:r w:rsidRPr="002752D4">
              <w:rPr>
                <w:rFonts w:ascii="Arial" w:hAnsi="Arial" w:cs="Arial"/>
                <w:szCs w:val="18"/>
              </w:rPr>
              <w:t>47.4</w:t>
            </w:r>
          </w:p>
        </w:tc>
        <w:tc>
          <w:tcPr>
            <w:tcW w:w="1238" w:type="pct"/>
            <w:tcBorders>
              <w:top w:val="single" w:sz="4" w:space="0" w:color="auto"/>
            </w:tcBorders>
            <w:shd w:val="clear" w:color="auto" w:fill="D9D9D9" w:themeFill="background1" w:themeFillShade="D9"/>
          </w:tcPr>
          <w:p w:rsidR="00B75E40" w:rsidRPr="002752D4" w:rsidRDefault="00B75E40" w:rsidP="00C51BD9">
            <w:pPr>
              <w:tabs>
                <w:tab w:val="decimal" w:pos="1038"/>
              </w:tabs>
              <w:spacing w:line="240" w:lineRule="auto"/>
              <w:rPr>
                <w:rFonts w:ascii="Arial" w:hAnsi="Arial" w:cs="Arial"/>
                <w:szCs w:val="18"/>
              </w:rPr>
            </w:pPr>
            <w:r w:rsidRPr="002752D4">
              <w:rPr>
                <w:rFonts w:ascii="Arial" w:hAnsi="Arial" w:cs="Arial"/>
                <w:szCs w:val="18"/>
              </w:rPr>
              <w:t>-9.1</w:t>
            </w:r>
          </w:p>
        </w:tc>
        <w:tc>
          <w:tcPr>
            <w:tcW w:w="1235" w:type="pct"/>
            <w:tcBorders>
              <w:top w:val="single" w:sz="4" w:space="0" w:color="auto"/>
            </w:tcBorders>
            <w:shd w:val="clear" w:color="auto" w:fill="D9D9D9" w:themeFill="background1" w:themeFillShade="D9"/>
          </w:tcPr>
          <w:p w:rsidR="00B75E40" w:rsidRPr="002752D4" w:rsidRDefault="00B75E40" w:rsidP="00C51BD9">
            <w:pPr>
              <w:tabs>
                <w:tab w:val="decimal" w:pos="1151"/>
              </w:tabs>
              <w:spacing w:line="240" w:lineRule="auto"/>
              <w:rPr>
                <w:rFonts w:ascii="Arial" w:hAnsi="Arial" w:cs="Arial"/>
                <w:szCs w:val="18"/>
              </w:rPr>
            </w:pPr>
            <w:r w:rsidRPr="002752D4">
              <w:rPr>
                <w:rFonts w:ascii="Arial" w:hAnsi="Arial" w:cs="Arial"/>
                <w:szCs w:val="18"/>
              </w:rPr>
              <w:t>-1.</w:t>
            </w:r>
            <w:r w:rsidR="00C51BD9">
              <w:rPr>
                <w:rFonts w:ascii="Arial" w:hAnsi="Arial" w:cs="Arial"/>
                <w:szCs w:val="18"/>
              </w:rPr>
              <w:t>9</w:t>
            </w:r>
          </w:p>
        </w:tc>
      </w:tr>
      <w:tr w:rsidR="00B75E40" w:rsidRPr="00980041" w:rsidTr="00215A21">
        <w:trPr>
          <w:cnfStyle w:val="000000100000" w:firstRow="0" w:lastRow="0" w:firstColumn="0" w:lastColumn="0" w:oddVBand="0" w:evenVBand="0" w:oddHBand="1" w:evenHBand="0" w:firstRowFirstColumn="0" w:firstRowLastColumn="0" w:lastRowFirstColumn="0" w:lastRowLastColumn="0"/>
          <w:trHeight w:val="397"/>
        </w:trPr>
        <w:tc>
          <w:tcPr>
            <w:tcW w:w="677" w:type="pct"/>
            <w:shd w:val="clear" w:color="auto" w:fill="auto"/>
          </w:tcPr>
          <w:p w:rsidR="00B75E40" w:rsidRPr="002752D4" w:rsidRDefault="00B75E40" w:rsidP="006054BB">
            <w:pPr>
              <w:spacing w:line="240" w:lineRule="auto"/>
            </w:pPr>
            <w:r w:rsidRPr="002752D4">
              <w:t xml:space="preserve">Brown coal </w:t>
            </w:r>
          </w:p>
        </w:tc>
        <w:tc>
          <w:tcPr>
            <w:tcW w:w="616" w:type="pct"/>
            <w:shd w:val="clear" w:color="auto" w:fill="auto"/>
          </w:tcPr>
          <w:p w:rsidR="00B75E40" w:rsidRPr="002752D4" w:rsidRDefault="00B75E40" w:rsidP="006054BB">
            <w:pPr>
              <w:tabs>
                <w:tab w:val="decimal" w:pos="401"/>
              </w:tabs>
              <w:spacing w:line="240" w:lineRule="auto"/>
              <w:jc w:val="center"/>
              <w:rPr>
                <w:rFonts w:ascii="Arial" w:hAnsi="Arial" w:cs="Arial"/>
                <w:szCs w:val="18"/>
              </w:rPr>
            </w:pPr>
            <w:r w:rsidRPr="002752D4">
              <w:rPr>
                <w:rFonts w:ascii="Arial" w:hAnsi="Arial" w:cs="Arial"/>
                <w:szCs w:val="18"/>
              </w:rPr>
              <w:t>22.4</w:t>
            </w:r>
          </w:p>
        </w:tc>
        <w:tc>
          <w:tcPr>
            <w:tcW w:w="616" w:type="pct"/>
            <w:shd w:val="clear" w:color="auto" w:fill="auto"/>
          </w:tcPr>
          <w:p w:rsidR="00B75E40" w:rsidRPr="002752D4" w:rsidRDefault="00B75E40" w:rsidP="006054BB">
            <w:pPr>
              <w:tabs>
                <w:tab w:val="decimal" w:pos="414"/>
              </w:tabs>
              <w:spacing w:line="240" w:lineRule="auto"/>
              <w:jc w:val="center"/>
              <w:rPr>
                <w:rFonts w:ascii="Arial" w:hAnsi="Arial" w:cs="Arial"/>
                <w:szCs w:val="18"/>
              </w:rPr>
            </w:pPr>
            <w:r w:rsidRPr="002752D4">
              <w:rPr>
                <w:rFonts w:ascii="Arial" w:hAnsi="Arial" w:cs="Arial"/>
                <w:szCs w:val="18"/>
              </w:rPr>
              <w:t>22.8</w:t>
            </w:r>
          </w:p>
        </w:tc>
        <w:tc>
          <w:tcPr>
            <w:tcW w:w="618" w:type="pct"/>
            <w:shd w:val="clear" w:color="auto" w:fill="auto"/>
          </w:tcPr>
          <w:p w:rsidR="00B75E40" w:rsidRPr="002752D4" w:rsidRDefault="00B75E40" w:rsidP="006054BB">
            <w:pPr>
              <w:tabs>
                <w:tab w:val="decimal" w:pos="406"/>
              </w:tabs>
              <w:spacing w:line="240" w:lineRule="auto"/>
              <w:jc w:val="center"/>
              <w:rPr>
                <w:rFonts w:ascii="Arial" w:hAnsi="Arial" w:cs="Arial"/>
                <w:szCs w:val="18"/>
              </w:rPr>
            </w:pPr>
            <w:r w:rsidRPr="002752D4">
              <w:rPr>
                <w:rFonts w:ascii="Arial" w:hAnsi="Arial" w:cs="Arial"/>
                <w:szCs w:val="18"/>
              </w:rPr>
              <w:t>21.7</w:t>
            </w:r>
          </w:p>
        </w:tc>
        <w:tc>
          <w:tcPr>
            <w:tcW w:w="1238" w:type="pct"/>
            <w:shd w:val="clear" w:color="auto" w:fill="auto"/>
          </w:tcPr>
          <w:p w:rsidR="00B75E40" w:rsidRPr="002752D4" w:rsidRDefault="00B75E40" w:rsidP="006054BB">
            <w:pPr>
              <w:tabs>
                <w:tab w:val="decimal" w:pos="1038"/>
              </w:tabs>
              <w:spacing w:line="240" w:lineRule="auto"/>
              <w:rPr>
                <w:rFonts w:ascii="Arial" w:hAnsi="Arial" w:cs="Arial"/>
                <w:szCs w:val="18"/>
              </w:rPr>
            </w:pPr>
            <w:r w:rsidRPr="002752D4">
              <w:rPr>
                <w:rFonts w:ascii="Arial" w:hAnsi="Arial" w:cs="Arial"/>
                <w:szCs w:val="18"/>
              </w:rPr>
              <w:t>1.</w:t>
            </w:r>
            <w:r w:rsidR="00C51BD9">
              <w:rPr>
                <w:rFonts w:ascii="Arial" w:hAnsi="Arial" w:cs="Arial"/>
                <w:szCs w:val="18"/>
              </w:rPr>
              <w:t>3</w:t>
            </w:r>
          </w:p>
        </w:tc>
        <w:tc>
          <w:tcPr>
            <w:tcW w:w="1235" w:type="pct"/>
            <w:shd w:val="clear" w:color="auto" w:fill="auto"/>
          </w:tcPr>
          <w:p w:rsidR="00B75E40" w:rsidRPr="002752D4" w:rsidRDefault="00B75E40" w:rsidP="00C51BD9">
            <w:pPr>
              <w:tabs>
                <w:tab w:val="decimal" w:pos="1151"/>
              </w:tabs>
              <w:spacing w:line="240" w:lineRule="auto"/>
              <w:rPr>
                <w:rFonts w:ascii="Arial" w:hAnsi="Arial" w:cs="Arial"/>
                <w:szCs w:val="18"/>
              </w:rPr>
            </w:pPr>
            <w:r w:rsidRPr="002752D4">
              <w:rPr>
                <w:rFonts w:ascii="Arial" w:hAnsi="Arial" w:cs="Arial"/>
                <w:szCs w:val="18"/>
              </w:rPr>
              <w:t>0.</w:t>
            </w:r>
            <w:r w:rsidR="00C51BD9">
              <w:rPr>
                <w:rFonts w:ascii="Arial" w:hAnsi="Arial" w:cs="Arial"/>
                <w:szCs w:val="18"/>
              </w:rPr>
              <w:t>3</w:t>
            </w:r>
          </w:p>
        </w:tc>
      </w:tr>
      <w:tr w:rsidR="00B75E40" w:rsidRPr="00980041" w:rsidTr="00215A21">
        <w:trPr>
          <w:trHeight w:val="397"/>
        </w:trPr>
        <w:tc>
          <w:tcPr>
            <w:tcW w:w="677" w:type="pct"/>
            <w:shd w:val="clear" w:color="auto" w:fill="D9D9D9" w:themeFill="background1" w:themeFillShade="D9"/>
          </w:tcPr>
          <w:p w:rsidR="00B75E40" w:rsidRPr="002752D4" w:rsidRDefault="00B75E40" w:rsidP="006054BB">
            <w:pPr>
              <w:spacing w:line="240" w:lineRule="auto"/>
            </w:pPr>
            <w:r w:rsidRPr="002752D4">
              <w:t>Natural gas</w:t>
            </w:r>
          </w:p>
        </w:tc>
        <w:tc>
          <w:tcPr>
            <w:tcW w:w="616" w:type="pct"/>
            <w:shd w:val="clear" w:color="auto" w:fill="D9D9D9" w:themeFill="background1" w:themeFillShade="D9"/>
          </w:tcPr>
          <w:p w:rsidR="00B75E40" w:rsidRPr="002752D4" w:rsidRDefault="00B75E40" w:rsidP="006054BB">
            <w:pPr>
              <w:tabs>
                <w:tab w:val="decimal" w:pos="401"/>
              </w:tabs>
              <w:spacing w:line="240" w:lineRule="auto"/>
              <w:jc w:val="center"/>
              <w:rPr>
                <w:rFonts w:ascii="Arial" w:hAnsi="Arial" w:cs="Arial"/>
                <w:szCs w:val="18"/>
              </w:rPr>
            </w:pPr>
            <w:r w:rsidRPr="002752D4">
              <w:rPr>
                <w:rFonts w:ascii="Arial" w:hAnsi="Arial" w:cs="Arial"/>
                <w:szCs w:val="18"/>
              </w:rPr>
              <w:t>13.1</w:t>
            </w:r>
          </w:p>
        </w:tc>
        <w:tc>
          <w:tcPr>
            <w:tcW w:w="616" w:type="pct"/>
            <w:shd w:val="clear" w:color="auto" w:fill="D9D9D9" w:themeFill="background1" w:themeFillShade="D9"/>
          </w:tcPr>
          <w:p w:rsidR="00B75E40" w:rsidRPr="002752D4" w:rsidRDefault="00B75E40" w:rsidP="006054BB">
            <w:pPr>
              <w:tabs>
                <w:tab w:val="decimal" w:pos="414"/>
              </w:tabs>
              <w:spacing w:line="240" w:lineRule="auto"/>
              <w:jc w:val="center"/>
              <w:rPr>
                <w:rFonts w:ascii="Arial" w:hAnsi="Arial" w:cs="Arial"/>
                <w:szCs w:val="18"/>
              </w:rPr>
            </w:pPr>
            <w:r w:rsidRPr="002752D4">
              <w:rPr>
                <w:rFonts w:ascii="Arial" w:hAnsi="Arial" w:cs="Arial"/>
                <w:szCs w:val="18"/>
              </w:rPr>
              <w:t>15.1</w:t>
            </w:r>
          </w:p>
        </w:tc>
        <w:tc>
          <w:tcPr>
            <w:tcW w:w="618" w:type="pct"/>
            <w:shd w:val="clear" w:color="auto" w:fill="D9D9D9" w:themeFill="background1" w:themeFillShade="D9"/>
          </w:tcPr>
          <w:p w:rsidR="00B75E40" w:rsidRPr="002752D4" w:rsidRDefault="00B75E40" w:rsidP="006054BB">
            <w:pPr>
              <w:tabs>
                <w:tab w:val="decimal" w:pos="406"/>
              </w:tabs>
              <w:spacing w:line="240" w:lineRule="auto"/>
              <w:jc w:val="center"/>
              <w:rPr>
                <w:rFonts w:ascii="Arial" w:hAnsi="Arial" w:cs="Arial"/>
                <w:szCs w:val="18"/>
              </w:rPr>
            </w:pPr>
            <w:r w:rsidRPr="002752D4">
              <w:rPr>
                <w:rFonts w:ascii="Arial" w:hAnsi="Arial" w:cs="Arial"/>
                <w:szCs w:val="18"/>
              </w:rPr>
              <w:t>19.3</w:t>
            </w:r>
          </w:p>
        </w:tc>
        <w:tc>
          <w:tcPr>
            <w:tcW w:w="1238" w:type="pct"/>
            <w:shd w:val="clear" w:color="auto" w:fill="D9D9D9" w:themeFill="background1" w:themeFillShade="D9"/>
          </w:tcPr>
          <w:p w:rsidR="00B75E40" w:rsidRPr="002752D4" w:rsidRDefault="00B75E40" w:rsidP="006054BB">
            <w:pPr>
              <w:tabs>
                <w:tab w:val="decimal" w:pos="1038"/>
              </w:tabs>
              <w:spacing w:line="240" w:lineRule="auto"/>
              <w:rPr>
                <w:rFonts w:ascii="Arial" w:hAnsi="Arial" w:cs="Arial"/>
                <w:szCs w:val="18"/>
              </w:rPr>
            </w:pPr>
            <w:r w:rsidRPr="002752D4">
              <w:rPr>
                <w:rFonts w:ascii="Arial" w:hAnsi="Arial" w:cs="Arial"/>
                <w:szCs w:val="18"/>
              </w:rPr>
              <w:t>5</w:t>
            </w:r>
            <w:r w:rsidR="00C51BD9">
              <w:rPr>
                <w:rFonts w:ascii="Arial" w:hAnsi="Arial" w:cs="Arial"/>
                <w:szCs w:val="18"/>
              </w:rPr>
              <w:t>4</w:t>
            </w:r>
          </w:p>
        </w:tc>
        <w:tc>
          <w:tcPr>
            <w:tcW w:w="1235" w:type="pct"/>
            <w:shd w:val="clear" w:color="auto" w:fill="D9D9D9" w:themeFill="background1" w:themeFillShade="D9"/>
          </w:tcPr>
          <w:p w:rsidR="00B75E40" w:rsidRPr="002752D4" w:rsidRDefault="00C51BD9" w:rsidP="006054BB">
            <w:pPr>
              <w:tabs>
                <w:tab w:val="decimal" w:pos="1151"/>
              </w:tabs>
              <w:spacing w:line="240" w:lineRule="auto"/>
              <w:rPr>
                <w:rFonts w:ascii="Arial" w:hAnsi="Arial" w:cs="Arial"/>
                <w:szCs w:val="18"/>
              </w:rPr>
            </w:pPr>
            <w:r>
              <w:rPr>
                <w:rFonts w:ascii="Arial" w:hAnsi="Arial" w:cs="Arial"/>
                <w:szCs w:val="18"/>
              </w:rPr>
              <w:t>9</w:t>
            </w:r>
          </w:p>
        </w:tc>
      </w:tr>
      <w:tr w:rsidR="00B75E40" w:rsidRPr="00980041" w:rsidTr="00215A21">
        <w:trPr>
          <w:cnfStyle w:val="000000100000" w:firstRow="0" w:lastRow="0" w:firstColumn="0" w:lastColumn="0" w:oddVBand="0" w:evenVBand="0" w:oddHBand="1" w:evenHBand="0" w:firstRowFirstColumn="0" w:firstRowLastColumn="0" w:lastRowFirstColumn="0" w:lastRowLastColumn="0"/>
          <w:trHeight w:val="397"/>
        </w:trPr>
        <w:tc>
          <w:tcPr>
            <w:tcW w:w="677" w:type="pct"/>
            <w:shd w:val="clear" w:color="auto" w:fill="auto"/>
          </w:tcPr>
          <w:p w:rsidR="00B75E40" w:rsidRPr="002752D4" w:rsidRDefault="00B75E40" w:rsidP="006054BB">
            <w:pPr>
              <w:spacing w:line="240" w:lineRule="auto"/>
            </w:pPr>
            <w:r>
              <w:t>Oil</w:t>
            </w:r>
          </w:p>
        </w:tc>
        <w:tc>
          <w:tcPr>
            <w:tcW w:w="616" w:type="pct"/>
            <w:shd w:val="clear" w:color="auto" w:fill="auto"/>
          </w:tcPr>
          <w:p w:rsidR="00B75E40" w:rsidRPr="002752D4" w:rsidRDefault="00B75E40" w:rsidP="006054BB">
            <w:pPr>
              <w:tabs>
                <w:tab w:val="decimal" w:pos="401"/>
              </w:tabs>
              <w:spacing w:line="240" w:lineRule="auto"/>
              <w:jc w:val="center"/>
              <w:rPr>
                <w:rFonts w:ascii="Arial" w:hAnsi="Arial" w:cs="Arial"/>
                <w:szCs w:val="18"/>
              </w:rPr>
            </w:pPr>
            <w:r>
              <w:rPr>
                <w:rFonts w:ascii="Arial" w:hAnsi="Arial" w:cs="Arial"/>
                <w:szCs w:val="18"/>
              </w:rPr>
              <w:t>1.1</w:t>
            </w:r>
          </w:p>
        </w:tc>
        <w:tc>
          <w:tcPr>
            <w:tcW w:w="616" w:type="pct"/>
            <w:shd w:val="clear" w:color="auto" w:fill="auto"/>
          </w:tcPr>
          <w:p w:rsidR="00B75E40" w:rsidRPr="002752D4" w:rsidRDefault="00B75E40" w:rsidP="006054BB">
            <w:pPr>
              <w:tabs>
                <w:tab w:val="decimal" w:pos="414"/>
              </w:tabs>
              <w:spacing w:line="240" w:lineRule="auto"/>
              <w:jc w:val="center"/>
              <w:rPr>
                <w:rFonts w:ascii="Arial" w:hAnsi="Arial" w:cs="Arial"/>
                <w:szCs w:val="18"/>
              </w:rPr>
            </w:pPr>
            <w:r>
              <w:rPr>
                <w:rFonts w:ascii="Arial" w:hAnsi="Arial" w:cs="Arial"/>
                <w:szCs w:val="18"/>
              </w:rPr>
              <w:t>2.1</w:t>
            </w:r>
          </w:p>
        </w:tc>
        <w:tc>
          <w:tcPr>
            <w:tcW w:w="618" w:type="pct"/>
            <w:shd w:val="clear" w:color="auto" w:fill="auto"/>
          </w:tcPr>
          <w:p w:rsidR="00B75E40" w:rsidRPr="002752D4" w:rsidRDefault="00B75E40" w:rsidP="006054BB">
            <w:pPr>
              <w:tabs>
                <w:tab w:val="decimal" w:pos="406"/>
              </w:tabs>
              <w:spacing w:line="240" w:lineRule="auto"/>
              <w:jc w:val="center"/>
              <w:rPr>
                <w:rFonts w:ascii="Arial" w:hAnsi="Arial" w:cs="Arial"/>
                <w:szCs w:val="18"/>
              </w:rPr>
            </w:pPr>
            <w:r>
              <w:rPr>
                <w:rFonts w:ascii="Arial" w:hAnsi="Arial" w:cs="Arial"/>
                <w:szCs w:val="18"/>
              </w:rPr>
              <w:t>1.2</w:t>
            </w:r>
          </w:p>
        </w:tc>
        <w:tc>
          <w:tcPr>
            <w:tcW w:w="1238" w:type="pct"/>
            <w:shd w:val="clear" w:color="auto" w:fill="auto"/>
          </w:tcPr>
          <w:p w:rsidR="00B75E40" w:rsidRPr="002752D4" w:rsidRDefault="00B75E40" w:rsidP="006054BB">
            <w:pPr>
              <w:tabs>
                <w:tab w:val="decimal" w:pos="1038"/>
              </w:tabs>
              <w:spacing w:line="240" w:lineRule="auto"/>
              <w:rPr>
                <w:rFonts w:ascii="Arial" w:hAnsi="Arial" w:cs="Arial"/>
                <w:szCs w:val="18"/>
              </w:rPr>
            </w:pPr>
            <w:r>
              <w:rPr>
                <w:rFonts w:ascii="Arial" w:hAnsi="Arial" w:cs="Arial"/>
                <w:szCs w:val="18"/>
              </w:rPr>
              <w:t>6.1</w:t>
            </w:r>
          </w:p>
        </w:tc>
        <w:tc>
          <w:tcPr>
            <w:tcW w:w="1235" w:type="pct"/>
            <w:shd w:val="clear" w:color="auto" w:fill="auto"/>
          </w:tcPr>
          <w:p w:rsidR="00B75E40" w:rsidRPr="002752D4" w:rsidRDefault="00B75E40" w:rsidP="006054BB">
            <w:pPr>
              <w:tabs>
                <w:tab w:val="decimal" w:pos="1151"/>
              </w:tabs>
              <w:spacing w:line="240" w:lineRule="auto"/>
              <w:rPr>
                <w:rFonts w:ascii="Arial" w:hAnsi="Arial" w:cs="Arial"/>
                <w:szCs w:val="18"/>
              </w:rPr>
            </w:pPr>
            <w:r>
              <w:rPr>
                <w:rFonts w:ascii="Arial" w:hAnsi="Arial" w:cs="Arial"/>
                <w:szCs w:val="18"/>
              </w:rPr>
              <w:t>1.1</w:t>
            </w:r>
          </w:p>
        </w:tc>
      </w:tr>
      <w:tr w:rsidR="00B75E40" w:rsidRPr="00980041" w:rsidTr="00215A21">
        <w:trPr>
          <w:trHeight w:val="397"/>
        </w:trPr>
        <w:tc>
          <w:tcPr>
            <w:tcW w:w="677" w:type="pct"/>
            <w:shd w:val="clear" w:color="auto" w:fill="D9D9D9" w:themeFill="background1" w:themeFillShade="D9"/>
          </w:tcPr>
          <w:p w:rsidR="00B75E40" w:rsidRPr="002752D4" w:rsidRDefault="00B75E40" w:rsidP="006054BB">
            <w:pPr>
              <w:spacing w:line="240" w:lineRule="auto"/>
            </w:pPr>
            <w:r w:rsidRPr="002752D4">
              <w:t>Renewable</w:t>
            </w:r>
          </w:p>
        </w:tc>
        <w:tc>
          <w:tcPr>
            <w:tcW w:w="616" w:type="pct"/>
            <w:shd w:val="clear" w:color="auto" w:fill="D9D9D9" w:themeFill="background1" w:themeFillShade="D9"/>
          </w:tcPr>
          <w:p w:rsidR="00B75E40" w:rsidRPr="002752D4" w:rsidRDefault="00B75E40" w:rsidP="006054BB">
            <w:pPr>
              <w:tabs>
                <w:tab w:val="decimal" w:pos="401"/>
              </w:tabs>
              <w:spacing w:line="240" w:lineRule="auto"/>
              <w:jc w:val="center"/>
              <w:rPr>
                <w:rFonts w:ascii="Arial" w:hAnsi="Arial" w:cs="Arial"/>
                <w:szCs w:val="18"/>
              </w:rPr>
            </w:pPr>
            <w:r w:rsidRPr="002752D4">
              <w:rPr>
                <w:rFonts w:ascii="Arial" w:hAnsi="Arial" w:cs="Arial"/>
                <w:szCs w:val="18"/>
              </w:rPr>
              <w:t>8.71</w:t>
            </w:r>
          </w:p>
        </w:tc>
        <w:tc>
          <w:tcPr>
            <w:tcW w:w="616" w:type="pct"/>
            <w:shd w:val="clear" w:color="auto" w:fill="D9D9D9" w:themeFill="background1" w:themeFillShade="D9"/>
          </w:tcPr>
          <w:p w:rsidR="00B75E40" w:rsidRPr="002752D4" w:rsidRDefault="00B75E40" w:rsidP="006054BB">
            <w:pPr>
              <w:tabs>
                <w:tab w:val="decimal" w:pos="414"/>
              </w:tabs>
              <w:spacing w:line="240" w:lineRule="auto"/>
              <w:jc w:val="center"/>
              <w:rPr>
                <w:rFonts w:ascii="Arial" w:hAnsi="Arial" w:cs="Arial"/>
                <w:szCs w:val="18"/>
              </w:rPr>
            </w:pPr>
            <w:r w:rsidRPr="002752D4">
              <w:rPr>
                <w:rFonts w:ascii="Arial" w:hAnsi="Arial" w:cs="Arial"/>
                <w:szCs w:val="18"/>
              </w:rPr>
              <w:t>7.47</w:t>
            </w:r>
          </w:p>
        </w:tc>
        <w:tc>
          <w:tcPr>
            <w:tcW w:w="618" w:type="pct"/>
            <w:shd w:val="clear" w:color="auto" w:fill="D9D9D9" w:themeFill="background1" w:themeFillShade="D9"/>
          </w:tcPr>
          <w:p w:rsidR="00B75E40" w:rsidRPr="002752D4" w:rsidRDefault="00B75E40" w:rsidP="006054BB">
            <w:pPr>
              <w:tabs>
                <w:tab w:val="decimal" w:pos="406"/>
              </w:tabs>
              <w:spacing w:line="240" w:lineRule="auto"/>
              <w:jc w:val="center"/>
              <w:rPr>
                <w:rFonts w:ascii="Arial" w:hAnsi="Arial" w:cs="Arial"/>
                <w:szCs w:val="18"/>
              </w:rPr>
            </w:pPr>
            <w:r w:rsidRPr="002752D4">
              <w:rPr>
                <w:rFonts w:ascii="Arial" w:hAnsi="Arial" w:cs="Arial"/>
                <w:szCs w:val="18"/>
              </w:rPr>
              <w:t>9.47</w:t>
            </w:r>
          </w:p>
        </w:tc>
        <w:tc>
          <w:tcPr>
            <w:tcW w:w="1238" w:type="pct"/>
            <w:shd w:val="clear" w:color="auto" w:fill="D9D9D9" w:themeFill="background1" w:themeFillShade="D9"/>
          </w:tcPr>
          <w:p w:rsidR="00B75E40" w:rsidRPr="002752D4" w:rsidRDefault="00B75E40" w:rsidP="006054BB">
            <w:pPr>
              <w:tabs>
                <w:tab w:val="decimal" w:pos="1038"/>
              </w:tabs>
              <w:spacing w:line="240" w:lineRule="auto"/>
              <w:rPr>
                <w:rFonts w:ascii="Arial" w:hAnsi="Arial" w:cs="Arial"/>
                <w:szCs w:val="18"/>
              </w:rPr>
            </w:pPr>
            <w:r w:rsidRPr="002752D4">
              <w:rPr>
                <w:rFonts w:ascii="Arial" w:hAnsi="Arial" w:cs="Arial"/>
                <w:szCs w:val="18"/>
              </w:rPr>
              <w:t>13</w:t>
            </w:r>
          </w:p>
        </w:tc>
        <w:tc>
          <w:tcPr>
            <w:tcW w:w="1235" w:type="pct"/>
            <w:shd w:val="clear" w:color="auto" w:fill="D9D9D9" w:themeFill="background1" w:themeFillShade="D9"/>
          </w:tcPr>
          <w:p w:rsidR="00B75E40" w:rsidRPr="002752D4" w:rsidRDefault="00B75E40" w:rsidP="006054BB">
            <w:pPr>
              <w:tabs>
                <w:tab w:val="decimal" w:pos="1151"/>
              </w:tabs>
              <w:spacing w:line="240" w:lineRule="auto"/>
              <w:rPr>
                <w:rFonts w:ascii="Arial" w:hAnsi="Arial" w:cs="Arial"/>
                <w:szCs w:val="18"/>
              </w:rPr>
            </w:pPr>
            <w:r w:rsidRPr="002752D4">
              <w:rPr>
                <w:rFonts w:ascii="Arial" w:hAnsi="Arial" w:cs="Arial"/>
                <w:szCs w:val="18"/>
              </w:rPr>
              <w:t>2.</w:t>
            </w:r>
            <w:r w:rsidR="0067750E">
              <w:rPr>
                <w:rFonts w:ascii="Arial" w:hAnsi="Arial" w:cs="Arial"/>
                <w:szCs w:val="18"/>
              </w:rPr>
              <w:t>6</w:t>
            </w:r>
          </w:p>
        </w:tc>
      </w:tr>
    </w:tbl>
    <w:p w:rsidR="00B75E40" w:rsidRPr="00820511" w:rsidRDefault="00B75E40" w:rsidP="00B75E40">
      <w:pPr>
        <w:pStyle w:val="Header"/>
        <w:pBdr>
          <w:bottom w:val="none" w:sz="0" w:space="0" w:color="auto"/>
        </w:pBdr>
      </w:pPr>
    </w:p>
    <w:p w:rsidR="00B75E40" w:rsidRDefault="00B75E40" w:rsidP="00B75E40">
      <w:pPr>
        <w:pStyle w:val="Note"/>
      </w:pPr>
      <w:r>
        <w:t>Note:</w:t>
      </w:r>
      <w:r>
        <w:tab/>
        <w:t>Shares are calculated using total generated electricity in Australia.</w:t>
      </w:r>
    </w:p>
    <w:p w:rsidR="00B75E40" w:rsidRDefault="00B75E40" w:rsidP="00B75E40">
      <w:pPr>
        <w:pStyle w:val="Source"/>
      </w:pPr>
      <w:r w:rsidRPr="00EF51BF">
        <w:t>Source:</w:t>
      </w:r>
      <w:r>
        <w:tab/>
        <w:t xml:space="preserve">Vivid Economics based on </w:t>
      </w:r>
      <w:r w:rsidR="005A66AE">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fldChar w:fldCharType="separate"/>
      </w:r>
      <w:r w:rsidRPr="00B7453A">
        <w:rPr>
          <w:noProof/>
        </w:rPr>
        <w:t>Australian Government Bureau of Resource and Energy Economics (2013)</w:t>
      </w:r>
      <w:r w:rsidR="005A66AE">
        <w:fldChar w:fldCharType="end"/>
      </w:r>
    </w:p>
    <w:p w:rsidR="00B75E40" w:rsidRDefault="00B75E40" w:rsidP="00B75E40">
      <w:pPr>
        <w:rPr>
          <w:b/>
        </w:rPr>
      </w:pPr>
      <w:r w:rsidRPr="00022AAC">
        <w:t xml:space="preserve">The emissions intensity within fuel types has changed significantly between </w:t>
      </w:r>
      <w:r w:rsidR="006C667D">
        <w:t>2008</w:t>
      </w:r>
      <w:r w:rsidRPr="00022AAC">
        <w:t xml:space="preserve"> and 201</w:t>
      </w:r>
      <w:r>
        <w:t>0</w:t>
      </w:r>
      <w:r w:rsidRPr="00022AAC">
        <w:t>-</w:t>
      </w:r>
      <w:r>
        <w:t>10</w:t>
      </w:r>
      <w:r w:rsidRPr="00022AAC">
        <w:t xml:space="preserve">. Gas, black and brown coal emissions intensity has changed significantly between </w:t>
      </w:r>
      <w:r w:rsidR="006C667D">
        <w:t>2008</w:t>
      </w:r>
      <w:r w:rsidRPr="00022AAC">
        <w:t xml:space="preserve"> and 201</w:t>
      </w:r>
      <w:r>
        <w:t>0</w:t>
      </w:r>
      <w:r w:rsidRPr="00022AAC">
        <w:t>-1</w:t>
      </w:r>
      <w:r>
        <w:t>0</w:t>
      </w:r>
      <w:r w:rsidRPr="00022AAC">
        <w:t xml:space="preserve"> as shown</w:t>
      </w:r>
      <w:r>
        <w:t xml:space="preserve"> </w:t>
      </w:r>
      <w:r w:rsidR="0039231E">
        <w:fldChar w:fldCharType="begin"/>
      </w:r>
      <w:r w:rsidR="0039231E">
        <w:instrText xml:space="preserve"> REF _Ref369889263 \r \h </w:instrText>
      </w:r>
      <w:r w:rsidR="0039231E">
        <w:fldChar w:fldCharType="separate"/>
      </w:r>
      <w:r w:rsidR="00197E14">
        <w:t>Table 14</w:t>
      </w:r>
      <w:r w:rsidR="0039231E">
        <w:fldChar w:fldCharType="end"/>
      </w:r>
      <w:r>
        <w:t>.</w:t>
      </w:r>
      <w:r w:rsidRPr="00022AAC">
        <w:t xml:space="preserve"> Black coal emissions intensity increa</w:t>
      </w:r>
      <w:r w:rsidR="0067750E">
        <w:t>sed by 12</w:t>
      </w:r>
      <w:r>
        <w:t xml:space="preserve"> per cent between </w:t>
      </w:r>
      <w:r w:rsidR="006C667D">
        <w:t>2000</w:t>
      </w:r>
      <w:r w:rsidRPr="00022AAC">
        <w:t xml:space="preserve"> and </w:t>
      </w:r>
      <w:r w:rsidR="006C667D">
        <w:t>2011</w:t>
      </w:r>
      <w:r w:rsidRPr="00022AAC">
        <w:t xml:space="preserve"> and brown coal emissions intensity has fallen by 7.3 per cent in the same period. Changes in output, associated with changes in utilisation, may be behind these changes, </w:t>
      </w:r>
      <w:r w:rsidR="0039231E" w:rsidRPr="00022AAC">
        <w:t>see</w:t>
      </w:r>
      <w:r w:rsidR="0039231E">
        <w:t xml:space="preserve"> </w:t>
      </w:r>
      <w:r w:rsidR="007666E1">
        <w:fldChar w:fldCharType="begin"/>
      </w:r>
      <w:r w:rsidR="007666E1">
        <w:instrText xml:space="preserve"> REF _Ref366149863 \r \h  \* MERGEFORMAT </w:instrText>
      </w:r>
      <w:r w:rsidR="007666E1">
        <w:fldChar w:fldCharType="separate"/>
      </w:r>
      <w:r w:rsidR="00197E14">
        <w:t>Figure 29</w:t>
      </w:r>
      <w:r w:rsidR="007666E1">
        <w:fldChar w:fldCharType="end"/>
      </w:r>
      <w:r w:rsidRPr="0067750E">
        <w:rPr>
          <w:bCs/>
          <w:lang w:val="en-US"/>
        </w:rPr>
        <w:t>.</w:t>
      </w:r>
    </w:p>
    <w:p w:rsidR="00B75E40" w:rsidRPr="00DE4EAF" w:rsidRDefault="00A95A44" w:rsidP="00B75E40">
      <w:pPr>
        <w:pStyle w:val="Tabletitle"/>
      </w:pPr>
      <w:bookmarkStart w:id="170" w:name="_Ref369889263"/>
      <w:bookmarkStart w:id="171" w:name="_Toc369890523"/>
      <w:r>
        <w:t>Emissions intensity fell over time mainly due to decreased emissions intensity in brown coal and gas</w:t>
      </w:r>
      <w:bookmarkEnd w:id="170"/>
      <w:bookmarkEnd w:id="171"/>
      <w:r>
        <w:t xml:space="preserve"> </w:t>
      </w:r>
    </w:p>
    <w:tbl>
      <w:tblPr>
        <w:tblStyle w:val="Vividtable"/>
        <w:tblW w:w="9854" w:type="dxa"/>
        <w:tblLook w:val="04A0" w:firstRow="1" w:lastRow="0" w:firstColumn="1" w:lastColumn="0" w:noHBand="0" w:noVBand="1"/>
      </w:tblPr>
      <w:tblGrid>
        <w:gridCol w:w="2136"/>
        <w:gridCol w:w="2572"/>
        <w:gridCol w:w="2572"/>
        <w:gridCol w:w="2574"/>
      </w:tblGrid>
      <w:tr w:rsidR="00CD3036" w:rsidRPr="00D21003" w:rsidTr="00215A21">
        <w:trPr>
          <w:cnfStyle w:val="100000000000" w:firstRow="1" w:lastRow="0" w:firstColumn="0" w:lastColumn="0" w:oddVBand="0" w:evenVBand="0" w:oddHBand="0" w:evenHBand="0" w:firstRowFirstColumn="0" w:firstRowLastColumn="0" w:lastRowFirstColumn="0" w:lastRowLastColumn="0"/>
          <w:trHeight w:val="397"/>
        </w:trPr>
        <w:tc>
          <w:tcPr>
            <w:tcW w:w="1084" w:type="pct"/>
            <w:vMerge w:val="restart"/>
          </w:tcPr>
          <w:p w:rsidR="00CD3036" w:rsidRPr="00D21003" w:rsidRDefault="00CD3036" w:rsidP="006054BB">
            <w:pPr>
              <w:keepNext/>
              <w:spacing w:line="240" w:lineRule="auto"/>
              <w:rPr>
                <w:rStyle w:val="PlaceholderText"/>
                <w:rFonts w:ascii="Arial" w:hAnsi="Arial" w:cs="Arial"/>
                <w:szCs w:val="18"/>
              </w:rPr>
            </w:pPr>
            <w:r w:rsidRPr="00D21003">
              <w:rPr>
                <w:rStyle w:val="PlaceholderText"/>
                <w:rFonts w:ascii="Arial" w:hAnsi="Arial" w:cs="Arial"/>
                <w:szCs w:val="18"/>
              </w:rPr>
              <w:t>Electricity</w:t>
            </w:r>
            <w:r>
              <w:rPr>
                <w:rStyle w:val="PlaceholderText"/>
                <w:rFonts w:ascii="Arial" w:hAnsi="Arial" w:cs="Arial"/>
                <w:szCs w:val="18"/>
              </w:rPr>
              <w:t xml:space="preserve"> generation emissions intensity</w:t>
            </w:r>
          </w:p>
        </w:tc>
        <w:tc>
          <w:tcPr>
            <w:tcW w:w="3916" w:type="pct"/>
            <w:gridSpan w:val="3"/>
          </w:tcPr>
          <w:p w:rsidR="00CD3036" w:rsidRPr="00CD3036" w:rsidRDefault="00CD3036" w:rsidP="006054BB">
            <w:pPr>
              <w:keepNext/>
              <w:spacing w:line="240" w:lineRule="auto"/>
              <w:jc w:val="center"/>
              <w:rPr>
                <w:rStyle w:val="PlaceholderText"/>
                <w:rFonts w:ascii="Arial" w:hAnsi="Arial" w:cs="Arial"/>
                <w:szCs w:val="18"/>
              </w:rPr>
            </w:pPr>
            <w:r>
              <w:rPr>
                <w:rStyle w:val="PlaceholderText"/>
                <w:rFonts w:ascii="Arial" w:hAnsi="Arial" w:cs="Arial"/>
                <w:szCs w:val="18"/>
              </w:rPr>
              <w:t>tCO</w:t>
            </w:r>
            <w:r w:rsidRPr="00CD3036">
              <w:rPr>
                <w:rStyle w:val="PlaceholderText"/>
                <w:rFonts w:ascii="Arial" w:hAnsi="Arial" w:cs="Arial"/>
                <w:szCs w:val="18"/>
                <w:vertAlign w:val="subscript"/>
              </w:rPr>
              <w:t>2</w:t>
            </w:r>
            <w:r>
              <w:rPr>
                <w:rStyle w:val="PlaceholderText"/>
                <w:rFonts w:ascii="Arial" w:hAnsi="Arial" w:cs="Arial"/>
                <w:szCs w:val="18"/>
              </w:rPr>
              <w:t>/MWh</w:t>
            </w:r>
          </w:p>
        </w:tc>
      </w:tr>
      <w:tr w:rsidR="00CD3036" w:rsidRPr="00D21003" w:rsidTr="00215A21">
        <w:trPr>
          <w:cnfStyle w:val="000000100000" w:firstRow="0" w:lastRow="0" w:firstColumn="0" w:lastColumn="0" w:oddVBand="0" w:evenVBand="0" w:oddHBand="1" w:evenHBand="0" w:firstRowFirstColumn="0" w:firstRowLastColumn="0" w:lastRowFirstColumn="0" w:lastRowLastColumn="0"/>
          <w:trHeight w:val="397"/>
        </w:trPr>
        <w:tc>
          <w:tcPr>
            <w:tcW w:w="1084" w:type="pct"/>
            <w:vMerge/>
            <w:tcBorders>
              <w:bottom w:val="single" w:sz="4" w:space="0" w:color="auto"/>
            </w:tcBorders>
          </w:tcPr>
          <w:p w:rsidR="00CD3036" w:rsidRPr="00D21003" w:rsidRDefault="00CD3036" w:rsidP="006054BB">
            <w:pPr>
              <w:keepNext/>
              <w:spacing w:line="240" w:lineRule="auto"/>
              <w:rPr>
                <w:rStyle w:val="PlaceholderText"/>
                <w:rFonts w:ascii="Arial" w:hAnsi="Arial" w:cs="Arial"/>
                <w:szCs w:val="18"/>
              </w:rPr>
            </w:pPr>
          </w:p>
        </w:tc>
        <w:tc>
          <w:tcPr>
            <w:tcW w:w="1305" w:type="pct"/>
            <w:tcBorders>
              <w:bottom w:val="single" w:sz="4" w:space="0" w:color="auto"/>
            </w:tcBorders>
          </w:tcPr>
          <w:p w:rsidR="00CD3036" w:rsidRPr="00CD3036" w:rsidRDefault="006C667D" w:rsidP="006054BB">
            <w:pPr>
              <w:keepNext/>
              <w:spacing w:line="240" w:lineRule="auto"/>
              <w:jc w:val="center"/>
              <w:rPr>
                <w:rStyle w:val="PlaceholderText"/>
                <w:rFonts w:ascii="Arial" w:hAnsi="Arial" w:cs="Arial"/>
                <w:b/>
                <w:szCs w:val="18"/>
              </w:rPr>
            </w:pPr>
            <w:r>
              <w:rPr>
                <w:rStyle w:val="PlaceholderText"/>
                <w:rFonts w:ascii="Arial" w:hAnsi="Arial" w:cs="Arial"/>
                <w:b/>
                <w:szCs w:val="18"/>
              </w:rPr>
              <w:t>2000</w:t>
            </w:r>
          </w:p>
        </w:tc>
        <w:tc>
          <w:tcPr>
            <w:tcW w:w="1305" w:type="pct"/>
            <w:tcBorders>
              <w:bottom w:val="single" w:sz="4" w:space="0" w:color="auto"/>
            </w:tcBorders>
          </w:tcPr>
          <w:p w:rsidR="00CD3036" w:rsidRPr="00CD3036" w:rsidRDefault="006C667D" w:rsidP="006054BB">
            <w:pPr>
              <w:keepNext/>
              <w:spacing w:line="240" w:lineRule="auto"/>
              <w:jc w:val="center"/>
              <w:rPr>
                <w:rStyle w:val="PlaceholderText"/>
                <w:rFonts w:ascii="Arial" w:hAnsi="Arial" w:cs="Arial"/>
                <w:b/>
                <w:szCs w:val="18"/>
              </w:rPr>
            </w:pPr>
            <w:r>
              <w:rPr>
                <w:rStyle w:val="PlaceholderText"/>
                <w:rFonts w:ascii="Arial" w:hAnsi="Arial" w:cs="Arial"/>
                <w:b/>
                <w:szCs w:val="18"/>
              </w:rPr>
              <w:t>2008</w:t>
            </w:r>
            <w:r w:rsidR="00CD3036" w:rsidRPr="00CD3036">
              <w:rPr>
                <w:rStyle w:val="PlaceholderText"/>
                <w:rFonts w:ascii="Arial" w:hAnsi="Arial" w:cs="Arial"/>
                <w:b/>
                <w:szCs w:val="18"/>
              </w:rPr>
              <w:t xml:space="preserve"> </w:t>
            </w:r>
          </w:p>
        </w:tc>
        <w:tc>
          <w:tcPr>
            <w:tcW w:w="1306" w:type="pct"/>
            <w:tcBorders>
              <w:bottom w:val="single" w:sz="4" w:space="0" w:color="auto"/>
            </w:tcBorders>
          </w:tcPr>
          <w:p w:rsidR="00CD3036" w:rsidRPr="00CD3036" w:rsidRDefault="006C667D" w:rsidP="006054BB">
            <w:pPr>
              <w:keepNext/>
              <w:spacing w:line="240" w:lineRule="auto"/>
              <w:jc w:val="center"/>
              <w:rPr>
                <w:rStyle w:val="PlaceholderText"/>
                <w:rFonts w:ascii="Arial" w:hAnsi="Arial" w:cs="Arial"/>
                <w:b/>
                <w:szCs w:val="18"/>
              </w:rPr>
            </w:pPr>
            <w:r>
              <w:rPr>
                <w:rStyle w:val="PlaceholderText"/>
                <w:rFonts w:ascii="Arial" w:hAnsi="Arial" w:cs="Arial"/>
                <w:b/>
                <w:szCs w:val="18"/>
              </w:rPr>
              <w:t>2011</w:t>
            </w:r>
          </w:p>
        </w:tc>
      </w:tr>
      <w:tr w:rsidR="00B75E40" w:rsidRPr="00D21003" w:rsidTr="00215A21">
        <w:trPr>
          <w:trHeight w:val="397"/>
        </w:trPr>
        <w:tc>
          <w:tcPr>
            <w:tcW w:w="1084" w:type="pct"/>
            <w:tcBorders>
              <w:top w:val="single" w:sz="4" w:space="0" w:color="auto"/>
            </w:tcBorders>
          </w:tcPr>
          <w:p w:rsidR="00B75E40" w:rsidRPr="00D21003" w:rsidRDefault="00B75E40" w:rsidP="006054BB">
            <w:pPr>
              <w:keepNext/>
              <w:spacing w:line="240" w:lineRule="auto"/>
              <w:rPr>
                <w:rStyle w:val="PlaceholderText"/>
                <w:rFonts w:ascii="Arial" w:hAnsi="Arial" w:cs="Arial"/>
                <w:szCs w:val="18"/>
              </w:rPr>
            </w:pPr>
            <w:r w:rsidRPr="00D21003">
              <w:rPr>
                <w:rStyle w:val="PlaceholderText"/>
                <w:rFonts w:ascii="Arial" w:hAnsi="Arial" w:cs="Arial"/>
                <w:szCs w:val="18"/>
              </w:rPr>
              <w:t>Total</w:t>
            </w:r>
          </w:p>
        </w:tc>
        <w:tc>
          <w:tcPr>
            <w:tcW w:w="1305" w:type="pct"/>
            <w:tcBorders>
              <w:top w:val="single" w:sz="4" w:space="0" w:color="auto"/>
            </w:tcBorders>
          </w:tcPr>
          <w:p w:rsidR="00B75E40" w:rsidRPr="00A5059A" w:rsidRDefault="00B75E40" w:rsidP="006054BB">
            <w:pPr>
              <w:jc w:val="center"/>
              <w:rPr>
                <w:rFonts w:ascii="Arial" w:hAnsi="Arial" w:cs="Arial"/>
                <w:szCs w:val="18"/>
              </w:rPr>
            </w:pPr>
            <w:r w:rsidRPr="00A5059A">
              <w:rPr>
                <w:rFonts w:ascii="Arial" w:hAnsi="Arial" w:cs="Arial"/>
                <w:szCs w:val="18"/>
              </w:rPr>
              <w:t>0.83</w:t>
            </w:r>
          </w:p>
        </w:tc>
        <w:tc>
          <w:tcPr>
            <w:tcW w:w="1305" w:type="pct"/>
            <w:tcBorders>
              <w:top w:val="single" w:sz="4" w:space="0" w:color="auto"/>
            </w:tcBorders>
          </w:tcPr>
          <w:p w:rsidR="00B75E40" w:rsidRPr="00A5059A" w:rsidRDefault="00B75E40" w:rsidP="006054BB">
            <w:pPr>
              <w:jc w:val="center"/>
              <w:rPr>
                <w:rFonts w:ascii="Arial" w:hAnsi="Arial" w:cs="Arial"/>
                <w:szCs w:val="18"/>
              </w:rPr>
            </w:pPr>
            <w:r w:rsidRPr="00A5059A">
              <w:rPr>
                <w:rFonts w:ascii="Arial" w:hAnsi="Arial" w:cs="Arial"/>
                <w:szCs w:val="18"/>
              </w:rPr>
              <w:t>0.84</w:t>
            </w:r>
          </w:p>
        </w:tc>
        <w:tc>
          <w:tcPr>
            <w:tcW w:w="1306" w:type="pct"/>
            <w:tcBorders>
              <w:top w:val="single" w:sz="4" w:space="0" w:color="auto"/>
            </w:tcBorders>
          </w:tcPr>
          <w:p w:rsidR="00B75E40" w:rsidRPr="00A5059A" w:rsidRDefault="00B75E40" w:rsidP="006054BB">
            <w:pPr>
              <w:jc w:val="center"/>
              <w:rPr>
                <w:rFonts w:ascii="Arial" w:hAnsi="Arial" w:cs="Arial"/>
                <w:szCs w:val="18"/>
              </w:rPr>
            </w:pPr>
            <w:r w:rsidRPr="00A5059A">
              <w:rPr>
                <w:rFonts w:ascii="Arial" w:hAnsi="Arial" w:cs="Arial"/>
                <w:szCs w:val="18"/>
              </w:rPr>
              <w:t>0.79</w:t>
            </w:r>
          </w:p>
        </w:tc>
      </w:tr>
      <w:tr w:rsidR="00B75E40" w:rsidRPr="00D21003" w:rsidTr="00215A21">
        <w:trPr>
          <w:cnfStyle w:val="000000100000" w:firstRow="0" w:lastRow="0" w:firstColumn="0" w:lastColumn="0" w:oddVBand="0" w:evenVBand="0" w:oddHBand="1" w:evenHBand="0" w:firstRowFirstColumn="0" w:firstRowLastColumn="0" w:lastRowFirstColumn="0" w:lastRowLastColumn="0"/>
          <w:trHeight w:val="397"/>
        </w:trPr>
        <w:tc>
          <w:tcPr>
            <w:tcW w:w="1084" w:type="pct"/>
          </w:tcPr>
          <w:p w:rsidR="00B75E40" w:rsidRPr="00D21003" w:rsidRDefault="00B75E40" w:rsidP="006054BB">
            <w:pPr>
              <w:keepNext/>
              <w:spacing w:line="240" w:lineRule="auto"/>
              <w:rPr>
                <w:rStyle w:val="PlaceholderText"/>
                <w:rFonts w:ascii="Arial" w:hAnsi="Arial" w:cs="Arial"/>
                <w:szCs w:val="18"/>
              </w:rPr>
            </w:pPr>
            <w:r w:rsidRPr="00D21003">
              <w:rPr>
                <w:rStyle w:val="PlaceholderText"/>
                <w:rFonts w:ascii="Arial" w:hAnsi="Arial" w:cs="Arial"/>
                <w:szCs w:val="18"/>
              </w:rPr>
              <w:t>Black coal</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0.79</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0.88</w:t>
            </w:r>
          </w:p>
        </w:tc>
        <w:tc>
          <w:tcPr>
            <w:tcW w:w="1306" w:type="pct"/>
          </w:tcPr>
          <w:p w:rsidR="00B75E40" w:rsidRPr="00A5059A" w:rsidRDefault="00B75E40" w:rsidP="006054BB">
            <w:pPr>
              <w:jc w:val="center"/>
              <w:rPr>
                <w:rFonts w:ascii="Arial" w:hAnsi="Arial" w:cs="Arial"/>
                <w:szCs w:val="18"/>
              </w:rPr>
            </w:pPr>
            <w:r w:rsidRPr="00A5059A">
              <w:rPr>
                <w:rFonts w:ascii="Arial" w:hAnsi="Arial" w:cs="Arial"/>
                <w:szCs w:val="18"/>
              </w:rPr>
              <w:t>0.88</w:t>
            </w:r>
          </w:p>
        </w:tc>
      </w:tr>
      <w:tr w:rsidR="00B75E40" w:rsidRPr="00D21003" w:rsidTr="00215A21">
        <w:trPr>
          <w:trHeight w:val="397"/>
        </w:trPr>
        <w:tc>
          <w:tcPr>
            <w:tcW w:w="1084" w:type="pct"/>
          </w:tcPr>
          <w:p w:rsidR="00B75E40" w:rsidRPr="00D21003" w:rsidRDefault="00B75E40" w:rsidP="006054BB">
            <w:pPr>
              <w:keepNext/>
              <w:spacing w:line="240" w:lineRule="auto"/>
              <w:rPr>
                <w:rStyle w:val="PlaceholderText"/>
                <w:rFonts w:ascii="Arial" w:hAnsi="Arial" w:cs="Arial"/>
                <w:szCs w:val="18"/>
              </w:rPr>
            </w:pPr>
            <w:r w:rsidRPr="00D21003">
              <w:rPr>
                <w:rStyle w:val="PlaceholderText"/>
                <w:rFonts w:ascii="Arial" w:hAnsi="Arial" w:cs="Arial"/>
                <w:szCs w:val="18"/>
              </w:rPr>
              <w:t>Brown coal</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1.32</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1.22</w:t>
            </w:r>
          </w:p>
        </w:tc>
        <w:tc>
          <w:tcPr>
            <w:tcW w:w="1306" w:type="pct"/>
          </w:tcPr>
          <w:p w:rsidR="00B75E40" w:rsidRPr="00A5059A" w:rsidRDefault="00B75E40" w:rsidP="006054BB">
            <w:pPr>
              <w:jc w:val="center"/>
              <w:rPr>
                <w:rFonts w:ascii="Arial" w:hAnsi="Arial" w:cs="Arial"/>
                <w:szCs w:val="18"/>
              </w:rPr>
            </w:pPr>
            <w:r w:rsidRPr="00A5059A">
              <w:rPr>
                <w:rFonts w:ascii="Arial" w:hAnsi="Arial" w:cs="Arial"/>
                <w:szCs w:val="18"/>
              </w:rPr>
              <w:t>1.22</w:t>
            </w:r>
          </w:p>
        </w:tc>
      </w:tr>
      <w:tr w:rsidR="00B75E40" w:rsidRPr="00D21003" w:rsidTr="00215A21">
        <w:trPr>
          <w:cnfStyle w:val="000000100000" w:firstRow="0" w:lastRow="0" w:firstColumn="0" w:lastColumn="0" w:oddVBand="0" w:evenVBand="0" w:oddHBand="1" w:evenHBand="0" w:firstRowFirstColumn="0" w:firstRowLastColumn="0" w:lastRowFirstColumn="0" w:lastRowLastColumn="0"/>
          <w:trHeight w:val="397"/>
        </w:trPr>
        <w:tc>
          <w:tcPr>
            <w:tcW w:w="1084" w:type="pct"/>
          </w:tcPr>
          <w:p w:rsidR="00B75E40" w:rsidRPr="00D21003" w:rsidRDefault="00B75E40" w:rsidP="006054BB">
            <w:pPr>
              <w:keepNext/>
              <w:spacing w:line="240" w:lineRule="auto"/>
              <w:rPr>
                <w:rStyle w:val="PlaceholderText"/>
                <w:rFonts w:ascii="Arial" w:hAnsi="Arial" w:cs="Arial"/>
                <w:szCs w:val="18"/>
              </w:rPr>
            </w:pPr>
            <w:r w:rsidRPr="00D21003">
              <w:rPr>
                <w:rStyle w:val="PlaceholderText"/>
                <w:rFonts w:ascii="Arial" w:hAnsi="Arial" w:cs="Arial"/>
                <w:szCs w:val="18"/>
              </w:rPr>
              <w:t>Gas</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0.63</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0.56</w:t>
            </w:r>
          </w:p>
        </w:tc>
        <w:tc>
          <w:tcPr>
            <w:tcW w:w="1306" w:type="pct"/>
          </w:tcPr>
          <w:p w:rsidR="00B75E40" w:rsidRPr="00A5059A" w:rsidRDefault="00B75E40" w:rsidP="006054BB">
            <w:pPr>
              <w:jc w:val="center"/>
              <w:rPr>
                <w:rFonts w:ascii="Arial" w:hAnsi="Arial" w:cs="Arial"/>
                <w:szCs w:val="18"/>
              </w:rPr>
            </w:pPr>
            <w:r w:rsidRPr="00A5059A">
              <w:rPr>
                <w:rFonts w:ascii="Arial" w:hAnsi="Arial" w:cs="Arial"/>
                <w:szCs w:val="18"/>
              </w:rPr>
              <w:t>0.53</w:t>
            </w:r>
          </w:p>
        </w:tc>
      </w:tr>
      <w:tr w:rsidR="00B75E40" w:rsidRPr="00D21003" w:rsidTr="00215A21">
        <w:trPr>
          <w:trHeight w:val="397"/>
        </w:trPr>
        <w:tc>
          <w:tcPr>
            <w:tcW w:w="1084" w:type="pct"/>
          </w:tcPr>
          <w:p w:rsidR="00B75E40" w:rsidRPr="00D21003" w:rsidRDefault="00B75E40" w:rsidP="006054BB">
            <w:pPr>
              <w:keepNext/>
              <w:spacing w:line="240" w:lineRule="auto"/>
              <w:rPr>
                <w:rStyle w:val="PlaceholderText"/>
                <w:rFonts w:ascii="Arial" w:hAnsi="Arial" w:cs="Arial"/>
                <w:szCs w:val="18"/>
              </w:rPr>
            </w:pPr>
            <w:r>
              <w:rPr>
                <w:rStyle w:val="PlaceholderText"/>
                <w:rFonts w:ascii="Arial" w:hAnsi="Arial" w:cs="Arial"/>
                <w:szCs w:val="18"/>
              </w:rPr>
              <w:t>Oil</w:t>
            </w:r>
          </w:p>
        </w:tc>
        <w:tc>
          <w:tcPr>
            <w:tcW w:w="1305" w:type="pct"/>
          </w:tcPr>
          <w:p w:rsidR="00B75E40" w:rsidRPr="00A5059A" w:rsidRDefault="00B75E40" w:rsidP="006054BB">
            <w:pPr>
              <w:jc w:val="center"/>
              <w:rPr>
                <w:rFonts w:ascii="Arial" w:hAnsi="Arial" w:cs="Arial"/>
                <w:szCs w:val="18"/>
              </w:rPr>
            </w:pPr>
            <w:r w:rsidRPr="00A5059A">
              <w:rPr>
                <w:rFonts w:ascii="Arial" w:hAnsi="Arial" w:cs="Arial"/>
                <w:szCs w:val="18"/>
              </w:rPr>
              <w:t>0.85</w:t>
            </w:r>
          </w:p>
        </w:tc>
        <w:tc>
          <w:tcPr>
            <w:tcW w:w="1305" w:type="pct"/>
          </w:tcPr>
          <w:p w:rsidR="00B75E40" w:rsidRPr="00A5059A" w:rsidRDefault="00B75E40" w:rsidP="006054BB">
            <w:pPr>
              <w:jc w:val="center"/>
              <w:rPr>
                <w:rFonts w:ascii="Arial" w:hAnsi="Arial" w:cs="Arial"/>
                <w:szCs w:val="18"/>
              </w:rPr>
            </w:pPr>
            <w:r>
              <w:rPr>
                <w:rFonts w:ascii="Arial" w:hAnsi="Arial" w:cs="Arial"/>
                <w:szCs w:val="18"/>
              </w:rPr>
              <w:t>0.90</w:t>
            </w:r>
          </w:p>
        </w:tc>
        <w:tc>
          <w:tcPr>
            <w:tcW w:w="1306" w:type="pct"/>
          </w:tcPr>
          <w:p w:rsidR="00B75E40" w:rsidRPr="00A5059A" w:rsidRDefault="00B75E40" w:rsidP="006054BB">
            <w:pPr>
              <w:jc w:val="center"/>
              <w:rPr>
                <w:rFonts w:ascii="Arial" w:hAnsi="Arial" w:cs="Arial"/>
                <w:szCs w:val="18"/>
              </w:rPr>
            </w:pPr>
            <w:r w:rsidRPr="00A5059A">
              <w:rPr>
                <w:rFonts w:ascii="Arial" w:hAnsi="Arial" w:cs="Arial"/>
                <w:szCs w:val="18"/>
              </w:rPr>
              <w:t>0.78</w:t>
            </w:r>
          </w:p>
        </w:tc>
      </w:tr>
    </w:tbl>
    <w:p w:rsidR="00B75E40" w:rsidRPr="00820511" w:rsidRDefault="00B75E40" w:rsidP="00B75E40">
      <w:pPr>
        <w:pStyle w:val="Header"/>
        <w:pBdr>
          <w:bottom w:val="none" w:sz="0" w:space="0" w:color="auto"/>
        </w:pBdr>
      </w:pPr>
    </w:p>
    <w:p w:rsidR="00B75E40" w:rsidRDefault="00B75E40" w:rsidP="00B75E40">
      <w:pPr>
        <w:pStyle w:val="Source"/>
      </w:pPr>
      <w:r w:rsidRPr="00EF51BF">
        <w:t>Source:</w:t>
      </w:r>
      <w:r>
        <w:tab/>
        <w:t xml:space="preserve">Vivid Economics based on </w:t>
      </w:r>
      <w:r w:rsidR="005A66AE" w:rsidRPr="00B7453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B7453A">
        <w:fldChar w:fldCharType="separate"/>
      </w:r>
      <w:r w:rsidRPr="00B7453A">
        <w:rPr>
          <w:noProof/>
        </w:rPr>
        <w:t>Australian Government Bureau of Resource and Energy Economics (2013)</w:t>
      </w:r>
      <w:r w:rsidR="005A66AE" w:rsidRPr="00B7453A">
        <w:fldChar w:fldCharType="end"/>
      </w:r>
    </w:p>
    <w:p w:rsidR="00B75E40" w:rsidRDefault="00B75E40" w:rsidP="00B75E40">
      <w:pPr>
        <w:rPr>
          <w:b/>
        </w:rPr>
      </w:pPr>
    </w:p>
    <w:p w:rsidR="00B75E40" w:rsidRPr="000D25DC" w:rsidRDefault="00B75E40" w:rsidP="00B75E40">
      <w:pPr>
        <w:pStyle w:val="Charttitle"/>
      </w:pPr>
      <w:bookmarkStart w:id="172" w:name="_Ref366149863"/>
      <w:bookmarkStart w:id="173" w:name="_Toc366155615"/>
      <w:bookmarkStart w:id="174" w:name="_Toc366269850"/>
      <w:bookmarkStart w:id="175" w:name="_Toc369890569"/>
      <w:r>
        <w:lastRenderedPageBreak/>
        <w:t>The emissions intensity of each fuel has changed significantly over time</w:t>
      </w:r>
      <w:bookmarkEnd w:id="172"/>
      <w:bookmarkEnd w:id="173"/>
      <w:bookmarkEnd w:id="174"/>
      <w:bookmarkEnd w:id="175"/>
    </w:p>
    <w:p w:rsidR="00B75E40" w:rsidRPr="00430244" w:rsidRDefault="00B75E40" w:rsidP="00B75E40">
      <w:pPr>
        <w:pStyle w:val="Chartspacer"/>
        <w:rPr>
          <w:rStyle w:val="PlaceholderText"/>
        </w:rPr>
      </w:pPr>
      <w:r w:rsidRPr="00DD4451">
        <w:rPr>
          <w:rStyle w:val="PlaceholderText"/>
        </w:rPr>
        <w:t xml:space="preserve"> </w:t>
      </w:r>
      <w:r w:rsidR="0039231E" w:rsidRPr="0039231E">
        <w:drawing>
          <wp:inline distT="0" distB="0" distL="0" distR="0" wp14:anchorId="2D228588" wp14:editId="20698667">
            <wp:extent cx="6120765" cy="3994930"/>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B75E40" w:rsidRDefault="00B75E40" w:rsidP="00B75E40">
      <w:pPr>
        <w:pStyle w:val="Note"/>
      </w:pPr>
      <w:r>
        <w:t>Note:</w:t>
      </w:r>
      <w:r>
        <w:tab/>
        <w:t xml:space="preserve">The changes in emissions intensity before </w:t>
      </w:r>
      <w:r w:rsidR="006C667D">
        <w:t>2005</w:t>
      </w:r>
      <w:r>
        <w:t xml:space="preserve"> are likely to be due to data revisions and not due to actual changes in the emissions intensity of different fuel types.</w:t>
      </w:r>
    </w:p>
    <w:p w:rsidR="00B75E40" w:rsidRPr="005A132E" w:rsidRDefault="00B75E40" w:rsidP="00B75E40">
      <w:pPr>
        <w:pStyle w:val="Source"/>
      </w:pPr>
      <w:r w:rsidRPr="005A132E">
        <w:t>Source:</w:t>
      </w:r>
      <w:r>
        <w:tab/>
        <w:t xml:space="preserve">Vivid Economics based on </w:t>
      </w:r>
      <w:r w:rsidR="005A66AE" w:rsidRPr="00B7453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B7453A">
        <w:fldChar w:fldCharType="separate"/>
      </w:r>
      <w:r w:rsidRPr="00B7453A">
        <w:rPr>
          <w:noProof/>
        </w:rPr>
        <w:t>Australian Government Bureau of Resource and Energy Economics (2013)</w:t>
      </w:r>
      <w:r w:rsidR="005A66AE" w:rsidRPr="00B7453A">
        <w:fldChar w:fldCharType="end"/>
      </w:r>
    </w:p>
    <w:p w:rsidR="00B75E40" w:rsidRPr="0021447C" w:rsidRDefault="0067750E" w:rsidP="00B75E40">
      <w:r>
        <w:t>T</w:t>
      </w:r>
      <w:r w:rsidR="00B75E40" w:rsidRPr="002F7470">
        <w:t>he contribution of renewables to elect</w:t>
      </w:r>
      <w:r>
        <w:t>ricity generation in the NEM continues to</w:t>
      </w:r>
      <w:r w:rsidR="00B75E40" w:rsidRPr="002F7470">
        <w:t xml:space="preserve"> increase.</w:t>
      </w:r>
      <w:r w:rsidR="00B75E40" w:rsidRPr="0021447C">
        <w:t xml:space="preserve"> Black coal </w:t>
      </w:r>
      <w:r>
        <w:t>showed</w:t>
      </w:r>
      <w:r w:rsidR="00B75E40" w:rsidRPr="0021447C">
        <w:t xml:space="preserve"> a steady decline, while brown coal, which had remained relatively flat in both emissions intensity and contribution to electricity generation up to 2011, dipped sharply in 2012-13 </w:t>
      </w:r>
      <w:r w:rsidR="005A66AE" w:rsidRPr="0021447C">
        <w:fldChar w:fldCharType="begin" w:fldLock="1"/>
      </w:r>
      <w:r w:rsidR="00971CE6">
        <w:instrText>ADDIN CSL_CITATION { "citationItems" : [ { "id" : "ITEM-1", "itemData" : { "ISBN" : "9780987134158", "author" : [ { "dropping-particle" : "", "family" : "Climate Works", "given" : "", "non-dropping-particle" : "", "parse-names" : false, "suffix" : "" } ], "id" : "ITEM-1", "issue" : "July", "issued" : { "date-parts" : [ [ "2013" ] ] }, "title" : "Tracking progress towards a low carbon economy", "type" : "report" }, "uris" : [ "http://www.mendeley.com/documents/?uuid=6b2cb9d8-2953-4ab3-b8f8-02b8f34d4e90" ] } ], "mendeley" : { "manualFormatting" : "Climate Works (2013)", "previouslyFormattedCitation" : "(Climate Works, 2013)" }, "properties" : { "noteIndex" : 0 }, "schema" : "https://github.com/citation-style-language/schema/raw/master/csl-citation.json" }</w:instrText>
      </w:r>
      <w:r w:rsidR="005A66AE" w:rsidRPr="0021447C">
        <w:fldChar w:fldCharType="separate"/>
      </w:r>
      <w:r w:rsidR="00B75E40">
        <w:rPr>
          <w:noProof/>
        </w:rPr>
        <w:t>Climate Works</w:t>
      </w:r>
      <w:r w:rsidR="00B75E40" w:rsidRPr="0021447C">
        <w:rPr>
          <w:noProof/>
        </w:rPr>
        <w:t xml:space="preserve"> </w:t>
      </w:r>
      <w:r w:rsidR="00B75E40">
        <w:rPr>
          <w:noProof/>
        </w:rPr>
        <w:t>(</w:t>
      </w:r>
      <w:r w:rsidR="00B75E40" w:rsidRPr="0021447C">
        <w:rPr>
          <w:noProof/>
        </w:rPr>
        <w:t>2013)</w:t>
      </w:r>
      <w:r w:rsidR="005A66AE" w:rsidRPr="0021447C">
        <w:fldChar w:fldCharType="end"/>
      </w:r>
      <w:r w:rsidR="00B75E40" w:rsidRPr="0021447C">
        <w:t xml:space="preserve">, </w:t>
      </w:r>
      <w:r w:rsidR="005A66AE" w:rsidRPr="002F7470">
        <w:fldChar w:fldCharType="begin" w:fldLock="1"/>
      </w:r>
      <w:r w:rsidR="00971CE6">
        <w:instrText>ADDIN CSL_CITATION { "citationItems" : [ { "id" : "ITEM-1", "itemData" : { "author" : [ { "dropping-particle" : "", "family" : "Pitt and Sherry", "given" : "", "non-dropping-particle" : "", "parse-names" : false, "suffix" : "" } ], "id" : "ITEM-1", "issue" : "July", "issued" : { "date-parts" : [ [ "2013" ] ] }, "title" : "National Electricity Market demand and emissions continue to fall . Peak and WA seem to be following .", "type" : "article-journal" }, "uris" : [ "http://www.mendeley.com/documents/?uuid=1a1a950f-144e-4f81-a8cb-ce9d79100e10" ] } ], "mendeley" : { "manualFormatting" : "Pitt and Sherry (2013)", "previouslyFormattedCitation" : "(Pitt and Sherry, 2013)" }, "properties" : { "noteIndex" : 0 }, "schema" : "https://github.com/citation-style-language/schema/raw/master/csl-citation.json" }</w:instrText>
      </w:r>
      <w:r w:rsidR="005A66AE" w:rsidRPr="002F7470">
        <w:fldChar w:fldCharType="separate"/>
      </w:r>
      <w:r w:rsidR="00B75E40" w:rsidRPr="002F7470">
        <w:rPr>
          <w:noProof/>
        </w:rPr>
        <w:t>Pitt and Sherry (2013)</w:t>
      </w:r>
      <w:r w:rsidR="005A66AE" w:rsidRPr="002F7470">
        <w:fldChar w:fldCharType="end"/>
      </w:r>
      <w:r w:rsidR="00B75E40" w:rsidRPr="002F7470">
        <w:t xml:space="preserve">, </w:t>
      </w:r>
      <w:r w:rsidR="005A66AE" w:rsidRPr="002F7470">
        <w:fldChar w:fldCharType="begin" w:fldLock="1"/>
      </w:r>
      <w:r w:rsidR="00971CE6">
        <w:instrText>ADDIN CSL_CITATION { "citationItems" : [ { "id" : "ITEM-1", "itemData" : { "author" : [ { "dropping-particle" : "", "family" : "Deutsche Bank", "given" : "", "non-dropping-particle" : "", "parse-names" : false, "suffix" : "" } ], "id" : "ITEM-1", "issued" : { "date-parts" : [ [ "2013" ] ] }, "title" : "The Carbon Column 12", "type" : "article-journal", "volume" : "June" }, "uris" : [ "http://www.mendeley.com/documents/?uuid=ba86de12-d158-4630-a22b-a69a534c7d00" ] } ], "mendeley" : { "manualFormatting" : "Deutsche Bank (2013)", "previouslyFormattedCitation" : "(Deutsche Bank, 2013)" }, "properties" : { "noteIndex" : 0 }, "schema" : "https://github.com/citation-style-language/schema/raw/master/csl-citation.json" }</w:instrText>
      </w:r>
      <w:r w:rsidR="005A66AE" w:rsidRPr="002F7470">
        <w:fldChar w:fldCharType="separate"/>
      </w:r>
      <w:r w:rsidR="00B75E40" w:rsidRPr="002F7470">
        <w:rPr>
          <w:noProof/>
        </w:rPr>
        <w:t>Deutsche Bank (2013)</w:t>
      </w:r>
      <w:r w:rsidR="005A66AE" w:rsidRPr="002F7470">
        <w:fldChar w:fldCharType="end"/>
      </w:r>
      <w:r w:rsidR="00B75E40" w:rsidRPr="0021447C">
        <w:t>. The dip in brown coal generation is particularly striking, and several explanations have been proffered, key among these being: closures at Yallourn for a variety of operational reasons</w:t>
      </w:r>
      <w:r>
        <w:t>,</w:t>
      </w:r>
      <w:r w:rsidR="00B75E40" w:rsidRPr="0021447C">
        <w:t xml:space="preserve"> amounting to more than 2</w:t>
      </w:r>
      <w:r>
        <w:t>,000 G</w:t>
      </w:r>
      <w:r w:rsidR="00B75E40" w:rsidRPr="0021447C">
        <w:t>Wh of electricity (a third of the reduction in brown coal generation between 2011 and 2012); the introduction of the carbon price in July 2012, which is expected to hit brown coal generation</w:t>
      </w:r>
      <w:r>
        <w:t>,</w:t>
      </w:r>
      <w:r w:rsidR="00B75E40" w:rsidRPr="0021447C">
        <w:t xml:space="preserve"> </w:t>
      </w:r>
      <w:r>
        <w:t xml:space="preserve">being </w:t>
      </w:r>
      <w:r w:rsidR="00B75E40" w:rsidRPr="0021447C">
        <w:t xml:space="preserve">almost two-fifths more emissions intensive than black coal generation, and </w:t>
      </w:r>
      <w:r w:rsidR="00CD3036">
        <w:t>more than</w:t>
      </w:r>
      <w:r w:rsidR="00B75E40" w:rsidRPr="0021447C">
        <w:t xml:space="preserve"> two times more emissions-intensive than gas-fired generation. There has been a decline in the demand for grid-generated electricity, although total electricity </w:t>
      </w:r>
      <w:r w:rsidR="00B24BE1">
        <w:t>consumption</w:t>
      </w:r>
      <w:r w:rsidR="00B75E40" w:rsidRPr="0021447C">
        <w:t xml:space="preserve"> is not likely to have fallen by as much </w:t>
      </w:r>
      <w:r w:rsidR="005A66AE" w:rsidRPr="00793C3B">
        <w:fldChar w:fldCharType="begin" w:fldLock="1"/>
      </w:r>
      <w:r w:rsidR="00971CE6">
        <w:instrText>ADDIN CSL_CITATION { "citationItems" : [ { "id" : "ITEM-1", "itemData" : { "author" : [ { "dropping-particle" : "", "family" : "Deutsche Bank", "given" : "", "non-dropping-particle" : "", "parse-names" : false, "suffix" : "" } ], "id" : "ITEM-1", "issued" : { "date-parts" : [ [ "2013" ] ] }, "title" : "The Carbon Column 12", "type" : "article-journal", "volume" : "June" }, "uris" : [ "http://www.mendeley.com/documents/?uuid=ba86de12-d158-4630-a22b-a69a534c7d00" ] } ], "mendeley" : { "manualFormatting" : "Deutsche Bank (2013)", "previouslyFormattedCitation" : "(Deutsche Bank, 2013)" }, "properties" : { "noteIndex" : 0 }, "schema" : "https://github.com/citation-style-language/schema/raw/master/csl-citation.json" }</w:instrText>
      </w:r>
      <w:r w:rsidR="005A66AE" w:rsidRPr="00793C3B">
        <w:fldChar w:fldCharType="separate"/>
      </w:r>
      <w:r w:rsidR="00B75E40" w:rsidRPr="00793C3B">
        <w:rPr>
          <w:noProof/>
        </w:rPr>
        <w:t>Deutsche Bank (2013)</w:t>
      </w:r>
      <w:r w:rsidR="005A66AE" w:rsidRPr="00793C3B">
        <w:fldChar w:fldCharType="end"/>
      </w:r>
      <w:r w:rsidR="00B75E40" w:rsidRPr="00793C3B">
        <w:t>.</w:t>
      </w:r>
    </w:p>
    <w:p w:rsidR="00B75E40" w:rsidRDefault="00B75E40" w:rsidP="00B75E40">
      <w:pPr>
        <w:pStyle w:val="Heading2"/>
      </w:pPr>
      <w:bookmarkStart w:id="176" w:name="_Toc369890614"/>
      <w:r>
        <w:lastRenderedPageBreak/>
        <w:t xml:space="preserve">Explaining the changes in electricity </w:t>
      </w:r>
      <w:r w:rsidR="00F01B0D">
        <w:t>generation</w:t>
      </w:r>
      <w:r>
        <w:t xml:space="preserve"> emissions intensity</w:t>
      </w:r>
      <w:bookmarkEnd w:id="176"/>
    </w:p>
    <w:p w:rsidR="00B75E40" w:rsidRDefault="00B75E40" w:rsidP="00B75E40">
      <w:pPr>
        <w:pStyle w:val="Heading3"/>
      </w:pPr>
      <w:r>
        <w:t>Decomposition of effects</w:t>
      </w:r>
    </w:p>
    <w:p w:rsidR="00B75E40" w:rsidRDefault="00B75E40" w:rsidP="00B75E40">
      <w:r>
        <w:t xml:space="preserve">The changes in electricity </w:t>
      </w:r>
      <w:r w:rsidR="00F01B0D">
        <w:t>generation</w:t>
      </w:r>
      <w:r>
        <w:t xml:space="preserve"> emissions intensity can be decomposed into several effects, each capturing characteristics of the electricity market in Australia and the effects of the Mandatory Renewable Energy Target (M-RET) and so</w:t>
      </w:r>
      <w:r w:rsidR="00077FE7">
        <w:t>lar feed-in</w:t>
      </w:r>
      <w:r w:rsidR="00F50AEE">
        <w:t xml:space="preserve"> </w:t>
      </w:r>
      <w:r w:rsidR="00077FE7">
        <w:t>tariffs. The</w:t>
      </w:r>
      <w:r>
        <w:t xml:space="preserve"> analysis indicates whether the recent trends might continue for the next few years.</w:t>
      </w:r>
    </w:p>
    <w:p w:rsidR="00B75E40" w:rsidRDefault="00B75E40" w:rsidP="00B75E40">
      <w:pPr>
        <w:rPr>
          <w:b/>
        </w:rPr>
      </w:pPr>
    </w:p>
    <w:p w:rsidR="00B75E40" w:rsidRPr="00022AAC" w:rsidRDefault="00B75E40" w:rsidP="00B75E40">
      <w:r w:rsidRPr="00022AAC">
        <w:t>The four factors a</w:t>
      </w:r>
      <w:r w:rsidR="00077FE7">
        <w:t>ffecting electricity generation</w:t>
      </w:r>
      <w:r w:rsidRPr="00022AAC">
        <w:t xml:space="preserve"> emissions intensity are:</w:t>
      </w:r>
    </w:p>
    <w:p w:rsidR="00B75E40" w:rsidRPr="00077FE7" w:rsidRDefault="00316E59" w:rsidP="005B5905">
      <w:pPr>
        <w:pStyle w:val="Indentedbullet"/>
      </w:pPr>
      <w:r>
        <w:rPr>
          <w:b/>
        </w:rPr>
        <w:t xml:space="preserve">fossil </w:t>
      </w:r>
      <w:r w:rsidRPr="00077FE7">
        <w:rPr>
          <w:b/>
        </w:rPr>
        <w:t>fuel mix</w:t>
      </w:r>
      <w:r w:rsidR="00B75E40" w:rsidRPr="00077FE7">
        <w:t>: how the shift between fossil fuels, black coal, brown coal and gas, has affected emissions</w:t>
      </w:r>
      <w:r w:rsidR="002F7470" w:rsidRPr="00077FE7">
        <w:t>, it measures for example if and by how much gas has replaced other fossil fuels such as black coal</w:t>
      </w:r>
      <w:r w:rsidR="00B75E40" w:rsidRPr="00077FE7">
        <w:t>;</w:t>
      </w:r>
    </w:p>
    <w:p w:rsidR="00B75E40" w:rsidRPr="00077FE7" w:rsidRDefault="00B75E40" w:rsidP="005B5905">
      <w:pPr>
        <w:pStyle w:val="Indentedbullet"/>
      </w:pPr>
      <w:r w:rsidRPr="00077FE7">
        <w:rPr>
          <w:b/>
        </w:rPr>
        <w:t>renewable share</w:t>
      </w:r>
      <w:r w:rsidRPr="00077FE7">
        <w:t>: how increased renewable generation (share of total) has affected emissions</w:t>
      </w:r>
      <w:r w:rsidR="002F7470" w:rsidRPr="00077FE7">
        <w:t>, that is, how much increased renewable electricity generation in the overall generation mix changed the emissions intensity</w:t>
      </w:r>
      <w:r w:rsidRPr="00077FE7">
        <w:t>;</w:t>
      </w:r>
    </w:p>
    <w:p w:rsidR="00B75E40" w:rsidRPr="00077FE7" w:rsidRDefault="00B75E40" w:rsidP="005B5905">
      <w:pPr>
        <w:pStyle w:val="Indentedbullet"/>
      </w:pPr>
      <w:r w:rsidRPr="00077FE7">
        <w:rPr>
          <w:b/>
        </w:rPr>
        <w:t>carbon intensity</w:t>
      </w:r>
      <w:r w:rsidRPr="00077FE7">
        <w:t>: how changes in emissions intensity wi</w:t>
      </w:r>
      <w:r w:rsidR="002F7470" w:rsidRPr="00077FE7">
        <w:t xml:space="preserve">thin each fuel type has changed, which is measured by </w:t>
      </w:r>
      <w:r w:rsidRPr="00077FE7">
        <w:t xml:space="preserve">emissions in metric tonnes of </w:t>
      </w:r>
      <w:r w:rsidR="00860FF0">
        <w:t xml:space="preserve">carbon dioxide for </w:t>
      </w:r>
      <w:r w:rsidRPr="00077FE7">
        <w:t>each fuel divided by fuel consumption in PJ of thermal input</w:t>
      </w:r>
      <w:r w:rsidR="002F7470" w:rsidRPr="00077FE7">
        <w:t xml:space="preserve">, and captures </w:t>
      </w:r>
      <w:r w:rsidR="00860FF0">
        <w:t xml:space="preserve">how changes in fuel quality and </w:t>
      </w:r>
      <w:r w:rsidR="002F7470" w:rsidRPr="00077FE7">
        <w:t>accounting for emissions has changed carbon emissions</w:t>
      </w:r>
      <w:r w:rsidRPr="00077FE7">
        <w:t>;</w:t>
      </w:r>
    </w:p>
    <w:p w:rsidR="00B75E40" w:rsidRPr="00EE3B4B" w:rsidRDefault="00B75E40" w:rsidP="005B5905">
      <w:pPr>
        <w:pStyle w:val="Indentedbullet"/>
        <w:rPr>
          <w:i/>
        </w:rPr>
      </w:pPr>
      <w:r w:rsidRPr="00077FE7">
        <w:rPr>
          <w:b/>
        </w:rPr>
        <w:t>fuel efficiency</w:t>
      </w:r>
      <w:r w:rsidRPr="00077FE7">
        <w:t xml:space="preserve">: how far fuel efficiency </w:t>
      </w:r>
      <w:r w:rsidR="00860FF0">
        <w:t xml:space="preserve">of transforming each fuel into power </w:t>
      </w:r>
      <w:r w:rsidR="000B74E4" w:rsidRPr="00077FE7">
        <w:t xml:space="preserve">has changed, which is defined as </w:t>
      </w:r>
      <w:r w:rsidRPr="00077FE7">
        <w:t>electricity produced</w:t>
      </w:r>
      <w:r>
        <w:t xml:space="preserve"> by each fuel divided by its </w:t>
      </w:r>
      <w:r w:rsidR="000B74E4">
        <w:t>input</w:t>
      </w:r>
      <w:r>
        <w:t xml:space="preserve"> use</w:t>
      </w:r>
      <w:r w:rsidR="000B74E4">
        <w:t>, and captures factors like technology</w:t>
      </w:r>
      <w:r w:rsidR="00860FF0">
        <w:t xml:space="preserve">, </w:t>
      </w:r>
      <w:r w:rsidR="000B74E4">
        <w:t>power plant age</w:t>
      </w:r>
      <w:r w:rsidR="00860FF0">
        <w:t xml:space="preserve"> and utilisation</w:t>
      </w:r>
      <w:r>
        <w:t>.</w:t>
      </w:r>
    </w:p>
    <w:p w:rsidR="00B75E40" w:rsidRDefault="00B75E40" w:rsidP="00B75E40">
      <w:pPr>
        <w:rPr>
          <w:b/>
        </w:rPr>
      </w:pPr>
    </w:p>
    <w:p w:rsidR="00B75E40" w:rsidRPr="00022AAC" w:rsidRDefault="00B75E40" w:rsidP="00B75E40">
      <w:r w:rsidRPr="00022AAC">
        <w:t xml:space="preserve">The contributions of each driver are quantified using the method described in Section </w:t>
      </w:r>
      <w:r w:rsidR="005A66AE">
        <w:fldChar w:fldCharType="begin"/>
      </w:r>
      <w:r w:rsidR="00416259">
        <w:instrText xml:space="preserve"> REF _Ref366251349 \n \h </w:instrText>
      </w:r>
      <w:r w:rsidR="005A66AE">
        <w:fldChar w:fldCharType="separate"/>
      </w:r>
      <w:r w:rsidR="00197E14">
        <w:t>6</w:t>
      </w:r>
      <w:r w:rsidR="005A66AE">
        <w:fldChar w:fldCharType="end"/>
      </w:r>
      <w:r w:rsidRPr="00022AAC">
        <w:t>.</w:t>
      </w:r>
      <w:r w:rsidR="008E0D11">
        <w:t xml:space="preserve"> For brevity, only the LMDI decomposition results are included in the text. For a treatment of the difference between LMDI and Laspeyres, see </w:t>
      </w:r>
      <w:r w:rsidR="008E0D11" w:rsidRPr="00022AAC">
        <w:t xml:space="preserve">Section </w:t>
      </w:r>
      <w:r w:rsidR="005A66AE">
        <w:fldChar w:fldCharType="begin"/>
      </w:r>
      <w:r w:rsidR="008E0D11">
        <w:instrText xml:space="preserve"> REF _Ref366251349 \n \h </w:instrText>
      </w:r>
      <w:r w:rsidR="005A66AE">
        <w:fldChar w:fldCharType="separate"/>
      </w:r>
      <w:r w:rsidR="00197E14">
        <w:t>6</w:t>
      </w:r>
      <w:r w:rsidR="005A66AE">
        <w:fldChar w:fldCharType="end"/>
      </w:r>
      <w:r w:rsidR="008E0D11">
        <w:t>.</w:t>
      </w:r>
    </w:p>
    <w:p w:rsidR="00B75E40" w:rsidRPr="00022AAC" w:rsidRDefault="00B75E40" w:rsidP="00B75E40"/>
    <w:p w:rsidR="00B75E40" w:rsidRDefault="00B75E40" w:rsidP="00B75E40">
      <w:r w:rsidRPr="00022AAC">
        <w:t xml:space="preserve">Changes in the fuel mix and renewable deployment are the principal factors at work. The effects of changes in carbon intensity and increases in fuel efficiency are particularly weak between </w:t>
      </w:r>
      <w:r w:rsidR="006C667D">
        <w:t>2008</w:t>
      </w:r>
      <w:r w:rsidRPr="00022AAC">
        <w:t xml:space="preserve"> and </w:t>
      </w:r>
      <w:r w:rsidR="006C667D">
        <w:t>2011</w:t>
      </w:r>
      <w:r w:rsidRPr="00022AAC">
        <w:t>, see</w:t>
      </w:r>
      <w:r>
        <w:t xml:space="preserve"> </w:t>
      </w:r>
      <w:r w:rsidR="005E51AC">
        <w:fldChar w:fldCharType="begin"/>
      </w:r>
      <w:r w:rsidR="005E51AC">
        <w:instrText xml:space="preserve"> REF _Ref366153457 \r \h </w:instrText>
      </w:r>
      <w:r w:rsidR="005E51AC">
        <w:fldChar w:fldCharType="separate"/>
      </w:r>
      <w:r w:rsidR="00197E14">
        <w:t>Figure 30</w:t>
      </w:r>
      <w:r w:rsidR="005E51AC">
        <w:fldChar w:fldCharType="end"/>
      </w:r>
      <w:r w:rsidR="00CD6B4A">
        <w:t xml:space="preserve">, </w:t>
      </w:r>
      <w:r w:rsidR="005E51AC">
        <w:fldChar w:fldCharType="begin"/>
      </w:r>
      <w:r w:rsidR="005E51AC">
        <w:instrText xml:space="preserve"> REF _Ref366153457 \n \h </w:instrText>
      </w:r>
      <w:r w:rsidR="005E51AC">
        <w:fldChar w:fldCharType="separate"/>
      </w:r>
      <w:r w:rsidR="00197E14">
        <w:t>Figure 30</w:t>
      </w:r>
      <w:r w:rsidR="005E51AC">
        <w:fldChar w:fldCharType="end"/>
      </w:r>
      <w:r w:rsidR="005E51AC">
        <w:t xml:space="preserve"> </w:t>
      </w:r>
      <w:r>
        <w:t xml:space="preserve">and </w:t>
      </w:r>
      <w:r w:rsidR="005A66AE">
        <w:fldChar w:fldCharType="begin"/>
      </w:r>
      <w:r>
        <w:instrText xml:space="preserve"> REF _Ref366153468 \r \h </w:instrText>
      </w:r>
      <w:r w:rsidR="005A66AE">
        <w:fldChar w:fldCharType="separate"/>
      </w:r>
      <w:r w:rsidR="00197E14">
        <w:t>Table 15</w:t>
      </w:r>
      <w:r w:rsidR="005A66AE">
        <w:fldChar w:fldCharType="end"/>
      </w:r>
      <w:r w:rsidRPr="00022AAC">
        <w:t xml:space="preserve">. </w:t>
      </w:r>
      <w:r w:rsidR="002B68E9">
        <w:t xml:space="preserve">The large decline in fuel efficiency between </w:t>
      </w:r>
      <w:r w:rsidR="006C667D">
        <w:t>2000</w:t>
      </w:r>
      <w:r w:rsidR="002B68E9">
        <w:t xml:space="preserve"> and </w:t>
      </w:r>
      <w:r w:rsidR="006C667D">
        <w:t>2005</w:t>
      </w:r>
      <w:r w:rsidR="002B68E9">
        <w:t xml:space="preserve"> is due to a sudden change in the ration of electricity produced to fuel input in black coal</w:t>
      </w:r>
      <w:r w:rsidR="002E1EDD">
        <w:t xml:space="preserve"> in </w:t>
      </w:r>
      <w:r w:rsidR="006C667D">
        <w:t>2001</w:t>
      </w:r>
      <w:r w:rsidR="00D31149">
        <w:t xml:space="preserve"> as shown in </w:t>
      </w:r>
      <w:r w:rsidR="005A66AE">
        <w:fldChar w:fldCharType="begin"/>
      </w:r>
      <w:r w:rsidR="00DF1DC8">
        <w:instrText xml:space="preserve"> REF _Ref367656150 \r \h </w:instrText>
      </w:r>
      <w:r w:rsidR="005A66AE">
        <w:fldChar w:fldCharType="separate"/>
      </w:r>
      <w:r w:rsidR="00197E14">
        <w:t>Figure 32</w:t>
      </w:r>
      <w:r w:rsidR="005A66AE">
        <w:fldChar w:fldCharType="end"/>
      </w:r>
      <w:r w:rsidR="002B68E9">
        <w:t>.</w:t>
      </w:r>
      <w:r w:rsidR="002E1EDD">
        <w:t xml:space="preserve"> This is previously noted by the change in electricity generated from each fuel source in</w:t>
      </w:r>
      <w:r w:rsidR="002B68E9">
        <w:t xml:space="preserve"> </w:t>
      </w:r>
      <w:r w:rsidR="005A66AE">
        <w:fldChar w:fldCharType="begin"/>
      </w:r>
      <w:r w:rsidR="002E1EDD">
        <w:instrText xml:space="preserve"> REF _Ref366149863 \r \h </w:instrText>
      </w:r>
      <w:r w:rsidR="005A66AE">
        <w:fldChar w:fldCharType="separate"/>
      </w:r>
      <w:r w:rsidR="00197E14">
        <w:t>Figure 29</w:t>
      </w:r>
      <w:r w:rsidR="005A66AE">
        <w:fldChar w:fldCharType="end"/>
      </w:r>
      <w:r w:rsidR="002E1EDD">
        <w:t xml:space="preserve">. </w:t>
      </w:r>
      <w:r w:rsidRPr="00022AAC">
        <w:t>The following paragraphs describe how much each factor contributed to changes, what has been behind changes in the two main factors, and considers whether the trends might continue.</w:t>
      </w:r>
    </w:p>
    <w:p w:rsidR="00B75E40" w:rsidRPr="000D25DC" w:rsidRDefault="00B75E40" w:rsidP="00B75E40">
      <w:pPr>
        <w:pStyle w:val="Charttitle"/>
      </w:pPr>
      <w:bookmarkStart w:id="177" w:name="_Ref366153457"/>
      <w:bookmarkStart w:id="178" w:name="_Toc366155616"/>
      <w:bookmarkStart w:id="179" w:name="_Toc366269851"/>
      <w:bookmarkStart w:id="180" w:name="_Toc369890570"/>
      <w:r>
        <w:lastRenderedPageBreak/>
        <w:t>The changes in the emissions intensity of electricity generation are mainly due to changes in the fossil fuel mix, increased renewable deployment and, to a lesser extent, a reduction in the carbon intensity of fuels</w:t>
      </w:r>
      <w:bookmarkEnd w:id="177"/>
      <w:bookmarkEnd w:id="178"/>
      <w:bookmarkEnd w:id="179"/>
      <w:bookmarkEnd w:id="180"/>
    </w:p>
    <w:p w:rsidR="00B75E40" w:rsidRPr="00430244" w:rsidRDefault="00B75E40" w:rsidP="00B75E40">
      <w:pPr>
        <w:pStyle w:val="Chartspacer"/>
        <w:rPr>
          <w:rStyle w:val="PlaceholderText"/>
        </w:rPr>
      </w:pPr>
      <w:r w:rsidRPr="005D174B">
        <w:rPr>
          <w:rStyle w:val="PlaceholderText"/>
        </w:rPr>
        <w:t xml:space="preserve"> </w:t>
      </w:r>
      <w:r w:rsidRPr="00FB719B">
        <w:rPr>
          <w:noProof/>
          <w:lang w:eastAsia="en-GB"/>
        </w:rPr>
        <w:drawing>
          <wp:inline distT="0" distB="0" distL="0" distR="0" wp14:anchorId="42E4A349" wp14:editId="58591284">
            <wp:extent cx="6120130" cy="31907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3190737"/>
                    </a:xfrm>
                    <a:prstGeom prst="rect">
                      <a:avLst/>
                    </a:prstGeom>
                    <a:noFill/>
                    <a:ln>
                      <a:noFill/>
                    </a:ln>
                  </pic:spPr>
                </pic:pic>
              </a:graphicData>
            </a:graphic>
          </wp:inline>
        </w:drawing>
      </w:r>
    </w:p>
    <w:p w:rsidR="00B75E40" w:rsidRDefault="00B75E40" w:rsidP="00B75E40">
      <w:pPr>
        <w:pStyle w:val="Note"/>
      </w:pPr>
      <w:r>
        <w:t>Notes:</w:t>
      </w:r>
      <w:r>
        <w:tab/>
      </w:r>
      <w:r w:rsidR="0057735F" w:rsidRPr="00F94E82">
        <w:rPr>
          <w:b/>
        </w:rPr>
        <w:t>carbon intensity:</w:t>
      </w:r>
      <w:r w:rsidR="0057735F">
        <w:t xml:space="preserve"> changes in emissions intensity within each fuel type (emissions by fuel divided by fuel consumption); </w:t>
      </w:r>
      <w:r w:rsidR="0057735F" w:rsidRPr="00F94E82">
        <w:rPr>
          <w:b/>
        </w:rPr>
        <w:t>fuel efficiency:</w:t>
      </w:r>
      <w:r w:rsidR="0057735F">
        <w:t xml:space="preserve"> changes in electricity produced divided by fuel use</w:t>
      </w:r>
      <w:r w:rsidR="0057735F">
        <w:t>;</w:t>
      </w:r>
      <w:r w:rsidR="0057735F" w:rsidRPr="00F94E82">
        <w:rPr>
          <w:b/>
        </w:rPr>
        <w:t xml:space="preserve"> </w:t>
      </w:r>
      <w:r w:rsidRPr="00F94E82">
        <w:rPr>
          <w:b/>
        </w:rPr>
        <w:t>fuel mix:</w:t>
      </w:r>
      <w:r>
        <w:t xml:space="preserve"> the shift between fossil fuels, that is, between black, brown coal and gas; </w:t>
      </w:r>
      <w:r w:rsidRPr="00F94E82">
        <w:rPr>
          <w:b/>
        </w:rPr>
        <w:t>renewable</w:t>
      </w:r>
      <w:r w:rsidR="003563AB">
        <w:rPr>
          <w:b/>
        </w:rPr>
        <w:t>s</w:t>
      </w:r>
      <w:r w:rsidRPr="00F94E82">
        <w:rPr>
          <w:b/>
        </w:rPr>
        <w:t xml:space="preserve"> share:</w:t>
      </w:r>
      <w:r>
        <w:t xml:space="preserve"> the effect of increased renewable generation.</w:t>
      </w:r>
    </w:p>
    <w:p w:rsidR="00B75E40" w:rsidRDefault="00B75E40" w:rsidP="00B75E40">
      <w:pPr>
        <w:pStyle w:val="Source"/>
      </w:pPr>
      <w:r w:rsidRPr="005A132E">
        <w:t>Source:</w:t>
      </w:r>
      <w:r>
        <w:tab/>
        <w:t xml:space="preserve">Vivid Economics based on </w:t>
      </w:r>
      <w:r w:rsidR="005A66AE" w:rsidRPr="00B7453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B7453A">
        <w:fldChar w:fldCharType="separate"/>
      </w:r>
      <w:r w:rsidRPr="00B7453A">
        <w:rPr>
          <w:noProof/>
        </w:rPr>
        <w:t>Australian Government Bureau of Resource and Energy Economics (2013)</w:t>
      </w:r>
      <w:r w:rsidR="005A66AE" w:rsidRPr="00B7453A">
        <w:fldChar w:fldCharType="end"/>
      </w:r>
      <w:r>
        <w:t xml:space="preserve"> and </w:t>
      </w:r>
      <w:r w:rsidR="005A66AE" w:rsidRPr="00B7453A">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B7453A">
        <w:fldChar w:fldCharType="separate"/>
      </w:r>
      <w:r w:rsidRPr="00B7453A">
        <w:rPr>
          <w:noProof/>
        </w:rPr>
        <w:t>Australian Bureau of Statistics (2013)</w:t>
      </w:r>
      <w:r w:rsidR="005A66AE" w:rsidRPr="00B7453A">
        <w:fldChar w:fldCharType="end"/>
      </w:r>
    </w:p>
    <w:p w:rsidR="00B75E40" w:rsidRDefault="00B75E40" w:rsidP="00B75E40"/>
    <w:p w:rsidR="00B75E40" w:rsidRPr="000D25DC" w:rsidRDefault="00B75E40" w:rsidP="00B75E40">
      <w:pPr>
        <w:pStyle w:val="Charttitle"/>
      </w:pPr>
      <w:bookmarkStart w:id="181" w:name="_Toc366269852"/>
      <w:bookmarkStart w:id="182" w:name="_Toc369890571"/>
      <w:r>
        <w:lastRenderedPageBreak/>
        <w:t xml:space="preserve">Renewables have been consistently </w:t>
      </w:r>
      <w:r w:rsidR="00860FF0">
        <w:t xml:space="preserve">contributing to </w:t>
      </w:r>
      <w:r>
        <w:t>emissions intensity</w:t>
      </w:r>
      <w:r w:rsidR="00860FF0">
        <w:t xml:space="preserve"> improvements since </w:t>
      </w:r>
      <w:r w:rsidR="006C667D">
        <w:t>2009</w:t>
      </w:r>
      <w:bookmarkEnd w:id="181"/>
      <w:bookmarkEnd w:id="182"/>
    </w:p>
    <w:p w:rsidR="00B75E40" w:rsidRPr="00430244" w:rsidRDefault="00B75E40" w:rsidP="00B75E40">
      <w:pPr>
        <w:pStyle w:val="Chartspacer"/>
        <w:rPr>
          <w:rStyle w:val="PlaceholderText"/>
        </w:rPr>
      </w:pPr>
      <w:r w:rsidRPr="001A0588">
        <w:rPr>
          <w:noProof/>
          <w:lang w:eastAsia="en-GB"/>
        </w:rPr>
        <w:drawing>
          <wp:inline distT="0" distB="0" distL="0" distR="0" wp14:anchorId="6C283A7A" wp14:editId="5E584312">
            <wp:extent cx="6120130" cy="3198072"/>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B75E40" w:rsidRDefault="00B75E40" w:rsidP="00B75E40">
      <w:pPr>
        <w:pStyle w:val="Note"/>
      </w:pPr>
      <w:r>
        <w:t>Note:</w:t>
      </w:r>
      <w:r>
        <w:tab/>
        <w:t>LMDI decomposition of emissions intensity of electricity generation, two main effects yearly contribution.</w:t>
      </w:r>
    </w:p>
    <w:p w:rsidR="00B75E40" w:rsidRPr="005A132E" w:rsidRDefault="00B75E40" w:rsidP="00B75E40">
      <w:pPr>
        <w:pStyle w:val="Source"/>
      </w:pPr>
      <w:r w:rsidRPr="005A132E">
        <w:t>Source:</w:t>
      </w:r>
      <w:r>
        <w:tab/>
        <w:t>Vivid Economics based on BREE (2013) and AGEIS (2013)</w:t>
      </w:r>
    </w:p>
    <w:p w:rsidR="00CA7331" w:rsidRDefault="00CA7331" w:rsidP="00B75E40"/>
    <w:p w:rsidR="00CA7331" w:rsidRPr="000D25DC" w:rsidRDefault="00CA7331" w:rsidP="00CB27AE">
      <w:pPr>
        <w:pStyle w:val="Charttitle"/>
      </w:pPr>
      <w:bookmarkStart w:id="183" w:name="_Ref367656150"/>
      <w:bookmarkStart w:id="184" w:name="_Toc369890572"/>
      <w:r>
        <w:lastRenderedPageBreak/>
        <w:t xml:space="preserve">Black coal electricity generation corresponds closely to black coal input in most periods, with </w:t>
      </w:r>
      <w:r w:rsidR="006C667D">
        <w:t>2000</w:t>
      </w:r>
      <w:r>
        <w:t xml:space="preserve"> and </w:t>
      </w:r>
      <w:r w:rsidR="006C667D">
        <w:t>2001</w:t>
      </w:r>
      <w:r>
        <w:t xml:space="preserve"> being outliers</w:t>
      </w:r>
      <w:bookmarkEnd w:id="183"/>
      <w:bookmarkEnd w:id="184"/>
    </w:p>
    <w:p w:rsidR="00CA7331" w:rsidRPr="00430244" w:rsidRDefault="0057735F" w:rsidP="00CB27AE">
      <w:pPr>
        <w:pStyle w:val="Chartspacer"/>
        <w:rPr>
          <w:rStyle w:val="PlaceholderText"/>
        </w:rPr>
      </w:pPr>
      <w:r w:rsidRPr="0057735F">
        <w:drawing>
          <wp:inline distT="0" distB="0" distL="0" distR="0" wp14:anchorId="0C87788C" wp14:editId="442837F3">
            <wp:extent cx="6120765" cy="3994930"/>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CA7331" w:rsidRPr="005A132E" w:rsidRDefault="00CA7331" w:rsidP="00D27FF8">
      <w:pPr>
        <w:pStyle w:val="Source"/>
      </w:pPr>
      <w:r w:rsidRPr="005A132E">
        <w:t>Source:</w:t>
      </w:r>
      <w:r>
        <w:tab/>
      </w:r>
      <w:r w:rsidR="0090192D">
        <w:t>Vivid Economics based on BREE (2013) and AGEIS (2013)</w:t>
      </w:r>
    </w:p>
    <w:p w:rsidR="00B75E40" w:rsidRDefault="005A66AE" w:rsidP="00B75E40">
      <w:r>
        <w:fldChar w:fldCharType="begin"/>
      </w:r>
      <w:r w:rsidR="00AA4CFB">
        <w:instrText xml:space="preserve"> REF _Ref366268086 \n \h </w:instrText>
      </w:r>
      <w:r>
        <w:fldChar w:fldCharType="separate"/>
      </w:r>
      <w:r w:rsidR="00197E14">
        <w:t>Figure 33</w:t>
      </w:r>
      <w:r>
        <w:fldChar w:fldCharType="end"/>
      </w:r>
      <w:r w:rsidR="00AA4CFB">
        <w:t xml:space="preserve"> shows how volatile carbon intensity and fuel efficiency effects are compared with the fossil fuel mix and renewables share effects. These effects might be driven more by changes in fuel inventory</w:t>
      </w:r>
      <w:r w:rsidR="00860FF0">
        <w:t xml:space="preserve"> or measurement</w:t>
      </w:r>
      <w:r w:rsidR="00AA4CFB">
        <w:t xml:space="preserve"> than actual changes in technology, fleet age or other potential underlying drivers.</w:t>
      </w:r>
    </w:p>
    <w:p w:rsidR="00B75E40" w:rsidRPr="000D25DC" w:rsidRDefault="00860FF0" w:rsidP="00B75E40">
      <w:pPr>
        <w:pStyle w:val="Charttitle"/>
      </w:pPr>
      <w:bookmarkStart w:id="185" w:name="_Ref366268086"/>
      <w:bookmarkStart w:id="186" w:name="_Toc366269853"/>
      <w:bookmarkStart w:id="187" w:name="_Toc369890573"/>
      <w:r>
        <w:lastRenderedPageBreak/>
        <w:t>The large changes in carbon intensity between years may be due to inventory movements</w:t>
      </w:r>
      <w:bookmarkEnd w:id="185"/>
      <w:bookmarkEnd w:id="186"/>
      <w:bookmarkEnd w:id="187"/>
      <w:r w:rsidR="00B75E40">
        <w:t xml:space="preserve"> </w:t>
      </w:r>
    </w:p>
    <w:p w:rsidR="00B75E40" w:rsidRPr="00430244" w:rsidRDefault="00B75E40" w:rsidP="00B75E40">
      <w:pPr>
        <w:pStyle w:val="Chartspacer"/>
        <w:rPr>
          <w:rStyle w:val="PlaceholderText"/>
        </w:rPr>
      </w:pPr>
      <w:r w:rsidRPr="001A0588">
        <w:rPr>
          <w:noProof/>
          <w:lang w:eastAsia="en-GB"/>
        </w:rPr>
        <w:drawing>
          <wp:inline distT="0" distB="0" distL="0" distR="0" wp14:anchorId="10C3A0C1" wp14:editId="3BFACDAD">
            <wp:extent cx="6120130" cy="3198072"/>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B75E40" w:rsidRDefault="00B75E40" w:rsidP="00B75E40">
      <w:pPr>
        <w:pStyle w:val="Note"/>
      </w:pPr>
      <w:r>
        <w:t>Note:</w:t>
      </w:r>
      <w:r>
        <w:tab/>
        <w:t xml:space="preserve">LMDI decomposition of </w:t>
      </w:r>
      <w:r w:rsidR="0057735F">
        <w:t>electricity generation emissions intensity.</w:t>
      </w:r>
    </w:p>
    <w:p w:rsidR="00B75E40" w:rsidRPr="005A132E" w:rsidRDefault="00B75E40" w:rsidP="00B75E40">
      <w:pPr>
        <w:pStyle w:val="Source"/>
      </w:pPr>
      <w:r w:rsidRPr="005A132E">
        <w:t>Source:</w:t>
      </w:r>
      <w:r>
        <w:tab/>
        <w:t>Vivid Economics based on BREE (2013) and AGEIS (2013)</w:t>
      </w:r>
    </w:p>
    <w:p w:rsidR="00B75E40" w:rsidRPr="00711419" w:rsidRDefault="00B75E40" w:rsidP="00B75E40"/>
    <w:p w:rsidR="00B75E40" w:rsidRPr="00DE4EAF" w:rsidRDefault="00B75E40" w:rsidP="00B75E40">
      <w:pPr>
        <w:pStyle w:val="Tabletitle"/>
      </w:pPr>
      <w:bookmarkStart w:id="188" w:name="_Ref366152783"/>
      <w:bookmarkStart w:id="189" w:name="_Ref366153468"/>
      <w:bookmarkStart w:id="190" w:name="_Toc366155609"/>
      <w:bookmarkStart w:id="191" w:name="_Toc369890524"/>
      <w:r>
        <w:t xml:space="preserve">Renewables contributed most </w:t>
      </w:r>
      <w:r w:rsidR="00860FF0">
        <w:t xml:space="preserve">in recent years </w:t>
      </w:r>
      <w:r>
        <w:t xml:space="preserve">between </w:t>
      </w:r>
      <w:r w:rsidR="006C667D">
        <w:t>2008</w:t>
      </w:r>
      <w:r>
        <w:t xml:space="preserve"> and </w:t>
      </w:r>
      <w:r w:rsidR="006C667D">
        <w:t>2011</w:t>
      </w:r>
      <w:bookmarkEnd w:id="188"/>
      <w:bookmarkEnd w:id="189"/>
      <w:bookmarkEnd w:id="190"/>
      <w:bookmarkEnd w:id="191"/>
    </w:p>
    <w:tbl>
      <w:tblPr>
        <w:tblStyle w:val="Vividtable"/>
        <w:tblW w:w="9888" w:type="dxa"/>
        <w:tblLook w:val="04A0" w:firstRow="1" w:lastRow="0" w:firstColumn="1" w:lastColumn="0" w:noHBand="0" w:noVBand="1"/>
      </w:tblPr>
      <w:tblGrid>
        <w:gridCol w:w="1665"/>
        <w:gridCol w:w="2836"/>
        <w:gridCol w:w="2413"/>
        <w:gridCol w:w="2974"/>
      </w:tblGrid>
      <w:tr w:rsidR="00B75E40" w:rsidRPr="00215A21" w:rsidTr="006054BB">
        <w:trPr>
          <w:cnfStyle w:val="100000000000" w:firstRow="1" w:lastRow="0" w:firstColumn="0" w:lastColumn="0" w:oddVBand="0" w:evenVBand="0" w:oddHBand="0" w:evenHBand="0" w:firstRowFirstColumn="0" w:firstRowLastColumn="0" w:lastRowFirstColumn="0" w:lastRowLastColumn="0"/>
          <w:cantSplit/>
          <w:trHeight w:val="193"/>
          <w:tblHeader/>
        </w:trPr>
        <w:tc>
          <w:tcPr>
            <w:tcW w:w="842" w:type="pct"/>
            <w:vMerge w:val="restart"/>
          </w:tcPr>
          <w:p w:rsidR="00B75E40" w:rsidRPr="00215A21" w:rsidRDefault="00B75E40" w:rsidP="006054BB">
            <w:pPr>
              <w:keepNext/>
              <w:rPr>
                <w:rStyle w:val="PlaceholderText"/>
                <w:rFonts w:ascii="Arial" w:hAnsi="Arial" w:cs="Arial"/>
                <w:b w:val="0"/>
                <w:szCs w:val="18"/>
              </w:rPr>
            </w:pPr>
            <w:r w:rsidRPr="00215A21">
              <w:rPr>
                <w:rStyle w:val="PlaceholderText"/>
                <w:rFonts w:ascii="Arial" w:hAnsi="Arial" w:cs="Arial"/>
                <w:szCs w:val="18"/>
              </w:rPr>
              <w:t>Driver</w:t>
            </w:r>
          </w:p>
        </w:tc>
        <w:tc>
          <w:tcPr>
            <w:tcW w:w="4158" w:type="pct"/>
            <w:gridSpan w:val="3"/>
            <w:tcBorders>
              <w:bottom w:val="single" w:sz="4" w:space="0" w:color="000000" w:themeColor="text1"/>
            </w:tcBorders>
          </w:tcPr>
          <w:p w:rsidR="00B75E40" w:rsidRPr="00215A21" w:rsidRDefault="00B75E40" w:rsidP="006054BB">
            <w:pPr>
              <w:keepNext/>
              <w:jc w:val="center"/>
              <w:rPr>
                <w:rStyle w:val="PlaceholderText"/>
                <w:rFonts w:ascii="Arial" w:hAnsi="Arial" w:cs="Arial"/>
                <w:szCs w:val="18"/>
              </w:rPr>
            </w:pPr>
            <w:r w:rsidRPr="00215A21">
              <w:rPr>
                <w:rStyle w:val="PlaceholderText"/>
                <w:rFonts w:ascii="Arial" w:hAnsi="Arial" w:cs="Arial"/>
                <w:szCs w:val="18"/>
              </w:rPr>
              <w:t xml:space="preserve">Contribution to total emissions intensity reduction </w:t>
            </w:r>
            <w:r w:rsidR="00E251AF" w:rsidRPr="00215A21">
              <w:rPr>
                <w:rStyle w:val="PlaceholderText"/>
                <w:rFonts w:ascii="Arial" w:hAnsi="Arial" w:cs="Arial"/>
                <w:szCs w:val="18"/>
              </w:rPr>
              <w:t xml:space="preserve">in </w:t>
            </w:r>
            <w:r w:rsidRPr="00215A21">
              <w:rPr>
                <w:rStyle w:val="PlaceholderText"/>
                <w:rFonts w:ascii="Arial" w:hAnsi="Arial" w:cs="Arial"/>
                <w:szCs w:val="18"/>
              </w:rPr>
              <w:t>tCO</w:t>
            </w:r>
            <w:r w:rsidRPr="00215A21">
              <w:rPr>
                <w:rStyle w:val="PlaceholderText"/>
                <w:rFonts w:ascii="Arial" w:hAnsi="Arial" w:cs="Arial"/>
                <w:szCs w:val="18"/>
                <w:vertAlign w:val="subscript"/>
              </w:rPr>
              <w:t>2</w:t>
            </w:r>
            <w:r w:rsidRPr="00215A21">
              <w:rPr>
                <w:rStyle w:val="PlaceholderText"/>
                <w:rFonts w:ascii="Arial" w:hAnsi="Arial" w:cs="Arial"/>
                <w:szCs w:val="18"/>
              </w:rPr>
              <w:t>e/GWh (percentage change)</w:t>
            </w:r>
          </w:p>
        </w:tc>
      </w:tr>
      <w:tr w:rsidR="00C753FB" w:rsidRPr="00215A21" w:rsidTr="006054BB">
        <w:trPr>
          <w:cnfStyle w:val="100000000000" w:firstRow="1" w:lastRow="0" w:firstColumn="0" w:lastColumn="0" w:oddVBand="0" w:evenVBand="0" w:oddHBand="0" w:evenHBand="0" w:firstRowFirstColumn="0" w:firstRowLastColumn="0" w:lastRowFirstColumn="0" w:lastRowLastColumn="0"/>
          <w:cantSplit/>
          <w:trHeight w:val="192"/>
          <w:tblHeader/>
        </w:trPr>
        <w:tc>
          <w:tcPr>
            <w:tcW w:w="842" w:type="pct"/>
            <w:vMerge/>
            <w:tcBorders>
              <w:bottom w:val="single" w:sz="4" w:space="0" w:color="000000" w:themeColor="text1"/>
            </w:tcBorders>
          </w:tcPr>
          <w:p w:rsidR="00C753FB" w:rsidRPr="00215A21" w:rsidRDefault="00C753FB" w:rsidP="006054BB">
            <w:pPr>
              <w:keepNext/>
              <w:rPr>
                <w:rStyle w:val="PlaceholderText"/>
                <w:rFonts w:ascii="Arial" w:hAnsi="Arial" w:cs="Arial"/>
                <w:szCs w:val="18"/>
              </w:rPr>
            </w:pPr>
          </w:p>
        </w:tc>
        <w:tc>
          <w:tcPr>
            <w:tcW w:w="1434" w:type="pct"/>
            <w:tcBorders>
              <w:bottom w:val="single" w:sz="4" w:space="0" w:color="000000" w:themeColor="text1"/>
            </w:tcBorders>
          </w:tcPr>
          <w:p w:rsidR="00C753FB" w:rsidRPr="00215A21" w:rsidRDefault="00C753FB" w:rsidP="006054BB">
            <w:pPr>
              <w:keepNext/>
              <w:jc w:val="center"/>
              <w:rPr>
                <w:rStyle w:val="PlaceholderText"/>
                <w:rFonts w:ascii="Arial" w:hAnsi="Arial" w:cs="Arial"/>
                <w:szCs w:val="18"/>
              </w:rPr>
            </w:pPr>
            <w:r>
              <w:rPr>
                <w:rStyle w:val="PlaceholderText"/>
                <w:rFonts w:ascii="Arial" w:hAnsi="Arial" w:cs="Arial"/>
                <w:szCs w:val="18"/>
              </w:rPr>
              <w:t>2000</w:t>
            </w:r>
            <w:r w:rsidRPr="00215A21">
              <w:rPr>
                <w:rStyle w:val="PlaceholderText"/>
                <w:rFonts w:ascii="Arial" w:hAnsi="Arial" w:cs="Arial"/>
                <w:szCs w:val="18"/>
              </w:rPr>
              <w:t xml:space="preserve"> to </w:t>
            </w:r>
            <w:r>
              <w:rPr>
                <w:rStyle w:val="PlaceholderText"/>
                <w:rFonts w:ascii="Arial" w:hAnsi="Arial" w:cs="Arial"/>
                <w:szCs w:val="18"/>
              </w:rPr>
              <w:t>2005</w:t>
            </w:r>
          </w:p>
        </w:tc>
        <w:tc>
          <w:tcPr>
            <w:tcW w:w="1220" w:type="pct"/>
            <w:tcBorders>
              <w:bottom w:val="single" w:sz="4" w:space="0" w:color="000000" w:themeColor="text1"/>
            </w:tcBorders>
          </w:tcPr>
          <w:p w:rsidR="00C753FB" w:rsidRPr="00215A21" w:rsidRDefault="00C753FB" w:rsidP="006054BB">
            <w:pPr>
              <w:keepNext/>
              <w:jc w:val="center"/>
              <w:rPr>
                <w:rStyle w:val="PlaceholderText"/>
                <w:rFonts w:ascii="Arial" w:hAnsi="Arial" w:cs="Arial"/>
                <w:szCs w:val="18"/>
              </w:rPr>
            </w:pPr>
            <w:r>
              <w:rPr>
                <w:rStyle w:val="PlaceholderText"/>
                <w:rFonts w:ascii="Arial" w:hAnsi="Arial" w:cs="Arial"/>
                <w:szCs w:val="18"/>
              </w:rPr>
              <w:t>2005</w:t>
            </w:r>
            <w:r w:rsidRPr="00215A21">
              <w:rPr>
                <w:rStyle w:val="PlaceholderText"/>
                <w:rFonts w:ascii="Arial" w:hAnsi="Arial" w:cs="Arial"/>
                <w:szCs w:val="18"/>
              </w:rPr>
              <w:t xml:space="preserve"> to </w:t>
            </w:r>
            <w:r>
              <w:rPr>
                <w:rStyle w:val="PlaceholderText"/>
                <w:rFonts w:ascii="Arial" w:hAnsi="Arial" w:cs="Arial"/>
                <w:szCs w:val="18"/>
              </w:rPr>
              <w:t>2008</w:t>
            </w:r>
          </w:p>
        </w:tc>
        <w:tc>
          <w:tcPr>
            <w:tcW w:w="1504" w:type="pct"/>
            <w:tcBorders>
              <w:bottom w:val="single" w:sz="4" w:space="0" w:color="000000" w:themeColor="text1"/>
            </w:tcBorders>
          </w:tcPr>
          <w:p w:rsidR="00C753FB" w:rsidRPr="00215A21" w:rsidRDefault="00C753FB" w:rsidP="006054BB">
            <w:pPr>
              <w:keepNext/>
              <w:jc w:val="center"/>
              <w:rPr>
                <w:rStyle w:val="PlaceholderText"/>
                <w:rFonts w:ascii="Arial" w:hAnsi="Arial" w:cs="Arial"/>
                <w:szCs w:val="18"/>
              </w:rPr>
            </w:pPr>
            <w:r>
              <w:rPr>
                <w:rStyle w:val="PlaceholderText"/>
                <w:rFonts w:ascii="Arial" w:hAnsi="Arial" w:cs="Arial"/>
                <w:szCs w:val="18"/>
              </w:rPr>
              <w:t>2008</w:t>
            </w:r>
            <w:r w:rsidRPr="00215A21">
              <w:rPr>
                <w:rStyle w:val="PlaceholderText"/>
                <w:rFonts w:ascii="Arial" w:hAnsi="Arial" w:cs="Arial"/>
                <w:szCs w:val="18"/>
              </w:rPr>
              <w:t xml:space="preserve"> to </w:t>
            </w:r>
            <w:r>
              <w:rPr>
                <w:rStyle w:val="PlaceholderText"/>
                <w:rFonts w:ascii="Arial" w:hAnsi="Arial" w:cs="Arial"/>
                <w:szCs w:val="18"/>
              </w:rPr>
              <w:t>2011</w:t>
            </w:r>
          </w:p>
        </w:tc>
      </w:tr>
      <w:tr w:rsidR="00C753FB" w:rsidRPr="00215A21" w:rsidTr="006054BB">
        <w:trPr>
          <w:cnfStyle w:val="000000100000" w:firstRow="0" w:lastRow="0" w:firstColumn="0" w:lastColumn="0" w:oddVBand="0" w:evenVBand="0" w:oddHBand="1" w:evenHBand="0" w:firstRowFirstColumn="0" w:firstRowLastColumn="0" w:lastRowFirstColumn="0" w:lastRowLastColumn="0"/>
          <w:cantSplit/>
          <w:trHeight w:val="528"/>
        </w:trPr>
        <w:tc>
          <w:tcPr>
            <w:tcW w:w="842" w:type="pct"/>
            <w:tcBorders>
              <w:top w:val="single" w:sz="4" w:space="0" w:color="000000" w:themeColor="text1"/>
            </w:tcBorders>
          </w:tcPr>
          <w:p w:rsidR="00C753FB" w:rsidRPr="00215A21" w:rsidRDefault="00C753FB"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Renewables </w:t>
            </w:r>
          </w:p>
        </w:tc>
        <w:tc>
          <w:tcPr>
            <w:tcW w:w="1434" w:type="pct"/>
            <w:tcBorders>
              <w:top w:val="single" w:sz="4" w:space="0" w:color="000000" w:themeColor="text1"/>
            </w:tcBorders>
          </w:tcPr>
          <w:p w:rsidR="00C753FB" w:rsidRPr="00215A21" w:rsidRDefault="00C753FB" w:rsidP="007A30F8">
            <w:pPr>
              <w:tabs>
                <w:tab w:val="decimal" w:pos="320"/>
              </w:tabs>
              <w:jc w:val="center"/>
              <w:rPr>
                <w:rFonts w:ascii="Arial" w:hAnsi="Arial" w:cs="Arial"/>
                <w:szCs w:val="18"/>
              </w:rPr>
            </w:pPr>
            <w:r w:rsidRPr="00215A21">
              <w:rPr>
                <w:rFonts w:ascii="Arial" w:hAnsi="Arial" w:cs="Arial"/>
                <w:szCs w:val="18"/>
              </w:rPr>
              <w:t>-5.1 (-0.61)</w:t>
            </w:r>
          </w:p>
        </w:tc>
        <w:tc>
          <w:tcPr>
            <w:tcW w:w="1220" w:type="pct"/>
            <w:tcBorders>
              <w:top w:val="single" w:sz="4" w:space="0" w:color="000000" w:themeColor="text1"/>
            </w:tcBorders>
          </w:tcPr>
          <w:p w:rsidR="00C753FB" w:rsidRPr="00215A21" w:rsidRDefault="00C753FB" w:rsidP="007A30F8">
            <w:pPr>
              <w:tabs>
                <w:tab w:val="decimal" w:pos="399"/>
              </w:tabs>
              <w:jc w:val="center"/>
              <w:rPr>
                <w:rFonts w:ascii="Arial" w:hAnsi="Arial" w:cs="Arial"/>
                <w:szCs w:val="18"/>
              </w:rPr>
            </w:pPr>
            <w:r w:rsidRPr="00215A21">
              <w:rPr>
                <w:rFonts w:ascii="Arial" w:hAnsi="Arial" w:cs="Arial"/>
                <w:szCs w:val="18"/>
              </w:rPr>
              <w:t>8.2 (0.96)</w:t>
            </w:r>
          </w:p>
        </w:tc>
        <w:tc>
          <w:tcPr>
            <w:tcW w:w="1504" w:type="pct"/>
            <w:tcBorders>
              <w:top w:val="single" w:sz="4" w:space="0" w:color="000000" w:themeColor="text1"/>
            </w:tcBorders>
          </w:tcPr>
          <w:p w:rsidR="00C753FB" w:rsidRPr="00215A21" w:rsidRDefault="00C753FB" w:rsidP="007A30F8">
            <w:pPr>
              <w:tabs>
                <w:tab w:val="decimal" w:pos="174"/>
              </w:tabs>
              <w:jc w:val="center"/>
              <w:rPr>
                <w:rFonts w:ascii="Arial" w:hAnsi="Arial" w:cs="Arial"/>
                <w:szCs w:val="18"/>
              </w:rPr>
            </w:pPr>
            <w:r w:rsidRPr="00215A21">
              <w:rPr>
                <w:rFonts w:ascii="Arial" w:hAnsi="Arial" w:cs="Arial"/>
                <w:szCs w:val="18"/>
              </w:rPr>
              <w:t>-26.9 (-3.2)</w:t>
            </w:r>
          </w:p>
        </w:tc>
      </w:tr>
      <w:tr w:rsidR="00C753FB" w:rsidRPr="00215A21" w:rsidTr="006054BB">
        <w:trPr>
          <w:cantSplit/>
          <w:trHeight w:val="528"/>
        </w:trPr>
        <w:tc>
          <w:tcPr>
            <w:tcW w:w="842" w:type="pct"/>
          </w:tcPr>
          <w:p w:rsidR="00C753FB" w:rsidRPr="00215A21" w:rsidRDefault="00C753FB" w:rsidP="006054BB">
            <w:pPr>
              <w:keepNext/>
              <w:spacing w:line="200" w:lineRule="exact"/>
              <w:rPr>
                <w:rStyle w:val="PlaceholderText"/>
                <w:rFonts w:ascii="Arial" w:hAnsi="Arial" w:cs="Arial"/>
                <w:szCs w:val="18"/>
              </w:rPr>
            </w:pPr>
            <w:r w:rsidRPr="00215A21">
              <w:rPr>
                <w:rStyle w:val="PlaceholderText"/>
                <w:rFonts w:ascii="Arial" w:hAnsi="Arial" w:cs="Arial"/>
                <w:szCs w:val="18"/>
              </w:rPr>
              <w:t>Fossil fuel mix</w:t>
            </w:r>
          </w:p>
        </w:tc>
        <w:tc>
          <w:tcPr>
            <w:tcW w:w="1434" w:type="pct"/>
          </w:tcPr>
          <w:p w:rsidR="00C753FB" w:rsidRPr="00215A21" w:rsidRDefault="00C753FB" w:rsidP="007A30F8">
            <w:pPr>
              <w:tabs>
                <w:tab w:val="decimal" w:pos="320"/>
              </w:tabs>
              <w:jc w:val="center"/>
              <w:rPr>
                <w:rFonts w:ascii="Arial" w:hAnsi="Arial" w:cs="Arial"/>
                <w:szCs w:val="18"/>
              </w:rPr>
            </w:pPr>
            <w:r w:rsidRPr="00215A21">
              <w:rPr>
                <w:rFonts w:ascii="Arial" w:hAnsi="Arial" w:cs="Arial"/>
                <w:szCs w:val="18"/>
              </w:rPr>
              <w:t>-7 (-0.84)</w:t>
            </w:r>
          </w:p>
        </w:tc>
        <w:tc>
          <w:tcPr>
            <w:tcW w:w="1220" w:type="pct"/>
          </w:tcPr>
          <w:p w:rsidR="00C753FB" w:rsidRPr="00215A21" w:rsidRDefault="00C753FB" w:rsidP="007A30F8">
            <w:pPr>
              <w:tabs>
                <w:tab w:val="decimal" w:pos="399"/>
              </w:tabs>
              <w:jc w:val="center"/>
              <w:rPr>
                <w:rFonts w:ascii="Arial" w:hAnsi="Arial" w:cs="Arial"/>
                <w:szCs w:val="18"/>
              </w:rPr>
            </w:pPr>
            <w:r w:rsidRPr="00215A21">
              <w:rPr>
                <w:rFonts w:ascii="Arial" w:hAnsi="Arial" w:cs="Arial"/>
                <w:szCs w:val="18"/>
              </w:rPr>
              <w:t>-14.8 (-1.74)</w:t>
            </w:r>
          </w:p>
        </w:tc>
        <w:tc>
          <w:tcPr>
            <w:tcW w:w="1504" w:type="pct"/>
          </w:tcPr>
          <w:p w:rsidR="00C753FB" w:rsidRPr="00215A21" w:rsidRDefault="00C753FB" w:rsidP="007A30F8">
            <w:pPr>
              <w:tabs>
                <w:tab w:val="decimal" w:pos="174"/>
              </w:tabs>
              <w:jc w:val="center"/>
              <w:rPr>
                <w:rFonts w:ascii="Arial" w:hAnsi="Arial" w:cs="Arial"/>
                <w:szCs w:val="18"/>
              </w:rPr>
            </w:pPr>
            <w:r w:rsidRPr="00215A21">
              <w:rPr>
                <w:rFonts w:ascii="Arial" w:hAnsi="Arial" w:cs="Arial"/>
                <w:szCs w:val="18"/>
              </w:rPr>
              <w:t>-17.4 (-2.07)</w:t>
            </w:r>
          </w:p>
        </w:tc>
      </w:tr>
      <w:tr w:rsidR="00C753FB" w:rsidRPr="00215A21" w:rsidTr="006054BB">
        <w:trPr>
          <w:cnfStyle w:val="000000100000" w:firstRow="0" w:lastRow="0" w:firstColumn="0" w:lastColumn="0" w:oddVBand="0" w:evenVBand="0" w:oddHBand="1" w:evenHBand="0" w:firstRowFirstColumn="0" w:firstRowLastColumn="0" w:lastRowFirstColumn="0" w:lastRowLastColumn="0"/>
          <w:cantSplit/>
          <w:trHeight w:val="528"/>
        </w:trPr>
        <w:tc>
          <w:tcPr>
            <w:tcW w:w="842" w:type="pct"/>
          </w:tcPr>
          <w:p w:rsidR="00C753FB" w:rsidRPr="00215A21" w:rsidRDefault="00C753FB" w:rsidP="006054BB">
            <w:pPr>
              <w:keepNext/>
              <w:spacing w:line="200" w:lineRule="exact"/>
              <w:rPr>
                <w:rStyle w:val="PlaceholderText"/>
                <w:rFonts w:ascii="Arial" w:hAnsi="Arial" w:cs="Arial"/>
                <w:szCs w:val="18"/>
              </w:rPr>
            </w:pPr>
            <w:r w:rsidRPr="00215A21">
              <w:rPr>
                <w:rStyle w:val="PlaceholderText"/>
                <w:rFonts w:ascii="Arial" w:hAnsi="Arial" w:cs="Arial"/>
                <w:szCs w:val="18"/>
              </w:rPr>
              <w:t>Fuel efficiency</w:t>
            </w:r>
          </w:p>
        </w:tc>
        <w:tc>
          <w:tcPr>
            <w:tcW w:w="1434" w:type="pct"/>
          </w:tcPr>
          <w:p w:rsidR="00C753FB" w:rsidRPr="00215A21" w:rsidRDefault="00C753FB" w:rsidP="007A30F8">
            <w:pPr>
              <w:tabs>
                <w:tab w:val="decimal" w:pos="320"/>
              </w:tabs>
              <w:jc w:val="center"/>
              <w:rPr>
                <w:rFonts w:ascii="Arial" w:hAnsi="Arial" w:cs="Arial"/>
                <w:szCs w:val="18"/>
              </w:rPr>
            </w:pPr>
            <w:r w:rsidRPr="00215A21">
              <w:rPr>
                <w:rFonts w:ascii="Arial" w:hAnsi="Arial" w:cs="Arial"/>
                <w:szCs w:val="18"/>
              </w:rPr>
              <w:t>44.5 (5.34)*</w:t>
            </w:r>
          </w:p>
        </w:tc>
        <w:tc>
          <w:tcPr>
            <w:tcW w:w="1220" w:type="pct"/>
          </w:tcPr>
          <w:p w:rsidR="00C753FB" w:rsidRPr="00215A21" w:rsidRDefault="00C753FB" w:rsidP="007A30F8">
            <w:pPr>
              <w:tabs>
                <w:tab w:val="decimal" w:pos="399"/>
              </w:tabs>
              <w:jc w:val="center"/>
              <w:rPr>
                <w:rFonts w:ascii="Arial" w:hAnsi="Arial" w:cs="Arial"/>
                <w:szCs w:val="18"/>
              </w:rPr>
            </w:pPr>
            <w:r w:rsidRPr="00215A21">
              <w:rPr>
                <w:rFonts w:ascii="Arial" w:hAnsi="Arial" w:cs="Arial"/>
                <w:szCs w:val="18"/>
              </w:rPr>
              <w:t>0.2 (0.02)</w:t>
            </w:r>
          </w:p>
        </w:tc>
        <w:tc>
          <w:tcPr>
            <w:tcW w:w="1504" w:type="pct"/>
          </w:tcPr>
          <w:p w:rsidR="00C753FB" w:rsidRPr="00215A21" w:rsidRDefault="00C753FB" w:rsidP="007A30F8">
            <w:pPr>
              <w:tabs>
                <w:tab w:val="decimal" w:pos="174"/>
              </w:tabs>
              <w:jc w:val="center"/>
              <w:rPr>
                <w:rFonts w:ascii="Arial" w:hAnsi="Arial" w:cs="Arial"/>
                <w:szCs w:val="18"/>
              </w:rPr>
            </w:pPr>
            <w:r w:rsidRPr="00215A21">
              <w:rPr>
                <w:rFonts w:ascii="Arial" w:hAnsi="Arial" w:cs="Arial"/>
                <w:szCs w:val="18"/>
              </w:rPr>
              <w:t>-2.9 (-0.35)</w:t>
            </w:r>
          </w:p>
        </w:tc>
      </w:tr>
      <w:tr w:rsidR="00C753FB" w:rsidRPr="00215A21" w:rsidTr="006054BB">
        <w:trPr>
          <w:cantSplit/>
          <w:trHeight w:val="528"/>
        </w:trPr>
        <w:tc>
          <w:tcPr>
            <w:tcW w:w="842" w:type="pct"/>
          </w:tcPr>
          <w:p w:rsidR="00C753FB" w:rsidRPr="00215A21" w:rsidRDefault="00C753FB"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Carbon intensity </w:t>
            </w:r>
          </w:p>
        </w:tc>
        <w:tc>
          <w:tcPr>
            <w:tcW w:w="1434" w:type="pct"/>
          </w:tcPr>
          <w:p w:rsidR="00C753FB" w:rsidRPr="00215A21" w:rsidRDefault="00C753FB" w:rsidP="007A30F8">
            <w:pPr>
              <w:tabs>
                <w:tab w:val="decimal" w:pos="320"/>
              </w:tabs>
              <w:jc w:val="center"/>
              <w:rPr>
                <w:rFonts w:ascii="Arial" w:hAnsi="Arial" w:cs="Arial"/>
                <w:szCs w:val="18"/>
              </w:rPr>
            </w:pPr>
            <w:r w:rsidRPr="00215A21">
              <w:rPr>
                <w:rFonts w:ascii="Arial" w:hAnsi="Arial" w:cs="Arial"/>
                <w:szCs w:val="18"/>
              </w:rPr>
              <w:t>-13.8 (-1.66)*</w:t>
            </w:r>
          </w:p>
        </w:tc>
        <w:tc>
          <w:tcPr>
            <w:tcW w:w="1220" w:type="pct"/>
          </w:tcPr>
          <w:p w:rsidR="00C753FB" w:rsidRPr="00215A21" w:rsidRDefault="00C753FB" w:rsidP="007A30F8">
            <w:pPr>
              <w:tabs>
                <w:tab w:val="decimal" w:pos="399"/>
              </w:tabs>
              <w:jc w:val="center"/>
              <w:rPr>
                <w:rFonts w:ascii="Arial" w:hAnsi="Arial" w:cs="Arial"/>
                <w:szCs w:val="18"/>
              </w:rPr>
            </w:pPr>
            <w:r w:rsidRPr="00215A21">
              <w:rPr>
                <w:rFonts w:ascii="Arial" w:hAnsi="Arial" w:cs="Arial"/>
                <w:szCs w:val="18"/>
              </w:rPr>
              <w:t>-6.4 (-0.75)</w:t>
            </w:r>
          </w:p>
        </w:tc>
        <w:tc>
          <w:tcPr>
            <w:tcW w:w="1504" w:type="pct"/>
          </w:tcPr>
          <w:p w:rsidR="00C753FB" w:rsidRPr="00215A21" w:rsidRDefault="00C753FB" w:rsidP="007A30F8">
            <w:pPr>
              <w:tabs>
                <w:tab w:val="decimal" w:pos="174"/>
              </w:tabs>
              <w:jc w:val="center"/>
              <w:rPr>
                <w:rFonts w:ascii="Arial" w:hAnsi="Arial" w:cs="Arial"/>
                <w:szCs w:val="18"/>
              </w:rPr>
            </w:pPr>
            <w:r w:rsidRPr="00215A21">
              <w:rPr>
                <w:rFonts w:ascii="Arial" w:hAnsi="Arial" w:cs="Arial"/>
                <w:szCs w:val="18"/>
              </w:rPr>
              <w:t>-6.1 (-0.73)</w:t>
            </w:r>
          </w:p>
        </w:tc>
      </w:tr>
      <w:tr w:rsidR="00C753FB" w:rsidRPr="00215A21" w:rsidTr="006054BB">
        <w:trPr>
          <w:cnfStyle w:val="000000100000" w:firstRow="0" w:lastRow="0" w:firstColumn="0" w:lastColumn="0" w:oddVBand="0" w:evenVBand="0" w:oddHBand="1" w:evenHBand="0" w:firstRowFirstColumn="0" w:firstRowLastColumn="0" w:lastRowFirstColumn="0" w:lastRowLastColumn="0"/>
          <w:cantSplit/>
          <w:trHeight w:val="528"/>
        </w:trPr>
        <w:tc>
          <w:tcPr>
            <w:tcW w:w="842" w:type="pct"/>
          </w:tcPr>
          <w:p w:rsidR="00C753FB" w:rsidRPr="00215A21" w:rsidRDefault="00C753FB"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Total</w:t>
            </w:r>
          </w:p>
        </w:tc>
        <w:tc>
          <w:tcPr>
            <w:tcW w:w="1434" w:type="pct"/>
          </w:tcPr>
          <w:p w:rsidR="00C753FB" w:rsidRPr="00215A21" w:rsidRDefault="00C753FB" w:rsidP="007A30F8">
            <w:pPr>
              <w:tabs>
                <w:tab w:val="decimal" w:pos="320"/>
              </w:tabs>
              <w:jc w:val="center"/>
              <w:rPr>
                <w:rFonts w:ascii="Arial" w:hAnsi="Arial" w:cs="Arial"/>
                <w:b/>
                <w:szCs w:val="18"/>
              </w:rPr>
            </w:pPr>
            <w:r w:rsidRPr="00215A21">
              <w:rPr>
                <w:rFonts w:ascii="Arial" w:hAnsi="Arial" w:cs="Arial"/>
                <w:b/>
                <w:szCs w:val="18"/>
              </w:rPr>
              <w:t>18.5 (2.22)</w:t>
            </w:r>
          </w:p>
        </w:tc>
        <w:tc>
          <w:tcPr>
            <w:tcW w:w="1220" w:type="pct"/>
          </w:tcPr>
          <w:p w:rsidR="00C753FB" w:rsidRPr="00215A21" w:rsidRDefault="00C753FB" w:rsidP="007A30F8">
            <w:pPr>
              <w:tabs>
                <w:tab w:val="decimal" w:pos="399"/>
              </w:tabs>
              <w:jc w:val="center"/>
              <w:rPr>
                <w:rFonts w:ascii="Arial" w:hAnsi="Arial" w:cs="Arial"/>
                <w:b/>
                <w:szCs w:val="18"/>
              </w:rPr>
            </w:pPr>
            <w:r w:rsidRPr="00215A21">
              <w:rPr>
                <w:rFonts w:ascii="Arial" w:hAnsi="Arial" w:cs="Arial"/>
                <w:b/>
                <w:szCs w:val="18"/>
              </w:rPr>
              <w:t>-12.9 (-1.51)</w:t>
            </w:r>
          </w:p>
        </w:tc>
        <w:tc>
          <w:tcPr>
            <w:tcW w:w="1504" w:type="pct"/>
          </w:tcPr>
          <w:p w:rsidR="00C753FB" w:rsidRPr="00215A21" w:rsidRDefault="00C753FB" w:rsidP="007A30F8">
            <w:pPr>
              <w:tabs>
                <w:tab w:val="decimal" w:pos="174"/>
              </w:tabs>
              <w:jc w:val="center"/>
              <w:rPr>
                <w:rFonts w:ascii="Arial" w:hAnsi="Arial" w:cs="Arial"/>
                <w:b/>
                <w:szCs w:val="18"/>
              </w:rPr>
            </w:pPr>
            <w:r w:rsidRPr="00215A21">
              <w:rPr>
                <w:rFonts w:ascii="Arial" w:hAnsi="Arial" w:cs="Arial"/>
                <w:b/>
                <w:szCs w:val="18"/>
              </w:rPr>
              <w:t>-53.2 (-6.34)</w:t>
            </w:r>
          </w:p>
        </w:tc>
      </w:tr>
    </w:tbl>
    <w:p w:rsidR="00B75E40" w:rsidRPr="00820511" w:rsidRDefault="00B75E40" w:rsidP="00B75E40">
      <w:pPr>
        <w:pStyle w:val="Header"/>
        <w:pBdr>
          <w:bottom w:val="none" w:sz="0" w:space="0" w:color="auto"/>
        </w:pBdr>
      </w:pPr>
    </w:p>
    <w:p w:rsidR="00B75E40" w:rsidRDefault="00B75E40" w:rsidP="00B75E40">
      <w:pPr>
        <w:pStyle w:val="Note"/>
      </w:pPr>
      <w:r>
        <w:t>Note:</w:t>
      </w:r>
      <w:r>
        <w:tab/>
        <w:t>*</w:t>
      </w:r>
      <w:r w:rsidRPr="008E0236">
        <w:t>Fuel eff</w:t>
      </w:r>
      <w:r w:rsidR="0063423D">
        <w:t>iciency between 2000 and 2005 worsens because of inconsistent data for black coal. Black coal generation falls rapidly while black coal fuel consumption stays approximately constant.</w:t>
      </w:r>
      <w:r>
        <w:t xml:space="preserve"> The period between 2000 and 2005 likely contains statistical outliers and is therefore less useful.</w:t>
      </w:r>
    </w:p>
    <w:p w:rsidR="00B75E40" w:rsidRDefault="00B75E40" w:rsidP="00B75E40">
      <w:pPr>
        <w:pStyle w:val="Source"/>
      </w:pPr>
      <w:r w:rsidRPr="00EF51BF">
        <w:t>Source:</w:t>
      </w:r>
      <w:r>
        <w:tab/>
        <w:t xml:space="preserve">Vivid Economics based on </w:t>
      </w:r>
      <w:r w:rsidR="005A66AE" w:rsidRPr="00B7453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B7453A">
        <w:fldChar w:fldCharType="separate"/>
      </w:r>
      <w:r w:rsidRPr="00B7453A">
        <w:rPr>
          <w:noProof/>
        </w:rPr>
        <w:t>Australian Government Bureau of Resource and Energy Economics (2013)</w:t>
      </w:r>
      <w:r w:rsidR="005A66AE" w:rsidRPr="00B7453A">
        <w:fldChar w:fldCharType="end"/>
      </w:r>
      <w:r>
        <w:t xml:space="preserve"> and </w:t>
      </w:r>
      <w:r w:rsidR="005A66AE" w:rsidRPr="00B7453A">
        <w:fldChar w:fldCharType="begin" w:fldLock="1"/>
      </w:r>
      <w:r w:rsidR="00971CE6">
        <w:instrText>ADDIN CSL_CITATION { "citationItems" : [ { "id" : "ITEM-1", "itemData" : { "author" : [ { "dropping-particle" : "", "family" : "Australian Bureau of Statistics", "given" : "", "non-dropping-particle" : "", "parse-names" : false, "suffix" : "" } ], "id" : "ITEM-1", "issued" : { "date-parts" : [ [ "2013" ] ] }, "title" : "ABS 2013", "type" : "article" }, "uris" : [ "http://www.mendeley.com/documents/?uuid=e9a78104-0cb4-4007-a1e9-87849e3097d4" ] } ], "mendeley" : { "manualFormatting" : "Australian Bureau of Statistics (2013)", "previouslyFormattedCitation" : "(Australian Bureau of Statistics, 2013)" }, "properties" : { "noteIndex" : 0 }, "schema" : "https://github.com/citation-style-language/schema/raw/master/csl-citation.json" }</w:instrText>
      </w:r>
      <w:r w:rsidR="005A66AE" w:rsidRPr="00B7453A">
        <w:fldChar w:fldCharType="separate"/>
      </w:r>
      <w:r w:rsidRPr="00B7453A">
        <w:rPr>
          <w:noProof/>
        </w:rPr>
        <w:t>Australian Bureau of Statistics (2013)</w:t>
      </w:r>
      <w:r w:rsidR="005A66AE" w:rsidRPr="00B7453A">
        <w:fldChar w:fldCharType="end"/>
      </w:r>
    </w:p>
    <w:p w:rsidR="00B75E40" w:rsidRDefault="00B75E40" w:rsidP="00B75E40">
      <w:pPr>
        <w:pStyle w:val="Heading3"/>
      </w:pPr>
      <w:r>
        <w:lastRenderedPageBreak/>
        <w:t>Explanation</w:t>
      </w:r>
    </w:p>
    <w:p w:rsidR="00B75E40" w:rsidRPr="00022AAC" w:rsidRDefault="00B75E40" w:rsidP="00B75E40">
      <w:r>
        <w:t>A significant</w:t>
      </w:r>
      <w:r w:rsidRPr="00022AAC">
        <w:t xml:space="preserve"> driver behind a decline in the emissions intensity of electricity generation is policy. Increased gas generation</w:t>
      </w:r>
      <w:r>
        <w:t xml:space="preserve"> is partly,</w:t>
      </w:r>
      <w:r w:rsidRPr="00022AAC">
        <w:t xml:space="preserve"> and renewable deployment</w:t>
      </w:r>
      <w:r>
        <w:t xml:space="preserve"> is chiefly,</w:t>
      </w:r>
      <w:r w:rsidRPr="00022AAC">
        <w:t xml:space="preserve"> driven by policies, specifically the Queensland Gas Scheme</w:t>
      </w:r>
      <w:r>
        <w:t xml:space="preserve">, state-wide greenhouse gas reduction efforts such as the New South Wales Greenhouse Gas </w:t>
      </w:r>
      <w:r w:rsidR="009D0A1F">
        <w:t xml:space="preserve">Reduction </w:t>
      </w:r>
      <w:r>
        <w:t>Scheme</w:t>
      </w:r>
      <w:r w:rsidRPr="00022AAC">
        <w:t xml:space="preserve"> and the Renewable Energy Target. Other drivers, such as movements in fuel prices, have not been as influential. The statistical analysis does not </w:t>
      </w:r>
      <w:r w:rsidR="00BA170D">
        <w:t xml:space="preserve">isolate </w:t>
      </w:r>
      <w:r w:rsidRPr="00022AAC">
        <w:t>the effect of changes in technology or environmental standards, but these too might contribute to changes.</w:t>
      </w:r>
    </w:p>
    <w:p w:rsidR="00B75E40" w:rsidRPr="00022AAC" w:rsidRDefault="00B75E40" w:rsidP="00B75E40"/>
    <w:p w:rsidR="00B75E40" w:rsidRPr="00022AAC" w:rsidRDefault="00B75E40" w:rsidP="00B75E40">
      <w:r w:rsidRPr="00022AAC">
        <w:t>The changes in the fossil fuel mix and increased renewable deployment appear to be the most important factors introduced above</w:t>
      </w:r>
      <w:r>
        <w:t xml:space="preserve">, accounting for -5.5 per cent out of total percentage change of </w:t>
      </w:r>
      <w:r w:rsidR="00BA170D">
        <w:t>-</w:t>
      </w:r>
      <w:r>
        <w:t>6.3 per cent</w:t>
      </w:r>
      <w:r w:rsidRPr="00022AAC">
        <w:t xml:space="preserve"> and there are policies acting on both. The policy environment is set out in </w:t>
      </w:r>
      <w:r w:rsidR="005A66AE">
        <w:fldChar w:fldCharType="begin"/>
      </w:r>
      <w:r>
        <w:instrText xml:space="preserve"> REF _Ref366266463 \r \h </w:instrText>
      </w:r>
      <w:r w:rsidR="005A66AE">
        <w:fldChar w:fldCharType="separate"/>
      </w:r>
      <w:r w:rsidR="00197E14">
        <w:t>Table 16</w:t>
      </w:r>
      <w:r w:rsidR="005A66AE">
        <w:fldChar w:fldCharType="end"/>
      </w:r>
      <w:r w:rsidRPr="00022AAC">
        <w:t xml:space="preserve">. A continuation of the main trends may depend on the policy environment and, to a lesser extent, on market factors such as </w:t>
      </w:r>
      <w:r w:rsidR="00BA170D">
        <w:t>prices: i</w:t>
      </w:r>
      <w:r w:rsidRPr="00022AAC">
        <w:t xml:space="preserve">n particular, the strength of renewable energy incentives, the carbon price and the relative prices of coal and gas. Note that the Queensland Gas Scheme will cease at the end of 2013, </w:t>
      </w:r>
      <w:r w:rsidR="00BA170D">
        <w:t xml:space="preserve">relying instead on </w:t>
      </w:r>
      <w:r w:rsidRPr="00022AAC">
        <w:t>the national carbon pricing mechanism.</w:t>
      </w:r>
    </w:p>
    <w:p w:rsidR="00B75E40" w:rsidRPr="00022AAC" w:rsidRDefault="00B75E40" w:rsidP="00B75E40"/>
    <w:p w:rsidR="00B75E40" w:rsidRDefault="00B75E40" w:rsidP="00B75E40">
      <w:r w:rsidRPr="00022AAC">
        <w:t>The Queensland Gas Scheme requires that 1</w:t>
      </w:r>
      <w:r>
        <w:t>3</w:t>
      </w:r>
      <w:r w:rsidRPr="00022AAC">
        <w:t xml:space="preserve"> per cent of electricity consumed in Queensland stems from gas fired electricity generation</w:t>
      </w:r>
      <w:r>
        <w:t xml:space="preserve"> between 2005 and 2011, and this target has risen to 15 per cent in 2011. The share of gas fired electricity generation increase</w:t>
      </w:r>
      <w:r w:rsidR="00BA170D">
        <w:t>d by 62</w:t>
      </w:r>
      <w:r>
        <w:t xml:space="preserve"> per cent from 14.5 per cent to 21.9 per cent between </w:t>
      </w:r>
      <w:r w:rsidR="006C667D">
        <w:t>2009</w:t>
      </w:r>
      <w:r>
        <w:t xml:space="preserve"> and </w:t>
      </w:r>
      <w:r w:rsidR="006C667D">
        <w:t>2012</w:t>
      </w:r>
      <w:r>
        <w:t>.</w:t>
      </w:r>
    </w:p>
    <w:p w:rsidR="00B75E40" w:rsidRDefault="00B75E40" w:rsidP="00B75E40"/>
    <w:p w:rsidR="00B75E40" w:rsidRDefault="00B75E40" w:rsidP="00B75E40">
      <w:r>
        <w:t>In the NEM region</w:t>
      </w:r>
      <w:r w:rsidRPr="00022AAC">
        <w:t xml:space="preserve"> gas-fired electricity generation rose by </w:t>
      </w:r>
      <w:r w:rsidR="00BA170D">
        <w:t>3</w:t>
      </w:r>
      <w:r>
        <w:t>6</w:t>
      </w:r>
      <w:r w:rsidRPr="00022AAC">
        <w:t xml:space="preserve"> per cent from </w:t>
      </w:r>
      <w:r>
        <w:t>9.7</w:t>
      </w:r>
      <w:r w:rsidRPr="00022AAC">
        <w:t xml:space="preserve"> to </w:t>
      </w:r>
      <w:r>
        <w:t>13.1</w:t>
      </w:r>
      <w:r w:rsidRPr="00022AAC">
        <w:t xml:space="preserve"> per cent of total generation in the NEM </w:t>
      </w:r>
      <w:r w:rsidRPr="0085557D">
        <w:t xml:space="preserve">between </w:t>
      </w:r>
      <w:r w:rsidR="006C667D">
        <w:t>2009</w:t>
      </w:r>
      <w:r>
        <w:t xml:space="preserve"> and </w:t>
      </w:r>
      <w:r w:rsidR="006C667D">
        <w:t>2012</w:t>
      </w:r>
      <w:r w:rsidRPr="00022AAC">
        <w:t>.</w:t>
      </w:r>
      <w:r>
        <w:t xml:space="preserve"> The Queensland Gas Scheme, in</w:t>
      </w:r>
      <w:r w:rsidR="00893091">
        <w:t xml:space="preserve">troduced in 2005, mandated a 13 </w:t>
      </w:r>
      <w:r>
        <w:t>per cent contribution to state electricity generation from gas</w:t>
      </w:r>
      <w:r w:rsidR="00D36AD6">
        <w:t>, which increased to 15 per cent over time</w:t>
      </w:r>
      <w:r>
        <w:t xml:space="preserve">. There were sharp spikes in commissioned gas-fired capacity in 2006 (of 1 </w:t>
      </w:r>
      <w:r w:rsidR="0024018C">
        <w:t>G</w:t>
      </w:r>
      <w:r>
        <w:t>W</w:t>
      </w:r>
      <w:r w:rsidR="0024018C">
        <w:t>) and 2009 (of 1.2 G</w:t>
      </w:r>
      <w:r>
        <w:t xml:space="preserve">W), which were associated with generation: gas-fired generation </w:t>
      </w:r>
      <w:r w:rsidR="00BA170D">
        <w:t xml:space="preserve">fell below target </w:t>
      </w:r>
      <w:r>
        <w:t xml:space="preserve">in Queensland in 2005 </w:t>
      </w:r>
      <w:r w:rsidR="00BA170D">
        <w:t xml:space="preserve">by </w:t>
      </w:r>
      <w:r>
        <w:t xml:space="preserve">1,000 GWh, which narrowed to almost zero in subsequent years </w:t>
      </w:r>
      <w:r w:rsidR="005A66AE">
        <w:fldChar w:fldCharType="begin" w:fldLock="1"/>
      </w:r>
      <w:r w:rsidR="00971CE6">
        <w:instrText>ADDIN CSL_CITATION { "citationItems" : [ { "id" : "ITEM-1", "itemData" : { "author" : [ { "dropping-particle" : "", "family" : "Queensland Department of Energy and Water Supply", "given" : "", "non-dropping-particle" : "", "parse-names" : false, "suffix" : "" } ], "id" : "ITEM-1", "issue" : "September", "issued" : { "date-parts" : [ [ "2012" ] ] }, "title" : "Queensland Gas Scheme 2011 Liable Year Annual Report", "type" : "report" }, "uris" : [ "http://www.mendeley.com/documents/?uuid=6cd37d48-890e-4f8c-aa98-53857f1244a6", "http://www.mendeley.com/documents/?uuid=6c5dc3f9-79e9-4c4e-804e-efd3d960ded3" ] } ], "mendeley" : { "manualFormatting" : "Queensland Department of Energy and Water Supply (2012)", "previouslyFormattedCitation" : "(Queensland Department of Energy and Water Supply, 2012)" }, "properties" : { "noteIndex" : 0 }, "schema" : "https://github.com/citation-style-language/schema/raw/master/csl-citation.json" }</w:instrText>
      </w:r>
      <w:r w:rsidR="005A66AE">
        <w:fldChar w:fldCharType="separate"/>
      </w:r>
      <w:r>
        <w:rPr>
          <w:noProof/>
        </w:rPr>
        <w:t>Queensland Department of Energy and Water Supply (2012)</w:t>
      </w:r>
      <w:r w:rsidR="005A66AE">
        <w:fldChar w:fldCharType="end"/>
      </w:r>
      <w:r>
        <w:t>.</w:t>
      </w:r>
    </w:p>
    <w:p w:rsidR="00B75E40" w:rsidRDefault="00B75E40" w:rsidP="00B75E40"/>
    <w:p w:rsidR="00B75E40" w:rsidRPr="002F0489" w:rsidRDefault="00B75E40" w:rsidP="00B75E40">
      <w:r w:rsidRPr="003E73DA">
        <w:t xml:space="preserve">The share of brown coal in Australian electricity generation, relatively steady up to 2011, dropped sharply in 2012-13 </w:t>
      </w:r>
      <w:r w:rsidR="005A66AE" w:rsidRPr="003E73DA">
        <w:fldChar w:fldCharType="begin" w:fldLock="1"/>
      </w:r>
      <w:r w:rsidR="00971CE6">
        <w:instrText>ADDIN CSL_CITATION { "citationItems" : [ { "id" : "ITEM-1", "itemData" : { "ISBN" : "9780987134158", "author" : [ { "dropping-particle" : "", "family" : "Climate Works", "given" : "", "non-dropping-particle" : "", "parse-names" : false, "suffix" : "" } ], "id" : "ITEM-1", "issue" : "July", "issued" : { "date-parts" : [ [ "2013" ] ] }, "title" : "Tracking progress towards a low carbon economy", "type" : "report" }, "uris" : [ "http://www.mendeley.com/documents/?uuid=6b2cb9d8-2953-4ab3-b8f8-02b8f34d4e90" ] } ], "mendeley" : { "manualFormatting" : "Climate Works (2013)", "previouslyFormattedCitation" : "(Climate Works, 2013)" }, "properties" : { "noteIndex" : 0 }, "schema" : "https://github.com/citation-style-language/schema/raw/master/csl-citation.json" }</w:instrText>
      </w:r>
      <w:r w:rsidR="005A66AE" w:rsidRPr="003E73DA">
        <w:fldChar w:fldCharType="separate"/>
      </w:r>
      <w:r w:rsidRPr="003E73DA">
        <w:rPr>
          <w:noProof/>
        </w:rPr>
        <w:t>Climate Works (2013)</w:t>
      </w:r>
      <w:r w:rsidR="005A66AE" w:rsidRPr="003E73DA">
        <w:fldChar w:fldCharType="end"/>
      </w:r>
      <w:r w:rsidRPr="003E73DA">
        <w:t xml:space="preserve">, </w:t>
      </w:r>
      <w:r w:rsidR="005A66AE" w:rsidRPr="003E73DA">
        <w:fldChar w:fldCharType="begin" w:fldLock="1"/>
      </w:r>
      <w:r w:rsidR="00971CE6">
        <w:instrText>ADDIN CSL_CITATION { "citationItems" : [ { "id" : "ITEM-1", "itemData" : { "author" : [ { "dropping-particle" : "", "family" : "Pitt and Sherry", "given" : "", "non-dropping-particle" : "", "parse-names" : false, "suffix" : "" } ], "id" : "ITEM-1", "issue" : "July", "issued" : { "date-parts" : [ [ "2013" ] ] }, "title" : "National Electricity Market demand and emissions continue to fall . Peak and WA seem to be following .", "type" : "article-journal" }, "uris" : [ "http://www.mendeley.com/documents/?uuid=1a1a950f-144e-4f81-a8cb-ce9d79100e10" ] } ], "mendeley" : { "manualFormatting" : "Pitt and Sherry (2013)", "previouslyFormattedCitation" : "(Pitt and Sherry, 2013)" }, "properties" : { "noteIndex" : 0 }, "schema" : "https://github.com/citation-style-language/schema/raw/master/csl-citation.json" }</w:instrText>
      </w:r>
      <w:r w:rsidR="005A66AE" w:rsidRPr="003E73DA">
        <w:fldChar w:fldCharType="separate"/>
      </w:r>
      <w:r w:rsidRPr="003E73DA">
        <w:rPr>
          <w:noProof/>
        </w:rPr>
        <w:t>Pitt and Sherry (2013)</w:t>
      </w:r>
      <w:r w:rsidR="005A66AE" w:rsidRPr="003E73DA">
        <w:fldChar w:fldCharType="end"/>
      </w:r>
      <w:r w:rsidRPr="003E73DA">
        <w:t>, with the quantity of generation from brown coal declining from 55 TWh to 49 TWh, a 12 per cent reduction, between 2011 and 2012. This rapid and steep fall suggests that it was driven by factors other than the steady and monotonic decline in the</w:t>
      </w:r>
      <w:r>
        <w:t xml:space="preserve"> demand for grid-generated electricity. Key candidate explanations are operational constraints such as </w:t>
      </w:r>
      <w:r w:rsidR="00BA170D">
        <w:t xml:space="preserve">the </w:t>
      </w:r>
      <w:r>
        <w:t xml:space="preserve">flooding </w:t>
      </w:r>
      <w:r w:rsidR="00BA170D">
        <w:t xml:space="preserve">of </w:t>
      </w:r>
      <w:r>
        <w:t xml:space="preserve">Yallourn </w:t>
      </w:r>
      <w:r w:rsidR="00BA170D">
        <w:t xml:space="preserve">power station </w:t>
      </w:r>
      <w:r>
        <w:t>necessitating closures amounting to 2 TWh of electricity and industrial action and fire incidents in Yallourn associated with further falls in generation as well as the introduction of the carbon price in 2012. The carbon price affects all carbon-emitting electricity generation, but is likely to have a stronger impact on brown coal, which has an emissions intensity of 1.2 tCO</w:t>
      </w:r>
      <w:r w:rsidRPr="002F0489">
        <w:rPr>
          <w:vertAlign w:val="subscript"/>
        </w:rPr>
        <w:t>2</w:t>
      </w:r>
      <w:r>
        <w:t xml:space="preserve">e/MWh, approximately 39 per cent higher than black coal and 167 per cent higher than gas in </w:t>
      </w:r>
      <w:r w:rsidR="006C667D">
        <w:t>2011</w:t>
      </w:r>
      <w:r>
        <w:t xml:space="preserve"> (</w:t>
      </w:r>
      <w:r w:rsidR="005A66AE">
        <w:fldChar w:fldCharType="begin" w:fldLock="1"/>
      </w:r>
      <w:r w:rsidR="00971CE6">
        <w:instrText>ADDIN CSL_CITATION { "citationItems" : [ { "id" : "ITEM-1", "itemData" : { "ISBN" : "9780987134158", "author" : [ { "dropping-particle" : "", "family" : "Climate Works", "given" : "", "non-dropping-particle" : "", "parse-names" : false, "suffix" : "" } ], "id" : "ITEM-1", "issue" : "July", "issued" : { "date-parts" : [ [ "2013" ] ] }, "title" : "Tracking progress towards a low carbon economy", "type" : "report" }, "uris" : [ "http://www.mendeley.com/documents/?uuid=6b2cb9d8-2953-4ab3-b8f8-02b8f34d4e90" ] } ], "mendeley" : { "manualFormatting" : "Climate Works (2013)", "previouslyFormattedCitation" : "(Climate Works, 2013)" }, "properties" : { "noteIndex" : 0 }, "schema" : "https://github.com/citation-style-language/schema/raw/master/csl-citation.json" }</w:instrText>
      </w:r>
      <w:r w:rsidR="005A66AE">
        <w:fldChar w:fldCharType="separate"/>
      </w:r>
      <w:r>
        <w:rPr>
          <w:noProof/>
        </w:rPr>
        <w:t>Climate Works (2013)</w:t>
      </w:r>
      <w:r w:rsidR="005A66AE">
        <w:fldChar w:fldCharType="end"/>
      </w:r>
      <w:r>
        <w:rPr>
          <w:rStyle w:val="CommentReference"/>
        </w:rPr>
        <w:t xml:space="preserve">. </w:t>
      </w:r>
    </w:p>
    <w:p w:rsidR="00B75E40" w:rsidRPr="00022AAC" w:rsidRDefault="00B75E40" w:rsidP="00B75E40"/>
    <w:p w:rsidR="00B75E40" w:rsidRPr="00DE4EAF" w:rsidRDefault="00B75E40" w:rsidP="00B75E40">
      <w:pPr>
        <w:pStyle w:val="Tabletitle"/>
      </w:pPr>
      <w:bookmarkStart w:id="192" w:name="_Ref365549687"/>
      <w:bookmarkStart w:id="193" w:name="_Toc366155610"/>
      <w:bookmarkStart w:id="194" w:name="_Ref366266463"/>
      <w:bookmarkStart w:id="195" w:name="_Toc369890525"/>
      <w:r>
        <w:lastRenderedPageBreak/>
        <w:t xml:space="preserve">Changes in electricity </w:t>
      </w:r>
      <w:r w:rsidR="00F01B0D">
        <w:t>generation</w:t>
      </w:r>
      <w:r>
        <w:t xml:space="preserve"> emissions intensity are driven by policy and prices affecting the fossil fuel mix and renewable </w:t>
      </w:r>
      <w:bookmarkEnd w:id="192"/>
      <w:bookmarkEnd w:id="193"/>
      <w:r>
        <w:t>incentives</w:t>
      </w:r>
      <w:bookmarkEnd w:id="194"/>
      <w:bookmarkEnd w:id="195"/>
    </w:p>
    <w:tbl>
      <w:tblPr>
        <w:tblStyle w:val="Vividtable"/>
        <w:tblW w:w="9889" w:type="dxa"/>
        <w:tblLook w:val="04A0" w:firstRow="1" w:lastRow="0" w:firstColumn="1" w:lastColumn="0" w:noHBand="0" w:noVBand="1"/>
      </w:tblPr>
      <w:tblGrid>
        <w:gridCol w:w="2235"/>
        <w:gridCol w:w="1843"/>
        <w:gridCol w:w="2696"/>
        <w:gridCol w:w="3115"/>
      </w:tblGrid>
      <w:tr w:rsidR="00B75E40" w:rsidRPr="00980041" w:rsidTr="00BF2BA1">
        <w:trPr>
          <w:cnfStyle w:val="100000000000" w:firstRow="1" w:lastRow="0" w:firstColumn="0" w:lastColumn="0" w:oddVBand="0" w:evenVBand="0" w:oddHBand="0" w:evenHBand="0" w:firstRowFirstColumn="0" w:firstRowLastColumn="0" w:lastRowFirstColumn="0" w:lastRowLastColumn="0"/>
          <w:cantSplit/>
          <w:trHeight w:val="340"/>
          <w:tblHeader/>
        </w:trPr>
        <w:tc>
          <w:tcPr>
            <w:tcW w:w="1130" w:type="pct"/>
            <w:tcBorders>
              <w:bottom w:val="single" w:sz="4" w:space="0" w:color="000000" w:themeColor="text1"/>
            </w:tcBorders>
          </w:tcPr>
          <w:p w:rsidR="00B75E40" w:rsidRPr="004328B0" w:rsidRDefault="00B75E40" w:rsidP="006054BB">
            <w:pPr>
              <w:keepNext/>
              <w:rPr>
                <w:rStyle w:val="PlaceholderText"/>
                <w:rFonts w:ascii="Arial" w:hAnsi="Arial" w:cs="Arial"/>
                <w:b w:val="0"/>
                <w:szCs w:val="18"/>
              </w:rPr>
            </w:pPr>
            <w:r>
              <w:rPr>
                <w:rStyle w:val="PlaceholderText"/>
                <w:rFonts w:ascii="Arial" w:hAnsi="Arial" w:cs="Arial"/>
                <w:szCs w:val="18"/>
              </w:rPr>
              <w:t>Factor changing emissions intensity</w:t>
            </w:r>
          </w:p>
        </w:tc>
        <w:tc>
          <w:tcPr>
            <w:tcW w:w="932" w:type="pct"/>
            <w:tcBorders>
              <w:bottom w:val="single" w:sz="4" w:space="0" w:color="000000" w:themeColor="text1"/>
            </w:tcBorders>
          </w:tcPr>
          <w:p w:rsidR="00B75E40" w:rsidRPr="006B7AD0" w:rsidRDefault="00B75E40" w:rsidP="00BF2BA1">
            <w:pPr>
              <w:keepNext/>
              <w:jc w:val="center"/>
              <w:rPr>
                <w:rStyle w:val="PlaceholderText"/>
                <w:rFonts w:ascii="Arial" w:hAnsi="Arial" w:cs="Arial"/>
                <w:szCs w:val="18"/>
              </w:rPr>
            </w:pPr>
            <w:r>
              <w:rPr>
                <w:rStyle w:val="PlaceholderText"/>
                <w:rFonts w:ascii="Arial" w:hAnsi="Arial" w:cs="Arial"/>
                <w:szCs w:val="18"/>
              </w:rPr>
              <w:t>Relative importance</w:t>
            </w:r>
          </w:p>
        </w:tc>
        <w:tc>
          <w:tcPr>
            <w:tcW w:w="1363" w:type="pct"/>
            <w:tcBorders>
              <w:bottom w:val="single" w:sz="4" w:space="0" w:color="000000" w:themeColor="text1"/>
            </w:tcBorders>
          </w:tcPr>
          <w:p w:rsidR="00B75E40" w:rsidRPr="004328B0" w:rsidRDefault="00B75E40" w:rsidP="006054BB">
            <w:pPr>
              <w:keepNext/>
              <w:rPr>
                <w:rStyle w:val="PlaceholderText"/>
                <w:rFonts w:ascii="Arial" w:hAnsi="Arial" w:cs="Arial"/>
                <w:b w:val="0"/>
                <w:szCs w:val="18"/>
              </w:rPr>
            </w:pPr>
            <w:r>
              <w:rPr>
                <w:rStyle w:val="PlaceholderText"/>
                <w:rFonts w:ascii="Arial" w:hAnsi="Arial" w:cs="Arial"/>
                <w:szCs w:val="18"/>
              </w:rPr>
              <w:t>Main driver</w:t>
            </w:r>
          </w:p>
        </w:tc>
        <w:tc>
          <w:tcPr>
            <w:tcW w:w="1575" w:type="pct"/>
            <w:tcBorders>
              <w:bottom w:val="single" w:sz="4" w:space="0" w:color="000000" w:themeColor="text1"/>
            </w:tcBorders>
          </w:tcPr>
          <w:p w:rsidR="00B75E40" w:rsidRDefault="00B75E40" w:rsidP="006054BB">
            <w:pPr>
              <w:keepNext/>
              <w:rPr>
                <w:rStyle w:val="PlaceholderText"/>
                <w:rFonts w:ascii="Arial" w:hAnsi="Arial" w:cs="Arial"/>
                <w:szCs w:val="18"/>
              </w:rPr>
            </w:pPr>
            <w:r>
              <w:rPr>
                <w:rStyle w:val="PlaceholderText"/>
                <w:rFonts w:ascii="Arial" w:hAnsi="Arial" w:cs="Arial"/>
                <w:szCs w:val="18"/>
              </w:rPr>
              <w:t>Is the trend likely to continue?</w:t>
            </w:r>
          </w:p>
        </w:tc>
      </w:tr>
      <w:tr w:rsidR="00BF2BA1" w:rsidRPr="00980041" w:rsidTr="00BF2BA1">
        <w:trPr>
          <w:cnfStyle w:val="000000100000" w:firstRow="0" w:lastRow="0" w:firstColumn="0" w:lastColumn="0" w:oddVBand="0" w:evenVBand="0" w:oddHBand="1" w:evenHBand="0" w:firstRowFirstColumn="0" w:firstRowLastColumn="0" w:lastRowFirstColumn="0" w:lastRowLastColumn="0"/>
          <w:cantSplit/>
          <w:trHeight w:val="737"/>
        </w:trPr>
        <w:tc>
          <w:tcPr>
            <w:tcW w:w="1130" w:type="pct"/>
            <w:tcBorders>
              <w:top w:val="single" w:sz="4" w:space="0" w:color="000000" w:themeColor="text1"/>
            </w:tcBorders>
          </w:tcPr>
          <w:p w:rsidR="00BF2BA1" w:rsidRPr="004328B0"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Renewable deployment</w:t>
            </w:r>
          </w:p>
        </w:tc>
        <w:tc>
          <w:tcPr>
            <w:tcW w:w="932" w:type="pct"/>
            <w:tcBorders>
              <w:top w:val="single" w:sz="4" w:space="0" w:color="000000" w:themeColor="text1"/>
            </w:tcBorders>
          </w:tcPr>
          <w:p w:rsidR="00BF2BA1" w:rsidRPr="004328B0" w:rsidRDefault="00BF2BA1" w:rsidP="00C8003C">
            <w:pPr>
              <w:keepNext/>
              <w:spacing w:line="200" w:lineRule="exact"/>
              <w:jc w:val="center"/>
              <w:rPr>
                <w:rStyle w:val="PlaceholderText"/>
                <w:rFonts w:ascii="Arial" w:hAnsi="Arial" w:cs="Arial"/>
                <w:szCs w:val="18"/>
              </w:rPr>
            </w:pPr>
            <w:r>
              <w:rPr>
                <w:rStyle w:val="PlaceholderText"/>
                <w:rFonts w:ascii="Arial" w:hAnsi="Arial" w:cs="Arial"/>
                <w:szCs w:val="18"/>
              </w:rPr>
              <w:t>1</w:t>
            </w:r>
          </w:p>
        </w:tc>
        <w:tc>
          <w:tcPr>
            <w:tcW w:w="1363" w:type="pct"/>
            <w:tcBorders>
              <w:top w:val="single" w:sz="4" w:space="0" w:color="000000" w:themeColor="text1"/>
            </w:tcBorders>
          </w:tcPr>
          <w:p w:rsidR="00BF2BA1"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 xml:space="preserve">Policy for wind, new hydro and solar; M-RET (now LRET and SRET together with solar </w:t>
            </w:r>
            <w:r w:rsidR="00F50AEE">
              <w:rPr>
                <w:rStyle w:val="PlaceholderText"/>
                <w:rFonts w:ascii="Arial" w:hAnsi="Arial" w:cs="Arial"/>
                <w:szCs w:val="18"/>
              </w:rPr>
              <w:t>feed-in-tariffs</w:t>
            </w:r>
            <w:r>
              <w:rPr>
                <w:rStyle w:val="PlaceholderText"/>
                <w:rFonts w:ascii="Arial" w:hAnsi="Arial" w:cs="Arial"/>
                <w:szCs w:val="18"/>
              </w:rPr>
              <w:t>)</w:t>
            </w:r>
          </w:p>
          <w:p w:rsidR="00BF2BA1" w:rsidRPr="004328B0"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Weather, specifically rainfall, for large scale hydro</w:t>
            </w:r>
          </w:p>
        </w:tc>
        <w:tc>
          <w:tcPr>
            <w:tcW w:w="1575" w:type="pct"/>
            <w:tcBorders>
              <w:top w:val="single" w:sz="4" w:space="0" w:color="000000" w:themeColor="text1"/>
            </w:tcBorders>
          </w:tcPr>
          <w:p w:rsidR="00BF2BA1"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An increase in renewables beyond past levels of full hydro utilisation depends on policy environment</w:t>
            </w:r>
          </w:p>
        </w:tc>
      </w:tr>
      <w:tr w:rsidR="00BF2BA1" w:rsidRPr="00980041" w:rsidTr="00BF2BA1">
        <w:trPr>
          <w:cantSplit/>
          <w:trHeight w:val="737"/>
        </w:trPr>
        <w:tc>
          <w:tcPr>
            <w:tcW w:w="1130" w:type="pct"/>
          </w:tcPr>
          <w:p w:rsidR="00BF2BA1" w:rsidRPr="004328B0"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Fossil fuel mix</w:t>
            </w:r>
          </w:p>
        </w:tc>
        <w:tc>
          <w:tcPr>
            <w:tcW w:w="932" w:type="pct"/>
          </w:tcPr>
          <w:p w:rsidR="00BF2BA1" w:rsidRPr="004328B0" w:rsidRDefault="00BF2BA1" w:rsidP="00C8003C">
            <w:pPr>
              <w:keepNext/>
              <w:spacing w:line="200" w:lineRule="exact"/>
              <w:jc w:val="center"/>
              <w:rPr>
                <w:rStyle w:val="PlaceholderText"/>
                <w:rFonts w:ascii="Arial" w:hAnsi="Arial" w:cs="Arial"/>
                <w:szCs w:val="18"/>
              </w:rPr>
            </w:pPr>
            <w:r>
              <w:rPr>
                <w:rStyle w:val="PlaceholderText"/>
                <w:rFonts w:ascii="Arial" w:hAnsi="Arial" w:cs="Arial"/>
                <w:szCs w:val="18"/>
              </w:rPr>
              <w:t>2</w:t>
            </w:r>
          </w:p>
        </w:tc>
        <w:tc>
          <w:tcPr>
            <w:tcW w:w="1363" w:type="pct"/>
          </w:tcPr>
          <w:p w:rsidR="00BF2BA1" w:rsidRPr="004328B0"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 xml:space="preserve">Policy </w:t>
            </w:r>
            <w:r w:rsidR="00AF6E58">
              <w:rPr>
                <w:rStyle w:val="PlaceholderText"/>
                <w:rFonts w:ascii="Arial" w:hAnsi="Arial" w:cs="Arial"/>
                <w:szCs w:val="18"/>
              </w:rPr>
              <w:t>(</w:t>
            </w:r>
            <w:r>
              <w:rPr>
                <w:rStyle w:val="PlaceholderText"/>
                <w:rFonts w:ascii="Arial" w:hAnsi="Arial" w:cs="Arial"/>
                <w:szCs w:val="18"/>
              </w:rPr>
              <w:t>Queensland Gas Scheme</w:t>
            </w:r>
            <w:r w:rsidR="00686A70">
              <w:rPr>
                <w:rStyle w:val="PlaceholderText"/>
                <w:rFonts w:ascii="Arial" w:hAnsi="Arial" w:cs="Arial"/>
                <w:szCs w:val="18"/>
              </w:rPr>
              <w:t xml:space="preserve"> and New South Wales </w:t>
            </w:r>
            <w:r w:rsidR="00686A70" w:rsidRPr="00686A70">
              <w:rPr>
                <w:rFonts w:ascii="Arial" w:hAnsi="Arial" w:cs="Arial"/>
                <w:szCs w:val="18"/>
              </w:rPr>
              <w:t>Greenhouse Gas Reduction Scheme</w:t>
            </w:r>
            <w:r w:rsidR="00AF6E58">
              <w:rPr>
                <w:rStyle w:val="PlaceholderText"/>
                <w:rFonts w:ascii="Arial" w:hAnsi="Arial" w:cs="Arial"/>
                <w:szCs w:val="18"/>
              </w:rPr>
              <w:t>)</w:t>
            </w:r>
            <w:r>
              <w:rPr>
                <w:rStyle w:val="PlaceholderText"/>
                <w:rFonts w:ascii="Arial" w:hAnsi="Arial" w:cs="Arial"/>
                <w:szCs w:val="18"/>
              </w:rPr>
              <w:t xml:space="preserve"> and coal seam gas</w:t>
            </w:r>
            <w:r w:rsidR="00AF6E58">
              <w:rPr>
                <w:rStyle w:val="PlaceholderText"/>
                <w:rFonts w:ascii="Arial" w:hAnsi="Arial" w:cs="Arial"/>
                <w:szCs w:val="18"/>
              </w:rPr>
              <w:t xml:space="preserve"> development</w:t>
            </w:r>
          </w:p>
        </w:tc>
        <w:tc>
          <w:tcPr>
            <w:tcW w:w="1575" w:type="pct"/>
          </w:tcPr>
          <w:p w:rsidR="00BF2BA1" w:rsidRDefault="00BF2BA1" w:rsidP="00C8003C">
            <w:pPr>
              <w:keepNext/>
              <w:spacing w:line="200" w:lineRule="exact"/>
              <w:rPr>
                <w:rStyle w:val="PlaceholderText"/>
                <w:rFonts w:ascii="Arial" w:hAnsi="Arial" w:cs="Arial"/>
                <w:szCs w:val="18"/>
              </w:rPr>
            </w:pPr>
            <w:r>
              <w:rPr>
                <w:rStyle w:val="PlaceholderText"/>
                <w:rFonts w:ascii="Arial" w:hAnsi="Arial" w:cs="Arial"/>
                <w:szCs w:val="18"/>
              </w:rPr>
              <w:t>Depending mainly on policy environment and, on fuel input prices</w:t>
            </w:r>
          </w:p>
        </w:tc>
      </w:tr>
      <w:tr w:rsidR="00BF2BA1" w:rsidRPr="00980041" w:rsidTr="00BF2BA1">
        <w:trPr>
          <w:cnfStyle w:val="000000100000" w:firstRow="0" w:lastRow="0" w:firstColumn="0" w:lastColumn="0" w:oddVBand="0" w:evenVBand="0" w:oddHBand="1" w:evenHBand="0" w:firstRowFirstColumn="0" w:firstRowLastColumn="0" w:lastRowFirstColumn="0" w:lastRowLastColumn="0"/>
          <w:cantSplit/>
          <w:trHeight w:val="737"/>
        </w:trPr>
        <w:tc>
          <w:tcPr>
            <w:tcW w:w="1130" w:type="pct"/>
          </w:tcPr>
          <w:p w:rsidR="00BF2BA1" w:rsidRPr="004328B0" w:rsidRDefault="00BF2BA1" w:rsidP="006054BB">
            <w:pPr>
              <w:keepNext/>
              <w:spacing w:line="200" w:lineRule="exact"/>
              <w:rPr>
                <w:rStyle w:val="PlaceholderText"/>
                <w:rFonts w:ascii="Arial" w:hAnsi="Arial" w:cs="Arial"/>
                <w:szCs w:val="18"/>
              </w:rPr>
            </w:pPr>
            <w:r>
              <w:rPr>
                <w:rStyle w:val="PlaceholderText"/>
                <w:rFonts w:ascii="Arial" w:hAnsi="Arial" w:cs="Arial"/>
                <w:szCs w:val="18"/>
              </w:rPr>
              <w:t>Carbon intensity per fuel type</w:t>
            </w:r>
          </w:p>
        </w:tc>
        <w:tc>
          <w:tcPr>
            <w:tcW w:w="932" w:type="pct"/>
          </w:tcPr>
          <w:p w:rsidR="00BF2BA1" w:rsidRPr="004328B0" w:rsidRDefault="00BF2BA1" w:rsidP="006054BB">
            <w:pPr>
              <w:keepNext/>
              <w:spacing w:line="200" w:lineRule="exact"/>
              <w:jc w:val="center"/>
              <w:rPr>
                <w:rStyle w:val="PlaceholderText"/>
                <w:rFonts w:ascii="Arial" w:hAnsi="Arial" w:cs="Arial"/>
                <w:szCs w:val="18"/>
              </w:rPr>
            </w:pPr>
            <w:r>
              <w:rPr>
                <w:rStyle w:val="PlaceholderText"/>
                <w:rFonts w:ascii="Arial" w:hAnsi="Arial" w:cs="Arial"/>
                <w:szCs w:val="18"/>
              </w:rPr>
              <w:t>3</w:t>
            </w:r>
          </w:p>
        </w:tc>
        <w:tc>
          <w:tcPr>
            <w:tcW w:w="1363" w:type="pct"/>
          </w:tcPr>
          <w:p w:rsidR="00BF2BA1" w:rsidRPr="00EE2D4A" w:rsidRDefault="00BF2BA1" w:rsidP="006054BB">
            <w:pPr>
              <w:keepNext/>
              <w:spacing w:line="200" w:lineRule="exact"/>
              <w:rPr>
                <w:rStyle w:val="PlaceholderText"/>
                <w:rFonts w:ascii="Arial" w:hAnsi="Arial" w:cs="Arial"/>
                <w:szCs w:val="18"/>
              </w:rPr>
            </w:pPr>
            <w:r w:rsidRPr="00EE2D4A">
              <w:rPr>
                <w:rStyle w:val="PlaceholderText"/>
                <w:rFonts w:ascii="Arial" w:hAnsi="Arial" w:cs="Arial"/>
                <w:szCs w:val="18"/>
              </w:rPr>
              <w:t>Fuel quality</w:t>
            </w:r>
            <w:r>
              <w:rPr>
                <w:rStyle w:val="PlaceholderText"/>
                <w:rFonts w:ascii="Arial" w:hAnsi="Arial" w:cs="Arial"/>
                <w:szCs w:val="18"/>
              </w:rPr>
              <w:t>, emissions counting between source and power plant</w:t>
            </w:r>
          </w:p>
        </w:tc>
        <w:tc>
          <w:tcPr>
            <w:tcW w:w="1575" w:type="pct"/>
          </w:tcPr>
          <w:p w:rsidR="00BF2BA1" w:rsidRPr="00EE2D4A" w:rsidRDefault="00BF2BA1" w:rsidP="006054BB">
            <w:pPr>
              <w:keepNext/>
              <w:spacing w:line="200" w:lineRule="exact"/>
              <w:rPr>
                <w:rStyle w:val="PlaceholderText"/>
                <w:rFonts w:ascii="Arial" w:hAnsi="Arial" w:cs="Arial"/>
                <w:szCs w:val="18"/>
              </w:rPr>
            </w:pPr>
            <w:r w:rsidRPr="00EE2D4A">
              <w:rPr>
                <w:rStyle w:val="PlaceholderText"/>
                <w:rFonts w:ascii="Arial" w:hAnsi="Arial" w:cs="Arial"/>
                <w:szCs w:val="18"/>
              </w:rPr>
              <w:t>Uncertain</w:t>
            </w:r>
          </w:p>
        </w:tc>
      </w:tr>
      <w:tr w:rsidR="00BF2BA1" w:rsidRPr="00980041" w:rsidTr="00BF2BA1">
        <w:trPr>
          <w:cantSplit/>
          <w:trHeight w:val="737"/>
        </w:trPr>
        <w:tc>
          <w:tcPr>
            <w:tcW w:w="1130" w:type="pct"/>
          </w:tcPr>
          <w:p w:rsidR="00BF2BA1" w:rsidRDefault="00BF2BA1" w:rsidP="006054BB">
            <w:pPr>
              <w:keepNext/>
              <w:spacing w:line="200" w:lineRule="exact"/>
              <w:rPr>
                <w:rStyle w:val="PlaceholderText"/>
                <w:rFonts w:ascii="Arial" w:hAnsi="Arial" w:cs="Arial"/>
                <w:szCs w:val="18"/>
              </w:rPr>
            </w:pPr>
            <w:r>
              <w:rPr>
                <w:rStyle w:val="PlaceholderText"/>
                <w:rFonts w:ascii="Arial" w:hAnsi="Arial" w:cs="Arial"/>
                <w:szCs w:val="18"/>
              </w:rPr>
              <w:t>Fuel efficiency per fuel type</w:t>
            </w:r>
          </w:p>
        </w:tc>
        <w:tc>
          <w:tcPr>
            <w:tcW w:w="932" w:type="pct"/>
          </w:tcPr>
          <w:p w:rsidR="00BF2BA1" w:rsidRPr="004328B0" w:rsidRDefault="00BF2BA1" w:rsidP="006054BB">
            <w:pPr>
              <w:keepNext/>
              <w:spacing w:line="200" w:lineRule="exact"/>
              <w:jc w:val="center"/>
              <w:rPr>
                <w:rStyle w:val="PlaceholderText"/>
                <w:rFonts w:ascii="Arial" w:hAnsi="Arial" w:cs="Arial"/>
                <w:szCs w:val="18"/>
              </w:rPr>
            </w:pPr>
            <w:r>
              <w:rPr>
                <w:rStyle w:val="PlaceholderText"/>
                <w:rFonts w:ascii="Arial" w:hAnsi="Arial" w:cs="Arial"/>
                <w:szCs w:val="18"/>
              </w:rPr>
              <w:t>4</w:t>
            </w:r>
          </w:p>
        </w:tc>
        <w:tc>
          <w:tcPr>
            <w:tcW w:w="1363" w:type="pct"/>
          </w:tcPr>
          <w:p w:rsidR="00BF2BA1" w:rsidRPr="00EE2D4A" w:rsidRDefault="00BF2BA1" w:rsidP="006054BB">
            <w:pPr>
              <w:keepNext/>
              <w:spacing w:line="200" w:lineRule="exact"/>
              <w:rPr>
                <w:rStyle w:val="PlaceholderText"/>
                <w:rFonts w:ascii="Arial" w:hAnsi="Arial" w:cs="Arial"/>
                <w:szCs w:val="18"/>
              </w:rPr>
            </w:pPr>
            <w:r w:rsidRPr="00EE2D4A">
              <w:rPr>
                <w:rStyle w:val="PlaceholderText"/>
                <w:rFonts w:ascii="Arial" w:hAnsi="Arial" w:cs="Arial"/>
                <w:szCs w:val="18"/>
              </w:rPr>
              <w:t>Utilisation, entry and exit, fleet ageing</w:t>
            </w:r>
          </w:p>
        </w:tc>
        <w:tc>
          <w:tcPr>
            <w:tcW w:w="1575" w:type="pct"/>
          </w:tcPr>
          <w:p w:rsidR="00BF2BA1" w:rsidRPr="00EE2D4A" w:rsidRDefault="00BF2BA1" w:rsidP="006054BB">
            <w:pPr>
              <w:keepNext/>
              <w:spacing w:line="200" w:lineRule="exact"/>
              <w:rPr>
                <w:rStyle w:val="PlaceholderText"/>
                <w:rFonts w:ascii="Arial" w:hAnsi="Arial" w:cs="Arial"/>
                <w:szCs w:val="18"/>
              </w:rPr>
            </w:pPr>
            <w:r w:rsidRPr="00EE2D4A">
              <w:rPr>
                <w:rStyle w:val="PlaceholderText"/>
                <w:rFonts w:ascii="Arial" w:hAnsi="Arial" w:cs="Arial"/>
                <w:szCs w:val="18"/>
              </w:rPr>
              <w:t>Uncertain</w:t>
            </w:r>
          </w:p>
        </w:tc>
      </w:tr>
    </w:tbl>
    <w:p w:rsidR="00B75E40" w:rsidRPr="00820511" w:rsidRDefault="00B75E40" w:rsidP="00B75E40">
      <w:pPr>
        <w:pStyle w:val="Header"/>
        <w:pBdr>
          <w:bottom w:val="none" w:sz="0" w:space="0" w:color="auto"/>
        </w:pBdr>
      </w:pPr>
      <w:r>
        <w:tab/>
      </w:r>
    </w:p>
    <w:p w:rsidR="00B75E40" w:rsidRDefault="00B75E40" w:rsidP="00B75E40">
      <w:pPr>
        <w:pStyle w:val="Source"/>
      </w:pPr>
      <w:r w:rsidRPr="00EF51BF">
        <w:t>Source:</w:t>
      </w:r>
      <w:r>
        <w:tab/>
        <w:t>Vivid Economics</w:t>
      </w:r>
    </w:p>
    <w:p w:rsidR="00B75E40" w:rsidRDefault="00B75E40" w:rsidP="00B75E40">
      <w:r w:rsidRPr="00022AAC">
        <w:t xml:space="preserve">The following paragraphs provide more detail for each factor, describe the underlying driver and assess whether the observed trend between </w:t>
      </w:r>
      <w:r w:rsidR="006C667D">
        <w:t>2008</w:t>
      </w:r>
      <w:r w:rsidRPr="00022AAC">
        <w:t xml:space="preserve"> and </w:t>
      </w:r>
      <w:r w:rsidR="006C667D">
        <w:t>2012</w:t>
      </w:r>
      <w:r w:rsidRPr="00022AAC">
        <w:t xml:space="preserve"> might continue.</w:t>
      </w:r>
    </w:p>
    <w:p w:rsidR="00297A35" w:rsidRPr="00022AAC" w:rsidRDefault="00297A35" w:rsidP="00B75E40"/>
    <w:p w:rsidR="00297A35" w:rsidRDefault="00297A35" w:rsidP="00297A35">
      <w:pPr>
        <w:pStyle w:val="Heading3"/>
      </w:pPr>
      <w:r>
        <w:t>Fossil fuel mix</w:t>
      </w:r>
    </w:p>
    <w:p w:rsidR="00B75E40" w:rsidRPr="00022AAC" w:rsidRDefault="00297A35" w:rsidP="00B75E40">
      <w:r>
        <w:t xml:space="preserve">Changes in the fossil fuel mix and increased renewables deployment are the main drivers of the declining electricity generation emissions intensity between </w:t>
      </w:r>
      <w:r w:rsidR="006C667D">
        <w:t>2000</w:t>
      </w:r>
      <w:r>
        <w:t xml:space="preserve"> and </w:t>
      </w:r>
      <w:r w:rsidR="006C667D">
        <w:t>2011</w:t>
      </w:r>
      <w:r>
        <w:t xml:space="preserve">. </w:t>
      </w:r>
      <w:r w:rsidR="00B75E40" w:rsidRPr="00022AAC">
        <w:t xml:space="preserve">Between </w:t>
      </w:r>
      <w:r w:rsidR="006C667D">
        <w:t>2008</w:t>
      </w:r>
      <w:r w:rsidR="00B75E40" w:rsidRPr="00022AAC">
        <w:t xml:space="preserve"> and </w:t>
      </w:r>
      <w:r w:rsidR="006C667D">
        <w:t>2011</w:t>
      </w:r>
      <w:r w:rsidR="00B75E40" w:rsidRPr="00022AAC">
        <w:t xml:space="preserve"> there was a significant increase in gas fired electricity generation. This contribut</w:t>
      </w:r>
      <w:r w:rsidR="000E1602">
        <w:t>es two fifths, approximately 2.1</w:t>
      </w:r>
      <w:r w:rsidR="00B75E40" w:rsidRPr="00022AAC">
        <w:t xml:space="preserve"> per cent out of the total decline of </w:t>
      </w:r>
      <w:r w:rsidR="00B75E40">
        <w:t>6</w:t>
      </w:r>
      <w:r w:rsidR="00B75E40" w:rsidRPr="00022AAC">
        <w:t>.</w:t>
      </w:r>
      <w:r w:rsidR="00B75E40">
        <w:t>3</w:t>
      </w:r>
      <w:r w:rsidR="00B75E40" w:rsidRPr="00022AAC">
        <w:t xml:space="preserve"> per cent, in electricity generation emissions intensity between </w:t>
      </w:r>
      <w:r w:rsidR="006C667D">
        <w:t>2008</w:t>
      </w:r>
      <w:r w:rsidR="00B75E40" w:rsidRPr="00022AAC">
        <w:t xml:space="preserve"> and </w:t>
      </w:r>
      <w:r w:rsidR="006C667D">
        <w:t>2011</w:t>
      </w:r>
      <w:r w:rsidR="00B75E40" w:rsidRPr="00022AAC">
        <w:t>, see</w:t>
      </w:r>
      <w:r w:rsidR="00B75E40">
        <w:t xml:space="preserve"> </w:t>
      </w:r>
      <w:r w:rsidR="007666E1">
        <w:fldChar w:fldCharType="begin"/>
      </w:r>
      <w:r w:rsidR="007666E1">
        <w:instrText xml:space="preserve"> REF _Ref366152783 \r \h  \* MERGEFORMAT </w:instrText>
      </w:r>
      <w:r w:rsidR="007666E1">
        <w:fldChar w:fldCharType="separate"/>
      </w:r>
      <w:r w:rsidR="00197E14">
        <w:t>Table 15</w:t>
      </w:r>
      <w:r w:rsidR="007666E1">
        <w:fldChar w:fldCharType="end"/>
      </w:r>
      <w:r w:rsidR="00B75E40" w:rsidRPr="000E1602">
        <w:rPr>
          <w:bCs/>
          <w:lang w:val="en-US"/>
        </w:rPr>
        <w:t>.</w:t>
      </w:r>
      <w:r w:rsidR="00B75E40" w:rsidRPr="000E1602">
        <w:t xml:space="preserve"> In</w:t>
      </w:r>
      <w:r w:rsidR="00B75E40" w:rsidRPr="00022AAC">
        <w:t xml:space="preserve"> addition, black coal fired generation declined between </w:t>
      </w:r>
      <w:r w:rsidR="006C667D">
        <w:t>2008</w:t>
      </w:r>
      <w:r w:rsidR="00B75E40" w:rsidRPr="00022AAC">
        <w:t xml:space="preserve"> and </w:t>
      </w:r>
      <w:r w:rsidR="006C667D">
        <w:t>2011</w:t>
      </w:r>
      <w:r w:rsidR="00B75E40" w:rsidRPr="00022AAC">
        <w:t xml:space="preserve"> and, in the latest available data,</w:t>
      </w:r>
      <w:r w:rsidR="00B75E40" w:rsidRPr="00022AAC">
        <w:rPr>
          <w:rStyle w:val="FootnoteReference"/>
        </w:rPr>
        <w:footnoteReference w:id="8"/>
      </w:r>
      <w:r w:rsidR="00B75E40" w:rsidRPr="00022AAC">
        <w:t xml:space="preserve"> the electricity generated from brown coal started to decline, partially due to the </w:t>
      </w:r>
      <w:r w:rsidR="000E1602">
        <w:t>temporary shutdown</w:t>
      </w:r>
      <w:r w:rsidR="000E1602" w:rsidRPr="00022AAC">
        <w:t xml:space="preserve"> </w:t>
      </w:r>
      <w:r w:rsidR="000E1602">
        <w:t xml:space="preserve">of </w:t>
      </w:r>
      <w:r w:rsidR="00B75E40" w:rsidRPr="00022AAC">
        <w:t>Yallourn brown coal power station in 2012</w:t>
      </w:r>
      <w:r w:rsidR="00B75E40">
        <w:t>.</w:t>
      </w:r>
    </w:p>
    <w:p w:rsidR="00B75E40" w:rsidRPr="00022AAC" w:rsidRDefault="00B75E40" w:rsidP="00B75E40"/>
    <w:p w:rsidR="00B75E40" w:rsidRPr="00022AAC" w:rsidRDefault="00B75E40" w:rsidP="00B75E40">
      <w:r w:rsidRPr="00022AAC">
        <w:t xml:space="preserve">Policy decisions have been a major driver of changes in the fuel mix, especially the expansion of gas fired capacity. Gas generation was favoured in Queensland under the Queensland Gas Scheme and by efforts to reduce emissions from electricity in New South Wales via the Greenhouse Gas </w:t>
      </w:r>
      <w:r w:rsidR="009D0A1F">
        <w:t>Reduction</w:t>
      </w:r>
      <w:r w:rsidR="009D0A1F" w:rsidRPr="00022AAC">
        <w:t xml:space="preserve"> </w:t>
      </w:r>
      <w:r w:rsidRPr="00022AAC">
        <w:t>Scheme</w:t>
      </w:r>
      <w:r>
        <w:t>.</w:t>
      </w:r>
    </w:p>
    <w:p w:rsidR="00B75E40" w:rsidRPr="00022AAC" w:rsidRDefault="00B75E40" w:rsidP="00B75E40"/>
    <w:p w:rsidR="00B75E40" w:rsidRDefault="00B75E40" w:rsidP="00B75E40">
      <w:r w:rsidRPr="00022AAC">
        <w:t>The Queensland Gas Scheme started in 200</w:t>
      </w:r>
      <w:r>
        <w:t>5</w:t>
      </w:r>
      <w:r w:rsidRPr="00022AAC">
        <w:t xml:space="preserve"> and is due to end in 2013 and during this period the share of gas fired electri</w:t>
      </w:r>
      <w:r>
        <w:t>city generation increased from 14.</w:t>
      </w:r>
      <w:r w:rsidRPr="00E472B1">
        <w:t xml:space="preserve">5 in </w:t>
      </w:r>
      <w:r w:rsidR="006C667D">
        <w:t>2009</w:t>
      </w:r>
      <w:r w:rsidRPr="00E472B1">
        <w:t xml:space="preserve"> to 21.9 per cent in </w:t>
      </w:r>
      <w:r w:rsidR="006C667D">
        <w:t>2012</w:t>
      </w:r>
      <w:r>
        <w:t>,</w:t>
      </w:r>
      <w:r w:rsidRPr="00E472B1">
        <w:t xml:space="preserve"> as shown</w:t>
      </w:r>
      <w:r w:rsidRPr="00022AAC">
        <w:t xml:space="preserve"> in </w:t>
      </w:r>
      <w:r>
        <w:t>Figure 6</w:t>
      </w:r>
      <w:r w:rsidRPr="00022AAC">
        <w:t xml:space="preserve">. The Queensland Gas Scheme required that 13 per cent of all electricity consumed </w:t>
      </w:r>
      <w:r w:rsidR="000E1602">
        <w:t xml:space="preserve">is sourced </w:t>
      </w:r>
      <w:r w:rsidRPr="00022AAC">
        <w:t>from gas fired electricity generation. Queensland was particularly suited for this as it is the</w:t>
      </w:r>
      <w:r w:rsidRPr="00022AAC">
        <w:rPr>
          <w:b/>
        </w:rPr>
        <w:t xml:space="preserve"> </w:t>
      </w:r>
      <w:r w:rsidRPr="00B425FE">
        <w:t>largest producer of gas from</w:t>
      </w:r>
      <w:r w:rsidRPr="00022AAC">
        <w:rPr>
          <w:b/>
        </w:rPr>
        <w:t xml:space="preserve"> </w:t>
      </w:r>
      <w:r w:rsidRPr="00022AAC">
        <w:lastRenderedPageBreak/>
        <w:t>coal seams in Australia. The scheme</w:t>
      </w:r>
      <w:r w:rsidR="000E1602">
        <w:t xml:space="preserve"> is scheduled to close in 2013</w:t>
      </w:r>
      <w:r w:rsidRPr="00022AAC">
        <w:t xml:space="preserve"> as the carbon price mechanism provides </w:t>
      </w:r>
      <w:r w:rsidR="000E1602">
        <w:t xml:space="preserve">additional </w:t>
      </w:r>
      <w:r w:rsidRPr="00022AAC">
        <w:t>incentives for emissions reductions and encourages gas.</w:t>
      </w:r>
    </w:p>
    <w:p w:rsidR="00B75E40" w:rsidRPr="000D25DC" w:rsidRDefault="00B75E40" w:rsidP="00B75E40">
      <w:pPr>
        <w:pStyle w:val="Charttitle"/>
      </w:pPr>
      <w:bookmarkStart w:id="196" w:name="_Ref365792034"/>
      <w:bookmarkStart w:id="197" w:name="_Toc366155617"/>
      <w:bookmarkStart w:id="198" w:name="_Toc366269854"/>
      <w:bookmarkStart w:id="199" w:name="_Toc369890574"/>
      <w:r>
        <w:t xml:space="preserve">Gas generation share in </w:t>
      </w:r>
      <w:r w:rsidR="000E1602">
        <w:t>Queensland</w:t>
      </w:r>
      <w:r>
        <w:t xml:space="preserve"> between </w:t>
      </w:r>
      <w:r w:rsidR="006C667D">
        <w:t>2009</w:t>
      </w:r>
      <w:r>
        <w:t xml:space="preserve"> and </w:t>
      </w:r>
      <w:bookmarkEnd w:id="196"/>
      <w:r w:rsidR="006C667D">
        <w:t>2012</w:t>
      </w:r>
      <w:r>
        <w:t xml:space="preserve"> has increased substantially</w:t>
      </w:r>
      <w:bookmarkEnd w:id="197"/>
      <w:bookmarkEnd w:id="198"/>
      <w:bookmarkEnd w:id="199"/>
      <w:r>
        <w:t xml:space="preserve"> </w:t>
      </w:r>
    </w:p>
    <w:p w:rsidR="00B75E40" w:rsidRPr="00430244" w:rsidRDefault="00B75E40" w:rsidP="00B75E40">
      <w:pPr>
        <w:pStyle w:val="Chartspacer"/>
        <w:rPr>
          <w:rStyle w:val="PlaceholderText"/>
        </w:rPr>
      </w:pPr>
      <w:r w:rsidRPr="00B71D8C">
        <w:rPr>
          <w:noProof/>
          <w:lang w:eastAsia="en-GB"/>
        </w:rPr>
        <w:drawing>
          <wp:inline distT="0" distB="0" distL="0" distR="0" wp14:anchorId="1FB13D37" wp14:editId="6D8638E0">
            <wp:extent cx="6120130" cy="32037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203726"/>
                    </a:xfrm>
                    <a:prstGeom prst="rect">
                      <a:avLst/>
                    </a:prstGeom>
                    <a:noFill/>
                    <a:ln>
                      <a:noFill/>
                    </a:ln>
                  </pic:spPr>
                </pic:pic>
              </a:graphicData>
            </a:graphic>
          </wp:inline>
        </w:drawing>
      </w:r>
    </w:p>
    <w:p w:rsidR="00B75E40" w:rsidRDefault="00B75E40" w:rsidP="00B75E40">
      <w:pPr>
        <w:pStyle w:val="Note"/>
      </w:pPr>
      <w:r>
        <w:t>Note:</w:t>
      </w:r>
      <w:r>
        <w:tab/>
        <w:t xml:space="preserve">Share of </w:t>
      </w:r>
      <w:r w:rsidR="003A4130">
        <w:t>gas-</w:t>
      </w:r>
      <w:r>
        <w:t>fired electricity generation in Queensland.</w:t>
      </w:r>
    </w:p>
    <w:p w:rsidR="00B75E40" w:rsidRPr="005A132E" w:rsidRDefault="00B75E40" w:rsidP="00B75E40">
      <w:pPr>
        <w:pStyle w:val="Source"/>
      </w:pPr>
      <w:r w:rsidRPr="005A132E">
        <w:t>Source:</w:t>
      </w:r>
      <w:r>
        <w:tab/>
        <w:t xml:space="preserve">Vivid Economics based on </w:t>
      </w:r>
      <w:r w:rsidR="005A66AE" w:rsidRPr="007E6B55">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7E6B55">
        <w:fldChar w:fldCharType="separate"/>
      </w:r>
      <w:r w:rsidRPr="007E6B55">
        <w:rPr>
          <w:noProof/>
        </w:rPr>
        <w:t>Australian Government Bureau of Resource and Energy Economics (2013)</w:t>
      </w:r>
      <w:r w:rsidR="005A66AE" w:rsidRPr="007E6B55">
        <w:fldChar w:fldCharType="end"/>
      </w:r>
    </w:p>
    <w:p w:rsidR="00B75E40" w:rsidRPr="00022AAC" w:rsidRDefault="00B75E40" w:rsidP="00B75E40">
      <w:r w:rsidRPr="00022AAC">
        <w:t xml:space="preserve">The New South Wales Greenhouse Gas </w:t>
      </w:r>
      <w:r w:rsidR="009D0A1F">
        <w:t>Reduction</w:t>
      </w:r>
      <w:r w:rsidR="009D0A1F" w:rsidRPr="00022AAC">
        <w:t xml:space="preserve"> </w:t>
      </w:r>
      <w:r w:rsidRPr="00022AAC">
        <w:t xml:space="preserve">Scheme started in 2003 and sets targets for the emissions intensity of electricity supply in </w:t>
      </w:r>
      <w:r w:rsidR="003A4130" w:rsidRPr="00022AAC">
        <w:t>New South Wales</w:t>
      </w:r>
      <w:r w:rsidRPr="00022AAC">
        <w:t xml:space="preserve">. </w:t>
      </w:r>
      <w:r>
        <w:t>These targets are a per-c</w:t>
      </w:r>
      <w:r w:rsidR="000E1602">
        <w:t>apita emissions benchmark of 8.5 </w:t>
      </w:r>
      <w:r>
        <w:t>tCO</w:t>
      </w:r>
      <w:r w:rsidRPr="00344C56">
        <w:rPr>
          <w:vertAlign w:val="subscript"/>
        </w:rPr>
        <w:t>2</w:t>
      </w:r>
      <w:r>
        <w:t>e between 2003 and 2007, decreasing to 7.3 tCO</w:t>
      </w:r>
      <w:r w:rsidRPr="00344C56">
        <w:rPr>
          <w:vertAlign w:val="subscript"/>
        </w:rPr>
        <w:t>2</w:t>
      </w:r>
      <w:r>
        <w:t xml:space="preserve">e </w:t>
      </w:r>
      <w:r w:rsidR="000E1602">
        <w:t>after</w:t>
      </w:r>
      <w:r>
        <w:t xml:space="preserve"> 2007. </w:t>
      </w:r>
      <w:r w:rsidR="000E1602">
        <w:t>G</w:t>
      </w:r>
      <w:r w:rsidRPr="00022AAC">
        <w:t xml:space="preserve">as and renewables contribute to </w:t>
      </w:r>
      <w:r w:rsidR="000E1602">
        <w:t xml:space="preserve">the </w:t>
      </w:r>
      <w:r w:rsidRPr="00022AAC">
        <w:t>lower emissions intensity of electricity supply</w:t>
      </w:r>
      <w:r w:rsidR="000E1602">
        <w:t xml:space="preserve"> and this scheme encourages</w:t>
      </w:r>
      <w:r w:rsidRPr="00022AAC">
        <w:t xml:space="preserve"> their deployment. The share of gas and renewable generation in </w:t>
      </w:r>
      <w:r w:rsidR="003A4130" w:rsidRPr="00022AAC">
        <w:t>New South Wales</w:t>
      </w:r>
      <w:r w:rsidRPr="00022AAC">
        <w:t xml:space="preserve"> increased from </w:t>
      </w:r>
      <w:r>
        <w:t xml:space="preserve">8.7 per cent in </w:t>
      </w:r>
      <w:r w:rsidR="006C667D">
        <w:t>2009</w:t>
      </w:r>
      <w:r w:rsidRPr="00022AAC">
        <w:t xml:space="preserve"> to </w:t>
      </w:r>
      <w:r>
        <w:t>14.1</w:t>
      </w:r>
      <w:r w:rsidRPr="00022AAC">
        <w:t xml:space="preserve"> per cent in </w:t>
      </w:r>
      <w:r w:rsidR="006C667D">
        <w:t>2012</w:t>
      </w:r>
      <w:r w:rsidRPr="00022AAC">
        <w:t xml:space="preserve"> as shown in </w:t>
      </w:r>
      <w:r>
        <w:t>Figure 7</w:t>
      </w:r>
      <w:r w:rsidRPr="00022AAC">
        <w:t>.</w:t>
      </w:r>
    </w:p>
    <w:p w:rsidR="00B75E40" w:rsidRPr="000D25DC" w:rsidRDefault="000E1602" w:rsidP="00B75E40">
      <w:pPr>
        <w:pStyle w:val="Charttitle"/>
      </w:pPr>
      <w:bookmarkStart w:id="200" w:name="_Toc366155618"/>
      <w:bookmarkStart w:id="201" w:name="_Toc366269855"/>
      <w:bookmarkStart w:id="202" w:name="_Toc369890575"/>
      <w:r>
        <w:lastRenderedPageBreak/>
        <w:t>In New South Wales</w:t>
      </w:r>
      <w:r w:rsidR="00B75E40">
        <w:t>, both gas and renewables increased their share in the generation mix</w:t>
      </w:r>
      <w:bookmarkEnd w:id="200"/>
      <w:bookmarkEnd w:id="201"/>
      <w:bookmarkEnd w:id="202"/>
    </w:p>
    <w:p w:rsidR="00B75E40" w:rsidRPr="00430244" w:rsidRDefault="00B75E40" w:rsidP="00B75E40">
      <w:pPr>
        <w:pStyle w:val="Chartspacer"/>
        <w:rPr>
          <w:rStyle w:val="PlaceholderText"/>
        </w:rPr>
      </w:pPr>
      <w:r w:rsidRPr="0008236A">
        <w:rPr>
          <w:rStyle w:val="PlaceholderText"/>
        </w:rPr>
        <w:t xml:space="preserve"> </w:t>
      </w:r>
      <w:r w:rsidRPr="00B71D8C">
        <w:rPr>
          <w:noProof/>
          <w:lang w:eastAsia="en-GB"/>
        </w:rPr>
        <w:drawing>
          <wp:inline distT="0" distB="0" distL="0" distR="0" wp14:anchorId="5140D7AB" wp14:editId="3F9EA359">
            <wp:extent cx="6120130" cy="32007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200769"/>
                    </a:xfrm>
                    <a:prstGeom prst="rect">
                      <a:avLst/>
                    </a:prstGeom>
                    <a:noFill/>
                    <a:ln>
                      <a:noFill/>
                    </a:ln>
                  </pic:spPr>
                </pic:pic>
              </a:graphicData>
            </a:graphic>
          </wp:inline>
        </w:drawing>
      </w:r>
    </w:p>
    <w:p w:rsidR="00B75E40" w:rsidRDefault="00B75E40" w:rsidP="00B75E40">
      <w:pPr>
        <w:pStyle w:val="Note"/>
      </w:pPr>
      <w:r>
        <w:t>Note:</w:t>
      </w:r>
      <w:r>
        <w:tab/>
        <w:t>Share of gas fired electricity generation and renewable electricity in New South Wales.</w:t>
      </w:r>
    </w:p>
    <w:p w:rsidR="00B75E40" w:rsidRDefault="00B75E40" w:rsidP="00B75E40">
      <w:pPr>
        <w:pStyle w:val="Source"/>
      </w:pPr>
      <w:r w:rsidRPr="005A132E">
        <w:t>Source:</w:t>
      </w:r>
      <w:r>
        <w:tab/>
        <w:t xml:space="preserve">Vivid Economic based on </w:t>
      </w:r>
      <w:r w:rsidR="005A66AE" w:rsidRPr="007E6B55">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7E6B55">
        <w:fldChar w:fldCharType="separate"/>
      </w:r>
      <w:r w:rsidRPr="007E6B55">
        <w:rPr>
          <w:noProof/>
        </w:rPr>
        <w:t>Australian Government Bureau of Resource and Energy Economics (2013)</w:t>
      </w:r>
      <w:r w:rsidR="005A66AE" w:rsidRPr="007E6B55">
        <w:fldChar w:fldCharType="end"/>
      </w:r>
    </w:p>
    <w:p w:rsidR="00B75E40" w:rsidRPr="00022AAC" w:rsidRDefault="00B75E40" w:rsidP="00B75E40">
      <w:r w:rsidRPr="00022AAC">
        <w:t>Changes in the prices of gas and coal in electricity generation were statistically insignificant; however, the actual coal and gas price paid by electricity generators might differ from market (export) prices and the analysis does not capture this.</w:t>
      </w:r>
    </w:p>
    <w:p w:rsidR="00B75E40" w:rsidRPr="00022AAC" w:rsidRDefault="00B75E40" w:rsidP="00B75E40"/>
    <w:p w:rsidR="00B75E40" w:rsidRPr="00022AAC" w:rsidRDefault="00B75E40" w:rsidP="00B75E40">
      <w:r w:rsidRPr="00022AAC">
        <w:t>The shape of the load duration curve, that is, the peakiness of demand, is unlikely to have had an effect on increased gas fired generation. The load shape has been relatively constant bet</w:t>
      </w:r>
      <w:r w:rsidR="000E1602">
        <w:t xml:space="preserve">ween </w:t>
      </w:r>
      <w:r w:rsidR="006C667D">
        <w:t>2000</w:t>
      </w:r>
      <w:r w:rsidR="000E1602">
        <w:t xml:space="preserve"> and </w:t>
      </w:r>
      <w:r w:rsidR="006C667D">
        <w:t>2011</w:t>
      </w:r>
      <w:r w:rsidR="000E1602">
        <w:t>.</w:t>
      </w:r>
    </w:p>
    <w:p w:rsidR="00B75E40" w:rsidRDefault="00B75E40" w:rsidP="00B75E40"/>
    <w:p w:rsidR="000E1602" w:rsidRPr="00022AAC" w:rsidRDefault="00B75E40" w:rsidP="00B75E40">
      <w:r w:rsidRPr="00022AAC">
        <w:t xml:space="preserve">The carbon price enacted in July 2012 post-dates the dataset. Nevertheless, policies raising the cost of emissions will favour lower </w:t>
      </w:r>
      <w:r w:rsidR="000E1602">
        <w:t xml:space="preserve">emission electricity generation. This could </w:t>
      </w:r>
      <w:r w:rsidRPr="00022AAC">
        <w:t xml:space="preserve">partially offset higher fuel input prices of lower-carbon fuels compared with other fossil fuels as gas prices are projected to rise significantly compared with black and brown coal prices </w:t>
      </w:r>
      <w:r>
        <w:t>AEMO NEFR (2013)</w:t>
      </w:r>
      <w:r w:rsidRPr="00022AAC">
        <w:t xml:space="preserve">. </w:t>
      </w:r>
      <w:r w:rsidR="000E1602" w:rsidRPr="00022AAC">
        <w:t>Gas prices are projected to increase by approximately 42 per cent until 2020 whereas coal prices are projected to stay constant, as shown in</w:t>
      </w:r>
      <w:r w:rsidR="000E1602">
        <w:t xml:space="preserve"> Figure 10</w:t>
      </w:r>
      <w:r w:rsidR="000E1602" w:rsidRPr="00022AAC">
        <w:t xml:space="preserve">. Unless the carbon price increases significantly, black and brown coal </w:t>
      </w:r>
      <w:r w:rsidR="00FA27D4">
        <w:t>will continue</w:t>
      </w:r>
      <w:r w:rsidR="00FA27D4" w:rsidRPr="00022AAC">
        <w:t xml:space="preserve"> </w:t>
      </w:r>
      <w:r w:rsidR="00FA27D4">
        <w:t>to</w:t>
      </w:r>
      <w:r w:rsidR="004F3486">
        <w:t xml:space="preserve"> </w:t>
      </w:r>
      <w:r w:rsidR="000E1602" w:rsidRPr="00022AAC">
        <w:t>have</w:t>
      </w:r>
      <w:r w:rsidR="00FA27D4">
        <w:t xml:space="preserve"> </w:t>
      </w:r>
      <w:r w:rsidR="000E1602" w:rsidRPr="00022AAC">
        <w:t>a price advantage over ga</w:t>
      </w:r>
      <w:r w:rsidR="000E1602">
        <w:t>s fired electricity generation.</w:t>
      </w:r>
    </w:p>
    <w:p w:rsidR="00B75E40" w:rsidRPr="00022AAC" w:rsidRDefault="00B75E40" w:rsidP="00B75E40"/>
    <w:p w:rsidR="00B75E40" w:rsidRPr="00022AAC" w:rsidRDefault="000E1602" w:rsidP="00B75E40">
      <w:r>
        <w:t>Thus t</w:t>
      </w:r>
      <w:r w:rsidR="00B75E40" w:rsidRPr="00022AAC">
        <w:t xml:space="preserve">he continuation of the trend of increased gas fired electricity generation </w:t>
      </w:r>
      <w:r>
        <w:t>appears to depend</w:t>
      </w:r>
      <w:r w:rsidR="00B75E40" w:rsidRPr="00022AAC">
        <w:t xml:space="preserve"> mainly on policies such as state and nationwide emissions reductions schemes and the carbon price. The expansion of gas fired electricity generation since </w:t>
      </w:r>
      <w:r w:rsidR="006C667D">
        <w:t>2008</w:t>
      </w:r>
      <w:r w:rsidR="00B75E40" w:rsidRPr="00022AAC">
        <w:t xml:space="preserve"> is mainly driven by policy decisions and unless policies like the carbon price mechanism incentiv</w:t>
      </w:r>
      <w:r w:rsidR="00B75E40">
        <w:t>is</w:t>
      </w:r>
      <w:r>
        <w:t>e</w:t>
      </w:r>
      <w:r w:rsidR="00B75E40" w:rsidRPr="00022AAC">
        <w:t xml:space="preserve"> gas fired electricity sufficiently through a relatively high carbon price</w:t>
      </w:r>
      <w:r>
        <w:t>,</w:t>
      </w:r>
      <w:r w:rsidR="00B75E40" w:rsidRPr="00022AAC">
        <w:t xml:space="preserve"> increases in gas fired electricity generation </w:t>
      </w:r>
      <w:r>
        <w:t>may not continue</w:t>
      </w:r>
      <w:r w:rsidR="00B75E40" w:rsidRPr="00022AAC">
        <w:t>.</w:t>
      </w:r>
      <w:r w:rsidR="003F22B7">
        <w:t xml:space="preserve"> </w:t>
      </w:r>
      <w:r w:rsidR="00B75E40" w:rsidRPr="00022AAC">
        <w:t>Nevertheless,</w:t>
      </w:r>
      <w:r w:rsidR="003F22B7">
        <w:t xml:space="preserve"> gas represents approximately 30 </w:t>
      </w:r>
      <w:r w:rsidR="003F22B7">
        <w:lastRenderedPageBreak/>
        <w:t>per cent (8 GW) of all</w:t>
      </w:r>
      <w:r w:rsidR="00B75E40" w:rsidRPr="00022AAC">
        <w:t xml:space="preserve"> </w:t>
      </w:r>
      <w:r w:rsidR="003F22B7">
        <w:t>commissioned</w:t>
      </w:r>
      <w:r w:rsidR="00B75E40" w:rsidRPr="00022AAC">
        <w:t xml:space="preserve"> </w:t>
      </w:r>
      <w:r w:rsidR="003F22B7">
        <w:t xml:space="preserve">power plants between 2013 and 2016, whereas black and brown coal combined constitute less than 6 per cent (1.5 GW). </w:t>
      </w:r>
    </w:p>
    <w:p w:rsidR="00B75E40" w:rsidRPr="000D25DC" w:rsidRDefault="00B75E40" w:rsidP="00B75E40">
      <w:pPr>
        <w:pStyle w:val="Charttitle"/>
      </w:pPr>
      <w:bookmarkStart w:id="203" w:name="_Ref365807803"/>
      <w:bookmarkStart w:id="204" w:name="_Toc366155621"/>
      <w:bookmarkStart w:id="205" w:name="_Toc366269856"/>
      <w:bookmarkStart w:id="206" w:name="_Toc369890576"/>
      <w:r>
        <w:t>Gas prices are projected to rise between today and 2030 whereas black and brown coal prices are constant and decreasing respectively</w:t>
      </w:r>
      <w:bookmarkEnd w:id="203"/>
      <w:bookmarkEnd w:id="204"/>
      <w:bookmarkEnd w:id="205"/>
      <w:bookmarkEnd w:id="206"/>
    </w:p>
    <w:p w:rsidR="00B75E40" w:rsidRPr="00430244" w:rsidRDefault="004B38BD" w:rsidP="00B75E40">
      <w:pPr>
        <w:pStyle w:val="Chartspacer"/>
        <w:rPr>
          <w:rStyle w:val="PlaceholderText"/>
        </w:rPr>
      </w:pPr>
      <w:r w:rsidRPr="004B38BD">
        <w:drawing>
          <wp:inline distT="0" distB="0" distL="0" distR="0" wp14:anchorId="6C7F1F53" wp14:editId="63E1977B">
            <wp:extent cx="6120765" cy="362364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623647"/>
                    </a:xfrm>
                    <a:prstGeom prst="rect">
                      <a:avLst/>
                    </a:prstGeom>
                    <a:noFill/>
                    <a:ln>
                      <a:noFill/>
                    </a:ln>
                  </pic:spPr>
                </pic:pic>
              </a:graphicData>
            </a:graphic>
          </wp:inline>
        </w:drawing>
      </w:r>
      <w:bookmarkStart w:id="207" w:name="_GoBack"/>
      <w:bookmarkEnd w:id="207"/>
    </w:p>
    <w:p w:rsidR="00B75E40" w:rsidRDefault="00B75E40" w:rsidP="00B75E40">
      <w:pPr>
        <w:pStyle w:val="Source"/>
      </w:pPr>
      <w:r w:rsidRPr="005A132E">
        <w:t>Source:</w:t>
      </w:r>
      <w:r>
        <w:tab/>
      </w:r>
      <w:r w:rsidR="005A66AE" w:rsidRPr="009B5A6C">
        <w:fldChar w:fldCharType="begin" w:fldLock="1"/>
      </w:r>
      <w:r w:rsidR="00971CE6">
        <w:instrText>ADDIN CSL_CITATION { "citationItems" : [ { "id" : "ITEM-1", "itemData" : { "author" : [ { "dropping-particle" : "", "family" : "ACIL Tasman", "given" : "", "non-dropping-particle" : "", "parse-names" : false, "suffix" : "" } ], "id" : "ITEM-1", "issued" : { "date-parts" : [ [ "2012" ] ] }, "title" : "Fuel cost projections", "type" : "report" }, "uris" : [ "http://www.mendeley.com/documents/?uuid=77c75667-143b-46fc-bd1b-b8b7e758b55d" ] } ], "mendeley" : { "manualFormatting" : "ACIL Tasman (2012)", "previouslyFormattedCitation" : "(ACIL Tasman, 2012)" }, "properties" : { "noteIndex" : 0 }, "schema" : "https://github.com/citation-style-language/schema/raw/master/csl-citation.json" }</w:instrText>
      </w:r>
      <w:r w:rsidR="005A66AE" w:rsidRPr="009B5A6C">
        <w:fldChar w:fldCharType="separate"/>
      </w:r>
      <w:r w:rsidR="009B5A6C" w:rsidRPr="009B5A6C">
        <w:rPr>
          <w:noProof/>
        </w:rPr>
        <w:t>ACIL Tasman (2012)</w:t>
      </w:r>
      <w:r w:rsidR="005A66AE" w:rsidRPr="009B5A6C">
        <w:fldChar w:fldCharType="end"/>
      </w:r>
      <w:r w:rsidR="003A4130">
        <w:t xml:space="preserve"> </w:t>
      </w:r>
      <w:r w:rsidRPr="009B5A6C">
        <w:t xml:space="preserve">and </w:t>
      </w:r>
      <w:r w:rsidR="005A66AE" w:rsidRPr="009B5A6C">
        <w:fldChar w:fldCharType="begin" w:fldLock="1"/>
      </w:r>
      <w:r w:rsidR="00971CE6">
        <w:instrText>ADDIN CSL_CITATION { "citationItems" : [ { "id" : "ITEM-1", "itemData" : { "ISBN" : "9781922106285", "author" : [ { "dropping-particle" : "", "family" : "Australian Government Bureau of Resources and Energy Economics", "given" : "", "non-dropping-particle" : "", "parse-names" : false, "suffix" : "" } ], "id" : "ITEM-1", "issued" : { "date-parts" : [ [ "2012" ] ] }, "title" : "Australian Energy Technology Assessment", "type" : "report" }, "uris" : [ "http://www.mendeley.com/documents/?uuid=46cefb80-a66e-49fa-94f2-05e6df7fdc4d" ] } ], "mendeley" : { "manualFormatting" : "Australian Bureau of Resources and Energy Economics (2012a)", "previouslyFormattedCitation" : "(Australian Government Bureau of Resources and Energy Economics, 2012a)" }, "properties" : { "noteIndex" : 0 }, "schema" : "https://github.com/citation-style-language/schema/raw/master/csl-citation.json" }</w:instrText>
      </w:r>
      <w:r w:rsidR="005A66AE" w:rsidRPr="009B5A6C">
        <w:fldChar w:fldCharType="separate"/>
      </w:r>
      <w:r w:rsidR="00AC1FC2">
        <w:rPr>
          <w:noProof/>
        </w:rPr>
        <w:t>BREE</w:t>
      </w:r>
      <w:r w:rsidR="009B5A6C" w:rsidRPr="009B5A6C">
        <w:rPr>
          <w:noProof/>
        </w:rPr>
        <w:t xml:space="preserve"> </w:t>
      </w:r>
      <w:r w:rsidR="0024018C">
        <w:rPr>
          <w:noProof/>
        </w:rPr>
        <w:t>(</w:t>
      </w:r>
      <w:r w:rsidR="009B5A6C" w:rsidRPr="009B5A6C">
        <w:rPr>
          <w:noProof/>
        </w:rPr>
        <w:t>2012a)</w:t>
      </w:r>
      <w:r w:rsidR="005A66AE" w:rsidRPr="009B5A6C">
        <w:fldChar w:fldCharType="end"/>
      </w:r>
    </w:p>
    <w:p w:rsidR="00B75E40" w:rsidRPr="00D66295" w:rsidRDefault="00B75E40" w:rsidP="00B75E40">
      <w:pPr>
        <w:pStyle w:val="Heading3"/>
      </w:pPr>
      <w:r>
        <w:t>Renewable generation</w:t>
      </w:r>
    </w:p>
    <w:p w:rsidR="00B75E40" w:rsidRPr="00022AAC" w:rsidRDefault="00B75E40" w:rsidP="00B75E40">
      <w:r w:rsidRPr="00022AAC">
        <w:t>Renewable generation</w:t>
      </w:r>
      <w:r>
        <w:t xml:space="preserve"> has increased by 34 per cent between </w:t>
      </w:r>
      <w:r w:rsidR="006C667D">
        <w:t>2000</w:t>
      </w:r>
      <w:r>
        <w:t xml:space="preserve"> and </w:t>
      </w:r>
      <w:r w:rsidR="006C667D">
        <w:t>2012</w:t>
      </w:r>
      <w:r>
        <w:t>. It</w:t>
      </w:r>
      <w:r w:rsidRPr="00022AAC">
        <w:t xml:space="preserve"> is the main driver</w:t>
      </w:r>
      <w:r w:rsidR="005836BC">
        <w:t xml:space="preserve"> of decreasing electricity supply generation emissions intensity</w:t>
      </w:r>
      <w:r w:rsidRPr="00022AAC">
        <w:t xml:space="preserve"> </w:t>
      </w:r>
      <w:r>
        <w:t xml:space="preserve">and in the third period, </w:t>
      </w:r>
      <w:r w:rsidR="006C667D">
        <w:t>2009</w:t>
      </w:r>
      <w:r w:rsidRPr="00022AAC">
        <w:t xml:space="preserve"> and </w:t>
      </w:r>
      <w:r w:rsidR="006C667D">
        <w:t>2012</w:t>
      </w:r>
      <w:r>
        <w:t>, it contributed</w:t>
      </w:r>
      <w:r w:rsidRPr="00022AAC">
        <w:t xml:space="preserve"> approximately </w:t>
      </w:r>
      <w:r>
        <w:t>3.2</w:t>
      </w:r>
      <w:r w:rsidRPr="00022AAC">
        <w:t xml:space="preserve"> per cent out of the total decline of</w:t>
      </w:r>
      <w:r w:rsidR="002059CA">
        <w:t xml:space="preserve"> electricity generation emissions intensity of</w:t>
      </w:r>
      <w:r w:rsidRPr="00022AAC">
        <w:t xml:space="preserve"> </w:t>
      </w:r>
      <w:r>
        <w:t>6.3</w:t>
      </w:r>
      <w:r w:rsidRPr="00022AAC">
        <w:t xml:space="preserve"> per cent. </w:t>
      </w:r>
      <w:r w:rsidR="000E1602">
        <w:t>H</w:t>
      </w:r>
      <w:r w:rsidR="000E1602" w:rsidRPr="00022AAC">
        <w:t xml:space="preserve">ydro and wind </w:t>
      </w:r>
      <w:r w:rsidR="000E1602">
        <w:t xml:space="preserve">are the most important sources </w:t>
      </w:r>
      <w:r w:rsidRPr="00022AAC">
        <w:t xml:space="preserve">between </w:t>
      </w:r>
      <w:r w:rsidR="006C667D">
        <w:t>2009</w:t>
      </w:r>
      <w:r w:rsidRPr="00022AAC">
        <w:t xml:space="preserve"> and </w:t>
      </w:r>
      <w:r w:rsidR="006C667D">
        <w:t>2012</w:t>
      </w:r>
      <w:r>
        <w:t>,</w:t>
      </w:r>
      <w:r w:rsidRPr="00022AAC">
        <w:t xml:space="preserve"> as shown in</w:t>
      </w:r>
      <w:r>
        <w:t xml:space="preserve"> </w:t>
      </w:r>
      <w:r w:rsidR="005A66AE">
        <w:rPr>
          <w:b/>
          <w:bCs/>
          <w:lang w:val="en-US"/>
        </w:rPr>
        <w:fldChar w:fldCharType="begin"/>
      </w:r>
      <w:r>
        <w:instrText xml:space="preserve"> REF _Ref366143410 \r \h </w:instrText>
      </w:r>
      <w:r w:rsidR="005A66AE">
        <w:rPr>
          <w:b/>
          <w:bCs/>
          <w:lang w:val="en-US"/>
        </w:rPr>
      </w:r>
      <w:r w:rsidR="005A66AE">
        <w:rPr>
          <w:b/>
          <w:bCs/>
          <w:lang w:val="en-US"/>
        </w:rPr>
        <w:fldChar w:fldCharType="separate"/>
      </w:r>
      <w:r w:rsidR="00197E14">
        <w:t>Figure 37</w:t>
      </w:r>
      <w:r w:rsidR="005A66AE">
        <w:rPr>
          <w:b/>
          <w:bCs/>
          <w:lang w:val="en-US"/>
        </w:rPr>
        <w:fldChar w:fldCharType="end"/>
      </w:r>
      <w:r w:rsidRPr="00022AAC">
        <w:t xml:space="preserve">. Detailed shares for each renewable type are provided in </w:t>
      </w:r>
      <w:r w:rsidR="005A66AE">
        <w:fldChar w:fldCharType="begin"/>
      </w:r>
      <w:r>
        <w:instrText xml:space="preserve"> REF _Ref365801539 \r \h </w:instrText>
      </w:r>
      <w:r w:rsidR="005A66AE">
        <w:fldChar w:fldCharType="separate"/>
      </w:r>
      <w:r w:rsidR="00197E14">
        <w:t>Table 17</w:t>
      </w:r>
      <w:r w:rsidR="005A66AE">
        <w:fldChar w:fldCharType="end"/>
      </w:r>
      <w:r w:rsidRPr="00022AAC">
        <w:t>.</w:t>
      </w:r>
    </w:p>
    <w:p w:rsidR="00B75E40" w:rsidRPr="000D25DC" w:rsidRDefault="00B75E40" w:rsidP="00B75E40">
      <w:pPr>
        <w:pStyle w:val="Charttitle"/>
      </w:pPr>
      <w:bookmarkStart w:id="208" w:name="_Ref365801552"/>
      <w:bookmarkStart w:id="209" w:name="_Ref366143410"/>
      <w:bookmarkStart w:id="210" w:name="_Toc366155622"/>
      <w:bookmarkStart w:id="211" w:name="_Toc366269857"/>
      <w:bookmarkStart w:id="212" w:name="_Toc369890577"/>
      <w:r>
        <w:lastRenderedPageBreak/>
        <w:t xml:space="preserve">Renewable generation grew by 44 per cent between </w:t>
      </w:r>
      <w:r w:rsidR="006C667D">
        <w:t>2000</w:t>
      </w:r>
      <w:r>
        <w:t xml:space="preserve"> and </w:t>
      </w:r>
      <w:r w:rsidR="006C667D">
        <w:t>2012</w:t>
      </w:r>
      <w:r>
        <w:t>, supported by the LRET SRET</w:t>
      </w:r>
      <w:bookmarkEnd w:id="208"/>
      <w:r>
        <w:t xml:space="preserve"> policies</w:t>
      </w:r>
      <w:bookmarkEnd w:id="209"/>
      <w:bookmarkEnd w:id="210"/>
      <w:bookmarkEnd w:id="211"/>
      <w:bookmarkEnd w:id="212"/>
    </w:p>
    <w:p w:rsidR="00B75E40" w:rsidRPr="00430244" w:rsidRDefault="00290DA6" w:rsidP="00B75E40">
      <w:pPr>
        <w:pStyle w:val="Chartspacer"/>
        <w:rPr>
          <w:rStyle w:val="PlaceholderText"/>
        </w:rPr>
      </w:pPr>
      <w:r w:rsidRPr="00290DA6">
        <w:drawing>
          <wp:inline distT="0" distB="0" distL="0" distR="0" wp14:anchorId="2B74FE3E" wp14:editId="424A49D8">
            <wp:extent cx="6120765" cy="3994930"/>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B75E40" w:rsidRDefault="00B75E40" w:rsidP="00B75E40">
      <w:pPr>
        <w:pStyle w:val="Note"/>
      </w:pPr>
      <w:r>
        <w:t>Note:</w:t>
      </w:r>
      <w:r>
        <w:tab/>
        <w:t xml:space="preserve">Lower hydro generation between </w:t>
      </w:r>
      <w:r w:rsidR="006C667D">
        <w:t>2007</w:t>
      </w:r>
      <w:r>
        <w:t xml:space="preserve"> and </w:t>
      </w:r>
      <w:r w:rsidR="006C667D">
        <w:t>2010</w:t>
      </w:r>
      <w:r>
        <w:t xml:space="preserve"> is due to drought conditions.</w:t>
      </w:r>
    </w:p>
    <w:p w:rsidR="00B75E40" w:rsidRPr="007E6B55" w:rsidRDefault="00B75E40" w:rsidP="00B75E40">
      <w:pPr>
        <w:pStyle w:val="Source"/>
      </w:pPr>
      <w:r w:rsidRPr="005A132E">
        <w:t>Source:</w:t>
      </w:r>
      <w:r>
        <w:tab/>
        <w:t xml:space="preserve">Vivid Economics based on </w:t>
      </w:r>
      <w:r w:rsidR="005A66AE" w:rsidRPr="007E6B55">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7E6B55">
        <w:fldChar w:fldCharType="separate"/>
      </w:r>
      <w:r w:rsidRPr="007E6B55">
        <w:rPr>
          <w:noProof/>
        </w:rPr>
        <w:t>Australian Government Bureau of Resource and Energy Economics (2013)</w:t>
      </w:r>
      <w:r w:rsidR="005A66AE" w:rsidRPr="007E6B55">
        <w:fldChar w:fldCharType="end"/>
      </w:r>
    </w:p>
    <w:p w:rsidR="00B75E40" w:rsidRDefault="00B75E40" w:rsidP="00B75E40">
      <w:r>
        <w:t xml:space="preserve">Renewable growth was </w:t>
      </w:r>
      <w:r w:rsidR="000E1602">
        <w:t xml:space="preserve">steady </w:t>
      </w:r>
      <w:r>
        <w:t xml:space="preserve">over the </w:t>
      </w:r>
      <w:r w:rsidR="006C667D">
        <w:t>2008</w:t>
      </w:r>
      <w:r>
        <w:t xml:space="preserve"> to</w:t>
      </w:r>
      <w:r w:rsidR="000E1602">
        <w:t xml:space="preserve"> </w:t>
      </w:r>
      <w:r w:rsidR="006C667D">
        <w:t>2011</w:t>
      </w:r>
      <w:r w:rsidR="000E1602">
        <w:t xml:space="preserve"> period. Hydro</w:t>
      </w:r>
      <w:r>
        <w:t xml:space="preserve"> growth contributed 58 per cent, wind growth 33 per cent and solar </w:t>
      </w:r>
      <w:r w:rsidR="000E1602">
        <w:t>PV added a further 9 per cent. Hydro exhibits inter-year variation in response to precipitation.</w:t>
      </w:r>
    </w:p>
    <w:p w:rsidR="00B75E40" w:rsidRPr="000D25DC" w:rsidRDefault="00FD5CF8" w:rsidP="00B75E40">
      <w:pPr>
        <w:pStyle w:val="Charttitle"/>
      </w:pPr>
      <w:bookmarkStart w:id="213" w:name="_Toc369890578"/>
      <w:r>
        <w:lastRenderedPageBreak/>
        <w:t xml:space="preserve">The contribution of solar PV increased steadily from </w:t>
      </w:r>
      <w:r w:rsidR="006C667D">
        <w:t>2009</w:t>
      </w:r>
      <w:bookmarkEnd w:id="213"/>
    </w:p>
    <w:p w:rsidR="00B75E40" w:rsidRPr="00430244" w:rsidRDefault="00B75E40" w:rsidP="00B75E40">
      <w:pPr>
        <w:pStyle w:val="Chartspacer"/>
        <w:rPr>
          <w:rStyle w:val="PlaceholderText"/>
        </w:rPr>
      </w:pPr>
      <w:r w:rsidRPr="003C59DE">
        <w:rPr>
          <w:noProof/>
          <w:lang w:eastAsia="en-GB"/>
        </w:rPr>
        <w:drawing>
          <wp:inline distT="0" distB="0" distL="0" distR="0" wp14:anchorId="3A76B2C9" wp14:editId="76B591EC">
            <wp:extent cx="6120130" cy="32006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200642"/>
                    </a:xfrm>
                    <a:prstGeom prst="rect">
                      <a:avLst/>
                    </a:prstGeom>
                    <a:noFill/>
                    <a:ln>
                      <a:noFill/>
                    </a:ln>
                  </pic:spPr>
                </pic:pic>
              </a:graphicData>
            </a:graphic>
          </wp:inline>
        </w:drawing>
      </w:r>
    </w:p>
    <w:p w:rsidR="00B75E40" w:rsidRDefault="00B75E40" w:rsidP="00B75E40">
      <w:pPr>
        <w:pStyle w:val="Note"/>
      </w:pPr>
      <w:r>
        <w:t>Note:</w:t>
      </w:r>
      <w:r>
        <w:tab/>
        <w:t>Yearly percentage contribution to renewable electricity growth rate.</w:t>
      </w:r>
    </w:p>
    <w:p w:rsidR="00B75E40" w:rsidRPr="005A132E" w:rsidRDefault="00B75E40" w:rsidP="00B75E40">
      <w:pPr>
        <w:pStyle w:val="Source"/>
      </w:pPr>
      <w:r w:rsidRPr="005A132E">
        <w:t>Source:</w:t>
      </w:r>
      <w:r>
        <w:tab/>
        <w:t xml:space="preserve">Vivid Economics based on </w:t>
      </w:r>
      <w:r w:rsidR="005A66AE" w:rsidRPr="007E6B55">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7E6B55">
        <w:fldChar w:fldCharType="separate"/>
      </w:r>
      <w:r w:rsidRPr="007E6B55">
        <w:rPr>
          <w:noProof/>
        </w:rPr>
        <w:t>Australian Government Bureau of Resource and Energy Economics (2013)</w:t>
      </w:r>
      <w:r w:rsidR="005A66AE" w:rsidRPr="007E6B55">
        <w:fldChar w:fldCharType="end"/>
      </w:r>
      <w:r>
        <w:t>.</w:t>
      </w:r>
    </w:p>
    <w:p w:rsidR="00B75E40" w:rsidRPr="005A132E" w:rsidRDefault="00B75E40" w:rsidP="00B75E40"/>
    <w:p w:rsidR="00B75E40" w:rsidRPr="00DE4EAF" w:rsidRDefault="00B75E40" w:rsidP="00B75E40">
      <w:pPr>
        <w:pStyle w:val="Tabletitle"/>
      </w:pPr>
      <w:bookmarkStart w:id="214" w:name="_Ref365801539"/>
      <w:bookmarkStart w:id="215" w:name="_Toc366155611"/>
      <w:bookmarkStart w:id="216" w:name="_Toc369890526"/>
      <w:r>
        <w:t>Wind generation has steadily gained a larger share of all renewable generation</w:t>
      </w:r>
      <w:bookmarkEnd w:id="214"/>
      <w:bookmarkEnd w:id="215"/>
      <w:bookmarkEnd w:id="216"/>
    </w:p>
    <w:tbl>
      <w:tblPr>
        <w:tblStyle w:val="Vividtable"/>
        <w:tblW w:w="5000" w:type="pct"/>
        <w:tblLook w:val="04A0" w:firstRow="1" w:lastRow="0" w:firstColumn="1" w:lastColumn="0" w:noHBand="0" w:noVBand="1"/>
      </w:tblPr>
      <w:tblGrid>
        <w:gridCol w:w="2141"/>
        <w:gridCol w:w="2572"/>
        <w:gridCol w:w="2572"/>
        <w:gridCol w:w="2570"/>
      </w:tblGrid>
      <w:tr w:rsidR="00DF34C4" w:rsidRPr="00980041" w:rsidTr="00215A21">
        <w:trPr>
          <w:cnfStyle w:val="100000000000" w:firstRow="1" w:lastRow="0" w:firstColumn="0" w:lastColumn="0" w:oddVBand="0" w:evenVBand="0" w:oddHBand="0" w:evenHBand="0" w:firstRowFirstColumn="0" w:firstRowLastColumn="0" w:lastRowFirstColumn="0" w:lastRowLastColumn="0"/>
          <w:cantSplit/>
          <w:trHeight w:val="454"/>
          <w:tblHeader/>
        </w:trPr>
        <w:tc>
          <w:tcPr>
            <w:tcW w:w="1086" w:type="pct"/>
            <w:vMerge w:val="restart"/>
          </w:tcPr>
          <w:p w:rsidR="00DF34C4" w:rsidRPr="004328B0" w:rsidRDefault="00DF34C4" w:rsidP="006054BB">
            <w:pPr>
              <w:keepNext/>
              <w:rPr>
                <w:rStyle w:val="PlaceholderText"/>
                <w:rFonts w:ascii="Arial" w:hAnsi="Arial" w:cs="Arial"/>
                <w:b w:val="0"/>
                <w:szCs w:val="18"/>
              </w:rPr>
            </w:pPr>
            <w:r>
              <w:rPr>
                <w:rStyle w:val="PlaceholderText"/>
                <w:rFonts w:ascii="Arial" w:hAnsi="Arial" w:cs="Arial"/>
                <w:szCs w:val="18"/>
              </w:rPr>
              <w:t>Renewable</w:t>
            </w:r>
          </w:p>
        </w:tc>
        <w:tc>
          <w:tcPr>
            <w:tcW w:w="3914" w:type="pct"/>
            <w:gridSpan w:val="3"/>
          </w:tcPr>
          <w:p w:rsidR="00DF34C4" w:rsidRDefault="00DF34C4" w:rsidP="006054BB">
            <w:pPr>
              <w:keepNext/>
              <w:jc w:val="center"/>
              <w:rPr>
                <w:rStyle w:val="PlaceholderText"/>
                <w:rFonts w:ascii="Arial" w:hAnsi="Arial" w:cs="Arial"/>
                <w:szCs w:val="18"/>
              </w:rPr>
            </w:pPr>
            <w:r>
              <w:rPr>
                <w:rStyle w:val="PlaceholderText"/>
                <w:rFonts w:ascii="Arial" w:hAnsi="Arial" w:cs="Arial"/>
                <w:szCs w:val="18"/>
              </w:rPr>
              <w:t>Share of all renewables (per cent)</w:t>
            </w:r>
          </w:p>
        </w:tc>
      </w:tr>
      <w:tr w:rsidR="00DF34C4" w:rsidRPr="00980041" w:rsidTr="00215A21">
        <w:trPr>
          <w:cnfStyle w:val="100000000000" w:firstRow="1" w:lastRow="0" w:firstColumn="0" w:lastColumn="0" w:oddVBand="0" w:evenVBand="0" w:oddHBand="0" w:evenHBand="0" w:firstRowFirstColumn="0" w:firstRowLastColumn="0" w:lastRowFirstColumn="0" w:lastRowLastColumn="0"/>
          <w:cantSplit/>
          <w:trHeight w:val="454"/>
          <w:tblHeader/>
        </w:trPr>
        <w:tc>
          <w:tcPr>
            <w:tcW w:w="1086" w:type="pct"/>
            <w:vMerge/>
            <w:tcBorders>
              <w:bottom w:val="single" w:sz="4" w:space="0" w:color="000000" w:themeColor="text1"/>
            </w:tcBorders>
          </w:tcPr>
          <w:p w:rsidR="00DF34C4" w:rsidRDefault="00DF34C4" w:rsidP="006054BB">
            <w:pPr>
              <w:keepNext/>
              <w:rPr>
                <w:rStyle w:val="PlaceholderText"/>
                <w:rFonts w:ascii="Arial" w:hAnsi="Arial" w:cs="Arial"/>
                <w:szCs w:val="18"/>
              </w:rPr>
            </w:pPr>
          </w:p>
        </w:tc>
        <w:tc>
          <w:tcPr>
            <w:tcW w:w="1305" w:type="pct"/>
            <w:tcBorders>
              <w:bottom w:val="single" w:sz="4" w:space="0" w:color="000000" w:themeColor="text1"/>
            </w:tcBorders>
          </w:tcPr>
          <w:p w:rsidR="00DF34C4" w:rsidRPr="00121935" w:rsidRDefault="006C667D" w:rsidP="00C8003C">
            <w:pPr>
              <w:keepNext/>
              <w:jc w:val="center"/>
              <w:rPr>
                <w:rStyle w:val="PlaceholderText"/>
                <w:rFonts w:ascii="Arial" w:hAnsi="Arial" w:cs="Arial"/>
                <w:szCs w:val="18"/>
              </w:rPr>
            </w:pPr>
            <w:r>
              <w:rPr>
                <w:rStyle w:val="PlaceholderText"/>
                <w:rFonts w:ascii="Arial" w:hAnsi="Arial" w:cs="Arial"/>
                <w:szCs w:val="18"/>
              </w:rPr>
              <w:t>2000</w:t>
            </w:r>
          </w:p>
        </w:tc>
        <w:tc>
          <w:tcPr>
            <w:tcW w:w="1305" w:type="pct"/>
            <w:tcBorders>
              <w:bottom w:val="single" w:sz="4" w:space="0" w:color="000000" w:themeColor="text1"/>
            </w:tcBorders>
          </w:tcPr>
          <w:p w:rsidR="00DF34C4" w:rsidRPr="00121935" w:rsidRDefault="006C667D" w:rsidP="006054BB">
            <w:pPr>
              <w:keepNext/>
              <w:jc w:val="center"/>
              <w:rPr>
                <w:rStyle w:val="PlaceholderText"/>
                <w:rFonts w:ascii="Arial" w:hAnsi="Arial" w:cs="Arial"/>
                <w:szCs w:val="18"/>
              </w:rPr>
            </w:pPr>
            <w:r>
              <w:rPr>
                <w:rStyle w:val="PlaceholderText"/>
                <w:rFonts w:ascii="Arial" w:hAnsi="Arial" w:cs="Arial"/>
                <w:szCs w:val="18"/>
              </w:rPr>
              <w:t>2008</w:t>
            </w:r>
          </w:p>
        </w:tc>
        <w:tc>
          <w:tcPr>
            <w:tcW w:w="1305" w:type="pct"/>
            <w:tcBorders>
              <w:bottom w:val="single" w:sz="4" w:space="0" w:color="000000" w:themeColor="text1"/>
            </w:tcBorders>
          </w:tcPr>
          <w:p w:rsidR="00DF34C4" w:rsidRDefault="006C667D" w:rsidP="00C8003C">
            <w:pPr>
              <w:keepNext/>
              <w:jc w:val="center"/>
              <w:rPr>
                <w:rStyle w:val="PlaceholderText"/>
                <w:rFonts w:ascii="Arial" w:hAnsi="Arial" w:cs="Arial"/>
                <w:szCs w:val="18"/>
              </w:rPr>
            </w:pPr>
            <w:r>
              <w:rPr>
                <w:rStyle w:val="PlaceholderText"/>
                <w:rFonts w:ascii="Arial" w:hAnsi="Arial" w:cs="Arial"/>
                <w:szCs w:val="18"/>
              </w:rPr>
              <w:t>2012</w:t>
            </w:r>
          </w:p>
        </w:tc>
      </w:tr>
      <w:tr w:rsidR="00DF34C4"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86" w:type="pct"/>
            <w:tcBorders>
              <w:top w:val="single" w:sz="4" w:space="0" w:color="000000" w:themeColor="text1"/>
            </w:tcBorders>
          </w:tcPr>
          <w:p w:rsidR="00DF34C4" w:rsidRPr="001D7A94" w:rsidRDefault="00DF34C4" w:rsidP="00290DA6">
            <w:pPr>
              <w:rPr>
                <w:rFonts w:ascii="Calibri" w:hAnsi="Calibri"/>
                <w:color w:val="000000"/>
                <w:sz w:val="22"/>
              </w:rPr>
            </w:pPr>
            <w:r w:rsidRPr="001D7A94">
              <w:rPr>
                <w:rFonts w:ascii="Calibri" w:hAnsi="Calibri"/>
                <w:color w:val="000000"/>
              </w:rPr>
              <w:t>Hydro</w:t>
            </w:r>
          </w:p>
        </w:tc>
        <w:tc>
          <w:tcPr>
            <w:tcW w:w="1305" w:type="pct"/>
            <w:tcBorders>
              <w:top w:val="single" w:sz="4" w:space="0" w:color="000000" w:themeColor="text1"/>
            </w:tcBorders>
          </w:tcPr>
          <w:p w:rsidR="00DF34C4" w:rsidRPr="001D7A94" w:rsidRDefault="00DF34C4" w:rsidP="00C8003C">
            <w:pPr>
              <w:jc w:val="center"/>
              <w:rPr>
                <w:rFonts w:ascii="Calibri" w:hAnsi="Calibri"/>
                <w:color w:val="000000"/>
              </w:rPr>
            </w:pPr>
            <w:r w:rsidRPr="001D7A94">
              <w:rPr>
                <w:rFonts w:ascii="Calibri" w:hAnsi="Calibri"/>
                <w:color w:val="000000"/>
              </w:rPr>
              <w:t>93.1</w:t>
            </w:r>
          </w:p>
        </w:tc>
        <w:tc>
          <w:tcPr>
            <w:tcW w:w="1305" w:type="pct"/>
            <w:tcBorders>
              <w:top w:val="single" w:sz="4" w:space="0" w:color="000000" w:themeColor="text1"/>
            </w:tcBorders>
          </w:tcPr>
          <w:p w:rsidR="00DF34C4" w:rsidRPr="001D7A94" w:rsidRDefault="00DF34C4" w:rsidP="006054BB">
            <w:pPr>
              <w:jc w:val="center"/>
              <w:rPr>
                <w:rFonts w:ascii="Calibri" w:hAnsi="Calibri"/>
                <w:color w:val="000000"/>
              </w:rPr>
            </w:pPr>
            <w:r w:rsidRPr="001D7A94">
              <w:rPr>
                <w:rFonts w:ascii="Calibri" w:hAnsi="Calibri"/>
                <w:color w:val="000000"/>
              </w:rPr>
              <w:t>60.7</w:t>
            </w:r>
          </w:p>
        </w:tc>
        <w:tc>
          <w:tcPr>
            <w:tcW w:w="1305" w:type="pct"/>
            <w:tcBorders>
              <w:top w:val="single" w:sz="4" w:space="0" w:color="000000" w:themeColor="text1"/>
            </w:tcBorders>
          </w:tcPr>
          <w:p w:rsidR="00DF34C4" w:rsidRPr="001D7A94" w:rsidRDefault="00DF34C4" w:rsidP="00C8003C">
            <w:pPr>
              <w:jc w:val="center"/>
              <w:rPr>
                <w:rFonts w:ascii="Calibri" w:hAnsi="Calibri"/>
                <w:color w:val="000000"/>
              </w:rPr>
            </w:pPr>
            <w:r>
              <w:rPr>
                <w:rFonts w:ascii="Calibri" w:hAnsi="Calibri"/>
                <w:color w:val="000000"/>
              </w:rPr>
              <w:t>58.6</w:t>
            </w:r>
          </w:p>
        </w:tc>
      </w:tr>
      <w:tr w:rsidR="00DF34C4" w:rsidRPr="00980041" w:rsidTr="00215A21">
        <w:trPr>
          <w:cantSplit/>
          <w:trHeight w:val="454"/>
        </w:trPr>
        <w:tc>
          <w:tcPr>
            <w:tcW w:w="1086" w:type="pct"/>
          </w:tcPr>
          <w:p w:rsidR="00DF34C4" w:rsidRPr="001D7A94" w:rsidRDefault="00DF34C4" w:rsidP="00290DA6">
            <w:pPr>
              <w:rPr>
                <w:rFonts w:ascii="Calibri" w:hAnsi="Calibri"/>
                <w:b/>
                <w:bCs/>
                <w:color w:val="000000"/>
                <w:sz w:val="20"/>
                <w:szCs w:val="20"/>
              </w:rPr>
            </w:pPr>
            <w:r w:rsidRPr="001D7A94">
              <w:rPr>
                <w:rFonts w:ascii="Calibri" w:hAnsi="Calibri"/>
                <w:color w:val="000000"/>
              </w:rPr>
              <w:t>Wind</w:t>
            </w:r>
          </w:p>
        </w:tc>
        <w:tc>
          <w:tcPr>
            <w:tcW w:w="1305" w:type="pct"/>
          </w:tcPr>
          <w:p w:rsidR="00DF34C4" w:rsidRPr="001D7A94" w:rsidRDefault="00DF34C4" w:rsidP="00C8003C">
            <w:pPr>
              <w:jc w:val="center"/>
              <w:rPr>
                <w:rFonts w:ascii="Calibri" w:hAnsi="Calibri"/>
                <w:color w:val="000000"/>
              </w:rPr>
            </w:pPr>
            <w:r w:rsidRPr="001D7A94">
              <w:rPr>
                <w:rFonts w:ascii="Calibri" w:hAnsi="Calibri"/>
                <w:color w:val="000000"/>
              </w:rPr>
              <w:t>0.3</w:t>
            </w:r>
          </w:p>
        </w:tc>
        <w:tc>
          <w:tcPr>
            <w:tcW w:w="1305" w:type="pct"/>
          </w:tcPr>
          <w:p w:rsidR="00DF34C4" w:rsidRPr="001D7A94" w:rsidRDefault="00DF34C4" w:rsidP="006054BB">
            <w:pPr>
              <w:jc w:val="center"/>
              <w:rPr>
                <w:rFonts w:ascii="Calibri" w:hAnsi="Calibri"/>
                <w:color w:val="000000"/>
              </w:rPr>
            </w:pPr>
            <w:r w:rsidRPr="001D7A94">
              <w:rPr>
                <w:rFonts w:ascii="Calibri" w:hAnsi="Calibri"/>
                <w:color w:val="000000"/>
              </w:rPr>
              <w:t>15.6</w:t>
            </w:r>
          </w:p>
        </w:tc>
        <w:tc>
          <w:tcPr>
            <w:tcW w:w="1305" w:type="pct"/>
          </w:tcPr>
          <w:p w:rsidR="00DF34C4" w:rsidRPr="001D7A94" w:rsidRDefault="00DF34C4" w:rsidP="00C8003C">
            <w:pPr>
              <w:jc w:val="center"/>
              <w:rPr>
                <w:rFonts w:ascii="Calibri" w:hAnsi="Calibri"/>
                <w:color w:val="000000"/>
              </w:rPr>
            </w:pPr>
            <w:r>
              <w:rPr>
                <w:rFonts w:ascii="Calibri" w:hAnsi="Calibri"/>
                <w:color w:val="000000"/>
              </w:rPr>
              <w:t>25.4</w:t>
            </w:r>
          </w:p>
        </w:tc>
      </w:tr>
      <w:tr w:rsidR="00DF34C4"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86" w:type="pct"/>
          </w:tcPr>
          <w:p w:rsidR="00DF34C4" w:rsidRPr="001D7A94" w:rsidRDefault="00DF34C4" w:rsidP="00290DA6">
            <w:pPr>
              <w:rPr>
                <w:rFonts w:ascii="Calibri" w:hAnsi="Calibri"/>
                <w:b/>
                <w:bCs/>
                <w:color w:val="000000"/>
                <w:sz w:val="20"/>
                <w:szCs w:val="20"/>
              </w:rPr>
            </w:pPr>
            <w:r w:rsidRPr="001D7A94">
              <w:rPr>
                <w:rFonts w:ascii="Calibri" w:hAnsi="Calibri"/>
                <w:color w:val="000000"/>
              </w:rPr>
              <w:t>Biogas, bagasse and wood</w:t>
            </w:r>
          </w:p>
        </w:tc>
        <w:tc>
          <w:tcPr>
            <w:tcW w:w="1305" w:type="pct"/>
          </w:tcPr>
          <w:p w:rsidR="00DF34C4" w:rsidRPr="001D7A94" w:rsidRDefault="00DF34C4" w:rsidP="00C8003C">
            <w:pPr>
              <w:jc w:val="center"/>
              <w:rPr>
                <w:rFonts w:ascii="Calibri" w:hAnsi="Calibri"/>
                <w:color w:val="000000"/>
              </w:rPr>
            </w:pPr>
            <w:r w:rsidRPr="001D7A94">
              <w:rPr>
                <w:rFonts w:ascii="Calibri" w:hAnsi="Calibri"/>
                <w:color w:val="000000"/>
              </w:rPr>
              <w:t>6.3</w:t>
            </w:r>
          </w:p>
        </w:tc>
        <w:tc>
          <w:tcPr>
            <w:tcW w:w="1305" w:type="pct"/>
          </w:tcPr>
          <w:p w:rsidR="00DF34C4" w:rsidRPr="001D7A94" w:rsidRDefault="00DF34C4" w:rsidP="006054BB">
            <w:pPr>
              <w:jc w:val="center"/>
              <w:rPr>
                <w:rFonts w:ascii="Calibri" w:hAnsi="Calibri"/>
                <w:color w:val="000000"/>
              </w:rPr>
            </w:pPr>
            <w:r w:rsidRPr="001D7A94">
              <w:rPr>
                <w:rFonts w:ascii="Calibri" w:hAnsi="Calibri"/>
                <w:color w:val="000000"/>
              </w:rPr>
              <w:t>23.1</w:t>
            </w:r>
          </w:p>
        </w:tc>
        <w:tc>
          <w:tcPr>
            <w:tcW w:w="1305" w:type="pct"/>
          </w:tcPr>
          <w:p w:rsidR="00DF34C4" w:rsidRPr="001D7A94" w:rsidRDefault="00DF34C4" w:rsidP="00C8003C">
            <w:pPr>
              <w:jc w:val="center"/>
              <w:rPr>
                <w:rFonts w:ascii="Calibri" w:hAnsi="Calibri"/>
                <w:color w:val="000000"/>
              </w:rPr>
            </w:pPr>
            <w:r w:rsidRPr="001D7A94">
              <w:rPr>
                <w:rFonts w:ascii="Calibri" w:hAnsi="Calibri"/>
                <w:color w:val="000000"/>
              </w:rPr>
              <w:t>9.75</w:t>
            </w:r>
          </w:p>
        </w:tc>
      </w:tr>
      <w:tr w:rsidR="00DF34C4" w:rsidRPr="00980041" w:rsidTr="00215A21">
        <w:trPr>
          <w:cantSplit/>
          <w:trHeight w:val="454"/>
        </w:trPr>
        <w:tc>
          <w:tcPr>
            <w:tcW w:w="1086" w:type="pct"/>
          </w:tcPr>
          <w:p w:rsidR="00DF34C4" w:rsidRPr="001D7A94" w:rsidRDefault="00DF34C4" w:rsidP="00290DA6">
            <w:pPr>
              <w:rPr>
                <w:rFonts w:ascii="Calibri" w:hAnsi="Calibri"/>
                <w:b/>
                <w:bCs/>
                <w:color w:val="000000"/>
                <w:sz w:val="20"/>
                <w:szCs w:val="20"/>
              </w:rPr>
            </w:pPr>
            <w:r w:rsidRPr="001D7A94">
              <w:rPr>
                <w:rFonts w:ascii="Calibri" w:hAnsi="Calibri"/>
                <w:color w:val="000000"/>
              </w:rPr>
              <w:t xml:space="preserve">Solar </w:t>
            </w:r>
            <w:r w:rsidR="00383AA5">
              <w:rPr>
                <w:rFonts w:ascii="Calibri" w:hAnsi="Calibri"/>
                <w:color w:val="000000"/>
              </w:rPr>
              <w:t>PV</w:t>
            </w:r>
          </w:p>
        </w:tc>
        <w:tc>
          <w:tcPr>
            <w:tcW w:w="1305" w:type="pct"/>
          </w:tcPr>
          <w:p w:rsidR="00DF34C4" w:rsidRPr="001D7A94" w:rsidRDefault="00DF34C4" w:rsidP="00C8003C">
            <w:pPr>
              <w:jc w:val="center"/>
              <w:rPr>
                <w:rFonts w:ascii="Calibri" w:hAnsi="Calibri"/>
                <w:color w:val="000000"/>
              </w:rPr>
            </w:pPr>
            <w:r w:rsidRPr="001D7A94">
              <w:rPr>
                <w:rFonts w:ascii="Calibri" w:hAnsi="Calibri"/>
                <w:color w:val="000000"/>
              </w:rPr>
              <w:t>0.2</w:t>
            </w:r>
          </w:p>
        </w:tc>
        <w:tc>
          <w:tcPr>
            <w:tcW w:w="1305" w:type="pct"/>
          </w:tcPr>
          <w:p w:rsidR="00DF34C4" w:rsidRPr="001D7A94" w:rsidRDefault="00DF34C4" w:rsidP="006054BB">
            <w:pPr>
              <w:jc w:val="center"/>
              <w:rPr>
                <w:rFonts w:ascii="Calibri" w:hAnsi="Calibri"/>
                <w:color w:val="000000"/>
              </w:rPr>
            </w:pPr>
            <w:r w:rsidRPr="001D7A94">
              <w:rPr>
                <w:rFonts w:ascii="Calibri" w:hAnsi="Calibri"/>
                <w:color w:val="000000"/>
              </w:rPr>
              <w:t>0.6</w:t>
            </w:r>
          </w:p>
        </w:tc>
        <w:tc>
          <w:tcPr>
            <w:tcW w:w="1305" w:type="pct"/>
          </w:tcPr>
          <w:p w:rsidR="00DF34C4" w:rsidRPr="001D7A94" w:rsidRDefault="00DF34C4" w:rsidP="00C8003C">
            <w:pPr>
              <w:jc w:val="center"/>
              <w:rPr>
                <w:rFonts w:ascii="Calibri" w:hAnsi="Calibri"/>
                <w:color w:val="000000"/>
              </w:rPr>
            </w:pPr>
            <w:r w:rsidRPr="001D7A94">
              <w:rPr>
                <w:rFonts w:ascii="Calibri" w:hAnsi="Calibri"/>
                <w:color w:val="000000"/>
              </w:rPr>
              <w:t>6.20</w:t>
            </w:r>
          </w:p>
        </w:tc>
      </w:tr>
    </w:tbl>
    <w:p w:rsidR="00B75E40" w:rsidRPr="00820511" w:rsidRDefault="00B75E40" w:rsidP="00B75E40">
      <w:pPr>
        <w:pStyle w:val="Header"/>
        <w:pBdr>
          <w:bottom w:val="none" w:sz="0" w:space="0" w:color="auto"/>
        </w:pBdr>
      </w:pPr>
    </w:p>
    <w:p w:rsidR="00B75E40" w:rsidRDefault="00B75E40" w:rsidP="00B75E40">
      <w:pPr>
        <w:pStyle w:val="Source"/>
      </w:pPr>
      <w:r w:rsidRPr="00EF51BF">
        <w:t>Source:</w:t>
      </w:r>
      <w:r>
        <w:tab/>
        <w:t xml:space="preserve">Vivid Economics based on </w:t>
      </w:r>
      <w:r w:rsidR="005A66AE" w:rsidRPr="007E6B55">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7E6B55">
        <w:fldChar w:fldCharType="separate"/>
      </w:r>
      <w:r w:rsidRPr="007E6B55">
        <w:rPr>
          <w:noProof/>
        </w:rPr>
        <w:t>Australian Government Bureau of Resource and Energy Economics (2013)</w:t>
      </w:r>
      <w:r w:rsidR="005A66AE" w:rsidRPr="007E6B55">
        <w:fldChar w:fldCharType="end"/>
      </w:r>
    </w:p>
    <w:p w:rsidR="00B75E40" w:rsidRPr="00022AAC" w:rsidRDefault="00B75E40" w:rsidP="00B75E40">
      <w:r w:rsidRPr="00022AAC">
        <w:t>Wind generation represent</w:t>
      </w:r>
      <w:r>
        <w:t>ed</w:t>
      </w:r>
      <w:r w:rsidRPr="00022AAC">
        <w:t xml:space="preserve"> </w:t>
      </w:r>
      <w:r>
        <w:t>25.4</w:t>
      </w:r>
      <w:r w:rsidR="00383AA5">
        <w:t xml:space="preserve"> per cent</w:t>
      </w:r>
      <w:r w:rsidRPr="00022AAC">
        <w:t xml:space="preserve"> of renewable generation in </w:t>
      </w:r>
      <w:r w:rsidR="006C667D">
        <w:t>2012</w:t>
      </w:r>
      <w:r>
        <w:t>. I</w:t>
      </w:r>
      <w:r w:rsidRPr="00022AAC">
        <w:t>ts share has</w:t>
      </w:r>
      <w:r>
        <w:t xml:space="preserve"> been</w:t>
      </w:r>
      <w:r w:rsidRPr="00022AAC">
        <w:t xml:space="preserve"> ris</w:t>
      </w:r>
      <w:r>
        <w:t>ing,</w:t>
      </w:r>
      <w:r w:rsidRPr="00022AAC">
        <w:t xml:space="preserve"> from </w:t>
      </w:r>
      <w:r>
        <w:t>15.6</w:t>
      </w:r>
      <w:r w:rsidRPr="00022AAC">
        <w:t xml:space="preserve"> per cent of all renewables in </w:t>
      </w:r>
      <w:r w:rsidR="006C667D">
        <w:t>2008</w:t>
      </w:r>
      <w:r>
        <w:t>,</w:t>
      </w:r>
      <w:r w:rsidRPr="00022AAC">
        <w:t xml:space="preserve"> due to the mandatory renewable energy target.</w:t>
      </w:r>
    </w:p>
    <w:p w:rsidR="00B75E40" w:rsidRPr="00022AAC" w:rsidRDefault="00B75E40" w:rsidP="00B75E40"/>
    <w:p w:rsidR="00B75E40" w:rsidRDefault="00B75E40" w:rsidP="00B75E40">
      <w:r w:rsidRPr="00022AAC">
        <w:t xml:space="preserve">Solar </w:t>
      </w:r>
      <w:r>
        <w:t>PV</w:t>
      </w:r>
      <w:r w:rsidRPr="00022AAC">
        <w:t xml:space="preserve"> represents 6.2 per cent of renewable generation in </w:t>
      </w:r>
      <w:r w:rsidR="006C667D">
        <w:t>2012</w:t>
      </w:r>
      <w:r w:rsidRPr="00022AAC">
        <w:t xml:space="preserve"> and its share has risen from 0.5 per cent of all renewables in </w:t>
      </w:r>
      <w:r w:rsidR="006C667D">
        <w:t>2008</w:t>
      </w:r>
      <w:r w:rsidRPr="00022AAC">
        <w:t xml:space="preserve">, mainly due to </w:t>
      </w:r>
      <w:r>
        <w:t xml:space="preserve">policy support </w:t>
      </w:r>
      <w:r w:rsidRPr="00022AAC">
        <w:t>in the form of a feed-in</w:t>
      </w:r>
      <w:r>
        <w:t xml:space="preserve"> </w:t>
      </w:r>
      <w:r w:rsidRPr="00022AAC">
        <w:t xml:space="preserve">tariff. The Small-scale </w:t>
      </w:r>
      <w:r w:rsidRPr="00022AAC">
        <w:lastRenderedPageBreak/>
        <w:t>Renewable Target, and previously the Mandatory Renewable Energy Target, are the main drivers behind an increase in solar PV</w:t>
      </w:r>
      <w:r>
        <w:t>. M</w:t>
      </w:r>
      <w:r w:rsidRPr="00022AAC">
        <w:t xml:space="preserve">ost of the capacity </w:t>
      </w:r>
      <w:r>
        <w:t xml:space="preserve">was installed </w:t>
      </w:r>
      <w:r w:rsidRPr="00022AAC">
        <w:t xml:space="preserve">after the introduction of the small scale renewable target and solar credit scheme in 2009, as shown in </w:t>
      </w:r>
      <w:r w:rsidR="005A66AE">
        <w:fldChar w:fldCharType="begin"/>
      </w:r>
      <w:r>
        <w:instrText xml:space="preserve"> REF _Ref365801639 \r \h </w:instrText>
      </w:r>
      <w:r w:rsidR="005A66AE">
        <w:fldChar w:fldCharType="separate"/>
      </w:r>
      <w:r w:rsidR="00197E14">
        <w:t>Figure 39</w:t>
      </w:r>
      <w:r w:rsidR="005A66AE">
        <w:fldChar w:fldCharType="end"/>
      </w:r>
      <w:r w:rsidRPr="00022AAC">
        <w:t>.</w:t>
      </w:r>
    </w:p>
    <w:p w:rsidR="00B75E40" w:rsidRPr="000D25DC" w:rsidRDefault="00B75E40" w:rsidP="00B75E40">
      <w:pPr>
        <w:pStyle w:val="Charttitle"/>
      </w:pPr>
      <w:bookmarkStart w:id="217" w:name="_Ref365801639"/>
      <w:bookmarkStart w:id="218" w:name="_Toc366155623"/>
      <w:bookmarkStart w:id="219" w:name="_Toc366269859"/>
      <w:bookmarkStart w:id="220" w:name="_Toc369890579"/>
      <w:r>
        <w:t>Solar PV took off after the introduction of the SRET in 2009</w:t>
      </w:r>
      <w:bookmarkEnd w:id="217"/>
      <w:bookmarkEnd w:id="218"/>
      <w:bookmarkEnd w:id="219"/>
      <w:bookmarkEnd w:id="220"/>
    </w:p>
    <w:p w:rsidR="00B75E40" w:rsidRPr="00430244" w:rsidRDefault="00B75E40" w:rsidP="00B75E40">
      <w:pPr>
        <w:pStyle w:val="Chartspacer"/>
        <w:rPr>
          <w:rStyle w:val="PlaceholderText"/>
        </w:rPr>
      </w:pPr>
      <w:r w:rsidRPr="00172D90">
        <w:rPr>
          <w:noProof/>
          <w:lang w:eastAsia="en-GB"/>
        </w:rPr>
        <w:drawing>
          <wp:inline distT="0" distB="0" distL="0" distR="0" wp14:anchorId="2EAC0C49" wp14:editId="1960289C">
            <wp:extent cx="6120130" cy="37926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792648"/>
                    </a:xfrm>
                    <a:prstGeom prst="rect">
                      <a:avLst/>
                    </a:prstGeom>
                    <a:noFill/>
                    <a:ln>
                      <a:noFill/>
                    </a:ln>
                  </pic:spPr>
                </pic:pic>
              </a:graphicData>
            </a:graphic>
          </wp:inline>
        </w:drawing>
      </w:r>
    </w:p>
    <w:p w:rsidR="00B75E40" w:rsidRDefault="00B75E40" w:rsidP="00B75E40">
      <w:pPr>
        <w:pStyle w:val="Note"/>
      </w:pPr>
      <w:r>
        <w:t>Note:</w:t>
      </w:r>
      <w:r>
        <w:tab/>
        <w:t>The solar credit scheme to incentivise solar PV reduces its incentive level over time.</w:t>
      </w:r>
    </w:p>
    <w:p w:rsidR="00B75E40" w:rsidRPr="005A132E" w:rsidRDefault="00B75E40" w:rsidP="00B75E40">
      <w:pPr>
        <w:pStyle w:val="Source"/>
      </w:pPr>
      <w:r w:rsidRPr="005A132E">
        <w:t>Source:</w:t>
      </w:r>
      <w:r>
        <w:tab/>
        <w:t xml:space="preserve">Vivid Economics based on </w:t>
      </w:r>
      <w:r w:rsidR="005A66AE" w:rsidRPr="00C47AD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C47ADA">
        <w:fldChar w:fldCharType="separate"/>
      </w:r>
      <w:r w:rsidRPr="00C47ADA">
        <w:rPr>
          <w:noProof/>
        </w:rPr>
        <w:t>Australian Government Bureau of Resource and Energy Economics (2013)</w:t>
      </w:r>
      <w:r w:rsidR="005A66AE" w:rsidRPr="00C47ADA">
        <w:fldChar w:fldCharType="end"/>
      </w:r>
    </w:p>
    <w:p w:rsidR="00B75E40" w:rsidRDefault="00B75E40" w:rsidP="00B75E40">
      <w:r w:rsidRPr="00022AAC">
        <w:t xml:space="preserve">Renewable deployment is mainly driven by the Mandatory Renewable Energy Target (M-RET). The M-RET demands that a </w:t>
      </w:r>
      <w:r>
        <w:t xml:space="preserve">specified </w:t>
      </w:r>
      <w:r w:rsidRPr="00022AAC">
        <w:t>share of overall electricity generation is met by renewable energy.</w:t>
      </w:r>
      <w:r>
        <w:t xml:space="preserve"> </w:t>
      </w:r>
      <w:r w:rsidR="005A66AE">
        <w:fldChar w:fldCharType="begin"/>
      </w:r>
      <w:r>
        <w:instrText xml:space="preserve"> REF _Ref366153559 \r \h </w:instrText>
      </w:r>
      <w:r w:rsidR="005A66AE">
        <w:fldChar w:fldCharType="separate"/>
      </w:r>
      <w:r w:rsidR="00197E14">
        <w:t>Figure 40</w:t>
      </w:r>
      <w:r w:rsidR="005A66AE">
        <w:fldChar w:fldCharType="end"/>
      </w:r>
      <w:r>
        <w:t xml:space="preserve"> </w:t>
      </w:r>
      <w:r w:rsidRPr="00022AAC">
        <w:t xml:space="preserve">shows total renewable generation since </w:t>
      </w:r>
      <w:r w:rsidR="006C667D">
        <w:t>2001</w:t>
      </w:r>
      <w:r w:rsidRPr="00022AAC">
        <w:t xml:space="preserve"> and the corresponding M-RET target.</w:t>
      </w:r>
    </w:p>
    <w:p w:rsidR="00B75E40" w:rsidRDefault="00B75E40" w:rsidP="00B75E40"/>
    <w:p w:rsidR="00B75E40" w:rsidRPr="000D25DC" w:rsidRDefault="00B75E40" w:rsidP="00B75E40">
      <w:pPr>
        <w:pStyle w:val="Charttitle"/>
      </w:pPr>
      <w:bookmarkStart w:id="221" w:name="_Ref366153559"/>
      <w:bookmarkStart w:id="222" w:name="_Toc366155624"/>
      <w:bookmarkStart w:id="223" w:name="_Toc366269860"/>
      <w:bookmarkStart w:id="224" w:name="_Toc369890580"/>
      <w:r>
        <w:lastRenderedPageBreak/>
        <w:t>Rapid growth in renewable generation is a consequence of the Mandatory Renewable Energy Target</w:t>
      </w:r>
      <w:bookmarkEnd w:id="221"/>
      <w:bookmarkEnd w:id="222"/>
      <w:bookmarkEnd w:id="223"/>
      <w:bookmarkEnd w:id="224"/>
    </w:p>
    <w:p w:rsidR="00B75E40" w:rsidRPr="00430244" w:rsidRDefault="00F00EC6" w:rsidP="00B75E40">
      <w:pPr>
        <w:pStyle w:val="Chartspacer"/>
        <w:rPr>
          <w:rStyle w:val="PlaceholderText"/>
        </w:rPr>
      </w:pPr>
      <w:r w:rsidRPr="00057625">
        <w:rPr>
          <w:noProof/>
          <w:lang w:eastAsia="en-GB"/>
        </w:rPr>
        <w:drawing>
          <wp:inline distT="0" distB="0" distL="0" distR="0" wp14:anchorId="1902A537" wp14:editId="1588FFD5">
            <wp:extent cx="6120130" cy="3783512"/>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3783512"/>
                    </a:xfrm>
                    <a:prstGeom prst="rect">
                      <a:avLst/>
                    </a:prstGeom>
                    <a:noFill/>
                    <a:ln>
                      <a:noFill/>
                    </a:ln>
                  </pic:spPr>
                </pic:pic>
              </a:graphicData>
            </a:graphic>
          </wp:inline>
        </w:drawing>
      </w:r>
    </w:p>
    <w:p w:rsidR="00B75E40" w:rsidRDefault="00B75E40" w:rsidP="00B75E40">
      <w:pPr>
        <w:pStyle w:val="Note"/>
      </w:pPr>
      <w:r>
        <w:t>Note:</w:t>
      </w:r>
      <w:r>
        <w:tab/>
        <w:t>Renewable generation counts towards the M-RET if it exceeds its own average generation between 1994-95 and 1996-97. This means that all renewables constructed after 1996-97 are eligible for fulfilling the M</w:t>
      </w:r>
      <w:r w:rsidR="00383AA5">
        <w:t>-</w:t>
      </w:r>
      <w:r>
        <w:t>RET target whereas older renewable assets, which are primarily hydro and to a lesser extent bagasse and wood, have to exceed past generation levels to obtain support.</w:t>
      </w:r>
      <w:r w:rsidR="004F3486">
        <w:t xml:space="preserve"> In addition, waste coal mine gas is included in the M-RET, whereas wood from natural forests is excluded, which leads to a divergence of total M-RET</w:t>
      </w:r>
      <w:r w:rsidR="00297F86">
        <w:t>-</w:t>
      </w:r>
      <w:r w:rsidR="004F3486">
        <w:t xml:space="preserve">eligible generation from this chart and might explain the shortfall since </w:t>
      </w:r>
      <w:r w:rsidR="006C667D">
        <w:t>2009</w:t>
      </w:r>
      <w:r w:rsidR="004F3486">
        <w:t xml:space="preserve"> as RET certificates have essentially </w:t>
      </w:r>
      <w:r w:rsidR="00297F86">
        <w:t xml:space="preserve">been </w:t>
      </w:r>
      <w:r w:rsidR="004F3486">
        <w:t xml:space="preserve">fully taken up since </w:t>
      </w:r>
      <w:r w:rsidR="006C667D">
        <w:t>2009</w:t>
      </w:r>
      <w:r w:rsidR="004F3486">
        <w:t>.</w:t>
      </w:r>
    </w:p>
    <w:p w:rsidR="00B75E40" w:rsidRPr="005A132E" w:rsidRDefault="00B75E40" w:rsidP="00B75E40">
      <w:pPr>
        <w:pStyle w:val="Source"/>
      </w:pPr>
      <w:r w:rsidRPr="005A132E">
        <w:t>Source:</w:t>
      </w:r>
      <w:r>
        <w:tab/>
        <w:t>Vivid Economics</w:t>
      </w:r>
    </w:p>
    <w:p w:rsidR="00B75E40" w:rsidRDefault="00B75E40" w:rsidP="00B75E40"/>
    <w:p w:rsidR="00B75E40" w:rsidRPr="000D25DC" w:rsidRDefault="00B75E40" w:rsidP="00B75E40">
      <w:pPr>
        <w:pStyle w:val="Charttitle"/>
      </w:pPr>
      <w:bookmarkStart w:id="225" w:name="_Toc366155625"/>
      <w:bookmarkStart w:id="226" w:name="_Toc366269861"/>
      <w:bookmarkStart w:id="227" w:name="_Toc369890581"/>
      <w:r>
        <w:lastRenderedPageBreak/>
        <w:t xml:space="preserve">Wind represents majority of large electricity new generation projects </w:t>
      </w:r>
      <w:r w:rsidR="00132875">
        <w:t xml:space="preserve">by capacity </w:t>
      </w:r>
      <w:r>
        <w:t>in the NEM</w:t>
      </w:r>
      <w:bookmarkEnd w:id="225"/>
      <w:bookmarkEnd w:id="226"/>
      <w:bookmarkEnd w:id="227"/>
      <w:r>
        <w:t xml:space="preserve"> </w:t>
      </w:r>
    </w:p>
    <w:p w:rsidR="00B75E40" w:rsidRPr="00430244" w:rsidRDefault="00B75E40" w:rsidP="00B75E40">
      <w:pPr>
        <w:pStyle w:val="Chartspacer"/>
        <w:rPr>
          <w:rStyle w:val="PlaceholderText"/>
        </w:rPr>
      </w:pPr>
      <w:r>
        <w:rPr>
          <w:noProof/>
          <w:lang w:eastAsia="en-GB"/>
        </w:rPr>
        <w:drawing>
          <wp:inline distT="0" distB="0" distL="0" distR="0" wp14:anchorId="43CB417B" wp14:editId="679BE0E0">
            <wp:extent cx="5615940" cy="4285615"/>
            <wp:effectExtent l="0" t="0" r="0" b="0"/>
            <wp:docPr id="56" name="Picture 56" descr="C:\Dropbox\2250CCA - Climate Change Authority\Work in progress\Data\megpMap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2250CCA - Climate Change Authority\Work in progress\Data\megpMap20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5940" cy="4285615"/>
                    </a:xfrm>
                    <a:prstGeom prst="rect">
                      <a:avLst/>
                    </a:prstGeom>
                    <a:noFill/>
                    <a:ln>
                      <a:noFill/>
                    </a:ln>
                  </pic:spPr>
                </pic:pic>
              </a:graphicData>
            </a:graphic>
          </wp:inline>
        </w:drawing>
      </w:r>
    </w:p>
    <w:p w:rsidR="00B75E40" w:rsidRDefault="00B75E40" w:rsidP="00B75E40">
      <w:pPr>
        <w:pStyle w:val="Note"/>
      </w:pPr>
      <w:r>
        <w:t>Note:</w:t>
      </w:r>
      <w:r>
        <w:tab/>
        <w:t>Renewable generation has significantly lower capacity factors compared with non-renewable</w:t>
      </w:r>
      <w:r w:rsidR="00297F86">
        <w:t>,</w:t>
      </w:r>
      <w:r>
        <w:t xml:space="preserve"> and therefore a large capacity increase compared with non-renewable generation does not translate into an equivalent generation increase.</w:t>
      </w:r>
    </w:p>
    <w:p w:rsidR="00B75E40" w:rsidRPr="005A132E" w:rsidRDefault="00B75E40" w:rsidP="00B75E40">
      <w:pPr>
        <w:pStyle w:val="Source"/>
      </w:pPr>
      <w:r w:rsidRPr="005A132E">
        <w:t>Source:</w:t>
      </w:r>
      <w:r>
        <w:tab/>
      </w:r>
      <w:r w:rsidR="005A66AE" w:rsidRPr="00C47ADA">
        <w:fldChar w:fldCharType="begin" w:fldLock="1"/>
      </w:r>
      <w:r w:rsidR="00971CE6">
        <w:instrText>ADDIN CSL_CITATION { "citationItems" : [ { "id" : "ITEM-1", "itemData" : { "ISBN" : "9781922106469", "author" : [ { "dropping-particle" : "", "family" : "Australian Government Bureau of Resources and Energy Economics", "given" : "", "non-dropping-particle" : "", "parse-names" : false, "suffix" : "" } ], "id" : "ITEM-1", "issue" : "November", "issued" : { "date-parts" : [ [ "2012" ] ] }, "title" : "Major electricity generation projects", "type" : "article" }, "uris" : [ "http://www.mendeley.com/documents/?uuid=5e392717-dc82-467b-808e-6bafd83cadab", "http://www.mendeley.com/documents/?uuid=8164a575-d27d-420a-a97d-56768ccf9715" ] } ], "mendeley" : { "manualFormatting" : "Australian Government Bureau of Resources and Energy Economics (2012)", "previouslyFormattedCitation" : "(Australian Government Bureau of Resources and Energy Economics, 2012b)" }, "properties" : { "noteIndex" : 0 }, "schema" : "https://github.com/citation-style-language/schema/raw/master/csl-citation.json" }</w:instrText>
      </w:r>
      <w:r w:rsidR="005A66AE" w:rsidRPr="00C47ADA">
        <w:fldChar w:fldCharType="separate"/>
      </w:r>
      <w:r w:rsidRPr="00C47ADA">
        <w:rPr>
          <w:noProof/>
        </w:rPr>
        <w:t>Australian Government Bureau of</w:t>
      </w:r>
      <w:r>
        <w:rPr>
          <w:noProof/>
        </w:rPr>
        <w:t xml:space="preserve"> Resources and Energy Economics</w:t>
      </w:r>
      <w:r w:rsidRPr="00C47ADA">
        <w:rPr>
          <w:noProof/>
        </w:rPr>
        <w:t xml:space="preserve"> </w:t>
      </w:r>
      <w:r>
        <w:rPr>
          <w:noProof/>
        </w:rPr>
        <w:t>(</w:t>
      </w:r>
      <w:r w:rsidRPr="00C47ADA">
        <w:rPr>
          <w:noProof/>
        </w:rPr>
        <w:t>2012)</w:t>
      </w:r>
      <w:r w:rsidR="005A66AE" w:rsidRPr="00C47ADA">
        <w:fldChar w:fldCharType="end"/>
      </w:r>
    </w:p>
    <w:p w:rsidR="00B75E40" w:rsidRDefault="00B75E40" w:rsidP="00B75E40">
      <w:pPr>
        <w:pStyle w:val="Heading3"/>
      </w:pPr>
      <w:r>
        <w:t xml:space="preserve">Carbon intensity </w:t>
      </w:r>
    </w:p>
    <w:p w:rsidR="00B75E40" w:rsidRPr="00022AAC" w:rsidRDefault="00B75E40" w:rsidP="00B75E40">
      <w:r w:rsidRPr="00022AAC">
        <w:t xml:space="preserve">Carbon intensity </w:t>
      </w:r>
      <w:r>
        <w:t>is the amount of</w:t>
      </w:r>
      <w:r w:rsidRPr="00022AAC">
        <w:t xml:space="preserve"> </w:t>
      </w:r>
      <w:r>
        <w:t>emissions released by burning one</w:t>
      </w:r>
      <w:r w:rsidR="00132875">
        <w:t xml:space="preserve"> thermal </w:t>
      </w:r>
      <w:r>
        <w:t xml:space="preserve">energy unit (Joule) of </w:t>
      </w:r>
      <w:r w:rsidRPr="00022AAC">
        <w:t>fossil fuel; it captures changes in the emissions intensity within a fuel type.</w:t>
      </w:r>
      <w:r>
        <w:t xml:space="preserve"> The energy units here are net of the heat of vaporisation of water, that is to say they state the thermal energy that is released during combustion and available to do useful work.</w:t>
      </w:r>
    </w:p>
    <w:p w:rsidR="00B75E40" w:rsidRPr="00022AAC" w:rsidRDefault="00B75E40" w:rsidP="00B75E40"/>
    <w:p w:rsidR="00B75E40" w:rsidRPr="00022AAC" w:rsidRDefault="00B75E40" w:rsidP="00B75E40">
      <w:r w:rsidRPr="00022AAC">
        <w:t>A reduction in carbon intensity contributed approximately</w:t>
      </w:r>
      <w:r>
        <w:t xml:space="preserve"> </w:t>
      </w:r>
      <w:r w:rsidR="00923C92">
        <w:t>11.5</w:t>
      </w:r>
      <w:r w:rsidRPr="00022AAC">
        <w:t xml:space="preserve"> per cent </w:t>
      </w:r>
      <w:r w:rsidR="00132875">
        <w:t xml:space="preserve">to </w:t>
      </w:r>
      <w:r w:rsidRPr="00022AAC">
        <w:t>the total electricity generation emissions</w:t>
      </w:r>
      <w:r>
        <w:t xml:space="preserve"> intensity reduction between </w:t>
      </w:r>
      <w:r w:rsidR="006C667D">
        <w:t>2008</w:t>
      </w:r>
      <w:r w:rsidR="004B48D7">
        <w:t xml:space="preserve"> and </w:t>
      </w:r>
      <w:r w:rsidR="006C667D">
        <w:t>2012</w:t>
      </w:r>
      <w:r w:rsidR="004B48D7">
        <w:t>. In terms of the percentage reduction of electricity generation emissions intensity</w:t>
      </w:r>
      <w:r w:rsidR="00202C88">
        <w:t xml:space="preserve"> of 6.3 per cent</w:t>
      </w:r>
      <w:r w:rsidR="004B48D7">
        <w:t xml:space="preserve">, reduction in carbon intensity contributed </w:t>
      </w:r>
      <w:r w:rsidR="00923C92">
        <w:t>0.73</w:t>
      </w:r>
      <w:r w:rsidRPr="00022AAC">
        <w:t xml:space="preserve"> </w:t>
      </w:r>
      <w:r w:rsidR="00202C88">
        <w:t>per cent.</w:t>
      </w:r>
    </w:p>
    <w:p w:rsidR="00B75E40" w:rsidRPr="00022AAC" w:rsidRDefault="00B75E40" w:rsidP="00B75E40"/>
    <w:p w:rsidR="00B75E40" w:rsidRPr="00022AAC" w:rsidRDefault="00B75E40" w:rsidP="00B75E40">
      <w:r>
        <w:t xml:space="preserve">There is little evidence collected </w:t>
      </w:r>
      <w:r w:rsidR="00132875">
        <w:t xml:space="preserve">during </w:t>
      </w:r>
      <w:r>
        <w:t xml:space="preserve">this </w:t>
      </w:r>
      <w:r w:rsidR="00132875">
        <w:t xml:space="preserve">work </w:t>
      </w:r>
      <w:r>
        <w:t xml:space="preserve">to explain this effect. It is </w:t>
      </w:r>
      <w:r w:rsidR="00132875">
        <w:t xml:space="preserve">possible </w:t>
      </w:r>
      <w:r>
        <w:t xml:space="preserve">that changes in </w:t>
      </w:r>
      <w:r w:rsidRPr="00022AAC">
        <w:t xml:space="preserve">carbon intensity within fuel types </w:t>
      </w:r>
      <w:r>
        <w:t>are the result of changes in fuel quality arising from variation in fuel sources</w:t>
      </w:r>
      <w:r w:rsidR="00132875">
        <w:t>, but there could be other explanations</w:t>
      </w:r>
      <w:r>
        <w:t>.</w:t>
      </w:r>
    </w:p>
    <w:p w:rsidR="00B75E40" w:rsidRPr="00087AC7" w:rsidRDefault="00B75E40" w:rsidP="00B75E40"/>
    <w:p w:rsidR="00B75E40" w:rsidRDefault="00B75E40" w:rsidP="00B75E40">
      <w:pPr>
        <w:pStyle w:val="Heading3"/>
      </w:pPr>
      <w:r>
        <w:lastRenderedPageBreak/>
        <w:t>Fuel efficiency</w:t>
      </w:r>
    </w:p>
    <w:p w:rsidR="00B75E40" w:rsidRPr="00022AAC" w:rsidRDefault="00B75E40" w:rsidP="00B75E40">
      <w:r w:rsidRPr="00022AAC">
        <w:t>Fuel efficiency measures how much electricity is generated per unit of fossil fuel input within each fuel type; it captures changes in the efficiency of plants within a fuel type.</w:t>
      </w:r>
    </w:p>
    <w:p w:rsidR="00B75E40" w:rsidRPr="00022AAC" w:rsidRDefault="00B75E40" w:rsidP="00B75E40"/>
    <w:p w:rsidR="00B75E40" w:rsidRPr="00022AAC" w:rsidRDefault="00B75E40" w:rsidP="00B75E40">
      <w:r w:rsidRPr="00022AAC">
        <w:t xml:space="preserve">Fuel efficiency </w:t>
      </w:r>
      <w:r w:rsidR="00FE5CFD">
        <w:t>increase electricity generation emissions by</w:t>
      </w:r>
      <w:r w:rsidRPr="00022AAC">
        <w:t xml:space="preserve"> approximately </w:t>
      </w:r>
      <w:r>
        <w:t>5</w:t>
      </w:r>
      <w:r w:rsidRPr="00022AAC">
        <w:t>.</w:t>
      </w:r>
      <w:r>
        <w:t>5</w:t>
      </w:r>
      <w:r w:rsidRPr="00022AAC">
        <w:t xml:space="preserve"> per cent</w:t>
      </w:r>
      <w:r w:rsidR="00FE5CFD">
        <w:t xml:space="preserve"> between </w:t>
      </w:r>
      <w:r w:rsidR="006C667D">
        <w:t>2008</w:t>
      </w:r>
      <w:r w:rsidR="00FE5CFD">
        <w:t xml:space="preserve"> and </w:t>
      </w:r>
      <w:r w:rsidR="006C667D">
        <w:t>2011</w:t>
      </w:r>
      <w:r w:rsidR="00FE5CFD">
        <w:t>, offsetting parts of the gains achieved by changes in the fuel mix and increased renewable deployment.</w:t>
      </w:r>
    </w:p>
    <w:p w:rsidR="00B75E40" w:rsidRPr="00022AAC" w:rsidRDefault="00B75E40" w:rsidP="00B75E40"/>
    <w:p w:rsidR="00B75E40" w:rsidRPr="00132875" w:rsidRDefault="00B75E40" w:rsidP="00B75E40">
      <w:r w:rsidRPr="00022AAC">
        <w:t xml:space="preserve">The large negative fuel efficiency between </w:t>
      </w:r>
      <w:r w:rsidR="006C667D">
        <w:t>2001</w:t>
      </w:r>
      <w:r w:rsidRPr="00022AAC">
        <w:t xml:space="preserve"> and </w:t>
      </w:r>
      <w:r w:rsidR="006C667D">
        <w:t>2006</w:t>
      </w:r>
      <w:r w:rsidRPr="00022AAC">
        <w:t xml:space="preserve"> is due to a sharp decline in the electricity produced from black coal without corresponding changes in the amount of black coal used as an input in electricity generation as shown in </w:t>
      </w:r>
      <w:r>
        <w:t>Figure 15</w:t>
      </w:r>
      <w:r w:rsidRPr="00022AAC">
        <w:t>.</w:t>
      </w:r>
    </w:p>
    <w:p w:rsidR="00B75E40" w:rsidRPr="000D25DC" w:rsidRDefault="00B75E40" w:rsidP="00B75E40">
      <w:pPr>
        <w:pStyle w:val="Charttitle"/>
      </w:pPr>
      <w:bookmarkStart w:id="228" w:name="_Toc366269862"/>
      <w:bookmarkStart w:id="229" w:name="_Toc369890582"/>
      <w:r>
        <w:t xml:space="preserve">Black coal generation corresponds closely to black coal input, except for the previously identified outliers between </w:t>
      </w:r>
      <w:r w:rsidR="006C667D">
        <w:t>2000</w:t>
      </w:r>
      <w:r>
        <w:t xml:space="preserve"> and </w:t>
      </w:r>
      <w:r w:rsidR="006C667D">
        <w:t>2002</w:t>
      </w:r>
      <w:bookmarkEnd w:id="228"/>
      <w:bookmarkEnd w:id="229"/>
    </w:p>
    <w:p w:rsidR="00B75E40" w:rsidRDefault="00290DA6" w:rsidP="00B75E40">
      <w:pPr>
        <w:pStyle w:val="Chartspacer"/>
        <w:rPr>
          <w:rStyle w:val="PlaceholderText"/>
        </w:rPr>
      </w:pPr>
      <w:r w:rsidRPr="00290DA6">
        <w:drawing>
          <wp:inline distT="0" distB="0" distL="0" distR="0" wp14:anchorId="0BCC00A6" wp14:editId="2C418D90">
            <wp:extent cx="6120765" cy="3994930"/>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B75E40" w:rsidRPr="00430244" w:rsidRDefault="00B75E40" w:rsidP="00B75E40">
      <w:pPr>
        <w:pStyle w:val="Chartspacer"/>
        <w:rPr>
          <w:rStyle w:val="PlaceholderText"/>
        </w:rPr>
      </w:pPr>
    </w:p>
    <w:p w:rsidR="00B75E40" w:rsidRDefault="00B75E40" w:rsidP="00B75E40">
      <w:pPr>
        <w:pStyle w:val="Note"/>
      </w:pPr>
      <w:r>
        <w:t>Note:</w:t>
      </w:r>
      <w:r>
        <w:tab/>
        <w:t xml:space="preserve">Electricity generation from black coal </w:t>
      </w:r>
      <w:r w:rsidR="00297F86">
        <w:t xml:space="preserve">fell sharply </w:t>
      </w:r>
      <w:r>
        <w:t xml:space="preserve">in </w:t>
      </w:r>
      <w:r w:rsidR="006C667D">
        <w:t>2002</w:t>
      </w:r>
      <w:r>
        <w:t xml:space="preserve"> while black coal fuel input increased.</w:t>
      </w:r>
    </w:p>
    <w:p w:rsidR="00B75E40" w:rsidRPr="00C47ADA" w:rsidRDefault="00B75E40" w:rsidP="00B75E40">
      <w:pPr>
        <w:pStyle w:val="Source"/>
      </w:pPr>
      <w:r w:rsidRPr="005A132E">
        <w:t>Source:</w:t>
      </w:r>
      <w:r>
        <w:tab/>
        <w:t xml:space="preserve">Vivid Economics based on </w:t>
      </w:r>
      <w:r w:rsidR="005A66AE" w:rsidRPr="00C47ADA">
        <w:fldChar w:fldCharType="begin" w:fldLock="1"/>
      </w:r>
      <w:r w:rsidR="00971CE6">
        <w:instrText>ADDIN CSL_CITATION { "citationItems" : [ { "id" : "ITEM-1", "itemData" : { "author" : [ { "dropping-particle" : "", "family" : "Australian Government Bureau of Resource and Energy Economics", "given" : "", "non-dropping-particle" : "", "parse-names" : false, "suffix" : "" } ], "id" : "ITEM-1", "issued" : { "date-parts" : [ [ "2013" ] ] }, "title" : "2013 Australian Energy Update", "type" : "article" }, "uris" : [ "http://www.mendeley.com/documents/?uuid=868bffff-9827-46e6-ad32-d3013ba43a99" ] } ], "mendeley" : { "manualFormatting" : "Australian Government Bureau of Resource and Energy Economics (2013)", "previouslyFormattedCitation" : "(Australian Government Bureau of Resource and Energy Economics, 2013)" }, "properties" : { "noteIndex" : 0 }, "schema" : "https://github.com/citation-style-language/schema/raw/master/csl-citation.json" }</w:instrText>
      </w:r>
      <w:r w:rsidR="005A66AE" w:rsidRPr="00C47ADA">
        <w:fldChar w:fldCharType="separate"/>
      </w:r>
      <w:r w:rsidRPr="00C47ADA">
        <w:rPr>
          <w:noProof/>
        </w:rPr>
        <w:t>Australian Government Bureau of Resource and Energy Economics (2013)</w:t>
      </w:r>
      <w:r w:rsidR="005A66AE" w:rsidRPr="00C47ADA">
        <w:fldChar w:fldCharType="end"/>
      </w:r>
    </w:p>
    <w:p w:rsidR="00B75E40" w:rsidRDefault="00132875" w:rsidP="00B75E40">
      <w:r>
        <w:t>T</w:t>
      </w:r>
      <w:r w:rsidR="00B75E40" w:rsidRPr="00022AAC">
        <w:t>he contribution of the fuel efficiency effect to overall emissions intensity has been minimal and is dwarfed by the effects of changing the fossil fuel mix and increased renewable deployment.</w:t>
      </w:r>
    </w:p>
    <w:p w:rsidR="00B75E40" w:rsidRDefault="00B75E40" w:rsidP="00B75E40"/>
    <w:p w:rsidR="001F5001" w:rsidRDefault="001F5001" w:rsidP="008C2547">
      <w:pPr>
        <w:pStyle w:val="Heading2"/>
      </w:pPr>
      <w:bookmarkStart w:id="230" w:name="_Toc369890615"/>
      <w:r>
        <w:lastRenderedPageBreak/>
        <w:t>Summary of results</w:t>
      </w:r>
      <w:bookmarkEnd w:id="230"/>
    </w:p>
    <w:p w:rsidR="00B75E40" w:rsidRDefault="00B75E40" w:rsidP="00B75E40">
      <w:r>
        <w:t xml:space="preserve">The main results from the analysis are summarised in </w:t>
      </w:r>
      <w:r w:rsidR="005A66AE">
        <w:fldChar w:fldCharType="begin"/>
      </w:r>
      <w:r>
        <w:instrText xml:space="preserve"> REF _Ref366239950 \r \h </w:instrText>
      </w:r>
      <w:r w:rsidR="005A66AE">
        <w:fldChar w:fldCharType="separate"/>
      </w:r>
      <w:r w:rsidR="00197E14">
        <w:t>Box 3</w:t>
      </w:r>
      <w:r w:rsidR="005A66AE">
        <w:fldChar w:fldCharType="end"/>
      </w:r>
      <w:r>
        <w:t>.</w:t>
      </w:r>
    </w:p>
    <w:p w:rsidR="00B75E40" w:rsidRDefault="00B75E40" w:rsidP="00B75E4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BD3E5" w:themeFill="accent2"/>
        <w:tblLook w:val="04A0" w:firstRow="1" w:lastRow="0" w:firstColumn="1" w:lastColumn="0" w:noHBand="0" w:noVBand="1"/>
      </w:tblPr>
      <w:tblGrid>
        <w:gridCol w:w="9356"/>
      </w:tblGrid>
      <w:tr w:rsidR="00B75E40" w:rsidRPr="003721F3" w:rsidTr="006054BB">
        <w:trPr>
          <w:trHeight w:val="567"/>
        </w:trPr>
        <w:tc>
          <w:tcPr>
            <w:tcW w:w="9356" w:type="dxa"/>
            <w:shd w:val="clear" w:color="auto" w:fill="8BD3E5" w:themeFill="accent2"/>
          </w:tcPr>
          <w:p w:rsidR="00B75E40" w:rsidRPr="003721F3" w:rsidRDefault="00B75E40" w:rsidP="006054BB">
            <w:pPr>
              <w:pStyle w:val="Boxtitle"/>
              <w:ind w:left="680" w:hanging="680"/>
            </w:pPr>
            <w:bookmarkStart w:id="231" w:name="_Ref366239950"/>
            <w:bookmarkStart w:id="232" w:name="_Toc369890601"/>
            <w:r>
              <w:t>The emissions intensity of electricity generation depends largely on policies</w:t>
            </w:r>
            <w:bookmarkEnd w:id="231"/>
            <w:bookmarkEnd w:id="232"/>
          </w:p>
          <w:p w:rsidR="00B75E40" w:rsidRDefault="00B75E40" w:rsidP="006054BB">
            <w:r>
              <w:t xml:space="preserve">Emissions from electricity generation between </w:t>
            </w:r>
            <w:r w:rsidR="006C667D">
              <w:t>2008</w:t>
            </w:r>
            <w:r>
              <w:t xml:space="preserve"> and </w:t>
            </w:r>
            <w:r w:rsidR="006C667D">
              <w:t>2011</w:t>
            </w:r>
            <w:r>
              <w:t xml:space="preserve"> have decreased by 5.5 Mt (2.7 per cent). There are two factors at work:</w:t>
            </w:r>
          </w:p>
          <w:p w:rsidR="00B75E40" w:rsidRDefault="00B75E40" w:rsidP="00B75E40">
            <w:pPr>
              <w:pStyle w:val="Dashedbullets"/>
              <w:ind w:left="720" w:hanging="360"/>
            </w:pPr>
            <w:r>
              <w:t>decline in the emissions intensity of electricity generation, which fell by 6.3 per cent over the period; and</w:t>
            </w:r>
          </w:p>
          <w:p w:rsidR="00B75E40" w:rsidRDefault="00B75E40" w:rsidP="00B75E40">
            <w:pPr>
              <w:pStyle w:val="Dashedbullets"/>
              <w:ind w:left="720" w:hanging="360"/>
            </w:pPr>
            <w:r>
              <w:t>growth in electricity generation, which increased emissions by 3.8 per cent.</w:t>
            </w:r>
          </w:p>
          <w:p w:rsidR="00B75E40" w:rsidRDefault="00B75E40" w:rsidP="006054BB"/>
          <w:p w:rsidR="00B75E40" w:rsidRDefault="00B75E40" w:rsidP="006054BB">
            <w:r>
              <w:t xml:space="preserve">The 6.3 per cent decline in emissions intensity of electricity generation in this period can be decomposed into: </w:t>
            </w:r>
          </w:p>
          <w:p w:rsidR="00B75E40" w:rsidRDefault="00B75E40" w:rsidP="00B75E40">
            <w:pPr>
              <w:pStyle w:val="Dashedbullets"/>
              <w:ind w:left="720" w:hanging="360"/>
            </w:pPr>
            <w:r>
              <w:t>3.1 per cent from increased renewable generation;</w:t>
            </w:r>
          </w:p>
          <w:p w:rsidR="00B75E40" w:rsidRDefault="00B75E40" w:rsidP="00B75E40">
            <w:pPr>
              <w:pStyle w:val="Dashedbullets"/>
              <w:ind w:left="720" w:hanging="360"/>
            </w:pPr>
            <w:r>
              <w:t>2.1 per cent from an increased share of gas in the generation mix; and</w:t>
            </w:r>
          </w:p>
          <w:p w:rsidR="00B75E40" w:rsidRDefault="00B75E40" w:rsidP="00B75E40">
            <w:pPr>
              <w:pStyle w:val="Dashedbullets"/>
              <w:ind w:left="720" w:hanging="360"/>
            </w:pPr>
            <w:r>
              <w:t>1.1 per cent from other effects.</w:t>
            </w:r>
          </w:p>
          <w:p w:rsidR="00B75E40" w:rsidRDefault="00B75E40" w:rsidP="006054BB"/>
          <w:p w:rsidR="00B75E40" w:rsidRDefault="00B75E40" w:rsidP="006054BB">
            <w:r>
              <w:t xml:space="preserve">Within renewables, hydro contributes 58 per cent to a reduction in emissions intensity, almost twice as much as wind with 33 per cent, and almost seven times as much as solar PV with 9 per cent. The reduction in emissions intensity achieved by increased wind generation is almost offset by a decrease in biogas, bagasse and wood generation. Wind and solar PV, </w:t>
            </w:r>
            <w:r w:rsidR="008256B2">
              <w:t xml:space="preserve">representing </w:t>
            </w:r>
            <w:r>
              <w:t xml:space="preserve">42 per cent of the </w:t>
            </w:r>
            <w:r w:rsidR="008256B2">
              <w:t>total contribution of renewables to decreases in the electricity generation emissions intensity,</w:t>
            </w:r>
            <w:r>
              <w:t xml:space="preserve"> are driven by policy whereas hydro, </w:t>
            </w:r>
            <w:r w:rsidR="008256B2">
              <w:t xml:space="preserve">the remaining </w:t>
            </w:r>
            <w:r>
              <w:t>58 per cent, is driven by changes in rainfall and only for new projects, particularly small scale hydro, by policy.</w:t>
            </w:r>
          </w:p>
          <w:p w:rsidR="00B75E40" w:rsidRDefault="00B75E40" w:rsidP="006054BB"/>
          <w:p w:rsidR="00B75E40" w:rsidRDefault="00B75E40" w:rsidP="006054BB">
            <w:pPr>
              <w:rPr>
                <w:b/>
              </w:rPr>
            </w:pPr>
            <w:r>
              <w:t xml:space="preserve">Within fossil fuels, the 2.1 per cent decrease in emissions intensity is </w:t>
            </w:r>
            <w:r w:rsidR="008F5E8F">
              <w:t xml:space="preserve">likely to be </w:t>
            </w:r>
            <w:r>
              <w:t xml:space="preserve">due to an increased share of gas in the generation mix, which was in part driven by the Queensland Gas Scheme and the New South Wales Greenhouse Gas </w:t>
            </w:r>
            <w:r w:rsidR="009D0A1F">
              <w:t xml:space="preserve">Reduction </w:t>
            </w:r>
            <w:r>
              <w:t xml:space="preserve">Scheme. </w:t>
            </w:r>
          </w:p>
          <w:p w:rsidR="00B75E40" w:rsidRPr="003721F3" w:rsidRDefault="00B75E40" w:rsidP="006054BB">
            <w:pPr>
              <w:pStyle w:val="Dashedbullets"/>
              <w:numPr>
                <w:ilvl w:val="0"/>
                <w:numId w:val="0"/>
              </w:numPr>
            </w:pPr>
          </w:p>
        </w:tc>
      </w:tr>
    </w:tbl>
    <w:p w:rsidR="00DB3670" w:rsidRPr="00AC341A" w:rsidRDefault="004570BF" w:rsidP="00DB3670">
      <w:pPr>
        <w:pStyle w:val="Heading1"/>
      </w:pPr>
      <w:bookmarkStart w:id="233" w:name="_Ref366251335"/>
      <w:bookmarkStart w:id="234" w:name="Section4"/>
      <w:bookmarkStart w:id="235" w:name="_Toc369890504"/>
      <w:bookmarkEnd w:id="150"/>
      <w:r>
        <w:lastRenderedPageBreak/>
        <w:t>Economy-wide emissions</w:t>
      </w:r>
      <w:bookmarkEnd w:id="233"/>
      <w:bookmarkEnd w:id="235"/>
    </w:p>
    <w:p w:rsidR="00DB3670" w:rsidRPr="00EF51BF" w:rsidRDefault="00EE0011" w:rsidP="00DB3670">
      <w:pPr>
        <w:pStyle w:val="Sectionsubheading"/>
      </w:pPr>
      <w:r>
        <w:t>Explaining the decline in economy-wide emissions since 2008</w:t>
      </w:r>
    </w:p>
    <w:p w:rsidR="00DB3670" w:rsidRDefault="0002418D" w:rsidP="00DB3670">
      <w:pPr>
        <w:pStyle w:val="Sectioncontents"/>
      </w:pPr>
      <w:r>
        <w:t>Section c</w:t>
      </w:r>
      <w:r w:rsidR="00DB3670"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DB3670" w:rsidRPr="00EF51BF">
        <w:rPr>
          <w:noProof w:val="0"/>
        </w:rPr>
        <w:instrText xml:space="preserve"> TOC \u \t "Heading </w:instrText>
      </w:r>
      <w:r w:rsidR="00DB3670">
        <w:rPr>
          <w:noProof w:val="0"/>
        </w:rPr>
        <w:instrText>2</w:instrText>
      </w:r>
      <w:r w:rsidR="00DB3670" w:rsidRPr="00EF51BF">
        <w:rPr>
          <w:noProof w:val="0"/>
        </w:rPr>
        <w:instrText>,</w:instrText>
      </w:r>
      <w:r w:rsidR="00DB3670">
        <w:rPr>
          <w:noProof w:val="0"/>
        </w:rPr>
        <w:instrText>1</w:instrText>
      </w:r>
      <w:r w:rsidR="00DB3670" w:rsidRPr="00EF51BF">
        <w:rPr>
          <w:noProof w:val="0"/>
        </w:rPr>
        <w:instrText xml:space="preserve">" </w:instrText>
      </w:r>
      <w:r w:rsidR="00DB3670">
        <w:rPr>
          <w:noProof w:val="0"/>
        </w:rPr>
        <w:instrText>\b "Section</w:instrText>
      </w:r>
      <w:r w:rsidR="00806806">
        <w:rPr>
          <w:noProof w:val="0"/>
        </w:rPr>
        <w:instrText>4</w:instrText>
      </w:r>
      <w:r w:rsidR="00DB3670">
        <w:rPr>
          <w:noProof w:val="0"/>
        </w:rPr>
        <w:instrText>"</w:instrText>
      </w:r>
      <w:r w:rsidR="00DB3670" w:rsidRPr="00EF51BF">
        <w:rPr>
          <w:noProof w:val="0"/>
        </w:rPr>
        <w:instrText xml:space="preserve"> </w:instrText>
      </w:r>
      <w:r w:rsidRPr="00EF51BF">
        <w:rPr>
          <w:noProof w:val="0"/>
        </w:rPr>
        <w:fldChar w:fldCharType="separate"/>
      </w:r>
      <w:r w:rsidR="00BB4088">
        <w:t>4.1</w:t>
      </w:r>
      <w:r w:rsidR="00BB4088">
        <w:rPr>
          <w:rFonts w:asciiTheme="minorHAnsi" w:eastAsiaTheme="minorEastAsia" w:hAnsiTheme="minorHAnsi" w:cstheme="minorBidi"/>
          <w:color w:val="auto"/>
          <w:lang w:eastAsia="en-GB"/>
        </w:rPr>
        <w:tab/>
      </w:r>
      <w:r w:rsidR="00BB4088">
        <w:t>Emissions</w:t>
      </w:r>
      <w:r w:rsidR="00BB4088">
        <w:tab/>
      </w:r>
      <w:r w:rsidR="00BB4088">
        <w:fldChar w:fldCharType="begin"/>
      </w:r>
      <w:r w:rsidR="00BB4088">
        <w:instrText xml:space="preserve"> PAGEREF _Toc369890616 \h </w:instrText>
      </w:r>
      <w:r w:rsidR="00BB4088">
        <w:fldChar w:fldCharType="separate"/>
      </w:r>
      <w:r w:rsidR="00197E14">
        <w:t>88</w:t>
      </w:r>
      <w:r w:rsidR="00BB4088">
        <w:fldChar w:fldCharType="end"/>
      </w:r>
    </w:p>
    <w:p w:rsidR="00BB4088" w:rsidRDefault="00BB4088">
      <w:pPr>
        <w:pStyle w:val="TOC1"/>
        <w:rPr>
          <w:rFonts w:asciiTheme="minorHAnsi" w:eastAsiaTheme="minorEastAsia" w:hAnsiTheme="minorHAnsi" w:cstheme="minorBidi"/>
          <w:color w:val="auto"/>
          <w:lang w:eastAsia="en-GB"/>
        </w:rPr>
      </w:pPr>
      <w:r>
        <w:t>4.2</w:t>
      </w:r>
      <w:r>
        <w:rPr>
          <w:rFonts w:asciiTheme="minorHAnsi" w:eastAsiaTheme="minorEastAsia" w:hAnsiTheme="minorHAnsi" w:cstheme="minorBidi"/>
          <w:color w:val="auto"/>
          <w:lang w:eastAsia="en-GB"/>
        </w:rPr>
        <w:tab/>
      </w:r>
      <w:r>
        <w:t>Emissions by sector</w:t>
      </w:r>
      <w:r>
        <w:tab/>
      </w:r>
      <w:r>
        <w:fldChar w:fldCharType="begin"/>
      </w:r>
      <w:r>
        <w:instrText xml:space="preserve"> PAGEREF _Toc369890617 \h </w:instrText>
      </w:r>
      <w:r>
        <w:fldChar w:fldCharType="separate"/>
      </w:r>
      <w:r w:rsidR="00197E14">
        <w:t>90</w:t>
      </w:r>
      <w:r>
        <w:fldChar w:fldCharType="end"/>
      </w:r>
    </w:p>
    <w:p w:rsidR="00BB4088" w:rsidRDefault="00BB4088">
      <w:pPr>
        <w:pStyle w:val="TOC1"/>
        <w:rPr>
          <w:rFonts w:asciiTheme="minorHAnsi" w:eastAsiaTheme="minorEastAsia" w:hAnsiTheme="minorHAnsi" w:cstheme="minorBidi"/>
          <w:color w:val="auto"/>
          <w:lang w:eastAsia="en-GB"/>
        </w:rPr>
      </w:pPr>
      <w:r>
        <w:t>4.3</w:t>
      </w:r>
      <w:r>
        <w:rPr>
          <w:rFonts w:asciiTheme="minorHAnsi" w:eastAsiaTheme="minorEastAsia" w:hAnsiTheme="minorHAnsi" w:cstheme="minorBidi"/>
          <w:color w:val="auto"/>
          <w:lang w:eastAsia="en-GB"/>
        </w:rPr>
        <w:tab/>
      </w:r>
      <w:r>
        <w:t>Emissions intensity</w:t>
      </w:r>
      <w:r>
        <w:tab/>
      </w:r>
      <w:r>
        <w:fldChar w:fldCharType="begin"/>
      </w:r>
      <w:r>
        <w:instrText xml:space="preserve"> PAGEREF _Toc369890618 \h </w:instrText>
      </w:r>
      <w:r>
        <w:fldChar w:fldCharType="separate"/>
      </w:r>
      <w:r w:rsidR="00197E14">
        <w:t>94</w:t>
      </w:r>
      <w:r>
        <w:fldChar w:fldCharType="end"/>
      </w:r>
    </w:p>
    <w:p w:rsidR="00BB4088" w:rsidRDefault="00BB4088">
      <w:pPr>
        <w:pStyle w:val="TOC1"/>
        <w:rPr>
          <w:rFonts w:asciiTheme="minorHAnsi" w:eastAsiaTheme="minorEastAsia" w:hAnsiTheme="minorHAnsi" w:cstheme="minorBidi"/>
          <w:color w:val="auto"/>
          <w:lang w:eastAsia="en-GB"/>
        </w:rPr>
      </w:pPr>
      <w:r>
        <w:t>4.4</w:t>
      </w:r>
      <w:r>
        <w:rPr>
          <w:rFonts w:asciiTheme="minorHAnsi" w:eastAsiaTheme="minorEastAsia" w:hAnsiTheme="minorHAnsi" w:cstheme="minorBidi"/>
          <w:color w:val="auto"/>
          <w:lang w:eastAsia="en-GB"/>
        </w:rPr>
        <w:tab/>
      </w:r>
      <w:r>
        <w:t>Decomposition of economy-wide emissions</w:t>
      </w:r>
      <w:r>
        <w:tab/>
      </w:r>
      <w:r>
        <w:fldChar w:fldCharType="begin"/>
      </w:r>
      <w:r>
        <w:instrText xml:space="preserve"> PAGEREF _Toc369890619 \h </w:instrText>
      </w:r>
      <w:r>
        <w:fldChar w:fldCharType="separate"/>
      </w:r>
      <w:r w:rsidR="00197E14">
        <w:t>97</w:t>
      </w:r>
      <w:r>
        <w:fldChar w:fldCharType="end"/>
      </w:r>
    </w:p>
    <w:p w:rsidR="00BB4088" w:rsidRDefault="00BB4088">
      <w:pPr>
        <w:pStyle w:val="TOC1"/>
        <w:rPr>
          <w:rFonts w:asciiTheme="minorHAnsi" w:eastAsiaTheme="minorEastAsia" w:hAnsiTheme="minorHAnsi" w:cstheme="minorBidi"/>
          <w:color w:val="auto"/>
          <w:lang w:eastAsia="en-GB"/>
        </w:rPr>
      </w:pPr>
      <w:r>
        <w:t>4.5</w:t>
      </w:r>
      <w:r>
        <w:rPr>
          <w:rFonts w:asciiTheme="minorHAnsi" w:eastAsiaTheme="minorEastAsia" w:hAnsiTheme="minorHAnsi" w:cstheme="minorBidi"/>
          <w:color w:val="auto"/>
          <w:lang w:eastAsia="en-GB"/>
        </w:rPr>
        <w:tab/>
      </w:r>
      <w:r>
        <w:t>Summary of results</w:t>
      </w:r>
      <w:r>
        <w:tab/>
      </w:r>
      <w:r>
        <w:fldChar w:fldCharType="begin"/>
      </w:r>
      <w:r>
        <w:instrText xml:space="preserve"> PAGEREF _Toc369890620 \h </w:instrText>
      </w:r>
      <w:r>
        <w:fldChar w:fldCharType="separate"/>
      </w:r>
      <w:r w:rsidR="00197E14">
        <w:t>112</w:t>
      </w:r>
      <w:r>
        <w:fldChar w:fldCharType="end"/>
      </w:r>
    </w:p>
    <w:p w:rsidR="00DB3670" w:rsidRPr="00EF51BF" w:rsidRDefault="005A66AE" w:rsidP="00DB3670">
      <w:pPr>
        <w:pStyle w:val="Sectionintroheading"/>
      </w:pPr>
      <w:r w:rsidRPr="00EF51BF">
        <w:rPr>
          <w:rFonts w:cs="Arial"/>
        </w:rPr>
        <w:fldChar w:fldCharType="end"/>
      </w:r>
      <w:r w:rsidR="008A2AA8">
        <w:t>Economy-wide</w:t>
      </w:r>
      <w:r w:rsidR="006A4E48">
        <w:t xml:space="preserve"> emissions including LULUCF fell rapidly between </w:t>
      </w:r>
      <w:r w:rsidR="006C667D">
        <w:t>2008</w:t>
      </w:r>
      <w:r w:rsidR="006A4E48">
        <w:t xml:space="preserve"> and </w:t>
      </w:r>
      <w:r w:rsidR="006C667D">
        <w:t>2011</w:t>
      </w:r>
    </w:p>
    <w:p w:rsidR="00103D38" w:rsidRDefault="00103D38" w:rsidP="00AC1077">
      <w:pPr>
        <w:pStyle w:val="Indentedtext425cm"/>
      </w:pPr>
    </w:p>
    <w:p w:rsidR="00AC1077" w:rsidRDefault="0083542A" w:rsidP="00AC1077">
      <w:pPr>
        <w:pStyle w:val="Indentedtext425cm"/>
      </w:pPr>
      <w:r>
        <w:t xml:space="preserve">Although </w:t>
      </w:r>
      <w:r w:rsidR="008A2AA8">
        <w:t>economy-wide</w:t>
      </w:r>
      <w:r>
        <w:t xml:space="preserve"> emissions</w:t>
      </w:r>
      <w:r w:rsidR="00A50123">
        <w:t xml:space="preserve"> as measured by</w:t>
      </w:r>
      <w:r>
        <w:t xml:space="preserve"> </w:t>
      </w:r>
      <w:r w:rsidR="00A50123">
        <w:t xml:space="preserve">the Kyoto Protocol accounting framework </w:t>
      </w:r>
      <w:r>
        <w:t xml:space="preserve">did not fall between </w:t>
      </w:r>
      <w:r w:rsidR="005B06D4">
        <w:t>1990</w:t>
      </w:r>
      <w:r>
        <w:t xml:space="preserve"> and </w:t>
      </w:r>
      <w:r w:rsidR="006C667D">
        <w:t>2011</w:t>
      </w:r>
      <w:r>
        <w:t xml:space="preserve">, </w:t>
      </w:r>
      <w:r w:rsidR="006A4E48">
        <w:t>emissions intensity decline</w:t>
      </w:r>
      <w:r>
        <w:t>d</w:t>
      </w:r>
      <w:r w:rsidR="006A4E48">
        <w:t xml:space="preserve"> between </w:t>
      </w:r>
      <w:r w:rsidR="006C667D">
        <w:t>2000</w:t>
      </w:r>
      <w:r w:rsidR="006A4E48">
        <w:t xml:space="preserve"> and </w:t>
      </w:r>
      <w:r w:rsidR="006C667D">
        <w:t>2011</w:t>
      </w:r>
      <w:r w:rsidR="006A4E48">
        <w:t xml:space="preserve"> as the economy r</w:t>
      </w:r>
      <w:r w:rsidR="00265722">
        <w:t>estructured away from emissions-</w:t>
      </w:r>
      <w:r w:rsidR="00D0497A">
        <w:t>intensive</w:t>
      </w:r>
      <w:r w:rsidR="006A4E48">
        <w:t xml:space="preserve"> subsectors in manufacturing and mining towards less emissions subsectors</w:t>
      </w:r>
      <w:r>
        <w:t>, particularly</w:t>
      </w:r>
      <w:r w:rsidR="006A4E48">
        <w:t xml:space="preserve"> commercial and services.</w:t>
      </w:r>
    </w:p>
    <w:p w:rsidR="006A4E48" w:rsidRDefault="006A4E48" w:rsidP="00AC1077">
      <w:pPr>
        <w:pStyle w:val="Indentedtext425cm"/>
      </w:pPr>
    </w:p>
    <w:p w:rsidR="00DB3670" w:rsidRPr="00EF51BF" w:rsidRDefault="00DB3670" w:rsidP="00DB3670">
      <w:pPr>
        <w:pStyle w:val="Quote"/>
        <w:ind w:left="2410"/>
      </w:pPr>
      <w:r w:rsidRPr="00EF51BF">
        <w:t>‘</w:t>
      </w:r>
      <w:r w:rsidR="00E23352">
        <w:t xml:space="preserve">Emissions in </w:t>
      </w:r>
      <w:r w:rsidR="006C667D">
        <w:t>2011</w:t>
      </w:r>
      <w:r w:rsidR="00E23352">
        <w:t xml:space="preserve"> are </w:t>
      </w:r>
      <w:r w:rsidR="008C2547">
        <w:t xml:space="preserve">virtually </w:t>
      </w:r>
      <w:r w:rsidR="00E23352">
        <w:t xml:space="preserve">on the same level as in </w:t>
      </w:r>
      <w:r w:rsidR="005B06D4">
        <w:t>1990</w:t>
      </w:r>
      <w:r w:rsidRPr="00EF51BF">
        <w:t>.’</w:t>
      </w:r>
    </w:p>
    <w:p w:rsidR="00DB3670" w:rsidRDefault="00DB3670" w:rsidP="00DB3670">
      <w:pPr>
        <w:spacing w:after="200" w:line="276" w:lineRule="auto"/>
      </w:pPr>
      <w:r w:rsidRPr="00EF51BF">
        <w:br w:type="page"/>
      </w:r>
    </w:p>
    <w:p w:rsidR="0065430B" w:rsidRDefault="0065430B" w:rsidP="0065430B">
      <w:pPr>
        <w:pStyle w:val="Heading2"/>
      </w:pPr>
      <w:bookmarkStart w:id="236" w:name="_Toc369890616"/>
      <w:r>
        <w:lastRenderedPageBreak/>
        <w:t>Emissions</w:t>
      </w:r>
      <w:bookmarkEnd w:id="236"/>
    </w:p>
    <w:p w:rsidR="00FB07C9" w:rsidRDefault="00FB07C9" w:rsidP="00FB07C9">
      <w:r>
        <w:t>Economy-wide emissions based on the Kyoto Protocol accounting framework are used in this analysis instead of using the United Nations Framework Convention on Climate Change (UNFCCC)</w:t>
      </w:r>
      <w:r w:rsidR="00A329E7">
        <w:t xml:space="preserve"> framework</w:t>
      </w:r>
      <w:r>
        <w:t xml:space="preserve"> as the Kyoto Protocol accounting framework missions allow for a sectoral split according to ANZSIC sector definitions, which </w:t>
      </w:r>
      <w:r w:rsidR="00A329E7">
        <w:t xml:space="preserve">emissions according to </w:t>
      </w:r>
      <w:r>
        <w:t xml:space="preserve">UNFCCC </w:t>
      </w:r>
      <w:r w:rsidR="00A329E7">
        <w:t xml:space="preserve">framework </w:t>
      </w:r>
      <w:r>
        <w:t>do not.</w:t>
      </w:r>
    </w:p>
    <w:p w:rsidR="00FB07C9" w:rsidRDefault="00FB07C9" w:rsidP="00FB07C9"/>
    <w:p w:rsidR="0065430B" w:rsidRDefault="0065430B" w:rsidP="0065430B">
      <w:r w:rsidRPr="004A642D">
        <w:t>Overall emissions</w:t>
      </w:r>
      <w:r w:rsidR="001E3DF0">
        <w:t xml:space="preserve"> measured according to the Kyoto Protocol accounting framework</w:t>
      </w:r>
      <w:r w:rsidRPr="004A642D">
        <w:t xml:space="preserve"> </w:t>
      </w:r>
      <w:r>
        <w:t xml:space="preserve">including </w:t>
      </w:r>
      <w:r w:rsidRPr="004A642D">
        <w:t>land use, land-use change and forestry</w:t>
      </w:r>
      <w:r>
        <w:t xml:space="preserve"> </w:t>
      </w:r>
      <w:r w:rsidRPr="004A642D">
        <w:t xml:space="preserve">(LULUCF)  </w:t>
      </w:r>
      <w:r>
        <w:t xml:space="preserve">rose by 4.7 per cent, </w:t>
      </w:r>
      <w:r w:rsidRPr="004A642D">
        <w:t>0.</w:t>
      </w:r>
      <w:r w:rsidR="0083542A">
        <w:t>3</w:t>
      </w:r>
      <w:r w:rsidRPr="004A642D">
        <w:t xml:space="preserve"> per cent per year</w:t>
      </w:r>
      <w:r>
        <w:t>,</w:t>
      </w:r>
      <w:r w:rsidRPr="004A642D">
        <w:t xml:space="preserve"> between </w:t>
      </w:r>
      <w:r w:rsidR="005B06D4">
        <w:t>1990</w:t>
      </w:r>
      <w:r w:rsidRPr="004A642D">
        <w:t xml:space="preserve"> and </w:t>
      </w:r>
      <w:r w:rsidR="006C667D">
        <w:t>2008</w:t>
      </w:r>
      <w:r>
        <w:t>,</w:t>
      </w:r>
      <w:r w:rsidRPr="004A642D">
        <w:t xml:space="preserve"> </w:t>
      </w:r>
      <w:r>
        <w:t>then declined</w:t>
      </w:r>
      <w:r w:rsidRPr="004A642D">
        <w:t xml:space="preserve"> from </w:t>
      </w:r>
      <w:r>
        <w:t xml:space="preserve">a </w:t>
      </w:r>
      <w:r w:rsidRPr="004A642D">
        <w:t xml:space="preserve">peak in </w:t>
      </w:r>
      <w:r w:rsidR="006C667D">
        <w:t>2008</w:t>
      </w:r>
      <w:r w:rsidR="0083542A">
        <w:t xml:space="preserve"> by 3.7</w:t>
      </w:r>
      <w:r>
        <w:t xml:space="preserve"> per cent, </w:t>
      </w:r>
      <w:r w:rsidR="0083542A">
        <w:t>1.2</w:t>
      </w:r>
      <w:r w:rsidRPr="004A642D">
        <w:t xml:space="preserve"> per cent per year</w:t>
      </w:r>
      <w:r>
        <w:t xml:space="preserve">, </w:t>
      </w:r>
      <w:r w:rsidRPr="004A642D">
        <w:t xml:space="preserve">as shown in </w:t>
      </w:r>
      <w:r w:rsidR="005A66AE">
        <w:fldChar w:fldCharType="begin"/>
      </w:r>
      <w:r w:rsidR="0073678F">
        <w:instrText xml:space="preserve"> REF _Ref366270867 \r \h </w:instrText>
      </w:r>
      <w:r w:rsidR="005A66AE">
        <w:fldChar w:fldCharType="separate"/>
      </w:r>
      <w:r w:rsidR="00197E14">
        <w:t>Figure 43</w:t>
      </w:r>
      <w:r w:rsidR="005A66AE">
        <w:fldChar w:fldCharType="end"/>
      </w:r>
      <w:r w:rsidRPr="004A642D">
        <w:t>.</w:t>
      </w:r>
    </w:p>
    <w:p w:rsidR="0065430B" w:rsidRPr="000D25DC" w:rsidRDefault="0065430B" w:rsidP="0065430B">
      <w:pPr>
        <w:pStyle w:val="Charttitle"/>
      </w:pPr>
      <w:bookmarkStart w:id="237" w:name="_Toc365818480"/>
      <w:bookmarkStart w:id="238" w:name="_Ref365883237"/>
      <w:bookmarkStart w:id="239" w:name="_Toc366269864"/>
      <w:bookmarkStart w:id="240" w:name="_Ref366270867"/>
      <w:bookmarkStart w:id="241" w:name="_Toc369890583"/>
      <w:r>
        <w:t xml:space="preserve">Emissions excluding LULUCF have risen since </w:t>
      </w:r>
      <w:r w:rsidR="005B06D4">
        <w:t>1990</w:t>
      </w:r>
      <w:r>
        <w:t xml:space="preserve"> and stabilised after </w:t>
      </w:r>
      <w:r w:rsidR="006C667D">
        <w:t>2008</w:t>
      </w:r>
      <w:bookmarkEnd w:id="237"/>
      <w:bookmarkEnd w:id="238"/>
      <w:bookmarkEnd w:id="239"/>
      <w:bookmarkEnd w:id="240"/>
      <w:bookmarkEnd w:id="241"/>
    </w:p>
    <w:p w:rsidR="0065430B" w:rsidRPr="00430244" w:rsidRDefault="00EC6A37" w:rsidP="0065430B">
      <w:pPr>
        <w:pStyle w:val="Chartspacer"/>
        <w:rPr>
          <w:rStyle w:val="PlaceholderText"/>
        </w:rPr>
      </w:pPr>
      <w:r w:rsidRPr="00EC6A37">
        <w:rPr>
          <w:noProof/>
          <w:lang w:eastAsia="en-GB"/>
        </w:rPr>
        <w:drawing>
          <wp:inline distT="0" distB="0" distL="0" distR="0" wp14:anchorId="507FFAA5" wp14:editId="58BF7238">
            <wp:extent cx="6120765" cy="378715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787159"/>
                    </a:xfrm>
                    <a:prstGeom prst="rect">
                      <a:avLst/>
                    </a:prstGeom>
                    <a:noFill/>
                    <a:ln>
                      <a:noFill/>
                    </a:ln>
                  </pic:spPr>
                </pic:pic>
              </a:graphicData>
            </a:graphic>
          </wp:inline>
        </w:drawing>
      </w:r>
    </w:p>
    <w:p w:rsidR="0065430B" w:rsidRDefault="0065430B" w:rsidP="0065430B">
      <w:pPr>
        <w:pStyle w:val="Note"/>
      </w:pPr>
      <w:r>
        <w:t>Note:</w:t>
      </w:r>
      <w:r>
        <w:tab/>
        <w:t>Land use, land-use change and forestry (LULUCF) emissions are available</w:t>
      </w:r>
      <w:r w:rsidR="00265722">
        <w:t xml:space="preserve"> only</w:t>
      </w:r>
      <w:r>
        <w:t xml:space="preserve"> in </w:t>
      </w:r>
      <w:r w:rsidR="005B06D4">
        <w:t>1990</w:t>
      </w:r>
      <w:r>
        <w:t xml:space="preserve"> and from </w:t>
      </w:r>
      <w:r w:rsidR="006C667D">
        <w:t>2008</w:t>
      </w:r>
      <w:r>
        <w:t>.</w:t>
      </w:r>
    </w:p>
    <w:p w:rsidR="0065430B" w:rsidRPr="005A132E" w:rsidRDefault="0065430B" w:rsidP="0065430B">
      <w:pPr>
        <w:pStyle w:val="Source"/>
      </w:pPr>
      <w:r w:rsidRPr="005A132E">
        <w:t>Source:</w:t>
      </w:r>
      <w:r>
        <w:tab/>
        <w:t>Vivid Economics based on AGEIS (2013)</w:t>
      </w:r>
    </w:p>
    <w:p w:rsidR="0065430B" w:rsidRPr="004A642D" w:rsidRDefault="0065430B" w:rsidP="0065430B">
      <w:r w:rsidRPr="004A642D">
        <w:t>Dec</w:t>
      </w:r>
      <w:r w:rsidR="0083542A">
        <w:t>lining emissions from LULUCF is</w:t>
      </w:r>
      <w:r w:rsidRPr="004A642D">
        <w:t xml:space="preserve"> the main reason for the emissions reductions </w:t>
      </w:r>
      <w:r>
        <w:t>of 21,</w:t>
      </w:r>
      <w:r w:rsidR="0083542A">
        <w:t>400</w:t>
      </w:r>
      <w:r>
        <w:t xml:space="preserve"> MtCO</w:t>
      </w:r>
      <w:r w:rsidRPr="00A30A32">
        <w:rPr>
          <w:vertAlign w:val="subscript"/>
        </w:rPr>
        <w:t>2</w:t>
      </w:r>
      <w:r w:rsidR="0083542A">
        <w:t>e or 3.7 </w:t>
      </w:r>
      <w:r>
        <w:t xml:space="preserve">per cent </w:t>
      </w:r>
      <w:r w:rsidRPr="004A642D">
        <w:t xml:space="preserve">between </w:t>
      </w:r>
      <w:r w:rsidR="006C667D">
        <w:t>2008</w:t>
      </w:r>
      <w:r w:rsidRPr="004A642D">
        <w:t xml:space="preserve"> and </w:t>
      </w:r>
      <w:r w:rsidR="006C667D">
        <w:t>2011</w:t>
      </w:r>
      <w:r w:rsidRPr="004A642D">
        <w:t>. Within LULUCF, a decline in deforestation and increase</w:t>
      </w:r>
      <w:r>
        <w:t>s</w:t>
      </w:r>
      <w:r w:rsidRPr="004A642D">
        <w:t xml:space="preserve"> in afforestation and reforestation are the reasons for declining LULUCF emissions. </w:t>
      </w:r>
      <w:r>
        <w:t>D</w:t>
      </w:r>
      <w:r w:rsidRPr="004A642D">
        <w:t>eforestation</w:t>
      </w:r>
      <w:r>
        <w:t xml:space="preserve"> fell</w:t>
      </w:r>
      <w:r w:rsidRPr="004A642D">
        <w:t>, particularly in Queensland</w:t>
      </w:r>
      <w:r>
        <w:t xml:space="preserve"> and Tasmania</w:t>
      </w:r>
      <w:r w:rsidR="0083542A">
        <w:t>.</w:t>
      </w:r>
    </w:p>
    <w:p w:rsidR="0065430B" w:rsidRPr="004A642D" w:rsidRDefault="0065430B" w:rsidP="0065430B"/>
    <w:p w:rsidR="0065430B" w:rsidRPr="004A642D" w:rsidRDefault="0065430B" w:rsidP="0065430B">
      <w:r w:rsidRPr="004A642D">
        <w:t xml:space="preserve">Excluding LULUCF, emissions </w:t>
      </w:r>
      <w:r>
        <w:t xml:space="preserve">rose </w:t>
      </w:r>
      <w:r w:rsidRPr="00322D9A">
        <w:t>by 32</w:t>
      </w:r>
      <w:r>
        <w:t xml:space="preserve"> per cent, </w:t>
      </w:r>
      <w:r w:rsidRPr="004A642D">
        <w:t>1.</w:t>
      </w:r>
      <w:r>
        <w:t>3</w:t>
      </w:r>
      <w:r w:rsidRPr="004A642D">
        <w:t xml:space="preserve"> per cent per year</w:t>
      </w:r>
      <w:r>
        <w:t>,</w:t>
      </w:r>
      <w:r w:rsidRPr="004A642D">
        <w:t xml:space="preserve"> between </w:t>
      </w:r>
      <w:r w:rsidR="005B06D4">
        <w:t>1990</w:t>
      </w:r>
      <w:r w:rsidRPr="004A642D">
        <w:t xml:space="preserve"> and </w:t>
      </w:r>
      <w:r w:rsidR="006C667D">
        <w:t>2011</w:t>
      </w:r>
      <w:r w:rsidRPr="004A642D">
        <w:t>, far quicker than overall emissions</w:t>
      </w:r>
      <w:r>
        <w:t>,</w:t>
      </w:r>
      <w:r w:rsidRPr="004A642D">
        <w:t xml:space="preserve"> as shown in </w:t>
      </w:r>
      <w:r w:rsidR="005A66AE">
        <w:fldChar w:fldCharType="begin"/>
      </w:r>
      <w:r w:rsidR="0073678F">
        <w:instrText xml:space="preserve"> REF _Ref366270868 \r \h </w:instrText>
      </w:r>
      <w:r w:rsidR="005A66AE">
        <w:fldChar w:fldCharType="separate"/>
      </w:r>
      <w:r w:rsidR="00197E14">
        <w:t>Table 18</w:t>
      </w:r>
      <w:r w:rsidR="005A66AE">
        <w:fldChar w:fldCharType="end"/>
      </w:r>
      <w:r>
        <w:t xml:space="preserve"> and </w:t>
      </w:r>
      <w:r w:rsidR="005A66AE">
        <w:fldChar w:fldCharType="begin"/>
      </w:r>
      <w:r>
        <w:instrText xml:space="preserve"> REF _Ref365883237 \r \h </w:instrText>
      </w:r>
      <w:r w:rsidR="005A66AE">
        <w:fldChar w:fldCharType="separate"/>
      </w:r>
      <w:r w:rsidR="00197E14">
        <w:t>Figure 43</w:t>
      </w:r>
      <w:r w:rsidR="005A66AE">
        <w:fldChar w:fldCharType="end"/>
      </w:r>
      <w:r w:rsidRPr="004A642D">
        <w:t xml:space="preserve">. </w:t>
      </w:r>
      <w:r>
        <w:t>T</w:t>
      </w:r>
      <w:r w:rsidRPr="004A642D">
        <w:t xml:space="preserve">he growth rate in emissions excluding </w:t>
      </w:r>
      <w:r w:rsidRPr="004A642D">
        <w:lastRenderedPageBreak/>
        <w:t xml:space="preserve">LULUCF declined to 0.1 per cent per year between </w:t>
      </w:r>
      <w:r w:rsidR="006C667D">
        <w:t>2008</w:t>
      </w:r>
      <w:r w:rsidRPr="004A642D">
        <w:t xml:space="preserve"> and </w:t>
      </w:r>
      <w:r w:rsidR="006C667D">
        <w:t>2011</w:t>
      </w:r>
      <w:r w:rsidRPr="004A642D">
        <w:t xml:space="preserve"> and the absolute rise in emissions </w:t>
      </w:r>
      <w:r>
        <w:t xml:space="preserve">excluding LULUCF </w:t>
      </w:r>
      <w:r w:rsidRPr="004A642D">
        <w:t xml:space="preserve">between </w:t>
      </w:r>
      <w:r w:rsidR="006C667D">
        <w:t>2008</w:t>
      </w:r>
      <w:r w:rsidRPr="004A642D">
        <w:t xml:space="preserve"> and </w:t>
      </w:r>
      <w:r w:rsidR="006C667D">
        <w:t>2011</w:t>
      </w:r>
      <w:r w:rsidRPr="004A642D">
        <w:t xml:space="preserve"> </w:t>
      </w:r>
      <w:r>
        <w:t>wa</w:t>
      </w:r>
      <w:r w:rsidRPr="004A642D">
        <w:t>s only 0.35 per cent.</w:t>
      </w:r>
    </w:p>
    <w:p w:rsidR="0065430B" w:rsidRPr="00DE4EAF" w:rsidRDefault="0065430B" w:rsidP="00645813">
      <w:pPr>
        <w:pStyle w:val="Tabletitle"/>
      </w:pPr>
      <w:bookmarkStart w:id="242" w:name="_Toc365818474"/>
      <w:bookmarkStart w:id="243" w:name="_Ref366270289"/>
      <w:bookmarkStart w:id="244" w:name="_Ref366270868"/>
      <w:bookmarkStart w:id="245" w:name="_Toc369890527"/>
      <w:r>
        <w:t xml:space="preserve">The growth rate of economy-wide emissions excluding LULUCF slowed from </w:t>
      </w:r>
      <w:r w:rsidR="006C667D">
        <w:t>2008</w:t>
      </w:r>
      <w:bookmarkEnd w:id="242"/>
      <w:bookmarkEnd w:id="243"/>
      <w:bookmarkEnd w:id="244"/>
      <w:bookmarkEnd w:id="245"/>
    </w:p>
    <w:tbl>
      <w:tblPr>
        <w:tblStyle w:val="Vividtable"/>
        <w:tblW w:w="4931" w:type="pct"/>
        <w:tblLook w:val="04A0" w:firstRow="1" w:lastRow="0" w:firstColumn="1" w:lastColumn="0" w:noHBand="0" w:noVBand="1"/>
      </w:tblPr>
      <w:tblGrid>
        <w:gridCol w:w="2478"/>
        <w:gridCol w:w="2023"/>
        <w:gridCol w:w="1738"/>
        <w:gridCol w:w="1740"/>
        <w:gridCol w:w="1740"/>
      </w:tblGrid>
      <w:tr w:rsidR="0065430B" w:rsidRPr="00980041" w:rsidTr="00215A21">
        <w:trPr>
          <w:cnfStyle w:val="100000000000" w:firstRow="1" w:lastRow="0" w:firstColumn="0" w:lastColumn="0" w:oddVBand="0" w:evenVBand="0" w:oddHBand="0" w:evenHBand="0" w:firstRowFirstColumn="0" w:firstRowLastColumn="0" w:lastRowFirstColumn="0" w:lastRowLastColumn="0"/>
          <w:trHeight w:val="510"/>
        </w:trPr>
        <w:tc>
          <w:tcPr>
            <w:tcW w:w="1275" w:type="pct"/>
            <w:vMerge w:val="restart"/>
          </w:tcPr>
          <w:p w:rsidR="0065430B" w:rsidRPr="00FE3F74" w:rsidRDefault="0065430B" w:rsidP="006054BB">
            <w:pPr>
              <w:keepNext/>
              <w:rPr>
                <w:rStyle w:val="PlaceholderText"/>
                <w:rFonts w:ascii="Arial" w:hAnsi="Arial" w:cs="Arial"/>
                <w:szCs w:val="18"/>
              </w:rPr>
            </w:pPr>
            <w:r w:rsidRPr="00FE3F74">
              <w:rPr>
                <w:rStyle w:val="PlaceholderText"/>
                <w:rFonts w:ascii="Arial" w:hAnsi="Arial" w:cs="Arial"/>
                <w:szCs w:val="18"/>
              </w:rPr>
              <w:t>Economy</w:t>
            </w:r>
            <w:r>
              <w:rPr>
                <w:rStyle w:val="PlaceholderText"/>
                <w:rFonts w:ascii="Arial" w:hAnsi="Arial" w:cs="Arial"/>
                <w:szCs w:val="18"/>
              </w:rPr>
              <w:t>-</w:t>
            </w:r>
            <w:r w:rsidRPr="00FE3F74">
              <w:rPr>
                <w:rStyle w:val="PlaceholderText"/>
                <w:rFonts w:ascii="Arial" w:hAnsi="Arial" w:cs="Arial"/>
                <w:szCs w:val="18"/>
              </w:rPr>
              <w:t>wide emissions</w:t>
            </w:r>
          </w:p>
        </w:tc>
        <w:tc>
          <w:tcPr>
            <w:tcW w:w="1041" w:type="pct"/>
            <w:vMerge w:val="restart"/>
          </w:tcPr>
          <w:p w:rsidR="0065430B" w:rsidRPr="00FE3F74" w:rsidRDefault="0065430B" w:rsidP="006054BB">
            <w:pPr>
              <w:keepNext/>
              <w:rPr>
                <w:rStyle w:val="PlaceholderText"/>
                <w:rFonts w:ascii="Arial" w:hAnsi="Arial" w:cs="Arial"/>
                <w:szCs w:val="18"/>
              </w:rPr>
            </w:pPr>
            <w:r w:rsidRPr="00FE3F74">
              <w:rPr>
                <w:rStyle w:val="PlaceholderText"/>
                <w:rFonts w:ascii="Arial" w:hAnsi="Arial" w:cs="Arial"/>
                <w:szCs w:val="18"/>
              </w:rPr>
              <w:t>Unit</w:t>
            </w:r>
          </w:p>
        </w:tc>
        <w:tc>
          <w:tcPr>
            <w:tcW w:w="894" w:type="pct"/>
          </w:tcPr>
          <w:p w:rsidR="0065430B" w:rsidRPr="00B81711" w:rsidRDefault="0065430B" w:rsidP="006054BB">
            <w:pPr>
              <w:keepNext/>
              <w:jc w:val="center"/>
              <w:rPr>
                <w:rStyle w:val="PlaceholderText"/>
                <w:rFonts w:ascii="Arial" w:hAnsi="Arial" w:cs="Arial"/>
                <w:szCs w:val="18"/>
              </w:rPr>
            </w:pPr>
            <w:r w:rsidRPr="00B81711">
              <w:rPr>
                <w:rStyle w:val="PlaceholderText"/>
                <w:rFonts w:ascii="Arial" w:hAnsi="Arial" w:cs="Arial"/>
                <w:szCs w:val="18"/>
              </w:rPr>
              <w:t>First period</w:t>
            </w:r>
          </w:p>
        </w:tc>
        <w:tc>
          <w:tcPr>
            <w:tcW w:w="895" w:type="pct"/>
          </w:tcPr>
          <w:p w:rsidR="0065430B" w:rsidRPr="00B81711" w:rsidRDefault="0065430B" w:rsidP="006054BB">
            <w:pPr>
              <w:keepNext/>
              <w:jc w:val="center"/>
              <w:rPr>
                <w:rStyle w:val="PlaceholderText"/>
                <w:rFonts w:ascii="Arial" w:hAnsi="Arial" w:cs="Arial"/>
                <w:szCs w:val="18"/>
              </w:rPr>
            </w:pPr>
            <w:r w:rsidRPr="00B81711">
              <w:rPr>
                <w:rStyle w:val="PlaceholderText"/>
                <w:rFonts w:ascii="Arial" w:hAnsi="Arial" w:cs="Arial"/>
                <w:szCs w:val="18"/>
              </w:rPr>
              <w:t>Second period</w:t>
            </w:r>
          </w:p>
        </w:tc>
        <w:tc>
          <w:tcPr>
            <w:tcW w:w="895" w:type="pct"/>
          </w:tcPr>
          <w:p w:rsidR="0065430B" w:rsidRPr="00B81711" w:rsidRDefault="0065430B" w:rsidP="006054BB">
            <w:pPr>
              <w:keepNext/>
              <w:jc w:val="center"/>
              <w:rPr>
                <w:rStyle w:val="PlaceholderText"/>
                <w:rFonts w:ascii="Arial" w:hAnsi="Arial" w:cs="Arial"/>
                <w:szCs w:val="18"/>
              </w:rPr>
            </w:pPr>
            <w:r w:rsidRPr="00B81711">
              <w:rPr>
                <w:rStyle w:val="PlaceholderText"/>
                <w:rFonts w:ascii="Arial" w:hAnsi="Arial" w:cs="Arial"/>
                <w:szCs w:val="18"/>
              </w:rPr>
              <w:t>Whole period</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trHeight w:val="510"/>
        </w:trPr>
        <w:tc>
          <w:tcPr>
            <w:tcW w:w="1275" w:type="pct"/>
            <w:vMerge/>
            <w:tcBorders>
              <w:bottom w:val="single" w:sz="4" w:space="0" w:color="auto"/>
            </w:tcBorders>
          </w:tcPr>
          <w:p w:rsidR="0065430B" w:rsidRDefault="0065430B" w:rsidP="006054BB">
            <w:pPr>
              <w:keepNext/>
              <w:rPr>
                <w:rStyle w:val="PlaceholderText"/>
                <w:rFonts w:ascii="Arial" w:hAnsi="Arial" w:cs="Arial"/>
                <w:b/>
                <w:szCs w:val="18"/>
              </w:rPr>
            </w:pPr>
          </w:p>
        </w:tc>
        <w:tc>
          <w:tcPr>
            <w:tcW w:w="1041" w:type="pct"/>
            <w:vMerge/>
            <w:tcBorders>
              <w:bottom w:val="single" w:sz="4" w:space="0" w:color="auto"/>
            </w:tcBorders>
          </w:tcPr>
          <w:p w:rsidR="0065430B" w:rsidRDefault="0065430B" w:rsidP="006054BB">
            <w:pPr>
              <w:keepNext/>
              <w:jc w:val="center"/>
              <w:rPr>
                <w:rStyle w:val="PlaceholderText"/>
                <w:rFonts w:ascii="Arial" w:hAnsi="Arial" w:cs="Arial"/>
                <w:szCs w:val="18"/>
              </w:rPr>
            </w:pPr>
          </w:p>
        </w:tc>
        <w:tc>
          <w:tcPr>
            <w:tcW w:w="894" w:type="pct"/>
            <w:tcBorders>
              <w:bottom w:val="single" w:sz="4" w:space="0" w:color="auto"/>
            </w:tcBorders>
          </w:tcPr>
          <w:p w:rsidR="0065430B" w:rsidRDefault="006C667D" w:rsidP="006054BB">
            <w:pPr>
              <w:keepNext/>
              <w:jc w:val="center"/>
              <w:rPr>
                <w:rStyle w:val="PlaceholderText"/>
                <w:rFonts w:ascii="Arial" w:hAnsi="Arial" w:cs="Arial"/>
                <w:b/>
                <w:szCs w:val="18"/>
              </w:rPr>
            </w:pPr>
            <w:r>
              <w:rPr>
                <w:rStyle w:val="PlaceholderText"/>
                <w:rFonts w:ascii="Arial" w:hAnsi="Arial" w:cs="Arial"/>
                <w:b/>
                <w:szCs w:val="18"/>
              </w:rPr>
              <w:t>2000</w:t>
            </w:r>
            <w:r w:rsidR="0065430B">
              <w:rPr>
                <w:rStyle w:val="PlaceholderText"/>
                <w:rFonts w:ascii="Arial" w:hAnsi="Arial" w:cs="Arial"/>
                <w:b/>
                <w:szCs w:val="18"/>
              </w:rPr>
              <w:t xml:space="preserve"> to </w:t>
            </w:r>
          </w:p>
          <w:p w:rsidR="0065430B" w:rsidRPr="004328B0" w:rsidRDefault="006C667D" w:rsidP="006054BB">
            <w:pPr>
              <w:keepNext/>
              <w:jc w:val="center"/>
              <w:rPr>
                <w:rStyle w:val="PlaceholderText"/>
                <w:rFonts w:ascii="Arial" w:hAnsi="Arial" w:cs="Arial"/>
                <w:b/>
                <w:szCs w:val="18"/>
              </w:rPr>
            </w:pPr>
            <w:r>
              <w:rPr>
                <w:rStyle w:val="PlaceholderText"/>
                <w:rFonts w:ascii="Arial" w:hAnsi="Arial" w:cs="Arial"/>
                <w:b/>
                <w:szCs w:val="18"/>
              </w:rPr>
              <w:t>2008</w:t>
            </w:r>
          </w:p>
        </w:tc>
        <w:tc>
          <w:tcPr>
            <w:tcW w:w="895" w:type="pct"/>
            <w:tcBorders>
              <w:bottom w:val="single" w:sz="4" w:space="0" w:color="auto"/>
            </w:tcBorders>
          </w:tcPr>
          <w:p w:rsidR="0065430B" w:rsidRDefault="006C667D" w:rsidP="006054BB">
            <w:pPr>
              <w:keepNext/>
              <w:jc w:val="center"/>
              <w:rPr>
                <w:rStyle w:val="PlaceholderText"/>
                <w:rFonts w:ascii="Arial" w:hAnsi="Arial" w:cs="Arial"/>
                <w:b/>
                <w:szCs w:val="18"/>
              </w:rPr>
            </w:pPr>
            <w:r>
              <w:rPr>
                <w:rStyle w:val="PlaceholderText"/>
                <w:rFonts w:ascii="Arial" w:hAnsi="Arial" w:cs="Arial"/>
                <w:b/>
                <w:szCs w:val="18"/>
              </w:rPr>
              <w:t>2008</w:t>
            </w:r>
            <w:r w:rsidR="0065430B">
              <w:rPr>
                <w:rStyle w:val="PlaceholderText"/>
                <w:rFonts w:ascii="Arial" w:hAnsi="Arial" w:cs="Arial"/>
                <w:b/>
                <w:szCs w:val="18"/>
              </w:rPr>
              <w:t xml:space="preserve"> to </w:t>
            </w:r>
          </w:p>
          <w:p w:rsidR="0065430B" w:rsidRPr="004328B0" w:rsidRDefault="006C667D" w:rsidP="006054BB">
            <w:pPr>
              <w:keepNext/>
              <w:jc w:val="center"/>
              <w:rPr>
                <w:rStyle w:val="PlaceholderText"/>
                <w:rFonts w:ascii="Arial" w:hAnsi="Arial" w:cs="Arial"/>
                <w:b/>
                <w:szCs w:val="18"/>
              </w:rPr>
            </w:pPr>
            <w:r>
              <w:rPr>
                <w:rStyle w:val="PlaceholderText"/>
                <w:rFonts w:ascii="Arial" w:hAnsi="Arial" w:cs="Arial"/>
                <w:b/>
                <w:szCs w:val="18"/>
              </w:rPr>
              <w:t>2011</w:t>
            </w:r>
          </w:p>
        </w:tc>
        <w:tc>
          <w:tcPr>
            <w:tcW w:w="895" w:type="pct"/>
            <w:tcBorders>
              <w:bottom w:val="single" w:sz="4" w:space="0" w:color="auto"/>
            </w:tcBorders>
          </w:tcPr>
          <w:p w:rsidR="0065430B" w:rsidRDefault="006C667D" w:rsidP="006054BB">
            <w:pPr>
              <w:keepNext/>
              <w:jc w:val="center"/>
              <w:rPr>
                <w:rStyle w:val="PlaceholderText"/>
                <w:rFonts w:ascii="Arial" w:hAnsi="Arial" w:cs="Arial"/>
                <w:b/>
                <w:szCs w:val="18"/>
              </w:rPr>
            </w:pPr>
            <w:r>
              <w:rPr>
                <w:rStyle w:val="PlaceholderText"/>
                <w:rFonts w:ascii="Arial" w:hAnsi="Arial" w:cs="Arial"/>
                <w:b/>
                <w:szCs w:val="18"/>
              </w:rPr>
              <w:t>2000</w:t>
            </w:r>
            <w:r w:rsidR="0065430B">
              <w:rPr>
                <w:rStyle w:val="PlaceholderText"/>
                <w:rFonts w:ascii="Arial" w:hAnsi="Arial" w:cs="Arial"/>
                <w:b/>
                <w:szCs w:val="18"/>
              </w:rPr>
              <w:t xml:space="preserve"> to </w:t>
            </w:r>
          </w:p>
          <w:p w:rsidR="0065430B" w:rsidRPr="004328B0" w:rsidRDefault="006C667D" w:rsidP="006054BB">
            <w:pPr>
              <w:keepNext/>
              <w:jc w:val="center"/>
              <w:rPr>
                <w:rStyle w:val="PlaceholderText"/>
                <w:rFonts w:ascii="Arial" w:hAnsi="Arial" w:cs="Arial"/>
                <w:b/>
                <w:szCs w:val="18"/>
              </w:rPr>
            </w:pPr>
            <w:r>
              <w:rPr>
                <w:rStyle w:val="PlaceholderText"/>
                <w:rFonts w:ascii="Arial" w:hAnsi="Arial" w:cs="Arial"/>
                <w:b/>
                <w:szCs w:val="18"/>
              </w:rPr>
              <w:t>2011</w:t>
            </w:r>
          </w:p>
        </w:tc>
      </w:tr>
      <w:tr w:rsidR="0065430B" w:rsidRPr="00980041" w:rsidTr="00215A21">
        <w:trPr>
          <w:trHeight w:val="510"/>
        </w:trPr>
        <w:tc>
          <w:tcPr>
            <w:tcW w:w="1275" w:type="pct"/>
            <w:vMerge w:val="restart"/>
            <w:tcBorders>
              <w:top w:val="single" w:sz="4" w:space="0" w:color="auto"/>
            </w:tcBorders>
            <w:shd w:val="clear" w:color="auto" w:fill="D9D9D9" w:themeFill="background1" w:themeFillShade="D9"/>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Excluding LULUCF</w:t>
            </w:r>
          </w:p>
        </w:tc>
        <w:tc>
          <w:tcPr>
            <w:tcW w:w="1041" w:type="pct"/>
            <w:tcBorders>
              <w:top w:val="single" w:sz="4" w:space="0" w:color="auto"/>
            </w:tcBorders>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change over period, MtCO</w:t>
            </w:r>
            <w:r w:rsidRPr="00BF21D6">
              <w:rPr>
                <w:rStyle w:val="PlaceholderText"/>
                <w:rFonts w:ascii="Arial" w:hAnsi="Arial" w:cs="Arial"/>
                <w:szCs w:val="18"/>
                <w:vertAlign w:val="subscript"/>
              </w:rPr>
              <w:t>2</w:t>
            </w:r>
            <w:r>
              <w:rPr>
                <w:rStyle w:val="PlaceholderText"/>
                <w:rFonts w:ascii="Arial" w:hAnsi="Arial" w:cs="Arial"/>
                <w:szCs w:val="18"/>
              </w:rPr>
              <w:t>e</w:t>
            </w:r>
          </w:p>
        </w:tc>
        <w:tc>
          <w:tcPr>
            <w:tcW w:w="894" w:type="pct"/>
            <w:tcBorders>
              <w:top w:val="single" w:sz="4" w:space="0" w:color="auto"/>
            </w:tcBorders>
          </w:tcPr>
          <w:p w:rsidR="0065430B" w:rsidRPr="004328B0" w:rsidRDefault="0065430B" w:rsidP="006054BB">
            <w:pPr>
              <w:keepNext/>
              <w:spacing w:line="200" w:lineRule="exact"/>
              <w:jc w:val="center"/>
              <w:rPr>
                <w:rStyle w:val="PlaceholderText"/>
                <w:rFonts w:ascii="Arial" w:hAnsi="Arial" w:cs="Arial"/>
                <w:szCs w:val="18"/>
              </w:rPr>
            </w:pPr>
            <w:r w:rsidRPr="001F0CD3">
              <w:rPr>
                <w:rStyle w:val="PlaceholderText"/>
                <w:rFonts w:ascii="Arial" w:hAnsi="Arial" w:cs="Arial"/>
                <w:szCs w:val="18"/>
              </w:rPr>
              <w:t>57</w:t>
            </w:r>
          </w:p>
        </w:tc>
        <w:tc>
          <w:tcPr>
            <w:tcW w:w="895" w:type="pct"/>
            <w:tcBorders>
              <w:top w:val="single" w:sz="4" w:space="0" w:color="auto"/>
            </w:tcBorders>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2</w:t>
            </w:r>
          </w:p>
        </w:tc>
        <w:tc>
          <w:tcPr>
            <w:tcW w:w="895" w:type="pct"/>
            <w:tcBorders>
              <w:top w:val="single" w:sz="4" w:space="0" w:color="auto"/>
            </w:tcBorders>
          </w:tcPr>
          <w:p w:rsidR="0065430B" w:rsidRPr="004328B0" w:rsidRDefault="0065430B" w:rsidP="006054BB">
            <w:pPr>
              <w:keepNext/>
              <w:spacing w:line="200" w:lineRule="exact"/>
              <w:jc w:val="center"/>
              <w:rPr>
                <w:rStyle w:val="PlaceholderText"/>
                <w:rFonts w:ascii="Arial" w:hAnsi="Arial" w:cs="Arial"/>
                <w:szCs w:val="18"/>
              </w:rPr>
            </w:pPr>
            <w:r w:rsidRPr="001F0CD3">
              <w:rPr>
                <w:rStyle w:val="PlaceholderText"/>
                <w:rFonts w:ascii="Arial" w:hAnsi="Arial" w:cs="Arial"/>
                <w:szCs w:val="18"/>
              </w:rPr>
              <w:t>59</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trHeight w:val="510"/>
        </w:trPr>
        <w:tc>
          <w:tcPr>
            <w:tcW w:w="1275" w:type="pct"/>
            <w:vMerge/>
            <w:shd w:val="clear" w:color="auto" w:fill="D9D9D9" w:themeFill="background1" w:themeFillShade="D9"/>
          </w:tcPr>
          <w:p w:rsidR="0065430B" w:rsidRDefault="0065430B" w:rsidP="006054BB">
            <w:pPr>
              <w:keepNext/>
              <w:spacing w:line="200" w:lineRule="exact"/>
              <w:rPr>
                <w:rStyle w:val="PlaceholderText"/>
                <w:rFonts w:ascii="Arial" w:hAnsi="Arial" w:cs="Arial"/>
                <w:szCs w:val="18"/>
              </w:rPr>
            </w:pPr>
          </w:p>
        </w:tc>
        <w:tc>
          <w:tcPr>
            <w:tcW w:w="1041" w:type="pct"/>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change over period, %</w:t>
            </w:r>
          </w:p>
        </w:tc>
        <w:tc>
          <w:tcPr>
            <w:tcW w:w="894"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11.6</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0.35</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12</w:t>
            </w:r>
          </w:p>
        </w:tc>
      </w:tr>
      <w:tr w:rsidR="0065430B" w:rsidRPr="00980041" w:rsidTr="00215A21">
        <w:trPr>
          <w:trHeight w:val="510"/>
        </w:trPr>
        <w:tc>
          <w:tcPr>
            <w:tcW w:w="1275" w:type="pct"/>
            <w:vMerge/>
            <w:shd w:val="clear" w:color="auto" w:fill="D9D9D9" w:themeFill="background1" w:themeFillShade="D9"/>
          </w:tcPr>
          <w:p w:rsidR="0065430B" w:rsidRDefault="0065430B" w:rsidP="006054BB">
            <w:pPr>
              <w:keepNext/>
              <w:spacing w:line="200" w:lineRule="exact"/>
              <w:rPr>
                <w:rStyle w:val="PlaceholderText"/>
                <w:rFonts w:ascii="Arial" w:hAnsi="Arial" w:cs="Arial"/>
                <w:szCs w:val="18"/>
              </w:rPr>
            </w:pPr>
          </w:p>
        </w:tc>
        <w:tc>
          <w:tcPr>
            <w:tcW w:w="1041" w:type="pct"/>
          </w:tcPr>
          <w:p w:rsidR="0065430B"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CAGR, %</w:t>
            </w:r>
          </w:p>
        </w:tc>
        <w:tc>
          <w:tcPr>
            <w:tcW w:w="894"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1.38</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0.12</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1.0</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trHeight w:val="510"/>
        </w:trPr>
        <w:tc>
          <w:tcPr>
            <w:tcW w:w="1275" w:type="pct"/>
            <w:vMerge w:val="restart"/>
            <w:shd w:val="clear" w:color="auto" w:fill="FFFFFF" w:themeFill="background1"/>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Including LULUCF</w:t>
            </w:r>
          </w:p>
        </w:tc>
        <w:tc>
          <w:tcPr>
            <w:tcW w:w="1041" w:type="pct"/>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change over period,MtCO</w:t>
            </w:r>
            <w:r w:rsidRPr="00BF21D6">
              <w:rPr>
                <w:rStyle w:val="PlaceholderText"/>
                <w:rFonts w:ascii="Arial" w:hAnsi="Arial" w:cs="Arial"/>
                <w:szCs w:val="18"/>
                <w:vertAlign w:val="subscript"/>
              </w:rPr>
              <w:t>2</w:t>
            </w:r>
            <w:r>
              <w:rPr>
                <w:rStyle w:val="PlaceholderText"/>
                <w:rFonts w:ascii="Arial" w:hAnsi="Arial" w:cs="Arial"/>
                <w:szCs w:val="18"/>
              </w:rPr>
              <w:t>e</w:t>
            </w:r>
          </w:p>
        </w:tc>
        <w:tc>
          <w:tcPr>
            <w:tcW w:w="894" w:type="pct"/>
          </w:tcPr>
          <w:p w:rsidR="0065430B" w:rsidRPr="004328B0" w:rsidRDefault="0065430B" w:rsidP="006054BB">
            <w:pPr>
              <w:keepNext/>
              <w:spacing w:line="200" w:lineRule="exact"/>
              <w:jc w:val="center"/>
              <w:rPr>
                <w:rStyle w:val="PlaceholderText"/>
                <w:rFonts w:ascii="Arial" w:hAnsi="Arial" w:cs="Arial"/>
                <w:szCs w:val="18"/>
              </w:rPr>
            </w:pP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-21</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p>
        </w:tc>
      </w:tr>
      <w:tr w:rsidR="0065430B" w:rsidRPr="00980041" w:rsidTr="00215A21">
        <w:trPr>
          <w:trHeight w:val="510"/>
        </w:trPr>
        <w:tc>
          <w:tcPr>
            <w:tcW w:w="1275" w:type="pct"/>
            <w:vMerge/>
            <w:shd w:val="clear" w:color="auto" w:fill="FFFFFF" w:themeFill="background1"/>
          </w:tcPr>
          <w:p w:rsidR="0065430B" w:rsidRDefault="0065430B" w:rsidP="006054BB">
            <w:pPr>
              <w:keepNext/>
              <w:spacing w:line="200" w:lineRule="exact"/>
              <w:rPr>
                <w:rStyle w:val="PlaceholderText"/>
                <w:rFonts w:ascii="Arial" w:hAnsi="Arial" w:cs="Arial"/>
                <w:szCs w:val="18"/>
              </w:rPr>
            </w:pPr>
          </w:p>
        </w:tc>
        <w:tc>
          <w:tcPr>
            <w:tcW w:w="1041" w:type="pct"/>
          </w:tcPr>
          <w:p w:rsidR="0065430B" w:rsidRPr="004328B0"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change over period,%</w:t>
            </w:r>
          </w:p>
        </w:tc>
        <w:tc>
          <w:tcPr>
            <w:tcW w:w="894" w:type="pct"/>
          </w:tcPr>
          <w:p w:rsidR="0065430B" w:rsidRPr="004328B0" w:rsidRDefault="0065430B" w:rsidP="006054BB">
            <w:pPr>
              <w:keepNext/>
              <w:spacing w:line="200" w:lineRule="exact"/>
              <w:jc w:val="center"/>
              <w:rPr>
                <w:rStyle w:val="PlaceholderText"/>
                <w:rFonts w:ascii="Arial" w:hAnsi="Arial" w:cs="Arial"/>
                <w:szCs w:val="18"/>
              </w:rPr>
            </w:pP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-3.7</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p>
        </w:tc>
      </w:tr>
      <w:tr w:rsidR="0065430B" w:rsidRPr="00980041" w:rsidTr="00215A21">
        <w:trPr>
          <w:cnfStyle w:val="000000100000" w:firstRow="0" w:lastRow="0" w:firstColumn="0" w:lastColumn="0" w:oddVBand="0" w:evenVBand="0" w:oddHBand="1" w:evenHBand="0" w:firstRowFirstColumn="0" w:firstRowLastColumn="0" w:lastRowFirstColumn="0" w:lastRowLastColumn="0"/>
          <w:trHeight w:val="510"/>
        </w:trPr>
        <w:tc>
          <w:tcPr>
            <w:tcW w:w="1275" w:type="pct"/>
            <w:vMerge/>
            <w:shd w:val="clear" w:color="auto" w:fill="FFFFFF" w:themeFill="background1"/>
          </w:tcPr>
          <w:p w:rsidR="0065430B" w:rsidRDefault="0065430B" w:rsidP="006054BB">
            <w:pPr>
              <w:keepNext/>
              <w:spacing w:line="200" w:lineRule="exact"/>
              <w:rPr>
                <w:rStyle w:val="PlaceholderText"/>
                <w:rFonts w:ascii="Arial" w:hAnsi="Arial" w:cs="Arial"/>
                <w:szCs w:val="18"/>
              </w:rPr>
            </w:pPr>
          </w:p>
        </w:tc>
        <w:tc>
          <w:tcPr>
            <w:tcW w:w="1041" w:type="pct"/>
          </w:tcPr>
          <w:p w:rsidR="0065430B"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CAGR, %</w:t>
            </w:r>
          </w:p>
        </w:tc>
        <w:tc>
          <w:tcPr>
            <w:tcW w:w="894" w:type="pct"/>
          </w:tcPr>
          <w:p w:rsidR="0065430B" w:rsidRPr="004328B0" w:rsidRDefault="0065430B" w:rsidP="006054BB">
            <w:pPr>
              <w:keepNext/>
              <w:spacing w:line="200" w:lineRule="exact"/>
              <w:jc w:val="center"/>
              <w:rPr>
                <w:rStyle w:val="PlaceholderText"/>
                <w:rFonts w:ascii="Arial" w:hAnsi="Arial" w:cs="Arial"/>
                <w:szCs w:val="18"/>
              </w:rPr>
            </w:pPr>
          </w:p>
        </w:tc>
        <w:tc>
          <w:tcPr>
            <w:tcW w:w="895" w:type="pct"/>
          </w:tcPr>
          <w:p w:rsidR="0065430B" w:rsidRPr="004328B0" w:rsidRDefault="0065430B" w:rsidP="006054BB">
            <w:pPr>
              <w:keepNext/>
              <w:spacing w:line="200" w:lineRule="exact"/>
              <w:jc w:val="center"/>
              <w:rPr>
                <w:rStyle w:val="PlaceholderText"/>
                <w:rFonts w:ascii="Arial" w:hAnsi="Arial" w:cs="Arial"/>
                <w:szCs w:val="18"/>
              </w:rPr>
            </w:pPr>
            <w:r>
              <w:rPr>
                <w:rStyle w:val="PlaceholderText"/>
                <w:rFonts w:ascii="Arial" w:hAnsi="Arial" w:cs="Arial"/>
                <w:szCs w:val="18"/>
              </w:rPr>
              <w:t>-1.24</w:t>
            </w:r>
          </w:p>
        </w:tc>
        <w:tc>
          <w:tcPr>
            <w:tcW w:w="895" w:type="pct"/>
          </w:tcPr>
          <w:p w:rsidR="0065430B" w:rsidRPr="004328B0" w:rsidRDefault="0065430B" w:rsidP="006054BB">
            <w:pPr>
              <w:keepNext/>
              <w:spacing w:line="200" w:lineRule="exact"/>
              <w:jc w:val="center"/>
              <w:rPr>
                <w:rStyle w:val="PlaceholderText"/>
                <w:rFonts w:ascii="Arial" w:hAnsi="Arial" w:cs="Arial"/>
                <w:szCs w:val="18"/>
              </w:rPr>
            </w:pPr>
          </w:p>
        </w:tc>
      </w:tr>
    </w:tbl>
    <w:p w:rsidR="0065430B" w:rsidRPr="00820511" w:rsidRDefault="0065430B" w:rsidP="0065430B">
      <w:pPr>
        <w:pStyle w:val="Header"/>
        <w:pBdr>
          <w:bottom w:val="none" w:sz="0" w:space="0" w:color="auto"/>
        </w:pBdr>
      </w:pPr>
    </w:p>
    <w:p w:rsidR="0065430B" w:rsidRDefault="0065430B" w:rsidP="0065430B">
      <w:pPr>
        <w:pStyle w:val="Note"/>
      </w:pPr>
      <w:r>
        <w:t>Note:</w:t>
      </w:r>
      <w:r>
        <w:tab/>
        <w:t>Emissions including LULUCF figures are reported for comparison.</w:t>
      </w:r>
    </w:p>
    <w:p w:rsidR="0065430B" w:rsidRDefault="0065430B" w:rsidP="0065430B">
      <w:pPr>
        <w:pStyle w:val="Source"/>
      </w:pPr>
      <w:r w:rsidRPr="00EF51BF">
        <w:t>Source:</w:t>
      </w:r>
      <w:r>
        <w:tab/>
        <w:t>Vivid Economics based on AGEIS (2013)</w:t>
      </w:r>
    </w:p>
    <w:p w:rsidR="0065430B" w:rsidRDefault="0065430B" w:rsidP="0065430B">
      <w:pPr>
        <w:pStyle w:val="Heading2"/>
      </w:pPr>
      <w:bookmarkStart w:id="246" w:name="_Toc369890617"/>
      <w:r>
        <w:lastRenderedPageBreak/>
        <w:t>Emissions by sector</w:t>
      </w:r>
      <w:bookmarkEnd w:id="246"/>
    </w:p>
    <w:p w:rsidR="0065430B" w:rsidRDefault="0065430B" w:rsidP="0065430B">
      <w:r w:rsidRPr="004A642D">
        <w:t>Within emissions excluding LULUCF, electricity (</w:t>
      </w:r>
      <w:r w:rsidR="0083542A">
        <w:t>Div. D), manufacturing (Div. C)</w:t>
      </w:r>
      <w:r w:rsidRPr="004A642D">
        <w:t xml:space="preserve"> and mining (Div. D) are the main sources of emissions</w:t>
      </w:r>
      <w:r>
        <w:t>,</w:t>
      </w:r>
      <w:r w:rsidRPr="004A642D">
        <w:t xml:space="preserve"> as shown in </w:t>
      </w:r>
      <w:r w:rsidR="005A66AE">
        <w:fldChar w:fldCharType="begin"/>
      </w:r>
      <w:r w:rsidR="00B2119B">
        <w:instrText xml:space="preserve"> REF _Ref366270315 \n \h </w:instrText>
      </w:r>
      <w:r w:rsidR="005A66AE">
        <w:fldChar w:fldCharType="separate"/>
      </w:r>
      <w:r w:rsidR="00197E14">
        <w:t>Figure 44</w:t>
      </w:r>
      <w:r w:rsidR="005A66AE">
        <w:fldChar w:fldCharType="end"/>
      </w:r>
      <w:r w:rsidRPr="004A642D">
        <w:t xml:space="preserve">, </w:t>
      </w:r>
      <w:r>
        <w:t xml:space="preserve">each </w:t>
      </w:r>
      <w:r w:rsidRPr="004A642D">
        <w:t>contributing 3</w:t>
      </w:r>
      <w:r>
        <w:t>8</w:t>
      </w:r>
      <w:r w:rsidRPr="004A642D">
        <w:t>, 13 and 1</w:t>
      </w:r>
      <w:r>
        <w:t>3</w:t>
      </w:r>
      <w:r w:rsidRPr="004A642D">
        <w:t xml:space="preserve"> per cent </w:t>
      </w:r>
      <w:r>
        <w:t xml:space="preserve">respectively </w:t>
      </w:r>
      <w:r w:rsidRPr="004A642D">
        <w:t xml:space="preserve">of all emissions in </w:t>
      </w:r>
      <w:r w:rsidR="006C667D">
        <w:t>2011</w:t>
      </w:r>
      <w:r>
        <w:t>,</w:t>
      </w:r>
      <w:r w:rsidRPr="004A642D">
        <w:t xml:space="preserve"> excluding LULUCF.</w:t>
      </w:r>
    </w:p>
    <w:p w:rsidR="0065430B" w:rsidRDefault="0065430B" w:rsidP="0065430B"/>
    <w:p w:rsidR="0065430B" w:rsidRPr="004A642D" w:rsidRDefault="0065430B" w:rsidP="0065430B">
      <w:r>
        <w:t>E</w:t>
      </w:r>
      <w:r w:rsidRPr="004A642D">
        <w:t xml:space="preserve">missions </w:t>
      </w:r>
      <w:r>
        <w:t>from</w:t>
      </w:r>
      <w:r w:rsidRPr="004A642D">
        <w:t xml:space="preserve"> manufacturing and electricity </w:t>
      </w:r>
      <w:r>
        <w:t>emissions have increased</w:t>
      </w:r>
      <w:r w:rsidRPr="004A642D">
        <w:t xml:space="preserve"> </w:t>
      </w:r>
      <w:r>
        <w:t xml:space="preserve">over the whole period, except for the last few years, when they declined, </w:t>
      </w:r>
      <w:r w:rsidRPr="004A642D">
        <w:t xml:space="preserve">whereas emissions from </w:t>
      </w:r>
      <w:r>
        <w:t xml:space="preserve">residential, </w:t>
      </w:r>
      <w:r w:rsidRPr="004A642D">
        <w:t xml:space="preserve">mining </w:t>
      </w:r>
      <w:r>
        <w:t xml:space="preserve">and </w:t>
      </w:r>
      <w:r w:rsidRPr="004A642D">
        <w:t>the remaining sectors</w:t>
      </w:r>
      <w:r>
        <w:t xml:space="preserve"> increased throughout the whole period, see </w:t>
      </w:r>
      <w:r w:rsidR="005A66AE">
        <w:fldChar w:fldCharType="begin"/>
      </w:r>
      <w:r w:rsidR="00040612">
        <w:instrText xml:space="preserve"> REF _Ref366270315 \n \h </w:instrText>
      </w:r>
      <w:r w:rsidR="005A66AE">
        <w:fldChar w:fldCharType="separate"/>
      </w:r>
      <w:r w:rsidR="00197E14">
        <w:t>Figure 44</w:t>
      </w:r>
      <w:r w:rsidR="005A66AE">
        <w:fldChar w:fldCharType="end"/>
      </w:r>
      <w:r>
        <w:t xml:space="preserve"> and </w:t>
      </w:r>
      <w:r w:rsidR="005A66AE">
        <w:fldChar w:fldCharType="begin"/>
      </w:r>
      <w:r>
        <w:instrText xml:space="preserve"> REF _Ref365815053 \r \h </w:instrText>
      </w:r>
      <w:r w:rsidR="005A66AE">
        <w:fldChar w:fldCharType="separate"/>
      </w:r>
      <w:r w:rsidR="00197E14">
        <w:t>Table 19</w:t>
      </w:r>
      <w:r w:rsidR="005A66AE">
        <w:fldChar w:fldCharType="end"/>
      </w:r>
      <w:r>
        <w:t>.</w:t>
      </w:r>
    </w:p>
    <w:p w:rsidR="0065430B" w:rsidRPr="000D25DC" w:rsidRDefault="0065430B" w:rsidP="0065430B">
      <w:pPr>
        <w:pStyle w:val="Charttitle"/>
      </w:pPr>
      <w:bookmarkStart w:id="247" w:name="_Toc365818482"/>
      <w:bookmarkStart w:id="248" w:name="_Toc366269865"/>
      <w:bookmarkStart w:id="249" w:name="_Ref366270315"/>
      <w:bookmarkStart w:id="250" w:name="_Toc369890584"/>
      <w:r>
        <w:t xml:space="preserve">Emissions from mining and Div. I Transport are rising faster than </w:t>
      </w:r>
      <w:bookmarkEnd w:id="247"/>
      <w:r>
        <w:t>from other sectors.</w:t>
      </w:r>
      <w:bookmarkEnd w:id="248"/>
      <w:bookmarkEnd w:id="249"/>
      <w:bookmarkEnd w:id="250"/>
    </w:p>
    <w:p w:rsidR="0065430B" w:rsidRPr="00430244" w:rsidRDefault="00290DA6" w:rsidP="0065430B">
      <w:pPr>
        <w:pStyle w:val="Chartspacer"/>
        <w:rPr>
          <w:rStyle w:val="PlaceholderText"/>
        </w:rPr>
      </w:pPr>
      <w:r w:rsidRPr="00290DA6">
        <w:drawing>
          <wp:inline distT="0" distB="0" distL="0" distR="0" wp14:anchorId="3E1794D7" wp14:editId="29B5CBD5">
            <wp:extent cx="6120765" cy="3994930"/>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994930"/>
                    </a:xfrm>
                    <a:prstGeom prst="rect">
                      <a:avLst/>
                    </a:prstGeom>
                    <a:noFill/>
                    <a:ln>
                      <a:noFill/>
                    </a:ln>
                  </pic:spPr>
                </pic:pic>
              </a:graphicData>
            </a:graphic>
          </wp:inline>
        </w:drawing>
      </w:r>
    </w:p>
    <w:p w:rsidR="0065430B" w:rsidRDefault="0065430B" w:rsidP="0065430B">
      <w:pPr>
        <w:pStyle w:val="Note"/>
      </w:pPr>
      <w:r>
        <w:t>Note:</w:t>
      </w:r>
      <w:r>
        <w:tab/>
        <w:t>Data for Div. A is available after 2008 only.</w:t>
      </w:r>
    </w:p>
    <w:p w:rsidR="0065430B" w:rsidRDefault="0065430B" w:rsidP="0065430B">
      <w:pPr>
        <w:pStyle w:val="Source"/>
      </w:pPr>
      <w:r w:rsidRPr="005A132E">
        <w:t>Source:</w:t>
      </w:r>
      <w:r>
        <w:tab/>
        <w:t>Vivid Economics based on AGEIS (2013)</w:t>
      </w:r>
    </w:p>
    <w:p w:rsidR="0065430B" w:rsidRDefault="0065430B" w:rsidP="0065430B"/>
    <w:p w:rsidR="0065430B" w:rsidRPr="00DE4EAF" w:rsidRDefault="0065430B" w:rsidP="00645813">
      <w:pPr>
        <w:pStyle w:val="Tabletitle"/>
      </w:pPr>
      <w:bookmarkStart w:id="251" w:name="_Ref365815053"/>
      <w:bookmarkStart w:id="252" w:name="_Toc365818475"/>
      <w:bookmarkStart w:id="253" w:name="_Toc369890528"/>
      <w:r>
        <w:lastRenderedPageBreak/>
        <w:t xml:space="preserve">Manufacturing and electricity emissions growth rates in the period </w:t>
      </w:r>
      <w:r w:rsidR="006C667D">
        <w:t>2008</w:t>
      </w:r>
      <w:r>
        <w:t xml:space="preserve"> to </w:t>
      </w:r>
      <w:r w:rsidR="006C667D">
        <w:t>2011</w:t>
      </w:r>
      <w:r>
        <w:t xml:space="preserve"> have turned negative</w:t>
      </w:r>
      <w:bookmarkEnd w:id="251"/>
      <w:bookmarkEnd w:id="252"/>
      <w:bookmarkEnd w:id="253"/>
    </w:p>
    <w:tbl>
      <w:tblPr>
        <w:tblStyle w:val="Vividtable"/>
        <w:tblW w:w="5000" w:type="pct"/>
        <w:tblLook w:val="04A0" w:firstRow="1" w:lastRow="0" w:firstColumn="1" w:lastColumn="0" w:noHBand="0" w:noVBand="1"/>
      </w:tblPr>
      <w:tblGrid>
        <w:gridCol w:w="1729"/>
        <w:gridCol w:w="2032"/>
        <w:gridCol w:w="2032"/>
        <w:gridCol w:w="2032"/>
        <w:gridCol w:w="2030"/>
      </w:tblGrid>
      <w:tr w:rsidR="0065430B" w:rsidRPr="00A111F9" w:rsidTr="00215A21">
        <w:trPr>
          <w:cnfStyle w:val="100000000000" w:firstRow="1" w:lastRow="0" w:firstColumn="0" w:lastColumn="0" w:oddVBand="0" w:evenVBand="0" w:oddHBand="0" w:evenHBand="0" w:firstRowFirstColumn="0" w:firstRowLastColumn="0" w:lastRowFirstColumn="0" w:lastRowLastColumn="0"/>
          <w:cantSplit/>
          <w:trHeight w:val="510"/>
          <w:tblHeader/>
        </w:trPr>
        <w:tc>
          <w:tcPr>
            <w:tcW w:w="877" w:type="pct"/>
            <w:vMerge w:val="restart"/>
          </w:tcPr>
          <w:p w:rsidR="0065430B" w:rsidRPr="00A111F9" w:rsidRDefault="0065430B" w:rsidP="006054BB">
            <w:pPr>
              <w:keepNext/>
              <w:rPr>
                <w:rStyle w:val="PlaceholderText"/>
                <w:rFonts w:ascii="Arial" w:hAnsi="Arial" w:cs="Arial"/>
                <w:b w:val="0"/>
                <w:szCs w:val="18"/>
              </w:rPr>
            </w:pPr>
            <w:r w:rsidRPr="00A111F9">
              <w:rPr>
                <w:rStyle w:val="PlaceholderText"/>
                <w:rFonts w:ascii="Arial" w:hAnsi="Arial" w:cs="Arial"/>
                <w:szCs w:val="18"/>
              </w:rPr>
              <w:t>Sector</w:t>
            </w:r>
          </w:p>
        </w:tc>
        <w:tc>
          <w:tcPr>
            <w:tcW w:w="3093" w:type="pct"/>
            <w:gridSpan w:val="3"/>
            <w:tcBorders>
              <w:bottom w:val="single" w:sz="4" w:space="0" w:color="000000" w:themeColor="text1"/>
            </w:tcBorders>
          </w:tcPr>
          <w:p w:rsidR="0065430B" w:rsidRPr="00A111F9" w:rsidRDefault="0065430B" w:rsidP="006054BB">
            <w:pPr>
              <w:keepNext/>
              <w:jc w:val="center"/>
              <w:rPr>
                <w:rStyle w:val="PlaceholderText"/>
                <w:rFonts w:ascii="Arial" w:hAnsi="Arial" w:cs="Arial"/>
                <w:szCs w:val="18"/>
              </w:rPr>
            </w:pPr>
            <w:r w:rsidRPr="00A111F9">
              <w:rPr>
                <w:rStyle w:val="PlaceholderText"/>
                <w:rFonts w:ascii="Arial" w:hAnsi="Arial" w:cs="Arial"/>
                <w:szCs w:val="18"/>
              </w:rPr>
              <w:t>Compound annual growth rate (CAGR) of emissions</w:t>
            </w:r>
          </w:p>
        </w:tc>
        <w:tc>
          <w:tcPr>
            <w:tcW w:w="1030" w:type="pct"/>
            <w:tcBorders>
              <w:bottom w:val="single" w:sz="4" w:space="0" w:color="000000" w:themeColor="text1"/>
            </w:tcBorders>
          </w:tcPr>
          <w:p w:rsidR="0065430B" w:rsidRPr="00A111F9" w:rsidRDefault="0065430B" w:rsidP="006054BB">
            <w:pPr>
              <w:keepNext/>
              <w:jc w:val="center"/>
              <w:rPr>
                <w:rStyle w:val="PlaceholderText"/>
                <w:rFonts w:ascii="Arial" w:hAnsi="Arial" w:cs="Arial"/>
                <w:szCs w:val="18"/>
              </w:rPr>
            </w:pPr>
          </w:p>
        </w:tc>
      </w:tr>
      <w:tr w:rsidR="0065430B" w:rsidRPr="00A111F9" w:rsidTr="00215A21">
        <w:trPr>
          <w:cnfStyle w:val="100000000000" w:firstRow="1" w:lastRow="0" w:firstColumn="0" w:lastColumn="0" w:oddVBand="0" w:evenVBand="0" w:oddHBand="0" w:evenHBand="0" w:firstRowFirstColumn="0" w:firstRowLastColumn="0" w:lastRowFirstColumn="0" w:lastRowLastColumn="0"/>
          <w:cantSplit/>
          <w:trHeight w:val="510"/>
          <w:tblHeader/>
        </w:trPr>
        <w:tc>
          <w:tcPr>
            <w:tcW w:w="877" w:type="pct"/>
            <w:vMerge/>
            <w:tcBorders>
              <w:bottom w:val="single" w:sz="4" w:space="0" w:color="000000" w:themeColor="text1"/>
            </w:tcBorders>
          </w:tcPr>
          <w:p w:rsidR="0065430B" w:rsidRPr="00A111F9" w:rsidRDefault="0065430B" w:rsidP="006054BB">
            <w:pPr>
              <w:keepNext/>
              <w:rPr>
                <w:rStyle w:val="PlaceholderText"/>
                <w:rFonts w:ascii="Arial" w:hAnsi="Arial" w:cs="Arial"/>
                <w:szCs w:val="18"/>
              </w:rPr>
            </w:pPr>
          </w:p>
        </w:tc>
        <w:tc>
          <w:tcPr>
            <w:tcW w:w="1031" w:type="pct"/>
            <w:tcBorders>
              <w:bottom w:val="single" w:sz="4" w:space="0" w:color="000000" w:themeColor="text1"/>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2000</w:t>
            </w:r>
            <w:r w:rsidR="0065430B" w:rsidRPr="00A111F9">
              <w:rPr>
                <w:rStyle w:val="PlaceholderText"/>
                <w:rFonts w:ascii="Arial" w:hAnsi="Arial" w:cs="Arial"/>
                <w:szCs w:val="18"/>
              </w:rPr>
              <w:t xml:space="preserve"> to </w:t>
            </w:r>
            <w:r>
              <w:rPr>
                <w:rStyle w:val="PlaceholderText"/>
                <w:rFonts w:ascii="Arial" w:hAnsi="Arial" w:cs="Arial"/>
                <w:szCs w:val="18"/>
              </w:rPr>
              <w:t>2005</w:t>
            </w:r>
          </w:p>
        </w:tc>
        <w:tc>
          <w:tcPr>
            <w:tcW w:w="1031" w:type="pct"/>
            <w:tcBorders>
              <w:bottom w:val="single" w:sz="4" w:space="0" w:color="000000" w:themeColor="text1"/>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2005</w:t>
            </w:r>
            <w:r w:rsidR="0065430B" w:rsidRPr="00A111F9">
              <w:rPr>
                <w:rStyle w:val="PlaceholderText"/>
                <w:rFonts w:ascii="Arial" w:hAnsi="Arial" w:cs="Arial"/>
                <w:szCs w:val="18"/>
              </w:rPr>
              <w:t xml:space="preserve"> to </w:t>
            </w:r>
            <w:r>
              <w:rPr>
                <w:rStyle w:val="PlaceholderText"/>
                <w:rFonts w:ascii="Arial" w:hAnsi="Arial" w:cs="Arial"/>
                <w:szCs w:val="18"/>
              </w:rPr>
              <w:t>2008</w:t>
            </w:r>
          </w:p>
        </w:tc>
        <w:tc>
          <w:tcPr>
            <w:tcW w:w="1031" w:type="pct"/>
            <w:tcBorders>
              <w:bottom w:val="single" w:sz="4" w:space="0" w:color="000000" w:themeColor="text1"/>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2008</w:t>
            </w:r>
            <w:r w:rsidR="0065430B" w:rsidRPr="00A111F9">
              <w:rPr>
                <w:rStyle w:val="PlaceholderText"/>
                <w:rFonts w:ascii="Arial" w:hAnsi="Arial" w:cs="Arial"/>
                <w:szCs w:val="18"/>
              </w:rPr>
              <w:t xml:space="preserve"> to </w:t>
            </w:r>
            <w:r>
              <w:rPr>
                <w:rStyle w:val="PlaceholderText"/>
                <w:rFonts w:ascii="Arial" w:hAnsi="Arial" w:cs="Arial"/>
                <w:szCs w:val="18"/>
              </w:rPr>
              <w:t>2011</w:t>
            </w:r>
          </w:p>
        </w:tc>
        <w:tc>
          <w:tcPr>
            <w:tcW w:w="1030" w:type="pct"/>
            <w:tcBorders>
              <w:bottom w:val="single" w:sz="4" w:space="0" w:color="000000" w:themeColor="text1"/>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2000</w:t>
            </w:r>
            <w:r w:rsidR="0065430B" w:rsidRPr="00A111F9">
              <w:rPr>
                <w:rStyle w:val="PlaceholderText"/>
                <w:rFonts w:ascii="Arial" w:hAnsi="Arial" w:cs="Arial"/>
                <w:szCs w:val="18"/>
              </w:rPr>
              <w:t xml:space="preserve"> to </w:t>
            </w:r>
            <w:r>
              <w:rPr>
                <w:rStyle w:val="PlaceholderText"/>
                <w:rFonts w:ascii="Arial" w:hAnsi="Arial" w:cs="Arial"/>
                <w:szCs w:val="18"/>
              </w:rPr>
              <w:t>2011</w:t>
            </w:r>
          </w:p>
        </w:tc>
      </w:tr>
      <w:tr w:rsidR="0065430B" w:rsidRPr="00A111F9"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Borders>
              <w:top w:val="single" w:sz="4" w:space="0" w:color="000000" w:themeColor="text1"/>
            </w:tcBorders>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A Agriculture, forestry and fishing</w:t>
            </w:r>
          </w:p>
        </w:tc>
        <w:tc>
          <w:tcPr>
            <w:tcW w:w="1031" w:type="pct"/>
            <w:tcBorders>
              <w:top w:val="single" w:sz="4" w:space="0" w:color="000000" w:themeColor="text1"/>
            </w:tcBorders>
          </w:tcPr>
          <w:p w:rsidR="0065430B" w:rsidRPr="00A111F9" w:rsidRDefault="0065430B" w:rsidP="006054BB">
            <w:pPr>
              <w:jc w:val="center"/>
              <w:rPr>
                <w:rFonts w:ascii="Arial" w:hAnsi="Arial" w:cs="Arial"/>
                <w:szCs w:val="18"/>
              </w:rPr>
            </w:pPr>
            <w:r>
              <w:rPr>
                <w:rFonts w:ascii="Arial" w:hAnsi="Arial" w:cs="Arial"/>
                <w:szCs w:val="18"/>
              </w:rPr>
              <w:t>not available</w:t>
            </w:r>
          </w:p>
        </w:tc>
        <w:tc>
          <w:tcPr>
            <w:tcW w:w="1031" w:type="pct"/>
            <w:tcBorders>
              <w:top w:val="single" w:sz="4" w:space="0" w:color="000000" w:themeColor="text1"/>
            </w:tcBorders>
          </w:tcPr>
          <w:p w:rsidR="0065430B" w:rsidRPr="00A111F9" w:rsidRDefault="0065430B" w:rsidP="006054BB">
            <w:pPr>
              <w:jc w:val="center"/>
              <w:rPr>
                <w:rFonts w:ascii="Arial" w:hAnsi="Arial" w:cs="Arial"/>
                <w:szCs w:val="18"/>
              </w:rPr>
            </w:pPr>
            <w:r>
              <w:rPr>
                <w:rFonts w:ascii="Arial" w:hAnsi="Arial" w:cs="Arial"/>
                <w:szCs w:val="18"/>
              </w:rPr>
              <w:t>not available</w:t>
            </w:r>
          </w:p>
        </w:tc>
        <w:tc>
          <w:tcPr>
            <w:tcW w:w="1031" w:type="pct"/>
            <w:tcBorders>
              <w:top w:val="single" w:sz="4" w:space="0" w:color="000000" w:themeColor="text1"/>
            </w:tcBorders>
          </w:tcPr>
          <w:p w:rsidR="0065430B" w:rsidRPr="00A111F9" w:rsidRDefault="0065430B" w:rsidP="006054BB">
            <w:pPr>
              <w:jc w:val="center"/>
              <w:rPr>
                <w:rFonts w:ascii="Arial" w:hAnsi="Arial" w:cs="Arial"/>
                <w:szCs w:val="18"/>
              </w:rPr>
            </w:pPr>
            <w:r w:rsidRPr="00A111F9">
              <w:rPr>
                <w:rFonts w:ascii="Arial" w:hAnsi="Arial" w:cs="Arial"/>
                <w:szCs w:val="18"/>
              </w:rPr>
              <w:t>-</w:t>
            </w:r>
            <w:r>
              <w:rPr>
                <w:rFonts w:ascii="Arial" w:hAnsi="Arial" w:cs="Arial"/>
                <w:szCs w:val="18"/>
              </w:rPr>
              <w:t>7</w:t>
            </w:r>
            <w:r w:rsidRPr="00A111F9">
              <w:rPr>
                <w:rFonts w:ascii="Arial" w:hAnsi="Arial" w:cs="Arial"/>
                <w:szCs w:val="18"/>
              </w:rPr>
              <w:t>.</w:t>
            </w:r>
            <w:r>
              <w:rPr>
                <w:rFonts w:ascii="Arial" w:hAnsi="Arial" w:cs="Arial"/>
                <w:szCs w:val="18"/>
              </w:rPr>
              <w:t>0</w:t>
            </w:r>
            <w:r w:rsidRPr="00A111F9">
              <w:rPr>
                <w:rFonts w:ascii="Arial" w:hAnsi="Arial" w:cs="Arial"/>
                <w:szCs w:val="18"/>
              </w:rPr>
              <w:t>8</w:t>
            </w:r>
          </w:p>
        </w:tc>
        <w:tc>
          <w:tcPr>
            <w:tcW w:w="1030" w:type="pct"/>
            <w:tcBorders>
              <w:top w:val="single" w:sz="4" w:space="0" w:color="000000" w:themeColor="text1"/>
            </w:tcBorders>
          </w:tcPr>
          <w:p w:rsidR="0065430B" w:rsidRPr="00A111F9" w:rsidRDefault="0065430B" w:rsidP="006054BB">
            <w:pPr>
              <w:jc w:val="center"/>
              <w:rPr>
                <w:rFonts w:ascii="Arial" w:hAnsi="Arial" w:cs="Arial"/>
                <w:szCs w:val="18"/>
              </w:rPr>
            </w:pPr>
            <w:r>
              <w:rPr>
                <w:rFonts w:ascii="Arial" w:hAnsi="Arial" w:cs="Arial"/>
                <w:szCs w:val="18"/>
              </w:rPr>
              <w:t>not available</w:t>
            </w:r>
          </w:p>
        </w:tc>
      </w:tr>
      <w:tr w:rsidR="0065430B" w:rsidRPr="00A111F9" w:rsidTr="00215A21">
        <w:trPr>
          <w:cantSplit/>
          <w:trHeight w:val="510"/>
        </w:trPr>
        <w:tc>
          <w:tcPr>
            <w:tcW w:w="877" w:type="pct"/>
            <w:tcBorders>
              <w:top w:val="single" w:sz="4" w:space="0" w:color="000000" w:themeColor="text1"/>
            </w:tcBorders>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Agriculture</w:t>
            </w:r>
          </w:p>
        </w:tc>
        <w:tc>
          <w:tcPr>
            <w:tcW w:w="1031" w:type="pct"/>
            <w:tcBorders>
              <w:top w:val="single" w:sz="4" w:space="0" w:color="000000" w:themeColor="text1"/>
            </w:tcBorders>
          </w:tcPr>
          <w:p w:rsidR="0065430B" w:rsidRDefault="0065430B" w:rsidP="006054BB">
            <w:pPr>
              <w:jc w:val="center"/>
              <w:rPr>
                <w:rFonts w:ascii="Arial" w:hAnsi="Arial" w:cs="Arial"/>
                <w:szCs w:val="18"/>
              </w:rPr>
            </w:pPr>
            <w:r>
              <w:rPr>
                <w:rFonts w:ascii="Arial" w:hAnsi="Arial" w:cs="Arial"/>
                <w:szCs w:val="18"/>
              </w:rPr>
              <w:t>-0.69</w:t>
            </w:r>
          </w:p>
        </w:tc>
        <w:tc>
          <w:tcPr>
            <w:tcW w:w="1031" w:type="pct"/>
            <w:tcBorders>
              <w:top w:val="single" w:sz="4" w:space="0" w:color="000000" w:themeColor="text1"/>
            </w:tcBorders>
          </w:tcPr>
          <w:p w:rsidR="0065430B" w:rsidRDefault="0065430B" w:rsidP="006054BB">
            <w:pPr>
              <w:jc w:val="center"/>
              <w:rPr>
                <w:rFonts w:ascii="Arial" w:hAnsi="Arial" w:cs="Arial"/>
                <w:szCs w:val="18"/>
              </w:rPr>
            </w:pPr>
            <w:r>
              <w:rPr>
                <w:rFonts w:ascii="Arial" w:hAnsi="Arial" w:cs="Arial"/>
                <w:szCs w:val="18"/>
              </w:rPr>
              <w:t>-0.91</w:t>
            </w:r>
          </w:p>
        </w:tc>
        <w:tc>
          <w:tcPr>
            <w:tcW w:w="1031" w:type="pct"/>
            <w:tcBorders>
              <w:top w:val="single" w:sz="4" w:space="0" w:color="000000" w:themeColor="text1"/>
            </w:tcBorders>
          </w:tcPr>
          <w:p w:rsidR="0065430B" w:rsidRPr="00A111F9" w:rsidRDefault="0065430B" w:rsidP="006054BB">
            <w:pPr>
              <w:jc w:val="center"/>
              <w:rPr>
                <w:rFonts w:ascii="Arial" w:hAnsi="Arial" w:cs="Arial"/>
                <w:szCs w:val="18"/>
              </w:rPr>
            </w:pPr>
            <w:r>
              <w:rPr>
                <w:rFonts w:ascii="Arial" w:hAnsi="Arial" w:cs="Arial"/>
                <w:szCs w:val="18"/>
              </w:rPr>
              <w:t>-0.98</w:t>
            </w:r>
          </w:p>
        </w:tc>
        <w:tc>
          <w:tcPr>
            <w:tcW w:w="1030" w:type="pct"/>
            <w:tcBorders>
              <w:top w:val="single" w:sz="4" w:space="0" w:color="000000" w:themeColor="text1"/>
            </w:tcBorders>
          </w:tcPr>
          <w:p w:rsidR="0065430B" w:rsidRDefault="0065430B" w:rsidP="006054BB">
            <w:pPr>
              <w:jc w:val="center"/>
              <w:rPr>
                <w:rFonts w:ascii="Arial" w:hAnsi="Arial" w:cs="Arial"/>
                <w:szCs w:val="18"/>
              </w:rPr>
            </w:pPr>
            <w:r>
              <w:rPr>
                <w:rFonts w:ascii="Arial" w:hAnsi="Arial" w:cs="Arial"/>
                <w:szCs w:val="18"/>
              </w:rPr>
              <w:t>-0.83</w:t>
            </w:r>
          </w:p>
        </w:tc>
      </w:tr>
      <w:tr w:rsidR="0065430B" w:rsidRPr="00A111F9"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B Mining</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3.03</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3.13</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3.72</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3.25</w:t>
            </w:r>
          </w:p>
        </w:tc>
      </w:tr>
      <w:tr w:rsidR="0065430B" w:rsidRPr="00A111F9" w:rsidTr="00215A21">
        <w:trPr>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C Manufacturing</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0.75</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1.09</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-0.95</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0.38</w:t>
            </w:r>
          </w:p>
        </w:tc>
      </w:tr>
      <w:tr w:rsidR="0065430B" w:rsidRPr="00A111F9"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D Electricity, gas and water supply</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2.01</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1.60</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-0.84</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1.15</w:t>
            </w:r>
          </w:p>
        </w:tc>
      </w:tr>
      <w:tr w:rsidR="0065430B" w:rsidRPr="00A111F9" w:rsidTr="00215A21">
        <w:trPr>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E Construction</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0.16</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1.52</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0.45</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0.61</w:t>
            </w:r>
          </w:p>
        </w:tc>
      </w:tr>
      <w:tr w:rsidR="0065430B" w:rsidRPr="00A111F9"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Div. I Transport, postal and warehousing</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2.30</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5.59</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3.51</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3.52</w:t>
            </w:r>
          </w:p>
        </w:tc>
      </w:tr>
      <w:tr w:rsidR="0065430B" w:rsidRPr="00A111F9" w:rsidTr="00215A21">
        <w:trPr>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Commercial</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-0.81</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2.02</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0.47</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0.30</w:t>
            </w:r>
          </w:p>
        </w:tc>
      </w:tr>
      <w:tr w:rsidR="0065430B" w:rsidRPr="00A111F9"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Residential</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2.37</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0.49</w:t>
            </w:r>
          </w:p>
        </w:tc>
        <w:tc>
          <w:tcPr>
            <w:tcW w:w="1031" w:type="pct"/>
          </w:tcPr>
          <w:p w:rsidR="0065430B" w:rsidRPr="00A111F9" w:rsidRDefault="0065430B" w:rsidP="006054BB">
            <w:pPr>
              <w:jc w:val="center"/>
              <w:rPr>
                <w:rFonts w:ascii="Arial" w:hAnsi="Arial" w:cs="Arial"/>
                <w:szCs w:val="18"/>
              </w:rPr>
            </w:pPr>
            <w:r w:rsidRPr="00A111F9">
              <w:rPr>
                <w:rFonts w:ascii="Arial" w:hAnsi="Arial" w:cs="Arial"/>
                <w:szCs w:val="18"/>
              </w:rPr>
              <w:t>0.71</w:t>
            </w:r>
          </w:p>
        </w:tc>
        <w:tc>
          <w:tcPr>
            <w:tcW w:w="1030" w:type="pct"/>
          </w:tcPr>
          <w:p w:rsidR="0065430B" w:rsidRPr="00A111F9" w:rsidRDefault="0065430B" w:rsidP="006054BB">
            <w:pPr>
              <w:jc w:val="center"/>
              <w:rPr>
                <w:rFonts w:ascii="Arial" w:hAnsi="Arial" w:cs="Arial"/>
                <w:szCs w:val="18"/>
              </w:rPr>
            </w:pPr>
            <w:r>
              <w:rPr>
                <w:rFonts w:ascii="Arial" w:hAnsi="Arial" w:cs="Arial"/>
                <w:szCs w:val="18"/>
              </w:rPr>
              <w:t>1.40</w:t>
            </w:r>
          </w:p>
        </w:tc>
      </w:tr>
      <w:tr w:rsidR="0065430B" w:rsidRPr="00DC58D5" w:rsidTr="00215A21">
        <w:trPr>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Total including LULUCF</w:t>
            </w:r>
          </w:p>
        </w:tc>
        <w:tc>
          <w:tcPr>
            <w:tcW w:w="1031" w:type="pct"/>
          </w:tcPr>
          <w:p w:rsidR="0065430B" w:rsidRPr="00B55A0B" w:rsidRDefault="0065430B" w:rsidP="006054BB">
            <w:pPr>
              <w:jc w:val="center"/>
              <w:rPr>
                <w:rFonts w:ascii="Arial" w:hAnsi="Arial" w:cs="Arial"/>
                <w:szCs w:val="18"/>
              </w:rPr>
            </w:pPr>
          </w:p>
        </w:tc>
        <w:tc>
          <w:tcPr>
            <w:tcW w:w="1031" w:type="pct"/>
          </w:tcPr>
          <w:p w:rsidR="0065430B" w:rsidRPr="00B55A0B" w:rsidRDefault="0065430B" w:rsidP="006054BB">
            <w:pPr>
              <w:jc w:val="center"/>
              <w:rPr>
                <w:rFonts w:ascii="Arial" w:hAnsi="Arial" w:cs="Arial"/>
                <w:szCs w:val="18"/>
              </w:rPr>
            </w:pPr>
          </w:p>
        </w:tc>
        <w:tc>
          <w:tcPr>
            <w:tcW w:w="1031" w:type="pct"/>
          </w:tcPr>
          <w:p w:rsidR="0065430B" w:rsidRPr="00B55A0B" w:rsidRDefault="0065430B" w:rsidP="006054BB">
            <w:pPr>
              <w:jc w:val="center"/>
              <w:rPr>
                <w:rFonts w:ascii="Arial" w:hAnsi="Arial" w:cs="Arial"/>
                <w:szCs w:val="18"/>
              </w:rPr>
            </w:pPr>
            <w:r>
              <w:rPr>
                <w:rFonts w:ascii="Arial" w:hAnsi="Arial" w:cs="Arial"/>
                <w:szCs w:val="18"/>
              </w:rPr>
              <w:t>-1.24</w:t>
            </w:r>
          </w:p>
        </w:tc>
        <w:tc>
          <w:tcPr>
            <w:tcW w:w="1030" w:type="pct"/>
          </w:tcPr>
          <w:p w:rsidR="0065430B" w:rsidRPr="00B55A0B" w:rsidRDefault="0065430B" w:rsidP="006054BB">
            <w:pPr>
              <w:jc w:val="center"/>
              <w:rPr>
                <w:rStyle w:val="CommentReference"/>
              </w:rPr>
            </w:pPr>
          </w:p>
        </w:tc>
      </w:tr>
      <w:tr w:rsidR="0065430B" w:rsidRPr="00DC58D5"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877" w:type="pct"/>
          </w:tcPr>
          <w:p w:rsidR="0065430B" w:rsidRPr="007B7393" w:rsidRDefault="0065430B" w:rsidP="006054BB">
            <w:pPr>
              <w:keepNext/>
              <w:spacing w:line="200" w:lineRule="exact"/>
              <w:rPr>
                <w:rStyle w:val="PlaceholderText"/>
                <w:rFonts w:asciiTheme="majorHAnsi" w:hAnsiTheme="majorHAnsi" w:cstheme="majorHAnsi"/>
                <w:szCs w:val="18"/>
              </w:rPr>
            </w:pPr>
            <w:r w:rsidRPr="007B7393">
              <w:rPr>
                <w:rStyle w:val="PlaceholderText"/>
                <w:rFonts w:asciiTheme="majorHAnsi" w:hAnsiTheme="majorHAnsi" w:cstheme="majorHAnsi"/>
                <w:szCs w:val="18"/>
              </w:rPr>
              <w:t>Total excluding LULUCF</w:t>
            </w:r>
          </w:p>
        </w:tc>
        <w:tc>
          <w:tcPr>
            <w:tcW w:w="1031" w:type="pct"/>
          </w:tcPr>
          <w:p w:rsidR="0065430B" w:rsidRPr="00B55A0B" w:rsidRDefault="0065430B" w:rsidP="006054BB">
            <w:pPr>
              <w:jc w:val="center"/>
              <w:rPr>
                <w:rFonts w:ascii="Arial" w:hAnsi="Arial" w:cs="Arial"/>
                <w:szCs w:val="18"/>
              </w:rPr>
            </w:pPr>
            <w:r>
              <w:rPr>
                <w:rFonts w:ascii="Arial" w:hAnsi="Arial" w:cs="Arial"/>
                <w:szCs w:val="18"/>
              </w:rPr>
              <w:t>1.42</w:t>
            </w:r>
          </w:p>
        </w:tc>
        <w:tc>
          <w:tcPr>
            <w:tcW w:w="1031" w:type="pct"/>
          </w:tcPr>
          <w:p w:rsidR="0065430B" w:rsidRPr="00B55A0B" w:rsidRDefault="0065430B" w:rsidP="006054BB">
            <w:pPr>
              <w:jc w:val="center"/>
              <w:rPr>
                <w:rFonts w:ascii="Arial" w:hAnsi="Arial" w:cs="Arial"/>
                <w:szCs w:val="18"/>
              </w:rPr>
            </w:pPr>
            <w:r>
              <w:rPr>
                <w:rFonts w:ascii="Arial" w:hAnsi="Arial" w:cs="Arial"/>
                <w:szCs w:val="18"/>
              </w:rPr>
              <w:t>1.31</w:t>
            </w:r>
          </w:p>
        </w:tc>
        <w:tc>
          <w:tcPr>
            <w:tcW w:w="1031" w:type="pct"/>
          </w:tcPr>
          <w:p w:rsidR="0065430B" w:rsidRPr="00F040AB" w:rsidRDefault="0065430B" w:rsidP="006054BB">
            <w:pPr>
              <w:jc w:val="center"/>
              <w:rPr>
                <w:rFonts w:ascii="Arial" w:hAnsi="Arial" w:cs="Arial"/>
                <w:szCs w:val="18"/>
              </w:rPr>
            </w:pPr>
            <w:r w:rsidRPr="00F040AB">
              <w:rPr>
                <w:rFonts w:ascii="Arial" w:hAnsi="Arial" w:cs="Arial"/>
                <w:szCs w:val="18"/>
              </w:rPr>
              <w:t>0.12</w:t>
            </w:r>
          </w:p>
        </w:tc>
        <w:tc>
          <w:tcPr>
            <w:tcW w:w="1030" w:type="pct"/>
          </w:tcPr>
          <w:p w:rsidR="0065430B" w:rsidRPr="00F040AB" w:rsidRDefault="0065430B" w:rsidP="006054BB">
            <w:pPr>
              <w:jc w:val="center"/>
              <w:rPr>
                <w:rFonts w:ascii="Arial" w:hAnsi="Arial" w:cs="Arial"/>
                <w:szCs w:val="18"/>
              </w:rPr>
            </w:pPr>
            <w:r w:rsidRPr="00F040AB">
              <w:rPr>
                <w:rFonts w:ascii="Arial" w:hAnsi="Arial" w:cs="Arial"/>
                <w:szCs w:val="18"/>
              </w:rPr>
              <w:t>1.03</w:t>
            </w:r>
          </w:p>
        </w:tc>
      </w:tr>
    </w:tbl>
    <w:p w:rsidR="0065430B" w:rsidRPr="00820511" w:rsidRDefault="0065430B" w:rsidP="0065430B">
      <w:pPr>
        <w:pStyle w:val="Header"/>
        <w:pBdr>
          <w:bottom w:val="none" w:sz="0" w:space="0" w:color="auto"/>
        </w:pBdr>
      </w:pPr>
    </w:p>
    <w:p w:rsidR="0065430B" w:rsidRDefault="0065430B" w:rsidP="0065430B">
      <w:pPr>
        <w:pStyle w:val="Note"/>
      </w:pPr>
      <w:r>
        <w:t>Notes:</w:t>
      </w:r>
      <w:r>
        <w:tab/>
        <w:t>Emissions from Div. A, Agriculture, are available</w:t>
      </w:r>
      <w:r w:rsidR="005E51AC">
        <w:t xml:space="preserve"> </w:t>
      </w:r>
      <w:r w:rsidR="00265722">
        <w:t>only</w:t>
      </w:r>
      <w:r w:rsidR="005E51AC">
        <w:t xml:space="preserve"> </w:t>
      </w:r>
      <w:r>
        <w:t xml:space="preserve">after </w:t>
      </w:r>
      <w:r w:rsidR="006C667D">
        <w:t>2008</w:t>
      </w:r>
      <w:r>
        <w:t xml:space="preserve">. </w:t>
      </w:r>
      <w:r w:rsidR="00265722">
        <w:t xml:space="preserve">The </w:t>
      </w:r>
      <w:r>
        <w:t>Agriculture sector is a sub</w:t>
      </w:r>
      <w:r w:rsidR="00265722">
        <w:t>-</w:t>
      </w:r>
      <w:r>
        <w:t xml:space="preserve">division of sector </w:t>
      </w:r>
      <w:r w:rsidRPr="00C441CC">
        <w:rPr>
          <w:rStyle w:val="PlaceholderText"/>
          <w:szCs w:val="18"/>
        </w:rPr>
        <w:t>Div. A A</w:t>
      </w:r>
      <w:r>
        <w:rPr>
          <w:rStyle w:val="PlaceholderText"/>
          <w:szCs w:val="18"/>
        </w:rPr>
        <w:t>griculture, forestry and fishing</w:t>
      </w:r>
      <w:r w:rsidR="00265722">
        <w:rPr>
          <w:rStyle w:val="PlaceholderText"/>
          <w:szCs w:val="18"/>
        </w:rPr>
        <w:t>.</w:t>
      </w:r>
    </w:p>
    <w:p w:rsidR="0065430B" w:rsidRDefault="0065430B" w:rsidP="0065430B">
      <w:pPr>
        <w:pStyle w:val="Source"/>
      </w:pPr>
      <w:r w:rsidRPr="00EF51BF">
        <w:t>Source:</w:t>
      </w:r>
      <w:r>
        <w:tab/>
        <w:t>Vivid Economics based on AGEIS (2013)</w:t>
      </w:r>
    </w:p>
    <w:p w:rsidR="0065430B" w:rsidRDefault="0065430B" w:rsidP="0065430B"/>
    <w:p w:rsidR="0065430B" w:rsidRPr="00DE4EAF" w:rsidRDefault="0065430B" w:rsidP="00645813">
      <w:pPr>
        <w:pStyle w:val="Tabletitle"/>
      </w:pPr>
      <w:bookmarkStart w:id="254" w:name="_Toc369890529"/>
      <w:r>
        <w:lastRenderedPageBreak/>
        <w:t xml:space="preserve">Agriculture subsector and Div. D Electricity, gas and water supply have helped reduce economy-wide emissions in the </w:t>
      </w:r>
      <w:r w:rsidR="006C667D">
        <w:t>2008</w:t>
      </w:r>
      <w:r>
        <w:t xml:space="preserve"> to </w:t>
      </w:r>
      <w:r w:rsidR="006C667D">
        <w:t>2011</w:t>
      </w:r>
      <w:r>
        <w:t xml:space="preserve"> period</w:t>
      </w:r>
      <w:bookmarkEnd w:id="254"/>
    </w:p>
    <w:tbl>
      <w:tblPr>
        <w:tblStyle w:val="Vividtable"/>
        <w:tblW w:w="9640" w:type="dxa"/>
        <w:tblLook w:val="04A0" w:firstRow="1" w:lastRow="0" w:firstColumn="1" w:lastColumn="0" w:noHBand="0" w:noVBand="1"/>
      </w:tblPr>
      <w:tblGrid>
        <w:gridCol w:w="1928"/>
        <w:gridCol w:w="1928"/>
        <w:gridCol w:w="1928"/>
        <w:gridCol w:w="1928"/>
        <w:gridCol w:w="1928"/>
      </w:tblGrid>
      <w:tr w:rsidR="0065430B" w:rsidRPr="00980041" w:rsidTr="00215A21">
        <w:trPr>
          <w:cnfStyle w:val="100000000000" w:firstRow="1" w:lastRow="0" w:firstColumn="0" w:lastColumn="0" w:oddVBand="0" w:evenVBand="0" w:oddHBand="0" w:evenHBand="0" w:firstRowFirstColumn="0" w:firstRowLastColumn="0" w:lastRowFirstColumn="0" w:lastRowLastColumn="0"/>
          <w:cantSplit/>
          <w:trHeight w:val="454"/>
          <w:tblHeader/>
        </w:trPr>
        <w:tc>
          <w:tcPr>
            <w:tcW w:w="1000" w:type="pct"/>
            <w:vMerge w:val="restart"/>
          </w:tcPr>
          <w:p w:rsidR="0065430B" w:rsidRPr="00A111F9" w:rsidRDefault="0065430B" w:rsidP="006054BB">
            <w:pPr>
              <w:keepNext/>
              <w:rPr>
                <w:rStyle w:val="PlaceholderText"/>
                <w:rFonts w:ascii="Arial" w:hAnsi="Arial" w:cs="Arial"/>
                <w:b w:val="0"/>
                <w:szCs w:val="18"/>
              </w:rPr>
            </w:pPr>
            <w:r w:rsidRPr="00A111F9">
              <w:rPr>
                <w:rStyle w:val="PlaceholderText"/>
                <w:rFonts w:ascii="Arial" w:hAnsi="Arial" w:cs="Arial"/>
                <w:szCs w:val="18"/>
              </w:rPr>
              <w:t>Sector</w:t>
            </w:r>
          </w:p>
        </w:tc>
        <w:tc>
          <w:tcPr>
            <w:tcW w:w="4000" w:type="pct"/>
            <w:gridSpan w:val="4"/>
          </w:tcPr>
          <w:p w:rsidR="0065430B" w:rsidRPr="004328B0" w:rsidRDefault="0065430B" w:rsidP="006054BB">
            <w:pPr>
              <w:keepNext/>
              <w:jc w:val="center"/>
              <w:rPr>
                <w:rStyle w:val="PlaceholderText"/>
                <w:rFonts w:ascii="Arial" w:hAnsi="Arial" w:cs="Arial"/>
                <w:szCs w:val="18"/>
              </w:rPr>
            </w:pPr>
            <w:r>
              <w:rPr>
                <w:rStyle w:val="PlaceholderText"/>
                <w:rFonts w:ascii="Arial" w:hAnsi="Arial" w:cs="Arial"/>
                <w:szCs w:val="18"/>
              </w:rPr>
              <w:t>Weighted</w:t>
            </w:r>
            <w:r w:rsidRPr="00A111F9">
              <w:rPr>
                <w:rStyle w:val="PlaceholderText"/>
                <w:rFonts w:ascii="Arial" w:hAnsi="Arial" w:cs="Arial"/>
                <w:szCs w:val="18"/>
              </w:rPr>
              <w:t xml:space="preserve"> growth rate </w:t>
            </w:r>
            <w:r>
              <w:rPr>
                <w:rStyle w:val="PlaceholderText"/>
                <w:rFonts w:ascii="Arial" w:hAnsi="Arial" w:cs="Arial"/>
                <w:szCs w:val="18"/>
              </w:rPr>
              <w:t>of</w:t>
            </w:r>
            <w:r w:rsidRPr="00A111F9">
              <w:rPr>
                <w:rStyle w:val="PlaceholderText"/>
                <w:rFonts w:ascii="Arial" w:hAnsi="Arial" w:cs="Arial"/>
                <w:szCs w:val="18"/>
              </w:rPr>
              <w:t xml:space="preserve"> emissions</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00" w:type="pct"/>
            <w:vMerge/>
            <w:tcBorders>
              <w:bottom w:val="single" w:sz="4" w:space="0" w:color="auto"/>
            </w:tcBorders>
          </w:tcPr>
          <w:p w:rsidR="0065430B" w:rsidRPr="00A111F9" w:rsidRDefault="0065430B" w:rsidP="006054BB">
            <w:pPr>
              <w:keepNext/>
              <w:rPr>
                <w:rStyle w:val="PlaceholderText"/>
                <w:rFonts w:ascii="Arial" w:hAnsi="Arial" w:cs="Arial"/>
                <w:szCs w:val="18"/>
              </w:rPr>
            </w:pPr>
          </w:p>
        </w:tc>
        <w:tc>
          <w:tcPr>
            <w:tcW w:w="1000" w:type="pct"/>
            <w:tcBorders>
              <w:bottom w:val="single" w:sz="4" w:space="0" w:color="auto"/>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2000</w:t>
            </w:r>
            <w:r w:rsidR="0065430B" w:rsidRPr="00A111F9">
              <w:rPr>
                <w:rStyle w:val="PlaceholderText"/>
                <w:rFonts w:ascii="Arial" w:hAnsi="Arial" w:cs="Arial"/>
                <w:szCs w:val="18"/>
              </w:rPr>
              <w:t xml:space="preserve"> to </w:t>
            </w:r>
            <w:r>
              <w:rPr>
                <w:rStyle w:val="PlaceholderText"/>
                <w:rFonts w:ascii="Arial" w:hAnsi="Arial" w:cs="Arial"/>
                <w:szCs w:val="18"/>
              </w:rPr>
              <w:t>2005</w:t>
            </w:r>
          </w:p>
        </w:tc>
        <w:tc>
          <w:tcPr>
            <w:tcW w:w="1000" w:type="pct"/>
            <w:tcBorders>
              <w:bottom w:val="single" w:sz="4" w:space="0" w:color="auto"/>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2005</w:t>
            </w:r>
            <w:r w:rsidR="0065430B" w:rsidRPr="00A111F9">
              <w:rPr>
                <w:rStyle w:val="PlaceholderText"/>
                <w:rFonts w:ascii="Arial" w:hAnsi="Arial" w:cs="Arial"/>
                <w:szCs w:val="18"/>
              </w:rPr>
              <w:t xml:space="preserve"> to </w:t>
            </w:r>
            <w:r>
              <w:rPr>
                <w:rStyle w:val="PlaceholderText"/>
                <w:rFonts w:ascii="Arial" w:hAnsi="Arial" w:cs="Arial"/>
                <w:szCs w:val="18"/>
              </w:rPr>
              <w:t>2008</w:t>
            </w:r>
          </w:p>
        </w:tc>
        <w:tc>
          <w:tcPr>
            <w:tcW w:w="1000" w:type="pct"/>
            <w:tcBorders>
              <w:bottom w:val="single" w:sz="4" w:space="0" w:color="auto"/>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2008</w:t>
            </w:r>
            <w:r w:rsidR="0065430B" w:rsidRPr="00A111F9">
              <w:rPr>
                <w:rStyle w:val="PlaceholderText"/>
                <w:rFonts w:ascii="Arial" w:hAnsi="Arial" w:cs="Arial"/>
                <w:szCs w:val="18"/>
              </w:rPr>
              <w:t xml:space="preserve"> to </w:t>
            </w:r>
            <w:r>
              <w:rPr>
                <w:rStyle w:val="PlaceholderText"/>
                <w:rFonts w:ascii="Arial" w:hAnsi="Arial" w:cs="Arial"/>
                <w:szCs w:val="18"/>
              </w:rPr>
              <w:t>2011</w:t>
            </w:r>
          </w:p>
        </w:tc>
        <w:tc>
          <w:tcPr>
            <w:tcW w:w="1000" w:type="pct"/>
            <w:tcBorders>
              <w:bottom w:val="single" w:sz="4" w:space="0" w:color="auto"/>
            </w:tcBorders>
          </w:tcPr>
          <w:p w:rsidR="0065430B" w:rsidRPr="00A111F9" w:rsidRDefault="006C667D" w:rsidP="006054BB">
            <w:pPr>
              <w:keepNext/>
              <w:jc w:val="center"/>
              <w:rPr>
                <w:rStyle w:val="PlaceholderText"/>
                <w:rFonts w:ascii="Arial" w:hAnsi="Arial" w:cs="Arial"/>
                <w:szCs w:val="18"/>
              </w:rPr>
            </w:pPr>
            <w:r>
              <w:rPr>
                <w:rStyle w:val="PlaceholderText"/>
                <w:rFonts w:ascii="Arial" w:hAnsi="Arial" w:cs="Arial"/>
                <w:szCs w:val="18"/>
              </w:rPr>
              <w:t>2000</w:t>
            </w:r>
            <w:r w:rsidR="0065430B" w:rsidRPr="00A111F9">
              <w:rPr>
                <w:rStyle w:val="PlaceholderText"/>
                <w:rFonts w:ascii="Arial" w:hAnsi="Arial" w:cs="Arial"/>
                <w:szCs w:val="18"/>
              </w:rPr>
              <w:t xml:space="preserve"> to </w:t>
            </w:r>
            <w:r>
              <w:rPr>
                <w:rStyle w:val="PlaceholderText"/>
                <w:rFonts w:ascii="Arial" w:hAnsi="Arial" w:cs="Arial"/>
                <w:szCs w:val="18"/>
              </w:rPr>
              <w:t>2011</w:t>
            </w:r>
          </w:p>
        </w:tc>
      </w:tr>
      <w:tr w:rsidR="0065430B" w:rsidRPr="00980041" w:rsidTr="00215A21">
        <w:trPr>
          <w:cantSplit/>
          <w:trHeight w:val="454"/>
        </w:trPr>
        <w:tc>
          <w:tcPr>
            <w:tcW w:w="1000" w:type="pct"/>
            <w:tcBorders>
              <w:top w:val="single" w:sz="4" w:space="0" w:color="auto"/>
            </w:tcBorders>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Agriculture</w:t>
            </w:r>
            <w:r>
              <w:rPr>
                <w:rStyle w:val="PlaceholderText"/>
                <w:rFonts w:ascii="Arial" w:hAnsi="Arial" w:cs="Arial"/>
                <w:szCs w:val="18"/>
              </w:rPr>
              <w:t>*</w:t>
            </w:r>
          </w:p>
        </w:tc>
        <w:tc>
          <w:tcPr>
            <w:tcW w:w="1000" w:type="pct"/>
            <w:tcBorders>
              <w:top w:val="single" w:sz="4" w:space="0" w:color="auto"/>
            </w:tcBorders>
          </w:tcPr>
          <w:p w:rsidR="0065430B" w:rsidRPr="00AB184A" w:rsidRDefault="0065430B" w:rsidP="006054BB">
            <w:pPr>
              <w:jc w:val="center"/>
              <w:rPr>
                <w:rFonts w:ascii="Arial" w:hAnsi="Arial" w:cs="Arial"/>
                <w:bCs/>
                <w:szCs w:val="18"/>
              </w:rPr>
            </w:pPr>
            <w:r w:rsidRPr="00AB184A">
              <w:rPr>
                <w:rFonts w:ascii="Arial" w:hAnsi="Arial" w:cs="Arial"/>
                <w:bCs/>
                <w:szCs w:val="18"/>
              </w:rPr>
              <w:t>-0.64</w:t>
            </w:r>
          </w:p>
        </w:tc>
        <w:tc>
          <w:tcPr>
            <w:tcW w:w="1000" w:type="pct"/>
            <w:tcBorders>
              <w:top w:val="single" w:sz="4" w:space="0" w:color="auto"/>
            </w:tcBorders>
          </w:tcPr>
          <w:p w:rsidR="0065430B" w:rsidRPr="00AB184A" w:rsidRDefault="0065430B" w:rsidP="006054BB">
            <w:pPr>
              <w:jc w:val="center"/>
              <w:rPr>
                <w:rFonts w:ascii="Arial" w:hAnsi="Arial" w:cs="Arial"/>
                <w:bCs/>
                <w:szCs w:val="18"/>
              </w:rPr>
            </w:pPr>
            <w:r w:rsidRPr="00AB184A">
              <w:rPr>
                <w:rFonts w:ascii="Arial" w:hAnsi="Arial" w:cs="Arial"/>
                <w:bCs/>
                <w:szCs w:val="18"/>
              </w:rPr>
              <w:t>-0.46</w:t>
            </w:r>
          </w:p>
        </w:tc>
        <w:tc>
          <w:tcPr>
            <w:tcW w:w="1000" w:type="pct"/>
            <w:tcBorders>
              <w:top w:val="single" w:sz="4" w:space="0" w:color="auto"/>
            </w:tcBorders>
          </w:tcPr>
          <w:p w:rsidR="0065430B" w:rsidRPr="00AB184A" w:rsidRDefault="0065430B" w:rsidP="006054BB">
            <w:pPr>
              <w:jc w:val="center"/>
              <w:rPr>
                <w:rFonts w:ascii="Arial" w:hAnsi="Arial" w:cs="Arial"/>
                <w:bCs/>
                <w:szCs w:val="18"/>
              </w:rPr>
            </w:pPr>
            <w:r w:rsidRPr="00AB184A">
              <w:rPr>
                <w:rFonts w:ascii="Arial" w:hAnsi="Arial" w:cs="Arial"/>
                <w:bCs/>
                <w:szCs w:val="18"/>
              </w:rPr>
              <w:t>-0.47</w:t>
            </w:r>
          </w:p>
        </w:tc>
        <w:tc>
          <w:tcPr>
            <w:tcW w:w="1000" w:type="pct"/>
            <w:tcBorders>
              <w:top w:val="single" w:sz="4" w:space="0" w:color="auto"/>
            </w:tcBorders>
          </w:tcPr>
          <w:p w:rsidR="0065430B" w:rsidRPr="00AB184A" w:rsidRDefault="0065430B" w:rsidP="006054BB">
            <w:pPr>
              <w:jc w:val="center"/>
              <w:rPr>
                <w:rFonts w:ascii="Arial" w:hAnsi="Arial" w:cs="Arial"/>
                <w:bCs/>
                <w:szCs w:val="18"/>
              </w:rPr>
            </w:pPr>
            <w:r w:rsidRPr="00AB184A">
              <w:rPr>
                <w:rFonts w:ascii="Arial" w:hAnsi="Arial" w:cs="Arial"/>
                <w:bCs/>
                <w:szCs w:val="18"/>
              </w:rPr>
              <w:t>-1.66</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0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B Mining</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1.59</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1.04</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1.31</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4.16</w:t>
            </w:r>
          </w:p>
        </w:tc>
      </w:tr>
      <w:tr w:rsidR="0065430B" w:rsidRPr="00980041" w:rsidTr="00215A21">
        <w:trPr>
          <w:cantSplit/>
          <w:trHeight w:val="454"/>
        </w:trPr>
        <w:tc>
          <w:tcPr>
            <w:tcW w:w="100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C Manufacturing</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0.54</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0.45</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-0.38</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0.60</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0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D Electricity, gas and water supply</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4.05</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1.87</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-0.97</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4.98</w:t>
            </w:r>
          </w:p>
        </w:tc>
      </w:tr>
      <w:tr w:rsidR="0065430B" w:rsidRPr="00980041" w:rsidTr="00215A21">
        <w:trPr>
          <w:cantSplit/>
          <w:trHeight w:val="454"/>
        </w:trPr>
        <w:tc>
          <w:tcPr>
            <w:tcW w:w="100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E Construction</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0.01</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0.07</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0.02</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0.11</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00" w:type="pct"/>
          </w:tcPr>
          <w:p w:rsidR="0065430B" w:rsidRDefault="0065430B" w:rsidP="006054BB">
            <w:pPr>
              <w:keepNext/>
              <w:spacing w:line="200" w:lineRule="exact"/>
              <w:rPr>
                <w:rStyle w:val="PlaceholderText"/>
                <w:rFonts w:ascii="Arial" w:hAnsi="Arial" w:cs="Arial"/>
                <w:szCs w:val="18"/>
              </w:rPr>
            </w:pPr>
          </w:p>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I Transport, postal and warehousing</w:t>
            </w:r>
          </w:p>
          <w:p w:rsidR="0065430B" w:rsidRPr="00A111F9" w:rsidRDefault="0065430B" w:rsidP="006054BB">
            <w:pPr>
              <w:keepNext/>
              <w:spacing w:line="200" w:lineRule="exact"/>
              <w:rPr>
                <w:rStyle w:val="PlaceholderText"/>
                <w:rFonts w:ascii="Arial" w:hAnsi="Arial" w:cs="Arial"/>
                <w:szCs w:val="18"/>
              </w:rPr>
            </w:pP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0.45</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0.69</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0.48</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1.71</w:t>
            </w:r>
          </w:p>
        </w:tc>
      </w:tr>
      <w:tr w:rsidR="0065430B" w:rsidRPr="00980041" w:rsidTr="00215A21">
        <w:trPr>
          <w:cantSplit/>
          <w:trHeight w:val="454"/>
        </w:trPr>
        <w:tc>
          <w:tcPr>
            <w:tcW w:w="1000" w:type="pct"/>
          </w:tcPr>
          <w:p w:rsidR="0065430B" w:rsidRPr="00A111F9" w:rsidRDefault="0065430B" w:rsidP="006054BB">
            <w:pPr>
              <w:keepNext/>
              <w:spacing w:line="200" w:lineRule="exact"/>
              <w:rPr>
                <w:rStyle w:val="PlaceholderText"/>
                <w:rFonts w:ascii="Arial" w:hAnsi="Arial" w:cs="Arial"/>
                <w:szCs w:val="18"/>
              </w:rPr>
            </w:pPr>
            <w:r w:rsidRPr="00A111F9">
              <w:rPr>
                <w:rStyle w:val="PlaceholderText"/>
                <w:rFonts w:ascii="Arial" w:hAnsi="Arial" w:cs="Arial"/>
                <w:szCs w:val="18"/>
              </w:rPr>
              <w:t>Commercial</w:t>
            </w:r>
            <w:r>
              <w:rPr>
                <w:rStyle w:val="PlaceholderText"/>
                <w:rFonts w:ascii="Arial" w:hAnsi="Arial" w:cs="Arial"/>
                <w:szCs w:val="18"/>
              </w:rPr>
              <w:t xml:space="preserve"> and services</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-0.22</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0.30</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0.07</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0.18</w:t>
            </w:r>
          </w:p>
        </w:tc>
      </w:tr>
      <w:tr w:rsidR="0065430B" w:rsidRPr="00980041" w:rsidTr="00215A21">
        <w:trPr>
          <w:cnfStyle w:val="000000100000" w:firstRow="0" w:lastRow="0" w:firstColumn="0" w:lastColumn="0" w:oddVBand="0" w:evenVBand="0" w:oddHBand="1" w:evenHBand="0" w:firstRowFirstColumn="0" w:firstRowLastColumn="0" w:lastRowFirstColumn="0" w:lastRowLastColumn="0"/>
          <w:cantSplit/>
          <w:trHeight w:val="454"/>
        </w:trPr>
        <w:tc>
          <w:tcPr>
            <w:tcW w:w="1000" w:type="pct"/>
          </w:tcPr>
          <w:p w:rsidR="0065430B" w:rsidRPr="00A111F9" w:rsidRDefault="0065430B" w:rsidP="006054BB">
            <w:pPr>
              <w:keepNext/>
              <w:spacing w:line="200" w:lineRule="exact"/>
              <w:rPr>
                <w:rStyle w:val="PlaceholderText"/>
                <w:rFonts w:ascii="Arial" w:hAnsi="Arial" w:cs="Arial"/>
                <w:szCs w:val="18"/>
              </w:rPr>
            </w:pPr>
            <w:r w:rsidRPr="00A111F9">
              <w:rPr>
                <w:rStyle w:val="PlaceholderText"/>
                <w:rFonts w:ascii="Arial" w:hAnsi="Arial" w:cs="Arial"/>
                <w:szCs w:val="18"/>
              </w:rPr>
              <w:t>Residential</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1.16</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0.14</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0.21</w:t>
            </w:r>
          </w:p>
        </w:tc>
        <w:tc>
          <w:tcPr>
            <w:tcW w:w="1000" w:type="pct"/>
          </w:tcPr>
          <w:p w:rsidR="0065430B" w:rsidRPr="00AB184A" w:rsidRDefault="0065430B" w:rsidP="006054BB">
            <w:pPr>
              <w:jc w:val="center"/>
              <w:rPr>
                <w:rFonts w:ascii="Arial" w:hAnsi="Arial" w:cs="Arial"/>
                <w:bCs/>
                <w:szCs w:val="18"/>
              </w:rPr>
            </w:pPr>
            <w:r w:rsidRPr="00AB184A">
              <w:rPr>
                <w:rFonts w:ascii="Arial" w:hAnsi="Arial" w:cs="Arial"/>
                <w:bCs/>
                <w:szCs w:val="18"/>
              </w:rPr>
              <w:t>1.55</w:t>
            </w:r>
          </w:p>
        </w:tc>
      </w:tr>
      <w:tr w:rsidR="0065430B" w:rsidRPr="00980041" w:rsidTr="00215A21">
        <w:trPr>
          <w:cantSplit/>
          <w:trHeight w:val="454"/>
        </w:trPr>
        <w:tc>
          <w:tcPr>
            <w:tcW w:w="100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Total</w:t>
            </w:r>
          </w:p>
        </w:tc>
        <w:tc>
          <w:tcPr>
            <w:tcW w:w="1000" w:type="pct"/>
          </w:tcPr>
          <w:p w:rsidR="0065430B" w:rsidRPr="00AB184A" w:rsidRDefault="0065430B" w:rsidP="006054BB">
            <w:pPr>
              <w:jc w:val="center"/>
              <w:rPr>
                <w:rFonts w:ascii="Arial" w:hAnsi="Arial" w:cs="Arial"/>
                <w:szCs w:val="18"/>
              </w:rPr>
            </w:pPr>
            <w:r w:rsidRPr="00AB184A">
              <w:rPr>
                <w:rFonts w:ascii="Arial" w:hAnsi="Arial" w:cs="Arial"/>
                <w:szCs w:val="18"/>
              </w:rPr>
              <w:t>7.31</w:t>
            </w:r>
          </w:p>
        </w:tc>
        <w:tc>
          <w:tcPr>
            <w:tcW w:w="1000" w:type="pct"/>
          </w:tcPr>
          <w:p w:rsidR="0065430B" w:rsidRPr="00AB184A" w:rsidRDefault="0065430B" w:rsidP="006054BB">
            <w:pPr>
              <w:jc w:val="center"/>
              <w:rPr>
                <w:rFonts w:ascii="Arial" w:hAnsi="Arial" w:cs="Arial"/>
                <w:szCs w:val="18"/>
              </w:rPr>
            </w:pPr>
            <w:r w:rsidRPr="00AB184A">
              <w:rPr>
                <w:rFonts w:ascii="Arial" w:hAnsi="Arial" w:cs="Arial"/>
                <w:szCs w:val="18"/>
              </w:rPr>
              <w:t>3.97</w:t>
            </w:r>
          </w:p>
        </w:tc>
        <w:tc>
          <w:tcPr>
            <w:tcW w:w="1000" w:type="pct"/>
          </w:tcPr>
          <w:p w:rsidR="0065430B" w:rsidRPr="00AB184A" w:rsidRDefault="0065430B" w:rsidP="006054BB">
            <w:pPr>
              <w:jc w:val="center"/>
              <w:rPr>
                <w:rFonts w:ascii="Arial" w:hAnsi="Arial" w:cs="Arial"/>
                <w:szCs w:val="18"/>
              </w:rPr>
            </w:pPr>
            <w:r w:rsidRPr="00AB184A">
              <w:rPr>
                <w:rFonts w:ascii="Arial" w:hAnsi="Arial" w:cs="Arial"/>
                <w:szCs w:val="18"/>
              </w:rPr>
              <w:t>0.35</w:t>
            </w:r>
          </w:p>
        </w:tc>
        <w:tc>
          <w:tcPr>
            <w:tcW w:w="1000" w:type="pct"/>
          </w:tcPr>
          <w:p w:rsidR="0065430B" w:rsidRPr="00AB184A" w:rsidRDefault="0065430B" w:rsidP="006054BB">
            <w:pPr>
              <w:jc w:val="center"/>
              <w:rPr>
                <w:rFonts w:ascii="Arial" w:hAnsi="Arial" w:cs="Arial"/>
                <w:szCs w:val="18"/>
              </w:rPr>
            </w:pPr>
            <w:r w:rsidRPr="00AB184A">
              <w:rPr>
                <w:rFonts w:ascii="Arial" w:hAnsi="Arial" w:cs="Arial"/>
                <w:szCs w:val="18"/>
              </w:rPr>
              <w:t>11.96</w:t>
            </w:r>
          </w:p>
        </w:tc>
      </w:tr>
    </w:tbl>
    <w:p w:rsidR="0065430B" w:rsidRPr="00820511" w:rsidRDefault="0065430B" w:rsidP="0065430B">
      <w:pPr>
        <w:pStyle w:val="Header"/>
        <w:pBdr>
          <w:bottom w:val="none" w:sz="0" w:space="0" w:color="auto"/>
        </w:pBdr>
      </w:pPr>
    </w:p>
    <w:p w:rsidR="0065430B" w:rsidRDefault="0065430B" w:rsidP="0065430B">
      <w:pPr>
        <w:pStyle w:val="Note"/>
      </w:pPr>
      <w:r>
        <w:t>Notes:</w:t>
      </w:r>
      <w:r>
        <w:tab/>
        <w:t>Sector contribution to total emission percentage growth (excluding LULUCF). *</w:t>
      </w:r>
      <w:r w:rsidRPr="009C3843">
        <w:t xml:space="preserve"> </w:t>
      </w:r>
      <w:r>
        <w:t xml:space="preserve">This </w:t>
      </w:r>
      <w:r w:rsidRPr="009C3843">
        <w:t>sector includes emissions from Enteric Fermentation, Manure Management, Rice Cultivation, Agricultural Soils, Prescribed Burning of Savannas and Field Burning of Agricultural Residues</w:t>
      </w:r>
      <w:r>
        <w:t>.</w:t>
      </w:r>
    </w:p>
    <w:p w:rsidR="0065430B" w:rsidRDefault="0065430B" w:rsidP="0065430B">
      <w:pPr>
        <w:pStyle w:val="Source"/>
      </w:pPr>
      <w:r w:rsidRPr="00EF51BF">
        <w:t>Source:</w:t>
      </w:r>
      <w:r>
        <w:tab/>
        <w:t>Vivid Economics based on AGEIS (2013)</w:t>
      </w:r>
    </w:p>
    <w:p w:rsidR="0065430B" w:rsidRDefault="0065430B" w:rsidP="0065430B">
      <w:r>
        <w:t xml:space="preserve">Emissions from agriculture rose between 1990 and 2001, driven by a combination of operational inputs (increased fertiliser use) and expansion (savannah burning) </w:t>
      </w:r>
      <w:r w:rsidR="005A66AE">
        <w:fldChar w:fldCharType="begin" w:fldLock="1"/>
      </w:r>
      <w:r w:rsidR="00971CE6">
        <w:instrText>ADDIN CSL_CITATION { "citationItems" : [ { "id" : "ITEM-1", "itemData" : { "ISBN" : "9781921298745", "author" : [ { "dropping-particle" : "", "family" : "UNFCC", "given" : "", "non-dropping-particle" : "", "parse-names" : false, "suffix" : "" } ], "id" : "ITEM-1", "issued" : { "date-parts" : [ [ "2010" ] ] }, "title" : "Australia\u2019s Fifth National Communication on Climate Change", "type" : "article" }, "uris" : [ "http://www.mendeley.com/documents/?uuid=f911f62a-e8b6-4337-8208-f812586071bc" ] } ], "mendeley" : { "previouslyFormattedCitation" : "(UNFCC, 2010)" }, "properties" : { "noteIndex" : 0 }, "schema" : "https://github.com/citation-style-language/schema/raw/master/csl-citation.json" }</w:instrText>
      </w:r>
      <w:r w:rsidR="005A66AE">
        <w:fldChar w:fldCharType="separate"/>
      </w:r>
      <w:r w:rsidRPr="0005588A">
        <w:rPr>
          <w:noProof/>
        </w:rPr>
        <w:t>(UNFCC</w:t>
      </w:r>
      <w:r w:rsidR="00EC6BE7">
        <w:rPr>
          <w:noProof/>
        </w:rPr>
        <w:t>C</w:t>
      </w:r>
      <w:r w:rsidRPr="0005588A">
        <w:rPr>
          <w:noProof/>
        </w:rPr>
        <w:t>, 2010)</w:t>
      </w:r>
      <w:r w:rsidR="005A66AE">
        <w:fldChar w:fldCharType="end"/>
      </w:r>
      <w:r>
        <w:t>,</w:t>
      </w:r>
      <w:r w:rsidR="005A66AE">
        <w:fldChar w:fldCharType="begin" w:fldLock="1"/>
      </w:r>
      <w:r w:rsidR="00971CE6">
        <w:instrText>ADDIN CSL_CITATION { "citationItems" : [ { "id" : "ITEM-1", "itemData" : { "ISBN" : "9781921916960", "author" : [ { "dropping-particle" : "", "family" : "UNFCCC", "given" : "", "non-dropping-particle" : "", "parse-names" : false, "suffix" : "" } ], "id" : "ITEM-1", "issued" : { "date-parts" : [ [ "2013" ] ] }, "title" : "Australia's Sixth National Communication on Climate Change", "type" : "article" }, "uris" : [ "http://www.mendeley.com/documents/?uuid=807c9350-6895-4e10-abed-8e301d049647" ] } ], "mendeley" : { "previouslyFormattedCitation" : "(UNFCCC, 2013)" }, "properties" : { "noteIndex" : 0 }, "schema" : "https://github.com/citation-style-language/schema/raw/master/csl-citation.json" }</w:instrText>
      </w:r>
      <w:r w:rsidR="005A66AE">
        <w:fldChar w:fldCharType="separate"/>
      </w:r>
      <w:r w:rsidRPr="0005588A">
        <w:rPr>
          <w:noProof/>
        </w:rPr>
        <w:t>(UNFCCC, 2013)</w:t>
      </w:r>
      <w:r w:rsidR="005A66AE">
        <w:fldChar w:fldCharType="end"/>
      </w:r>
      <w:r>
        <w:t xml:space="preserve">. Between 2002 and 2010, adverse weather conditions led to reduced activity and lower emissions </w:t>
      </w:r>
      <w:r w:rsidR="005A66AE">
        <w:fldChar w:fldCharType="begin" w:fldLock="1"/>
      </w:r>
      <w:r w:rsidR="00971CE6">
        <w:instrText>ADDIN CSL_CITATION { "citationItems" : [ { "id" : "ITEM-1", "itemData" : { "ISBN" : "9781921916960", "author" : [ { "dropping-particle" : "", "family" : "UNFCCC", "given" : "", "non-dropping-particle" : "", "parse-names" : false, "suffix" : "" } ], "id" : "ITEM-1", "issued" : { "date-parts" : [ [ "2013" ] ] }, "title" : "Australia's Sixth National Communication on Climate Change", "type" : "article" }, "uris" : [ "http://www.mendeley.com/documents/?uuid=807c9350-6895-4e10-abed-8e301d049647" ] } ], "mendeley" : { "previouslyFormattedCitation" : "(UNFCCC, 2013)" }, "properties" : { "noteIndex" : 0 }, "schema" : "https://github.com/citation-style-language/schema/raw/master/csl-citation.json" }</w:instrText>
      </w:r>
      <w:r w:rsidR="005A66AE">
        <w:fldChar w:fldCharType="separate"/>
      </w:r>
      <w:r w:rsidRPr="00F55FF4">
        <w:rPr>
          <w:noProof/>
        </w:rPr>
        <w:t>(UNFCCC, 2013)</w:t>
      </w:r>
      <w:r w:rsidR="005A66AE">
        <w:fldChar w:fldCharType="end"/>
      </w:r>
      <w:r>
        <w:t>. With the cessation of the drought in more recent years, farmers are beginning to rebuild livestock populations and increase crop production and fertiliser use, and associated emissions are increasing.</w:t>
      </w:r>
    </w:p>
    <w:p w:rsidR="0065430B" w:rsidRDefault="0065430B" w:rsidP="0065430B"/>
    <w:p w:rsidR="00A136F6" w:rsidRDefault="0065430B" w:rsidP="0065430B">
      <w:r>
        <w:t>Between 1990 and 2011, LULUCF net emissions have declined from 106.3 MtCO</w:t>
      </w:r>
      <w:r w:rsidRPr="00590427">
        <w:rPr>
          <w:vertAlign w:val="subscript"/>
        </w:rPr>
        <w:t>2</w:t>
      </w:r>
      <w:r>
        <w:t>e to -40.3 MtCO</w:t>
      </w:r>
      <w:r w:rsidRPr="00590427">
        <w:rPr>
          <w:vertAlign w:val="subscript"/>
        </w:rPr>
        <w:t>2</w:t>
      </w:r>
      <w:r>
        <w:t xml:space="preserve">e (a reduction of 138 per cent), </w:t>
      </w:r>
      <w:r w:rsidR="005A66AE">
        <w:fldChar w:fldCharType="begin" w:fldLock="1"/>
      </w:r>
      <w:r w:rsidR="00971CE6">
        <w:instrText>ADDIN CSL_CITATION { "citationItems" : [ { "id" : "ITEM-1", "itemData" : { "ISBN" : "9781921916960", "author" : [ { "dropping-particle" : "", "family" : "UNFCCC", "given" : "", "non-dropping-particle" : "", "parse-names" : false, "suffix" : "" } ], "id" : "ITEM-1", "issued" : { "date-parts" : [ [ "2013" ] ] }, "title" : "Australia's Sixth National Communication on Climate Change", "type" : "article" }, "uris" : [ "http://www.mendeley.com/documents/?uuid=807c9350-6895-4e10-abed-8e301d049647" ] } ], "mendeley" : { "previouslyFormattedCitation" : "(UNFCCC, 2013)" }, "properties" : { "noteIndex" : 0 }, "schema" : "https://github.com/citation-style-language/schema/raw/master/csl-citation.json" }</w:instrText>
      </w:r>
      <w:r w:rsidR="005A66AE">
        <w:fldChar w:fldCharType="separate"/>
      </w:r>
      <w:r w:rsidRPr="00221459">
        <w:rPr>
          <w:noProof/>
        </w:rPr>
        <w:t>(UNFCCC, 2013)</w:t>
      </w:r>
      <w:r w:rsidR="005A66AE">
        <w:fldChar w:fldCharType="end"/>
      </w:r>
      <w:r>
        <w:t>. This reduction is largely driven by the conversion of forestry land to grassland and land for crops. Seasonal variability and weather incidents such as wildfire also contribute to changes in LULUCF emissions.</w:t>
      </w:r>
    </w:p>
    <w:p w:rsidR="00A136F6" w:rsidRDefault="00A136F6" w:rsidP="0065430B"/>
    <w:p w:rsidR="00A251DA" w:rsidRDefault="00741227" w:rsidP="00A251DA">
      <w:r>
        <w:t xml:space="preserve">Emissions from electricity fell by -2.7 per cent (-0.9 per cent per year) between </w:t>
      </w:r>
      <w:r w:rsidR="006C667D">
        <w:t>2008</w:t>
      </w:r>
      <w:r>
        <w:t xml:space="preserve"> and </w:t>
      </w:r>
      <w:r w:rsidR="006C667D">
        <w:t>2011</w:t>
      </w:r>
      <w:r>
        <w:t xml:space="preserve">, which can be broken down to a 6.5 per cent (-2.2 per cent per year) decline due to decreases in the electricity generation emissions intensity and a subdued growth in electricity consumption in all of Australia down to 3.8 per cent (1.3 per cent per year) from 6.3 per cent (2.1 per cent per year) between </w:t>
      </w:r>
      <w:r w:rsidR="006C667D">
        <w:t>2005</w:t>
      </w:r>
      <w:r>
        <w:t xml:space="preserve"> and </w:t>
      </w:r>
      <w:r w:rsidR="006C667D">
        <w:t>2008</w:t>
      </w:r>
      <w:r>
        <w:t xml:space="preserve">. The lower growth in </w:t>
      </w:r>
      <w:r>
        <w:lastRenderedPageBreak/>
        <w:t>electricity consumption stems from decreased electricity consumption in the NEM while consumption increased elsewhere, particularly in Western Australia.</w:t>
      </w:r>
    </w:p>
    <w:p w:rsidR="00741227" w:rsidRDefault="00741227" w:rsidP="00741227"/>
    <w:p w:rsidR="0065430B" w:rsidRDefault="00741227" w:rsidP="00741227">
      <w:pPr>
        <w:pStyle w:val="Heading2"/>
      </w:pPr>
      <w:r>
        <w:lastRenderedPageBreak/>
        <w:t xml:space="preserve"> </w:t>
      </w:r>
      <w:bookmarkStart w:id="255" w:name="_Toc369890618"/>
      <w:r w:rsidR="0065430B">
        <w:t>Emissions intensity</w:t>
      </w:r>
      <w:bookmarkEnd w:id="255"/>
    </w:p>
    <w:p w:rsidR="0065430B" w:rsidRPr="004A642D" w:rsidRDefault="0065430B" w:rsidP="0065430B">
      <w:r w:rsidRPr="004A642D">
        <w:t>The emissions intensity</w:t>
      </w:r>
      <w:r>
        <w:t xml:space="preserve"> of Australia fell by 14</w:t>
      </w:r>
      <w:r w:rsidRPr="004A642D">
        <w:t xml:space="preserve"> per cent</w:t>
      </w:r>
      <w:r>
        <w:t>, 1.9 per cent per year,</w:t>
      </w:r>
      <w:r w:rsidRPr="004A642D">
        <w:t xml:space="preserve"> between </w:t>
      </w:r>
      <w:r w:rsidR="006C667D">
        <w:t>2000</w:t>
      </w:r>
      <w:r w:rsidRPr="004A642D">
        <w:t xml:space="preserve"> and </w:t>
      </w:r>
      <w:r w:rsidR="006C667D">
        <w:t>2008</w:t>
      </w:r>
      <w:r w:rsidRPr="004A642D">
        <w:t xml:space="preserve"> and by 5.</w:t>
      </w:r>
      <w:r>
        <w:t>6</w:t>
      </w:r>
      <w:r w:rsidRPr="004A642D">
        <w:t xml:space="preserve"> per cent</w:t>
      </w:r>
      <w:r w:rsidR="0022120C">
        <w:t>, 1.9</w:t>
      </w:r>
      <w:r>
        <w:t xml:space="preserve"> per cent per year,</w:t>
      </w:r>
      <w:r w:rsidRPr="004A642D">
        <w:t xml:space="preserve"> between </w:t>
      </w:r>
      <w:r w:rsidR="006C667D">
        <w:t>2008</w:t>
      </w:r>
      <w:r w:rsidRPr="004A642D">
        <w:t xml:space="preserve"> and </w:t>
      </w:r>
      <w:r w:rsidR="006C667D">
        <w:t>2011</w:t>
      </w:r>
      <w:r>
        <w:t>,</w:t>
      </w:r>
      <w:r w:rsidRPr="004A642D">
        <w:t xml:space="preserve"> as shown in </w:t>
      </w:r>
      <w:r w:rsidR="005A66AE">
        <w:fldChar w:fldCharType="begin"/>
      </w:r>
      <w:r w:rsidR="00B2119B">
        <w:instrText xml:space="preserve"> REF _Ref366270356 \r \h </w:instrText>
      </w:r>
      <w:r w:rsidR="005A66AE">
        <w:fldChar w:fldCharType="separate"/>
      </w:r>
      <w:r w:rsidR="00197E14">
        <w:t>Figure 45</w:t>
      </w:r>
      <w:r w:rsidR="005A66AE">
        <w:fldChar w:fldCharType="end"/>
      </w:r>
      <w:r>
        <w:t>.</w:t>
      </w:r>
    </w:p>
    <w:p w:rsidR="0065430B" w:rsidRPr="000D25DC" w:rsidRDefault="0065430B" w:rsidP="0065430B">
      <w:pPr>
        <w:pStyle w:val="Charttitle"/>
      </w:pPr>
      <w:bookmarkStart w:id="256" w:name="_Toc365818481"/>
      <w:bookmarkStart w:id="257" w:name="_Toc366269866"/>
      <w:bookmarkStart w:id="258" w:name="_Ref366270356"/>
      <w:bookmarkStart w:id="259" w:name="_Toc369890585"/>
      <w:r>
        <w:t xml:space="preserve">The economy-wide emissions intensity has been steadily declining between </w:t>
      </w:r>
      <w:r w:rsidR="006C667D">
        <w:t>2000</w:t>
      </w:r>
      <w:r>
        <w:t xml:space="preserve"> and </w:t>
      </w:r>
      <w:r w:rsidR="006C667D">
        <w:t>2011</w:t>
      </w:r>
      <w:r>
        <w:t xml:space="preserve"> at a rate of 1.9 per cent per </w:t>
      </w:r>
      <w:bookmarkEnd w:id="256"/>
      <w:r>
        <w:t>year</w:t>
      </w:r>
      <w:bookmarkEnd w:id="257"/>
      <w:bookmarkEnd w:id="258"/>
      <w:bookmarkEnd w:id="259"/>
    </w:p>
    <w:p w:rsidR="0065430B" w:rsidRPr="00430244" w:rsidRDefault="0065430B" w:rsidP="0065430B">
      <w:pPr>
        <w:pStyle w:val="Chartspacer"/>
        <w:rPr>
          <w:rStyle w:val="PlaceholderText"/>
        </w:rPr>
      </w:pPr>
      <w:r w:rsidRPr="00A64E96">
        <w:rPr>
          <w:noProof/>
          <w:lang w:eastAsia="en-GB"/>
        </w:rPr>
        <w:drawing>
          <wp:inline distT="0" distB="0" distL="0" distR="0" wp14:anchorId="00C27A2B" wp14:editId="3FD5863C">
            <wp:extent cx="6120130" cy="31999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3199954"/>
                    </a:xfrm>
                    <a:prstGeom prst="rect">
                      <a:avLst/>
                    </a:prstGeom>
                    <a:noFill/>
                    <a:ln>
                      <a:noFill/>
                    </a:ln>
                  </pic:spPr>
                </pic:pic>
              </a:graphicData>
            </a:graphic>
          </wp:inline>
        </w:drawing>
      </w:r>
    </w:p>
    <w:p w:rsidR="0065430B" w:rsidRDefault="0065430B" w:rsidP="0065430B">
      <w:pPr>
        <w:pStyle w:val="Note"/>
      </w:pPr>
      <w:r>
        <w:t>Note:</w:t>
      </w:r>
      <w:r>
        <w:tab/>
        <w:t>Overall emissions intensity in economy-wide CO</w:t>
      </w:r>
      <w:r w:rsidRPr="00A111F9">
        <w:rPr>
          <w:vertAlign w:val="subscript"/>
        </w:rPr>
        <w:t>2</w:t>
      </w:r>
      <w:r>
        <w:t>e emissions over real GDP in AUD.</w:t>
      </w:r>
    </w:p>
    <w:p w:rsidR="0065430B" w:rsidRDefault="0065430B" w:rsidP="0065430B">
      <w:pPr>
        <w:pStyle w:val="Source"/>
        <w:rPr>
          <w:b/>
        </w:rPr>
      </w:pPr>
      <w:r w:rsidRPr="005A132E">
        <w:t>Source:</w:t>
      </w:r>
      <w:r>
        <w:tab/>
        <w:t>Vivid Economics based on BREE (2013) and ABS (2013)</w:t>
      </w:r>
    </w:p>
    <w:p w:rsidR="0065430B" w:rsidRPr="00096795" w:rsidRDefault="00B2119B" w:rsidP="0065430B">
      <w:r>
        <w:t>Electricity supply</w:t>
      </w:r>
      <w:r w:rsidR="0065430B" w:rsidRPr="00096795">
        <w:t xml:space="preserve"> and </w:t>
      </w:r>
      <w:r>
        <w:t xml:space="preserve">agriculture </w:t>
      </w:r>
      <w:r w:rsidR="0065430B" w:rsidRPr="00096795">
        <w:t xml:space="preserve">have shown the biggest decrease in emissions intensity as shown in </w:t>
      </w:r>
      <w:r w:rsidR="00265722">
        <w:fldChar w:fldCharType="begin"/>
      </w:r>
      <w:r w:rsidR="00265722">
        <w:instrText xml:space="preserve"> REF _Ref365881087 \r \h  \* MERGEFORMAT </w:instrText>
      </w:r>
      <w:r w:rsidR="00265722">
        <w:fldChar w:fldCharType="separate"/>
      </w:r>
      <w:r w:rsidR="00197E14">
        <w:t>Figure 46</w:t>
      </w:r>
      <w:r w:rsidR="00265722">
        <w:fldChar w:fldCharType="end"/>
      </w:r>
      <w:r w:rsidR="0065430B" w:rsidRPr="00096795">
        <w:t>.</w:t>
      </w:r>
    </w:p>
    <w:p w:rsidR="0065430B" w:rsidRPr="000D25DC" w:rsidRDefault="0065430B" w:rsidP="0065430B">
      <w:pPr>
        <w:pStyle w:val="Charttitle"/>
      </w:pPr>
      <w:bookmarkStart w:id="260" w:name="_Toc365818483"/>
      <w:bookmarkStart w:id="261" w:name="_Ref365881087"/>
      <w:bookmarkStart w:id="262" w:name="_Toc366269867"/>
      <w:bookmarkStart w:id="263" w:name="_Toc369890586"/>
      <w:r>
        <w:lastRenderedPageBreak/>
        <w:t>Agriculture and electricity supply have seen declining emissions intensity in the last period</w:t>
      </w:r>
      <w:bookmarkEnd w:id="260"/>
      <w:bookmarkEnd w:id="261"/>
      <w:bookmarkEnd w:id="262"/>
      <w:bookmarkEnd w:id="263"/>
    </w:p>
    <w:p w:rsidR="0065430B" w:rsidRPr="00430244" w:rsidRDefault="0065430B" w:rsidP="0065430B">
      <w:pPr>
        <w:pStyle w:val="Chartspacer"/>
        <w:rPr>
          <w:rStyle w:val="PlaceholderText"/>
        </w:rPr>
      </w:pPr>
      <w:r w:rsidRPr="00CB49DB">
        <w:rPr>
          <w:noProof/>
          <w:lang w:eastAsia="en-GB"/>
        </w:rPr>
        <w:drawing>
          <wp:inline distT="0" distB="0" distL="0" distR="0" wp14:anchorId="7D8B71A1" wp14:editId="69931DE1">
            <wp:extent cx="6120000" cy="2880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000" cy="2880000"/>
                    </a:xfrm>
                    <a:prstGeom prst="rect">
                      <a:avLst/>
                    </a:prstGeom>
                    <a:noFill/>
                    <a:ln>
                      <a:noFill/>
                    </a:ln>
                  </pic:spPr>
                </pic:pic>
              </a:graphicData>
            </a:graphic>
          </wp:inline>
        </w:drawing>
      </w:r>
    </w:p>
    <w:p w:rsidR="0065430B" w:rsidRDefault="0065430B" w:rsidP="0065430B">
      <w:pPr>
        <w:pStyle w:val="Note"/>
      </w:pPr>
      <w:r>
        <w:t>Note:</w:t>
      </w:r>
      <w:r>
        <w:tab/>
        <w:t>Emissions intensity per sector is CO</w:t>
      </w:r>
      <w:r w:rsidRPr="00A66FB0">
        <w:rPr>
          <w:vertAlign w:val="subscript"/>
        </w:rPr>
        <w:t>2</w:t>
      </w:r>
      <w:r>
        <w:t xml:space="preserve"> equivalent gas emissions in kg over sector’s real GVA.</w:t>
      </w:r>
    </w:p>
    <w:p w:rsidR="0065430B" w:rsidRDefault="0065430B" w:rsidP="0065430B">
      <w:pPr>
        <w:pStyle w:val="Source"/>
      </w:pPr>
      <w:r w:rsidRPr="005A132E">
        <w:t>Source:</w:t>
      </w:r>
      <w:r>
        <w:tab/>
        <w:t xml:space="preserve">Vivid Economics based on </w:t>
      </w:r>
      <w:r w:rsidR="00C11149">
        <w:t>Australian Government National Greenhouse Gas Inventory (2013) and Australian Government Bureau of Resource and Energy Economics (2013)</w:t>
      </w:r>
    </w:p>
    <w:p w:rsidR="0065430B" w:rsidRPr="009D43D5" w:rsidRDefault="0065430B" w:rsidP="0065430B">
      <w:r w:rsidRPr="0022120C">
        <w:t>The emissions intensity of manufacturing fell from 0.7 ktCO</w:t>
      </w:r>
      <w:r w:rsidRPr="0022120C">
        <w:rPr>
          <w:vertAlign w:val="subscript"/>
        </w:rPr>
        <w:t>2</w:t>
      </w:r>
      <w:r w:rsidRPr="0022120C">
        <w:t xml:space="preserve">e/AUD in </w:t>
      </w:r>
      <w:r w:rsidR="006C667D">
        <w:t>2000</w:t>
      </w:r>
      <w:r w:rsidRPr="0022120C">
        <w:t xml:space="preserve"> to 0.66 ktCO</w:t>
      </w:r>
      <w:r w:rsidRPr="0022120C">
        <w:rPr>
          <w:vertAlign w:val="subscript"/>
        </w:rPr>
        <w:t>2</w:t>
      </w:r>
      <w:r w:rsidRPr="0022120C">
        <w:t xml:space="preserve">e/AUD in </w:t>
      </w:r>
      <w:r w:rsidR="006C667D">
        <w:t>2011</w:t>
      </w:r>
      <w:r w:rsidRPr="0022120C">
        <w:t>. In the same period, the emissions intensity of mining increased from 0.51 ktCO</w:t>
      </w:r>
      <w:r w:rsidRPr="0022120C">
        <w:rPr>
          <w:vertAlign w:val="subscript"/>
        </w:rPr>
        <w:t>2</w:t>
      </w:r>
      <w:r w:rsidRPr="0022120C">
        <w:t>e/AUD to 0.52 ktCO</w:t>
      </w:r>
      <w:r w:rsidRPr="0022120C">
        <w:rPr>
          <w:vertAlign w:val="subscript"/>
        </w:rPr>
        <w:t>2</w:t>
      </w:r>
      <w:r w:rsidRPr="0022120C">
        <w:t>e/AUD and the</w:t>
      </w:r>
      <w:r w:rsidRPr="009D43D5">
        <w:t xml:space="preserve"> emissions intensity of </w:t>
      </w:r>
      <w:r>
        <w:t>commercial and services fell from 0.056</w:t>
      </w:r>
      <w:r w:rsidRPr="009D43D5">
        <w:t xml:space="preserve"> </w:t>
      </w:r>
      <w:r>
        <w:t>k</w:t>
      </w:r>
      <w:r w:rsidRPr="009D43D5">
        <w:t>tCO</w:t>
      </w:r>
      <w:r w:rsidRPr="009D43D5">
        <w:rPr>
          <w:vertAlign w:val="subscript"/>
        </w:rPr>
        <w:t>2</w:t>
      </w:r>
      <w:r w:rsidRPr="009D43D5">
        <w:t>e/AUD</w:t>
      </w:r>
      <w:r>
        <w:t xml:space="preserve"> to 0.04 k</w:t>
      </w:r>
      <w:r w:rsidRPr="009D43D5">
        <w:t>tCO</w:t>
      </w:r>
      <w:r w:rsidRPr="009D43D5">
        <w:rPr>
          <w:vertAlign w:val="subscript"/>
        </w:rPr>
        <w:t>2</w:t>
      </w:r>
      <w:r w:rsidRPr="009D43D5">
        <w:t>e/AUD</w:t>
      </w:r>
      <w:r>
        <w:t xml:space="preserve"> as shown in </w:t>
      </w:r>
      <w:r w:rsidR="005A66AE">
        <w:fldChar w:fldCharType="begin"/>
      </w:r>
      <w:r w:rsidR="00B2119B">
        <w:instrText xml:space="preserve"> REF _Ref366270429 \r \h </w:instrText>
      </w:r>
      <w:r w:rsidR="005A66AE">
        <w:fldChar w:fldCharType="separate"/>
      </w:r>
      <w:r w:rsidR="00197E14">
        <w:t>Table 21</w:t>
      </w:r>
      <w:r w:rsidR="005A66AE">
        <w:fldChar w:fldCharType="end"/>
      </w:r>
      <w:r>
        <w:t>.</w:t>
      </w:r>
    </w:p>
    <w:p w:rsidR="0065430B" w:rsidRPr="00DE4EAF" w:rsidRDefault="0065430B" w:rsidP="00645813">
      <w:pPr>
        <w:pStyle w:val="Tabletitle"/>
      </w:pPr>
      <w:bookmarkStart w:id="264" w:name="_Ref366270429"/>
      <w:bookmarkStart w:id="265" w:name="_Toc369890530"/>
      <w:r>
        <w:lastRenderedPageBreak/>
        <w:t xml:space="preserve">Div. D Electricity </w:t>
      </w:r>
      <w:r w:rsidR="00C975C4">
        <w:t>and Agriculture have</w:t>
      </w:r>
      <w:r>
        <w:t xml:space="preserve"> seen intensity fall sharply between </w:t>
      </w:r>
      <w:r w:rsidR="006C667D">
        <w:t>2008</w:t>
      </w:r>
      <w:r>
        <w:t xml:space="preserve"> and </w:t>
      </w:r>
      <w:r w:rsidR="006C667D">
        <w:t>2011</w:t>
      </w:r>
      <w:r>
        <w:t>.</w:t>
      </w:r>
      <w:bookmarkEnd w:id="264"/>
      <w:bookmarkEnd w:id="265"/>
    </w:p>
    <w:tbl>
      <w:tblPr>
        <w:tblStyle w:val="Vividtable"/>
        <w:tblW w:w="9748" w:type="dxa"/>
        <w:tblLook w:val="04A0" w:firstRow="1" w:lastRow="0" w:firstColumn="1" w:lastColumn="0" w:noHBand="0" w:noVBand="1"/>
      </w:tblPr>
      <w:tblGrid>
        <w:gridCol w:w="2945"/>
        <w:gridCol w:w="2269"/>
        <w:gridCol w:w="2269"/>
        <w:gridCol w:w="2265"/>
      </w:tblGrid>
      <w:tr w:rsidR="0065430B" w:rsidRPr="00096795" w:rsidTr="00215A21">
        <w:trPr>
          <w:cnfStyle w:val="100000000000" w:firstRow="1" w:lastRow="0" w:firstColumn="0" w:lastColumn="0" w:oddVBand="0" w:evenVBand="0" w:oddHBand="0" w:evenHBand="0" w:firstRowFirstColumn="0" w:firstRowLastColumn="0" w:lastRowFirstColumn="0" w:lastRowLastColumn="0"/>
          <w:cantSplit/>
          <w:trHeight w:val="510"/>
          <w:tblHeader/>
        </w:trPr>
        <w:tc>
          <w:tcPr>
            <w:tcW w:w="1510" w:type="pct"/>
            <w:vMerge w:val="restart"/>
          </w:tcPr>
          <w:p w:rsidR="0065430B" w:rsidRPr="00096795" w:rsidRDefault="0065430B" w:rsidP="006054BB">
            <w:pPr>
              <w:keepNext/>
              <w:rPr>
                <w:rStyle w:val="PlaceholderText"/>
                <w:rFonts w:ascii="Arial" w:hAnsi="Arial" w:cs="Arial"/>
                <w:szCs w:val="18"/>
              </w:rPr>
            </w:pPr>
            <w:r w:rsidRPr="00096795">
              <w:rPr>
                <w:rStyle w:val="PlaceholderText"/>
                <w:rFonts w:ascii="Arial" w:hAnsi="Arial" w:cs="Arial"/>
                <w:szCs w:val="18"/>
              </w:rPr>
              <w:t>Variable</w:t>
            </w:r>
          </w:p>
        </w:tc>
        <w:tc>
          <w:tcPr>
            <w:tcW w:w="3490" w:type="pct"/>
            <w:gridSpan w:val="3"/>
            <w:tcBorders>
              <w:bottom w:val="single" w:sz="4" w:space="0" w:color="000000" w:themeColor="text1"/>
            </w:tcBorders>
          </w:tcPr>
          <w:p w:rsidR="0065430B" w:rsidRPr="00096795" w:rsidRDefault="0065430B" w:rsidP="006054BB">
            <w:pPr>
              <w:keepNext/>
              <w:jc w:val="center"/>
              <w:rPr>
                <w:rStyle w:val="PlaceholderText"/>
                <w:rFonts w:ascii="Arial" w:hAnsi="Arial" w:cs="Arial"/>
                <w:szCs w:val="18"/>
              </w:rPr>
            </w:pPr>
            <w:r w:rsidRPr="00096795">
              <w:rPr>
                <w:rStyle w:val="PlaceholderText"/>
                <w:rFonts w:ascii="Arial" w:hAnsi="Arial" w:cs="Arial"/>
                <w:szCs w:val="18"/>
              </w:rPr>
              <w:t>Emissions intensity (</w:t>
            </w:r>
            <w:r>
              <w:rPr>
                <w:rStyle w:val="PlaceholderText"/>
                <w:rFonts w:ascii="Arial" w:hAnsi="Arial" w:cs="Arial"/>
                <w:szCs w:val="18"/>
              </w:rPr>
              <w:t>kg</w:t>
            </w:r>
            <w:r w:rsidRPr="00096795">
              <w:rPr>
                <w:rStyle w:val="PlaceholderText"/>
                <w:rFonts w:ascii="Arial" w:hAnsi="Arial" w:cs="Arial"/>
                <w:szCs w:val="18"/>
              </w:rPr>
              <w:t>CO</w:t>
            </w:r>
            <w:r w:rsidRPr="00096795">
              <w:rPr>
                <w:rStyle w:val="PlaceholderText"/>
                <w:rFonts w:ascii="Arial" w:hAnsi="Arial" w:cs="Arial"/>
                <w:szCs w:val="18"/>
                <w:vertAlign w:val="subscript"/>
              </w:rPr>
              <w:t>2</w:t>
            </w:r>
            <w:r w:rsidRPr="00096795">
              <w:rPr>
                <w:rStyle w:val="PlaceholderText"/>
                <w:rFonts w:ascii="Arial" w:hAnsi="Arial" w:cs="Arial"/>
                <w:szCs w:val="18"/>
              </w:rPr>
              <w:t>e/AUD)</w:t>
            </w:r>
          </w:p>
        </w:tc>
      </w:tr>
      <w:tr w:rsidR="0065430B" w:rsidRPr="00096795" w:rsidTr="00215A21">
        <w:trPr>
          <w:cnfStyle w:val="100000000000" w:firstRow="1" w:lastRow="0" w:firstColumn="0" w:lastColumn="0" w:oddVBand="0" w:evenVBand="0" w:oddHBand="0" w:evenHBand="0" w:firstRowFirstColumn="0" w:firstRowLastColumn="0" w:lastRowFirstColumn="0" w:lastRowLastColumn="0"/>
          <w:cantSplit/>
          <w:trHeight w:val="510"/>
          <w:tblHeader/>
        </w:trPr>
        <w:tc>
          <w:tcPr>
            <w:tcW w:w="1510" w:type="pct"/>
            <w:vMerge/>
            <w:tcBorders>
              <w:bottom w:val="single" w:sz="4" w:space="0" w:color="000000" w:themeColor="text1"/>
            </w:tcBorders>
          </w:tcPr>
          <w:p w:rsidR="0065430B" w:rsidRPr="00096795" w:rsidRDefault="0065430B" w:rsidP="006054BB">
            <w:pPr>
              <w:keepNext/>
              <w:rPr>
                <w:rStyle w:val="PlaceholderText"/>
                <w:rFonts w:ascii="Arial" w:hAnsi="Arial" w:cs="Arial"/>
                <w:b w:val="0"/>
                <w:szCs w:val="18"/>
              </w:rPr>
            </w:pPr>
          </w:p>
        </w:tc>
        <w:tc>
          <w:tcPr>
            <w:tcW w:w="1164" w:type="pct"/>
            <w:tcBorders>
              <w:bottom w:val="single" w:sz="4" w:space="0" w:color="000000" w:themeColor="text1"/>
            </w:tcBorders>
          </w:tcPr>
          <w:p w:rsidR="0065430B" w:rsidRPr="00096795" w:rsidRDefault="006C667D" w:rsidP="006054BB">
            <w:pPr>
              <w:keepNext/>
              <w:jc w:val="center"/>
              <w:rPr>
                <w:rStyle w:val="PlaceholderText"/>
                <w:rFonts w:ascii="Arial" w:hAnsi="Arial" w:cs="Arial"/>
                <w:b w:val="0"/>
                <w:szCs w:val="18"/>
              </w:rPr>
            </w:pPr>
            <w:r>
              <w:rPr>
                <w:rStyle w:val="PlaceholderText"/>
                <w:rFonts w:ascii="Arial" w:hAnsi="Arial" w:cs="Arial"/>
                <w:szCs w:val="18"/>
              </w:rPr>
              <w:t>2000</w:t>
            </w:r>
          </w:p>
        </w:tc>
        <w:tc>
          <w:tcPr>
            <w:tcW w:w="1164" w:type="pct"/>
            <w:tcBorders>
              <w:bottom w:val="single" w:sz="4" w:space="0" w:color="000000" w:themeColor="text1"/>
            </w:tcBorders>
          </w:tcPr>
          <w:p w:rsidR="0065430B" w:rsidRPr="00096795" w:rsidRDefault="006C667D" w:rsidP="006054BB">
            <w:pPr>
              <w:keepNext/>
              <w:jc w:val="center"/>
              <w:rPr>
                <w:rStyle w:val="PlaceholderText"/>
                <w:rFonts w:ascii="Arial" w:hAnsi="Arial" w:cs="Arial"/>
                <w:szCs w:val="18"/>
              </w:rPr>
            </w:pPr>
            <w:r>
              <w:rPr>
                <w:rStyle w:val="PlaceholderText"/>
                <w:rFonts w:ascii="Arial" w:hAnsi="Arial" w:cs="Arial"/>
                <w:szCs w:val="18"/>
              </w:rPr>
              <w:t>2008</w:t>
            </w:r>
          </w:p>
        </w:tc>
        <w:tc>
          <w:tcPr>
            <w:tcW w:w="1163" w:type="pct"/>
            <w:tcBorders>
              <w:bottom w:val="single" w:sz="4" w:space="0" w:color="000000" w:themeColor="text1"/>
            </w:tcBorders>
          </w:tcPr>
          <w:p w:rsidR="0065430B" w:rsidRPr="00096795" w:rsidRDefault="006C667D" w:rsidP="006054BB">
            <w:pPr>
              <w:keepNext/>
              <w:jc w:val="center"/>
              <w:rPr>
                <w:rStyle w:val="PlaceholderText"/>
                <w:rFonts w:ascii="Arial" w:hAnsi="Arial" w:cs="Arial"/>
                <w:szCs w:val="18"/>
              </w:rPr>
            </w:pPr>
            <w:r>
              <w:rPr>
                <w:rStyle w:val="PlaceholderText"/>
                <w:rFonts w:ascii="Arial" w:hAnsi="Arial" w:cs="Arial"/>
                <w:szCs w:val="18"/>
              </w:rPr>
              <w:t>2011</w:t>
            </w:r>
          </w:p>
        </w:tc>
      </w:tr>
      <w:tr w:rsidR="0065430B" w:rsidRPr="00096795"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1510" w:type="pct"/>
            <w:tcBorders>
              <w:top w:val="single" w:sz="4" w:space="0" w:color="000000" w:themeColor="text1"/>
            </w:tcBorders>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Agriculture</w:t>
            </w:r>
          </w:p>
        </w:tc>
        <w:tc>
          <w:tcPr>
            <w:tcW w:w="1164" w:type="pct"/>
            <w:tcBorders>
              <w:top w:val="single" w:sz="4" w:space="0" w:color="000000" w:themeColor="text1"/>
            </w:tcBorders>
          </w:tcPr>
          <w:p w:rsidR="0065430B" w:rsidRPr="00096795" w:rsidRDefault="0065430B" w:rsidP="006054BB">
            <w:pPr>
              <w:jc w:val="center"/>
              <w:rPr>
                <w:rFonts w:ascii="Arial" w:hAnsi="Arial" w:cs="Arial"/>
                <w:szCs w:val="18"/>
              </w:rPr>
            </w:pPr>
            <w:r w:rsidRPr="00096795">
              <w:rPr>
                <w:rFonts w:ascii="Arial" w:hAnsi="Arial" w:cs="Arial"/>
                <w:szCs w:val="18"/>
              </w:rPr>
              <w:t>3.613</w:t>
            </w:r>
          </w:p>
        </w:tc>
        <w:tc>
          <w:tcPr>
            <w:tcW w:w="1164" w:type="pct"/>
            <w:tcBorders>
              <w:top w:val="single" w:sz="4" w:space="0" w:color="000000" w:themeColor="text1"/>
            </w:tcBorders>
          </w:tcPr>
          <w:p w:rsidR="0065430B" w:rsidRPr="00096795" w:rsidRDefault="0065430B" w:rsidP="006054BB">
            <w:pPr>
              <w:jc w:val="center"/>
              <w:rPr>
                <w:rFonts w:ascii="Arial" w:hAnsi="Arial" w:cs="Arial"/>
                <w:szCs w:val="18"/>
              </w:rPr>
            </w:pPr>
            <w:r w:rsidRPr="00096795">
              <w:rPr>
                <w:rFonts w:ascii="Arial" w:hAnsi="Arial" w:cs="Arial"/>
                <w:szCs w:val="18"/>
              </w:rPr>
              <w:t>3.330</w:t>
            </w:r>
          </w:p>
        </w:tc>
        <w:tc>
          <w:tcPr>
            <w:tcW w:w="1163" w:type="pct"/>
            <w:tcBorders>
              <w:top w:val="single" w:sz="4" w:space="0" w:color="000000" w:themeColor="text1"/>
            </w:tcBorders>
          </w:tcPr>
          <w:p w:rsidR="0065430B" w:rsidRPr="00096795" w:rsidRDefault="0065430B" w:rsidP="006054BB">
            <w:pPr>
              <w:jc w:val="center"/>
              <w:rPr>
                <w:rFonts w:ascii="Arial" w:hAnsi="Arial" w:cs="Arial"/>
                <w:szCs w:val="18"/>
              </w:rPr>
            </w:pPr>
            <w:r w:rsidRPr="00096795">
              <w:rPr>
                <w:rFonts w:ascii="Arial" w:hAnsi="Arial" w:cs="Arial"/>
                <w:szCs w:val="18"/>
              </w:rPr>
              <w:t>2.617</w:t>
            </w:r>
          </w:p>
        </w:tc>
      </w:tr>
      <w:tr w:rsidR="0065430B" w:rsidRPr="00096795" w:rsidTr="00215A21">
        <w:trPr>
          <w:cantSplit/>
          <w:trHeight w:val="510"/>
        </w:trPr>
        <w:tc>
          <w:tcPr>
            <w:tcW w:w="151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B Mining</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0.507</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0.513</w:t>
            </w:r>
          </w:p>
        </w:tc>
        <w:tc>
          <w:tcPr>
            <w:tcW w:w="1163" w:type="pct"/>
          </w:tcPr>
          <w:p w:rsidR="0065430B" w:rsidRPr="00096795" w:rsidRDefault="0065430B" w:rsidP="006054BB">
            <w:pPr>
              <w:jc w:val="center"/>
              <w:rPr>
                <w:rFonts w:ascii="Arial" w:hAnsi="Arial" w:cs="Arial"/>
                <w:szCs w:val="18"/>
              </w:rPr>
            </w:pPr>
            <w:r w:rsidRPr="00096795">
              <w:rPr>
                <w:rFonts w:ascii="Arial" w:hAnsi="Arial" w:cs="Arial"/>
                <w:szCs w:val="18"/>
              </w:rPr>
              <w:t>0.522</w:t>
            </w:r>
          </w:p>
        </w:tc>
      </w:tr>
      <w:tr w:rsidR="0065430B" w:rsidRPr="00096795"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151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C Manufacturing</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0.696</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0.652</w:t>
            </w:r>
          </w:p>
        </w:tc>
        <w:tc>
          <w:tcPr>
            <w:tcW w:w="1163" w:type="pct"/>
          </w:tcPr>
          <w:p w:rsidR="0065430B" w:rsidRPr="00096795" w:rsidRDefault="0065430B" w:rsidP="006054BB">
            <w:pPr>
              <w:jc w:val="center"/>
              <w:rPr>
                <w:rFonts w:ascii="Arial" w:hAnsi="Arial" w:cs="Arial"/>
                <w:szCs w:val="18"/>
              </w:rPr>
            </w:pPr>
            <w:r w:rsidRPr="00096795">
              <w:rPr>
                <w:rFonts w:ascii="Arial" w:hAnsi="Arial" w:cs="Arial"/>
                <w:szCs w:val="18"/>
              </w:rPr>
              <w:t>0.664</w:t>
            </w:r>
          </w:p>
        </w:tc>
      </w:tr>
      <w:tr w:rsidR="0065430B" w:rsidRPr="00096795" w:rsidTr="00215A21">
        <w:trPr>
          <w:cantSplit/>
          <w:trHeight w:val="510"/>
        </w:trPr>
        <w:tc>
          <w:tcPr>
            <w:tcW w:w="1510" w:type="pct"/>
          </w:tcPr>
          <w:p w:rsidR="0065430B" w:rsidRPr="00EB4A0D" w:rsidRDefault="0065430B" w:rsidP="006054BB">
            <w:pPr>
              <w:keepNext/>
              <w:spacing w:line="200" w:lineRule="exact"/>
              <w:rPr>
                <w:rStyle w:val="PlaceholderText"/>
                <w:rFonts w:ascii="Arial" w:hAnsi="Arial" w:cs="Arial"/>
                <w:szCs w:val="18"/>
              </w:rPr>
            </w:pPr>
            <w:r>
              <w:rPr>
                <w:rStyle w:val="PlaceholderText"/>
                <w:rFonts w:ascii="Arial" w:hAnsi="Arial" w:cs="Arial"/>
                <w:szCs w:val="18"/>
              </w:rPr>
              <w:t>Div. D Electricity, g</w:t>
            </w:r>
            <w:r w:rsidRPr="00EB4A0D">
              <w:rPr>
                <w:rStyle w:val="PlaceholderText"/>
                <w:rFonts w:ascii="Arial" w:hAnsi="Arial" w:cs="Arial"/>
                <w:szCs w:val="18"/>
              </w:rPr>
              <w:t xml:space="preserve">as and </w:t>
            </w:r>
            <w:r>
              <w:rPr>
                <w:rStyle w:val="PlaceholderText"/>
                <w:rFonts w:ascii="Arial" w:hAnsi="Arial" w:cs="Arial"/>
                <w:szCs w:val="18"/>
              </w:rPr>
              <w:t>w</w:t>
            </w:r>
            <w:r w:rsidRPr="00EB4A0D">
              <w:rPr>
                <w:rStyle w:val="PlaceholderText"/>
                <w:rFonts w:ascii="Arial" w:hAnsi="Arial" w:cs="Arial"/>
                <w:szCs w:val="18"/>
              </w:rPr>
              <w:t xml:space="preserve">ater </w:t>
            </w:r>
            <w:r>
              <w:rPr>
                <w:rStyle w:val="PlaceholderText"/>
                <w:rFonts w:ascii="Arial" w:hAnsi="Arial" w:cs="Arial"/>
                <w:szCs w:val="18"/>
              </w:rPr>
              <w:t>s</w:t>
            </w:r>
            <w:r w:rsidRPr="00EB4A0D">
              <w:rPr>
                <w:rStyle w:val="PlaceholderText"/>
                <w:rFonts w:ascii="Arial" w:hAnsi="Arial" w:cs="Arial"/>
                <w:szCs w:val="18"/>
              </w:rPr>
              <w:t>upply</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6.286</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6.763</w:t>
            </w:r>
          </w:p>
        </w:tc>
        <w:tc>
          <w:tcPr>
            <w:tcW w:w="1163" w:type="pct"/>
          </w:tcPr>
          <w:p w:rsidR="0065430B" w:rsidRPr="00096795" w:rsidRDefault="0065430B" w:rsidP="006054BB">
            <w:pPr>
              <w:jc w:val="center"/>
              <w:rPr>
                <w:rFonts w:ascii="Arial" w:hAnsi="Arial" w:cs="Arial"/>
                <w:szCs w:val="18"/>
              </w:rPr>
            </w:pPr>
            <w:r w:rsidRPr="00096795">
              <w:rPr>
                <w:rFonts w:ascii="Arial" w:hAnsi="Arial" w:cs="Arial"/>
                <w:szCs w:val="18"/>
              </w:rPr>
              <w:t>6.053</w:t>
            </w:r>
          </w:p>
        </w:tc>
      </w:tr>
      <w:tr w:rsidR="0065430B" w:rsidRPr="00096795"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1510" w:type="pct"/>
          </w:tcPr>
          <w:p w:rsidR="0065430B" w:rsidRPr="00EB4A0D" w:rsidRDefault="0065430B" w:rsidP="006054BB">
            <w:pPr>
              <w:keepNext/>
              <w:spacing w:line="200" w:lineRule="exact"/>
              <w:rPr>
                <w:rStyle w:val="PlaceholderText"/>
                <w:rFonts w:ascii="Arial" w:hAnsi="Arial" w:cs="Arial"/>
                <w:szCs w:val="18"/>
              </w:rPr>
            </w:pPr>
            <w:r w:rsidRPr="00EB4A0D">
              <w:rPr>
                <w:rStyle w:val="PlaceholderText"/>
                <w:rFonts w:ascii="Arial" w:hAnsi="Arial" w:cs="Arial"/>
                <w:szCs w:val="18"/>
              </w:rPr>
              <w:t>Div. I Transport, postal and warehousing</w:t>
            </w:r>
          </w:p>
        </w:tc>
        <w:tc>
          <w:tcPr>
            <w:tcW w:w="1164" w:type="pct"/>
          </w:tcPr>
          <w:p w:rsidR="0065430B" w:rsidRPr="00EB4A0D" w:rsidRDefault="0065430B" w:rsidP="006054BB">
            <w:pPr>
              <w:jc w:val="center"/>
              <w:rPr>
                <w:rFonts w:ascii="Arial" w:hAnsi="Arial" w:cs="Arial"/>
                <w:szCs w:val="18"/>
              </w:rPr>
            </w:pPr>
            <w:r w:rsidRPr="00EB4A0D">
              <w:rPr>
                <w:rFonts w:ascii="Arial" w:hAnsi="Arial" w:cs="Arial"/>
                <w:szCs w:val="18"/>
              </w:rPr>
              <w:t>1.346</w:t>
            </w:r>
          </w:p>
        </w:tc>
        <w:tc>
          <w:tcPr>
            <w:tcW w:w="1164" w:type="pct"/>
          </w:tcPr>
          <w:p w:rsidR="0065430B" w:rsidRPr="00EB4A0D" w:rsidRDefault="0065430B" w:rsidP="006054BB">
            <w:pPr>
              <w:jc w:val="center"/>
              <w:rPr>
                <w:rFonts w:ascii="Arial" w:hAnsi="Arial" w:cs="Arial"/>
                <w:szCs w:val="18"/>
              </w:rPr>
            </w:pPr>
            <w:r w:rsidRPr="00EB4A0D">
              <w:rPr>
                <w:rFonts w:ascii="Arial" w:hAnsi="Arial" w:cs="Arial"/>
                <w:szCs w:val="18"/>
              </w:rPr>
              <w:t>1.093</w:t>
            </w:r>
          </w:p>
        </w:tc>
        <w:tc>
          <w:tcPr>
            <w:tcW w:w="1163" w:type="pct"/>
          </w:tcPr>
          <w:p w:rsidR="0065430B" w:rsidRPr="00EB4A0D" w:rsidRDefault="0065430B" w:rsidP="006054BB">
            <w:pPr>
              <w:jc w:val="center"/>
              <w:rPr>
                <w:rFonts w:ascii="Arial" w:hAnsi="Arial" w:cs="Arial"/>
                <w:szCs w:val="18"/>
              </w:rPr>
            </w:pPr>
            <w:r w:rsidRPr="00EB4A0D">
              <w:rPr>
                <w:rFonts w:ascii="Arial" w:hAnsi="Arial" w:cs="Arial"/>
                <w:szCs w:val="18"/>
              </w:rPr>
              <w:t>1.296</w:t>
            </w:r>
          </w:p>
        </w:tc>
      </w:tr>
      <w:tr w:rsidR="0065430B" w:rsidRPr="00096795" w:rsidTr="00215A21">
        <w:trPr>
          <w:cantSplit/>
          <w:trHeight w:val="510"/>
        </w:trPr>
        <w:tc>
          <w:tcPr>
            <w:tcW w:w="1510" w:type="pct"/>
          </w:tcPr>
          <w:p w:rsidR="0065430B" w:rsidRPr="00096795" w:rsidRDefault="0065430B" w:rsidP="006054BB">
            <w:pPr>
              <w:keepNext/>
              <w:spacing w:line="200" w:lineRule="exact"/>
              <w:rPr>
                <w:rStyle w:val="PlaceholderText"/>
                <w:rFonts w:ascii="Arial" w:hAnsi="Arial" w:cs="Arial"/>
                <w:szCs w:val="18"/>
              </w:rPr>
            </w:pPr>
            <w:r w:rsidRPr="00096795">
              <w:rPr>
                <w:rStyle w:val="PlaceholderText"/>
                <w:rFonts w:ascii="Arial" w:hAnsi="Arial" w:cs="Arial"/>
                <w:szCs w:val="18"/>
              </w:rPr>
              <w:t>Commercial</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0.056</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0.042</w:t>
            </w:r>
          </w:p>
        </w:tc>
        <w:tc>
          <w:tcPr>
            <w:tcW w:w="1163" w:type="pct"/>
          </w:tcPr>
          <w:p w:rsidR="0065430B" w:rsidRPr="00096795" w:rsidRDefault="0065430B" w:rsidP="006054BB">
            <w:pPr>
              <w:jc w:val="center"/>
              <w:rPr>
                <w:rFonts w:ascii="Arial" w:hAnsi="Arial" w:cs="Arial"/>
                <w:szCs w:val="18"/>
              </w:rPr>
            </w:pPr>
            <w:r w:rsidRPr="00096795">
              <w:rPr>
                <w:rFonts w:ascii="Arial" w:hAnsi="Arial" w:cs="Arial"/>
                <w:szCs w:val="18"/>
              </w:rPr>
              <w:t>0.040</w:t>
            </w:r>
          </w:p>
        </w:tc>
      </w:tr>
      <w:tr w:rsidR="0065430B" w:rsidRPr="00096795" w:rsidTr="00215A21">
        <w:trPr>
          <w:cnfStyle w:val="000000100000" w:firstRow="0" w:lastRow="0" w:firstColumn="0" w:lastColumn="0" w:oddVBand="0" w:evenVBand="0" w:oddHBand="1" w:evenHBand="0" w:firstRowFirstColumn="0" w:firstRowLastColumn="0" w:lastRowFirstColumn="0" w:lastRowLastColumn="0"/>
          <w:cantSplit/>
          <w:trHeight w:val="510"/>
        </w:trPr>
        <w:tc>
          <w:tcPr>
            <w:tcW w:w="1510" w:type="pct"/>
          </w:tcPr>
          <w:p w:rsidR="0065430B" w:rsidRPr="00096795" w:rsidRDefault="0065430B" w:rsidP="006054BB">
            <w:pPr>
              <w:keepNext/>
              <w:spacing w:line="200" w:lineRule="exact"/>
              <w:rPr>
                <w:rStyle w:val="PlaceholderText"/>
                <w:rFonts w:ascii="Arial" w:hAnsi="Arial" w:cs="Arial"/>
                <w:szCs w:val="18"/>
              </w:rPr>
            </w:pPr>
            <w:r w:rsidRPr="00096795">
              <w:rPr>
                <w:rStyle w:val="PlaceholderText"/>
                <w:rFonts w:ascii="Arial" w:hAnsi="Arial" w:cs="Arial"/>
                <w:szCs w:val="18"/>
              </w:rPr>
              <w:t>Residential</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0.065</w:t>
            </w:r>
          </w:p>
        </w:tc>
        <w:tc>
          <w:tcPr>
            <w:tcW w:w="1164" w:type="pct"/>
          </w:tcPr>
          <w:p w:rsidR="0065430B" w:rsidRPr="00096795" w:rsidRDefault="0065430B" w:rsidP="006054BB">
            <w:pPr>
              <w:jc w:val="center"/>
              <w:rPr>
                <w:rFonts w:ascii="Arial" w:hAnsi="Arial" w:cs="Arial"/>
                <w:szCs w:val="18"/>
              </w:rPr>
            </w:pPr>
            <w:r w:rsidRPr="00096795">
              <w:rPr>
                <w:rFonts w:ascii="Arial" w:hAnsi="Arial" w:cs="Arial"/>
                <w:szCs w:val="18"/>
              </w:rPr>
              <w:t>0.055</w:t>
            </w:r>
          </w:p>
        </w:tc>
        <w:tc>
          <w:tcPr>
            <w:tcW w:w="1163" w:type="pct"/>
          </w:tcPr>
          <w:p w:rsidR="0065430B" w:rsidRPr="00096795" w:rsidRDefault="0065430B" w:rsidP="006054BB">
            <w:pPr>
              <w:jc w:val="center"/>
              <w:rPr>
                <w:rFonts w:ascii="Arial" w:hAnsi="Arial" w:cs="Arial"/>
                <w:szCs w:val="18"/>
              </w:rPr>
            </w:pPr>
            <w:r w:rsidRPr="00096795">
              <w:rPr>
                <w:rFonts w:ascii="Arial" w:hAnsi="Arial" w:cs="Arial"/>
                <w:szCs w:val="18"/>
              </w:rPr>
              <w:t>0.053</w:t>
            </w:r>
          </w:p>
        </w:tc>
      </w:tr>
    </w:tbl>
    <w:p w:rsidR="0065430B" w:rsidRPr="00820511" w:rsidRDefault="0065430B" w:rsidP="0065430B">
      <w:pPr>
        <w:pStyle w:val="Header"/>
        <w:pBdr>
          <w:bottom w:val="none" w:sz="0" w:space="0" w:color="auto"/>
        </w:pBdr>
      </w:pPr>
    </w:p>
    <w:p w:rsidR="0065430B" w:rsidRDefault="0065430B" w:rsidP="0065430B">
      <w:pPr>
        <w:pStyle w:val="Note"/>
      </w:pPr>
      <w:r>
        <w:t>Notes:</w:t>
      </w:r>
      <w:r>
        <w:tab/>
        <w:t>Emissions intensity per sector is CO</w:t>
      </w:r>
      <w:r w:rsidRPr="00845AD8">
        <w:rPr>
          <w:vertAlign w:val="subscript"/>
        </w:rPr>
        <w:t>2</w:t>
      </w:r>
      <w:r>
        <w:t xml:space="preserve"> equivalent gas emissions in kt over sector’s real GVA; (for residential final consumption expenditure is used instead). Agriculture subsector does not include LULUCF.</w:t>
      </w:r>
    </w:p>
    <w:p w:rsidR="0065430B" w:rsidRDefault="0065430B" w:rsidP="0065430B">
      <w:pPr>
        <w:pStyle w:val="Source"/>
      </w:pPr>
      <w:r w:rsidRPr="00EF51BF">
        <w:t>Source:</w:t>
      </w:r>
      <w:r>
        <w:tab/>
        <w:t>Vivid Economics based on AGEIS (2013)</w:t>
      </w:r>
    </w:p>
    <w:p w:rsidR="0065430B" w:rsidRDefault="0065430B" w:rsidP="0065430B">
      <w:pPr>
        <w:pStyle w:val="Heading2"/>
      </w:pPr>
      <w:bookmarkStart w:id="266" w:name="_Toc369890619"/>
      <w:r>
        <w:lastRenderedPageBreak/>
        <w:t>Decomposition of economy-wide emissions</w:t>
      </w:r>
      <w:bookmarkEnd w:id="266"/>
    </w:p>
    <w:p w:rsidR="008E0D11" w:rsidRPr="008E0D11" w:rsidRDefault="008E0D11" w:rsidP="008E0D11"/>
    <w:p w:rsidR="00B90E58" w:rsidRDefault="0065430B" w:rsidP="0065430B">
      <w:r w:rsidRPr="004A642D">
        <w:t xml:space="preserve">To determine the </w:t>
      </w:r>
      <w:r>
        <w:t xml:space="preserve">drivers of changes in </w:t>
      </w:r>
      <w:r w:rsidRPr="004A642D">
        <w:t>economy</w:t>
      </w:r>
      <w:r>
        <w:t>-</w:t>
      </w:r>
      <w:r w:rsidRPr="004A642D">
        <w:t xml:space="preserve">wide emissions intensity, </w:t>
      </w:r>
      <w:r>
        <w:t xml:space="preserve">the LMDI </w:t>
      </w:r>
      <w:r w:rsidR="008E0D11">
        <w:t xml:space="preserve">and Laspeyres </w:t>
      </w:r>
      <w:r>
        <w:t xml:space="preserve">decomposition </w:t>
      </w:r>
      <w:r w:rsidR="008E0D11">
        <w:t>methods are</w:t>
      </w:r>
      <w:r>
        <w:t xml:space="preserve"> used</w:t>
      </w:r>
      <w:r w:rsidR="008E0D11">
        <w:t xml:space="preserve">. For brevity, only the LMDI decomposition results are included in the text. For a treatment of the difference between LMDI and Laspeyres, see </w:t>
      </w:r>
      <w:r w:rsidR="008E0D11" w:rsidRPr="00022AAC">
        <w:t xml:space="preserve">Section </w:t>
      </w:r>
      <w:r w:rsidR="005A66AE">
        <w:fldChar w:fldCharType="begin"/>
      </w:r>
      <w:r w:rsidR="008E0D11">
        <w:instrText xml:space="preserve"> REF _Ref366251349 \n \h </w:instrText>
      </w:r>
      <w:r w:rsidR="005A66AE">
        <w:fldChar w:fldCharType="separate"/>
      </w:r>
      <w:r w:rsidR="00197E14">
        <w:t>6</w:t>
      </w:r>
      <w:r w:rsidR="005A66AE">
        <w:fldChar w:fldCharType="end"/>
      </w:r>
      <w:r w:rsidR="008E0D11">
        <w:t>.</w:t>
      </w:r>
    </w:p>
    <w:p w:rsidR="00B90E58" w:rsidRDefault="00B90E58" w:rsidP="0065430B"/>
    <w:p w:rsidR="0065430B" w:rsidRPr="004A642D" w:rsidRDefault="0065430B" w:rsidP="0065430B">
      <w:r w:rsidRPr="004A642D">
        <w:t xml:space="preserve">The result is a </w:t>
      </w:r>
      <w:r>
        <w:t>breakdown of the change</w:t>
      </w:r>
      <w:r w:rsidR="0011542B">
        <w:t xml:space="preserve"> in economy-wide emissions</w:t>
      </w:r>
      <w:r>
        <w:t xml:space="preserve"> </w:t>
      </w:r>
      <w:r w:rsidRPr="004A642D">
        <w:t>into three effects:</w:t>
      </w:r>
    </w:p>
    <w:p w:rsidR="0065430B" w:rsidRPr="005B5905" w:rsidRDefault="0065430B" w:rsidP="005B5905">
      <w:pPr>
        <w:pStyle w:val="Indentedbullet"/>
      </w:pPr>
      <w:r w:rsidRPr="005B5905">
        <w:rPr>
          <w:b/>
        </w:rPr>
        <w:t>activity effect</w:t>
      </w:r>
      <w:r w:rsidRPr="005B5905">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acti</m:t>
            </m:r>
          </m:sub>
        </m:sSub>
      </m:oMath>
      <w:r w:rsidRPr="005B5905">
        <w:t>): the change in economic activity across the whole economy;</w:t>
      </w:r>
    </w:p>
    <w:p w:rsidR="0065430B" w:rsidRPr="005B5905" w:rsidRDefault="0065430B" w:rsidP="005B5905">
      <w:pPr>
        <w:pStyle w:val="Indentedbullet"/>
      </w:pPr>
      <w:r w:rsidRPr="005B5905">
        <w:rPr>
          <w:b/>
        </w:rPr>
        <w:t>structural effect</w:t>
      </w:r>
      <w:r w:rsidRPr="005B5905">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str</m:t>
            </m:r>
          </m:sub>
        </m:sSub>
      </m:oMath>
      <w:r w:rsidRPr="005B5905">
        <w:t>): the change in economy emissions due to a restructuring of the shares of subsectors of the economy;</w:t>
      </w:r>
    </w:p>
    <w:p w:rsidR="0065430B" w:rsidRPr="005B5905" w:rsidRDefault="0065430B" w:rsidP="005B5905">
      <w:pPr>
        <w:pStyle w:val="Indentedbullet"/>
      </w:pPr>
      <w:r w:rsidRPr="005B5905">
        <w:rPr>
          <w:b/>
        </w:rPr>
        <w:t>intensity effect</w:t>
      </w:r>
      <w:r w:rsidRPr="005B5905">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int</m:t>
            </m:r>
          </m:sub>
        </m:sSub>
      </m:oMath>
      <w:r w:rsidRPr="005B5905">
        <w:t>): the change in economy emissions due to changes of structure or efficiency within subsectors of the economy.</w:t>
      </w:r>
    </w:p>
    <w:p w:rsidR="008E0D11" w:rsidRDefault="008E0D11" w:rsidP="0065430B"/>
    <w:p w:rsidR="0065430B" w:rsidRPr="004A642D" w:rsidRDefault="0065430B" w:rsidP="0065430B">
      <w:r>
        <w:t>R</w:t>
      </w:r>
      <w:r w:rsidRPr="004A642D">
        <w:t xml:space="preserve">estructuring between </w:t>
      </w:r>
      <w:r w:rsidR="00973794">
        <w:t>sectors and sub</w:t>
      </w:r>
      <w:r w:rsidRPr="004A642D">
        <w:t xml:space="preserve">sectors, the structural effect, and </w:t>
      </w:r>
      <w:r w:rsidR="00973794">
        <w:t xml:space="preserve">efficiency </w:t>
      </w:r>
      <w:r>
        <w:t xml:space="preserve">changes </w:t>
      </w:r>
      <w:r w:rsidRPr="004A642D">
        <w:t xml:space="preserve">within </w:t>
      </w:r>
      <w:r w:rsidR="00973794">
        <w:t>sub</w:t>
      </w:r>
      <w:r w:rsidRPr="004A642D">
        <w:t xml:space="preserve">sectors, the intensity effect, </w:t>
      </w:r>
      <w:r>
        <w:t xml:space="preserve">helped to </w:t>
      </w:r>
      <w:r w:rsidRPr="004A642D">
        <w:t xml:space="preserve">offset higher emissions due to increased economic activity </w:t>
      </w:r>
      <w:r>
        <w:t xml:space="preserve">over </w:t>
      </w:r>
      <w:r w:rsidRPr="004A642D">
        <w:t xml:space="preserve">the </w:t>
      </w:r>
      <w:r>
        <w:t xml:space="preserve">whole period, </w:t>
      </w:r>
      <w:r w:rsidR="006C667D">
        <w:t>2000</w:t>
      </w:r>
      <w:r w:rsidRPr="004A642D">
        <w:t xml:space="preserve"> to </w:t>
      </w:r>
      <w:r w:rsidR="006C667D">
        <w:t>2008</w:t>
      </w:r>
      <w:r w:rsidRPr="004A642D">
        <w:t xml:space="preserve">. </w:t>
      </w:r>
      <w:r>
        <w:t xml:space="preserve">In the last part of the period, from </w:t>
      </w:r>
      <w:r w:rsidR="006C667D">
        <w:t>2008</w:t>
      </w:r>
      <w:r w:rsidRPr="004A642D">
        <w:t xml:space="preserve"> and </w:t>
      </w:r>
      <w:r w:rsidR="006C667D">
        <w:t>2011</w:t>
      </w:r>
      <w:r w:rsidRPr="004A642D">
        <w:t xml:space="preserve">, the within </w:t>
      </w:r>
      <w:r w:rsidR="00495D23">
        <w:t>sub</w:t>
      </w:r>
      <w:r w:rsidRPr="004A642D">
        <w:t>sectors</w:t>
      </w:r>
      <w:r>
        <w:t xml:space="preserve"> intensity</w:t>
      </w:r>
      <w:r w:rsidRPr="004A642D">
        <w:t xml:space="preserve"> </w:t>
      </w:r>
      <w:r w:rsidR="00622EDC">
        <w:t>effect</w:t>
      </w:r>
      <w:r>
        <w:t xml:space="preserve"> was larger </w:t>
      </w:r>
      <w:r w:rsidRPr="004A642D">
        <w:t xml:space="preserve">than before, implying that </w:t>
      </w:r>
      <w:r w:rsidR="00E93EDF">
        <w:t>sub</w:t>
      </w:r>
      <w:r w:rsidRPr="004A642D">
        <w:t>sectors themselves have become less emissions intensive. However, the effect between sectors</w:t>
      </w:r>
      <w:r w:rsidR="004C3277">
        <w:t xml:space="preserve"> and subsectors</w:t>
      </w:r>
      <w:r w:rsidRPr="004A642D">
        <w:t>, the structural effect, has</w:t>
      </w:r>
      <w:r>
        <w:t xml:space="preserve"> in recent years contributed little</w:t>
      </w:r>
      <w:r w:rsidRPr="004A642D">
        <w:t xml:space="preserve">, in contrast to the period </w:t>
      </w:r>
      <w:r w:rsidR="006C667D">
        <w:t>2000</w:t>
      </w:r>
      <w:r w:rsidRPr="004A642D">
        <w:t xml:space="preserve"> </w:t>
      </w:r>
      <w:r>
        <w:t xml:space="preserve">to </w:t>
      </w:r>
      <w:r w:rsidR="006C667D">
        <w:t>2008</w:t>
      </w:r>
      <w:r w:rsidRPr="004A642D">
        <w:t xml:space="preserve">, </w:t>
      </w:r>
      <w:r>
        <w:t>when it gave a stronger effect</w:t>
      </w:r>
      <w:r w:rsidR="00B2119B">
        <w:t xml:space="preserve">, as shown in </w:t>
      </w:r>
      <w:r w:rsidR="005A66AE">
        <w:fldChar w:fldCharType="begin"/>
      </w:r>
      <w:r w:rsidR="00B2119B">
        <w:instrText xml:space="preserve"> REF _Ref365815569 \r \h </w:instrText>
      </w:r>
      <w:r w:rsidR="005A66AE">
        <w:fldChar w:fldCharType="separate"/>
      </w:r>
      <w:r w:rsidR="00197E14">
        <w:t>Figure 47</w:t>
      </w:r>
      <w:r w:rsidR="005A66AE">
        <w:fldChar w:fldCharType="end"/>
      </w:r>
      <w:r w:rsidR="00B2119B">
        <w:t xml:space="preserve"> and </w:t>
      </w:r>
      <w:r w:rsidR="005A66AE">
        <w:fldChar w:fldCharType="begin"/>
      </w:r>
      <w:r w:rsidR="00B2119B">
        <w:instrText xml:space="preserve"> REF _Ref366270486 \r \h </w:instrText>
      </w:r>
      <w:r w:rsidR="005A66AE">
        <w:fldChar w:fldCharType="separate"/>
      </w:r>
      <w:r w:rsidR="00197E14">
        <w:t>Figure 48</w:t>
      </w:r>
      <w:r w:rsidR="005A66AE">
        <w:fldChar w:fldCharType="end"/>
      </w:r>
      <w:r w:rsidRPr="004A642D">
        <w:t>.</w:t>
      </w:r>
    </w:p>
    <w:p w:rsidR="0065430B" w:rsidRPr="000D25DC" w:rsidRDefault="0065430B" w:rsidP="0065430B">
      <w:pPr>
        <w:pStyle w:val="Charttitle"/>
      </w:pPr>
      <w:bookmarkStart w:id="267" w:name="_Ref365815569"/>
      <w:bookmarkStart w:id="268" w:name="_Toc365818484"/>
      <w:bookmarkStart w:id="269" w:name="_Toc366269868"/>
      <w:bookmarkStart w:id="270" w:name="_Toc369890587"/>
      <w:r>
        <w:lastRenderedPageBreak/>
        <w:t xml:space="preserve">The intensity effect was greatest from </w:t>
      </w:r>
      <w:r w:rsidR="006C667D">
        <w:t>2008</w:t>
      </w:r>
      <w:r>
        <w:t xml:space="preserve"> to </w:t>
      </w:r>
      <w:r w:rsidR="006C667D">
        <w:t>2011</w:t>
      </w:r>
      <w:r>
        <w:t>, when it contributed a 7 per cent reduction in emissions</w:t>
      </w:r>
      <w:bookmarkEnd w:id="267"/>
      <w:bookmarkEnd w:id="268"/>
      <w:bookmarkEnd w:id="269"/>
      <w:bookmarkEnd w:id="270"/>
    </w:p>
    <w:p w:rsidR="0065430B" w:rsidRPr="00430244" w:rsidRDefault="0065430B" w:rsidP="0065430B">
      <w:pPr>
        <w:pStyle w:val="Chartspacer"/>
        <w:rPr>
          <w:rStyle w:val="PlaceholderText"/>
        </w:rPr>
      </w:pPr>
      <w:r w:rsidRPr="005E1F45">
        <w:rPr>
          <w:rStyle w:val="PlaceholderText"/>
        </w:rPr>
        <w:t xml:space="preserve"> </w:t>
      </w:r>
      <w:r w:rsidRPr="00A66FB0">
        <w:rPr>
          <w:noProof/>
          <w:lang w:eastAsia="en-GB"/>
        </w:rPr>
        <w:drawing>
          <wp:inline distT="0" distB="0" distL="0" distR="0" wp14:anchorId="4BEE2C43" wp14:editId="0B24D2EC">
            <wp:extent cx="6120130" cy="31780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3178054"/>
                    </a:xfrm>
                    <a:prstGeom prst="rect">
                      <a:avLst/>
                    </a:prstGeom>
                    <a:noFill/>
                    <a:ln>
                      <a:noFill/>
                    </a:ln>
                  </pic:spPr>
                </pic:pic>
              </a:graphicData>
            </a:graphic>
          </wp:inline>
        </w:drawing>
      </w:r>
    </w:p>
    <w:p w:rsidR="0065430B" w:rsidRDefault="0065430B" w:rsidP="0065430B">
      <w:pPr>
        <w:pStyle w:val="Note"/>
      </w:pPr>
      <w:r>
        <w:t>Note:</w:t>
      </w:r>
      <w:r>
        <w:tab/>
        <w:t>LMDI decomposition of economy-wide emissions by sectors and subsectors (excluding residential emissions).</w:t>
      </w:r>
    </w:p>
    <w:p w:rsidR="0065430B" w:rsidRPr="001E35D8"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p w:rsidR="0065430B" w:rsidRPr="000D25DC" w:rsidRDefault="00E3144B" w:rsidP="0065430B">
      <w:pPr>
        <w:pStyle w:val="Charttitle"/>
      </w:pPr>
      <w:bookmarkStart w:id="271" w:name="_Toc366269869"/>
      <w:bookmarkStart w:id="272" w:name="_Ref366270486"/>
      <w:bookmarkStart w:id="273" w:name="_Toc369890588"/>
      <w:r>
        <w:lastRenderedPageBreak/>
        <w:t>The intensity effect reduced emissions</w:t>
      </w:r>
      <w:r w:rsidR="0065430B">
        <w:t xml:space="preserve"> </w:t>
      </w:r>
      <w:r>
        <w:t>in</w:t>
      </w:r>
      <w:r w:rsidR="0065430B">
        <w:t xml:space="preserve"> almost every year since </w:t>
      </w:r>
      <w:r w:rsidR="006C667D">
        <w:t>2000</w:t>
      </w:r>
      <w:bookmarkEnd w:id="271"/>
      <w:bookmarkEnd w:id="272"/>
      <w:bookmarkEnd w:id="273"/>
    </w:p>
    <w:p w:rsidR="0065430B" w:rsidRPr="00430244" w:rsidRDefault="0065430B" w:rsidP="0065430B">
      <w:pPr>
        <w:pStyle w:val="Chartspacer"/>
        <w:rPr>
          <w:rStyle w:val="PlaceholderText"/>
        </w:rPr>
      </w:pPr>
      <w:r w:rsidRPr="00C93B51">
        <w:rPr>
          <w:noProof/>
          <w:lang w:eastAsia="en-GB"/>
        </w:rPr>
        <w:drawing>
          <wp:inline distT="0" distB="0" distL="0" distR="0" wp14:anchorId="1EBC4D47" wp14:editId="38ED5058">
            <wp:extent cx="6120130" cy="3196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196216"/>
                    </a:xfrm>
                    <a:prstGeom prst="rect">
                      <a:avLst/>
                    </a:prstGeom>
                    <a:noFill/>
                    <a:ln>
                      <a:noFill/>
                    </a:ln>
                  </pic:spPr>
                </pic:pic>
              </a:graphicData>
            </a:graphic>
          </wp:inline>
        </w:drawing>
      </w:r>
    </w:p>
    <w:p w:rsidR="0065430B" w:rsidRDefault="0065430B" w:rsidP="0065430B">
      <w:pPr>
        <w:pStyle w:val="Note"/>
      </w:pPr>
      <w:r>
        <w:t>Note:</w:t>
      </w:r>
      <w:r>
        <w:tab/>
        <w:t>LMDI decomposition of economy-wide emissions by sectors and subsectors (excluding residential emissions).</w:t>
      </w:r>
    </w:p>
    <w:p w:rsidR="0065430B" w:rsidRPr="001E35D8"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Pr="004A642D" w:rsidRDefault="0065430B" w:rsidP="0065430B">
      <w:r w:rsidRPr="004A642D">
        <w:t xml:space="preserve">The activity effect slowed down between </w:t>
      </w:r>
      <w:r w:rsidR="006C667D">
        <w:t>2008</w:t>
      </w:r>
      <w:r w:rsidRPr="004A642D">
        <w:t xml:space="preserve"> and </w:t>
      </w:r>
      <w:r w:rsidR="006C667D">
        <w:t>2011</w:t>
      </w:r>
      <w:r>
        <w:t>,</w:t>
      </w:r>
      <w:r w:rsidRPr="004A642D">
        <w:t xml:space="preserve"> adding only 6.</w:t>
      </w:r>
      <w:r>
        <w:t>9</w:t>
      </w:r>
      <w:r w:rsidRPr="004A642D">
        <w:t xml:space="preserve"> per cent to economy</w:t>
      </w:r>
      <w:r>
        <w:t>-</w:t>
      </w:r>
      <w:r w:rsidRPr="004A642D">
        <w:t xml:space="preserve">wide emissions compared with 12 per cent between </w:t>
      </w:r>
      <w:r w:rsidR="006C667D">
        <w:t>2005</w:t>
      </w:r>
      <w:r w:rsidRPr="004A642D">
        <w:t xml:space="preserve"> and </w:t>
      </w:r>
      <w:r w:rsidR="006C667D">
        <w:t>2008</w:t>
      </w:r>
      <w:r>
        <w:t>,</w:t>
      </w:r>
      <w:r w:rsidRPr="004A642D">
        <w:t xml:space="preserve"> as shown in </w:t>
      </w:r>
      <w:r w:rsidR="005A66AE">
        <w:fldChar w:fldCharType="begin"/>
      </w:r>
      <w:r w:rsidR="00B2119B">
        <w:instrText xml:space="preserve"> REF _Ref366270520 \r \h </w:instrText>
      </w:r>
      <w:r w:rsidR="005A66AE">
        <w:fldChar w:fldCharType="separate"/>
      </w:r>
      <w:r w:rsidR="00197E14">
        <w:t>Table 22</w:t>
      </w:r>
      <w:r w:rsidR="005A66AE">
        <w:fldChar w:fldCharType="end"/>
      </w:r>
      <w:r w:rsidRPr="004A642D">
        <w:t>.</w:t>
      </w:r>
      <w:r>
        <w:t xml:space="preserve"> This reflects the economic slowdown associated with the global financial crisis.</w:t>
      </w:r>
    </w:p>
    <w:p w:rsidR="0065430B" w:rsidRPr="004A642D" w:rsidRDefault="0065430B" w:rsidP="0065430B"/>
    <w:p w:rsidR="0065430B" w:rsidRPr="004A642D" w:rsidRDefault="0065430B" w:rsidP="0065430B">
      <w:r w:rsidRPr="004A642D">
        <w:t>Restructuring from emissions intensive sectors to less emissions intensive sectors reduc</w:t>
      </w:r>
      <w:r>
        <w:t>ed economy-wide emissions by 4.</w:t>
      </w:r>
      <w:r w:rsidRPr="004A642D">
        <w:t xml:space="preserve">7 per cent between </w:t>
      </w:r>
      <w:r w:rsidR="006C667D">
        <w:t>2005</w:t>
      </w:r>
      <w:r w:rsidRPr="004A642D">
        <w:t xml:space="preserve"> </w:t>
      </w:r>
      <w:r>
        <w:t>and</w:t>
      </w:r>
      <w:r w:rsidRPr="004A642D">
        <w:t xml:space="preserve"> </w:t>
      </w:r>
      <w:r w:rsidR="006C667D">
        <w:t>2008</w:t>
      </w:r>
      <w:r w:rsidRPr="004A642D">
        <w:t xml:space="preserve">, but this effect </w:t>
      </w:r>
      <w:r>
        <w:t xml:space="preserve">mildly </w:t>
      </w:r>
      <w:r w:rsidRPr="004A642D">
        <w:t xml:space="preserve">reversed </w:t>
      </w:r>
      <w:r>
        <w:t xml:space="preserve">after </w:t>
      </w:r>
      <w:r w:rsidR="006C667D">
        <w:t>2008</w:t>
      </w:r>
      <w:r>
        <w:t xml:space="preserve">, when it </w:t>
      </w:r>
      <w:r w:rsidRPr="004A642D">
        <w:t>increase</w:t>
      </w:r>
      <w:r>
        <w:t>d economy-wide emissions by 0.3</w:t>
      </w:r>
      <w:r w:rsidRPr="004A642D">
        <w:t xml:space="preserve"> per cent.</w:t>
      </w:r>
    </w:p>
    <w:p w:rsidR="0065430B" w:rsidRPr="004A642D" w:rsidRDefault="0065430B" w:rsidP="0065430B"/>
    <w:p w:rsidR="0065430B" w:rsidRPr="00DC58D5" w:rsidRDefault="0065430B" w:rsidP="0065430B">
      <w:r>
        <w:t>Individual s</w:t>
      </w:r>
      <w:r w:rsidRPr="004A642D">
        <w:t>ectors have become</w:t>
      </w:r>
      <w:r>
        <w:t xml:space="preserve"> significantly</w:t>
      </w:r>
      <w:r w:rsidRPr="004A642D">
        <w:t xml:space="preserve"> less emissions intensive which, together with a decreased economic growth, have contributed significantly to the slowing down of emissions growth between </w:t>
      </w:r>
      <w:r w:rsidR="006C667D">
        <w:t>2008</w:t>
      </w:r>
      <w:r w:rsidRPr="004A642D">
        <w:t xml:space="preserve"> and </w:t>
      </w:r>
      <w:r w:rsidR="006C667D">
        <w:t>2011</w:t>
      </w:r>
      <w:r w:rsidRPr="004A642D">
        <w:t xml:space="preserve"> compared with previous periods as shown in </w:t>
      </w:r>
      <w:r w:rsidR="005A66AE">
        <w:fldChar w:fldCharType="begin"/>
      </w:r>
      <w:r w:rsidR="00B2119B">
        <w:instrText xml:space="preserve"> REF _Ref366270532 \r \h </w:instrText>
      </w:r>
      <w:r w:rsidR="005A66AE">
        <w:fldChar w:fldCharType="separate"/>
      </w:r>
      <w:r w:rsidR="00197E14">
        <w:t>Table 22</w:t>
      </w:r>
      <w:r w:rsidR="005A66AE">
        <w:fldChar w:fldCharType="end"/>
      </w:r>
      <w:r w:rsidRPr="004A642D">
        <w:t>.</w:t>
      </w:r>
    </w:p>
    <w:p w:rsidR="0065430B" w:rsidRPr="00DE4EAF" w:rsidRDefault="0065430B" w:rsidP="00645813">
      <w:pPr>
        <w:pStyle w:val="Tabletitle"/>
      </w:pPr>
      <w:bookmarkStart w:id="274" w:name="_Ref366270520"/>
      <w:bookmarkStart w:id="275" w:name="_Ref366270532"/>
      <w:bookmarkStart w:id="276" w:name="_Toc369890531"/>
      <w:r>
        <w:lastRenderedPageBreak/>
        <w:t>Increased economic activity has been partially offset by structural change and reduced intensity</w:t>
      </w:r>
      <w:bookmarkEnd w:id="274"/>
      <w:bookmarkEnd w:id="275"/>
      <w:bookmarkEnd w:id="276"/>
    </w:p>
    <w:tbl>
      <w:tblPr>
        <w:tblStyle w:val="Vividtable"/>
        <w:tblW w:w="9854" w:type="dxa"/>
        <w:tblLook w:val="04A0" w:firstRow="1" w:lastRow="0" w:firstColumn="1" w:lastColumn="0" w:noHBand="0" w:noVBand="1"/>
      </w:tblPr>
      <w:tblGrid>
        <w:gridCol w:w="1105"/>
        <w:gridCol w:w="1399"/>
        <w:gridCol w:w="1837"/>
        <w:gridCol w:w="1839"/>
        <w:gridCol w:w="1837"/>
        <w:gridCol w:w="1837"/>
      </w:tblGrid>
      <w:tr w:rsidR="0065430B" w:rsidRPr="00E74A6C" w:rsidTr="00215A21">
        <w:trPr>
          <w:cnfStyle w:val="100000000000" w:firstRow="1" w:lastRow="0" w:firstColumn="0" w:lastColumn="0" w:oddVBand="0" w:evenVBand="0" w:oddHBand="0" w:evenHBand="0" w:firstRowFirstColumn="0" w:firstRowLastColumn="0" w:lastRowFirstColumn="0" w:lastRowLastColumn="0"/>
          <w:trHeight w:val="454"/>
        </w:trPr>
        <w:tc>
          <w:tcPr>
            <w:tcW w:w="561" w:type="pct"/>
          </w:tcPr>
          <w:p w:rsidR="0065430B" w:rsidRPr="00E74A6C" w:rsidRDefault="0065430B" w:rsidP="006054BB">
            <w:pPr>
              <w:keepNext/>
              <w:rPr>
                <w:rStyle w:val="PlaceholderText"/>
                <w:rFonts w:ascii="Arial" w:hAnsi="Arial" w:cs="Arial"/>
                <w:szCs w:val="18"/>
              </w:rPr>
            </w:pPr>
          </w:p>
        </w:tc>
        <w:tc>
          <w:tcPr>
            <w:tcW w:w="710" w:type="pct"/>
          </w:tcPr>
          <w:p w:rsidR="0065430B" w:rsidRPr="00E74A6C" w:rsidRDefault="0065430B" w:rsidP="006054BB">
            <w:pPr>
              <w:rPr>
                <w:rFonts w:ascii="Arial" w:hAnsi="Arial" w:cs="Arial"/>
                <w:szCs w:val="18"/>
              </w:rPr>
            </w:pPr>
          </w:p>
        </w:tc>
        <w:tc>
          <w:tcPr>
            <w:tcW w:w="932" w:type="pct"/>
          </w:tcPr>
          <w:p w:rsidR="0065430B" w:rsidRPr="00E74A6C" w:rsidRDefault="0065430B" w:rsidP="006054BB">
            <w:pPr>
              <w:jc w:val="center"/>
              <w:rPr>
                <w:rFonts w:ascii="Arial" w:hAnsi="Arial" w:cs="Arial"/>
                <w:szCs w:val="18"/>
              </w:rPr>
            </w:pPr>
            <w:r w:rsidRPr="00E74A6C">
              <w:rPr>
                <w:rFonts w:ascii="Arial" w:hAnsi="Arial" w:cs="Arial"/>
                <w:szCs w:val="18"/>
              </w:rPr>
              <w:t>First period</w:t>
            </w:r>
          </w:p>
        </w:tc>
        <w:tc>
          <w:tcPr>
            <w:tcW w:w="933" w:type="pct"/>
          </w:tcPr>
          <w:p w:rsidR="0065430B" w:rsidRPr="00E74A6C" w:rsidRDefault="0065430B" w:rsidP="006054BB">
            <w:pPr>
              <w:jc w:val="center"/>
              <w:rPr>
                <w:rFonts w:ascii="Arial" w:hAnsi="Arial" w:cs="Arial"/>
                <w:szCs w:val="18"/>
              </w:rPr>
            </w:pPr>
            <w:r w:rsidRPr="00E74A6C">
              <w:rPr>
                <w:rFonts w:ascii="Arial" w:hAnsi="Arial" w:cs="Arial"/>
                <w:szCs w:val="18"/>
              </w:rPr>
              <w:t>Second period</w:t>
            </w:r>
          </w:p>
        </w:tc>
        <w:tc>
          <w:tcPr>
            <w:tcW w:w="932" w:type="pct"/>
          </w:tcPr>
          <w:p w:rsidR="0065430B" w:rsidRPr="00E74A6C" w:rsidRDefault="0065430B" w:rsidP="006054BB">
            <w:pPr>
              <w:jc w:val="center"/>
              <w:rPr>
                <w:rFonts w:ascii="Arial" w:hAnsi="Arial" w:cs="Arial"/>
                <w:szCs w:val="18"/>
              </w:rPr>
            </w:pPr>
            <w:r w:rsidRPr="00E74A6C">
              <w:rPr>
                <w:rFonts w:ascii="Arial" w:hAnsi="Arial" w:cs="Arial"/>
                <w:szCs w:val="18"/>
              </w:rPr>
              <w:t>Third period</w:t>
            </w:r>
          </w:p>
        </w:tc>
        <w:tc>
          <w:tcPr>
            <w:tcW w:w="933" w:type="pct"/>
          </w:tcPr>
          <w:p w:rsidR="0065430B" w:rsidRPr="00E74A6C" w:rsidRDefault="0065430B" w:rsidP="006054BB">
            <w:pPr>
              <w:jc w:val="center"/>
              <w:rPr>
                <w:rFonts w:ascii="Arial" w:hAnsi="Arial" w:cs="Arial"/>
                <w:szCs w:val="18"/>
              </w:rPr>
            </w:pPr>
            <w:r w:rsidRPr="00E74A6C">
              <w:rPr>
                <w:rFonts w:ascii="Arial" w:hAnsi="Arial" w:cs="Arial"/>
                <w:szCs w:val="18"/>
              </w:rPr>
              <w:t>Whole period</w:t>
            </w:r>
          </w:p>
        </w:tc>
      </w:tr>
      <w:tr w:rsidR="0065430B" w:rsidRPr="00E74A6C" w:rsidTr="00215A21">
        <w:trPr>
          <w:cnfStyle w:val="000000100000" w:firstRow="0" w:lastRow="0" w:firstColumn="0" w:lastColumn="0" w:oddVBand="0" w:evenVBand="0" w:oddHBand="1" w:evenHBand="0" w:firstRowFirstColumn="0" w:firstRowLastColumn="0" w:lastRowFirstColumn="0" w:lastRowLastColumn="0"/>
          <w:trHeight w:val="454"/>
        </w:trPr>
        <w:tc>
          <w:tcPr>
            <w:tcW w:w="561" w:type="pct"/>
            <w:tcBorders>
              <w:bottom w:val="single" w:sz="4" w:space="0" w:color="auto"/>
            </w:tcBorders>
          </w:tcPr>
          <w:p w:rsidR="0065430B" w:rsidRPr="00E74A6C" w:rsidRDefault="0065430B" w:rsidP="006054BB">
            <w:pPr>
              <w:keepNext/>
              <w:rPr>
                <w:rStyle w:val="PlaceholderText"/>
                <w:rFonts w:ascii="Arial" w:hAnsi="Arial" w:cs="Arial"/>
                <w:b/>
                <w:szCs w:val="18"/>
              </w:rPr>
            </w:pPr>
            <w:r w:rsidRPr="00E74A6C">
              <w:rPr>
                <w:rStyle w:val="PlaceholderText"/>
                <w:rFonts w:ascii="Arial" w:hAnsi="Arial" w:cs="Arial"/>
                <w:b/>
                <w:szCs w:val="18"/>
              </w:rPr>
              <w:t>Effect</w:t>
            </w:r>
          </w:p>
        </w:tc>
        <w:tc>
          <w:tcPr>
            <w:tcW w:w="710" w:type="pct"/>
            <w:tcBorders>
              <w:bottom w:val="single" w:sz="4" w:space="0" w:color="auto"/>
            </w:tcBorders>
          </w:tcPr>
          <w:p w:rsidR="0065430B" w:rsidRPr="00E74A6C" w:rsidRDefault="0065430B" w:rsidP="006054BB">
            <w:pPr>
              <w:rPr>
                <w:rFonts w:ascii="Arial" w:hAnsi="Arial" w:cs="Arial"/>
                <w:b/>
                <w:szCs w:val="18"/>
              </w:rPr>
            </w:pPr>
            <w:r w:rsidRPr="00E74A6C">
              <w:rPr>
                <w:rFonts w:ascii="Arial" w:hAnsi="Arial" w:cs="Arial"/>
                <w:b/>
                <w:szCs w:val="18"/>
              </w:rPr>
              <w:t>Unit</w:t>
            </w:r>
          </w:p>
        </w:tc>
        <w:tc>
          <w:tcPr>
            <w:tcW w:w="932" w:type="pct"/>
            <w:tcBorders>
              <w:bottom w:val="single" w:sz="4" w:space="0" w:color="auto"/>
            </w:tcBorders>
          </w:tcPr>
          <w:p w:rsidR="0065430B" w:rsidRPr="00E74A6C" w:rsidRDefault="006C667D" w:rsidP="006054BB">
            <w:pPr>
              <w:jc w:val="center"/>
              <w:rPr>
                <w:rFonts w:ascii="Arial" w:hAnsi="Arial" w:cs="Arial"/>
                <w:b/>
                <w:szCs w:val="18"/>
              </w:rPr>
            </w:pPr>
            <w:r>
              <w:rPr>
                <w:rFonts w:ascii="Arial" w:hAnsi="Arial" w:cs="Arial"/>
                <w:b/>
                <w:szCs w:val="18"/>
              </w:rPr>
              <w:t>2000</w:t>
            </w:r>
            <w:r w:rsidR="0065430B" w:rsidRPr="00E74A6C">
              <w:rPr>
                <w:rFonts w:ascii="Arial" w:hAnsi="Arial" w:cs="Arial"/>
                <w:b/>
                <w:szCs w:val="18"/>
              </w:rPr>
              <w:t xml:space="preserve"> to 2000-05</w:t>
            </w:r>
          </w:p>
        </w:tc>
        <w:tc>
          <w:tcPr>
            <w:tcW w:w="933" w:type="pct"/>
            <w:tcBorders>
              <w:bottom w:val="single" w:sz="4" w:space="0" w:color="auto"/>
            </w:tcBorders>
          </w:tcPr>
          <w:p w:rsidR="0065430B" w:rsidRPr="00E74A6C" w:rsidRDefault="006C667D" w:rsidP="006054BB">
            <w:pPr>
              <w:jc w:val="center"/>
              <w:rPr>
                <w:rFonts w:ascii="Arial" w:hAnsi="Arial" w:cs="Arial"/>
                <w:b/>
                <w:szCs w:val="18"/>
              </w:rPr>
            </w:pPr>
            <w:r>
              <w:rPr>
                <w:rFonts w:ascii="Arial" w:hAnsi="Arial" w:cs="Arial"/>
                <w:b/>
                <w:szCs w:val="18"/>
              </w:rPr>
              <w:t>2005</w:t>
            </w:r>
            <w:r w:rsidR="0065430B" w:rsidRPr="00E74A6C">
              <w:rPr>
                <w:rFonts w:ascii="Arial" w:hAnsi="Arial" w:cs="Arial"/>
                <w:b/>
                <w:szCs w:val="18"/>
              </w:rPr>
              <w:t xml:space="preserve"> to </w:t>
            </w:r>
            <w:r>
              <w:rPr>
                <w:rFonts w:ascii="Arial" w:hAnsi="Arial" w:cs="Arial"/>
                <w:b/>
                <w:szCs w:val="18"/>
              </w:rPr>
              <w:t>2008</w:t>
            </w:r>
          </w:p>
        </w:tc>
        <w:tc>
          <w:tcPr>
            <w:tcW w:w="932" w:type="pct"/>
            <w:tcBorders>
              <w:bottom w:val="single" w:sz="4" w:space="0" w:color="auto"/>
            </w:tcBorders>
          </w:tcPr>
          <w:p w:rsidR="0065430B" w:rsidRPr="00E74A6C" w:rsidRDefault="006C667D" w:rsidP="006054BB">
            <w:pPr>
              <w:jc w:val="center"/>
              <w:rPr>
                <w:rFonts w:ascii="Arial" w:hAnsi="Arial" w:cs="Arial"/>
                <w:b/>
                <w:szCs w:val="18"/>
              </w:rPr>
            </w:pPr>
            <w:r>
              <w:rPr>
                <w:rFonts w:ascii="Arial" w:hAnsi="Arial" w:cs="Arial"/>
                <w:b/>
                <w:szCs w:val="18"/>
              </w:rPr>
              <w:t>2008</w:t>
            </w:r>
            <w:r w:rsidR="0065430B" w:rsidRPr="00E74A6C">
              <w:rPr>
                <w:rFonts w:ascii="Arial" w:hAnsi="Arial" w:cs="Arial"/>
                <w:b/>
                <w:szCs w:val="18"/>
              </w:rPr>
              <w:t xml:space="preserve"> to </w:t>
            </w:r>
            <w:r>
              <w:rPr>
                <w:rFonts w:ascii="Arial" w:hAnsi="Arial" w:cs="Arial"/>
                <w:b/>
                <w:szCs w:val="18"/>
              </w:rPr>
              <w:t>2011</w:t>
            </w:r>
          </w:p>
        </w:tc>
        <w:tc>
          <w:tcPr>
            <w:tcW w:w="933" w:type="pct"/>
            <w:tcBorders>
              <w:bottom w:val="single" w:sz="4" w:space="0" w:color="auto"/>
            </w:tcBorders>
          </w:tcPr>
          <w:p w:rsidR="0065430B" w:rsidRPr="00E74A6C" w:rsidRDefault="006C667D" w:rsidP="006054BB">
            <w:pPr>
              <w:jc w:val="center"/>
              <w:rPr>
                <w:rFonts w:ascii="Arial" w:hAnsi="Arial" w:cs="Arial"/>
                <w:b/>
                <w:szCs w:val="18"/>
              </w:rPr>
            </w:pPr>
            <w:r>
              <w:rPr>
                <w:rFonts w:ascii="Arial" w:hAnsi="Arial" w:cs="Arial"/>
                <w:b/>
                <w:szCs w:val="18"/>
              </w:rPr>
              <w:t>2000</w:t>
            </w:r>
            <w:r w:rsidR="0065430B" w:rsidRPr="00E74A6C">
              <w:rPr>
                <w:rFonts w:ascii="Arial" w:hAnsi="Arial" w:cs="Arial"/>
                <w:b/>
                <w:szCs w:val="18"/>
              </w:rPr>
              <w:t xml:space="preserve"> to </w:t>
            </w:r>
            <w:r>
              <w:rPr>
                <w:rFonts w:ascii="Arial" w:hAnsi="Arial" w:cs="Arial"/>
                <w:b/>
                <w:szCs w:val="18"/>
              </w:rPr>
              <w:t>2011</w:t>
            </w:r>
          </w:p>
        </w:tc>
      </w:tr>
      <w:tr w:rsidR="0065430B" w:rsidRPr="00E74A6C" w:rsidTr="00215A21">
        <w:trPr>
          <w:trHeight w:val="454"/>
        </w:trPr>
        <w:tc>
          <w:tcPr>
            <w:tcW w:w="561" w:type="pct"/>
            <w:vMerge w:val="restart"/>
            <w:tcBorders>
              <w:top w:val="single" w:sz="4" w:space="0" w:color="auto"/>
            </w:tcBorders>
          </w:tcPr>
          <w:p w:rsidR="0065430B" w:rsidRPr="00E74A6C" w:rsidRDefault="0065430B" w:rsidP="006054BB">
            <w:pPr>
              <w:keepNext/>
              <w:spacing w:line="200" w:lineRule="exact"/>
              <w:rPr>
                <w:rStyle w:val="PlaceholderText"/>
                <w:rFonts w:ascii="Arial" w:hAnsi="Arial" w:cs="Arial"/>
                <w:szCs w:val="18"/>
              </w:rPr>
            </w:pPr>
            <w:r w:rsidRPr="00E74A6C">
              <w:rPr>
                <w:rStyle w:val="PlaceholderText"/>
                <w:rFonts w:ascii="Arial" w:hAnsi="Arial" w:cs="Arial"/>
                <w:szCs w:val="18"/>
              </w:rPr>
              <w:t>Activity</w:t>
            </w:r>
          </w:p>
        </w:tc>
        <w:tc>
          <w:tcPr>
            <w:tcW w:w="710" w:type="pct"/>
            <w:tcBorders>
              <w:top w:val="single" w:sz="4" w:space="0" w:color="auto"/>
            </w:tcBorders>
          </w:tcPr>
          <w:p w:rsidR="0065430B" w:rsidRPr="00E74A6C" w:rsidRDefault="0065430B" w:rsidP="006054BB">
            <w:pPr>
              <w:rPr>
                <w:rFonts w:ascii="Arial" w:hAnsi="Arial" w:cs="Arial"/>
                <w:szCs w:val="18"/>
              </w:rPr>
            </w:pPr>
            <w:r w:rsidRPr="00E74A6C">
              <w:rPr>
                <w:rFonts w:ascii="Arial" w:hAnsi="Arial" w:cs="Arial"/>
                <w:szCs w:val="18"/>
              </w:rPr>
              <w:t>MtCO</w:t>
            </w:r>
            <w:r w:rsidRPr="00E74A6C">
              <w:rPr>
                <w:rFonts w:ascii="Arial" w:hAnsi="Arial" w:cs="Arial"/>
                <w:szCs w:val="18"/>
                <w:vertAlign w:val="subscript"/>
              </w:rPr>
              <w:t>2</w:t>
            </w:r>
            <w:r w:rsidRPr="00E74A6C">
              <w:rPr>
                <w:rFonts w:ascii="Arial" w:hAnsi="Arial" w:cs="Arial"/>
                <w:szCs w:val="18"/>
              </w:rPr>
              <w:t>e</w:t>
            </w:r>
          </w:p>
        </w:tc>
        <w:tc>
          <w:tcPr>
            <w:tcW w:w="932" w:type="pct"/>
            <w:tcBorders>
              <w:top w:val="single" w:sz="4" w:space="0" w:color="auto"/>
            </w:tcBorders>
          </w:tcPr>
          <w:p w:rsidR="0065430B" w:rsidRPr="00E74A6C" w:rsidRDefault="0065430B" w:rsidP="00622EDC">
            <w:pPr>
              <w:tabs>
                <w:tab w:val="decimal" w:pos="898"/>
              </w:tabs>
              <w:rPr>
                <w:rFonts w:ascii="Arial" w:hAnsi="Arial" w:cs="Arial"/>
                <w:szCs w:val="18"/>
              </w:rPr>
            </w:pPr>
            <w:r>
              <w:rPr>
                <w:rFonts w:ascii="Arial" w:hAnsi="Arial" w:cs="Arial"/>
                <w:szCs w:val="18"/>
              </w:rPr>
              <w:t>78</w:t>
            </w:r>
          </w:p>
        </w:tc>
        <w:tc>
          <w:tcPr>
            <w:tcW w:w="933" w:type="pct"/>
            <w:tcBorders>
              <w:top w:val="single" w:sz="4" w:space="0" w:color="auto"/>
            </w:tcBorders>
          </w:tcPr>
          <w:p w:rsidR="0065430B" w:rsidRPr="00E74A6C" w:rsidRDefault="0065430B" w:rsidP="00622EDC">
            <w:pPr>
              <w:tabs>
                <w:tab w:val="decimal" w:pos="904"/>
              </w:tabs>
              <w:rPr>
                <w:rFonts w:ascii="Arial" w:hAnsi="Arial" w:cs="Arial"/>
                <w:szCs w:val="18"/>
              </w:rPr>
            </w:pPr>
            <w:r>
              <w:rPr>
                <w:rFonts w:ascii="Arial" w:hAnsi="Arial" w:cs="Arial"/>
                <w:szCs w:val="18"/>
              </w:rPr>
              <w:t>53</w:t>
            </w:r>
          </w:p>
        </w:tc>
        <w:tc>
          <w:tcPr>
            <w:tcW w:w="932" w:type="pct"/>
            <w:tcBorders>
              <w:top w:val="single" w:sz="4" w:space="0" w:color="auto"/>
            </w:tcBorders>
          </w:tcPr>
          <w:p w:rsidR="0065430B" w:rsidRPr="00E74A6C" w:rsidRDefault="0065430B" w:rsidP="00622EDC">
            <w:pPr>
              <w:tabs>
                <w:tab w:val="decimal" w:pos="898"/>
              </w:tabs>
              <w:rPr>
                <w:rFonts w:ascii="Arial" w:hAnsi="Arial" w:cs="Arial"/>
                <w:szCs w:val="18"/>
              </w:rPr>
            </w:pPr>
            <w:r>
              <w:rPr>
                <w:rFonts w:ascii="Arial" w:hAnsi="Arial" w:cs="Arial"/>
                <w:szCs w:val="18"/>
              </w:rPr>
              <w:t>33</w:t>
            </w:r>
          </w:p>
        </w:tc>
        <w:tc>
          <w:tcPr>
            <w:tcW w:w="933" w:type="pct"/>
            <w:tcBorders>
              <w:top w:val="single" w:sz="4" w:space="0" w:color="auto"/>
            </w:tcBorders>
          </w:tcPr>
          <w:p w:rsidR="0065430B" w:rsidRPr="00E74A6C" w:rsidRDefault="0065430B" w:rsidP="00622EDC">
            <w:pPr>
              <w:tabs>
                <w:tab w:val="decimal" w:pos="898"/>
              </w:tabs>
              <w:rPr>
                <w:rFonts w:ascii="Arial" w:hAnsi="Arial" w:cs="Arial"/>
                <w:szCs w:val="18"/>
              </w:rPr>
            </w:pPr>
            <w:r>
              <w:rPr>
                <w:rFonts w:ascii="Arial" w:hAnsi="Arial" w:cs="Arial"/>
                <w:szCs w:val="18"/>
              </w:rPr>
              <w:t>164</w:t>
            </w:r>
          </w:p>
        </w:tc>
      </w:tr>
      <w:tr w:rsidR="0065430B" w:rsidRPr="00E74A6C" w:rsidTr="00215A21">
        <w:trPr>
          <w:cnfStyle w:val="000000100000" w:firstRow="0" w:lastRow="0" w:firstColumn="0" w:lastColumn="0" w:oddVBand="0" w:evenVBand="0" w:oddHBand="1" w:evenHBand="0" w:firstRowFirstColumn="0" w:firstRowLastColumn="0" w:lastRowFirstColumn="0" w:lastRowLastColumn="0"/>
          <w:trHeight w:val="454"/>
        </w:trPr>
        <w:tc>
          <w:tcPr>
            <w:tcW w:w="561" w:type="pct"/>
            <w:vMerge/>
          </w:tcPr>
          <w:p w:rsidR="0065430B" w:rsidRPr="00E74A6C" w:rsidRDefault="0065430B" w:rsidP="006054BB">
            <w:pPr>
              <w:keepNext/>
              <w:spacing w:line="200" w:lineRule="exact"/>
              <w:rPr>
                <w:rStyle w:val="PlaceholderText"/>
                <w:rFonts w:ascii="Arial" w:hAnsi="Arial" w:cs="Arial"/>
                <w:szCs w:val="18"/>
              </w:rPr>
            </w:pPr>
          </w:p>
        </w:tc>
        <w:tc>
          <w:tcPr>
            <w:tcW w:w="710" w:type="pct"/>
          </w:tcPr>
          <w:p w:rsidR="0065430B" w:rsidRPr="00E74A6C" w:rsidRDefault="00622EDC" w:rsidP="006054BB">
            <w:pPr>
              <w:rPr>
                <w:rFonts w:ascii="Arial" w:hAnsi="Arial" w:cs="Arial"/>
                <w:szCs w:val="18"/>
              </w:rPr>
            </w:pPr>
            <w:r>
              <w:rPr>
                <w:rFonts w:ascii="Arial" w:hAnsi="Arial" w:cs="Arial"/>
                <w:szCs w:val="18"/>
              </w:rPr>
              <w:t>change</w:t>
            </w:r>
            <w:r w:rsidR="0065430B">
              <w:rPr>
                <w:rFonts w:ascii="Arial" w:hAnsi="Arial" w:cs="Arial"/>
                <w:szCs w:val="18"/>
              </w:rPr>
              <w:t xml:space="preserve"> over period</w:t>
            </w:r>
            <w:r>
              <w:rPr>
                <w:rFonts w:ascii="Arial" w:hAnsi="Arial" w:cs="Arial"/>
                <w:szCs w:val="18"/>
              </w:rPr>
              <w:t>, %</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1</w:t>
            </w:r>
            <w:r w:rsidR="00622EDC">
              <w:rPr>
                <w:rFonts w:ascii="Arial" w:hAnsi="Arial" w:cs="Arial"/>
                <w:szCs w:val="18"/>
              </w:rPr>
              <w:t>8</w:t>
            </w:r>
          </w:p>
        </w:tc>
        <w:tc>
          <w:tcPr>
            <w:tcW w:w="933" w:type="pct"/>
          </w:tcPr>
          <w:p w:rsidR="0065430B" w:rsidRPr="00E74A6C" w:rsidRDefault="0065430B" w:rsidP="00622EDC">
            <w:pPr>
              <w:tabs>
                <w:tab w:val="decimal" w:pos="904"/>
              </w:tabs>
              <w:rPr>
                <w:rFonts w:ascii="Arial" w:hAnsi="Arial" w:cs="Arial"/>
                <w:szCs w:val="18"/>
              </w:rPr>
            </w:pPr>
            <w:r w:rsidRPr="00E74A6C">
              <w:rPr>
                <w:rFonts w:ascii="Arial" w:hAnsi="Arial" w:cs="Arial"/>
                <w:szCs w:val="18"/>
              </w:rPr>
              <w:t>1</w:t>
            </w:r>
            <w:r>
              <w:rPr>
                <w:rFonts w:ascii="Arial" w:hAnsi="Arial" w:cs="Arial"/>
                <w:szCs w:val="18"/>
              </w:rPr>
              <w:t>1</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6.</w:t>
            </w:r>
            <w:r>
              <w:rPr>
                <w:rFonts w:ascii="Arial" w:hAnsi="Arial" w:cs="Arial"/>
                <w:szCs w:val="18"/>
              </w:rPr>
              <w:t>7</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37</w:t>
            </w:r>
          </w:p>
        </w:tc>
      </w:tr>
      <w:tr w:rsidR="0065430B" w:rsidRPr="00E74A6C" w:rsidTr="00215A21">
        <w:trPr>
          <w:trHeight w:val="454"/>
        </w:trPr>
        <w:tc>
          <w:tcPr>
            <w:tcW w:w="561" w:type="pct"/>
            <w:vMerge w:val="restart"/>
            <w:shd w:val="clear" w:color="auto" w:fill="auto"/>
          </w:tcPr>
          <w:p w:rsidR="0065430B" w:rsidRPr="00E74A6C" w:rsidRDefault="0065430B" w:rsidP="006054BB">
            <w:pPr>
              <w:keepNext/>
              <w:spacing w:line="200" w:lineRule="exact"/>
              <w:rPr>
                <w:rStyle w:val="PlaceholderText"/>
                <w:rFonts w:ascii="Arial" w:hAnsi="Arial" w:cs="Arial"/>
                <w:szCs w:val="18"/>
              </w:rPr>
            </w:pPr>
            <w:r w:rsidRPr="00E74A6C">
              <w:rPr>
                <w:rStyle w:val="PlaceholderText"/>
                <w:rFonts w:ascii="Arial" w:hAnsi="Arial" w:cs="Arial"/>
                <w:szCs w:val="18"/>
              </w:rPr>
              <w:t>Structural</w:t>
            </w:r>
          </w:p>
        </w:tc>
        <w:tc>
          <w:tcPr>
            <w:tcW w:w="710" w:type="pct"/>
          </w:tcPr>
          <w:p w:rsidR="0065430B" w:rsidRPr="00E74A6C" w:rsidRDefault="0065430B" w:rsidP="006054BB">
            <w:pPr>
              <w:rPr>
                <w:rFonts w:ascii="Arial" w:hAnsi="Arial" w:cs="Arial"/>
                <w:szCs w:val="18"/>
              </w:rPr>
            </w:pPr>
            <w:r w:rsidRPr="00E74A6C">
              <w:rPr>
                <w:rFonts w:ascii="Arial" w:hAnsi="Arial" w:cs="Arial"/>
                <w:szCs w:val="18"/>
              </w:rPr>
              <w:t>MtCO</w:t>
            </w:r>
            <w:r w:rsidRPr="00E74A6C">
              <w:rPr>
                <w:rFonts w:ascii="Arial" w:hAnsi="Arial" w:cs="Arial"/>
                <w:szCs w:val="18"/>
                <w:vertAlign w:val="subscript"/>
              </w:rPr>
              <w:t>2</w:t>
            </w:r>
            <w:r w:rsidRPr="00E74A6C">
              <w:rPr>
                <w:rFonts w:ascii="Arial" w:hAnsi="Arial" w:cs="Arial"/>
                <w:szCs w:val="18"/>
              </w:rPr>
              <w:t>e</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-36</w:t>
            </w:r>
          </w:p>
        </w:tc>
        <w:tc>
          <w:tcPr>
            <w:tcW w:w="933" w:type="pct"/>
          </w:tcPr>
          <w:p w:rsidR="0065430B" w:rsidRPr="00E74A6C" w:rsidRDefault="0065430B" w:rsidP="00622EDC">
            <w:pPr>
              <w:tabs>
                <w:tab w:val="decimal" w:pos="904"/>
              </w:tabs>
              <w:rPr>
                <w:rFonts w:ascii="Arial" w:hAnsi="Arial" w:cs="Arial"/>
                <w:szCs w:val="18"/>
              </w:rPr>
            </w:pPr>
            <w:r>
              <w:rPr>
                <w:rFonts w:ascii="Arial" w:hAnsi="Arial" w:cs="Arial"/>
                <w:szCs w:val="18"/>
              </w:rPr>
              <w:t>-20</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0.7</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-55</w:t>
            </w:r>
          </w:p>
        </w:tc>
      </w:tr>
      <w:tr w:rsidR="0065430B" w:rsidRPr="00E74A6C" w:rsidTr="00215A21">
        <w:trPr>
          <w:cnfStyle w:val="000000100000" w:firstRow="0" w:lastRow="0" w:firstColumn="0" w:lastColumn="0" w:oddVBand="0" w:evenVBand="0" w:oddHBand="1" w:evenHBand="0" w:firstRowFirstColumn="0" w:firstRowLastColumn="0" w:lastRowFirstColumn="0" w:lastRowLastColumn="0"/>
          <w:trHeight w:val="454"/>
        </w:trPr>
        <w:tc>
          <w:tcPr>
            <w:tcW w:w="561" w:type="pct"/>
            <w:vMerge/>
            <w:shd w:val="clear" w:color="auto" w:fill="auto"/>
          </w:tcPr>
          <w:p w:rsidR="0065430B" w:rsidRPr="00E74A6C" w:rsidRDefault="0065430B" w:rsidP="006054BB">
            <w:pPr>
              <w:keepNext/>
              <w:spacing w:line="200" w:lineRule="exact"/>
              <w:rPr>
                <w:rStyle w:val="PlaceholderText"/>
                <w:rFonts w:ascii="Arial" w:hAnsi="Arial" w:cs="Arial"/>
                <w:szCs w:val="18"/>
              </w:rPr>
            </w:pPr>
          </w:p>
        </w:tc>
        <w:tc>
          <w:tcPr>
            <w:tcW w:w="710" w:type="pct"/>
          </w:tcPr>
          <w:p w:rsidR="0065430B" w:rsidRPr="00E74A6C" w:rsidRDefault="00622EDC" w:rsidP="006054BB">
            <w:pPr>
              <w:rPr>
                <w:rFonts w:ascii="Arial" w:hAnsi="Arial" w:cs="Arial"/>
                <w:szCs w:val="18"/>
              </w:rPr>
            </w:pPr>
            <w:r>
              <w:rPr>
                <w:rFonts w:ascii="Arial" w:hAnsi="Arial" w:cs="Arial"/>
                <w:szCs w:val="18"/>
              </w:rPr>
              <w:t>change over period, %</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w:t>
            </w:r>
            <w:r>
              <w:rPr>
                <w:rFonts w:ascii="Arial" w:hAnsi="Arial" w:cs="Arial"/>
                <w:szCs w:val="18"/>
              </w:rPr>
              <w:t>8</w:t>
            </w:r>
            <w:r w:rsidRPr="00E74A6C">
              <w:rPr>
                <w:rFonts w:ascii="Arial" w:hAnsi="Arial" w:cs="Arial"/>
                <w:szCs w:val="18"/>
              </w:rPr>
              <w:t>.</w:t>
            </w:r>
            <w:r>
              <w:rPr>
                <w:rFonts w:ascii="Arial" w:hAnsi="Arial" w:cs="Arial"/>
                <w:szCs w:val="18"/>
              </w:rPr>
              <w:t>2</w:t>
            </w:r>
          </w:p>
        </w:tc>
        <w:tc>
          <w:tcPr>
            <w:tcW w:w="933" w:type="pct"/>
          </w:tcPr>
          <w:p w:rsidR="0065430B" w:rsidRPr="00E74A6C" w:rsidRDefault="0065430B" w:rsidP="00622EDC">
            <w:pPr>
              <w:tabs>
                <w:tab w:val="decimal" w:pos="904"/>
              </w:tabs>
              <w:rPr>
                <w:rFonts w:ascii="Arial" w:hAnsi="Arial" w:cs="Arial"/>
                <w:szCs w:val="18"/>
              </w:rPr>
            </w:pPr>
            <w:r w:rsidRPr="00E74A6C">
              <w:rPr>
                <w:rFonts w:ascii="Arial" w:hAnsi="Arial" w:cs="Arial"/>
                <w:szCs w:val="18"/>
              </w:rPr>
              <w:t>-4.</w:t>
            </w:r>
            <w:r>
              <w:rPr>
                <w:rFonts w:ascii="Arial" w:hAnsi="Arial" w:cs="Arial"/>
                <w:szCs w:val="18"/>
              </w:rPr>
              <w:t>2</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0.</w:t>
            </w:r>
            <w:r>
              <w:rPr>
                <w:rFonts w:ascii="Arial" w:hAnsi="Arial" w:cs="Arial"/>
                <w:szCs w:val="18"/>
              </w:rPr>
              <w:t>1</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-12.5</w:t>
            </w:r>
          </w:p>
        </w:tc>
      </w:tr>
      <w:tr w:rsidR="0065430B" w:rsidRPr="00E74A6C" w:rsidTr="00215A21">
        <w:trPr>
          <w:trHeight w:val="454"/>
        </w:trPr>
        <w:tc>
          <w:tcPr>
            <w:tcW w:w="561" w:type="pct"/>
            <w:vMerge w:val="restart"/>
          </w:tcPr>
          <w:p w:rsidR="0065430B" w:rsidRPr="00E74A6C" w:rsidRDefault="0065430B" w:rsidP="006054BB">
            <w:pPr>
              <w:keepNext/>
              <w:spacing w:line="200" w:lineRule="exact"/>
              <w:rPr>
                <w:rStyle w:val="PlaceholderText"/>
                <w:rFonts w:ascii="Arial" w:hAnsi="Arial" w:cs="Arial"/>
                <w:szCs w:val="18"/>
              </w:rPr>
            </w:pPr>
            <w:r w:rsidRPr="00E74A6C">
              <w:rPr>
                <w:rStyle w:val="PlaceholderText"/>
                <w:rFonts w:ascii="Arial" w:hAnsi="Arial" w:cs="Arial"/>
                <w:szCs w:val="18"/>
              </w:rPr>
              <w:t>Intensity</w:t>
            </w:r>
          </w:p>
        </w:tc>
        <w:tc>
          <w:tcPr>
            <w:tcW w:w="710" w:type="pct"/>
          </w:tcPr>
          <w:p w:rsidR="0065430B" w:rsidRPr="00E74A6C" w:rsidRDefault="0065430B" w:rsidP="006054BB">
            <w:pPr>
              <w:rPr>
                <w:rFonts w:ascii="Arial" w:hAnsi="Arial" w:cs="Arial"/>
                <w:szCs w:val="18"/>
              </w:rPr>
            </w:pPr>
            <w:r w:rsidRPr="00E74A6C">
              <w:rPr>
                <w:rFonts w:ascii="Arial" w:hAnsi="Arial" w:cs="Arial"/>
                <w:szCs w:val="18"/>
              </w:rPr>
              <w:t>MtCO</w:t>
            </w:r>
            <w:r w:rsidRPr="00E74A6C">
              <w:rPr>
                <w:rFonts w:ascii="Arial" w:hAnsi="Arial" w:cs="Arial"/>
                <w:szCs w:val="18"/>
                <w:vertAlign w:val="subscript"/>
              </w:rPr>
              <w:t>2</w:t>
            </w:r>
            <w:r w:rsidRPr="00E74A6C">
              <w:rPr>
                <w:rFonts w:ascii="Arial" w:hAnsi="Arial" w:cs="Arial"/>
                <w:szCs w:val="18"/>
              </w:rPr>
              <w:t>e</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-13</w:t>
            </w:r>
          </w:p>
        </w:tc>
        <w:tc>
          <w:tcPr>
            <w:tcW w:w="933" w:type="pct"/>
          </w:tcPr>
          <w:p w:rsidR="0065430B" w:rsidRPr="00E74A6C" w:rsidRDefault="0065430B" w:rsidP="00622EDC">
            <w:pPr>
              <w:tabs>
                <w:tab w:val="decimal" w:pos="904"/>
              </w:tabs>
              <w:rPr>
                <w:rFonts w:ascii="Arial" w:hAnsi="Arial" w:cs="Arial"/>
                <w:szCs w:val="18"/>
              </w:rPr>
            </w:pPr>
            <w:r>
              <w:rPr>
                <w:rFonts w:ascii="Arial" w:hAnsi="Arial" w:cs="Arial"/>
                <w:szCs w:val="18"/>
              </w:rPr>
              <w:t>-13</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-36</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-60</w:t>
            </w:r>
          </w:p>
        </w:tc>
      </w:tr>
      <w:tr w:rsidR="0065430B" w:rsidRPr="00E74A6C" w:rsidTr="00215A21">
        <w:trPr>
          <w:cnfStyle w:val="000000100000" w:firstRow="0" w:lastRow="0" w:firstColumn="0" w:lastColumn="0" w:oddVBand="0" w:evenVBand="0" w:oddHBand="1" w:evenHBand="0" w:firstRowFirstColumn="0" w:firstRowLastColumn="0" w:lastRowFirstColumn="0" w:lastRowLastColumn="0"/>
          <w:trHeight w:val="454"/>
        </w:trPr>
        <w:tc>
          <w:tcPr>
            <w:tcW w:w="561" w:type="pct"/>
            <w:vMerge/>
          </w:tcPr>
          <w:p w:rsidR="0065430B" w:rsidRPr="00E74A6C" w:rsidRDefault="0065430B" w:rsidP="006054BB">
            <w:pPr>
              <w:keepNext/>
              <w:spacing w:line="200" w:lineRule="exact"/>
              <w:rPr>
                <w:rStyle w:val="PlaceholderText"/>
                <w:rFonts w:ascii="Arial" w:hAnsi="Arial" w:cs="Arial"/>
                <w:szCs w:val="18"/>
              </w:rPr>
            </w:pPr>
          </w:p>
        </w:tc>
        <w:tc>
          <w:tcPr>
            <w:tcW w:w="710" w:type="pct"/>
          </w:tcPr>
          <w:p w:rsidR="0065430B" w:rsidRPr="00E74A6C" w:rsidRDefault="00622EDC" w:rsidP="006054BB">
            <w:pPr>
              <w:rPr>
                <w:rFonts w:ascii="Arial" w:hAnsi="Arial" w:cs="Arial"/>
                <w:szCs w:val="18"/>
              </w:rPr>
            </w:pPr>
            <w:r>
              <w:rPr>
                <w:rFonts w:ascii="Arial" w:hAnsi="Arial" w:cs="Arial"/>
                <w:szCs w:val="18"/>
              </w:rPr>
              <w:t>change over period, %</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-3.</w:t>
            </w:r>
            <w:r>
              <w:rPr>
                <w:rFonts w:ascii="Arial" w:hAnsi="Arial" w:cs="Arial"/>
                <w:szCs w:val="18"/>
              </w:rPr>
              <w:t>0</w:t>
            </w:r>
          </w:p>
        </w:tc>
        <w:tc>
          <w:tcPr>
            <w:tcW w:w="933" w:type="pct"/>
          </w:tcPr>
          <w:p w:rsidR="0065430B" w:rsidRPr="00E74A6C" w:rsidRDefault="0065430B" w:rsidP="00622EDC">
            <w:pPr>
              <w:tabs>
                <w:tab w:val="decimal" w:pos="904"/>
              </w:tabs>
              <w:rPr>
                <w:rFonts w:ascii="Arial" w:hAnsi="Arial" w:cs="Arial"/>
                <w:szCs w:val="18"/>
              </w:rPr>
            </w:pPr>
            <w:r w:rsidRPr="00E74A6C">
              <w:rPr>
                <w:rFonts w:ascii="Arial" w:hAnsi="Arial" w:cs="Arial"/>
                <w:szCs w:val="18"/>
              </w:rPr>
              <w:t>-</w:t>
            </w:r>
            <w:r>
              <w:rPr>
                <w:rFonts w:ascii="Arial" w:hAnsi="Arial" w:cs="Arial"/>
                <w:szCs w:val="18"/>
              </w:rPr>
              <w:t>2</w:t>
            </w:r>
            <w:r w:rsidRPr="00E74A6C">
              <w:rPr>
                <w:rFonts w:ascii="Arial" w:hAnsi="Arial" w:cs="Arial"/>
                <w:szCs w:val="18"/>
              </w:rPr>
              <w:t>.</w:t>
            </w:r>
            <w:r>
              <w:rPr>
                <w:rFonts w:ascii="Arial" w:hAnsi="Arial" w:cs="Arial"/>
                <w:szCs w:val="18"/>
              </w:rPr>
              <w:t>7</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w:t>
            </w:r>
            <w:r>
              <w:rPr>
                <w:rFonts w:ascii="Arial" w:hAnsi="Arial" w:cs="Arial"/>
                <w:szCs w:val="18"/>
              </w:rPr>
              <w:t>6</w:t>
            </w:r>
            <w:r w:rsidRPr="00E74A6C">
              <w:rPr>
                <w:rFonts w:ascii="Arial" w:hAnsi="Arial" w:cs="Arial"/>
                <w:szCs w:val="18"/>
              </w:rPr>
              <w:t>.</w:t>
            </w:r>
            <w:r>
              <w:rPr>
                <w:rFonts w:ascii="Arial" w:hAnsi="Arial" w:cs="Arial"/>
                <w:szCs w:val="18"/>
              </w:rPr>
              <w:t>8</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-13.5</w:t>
            </w:r>
          </w:p>
        </w:tc>
      </w:tr>
      <w:tr w:rsidR="0065430B" w:rsidRPr="00E74A6C" w:rsidTr="00215A21">
        <w:trPr>
          <w:trHeight w:val="454"/>
        </w:trPr>
        <w:tc>
          <w:tcPr>
            <w:tcW w:w="561" w:type="pct"/>
            <w:vMerge w:val="restart"/>
            <w:shd w:val="clear" w:color="auto" w:fill="auto"/>
          </w:tcPr>
          <w:p w:rsidR="0065430B" w:rsidRPr="00E74A6C" w:rsidRDefault="0065430B" w:rsidP="006054BB">
            <w:pPr>
              <w:keepNext/>
              <w:spacing w:line="200" w:lineRule="exact"/>
              <w:rPr>
                <w:rStyle w:val="PlaceholderText"/>
                <w:rFonts w:ascii="Arial" w:hAnsi="Arial" w:cs="Arial"/>
                <w:szCs w:val="18"/>
              </w:rPr>
            </w:pPr>
            <w:r w:rsidRPr="00E74A6C">
              <w:rPr>
                <w:rStyle w:val="PlaceholderText"/>
                <w:rFonts w:ascii="Arial" w:hAnsi="Arial" w:cs="Arial"/>
                <w:szCs w:val="18"/>
              </w:rPr>
              <w:t>Total</w:t>
            </w:r>
          </w:p>
        </w:tc>
        <w:tc>
          <w:tcPr>
            <w:tcW w:w="710" w:type="pct"/>
          </w:tcPr>
          <w:p w:rsidR="0065430B" w:rsidRPr="00E74A6C" w:rsidRDefault="0065430B" w:rsidP="006054BB">
            <w:pPr>
              <w:rPr>
                <w:rFonts w:ascii="Arial" w:hAnsi="Arial" w:cs="Arial"/>
                <w:szCs w:val="18"/>
              </w:rPr>
            </w:pPr>
            <w:r w:rsidRPr="00E74A6C">
              <w:rPr>
                <w:rFonts w:ascii="Arial" w:hAnsi="Arial" w:cs="Arial"/>
                <w:szCs w:val="18"/>
              </w:rPr>
              <w:t>MtCO</w:t>
            </w:r>
            <w:r w:rsidRPr="00EF2C75">
              <w:rPr>
                <w:rFonts w:ascii="Arial" w:hAnsi="Arial" w:cs="Arial"/>
                <w:szCs w:val="18"/>
                <w:vertAlign w:val="subscript"/>
              </w:rPr>
              <w:t>2</w:t>
            </w:r>
            <w:r w:rsidRPr="00E74A6C">
              <w:rPr>
                <w:rFonts w:ascii="Arial" w:hAnsi="Arial" w:cs="Arial"/>
                <w:szCs w:val="18"/>
              </w:rPr>
              <w:t>e</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28</w:t>
            </w:r>
          </w:p>
        </w:tc>
        <w:tc>
          <w:tcPr>
            <w:tcW w:w="933" w:type="pct"/>
          </w:tcPr>
          <w:p w:rsidR="0065430B" w:rsidRPr="00E74A6C" w:rsidRDefault="0065430B" w:rsidP="00622EDC">
            <w:pPr>
              <w:tabs>
                <w:tab w:val="decimal" w:pos="904"/>
              </w:tabs>
              <w:rPr>
                <w:rFonts w:ascii="Arial" w:hAnsi="Arial" w:cs="Arial"/>
                <w:szCs w:val="18"/>
              </w:rPr>
            </w:pPr>
            <w:r>
              <w:rPr>
                <w:rFonts w:ascii="Arial" w:hAnsi="Arial" w:cs="Arial"/>
                <w:szCs w:val="18"/>
              </w:rPr>
              <w:t>21</w:t>
            </w:r>
          </w:p>
        </w:tc>
        <w:tc>
          <w:tcPr>
            <w:tcW w:w="932" w:type="pct"/>
          </w:tcPr>
          <w:p w:rsidR="0065430B" w:rsidRPr="00E74A6C" w:rsidRDefault="0065430B" w:rsidP="00622EDC">
            <w:pPr>
              <w:tabs>
                <w:tab w:val="decimal" w:pos="898"/>
              </w:tabs>
              <w:rPr>
                <w:rFonts w:ascii="Arial" w:hAnsi="Arial" w:cs="Arial"/>
                <w:szCs w:val="18"/>
              </w:rPr>
            </w:pPr>
            <w:r>
              <w:rPr>
                <w:rFonts w:ascii="Arial" w:hAnsi="Arial" w:cs="Arial"/>
                <w:szCs w:val="18"/>
              </w:rPr>
              <w:t>0.3</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49</w:t>
            </w:r>
          </w:p>
        </w:tc>
      </w:tr>
      <w:tr w:rsidR="0065430B" w:rsidRPr="00E74A6C" w:rsidTr="00215A21">
        <w:trPr>
          <w:cnfStyle w:val="000000100000" w:firstRow="0" w:lastRow="0" w:firstColumn="0" w:lastColumn="0" w:oddVBand="0" w:evenVBand="0" w:oddHBand="1" w:evenHBand="0" w:firstRowFirstColumn="0" w:firstRowLastColumn="0" w:lastRowFirstColumn="0" w:lastRowLastColumn="0"/>
          <w:trHeight w:val="454"/>
        </w:trPr>
        <w:tc>
          <w:tcPr>
            <w:tcW w:w="561" w:type="pct"/>
            <w:vMerge/>
            <w:shd w:val="clear" w:color="auto" w:fill="auto"/>
          </w:tcPr>
          <w:p w:rsidR="0065430B" w:rsidRPr="00E74A6C" w:rsidRDefault="0065430B" w:rsidP="006054BB">
            <w:pPr>
              <w:keepNext/>
              <w:spacing w:line="200" w:lineRule="exact"/>
              <w:rPr>
                <w:rStyle w:val="PlaceholderText"/>
                <w:rFonts w:ascii="Arial" w:hAnsi="Arial" w:cs="Arial"/>
                <w:szCs w:val="18"/>
              </w:rPr>
            </w:pPr>
          </w:p>
        </w:tc>
        <w:tc>
          <w:tcPr>
            <w:tcW w:w="710" w:type="pct"/>
          </w:tcPr>
          <w:p w:rsidR="0065430B" w:rsidRPr="00E74A6C" w:rsidRDefault="00622EDC" w:rsidP="006054BB">
            <w:pPr>
              <w:rPr>
                <w:rFonts w:ascii="Arial" w:hAnsi="Arial" w:cs="Arial"/>
                <w:szCs w:val="18"/>
              </w:rPr>
            </w:pPr>
            <w:r>
              <w:rPr>
                <w:rFonts w:ascii="Arial" w:hAnsi="Arial" w:cs="Arial"/>
                <w:szCs w:val="18"/>
              </w:rPr>
              <w:t>change over period, %</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6.4</w:t>
            </w:r>
          </w:p>
        </w:tc>
        <w:tc>
          <w:tcPr>
            <w:tcW w:w="933" w:type="pct"/>
          </w:tcPr>
          <w:p w:rsidR="0065430B" w:rsidRPr="00E74A6C" w:rsidRDefault="0065430B" w:rsidP="00622EDC">
            <w:pPr>
              <w:tabs>
                <w:tab w:val="decimal" w:pos="904"/>
              </w:tabs>
              <w:rPr>
                <w:rFonts w:ascii="Arial" w:hAnsi="Arial" w:cs="Arial"/>
                <w:szCs w:val="18"/>
              </w:rPr>
            </w:pPr>
            <w:r w:rsidRPr="00E74A6C">
              <w:rPr>
                <w:rFonts w:ascii="Arial" w:hAnsi="Arial" w:cs="Arial"/>
                <w:szCs w:val="18"/>
              </w:rPr>
              <w:t>4.4</w:t>
            </w:r>
          </w:p>
        </w:tc>
        <w:tc>
          <w:tcPr>
            <w:tcW w:w="932" w:type="pct"/>
          </w:tcPr>
          <w:p w:rsidR="0065430B" w:rsidRPr="00E74A6C" w:rsidRDefault="0065430B" w:rsidP="00622EDC">
            <w:pPr>
              <w:tabs>
                <w:tab w:val="decimal" w:pos="898"/>
              </w:tabs>
              <w:rPr>
                <w:rFonts w:ascii="Arial" w:hAnsi="Arial" w:cs="Arial"/>
                <w:szCs w:val="18"/>
              </w:rPr>
            </w:pPr>
            <w:r w:rsidRPr="00E74A6C">
              <w:rPr>
                <w:rFonts w:ascii="Arial" w:hAnsi="Arial" w:cs="Arial"/>
                <w:szCs w:val="18"/>
              </w:rPr>
              <w:t>0.1</w:t>
            </w:r>
          </w:p>
        </w:tc>
        <w:tc>
          <w:tcPr>
            <w:tcW w:w="933" w:type="pct"/>
          </w:tcPr>
          <w:p w:rsidR="0065430B" w:rsidRPr="00E74A6C" w:rsidRDefault="0065430B" w:rsidP="00622EDC">
            <w:pPr>
              <w:tabs>
                <w:tab w:val="decimal" w:pos="898"/>
              </w:tabs>
              <w:rPr>
                <w:rFonts w:ascii="Arial" w:hAnsi="Arial" w:cs="Arial"/>
                <w:szCs w:val="18"/>
              </w:rPr>
            </w:pPr>
            <w:r>
              <w:rPr>
                <w:rFonts w:ascii="Arial" w:hAnsi="Arial" w:cs="Arial"/>
                <w:szCs w:val="18"/>
              </w:rPr>
              <w:t>11</w:t>
            </w:r>
          </w:p>
        </w:tc>
      </w:tr>
    </w:tbl>
    <w:p w:rsidR="0065430B" w:rsidRPr="00820511" w:rsidRDefault="0065430B" w:rsidP="0065430B">
      <w:pPr>
        <w:pStyle w:val="Header"/>
        <w:pBdr>
          <w:bottom w:val="none" w:sz="0" w:space="0" w:color="auto"/>
        </w:pBdr>
      </w:pPr>
    </w:p>
    <w:p w:rsidR="0065430B" w:rsidRDefault="0065430B" w:rsidP="0065430B">
      <w:pPr>
        <w:pStyle w:val="Note"/>
      </w:pPr>
      <w:r>
        <w:t>Note:</w:t>
      </w:r>
      <w:r>
        <w:tab/>
        <w:t>Subsectoral LMDI decomposition of economy-wide emissions in kt of CO</w:t>
      </w:r>
      <w:r w:rsidRPr="00E74A6C">
        <w:rPr>
          <w:vertAlign w:val="subscript"/>
        </w:rPr>
        <w:t>2</w:t>
      </w:r>
      <w:r>
        <w:t xml:space="preserve"> equivalent gases.</w:t>
      </w:r>
    </w:p>
    <w:p w:rsidR="0065430B" w:rsidRPr="001E35D8" w:rsidRDefault="0065430B" w:rsidP="0065430B">
      <w:pPr>
        <w:pStyle w:val="Source"/>
      </w:pPr>
      <w:r w:rsidRPr="00EF51BF">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Pr="004A642D" w:rsidRDefault="0065430B" w:rsidP="0065430B">
      <w:r>
        <w:t xml:space="preserve">The next </w:t>
      </w:r>
      <w:r w:rsidR="00EF1536">
        <w:t>three</w:t>
      </w:r>
      <w:r>
        <w:t xml:space="preserve"> sub-s</w:t>
      </w:r>
      <w:r w:rsidR="00EF1536">
        <w:t xml:space="preserve">ections </w:t>
      </w:r>
      <w:r w:rsidR="005A66AE">
        <w:fldChar w:fldCharType="begin"/>
      </w:r>
      <w:r w:rsidR="00EF1536">
        <w:instrText xml:space="preserve"> REF _Ref366258863 \n \h </w:instrText>
      </w:r>
      <w:r w:rsidR="005A66AE">
        <w:fldChar w:fldCharType="separate"/>
      </w:r>
      <w:r w:rsidR="00197E14">
        <w:t>4.4.1</w:t>
      </w:r>
      <w:r w:rsidR="005A66AE">
        <w:fldChar w:fldCharType="end"/>
      </w:r>
      <w:r w:rsidR="00EF1536">
        <w:t xml:space="preserve">, </w:t>
      </w:r>
      <w:r w:rsidR="005A66AE">
        <w:fldChar w:fldCharType="begin"/>
      </w:r>
      <w:r w:rsidR="00EF1536">
        <w:instrText xml:space="preserve"> REF _Ref366258901 \n \h </w:instrText>
      </w:r>
      <w:r w:rsidR="005A66AE">
        <w:fldChar w:fldCharType="separate"/>
      </w:r>
      <w:r w:rsidR="00197E14">
        <w:t>4.4.2</w:t>
      </w:r>
      <w:r w:rsidR="005A66AE">
        <w:fldChar w:fldCharType="end"/>
      </w:r>
      <w:r w:rsidR="00EF1536">
        <w:t xml:space="preserve"> </w:t>
      </w:r>
      <w:r w:rsidRPr="004A642D">
        <w:t xml:space="preserve">and </w:t>
      </w:r>
      <w:r w:rsidR="005A66AE">
        <w:fldChar w:fldCharType="begin"/>
      </w:r>
      <w:r w:rsidR="00EF1536">
        <w:instrText xml:space="preserve"> REF _Ref366258915 \n \h </w:instrText>
      </w:r>
      <w:r w:rsidR="005A66AE">
        <w:fldChar w:fldCharType="separate"/>
      </w:r>
      <w:r w:rsidR="00197E14">
        <w:t>4.4.3</w:t>
      </w:r>
      <w:r w:rsidR="005A66AE">
        <w:fldChar w:fldCharType="end"/>
      </w:r>
      <w:r w:rsidR="00EF1536">
        <w:t xml:space="preserve"> a</w:t>
      </w:r>
      <w:r w:rsidRPr="004A642D">
        <w:t xml:space="preserve">nalyse </w:t>
      </w:r>
      <w:r>
        <w:t xml:space="preserve">how </w:t>
      </w:r>
      <w:r w:rsidRPr="004A642D">
        <w:t>the structural and intensity effect</w:t>
      </w:r>
      <w:r>
        <w:t xml:space="preserve">s </w:t>
      </w:r>
      <w:r w:rsidRPr="004A642D">
        <w:t>have inf</w:t>
      </w:r>
      <w:r>
        <w:t>luenced economy-wide emissions.</w:t>
      </w:r>
    </w:p>
    <w:p w:rsidR="0065430B" w:rsidRDefault="0065430B" w:rsidP="0065430B"/>
    <w:p w:rsidR="0065430B" w:rsidRDefault="0065430B" w:rsidP="0065430B">
      <w:pPr>
        <w:pStyle w:val="Heading3"/>
      </w:pPr>
      <w:bookmarkStart w:id="277" w:name="_Ref366258863"/>
      <w:r>
        <w:t>Activity effect</w:t>
      </w:r>
      <w:bookmarkEnd w:id="277"/>
    </w:p>
    <w:p w:rsidR="0065430B" w:rsidRDefault="0065430B" w:rsidP="0065430B">
      <w:r>
        <w:t xml:space="preserve">The activity effect has been lower in the period </w:t>
      </w:r>
      <w:r w:rsidR="006C667D">
        <w:t>2008</w:t>
      </w:r>
      <w:r>
        <w:t xml:space="preserve"> to </w:t>
      </w:r>
      <w:r w:rsidR="006C667D">
        <w:t>2011</w:t>
      </w:r>
      <w:r>
        <w:t xml:space="preserve"> because of </w:t>
      </w:r>
      <w:r w:rsidR="00622EDC">
        <w:t xml:space="preserve">the </w:t>
      </w:r>
      <w:r>
        <w:t>economic slowdown since 2008</w:t>
      </w:r>
      <w:r w:rsidR="00FD5CF8">
        <w:t>,</w:t>
      </w:r>
      <w:r w:rsidR="00525505" w:rsidRPr="00525505">
        <w:t xml:space="preserve"> </w:t>
      </w:r>
      <w:r w:rsidR="00525505">
        <w:t xml:space="preserve">as can be seen from </w:t>
      </w:r>
      <w:r w:rsidR="005A66AE">
        <w:fldChar w:fldCharType="begin"/>
      </w:r>
      <w:r w:rsidR="00525505">
        <w:instrText xml:space="preserve"> REF _Ref366270548 \r \h </w:instrText>
      </w:r>
      <w:r w:rsidR="005A66AE">
        <w:fldChar w:fldCharType="separate"/>
      </w:r>
      <w:r w:rsidR="00197E14">
        <w:t>Figure 49</w:t>
      </w:r>
      <w:r w:rsidR="005A66AE">
        <w:fldChar w:fldCharType="end"/>
      </w:r>
      <w:r w:rsidR="00525505">
        <w:t>.</w:t>
      </w:r>
      <w:r>
        <w:t xml:space="preserve"> The CAGR for the period is 2.9</w:t>
      </w:r>
      <w:r w:rsidR="00525505">
        <w:t xml:space="preserve"> per cent.</w:t>
      </w:r>
    </w:p>
    <w:p w:rsidR="0065430B" w:rsidRPr="000D25DC" w:rsidRDefault="00FD5CF8" w:rsidP="0065430B">
      <w:pPr>
        <w:pStyle w:val="Charttitle"/>
      </w:pPr>
      <w:bookmarkStart w:id="278" w:name="_Toc366269870"/>
      <w:bookmarkStart w:id="279" w:name="_Ref366270548"/>
      <w:bookmarkStart w:id="280" w:name="_Toc369890589"/>
      <w:r>
        <w:lastRenderedPageBreak/>
        <w:t>A l</w:t>
      </w:r>
      <w:r w:rsidR="0065430B">
        <w:t xml:space="preserve">ower activity effect between </w:t>
      </w:r>
      <w:r w:rsidR="006C667D">
        <w:t>2009</w:t>
      </w:r>
      <w:r w:rsidR="0065430B">
        <w:t xml:space="preserve"> and </w:t>
      </w:r>
      <w:r w:rsidR="006C667D">
        <w:t>2011</w:t>
      </w:r>
      <w:r w:rsidR="0065430B">
        <w:t xml:space="preserve"> </w:t>
      </w:r>
      <w:r>
        <w:t xml:space="preserve">from the </w:t>
      </w:r>
      <w:r w:rsidR="0065430B">
        <w:t>global economic slowdown after 2008</w:t>
      </w:r>
      <w:bookmarkEnd w:id="278"/>
      <w:bookmarkEnd w:id="279"/>
      <w:bookmarkEnd w:id="280"/>
    </w:p>
    <w:p w:rsidR="0065430B" w:rsidRPr="00430244" w:rsidRDefault="00221001" w:rsidP="0065430B">
      <w:pPr>
        <w:pStyle w:val="Chartspacer"/>
        <w:rPr>
          <w:rStyle w:val="PlaceholderText"/>
        </w:rPr>
      </w:pPr>
      <w:r w:rsidRPr="00221001">
        <w:rPr>
          <w:noProof/>
          <w:lang w:eastAsia="en-GB"/>
        </w:rPr>
        <w:drawing>
          <wp:inline distT="0" distB="0" distL="0" distR="0" wp14:anchorId="0330189D" wp14:editId="672CEDF0">
            <wp:extent cx="6120765" cy="378715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765" cy="3787159"/>
                    </a:xfrm>
                    <a:prstGeom prst="rect">
                      <a:avLst/>
                    </a:prstGeom>
                    <a:noFill/>
                    <a:ln>
                      <a:noFill/>
                    </a:ln>
                  </pic:spPr>
                </pic:pic>
              </a:graphicData>
            </a:graphic>
          </wp:inline>
        </w:drawing>
      </w:r>
    </w:p>
    <w:p w:rsidR="0065430B" w:rsidRDefault="0065430B" w:rsidP="0065430B">
      <w:pPr>
        <w:pStyle w:val="Note"/>
      </w:pPr>
      <w:r>
        <w:t>Notes:</w:t>
      </w:r>
      <w:r>
        <w:tab/>
        <w:t>LMDI decomposition of economy-wide emissions by subsectors. Activity effect of main sector is recovered by summing relevant subdivisions.</w:t>
      </w:r>
    </w:p>
    <w:p w:rsidR="0065430B" w:rsidRPr="001E35D8"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pPr>
        <w:pStyle w:val="Heading3"/>
      </w:pPr>
      <w:bookmarkStart w:id="281" w:name="_Ref366258901"/>
      <w:r>
        <w:t>Structural effect: restructuring between sectors</w:t>
      </w:r>
      <w:bookmarkEnd w:id="281"/>
    </w:p>
    <w:p w:rsidR="0065430B" w:rsidRPr="004A642D" w:rsidRDefault="0065430B" w:rsidP="0065430B">
      <w:r w:rsidRPr="004A642D">
        <w:t xml:space="preserve">The structural effect </w:t>
      </w:r>
      <w:r>
        <w:t>contributed to offsetting higher economic ac</w:t>
      </w:r>
      <w:r w:rsidR="001C2102">
        <w:t>tivity through the first two periods</w:t>
      </w:r>
      <w:r>
        <w:t xml:space="preserve"> until </w:t>
      </w:r>
      <w:r w:rsidR="006C667D">
        <w:t>2008</w:t>
      </w:r>
      <w:r>
        <w:t>,</w:t>
      </w:r>
      <w:r w:rsidRPr="004A642D">
        <w:t xml:space="preserve"> as shown in </w:t>
      </w:r>
      <w:r w:rsidR="005A66AE">
        <w:fldChar w:fldCharType="begin"/>
      </w:r>
      <w:r w:rsidR="00B2119B">
        <w:instrText xml:space="preserve"> REF _Ref366270574 \r \h </w:instrText>
      </w:r>
      <w:r w:rsidR="005A66AE">
        <w:fldChar w:fldCharType="separate"/>
      </w:r>
      <w:r w:rsidR="00197E14">
        <w:t>Figure 50</w:t>
      </w:r>
      <w:r w:rsidR="005A66AE">
        <w:fldChar w:fldCharType="end"/>
      </w:r>
      <w:r w:rsidRPr="004A642D">
        <w:t>.</w:t>
      </w:r>
    </w:p>
    <w:p w:rsidR="0065430B" w:rsidRPr="000D25DC" w:rsidRDefault="0065430B" w:rsidP="0065430B">
      <w:pPr>
        <w:pStyle w:val="Charttitle"/>
      </w:pPr>
      <w:bookmarkStart w:id="282" w:name="_Toc366269871"/>
      <w:bookmarkStart w:id="283" w:name="_Ref366270574"/>
      <w:bookmarkStart w:id="284" w:name="_Toc369890590"/>
      <w:r>
        <w:lastRenderedPageBreak/>
        <w:t>Agriculture has</w:t>
      </w:r>
      <w:r w:rsidR="001C1901">
        <w:t xml:space="preserve"> the largest and most</w:t>
      </w:r>
      <w:r>
        <w:t xml:space="preserve"> volatile structural contrib</w:t>
      </w:r>
      <w:r w:rsidR="00111A8A">
        <w:t xml:space="preserve">ution to </w:t>
      </w:r>
      <w:r w:rsidR="008A2AA8">
        <w:t>economy-wide</w:t>
      </w:r>
      <w:r w:rsidR="00111A8A">
        <w:t xml:space="preserve"> emissions</w:t>
      </w:r>
      <w:bookmarkEnd w:id="282"/>
      <w:bookmarkEnd w:id="283"/>
      <w:bookmarkEnd w:id="284"/>
    </w:p>
    <w:p w:rsidR="0065430B" w:rsidRPr="00430244" w:rsidRDefault="0065430B" w:rsidP="0065430B">
      <w:pPr>
        <w:pStyle w:val="Chartspacer"/>
        <w:rPr>
          <w:rStyle w:val="PlaceholderText"/>
        </w:rPr>
      </w:pPr>
      <w:r w:rsidRPr="00077666">
        <w:rPr>
          <w:noProof/>
          <w:lang w:eastAsia="en-GB"/>
        </w:rPr>
        <w:drawing>
          <wp:inline distT="0" distB="0" distL="0" distR="0" wp14:anchorId="41B10527" wp14:editId="3F1F8867">
            <wp:extent cx="6120130" cy="31980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65430B" w:rsidRDefault="0065430B" w:rsidP="0065430B">
      <w:pPr>
        <w:pStyle w:val="Note"/>
      </w:pPr>
      <w:r>
        <w:t>Note:</w:t>
      </w:r>
      <w:r>
        <w:tab/>
        <w:t>LMDI decomposition of economy-wide emission, yearly structural effect for main sectors.</w:t>
      </w:r>
    </w:p>
    <w:p w:rsidR="0065430B" w:rsidRPr="005A132E"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Pr="004A642D" w:rsidRDefault="0065430B" w:rsidP="0065430B">
      <w:r>
        <w:t>A</w:t>
      </w:r>
      <w:r w:rsidRPr="004A642D">
        <w:t xml:space="preserve">griculture, an emissions intensive sector, took a larger share of the economy between </w:t>
      </w:r>
      <w:r w:rsidR="006C667D">
        <w:t>2008</w:t>
      </w:r>
      <w:r w:rsidRPr="004A642D">
        <w:t xml:space="preserve"> and </w:t>
      </w:r>
      <w:r w:rsidR="006C667D">
        <w:t>2011</w:t>
      </w:r>
      <w:r w:rsidRPr="004A642D">
        <w:t>, which, together with a slightly larger share of electricity in economic output, reversed the structural effect</w:t>
      </w:r>
      <w:r>
        <w:t>,</w:t>
      </w:r>
      <w:r w:rsidRPr="004A642D">
        <w:t xml:space="preserve"> increasing </w:t>
      </w:r>
      <w:r>
        <w:t xml:space="preserve">emissions slightly, see </w:t>
      </w:r>
      <w:r w:rsidR="005A66AE">
        <w:fldChar w:fldCharType="begin"/>
      </w:r>
      <w:r w:rsidR="00B2119B">
        <w:instrText xml:space="preserve"> REF _Ref366270584 \r \h </w:instrText>
      </w:r>
      <w:r w:rsidR="005A66AE">
        <w:fldChar w:fldCharType="separate"/>
      </w:r>
      <w:r w:rsidR="00197E14">
        <w:t>Figure 51</w:t>
      </w:r>
      <w:r w:rsidR="005A66AE">
        <w:fldChar w:fldCharType="end"/>
      </w:r>
      <w:r w:rsidRPr="004A642D">
        <w:t xml:space="preserve">. However, over the </w:t>
      </w:r>
      <w:r>
        <w:t xml:space="preserve">whole </w:t>
      </w:r>
      <w:r w:rsidRPr="004A642D">
        <w:t xml:space="preserve">period between </w:t>
      </w:r>
      <w:r w:rsidR="006C667D">
        <w:t>2000</w:t>
      </w:r>
      <w:r w:rsidRPr="004A642D">
        <w:t xml:space="preserve"> and </w:t>
      </w:r>
      <w:r w:rsidR="006C667D">
        <w:t>2011</w:t>
      </w:r>
      <w:r w:rsidRPr="004A642D">
        <w:t>, restructuring</w:t>
      </w:r>
      <w:r>
        <w:t xml:space="preserve"> of economic output</w:t>
      </w:r>
      <w:r w:rsidRPr="004A642D">
        <w:t xml:space="preserve"> away from </w:t>
      </w:r>
      <w:r>
        <w:t xml:space="preserve">agriculture, </w:t>
      </w:r>
      <w:r w:rsidRPr="004A642D">
        <w:t xml:space="preserve">electricity supply </w:t>
      </w:r>
      <w:r>
        <w:t xml:space="preserve">and manufacturing </w:t>
      </w:r>
      <w:r w:rsidRPr="004A642D">
        <w:t xml:space="preserve">contributed to a </w:t>
      </w:r>
      <w:r w:rsidR="001C2102">
        <w:t xml:space="preserve">fall </w:t>
      </w:r>
      <w:r w:rsidRPr="004A642D">
        <w:t>in economy</w:t>
      </w:r>
      <w:r>
        <w:t>-</w:t>
      </w:r>
      <w:r w:rsidRPr="004A642D">
        <w:t>wide emissions.</w:t>
      </w:r>
    </w:p>
    <w:p w:rsidR="0065430B" w:rsidRPr="000D25DC" w:rsidRDefault="0065430B" w:rsidP="0065430B">
      <w:pPr>
        <w:pStyle w:val="Charttitle"/>
      </w:pPr>
      <w:bookmarkStart w:id="285" w:name="_Toc366269872"/>
      <w:bookmarkStart w:id="286" w:name="_Ref366270584"/>
      <w:bookmarkStart w:id="287" w:name="_Toc369890591"/>
      <w:r>
        <w:lastRenderedPageBreak/>
        <w:t xml:space="preserve">Manufacturing and mining </w:t>
      </w:r>
      <w:r w:rsidR="001C2102">
        <w:t xml:space="preserve">have a helpful </w:t>
      </w:r>
      <w:r>
        <w:t xml:space="preserve">structural effect in economy-wide gas emissions between </w:t>
      </w:r>
      <w:r w:rsidR="006C667D">
        <w:t>2008</w:t>
      </w:r>
      <w:r>
        <w:t xml:space="preserve"> and </w:t>
      </w:r>
      <w:r w:rsidR="006C667D">
        <w:t>2011</w:t>
      </w:r>
      <w:bookmarkEnd w:id="285"/>
      <w:bookmarkEnd w:id="286"/>
      <w:bookmarkEnd w:id="287"/>
    </w:p>
    <w:p w:rsidR="0065430B" w:rsidRPr="00430244" w:rsidRDefault="0065430B" w:rsidP="0065430B">
      <w:pPr>
        <w:pStyle w:val="Chartspacer"/>
        <w:rPr>
          <w:rStyle w:val="PlaceholderText"/>
        </w:rPr>
      </w:pPr>
      <w:r w:rsidRPr="003B2E0F">
        <w:rPr>
          <w:rStyle w:val="PlaceholderText"/>
        </w:rPr>
        <w:t xml:space="preserve"> </w:t>
      </w:r>
      <w:r w:rsidRPr="00892D88">
        <w:rPr>
          <w:noProof/>
          <w:lang w:eastAsia="en-GB"/>
        </w:rPr>
        <w:drawing>
          <wp:inline distT="0" distB="0" distL="0" distR="0" wp14:anchorId="37C0AC16" wp14:editId="7596AB92">
            <wp:extent cx="6120130" cy="31980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65430B" w:rsidRDefault="0065430B" w:rsidP="0065430B">
      <w:pPr>
        <w:pStyle w:val="Note"/>
      </w:pPr>
      <w:r>
        <w:t>Note:</w:t>
      </w:r>
      <w:r>
        <w:tab/>
        <w:t>Contribution of each sector to the structural effect.</w:t>
      </w:r>
    </w:p>
    <w:p w:rsidR="0065430B" w:rsidRPr="001E35D8"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CF0AE0" w:rsidRDefault="005A66AE" w:rsidP="0065430B">
      <w:r>
        <w:fldChar w:fldCharType="begin"/>
      </w:r>
      <w:r w:rsidR="00B2119B">
        <w:instrText xml:space="preserve"> REF _Ref366270595 \r \h </w:instrText>
      </w:r>
      <w:r>
        <w:fldChar w:fldCharType="separate"/>
      </w:r>
      <w:r w:rsidR="00197E14">
        <w:t>Table 23</w:t>
      </w:r>
      <w:r>
        <w:fldChar w:fldCharType="end"/>
      </w:r>
      <w:r w:rsidR="0065430B">
        <w:t xml:space="preserve"> shows that the decreasing share of </w:t>
      </w:r>
      <w:r w:rsidR="00111A8A">
        <w:t>manufacturing</w:t>
      </w:r>
      <w:r w:rsidR="0065430B">
        <w:t xml:space="preserve"> in economy-wide output contributed </w:t>
      </w:r>
      <w:r w:rsidR="00111A8A">
        <w:t>50</w:t>
      </w:r>
      <w:r w:rsidR="0065430B">
        <w:t xml:space="preserve"> per cent of the total structural effect between </w:t>
      </w:r>
      <w:r w:rsidR="006C667D">
        <w:t>2008</w:t>
      </w:r>
      <w:r w:rsidR="0065430B">
        <w:t xml:space="preserve"> and </w:t>
      </w:r>
      <w:r w:rsidR="006C667D">
        <w:t>2011</w:t>
      </w:r>
      <w:r w:rsidR="0065430B">
        <w:t>.</w:t>
      </w:r>
    </w:p>
    <w:p w:rsidR="00CF0AE0" w:rsidRDefault="00CF0AE0">
      <w:pPr>
        <w:spacing w:after="200" w:line="24" w:lineRule="auto"/>
      </w:pPr>
      <w:r>
        <w:br w:type="page"/>
      </w:r>
    </w:p>
    <w:p w:rsidR="0065430B" w:rsidRPr="00DE4EAF" w:rsidRDefault="0065430B" w:rsidP="00645813">
      <w:pPr>
        <w:pStyle w:val="Tabletitle"/>
      </w:pPr>
      <w:bookmarkStart w:id="288" w:name="_Ref366270595"/>
      <w:bookmarkStart w:id="289" w:name="_Toc369890532"/>
      <w:r>
        <w:lastRenderedPageBreak/>
        <w:t>Mining and manufacturing have seen their sub-divisional composition move away from emissions intensive subsectors</w:t>
      </w:r>
      <w:bookmarkEnd w:id="288"/>
      <w:bookmarkEnd w:id="289"/>
    </w:p>
    <w:tbl>
      <w:tblPr>
        <w:tblStyle w:val="Vividtable"/>
        <w:tblW w:w="9625" w:type="dxa"/>
        <w:tblLook w:val="04A0" w:firstRow="1" w:lastRow="0" w:firstColumn="1" w:lastColumn="0" w:noHBand="0" w:noVBand="1"/>
      </w:tblPr>
      <w:tblGrid>
        <w:gridCol w:w="1357"/>
        <w:gridCol w:w="1444"/>
        <w:gridCol w:w="1706"/>
        <w:gridCol w:w="1706"/>
        <w:gridCol w:w="1706"/>
        <w:gridCol w:w="1706"/>
      </w:tblGrid>
      <w:tr w:rsidR="00332951" w:rsidRPr="00215A21" w:rsidTr="00332951">
        <w:trPr>
          <w:cnfStyle w:val="100000000000" w:firstRow="1" w:lastRow="0" w:firstColumn="0" w:lastColumn="0" w:oddVBand="0" w:evenVBand="0" w:oddHBand="0" w:evenHBand="0" w:firstRowFirstColumn="0" w:firstRowLastColumn="0" w:lastRowFirstColumn="0" w:lastRowLastColumn="0"/>
          <w:trHeight w:val="737"/>
        </w:trPr>
        <w:tc>
          <w:tcPr>
            <w:tcW w:w="1455" w:type="pct"/>
            <w:gridSpan w:val="2"/>
          </w:tcPr>
          <w:p w:rsidR="00332951" w:rsidRPr="00215A21" w:rsidRDefault="00332951" w:rsidP="006054BB">
            <w:pPr>
              <w:jc w:val="center"/>
              <w:rPr>
                <w:rFonts w:ascii="Arial" w:hAnsi="Arial" w:cs="Arial"/>
                <w:szCs w:val="18"/>
              </w:rPr>
            </w:pPr>
            <w:r w:rsidRPr="00215A21">
              <w:rPr>
                <w:rFonts w:ascii="Arial" w:hAnsi="Arial" w:cs="Arial"/>
                <w:szCs w:val="18"/>
              </w:rPr>
              <w:t>Structural effect</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First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Second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Third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Whole period</w:t>
            </w:r>
          </w:p>
        </w:tc>
      </w:tr>
      <w:tr w:rsidR="0065430B" w:rsidRPr="00215A21" w:rsidTr="001C2102">
        <w:trPr>
          <w:cnfStyle w:val="000000100000" w:firstRow="0" w:lastRow="0" w:firstColumn="0" w:lastColumn="0" w:oddVBand="0" w:evenVBand="0" w:oddHBand="1" w:evenHBand="0" w:firstRowFirstColumn="0" w:firstRowLastColumn="0" w:lastRowFirstColumn="0" w:lastRowLastColumn="0"/>
          <w:trHeight w:val="737"/>
        </w:trPr>
        <w:tc>
          <w:tcPr>
            <w:tcW w:w="705" w:type="pct"/>
            <w:tcBorders>
              <w:bottom w:val="single" w:sz="4" w:space="0" w:color="auto"/>
            </w:tcBorders>
          </w:tcPr>
          <w:p w:rsidR="0065430B" w:rsidRPr="00215A21" w:rsidRDefault="0065430B"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Sector</w:t>
            </w:r>
          </w:p>
        </w:tc>
        <w:tc>
          <w:tcPr>
            <w:tcW w:w="750" w:type="pct"/>
            <w:tcBorders>
              <w:bottom w:val="single" w:sz="4" w:space="0" w:color="auto"/>
            </w:tcBorders>
          </w:tcPr>
          <w:p w:rsidR="0065430B" w:rsidRPr="00215A21" w:rsidRDefault="0065430B" w:rsidP="006054BB">
            <w:pPr>
              <w:jc w:val="center"/>
              <w:rPr>
                <w:rFonts w:ascii="Arial" w:hAnsi="Arial" w:cs="Arial"/>
                <w:b/>
                <w:szCs w:val="18"/>
              </w:rPr>
            </w:pPr>
            <w:r w:rsidRPr="00215A21">
              <w:rPr>
                <w:rFonts w:ascii="Arial" w:hAnsi="Arial" w:cs="Arial"/>
                <w:b/>
                <w:szCs w:val="18"/>
              </w:rPr>
              <w:t>Units</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2000</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2006</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2006</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2008</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2008</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2012</w:t>
            </w:r>
          </w:p>
        </w:tc>
        <w:tc>
          <w:tcPr>
            <w:tcW w:w="886" w:type="pct"/>
            <w:tcBorders>
              <w:bottom w:val="single" w:sz="4" w:space="0" w:color="auto"/>
            </w:tcBorders>
          </w:tcPr>
          <w:p w:rsidR="0065430B" w:rsidRPr="00215A21" w:rsidRDefault="00A44C3F" w:rsidP="006054BB">
            <w:pPr>
              <w:jc w:val="center"/>
              <w:rPr>
                <w:rFonts w:ascii="Arial" w:hAnsi="Arial" w:cs="Arial"/>
                <w:b/>
                <w:szCs w:val="18"/>
              </w:rPr>
            </w:pPr>
            <w:r>
              <w:rPr>
                <w:rFonts w:ascii="Arial" w:hAnsi="Arial" w:cs="Arial"/>
                <w:b/>
                <w:szCs w:val="18"/>
              </w:rPr>
              <w:t>2003</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2012</w:t>
            </w:r>
          </w:p>
        </w:tc>
      </w:tr>
      <w:tr w:rsidR="0065430B" w:rsidRPr="00215A21" w:rsidTr="001C2102">
        <w:trPr>
          <w:trHeight w:val="600"/>
        </w:trPr>
        <w:tc>
          <w:tcPr>
            <w:tcW w:w="705" w:type="pct"/>
            <w:tcBorders>
              <w:top w:val="single" w:sz="4" w:space="0" w:color="auto"/>
            </w:tcBorders>
          </w:tcPr>
          <w:p w:rsidR="0065430B" w:rsidRPr="00215A21" w:rsidRDefault="0065430B"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Agriculture </w:t>
            </w:r>
          </w:p>
        </w:tc>
        <w:tc>
          <w:tcPr>
            <w:tcW w:w="750"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-9</w:t>
            </w:r>
          </w:p>
        </w:tc>
        <w:tc>
          <w:tcPr>
            <w:tcW w:w="886"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-18</w:t>
            </w:r>
          </w:p>
        </w:tc>
        <w:tc>
          <w:tcPr>
            <w:tcW w:w="886"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15</w:t>
            </w:r>
          </w:p>
        </w:tc>
        <w:tc>
          <w:tcPr>
            <w:tcW w:w="886"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-12</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-2.1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-3.8</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3.0</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-2.8</w:t>
            </w:r>
          </w:p>
        </w:tc>
      </w:tr>
      <w:tr w:rsidR="001C2102" w:rsidRPr="00215A21" w:rsidTr="001C2102">
        <w:trPr>
          <w:trHeight w:val="600"/>
        </w:trPr>
        <w:tc>
          <w:tcPr>
            <w:tcW w:w="705" w:type="pct"/>
          </w:tcPr>
          <w:p w:rsidR="001C2102" w:rsidRPr="00215A21" w:rsidRDefault="001C2102" w:rsidP="006054BB">
            <w:pPr>
              <w:keepNext/>
              <w:spacing w:line="200" w:lineRule="exact"/>
              <w:rPr>
                <w:rStyle w:val="PlaceholderText"/>
                <w:rFonts w:ascii="Arial" w:hAnsi="Arial" w:cs="Arial"/>
                <w:szCs w:val="18"/>
              </w:rPr>
            </w:pPr>
            <w:r w:rsidRPr="00215A21">
              <w:rPr>
                <w:rStyle w:val="PlaceholderText"/>
                <w:rFonts w:ascii="Arial" w:hAnsi="Arial" w:cs="Arial"/>
                <w:szCs w:val="18"/>
              </w:rPr>
              <w:t>Mining</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5</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-7</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-3</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-0.2</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-1.4</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-0.6</w:t>
            </w:r>
          </w:p>
        </w:tc>
      </w:tr>
      <w:tr w:rsidR="001C2102" w:rsidRPr="00215A21" w:rsidTr="001C2102">
        <w:trPr>
          <w:trHeight w:val="600"/>
        </w:trPr>
        <w:tc>
          <w:tcPr>
            <w:tcW w:w="705" w:type="pct"/>
          </w:tcPr>
          <w:p w:rsidR="001C2102" w:rsidRPr="00215A21" w:rsidRDefault="001C2102" w:rsidP="006054BB">
            <w:pPr>
              <w:keepNext/>
              <w:spacing w:line="200" w:lineRule="exact"/>
              <w:rPr>
                <w:rStyle w:val="PlaceholderText"/>
                <w:rFonts w:ascii="Arial" w:hAnsi="Arial" w:cs="Arial"/>
                <w:szCs w:val="18"/>
              </w:rPr>
            </w:pPr>
            <w:r w:rsidRPr="00215A21">
              <w:rPr>
                <w:rStyle w:val="PlaceholderText"/>
                <w:rFonts w:ascii="Arial" w:hAnsi="Arial" w:cs="Arial"/>
                <w:szCs w:val="18"/>
              </w:rPr>
              <w:t>Manufacturing</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-5</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0</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-8</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-13</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2E1689" w:rsidP="006054BB">
            <w:pPr>
              <w:jc w:val="center"/>
              <w:rPr>
                <w:rFonts w:ascii="Arial" w:hAnsi="Arial" w:cs="Arial"/>
                <w:szCs w:val="18"/>
              </w:rPr>
            </w:pPr>
            <w:r>
              <w:rPr>
                <w:rFonts w:ascii="Arial" w:hAnsi="Arial" w:cs="Arial"/>
                <w:szCs w:val="18"/>
              </w:rPr>
              <w:t>-1.2</w:t>
            </w:r>
          </w:p>
        </w:tc>
        <w:tc>
          <w:tcPr>
            <w:tcW w:w="886" w:type="pct"/>
          </w:tcPr>
          <w:p w:rsidR="001C2102" w:rsidRPr="00215A21" w:rsidRDefault="002E1689" w:rsidP="006054BB">
            <w:pPr>
              <w:jc w:val="center"/>
              <w:rPr>
                <w:rFonts w:ascii="Arial" w:hAnsi="Arial" w:cs="Arial"/>
                <w:szCs w:val="18"/>
              </w:rPr>
            </w:pPr>
            <w:r>
              <w:rPr>
                <w:rFonts w:ascii="Arial" w:hAnsi="Arial" w:cs="Arial"/>
                <w:szCs w:val="18"/>
              </w:rPr>
              <w:t>0.1</w:t>
            </w:r>
          </w:p>
        </w:tc>
        <w:tc>
          <w:tcPr>
            <w:tcW w:w="886" w:type="pct"/>
          </w:tcPr>
          <w:p w:rsidR="001C2102" w:rsidRPr="00215A21" w:rsidRDefault="002E1689" w:rsidP="006054BB">
            <w:pPr>
              <w:jc w:val="center"/>
              <w:rPr>
                <w:rFonts w:ascii="Arial" w:hAnsi="Arial" w:cs="Arial"/>
                <w:szCs w:val="18"/>
              </w:rPr>
            </w:pPr>
            <w:r>
              <w:rPr>
                <w:rFonts w:ascii="Arial" w:hAnsi="Arial" w:cs="Arial"/>
                <w:szCs w:val="18"/>
              </w:rPr>
              <w:t>-1.6</w:t>
            </w:r>
          </w:p>
        </w:tc>
        <w:tc>
          <w:tcPr>
            <w:tcW w:w="886" w:type="pct"/>
          </w:tcPr>
          <w:p w:rsidR="001C2102" w:rsidRPr="00215A21" w:rsidRDefault="002E1689" w:rsidP="006054BB">
            <w:pPr>
              <w:jc w:val="center"/>
              <w:rPr>
                <w:rFonts w:ascii="Arial" w:hAnsi="Arial" w:cs="Arial"/>
                <w:szCs w:val="18"/>
              </w:rPr>
            </w:pPr>
            <w:r>
              <w:rPr>
                <w:rFonts w:ascii="Arial" w:hAnsi="Arial" w:cs="Arial"/>
                <w:szCs w:val="18"/>
              </w:rPr>
              <w:t>-2.9</w:t>
            </w:r>
          </w:p>
        </w:tc>
      </w:tr>
      <w:tr w:rsidR="001C2102" w:rsidRPr="00215A21" w:rsidTr="001C2102">
        <w:trPr>
          <w:trHeight w:val="600"/>
        </w:trPr>
        <w:tc>
          <w:tcPr>
            <w:tcW w:w="705" w:type="pct"/>
          </w:tcPr>
          <w:p w:rsidR="001C2102" w:rsidRPr="00215A21" w:rsidRDefault="001C2102" w:rsidP="00BA5AAA">
            <w:pPr>
              <w:rPr>
                <w:rStyle w:val="PlaceholderText"/>
                <w:rFonts w:ascii="Arial" w:hAnsi="Arial" w:cs="Arial"/>
                <w:szCs w:val="18"/>
              </w:rPr>
            </w:pPr>
            <w:r w:rsidRPr="00215A21">
              <w:rPr>
                <w:rFonts w:ascii="Arial" w:hAnsi="Arial" w:cs="Arial"/>
                <w:szCs w:val="18"/>
              </w:rPr>
              <w:t>Electricity supply</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-22</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-9</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2</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-29</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2E1689" w:rsidP="006054BB">
            <w:pPr>
              <w:jc w:val="center"/>
              <w:rPr>
                <w:rFonts w:ascii="Arial" w:hAnsi="Arial" w:cs="Arial"/>
                <w:szCs w:val="18"/>
              </w:rPr>
            </w:pPr>
            <w:r>
              <w:rPr>
                <w:rFonts w:ascii="Arial" w:hAnsi="Arial" w:cs="Arial"/>
                <w:szCs w:val="18"/>
              </w:rPr>
              <w:t>-5.1</w:t>
            </w:r>
          </w:p>
        </w:tc>
        <w:tc>
          <w:tcPr>
            <w:tcW w:w="886" w:type="pct"/>
          </w:tcPr>
          <w:p w:rsidR="001C2102" w:rsidRPr="00215A21" w:rsidRDefault="002E1689" w:rsidP="006054BB">
            <w:pPr>
              <w:jc w:val="center"/>
              <w:rPr>
                <w:rFonts w:ascii="Arial" w:hAnsi="Arial" w:cs="Arial"/>
                <w:szCs w:val="18"/>
              </w:rPr>
            </w:pPr>
            <w:r>
              <w:rPr>
                <w:rFonts w:ascii="Arial" w:hAnsi="Arial" w:cs="Arial"/>
                <w:szCs w:val="18"/>
              </w:rPr>
              <w:t>-1.9</w:t>
            </w:r>
          </w:p>
        </w:tc>
        <w:tc>
          <w:tcPr>
            <w:tcW w:w="886" w:type="pct"/>
          </w:tcPr>
          <w:p w:rsidR="001C2102" w:rsidRPr="00215A21" w:rsidRDefault="002E1689" w:rsidP="006054BB">
            <w:pPr>
              <w:jc w:val="center"/>
              <w:rPr>
                <w:rFonts w:ascii="Arial" w:hAnsi="Arial" w:cs="Arial"/>
                <w:szCs w:val="18"/>
              </w:rPr>
            </w:pPr>
            <w:r>
              <w:rPr>
                <w:rFonts w:ascii="Arial" w:hAnsi="Arial" w:cs="Arial"/>
                <w:szCs w:val="18"/>
              </w:rPr>
              <w:t>0.4</w:t>
            </w:r>
          </w:p>
        </w:tc>
        <w:tc>
          <w:tcPr>
            <w:tcW w:w="886" w:type="pct"/>
          </w:tcPr>
          <w:p w:rsidR="001C2102" w:rsidRPr="00215A21" w:rsidRDefault="002E1689" w:rsidP="006054BB">
            <w:pPr>
              <w:jc w:val="center"/>
              <w:rPr>
                <w:rFonts w:ascii="Arial" w:hAnsi="Arial" w:cs="Arial"/>
                <w:szCs w:val="18"/>
              </w:rPr>
            </w:pPr>
            <w:r>
              <w:rPr>
                <w:rFonts w:ascii="Arial" w:hAnsi="Arial" w:cs="Arial"/>
                <w:szCs w:val="18"/>
              </w:rPr>
              <w:t>-6.7</w:t>
            </w:r>
          </w:p>
        </w:tc>
      </w:tr>
      <w:tr w:rsidR="001C2102" w:rsidRPr="00215A21" w:rsidTr="001C2102">
        <w:trPr>
          <w:trHeight w:val="600"/>
        </w:trPr>
        <w:tc>
          <w:tcPr>
            <w:tcW w:w="705" w:type="pct"/>
          </w:tcPr>
          <w:p w:rsidR="001C2102" w:rsidRPr="00215A21" w:rsidRDefault="001C2102" w:rsidP="00BA5AAA">
            <w:pPr>
              <w:rPr>
                <w:rStyle w:val="PlaceholderText"/>
                <w:rFonts w:ascii="Arial" w:hAnsi="Arial" w:cs="Arial"/>
                <w:szCs w:val="18"/>
              </w:rPr>
            </w:pPr>
            <w:r w:rsidRPr="00215A21">
              <w:rPr>
                <w:rFonts w:ascii="Arial" w:hAnsi="Arial" w:cs="Arial"/>
                <w:szCs w:val="18"/>
              </w:rPr>
              <w:t>Transport</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1</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2E1689" w:rsidP="006054BB">
            <w:pPr>
              <w:jc w:val="center"/>
              <w:rPr>
                <w:rFonts w:ascii="Arial" w:hAnsi="Arial" w:cs="Arial"/>
                <w:szCs w:val="18"/>
              </w:rPr>
            </w:pPr>
            <w:r>
              <w:rPr>
                <w:rFonts w:ascii="Arial" w:hAnsi="Arial" w:cs="Arial"/>
                <w:szCs w:val="18"/>
              </w:rPr>
              <w:t>0.3</w:t>
            </w:r>
          </w:p>
        </w:tc>
        <w:tc>
          <w:tcPr>
            <w:tcW w:w="886" w:type="pct"/>
          </w:tcPr>
          <w:p w:rsidR="001C2102" w:rsidRPr="00215A21" w:rsidRDefault="002E1689" w:rsidP="006054BB">
            <w:pPr>
              <w:jc w:val="center"/>
              <w:rPr>
                <w:rFonts w:ascii="Arial" w:hAnsi="Arial" w:cs="Arial"/>
                <w:szCs w:val="18"/>
              </w:rPr>
            </w:pPr>
            <w:r>
              <w:rPr>
                <w:rFonts w:ascii="Arial" w:hAnsi="Arial" w:cs="Arial"/>
                <w:szCs w:val="18"/>
              </w:rPr>
              <w:t>0.2</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-0.3</w:t>
            </w:r>
          </w:p>
        </w:tc>
        <w:tc>
          <w:tcPr>
            <w:tcW w:w="886" w:type="pct"/>
          </w:tcPr>
          <w:p w:rsidR="001C2102" w:rsidRPr="00215A21" w:rsidRDefault="001C2102" w:rsidP="006054BB">
            <w:pPr>
              <w:jc w:val="center"/>
              <w:rPr>
                <w:rFonts w:ascii="Arial" w:hAnsi="Arial" w:cs="Arial"/>
                <w:szCs w:val="18"/>
              </w:rPr>
            </w:pPr>
            <w:r w:rsidRPr="00215A21">
              <w:rPr>
                <w:rFonts w:ascii="Arial" w:hAnsi="Arial" w:cs="Arial"/>
                <w:szCs w:val="18"/>
              </w:rPr>
              <w:t>0.2</w:t>
            </w:r>
          </w:p>
        </w:tc>
      </w:tr>
    </w:tbl>
    <w:p w:rsidR="0065430B" w:rsidRPr="00D34FA1" w:rsidRDefault="0065430B" w:rsidP="0065430B">
      <w:pPr>
        <w:pStyle w:val="Header"/>
        <w:pBdr>
          <w:bottom w:val="none" w:sz="0" w:space="0" w:color="auto"/>
        </w:pBdr>
      </w:pPr>
    </w:p>
    <w:p w:rsidR="0065430B" w:rsidRPr="00D34FA1" w:rsidRDefault="0065430B" w:rsidP="0065430B">
      <w:pPr>
        <w:pStyle w:val="Note"/>
      </w:pPr>
      <w:r w:rsidRPr="00D34FA1">
        <w:t>Note</w:t>
      </w:r>
      <w:r>
        <w:t>s</w:t>
      </w:r>
      <w:r w:rsidRPr="00D34FA1">
        <w:t>:</w:t>
      </w:r>
      <w:r w:rsidRPr="00D34FA1">
        <w:tab/>
      </w:r>
      <w:r>
        <w:t>LMDI decomposition of economy-wide emissions by subsectors. Structural effect of main sector is recovered by summing relevant subdivisions.</w:t>
      </w:r>
    </w:p>
    <w:p w:rsidR="0065430B" w:rsidRPr="001E35D8" w:rsidRDefault="0065430B" w:rsidP="0065430B">
      <w:pPr>
        <w:pStyle w:val="Source"/>
      </w:pPr>
      <w:r w:rsidRPr="00D34FA1">
        <w:t>Source:</w:t>
      </w:r>
      <w:r w:rsidRPr="00D34FA1">
        <w:tab/>
      </w:r>
      <w:r>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Pr="00D34FA1" w:rsidRDefault="0065430B" w:rsidP="0065430B">
      <w:r w:rsidRPr="00D34FA1">
        <w:t>An increased share of mining in economic output contributed to higher economy</w:t>
      </w:r>
      <w:r>
        <w:t>-</w:t>
      </w:r>
      <w:r w:rsidRPr="00D34FA1">
        <w:t xml:space="preserve">wide emissions between </w:t>
      </w:r>
      <w:r w:rsidR="006C667D">
        <w:t>2000</w:t>
      </w:r>
      <w:r w:rsidRPr="00D34FA1">
        <w:t xml:space="preserve"> and </w:t>
      </w:r>
      <w:r w:rsidR="006C667D">
        <w:t>2008</w:t>
      </w:r>
      <w:r w:rsidRPr="00D34FA1">
        <w:t xml:space="preserve">. After </w:t>
      </w:r>
      <w:r w:rsidR="006C667D">
        <w:t>2008</w:t>
      </w:r>
      <w:r w:rsidRPr="00D34FA1">
        <w:t>, the share of mining in the economy, and therefore its contribution to emissions, declined</w:t>
      </w:r>
      <w:r w:rsidR="00B2119B">
        <w:t xml:space="preserve">, as shown in </w:t>
      </w:r>
      <w:r w:rsidR="005A66AE">
        <w:fldChar w:fldCharType="begin"/>
      </w:r>
      <w:r w:rsidR="00B2119B">
        <w:instrText xml:space="preserve"> REF _Ref366270611 \r \h </w:instrText>
      </w:r>
      <w:r w:rsidR="005A66AE">
        <w:fldChar w:fldCharType="separate"/>
      </w:r>
      <w:r w:rsidR="00197E14">
        <w:t>Figure 52</w:t>
      </w:r>
      <w:r w:rsidR="005A66AE">
        <w:fldChar w:fldCharType="end"/>
      </w:r>
      <w:r w:rsidRPr="00D34FA1">
        <w:t>.</w:t>
      </w:r>
    </w:p>
    <w:p w:rsidR="0065430B" w:rsidRPr="000D25DC" w:rsidRDefault="0065430B" w:rsidP="0065430B">
      <w:pPr>
        <w:pStyle w:val="Charttitle"/>
      </w:pPr>
      <w:bookmarkStart w:id="290" w:name="_Toc366269873"/>
      <w:bookmarkStart w:id="291" w:name="_Ref366270611"/>
      <w:bookmarkStart w:id="292" w:name="_Toc369890592"/>
      <w:r>
        <w:lastRenderedPageBreak/>
        <w:t xml:space="preserve">Electricity supply </w:t>
      </w:r>
      <w:r w:rsidR="00332951">
        <w:t xml:space="preserve">and agriculture </w:t>
      </w:r>
      <w:r>
        <w:t xml:space="preserve">gains have </w:t>
      </w:r>
      <w:r w:rsidR="00332951">
        <w:t>been the main contributors to a</w:t>
      </w:r>
      <w:r w:rsidR="005F0C6A">
        <w:t>n</w:t>
      </w:r>
      <w:r w:rsidR="00332951">
        <w:t xml:space="preserve"> emissions decline</w:t>
      </w:r>
      <w:r>
        <w:t xml:space="preserve"> in the period </w:t>
      </w:r>
      <w:r w:rsidR="006C667D">
        <w:t>2008</w:t>
      </w:r>
      <w:r>
        <w:t xml:space="preserve"> to </w:t>
      </w:r>
      <w:r w:rsidR="006C667D">
        <w:t>2011</w:t>
      </w:r>
      <w:bookmarkEnd w:id="290"/>
      <w:bookmarkEnd w:id="291"/>
      <w:bookmarkEnd w:id="292"/>
    </w:p>
    <w:p w:rsidR="0065430B" w:rsidRPr="00430244" w:rsidRDefault="0065430B" w:rsidP="0065430B">
      <w:pPr>
        <w:pStyle w:val="Chartspacer"/>
        <w:rPr>
          <w:rStyle w:val="PlaceholderText"/>
        </w:rPr>
      </w:pPr>
      <w:r w:rsidRPr="00077666">
        <w:rPr>
          <w:noProof/>
          <w:lang w:eastAsia="en-GB"/>
        </w:rPr>
        <w:drawing>
          <wp:inline distT="0" distB="0" distL="0" distR="0" wp14:anchorId="3040E93D" wp14:editId="4540A3E6">
            <wp:extent cx="6120130" cy="3198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65430B" w:rsidRDefault="0065430B" w:rsidP="0065430B">
      <w:pPr>
        <w:pStyle w:val="Note"/>
      </w:pPr>
      <w:r>
        <w:t>Note:</w:t>
      </w:r>
      <w:r>
        <w:tab/>
        <w:t>LMDI decomposition of economy-wide emission</w:t>
      </w:r>
      <w:r w:rsidR="005F0C6A">
        <w:t>s</w:t>
      </w:r>
      <w:r>
        <w:t>, yearly intensity effect for main sectors.</w:t>
      </w:r>
    </w:p>
    <w:p w:rsidR="0065430B" w:rsidRPr="005A132E"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r w:rsidRPr="00D34FA1">
        <w:t xml:space="preserve">The continuation of decreasing emissions resulting from the structural effect depends on future </w:t>
      </w:r>
      <w:r w:rsidR="001C2102">
        <w:t xml:space="preserve">shifts in </w:t>
      </w:r>
      <w:r w:rsidRPr="00D34FA1">
        <w:t>the economy away from manufacturing and mining.</w:t>
      </w:r>
    </w:p>
    <w:p w:rsidR="0065430B" w:rsidRDefault="0065430B" w:rsidP="0065430B"/>
    <w:p w:rsidR="0065430B" w:rsidRPr="007A7B52" w:rsidRDefault="0065430B" w:rsidP="0065430B">
      <w:pPr>
        <w:pStyle w:val="Heading3"/>
      </w:pPr>
      <w:bookmarkStart w:id="293" w:name="_Ref366258915"/>
      <w:r>
        <w:t>Intensity effect: emissions trends within sectors</w:t>
      </w:r>
      <w:bookmarkEnd w:id="293"/>
    </w:p>
    <w:p w:rsidR="0065430B" w:rsidRDefault="0065430B" w:rsidP="0065430B">
      <w:r>
        <w:t xml:space="preserve">The emissions intensity of each sector declined between </w:t>
      </w:r>
      <w:r w:rsidR="006C667D">
        <w:t>2000</w:t>
      </w:r>
      <w:r>
        <w:t xml:space="preserve"> and </w:t>
      </w:r>
      <w:r w:rsidR="006C667D">
        <w:t>2011</w:t>
      </w:r>
      <w:r>
        <w:t xml:space="preserve"> as shown in </w:t>
      </w:r>
      <w:r w:rsidR="005A66AE">
        <w:fldChar w:fldCharType="begin"/>
      </w:r>
      <w:r>
        <w:instrText xml:space="preserve"> REF _Ref365884478 \r \h </w:instrText>
      </w:r>
      <w:r w:rsidR="005A66AE">
        <w:fldChar w:fldCharType="separate"/>
      </w:r>
      <w:r w:rsidR="00197E14">
        <w:t>Figure 53</w:t>
      </w:r>
      <w:r w:rsidR="005A66AE">
        <w:fldChar w:fldCharType="end"/>
      </w:r>
      <w:r>
        <w:t xml:space="preserve">. Agriculture, electricity manufacturing and services contributed the most, and since </w:t>
      </w:r>
      <w:r w:rsidR="006C667D">
        <w:t>2008</w:t>
      </w:r>
      <w:r>
        <w:t>, only mining and manufacturing have become more emissions intensive.</w:t>
      </w:r>
    </w:p>
    <w:p w:rsidR="0065430B" w:rsidRPr="000D25DC" w:rsidRDefault="00332951" w:rsidP="0065430B">
      <w:pPr>
        <w:pStyle w:val="Charttitle"/>
      </w:pPr>
      <w:bookmarkStart w:id="294" w:name="_Toc365818487"/>
      <w:bookmarkStart w:id="295" w:name="_Ref365884263"/>
      <w:bookmarkStart w:id="296" w:name="_Ref365884478"/>
      <w:bookmarkStart w:id="297" w:name="_Toc366269874"/>
      <w:bookmarkStart w:id="298" w:name="_Toc369890593"/>
      <w:r>
        <w:lastRenderedPageBreak/>
        <w:t>Decreasing emissions intensity of e</w:t>
      </w:r>
      <w:r w:rsidR="0065430B">
        <w:t xml:space="preserve">lectricity supply </w:t>
      </w:r>
      <w:r>
        <w:t>and agriculture have</w:t>
      </w:r>
      <w:r w:rsidR="0065430B">
        <w:t xml:space="preserve"> been </w:t>
      </w:r>
      <w:r>
        <w:t>the</w:t>
      </w:r>
      <w:r w:rsidR="0065430B">
        <w:t xml:space="preserve"> major driver</w:t>
      </w:r>
      <w:r>
        <w:t>s</w:t>
      </w:r>
      <w:r w:rsidR="0065430B">
        <w:t xml:space="preserve"> of declining emissions </w:t>
      </w:r>
      <w:r>
        <w:t xml:space="preserve">between </w:t>
      </w:r>
      <w:r w:rsidR="006C667D">
        <w:t>2008</w:t>
      </w:r>
      <w:bookmarkEnd w:id="294"/>
      <w:bookmarkEnd w:id="295"/>
      <w:bookmarkEnd w:id="296"/>
      <w:bookmarkEnd w:id="297"/>
      <w:r>
        <w:t xml:space="preserve"> and </w:t>
      </w:r>
      <w:r w:rsidR="006C667D">
        <w:t>2011</w:t>
      </w:r>
      <w:bookmarkEnd w:id="298"/>
    </w:p>
    <w:p w:rsidR="0065430B" w:rsidRPr="00430244" w:rsidRDefault="0065430B" w:rsidP="0065430B">
      <w:pPr>
        <w:pStyle w:val="Chartspacer"/>
        <w:rPr>
          <w:rStyle w:val="PlaceholderText"/>
        </w:rPr>
      </w:pPr>
      <w:r w:rsidRPr="00584DFB">
        <w:rPr>
          <w:rStyle w:val="PlaceholderText"/>
        </w:rPr>
        <w:t xml:space="preserve"> </w:t>
      </w:r>
      <w:r w:rsidRPr="00892D88">
        <w:rPr>
          <w:noProof/>
          <w:lang w:eastAsia="en-GB"/>
        </w:rPr>
        <w:drawing>
          <wp:inline distT="0" distB="0" distL="0" distR="0" wp14:anchorId="5BDC871E" wp14:editId="36387E90">
            <wp:extent cx="6120130" cy="31980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198072"/>
                    </a:xfrm>
                    <a:prstGeom prst="rect">
                      <a:avLst/>
                    </a:prstGeom>
                    <a:noFill/>
                    <a:ln>
                      <a:noFill/>
                    </a:ln>
                  </pic:spPr>
                </pic:pic>
              </a:graphicData>
            </a:graphic>
          </wp:inline>
        </w:drawing>
      </w:r>
    </w:p>
    <w:p w:rsidR="0065430B" w:rsidRDefault="0065430B" w:rsidP="0065430B">
      <w:pPr>
        <w:pStyle w:val="Note"/>
      </w:pPr>
      <w:r>
        <w:t>Note:</w:t>
      </w:r>
      <w:r>
        <w:tab/>
        <w:t>Intensity effect contribution to economy-wide emissions.</w:t>
      </w:r>
    </w:p>
    <w:p w:rsidR="0065430B" w:rsidRPr="005A132E" w:rsidRDefault="0065430B" w:rsidP="0065430B">
      <w:pPr>
        <w:pStyle w:val="Source"/>
      </w:pPr>
      <w:r w:rsidRPr="005A132E">
        <w:t>Source:</w:t>
      </w:r>
      <w:r>
        <w:tab/>
        <w:t>Vivid Economics</w:t>
      </w:r>
      <w:r w:rsidRPr="007D7E27">
        <w:t xml:space="preserve"> </w:t>
      </w:r>
      <w:r>
        <w:t xml:space="preserve">based on </w:t>
      </w:r>
      <w:r w:rsidR="00EC6BE7">
        <w:t>AGEIS</w:t>
      </w:r>
      <w:r w:rsidR="00C11149">
        <w:t xml:space="preserve"> (2013) and Australian Government Bureau of Resource and Energy Economics (2013)</w:t>
      </w:r>
    </w:p>
    <w:p w:rsidR="00CF0AE0" w:rsidRDefault="0065430B" w:rsidP="0065430B">
      <w:r>
        <w:t xml:space="preserve">The emissions intensity of electricity supply and agriculture declined by 21.4 per cent and 10.5 per cent respectively between </w:t>
      </w:r>
      <w:r w:rsidR="006C667D">
        <w:t>2008</w:t>
      </w:r>
      <w:r>
        <w:t xml:space="preserve"> and </w:t>
      </w:r>
      <w:r w:rsidR="006C667D">
        <w:t>2011</w:t>
      </w:r>
      <w:r>
        <w:t xml:space="preserve"> and are the main contributors to the intensity effect in that period responsible for -4.6 per cent and -4.3 per cent in intensity effect contribution to total emissions growth, as shown in </w:t>
      </w:r>
      <w:r w:rsidR="005A66AE">
        <w:fldChar w:fldCharType="begin"/>
      </w:r>
      <w:r w:rsidR="00B2119B">
        <w:instrText xml:space="preserve"> REF _Ref366270634 \r \h </w:instrText>
      </w:r>
      <w:r w:rsidR="005A66AE">
        <w:fldChar w:fldCharType="separate"/>
      </w:r>
      <w:r w:rsidR="00197E14">
        <w:t>Table 24</w:t>
      </w:r>
      <w:r w:rsidR="005A66AE">
        <w:fldChar w:fldCharType="end"/>
      </w:r>
      <w:r>
        <w:t xml:space="preserve">. </w:t>
      </w:r>
      <w:r w:rsidR="00242F2C">
        <w:t>Commercial and s</w:t>
      </w:r>
      <w:r>
        <w:t xml:space="preserve">ervices was a further contributor. Manufacturing and mining increased the emissions intensity between </w:t>
      </w:r>
      <w:r w:rsidR="006C667D">
        <w:t>2008</w:t>
      </w:r>
      <w:r>
        <w:t xml:space="preserve"> and </w:t>
      </w:r>
      <w:r w:rsidR="006C667D">
        <w:t>2011</w:t>
      </w:r>
      <w:r>
        <w:t xml:space="preserve"> by 0.2 per cent and 2 per cent respectively, which is in contrast to the period between </w:t>
      </w:r>
      <w:r w:rsidR="006C667D">
        <w:t>2000</w:t>
      </w:r>
      <w:r>
        <w:t xml:space="preserve"> and </w:t>
      </w:r>
      <w:r w:rsidR="006C667D">
        <w:t>2008</w:t>
      </w:r>
      <w:r>
        <w:t>, where mining and manufacturing, together with services, were the principal contributors to falling emissions intensity.</w:t>
      </w:r>
    </w:p>
    <w:p w:rsidR="00CF0AE0" w:rsidRDefault="00CF0AE0">
      <w:pPr>
        <w:spacing w:after="200" w:line="24" w:lineRule="auto"/>
      </w:pPr>
      <w:r>
        <w:br w:type="page"/>
      </w:r>
    </w:p>
    <w:p w:rsidR="0065430B" w:rsidRPr="00E70FCC" w:rsidRDefault="0065430B" w:rsidP="00645813">
      <w:pPr>
        <w:pStyle w:val="Tabletitle"/>
      </w:pPr>
      <w:bookmarkStart w:id="299" w:name="_Ref366270634"/>
      <w:bookmarkStart w:id="300" w:name="_Toc369890533"/>
      <w:r>
        <w:lastRenderedPageBreak/>
        <w:t xml:space="preserve">Agriculture and electricity supply have contributed the most to the fall in emissions between </w:t>
      </w:r>
      <w:r w:rsidR="005F0C6A">
        <w:t>2008</w:t>
      </w:r>
      <w:r>
        <w:t xml:space="preserve"> and </w:t>
      </w:r>
      <w:r w:rsidR="006C667D">
        <w:t>2011</w:t>
      </w:r>
      <w:r>
        <w:t xml:space="preserve"> mainly due to improving intensity</w:t>
      </w:r>
      <w:bookmarkEnd w:id="299"/>
      <w:bookmarkEnd w:id="300"/>
    </w:p>
    <w:tbl>
      <w:tblPr>
        <w:tblStyle w:val="Vividtable"/>
        <w:tblW w:w="9625" w:type="dxa"/>
        <w:tblLook w:val="04A0" w:firstRow="1" w:lastRow="0" w:firstColumn="1" w:lastColumn="0" w:noHBand="0" w:noVBand="1"/>
      </w:tblPr>
      <w:tblGrid>
        <w:gridCol w:w="1357"/>
        <w:gridCol w:w="1444"/>
        <w:gridCol w:w="1706"/>
        <w:gridCol w:w="1706"/>
        <w:gridCol w:w="1706"/>
        <w:gridCol w:w="1706"/>
      </w:tblGrid>
      <w:tr w:rsidR="00332951" w:rsidRPr="00215A21" w:rsidTr="00332951">
        <w:trPr>
          <w:cnfStyle w:val="100000000000" w:firstRow="1" w:lastRow="0" w:firstColumn="0" w:lastColumn="0" w:oddVBand="0" w:evenVBand="0" w:oddHBand="0" w:evenHBand="0" w:firstRowFirstColumn="0" w:firstRowLastColumn="0" w:lastRowFirstColumn="0" w:lastRowLastColumn="0"/>
          <w:trHeight w:val="737"/>
        </w:trPr>
        <w:tc>
          <w:tcPr>
            <w:tcW w:w="1455" w:type="pct"/>
            <w:gridSpan w:val="2"/>
          </w:tcPr>
          <w:p w:rsidR="00332951" w:rsidRPr="00215A21" w:rsidRDefault="00332951" w:rsidP="006054BB">
            <w:pPr>
              <w:jc w:val="center"/>
              <w:rPr>
                <w:rFonts w:ascii="Arial" w:hAnsi="Arial" w:cs="Arial"/>
                <w:szCs w:val="18"/>
              </w:rPr>
            </w:pPr>
            <w:r w:rsidRPr="00215A21">
              <w:rPr>
                <w:rFonts w:ascii="Arial" w:hAnsi="Arial" w:cs="Arial"/>
                <w:szCs w:val="18"/>
              </w:rPr>
              <w:t>Emissions intensity effect</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First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Second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Third period</w:t>
            </w:r>
          </w:p>
        </w:tc>
        <w:tc>
          <w:tcPr>
            <w:tcW w:w="886" w:type="pct"/>
          </w:tcPr>
          <w:p w:rsidR="00332951" w:rsidRPr="00215A21" w:rsidRDefault="00332951" w:rsidP="006054BB">
            <w:pPr>
              <w:jc w:val="center"/>
              <w:rPr>
                <w:rFonts w:ascii="Arial" w:hAnsi="Arial" w:cs="Arial"/>
                <w:szCs w:val="18"/>
              </w:rPr>
            </w:pPr>
            <w:r w:rsidRPr="00215A21">
              <w:rPr>
                <w:rFonts w:ascii="Arial" w:hAnsi="Arial" w:cs="Arial"/>
                <w:szCs w:val="18"/>
              </w:rPr>
              <w:t>Whole period</w:t>
            </w:r>
          </w:p>
        </w:tc>
      </w:tr>
      <w:tr w:rsidR="0065430B" w:rsidRPr="00215A21" w:rsidTr="001C2102">
        <w:trPr>
          <w:cnfStyle w:val="000000100000" w:firstRow="0" w:lastRow="0" w:firstColumn="0" w:lastColumn="0" w:oddVBand="0" w:evenVBand="0" w:oddHBand="1" w:evenHBand="0" w:firstRowFirstColumn="0" w:firstRowLastColumn="0" w:lastRowFirstColumn="0" w:lastRowLastColumn="0"/>
          <w:trHeight w:val="737"/>
        </w:trPr>
        <w:tc>
          <w:tcPr>
            <w:tcW w:w="705" w:type="pct"/>
            <w:tcBorders>
              <w:bottom w:val="single" w:sz="4" w:space="0" w:color="auto"/>
            </w:tcBorders>
          </w:tcPr>
          <w:p w:rsidR="0065430B" w:rsidRPr="00215A21" w:rsidRDefault="0065430B" w:rsidP="006054BB">
            <w:pPr>
              <w:keepNext/>
              <w:spacing w:line="200" w:lineRule="exact"/>
              <w:rPr>
                <w:rStyle w:val="PlaceholderText"/>
                <w:rFonts w:ascii="Arial" w:hAnsi="Arial" w:cs="Arial"/>
                <w:b/>
                <w:szCs w:val="18"/>
              </w:rPr>
            </w:pPr>
            <w:r w:rsidRPr="00215A21">
              <w:rPr>
                <w:rStyle w:val="PlaceholderText"/>
                <w:rFonts w:ascii="Arial" w:hAnsi="Arial" w:cs="Arial"/>
                <w:b/>
                <w:szCs w:val="18"/>
              </w:rPr>
              <w:t>Sector</w:t>
            </w:r>
          </w:p>
        </w:tc>
        <w:tc>
          <w:tcPr>
            <w:tcW w:w="750" w:type="pct"/>
            <w:tcBorders>
              <w:bottom w:val="single" w:sz="4" w:space="0" w:color="auto"/>
            </w:tcBorders>
          </w:tcPr>
          <w:p w:rsidR="0065430B" w:rsidRPr="00215A21" w:rsidRDefault="0065430B" w:rsidP="006054BB">
            <w:pPr>
              <w:jc w:val="center"/>
              <w:rPr>
                <w:rFonts w:ascii="Arial" w:hAnsi="Arial" w:cs="Arial"/>
                <w:b/>
                <w:szCs w:val="18"/>
              </w:rPr>
            </w:pPr>
            <w:r w:rsidRPr="00215A21">
              <w:rPr>
                <w:rFonts w:ascii="Arial" w:hAnsi="Arial" w:cs="Arial"/>
                <w:b/>
                <w:szCs w:val="18"/>
              </w:rPr>
              <w:t>Units</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2000</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2006</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2006</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2008</w:t>
            </w:r>
          </w:p>
        </w:tc>
        <w:tc>
          <w:tcPr>
            <w:tcW w:w="886" w:type="pct"/>
            <w:tcBorders>
              <w:bottom w:val="single" w:sz="4" w:space="0" w:color="auto"/>
            </w:tcBorders>
          </w:tcPr>
          <w:p w:rsidR="0065430B" w:rsidRPr="00215A21" w:rsidRDefault="006C667D" w:rsidP="006054BB">
            <w:pPr>
              <w:jc w:val="center"/>
              <w:rPr>
                <w:rFonts w:ascii="Arial" w:hAnsi="Arial" w:cs="Arial"/>
                <w:b/>
                <w:szCs w:val="18"/>
              </w:rPr>
            </w:pPr>
            <w:r>
              <w:rPr>
                <w:rFonts w:ascii="Arial" w:hAnsi="Arial" w:cs="Arial"/>
                <w:b/>
                <w:szCs w:val="18"/>
              </w:rPr>
              <w:t>2008</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2012</w:t>
            </w:r>
          </w:p>
        </w:tc>
        <w:tc>
          <w:tcPr>
            <w:tcW w:w="886" w:type="pct"/>
            <w:tcBorders>
              <w:bottom w:val="single" w:sz="4" w:space="0" w:color="auto"/>
            </w:tcBorders>
          </w:tcPr>
          <w:p w:rsidR="0065430B" w:rsidRPr="00215A21" w:rsidRDefault="00A44C3F" w:rsidP="006054BB">
            <w:pPr>
              <w:jc w:val="center"/>
              <w:rPr>
                <w:rFonts w:ascii="Arial" w:hAnsi="Arial" w:cs="Arial"/>
                <w:b/>
                <w:szCs w:val="18"/>
              </w:rPr>
            </w:pPr>
            <w:r>
              <w:rPr>
                <w:rFonts w:ascii="Arial" w:hAnsi="Arial" w:cs="Arial"/>
                <w:b/>
                <w:szCs w:val="18"/>
              </w:rPr>
              <w:t>2003</w:t>
            </w:r>
            <w:r w:rsidR="0065430B" w:rsidRPr="00215A21">
              <w:rPr>
                <w:rFonts w:ascii="Arial" w:hAnsi="Arial" w:cs="Arial"/>
                <w:b/>
                <w:szCs w:val="18"/>
              </w:rPr>
              <w:t xml:space="preserve"> to</w:t>
            </w:r>
          </w:p>
          <w:p w:rsidR="0065430B" w:rsidRPr="00215A21" w:rsidRDefault="006C667D" w:rsidP="006054BB">
            <w:pPr>
              <w:jc w:val="center"/>
              <w:rPr>
                <w:rFonts w:ascii="Arial" w:hAnsi="Arial" w:cs="Arial"/>
                <w:b/>
                <w:szCs w:val="18"/>
              </w:rPr>
            </w:pPr>
            <w:r>
              <w:rPr>
                <w:rFonts w:ascii="Arial" w:hAnsi="Arial" w:cs="Arial"/>
                <w:b/>
                <w:szCs w:val="18"/>
              </w:rPr>
              <w:t>2012</w:t>
            </w:r>
          </w:p>
        </w:tc>
      </w:tr>
      <w:tr w:rsidR="0065430B" w:rsidRPr="00215A21" w:rsidTr="001C2102">
        <w:trPr>
          <w:trHeight w:val="600"/>
        </w:trPr>
        <w:tc>
          <w:tcPr>
            <w:tcW w:w="705" w:type="pct"/>
            <w:tcBorders>
              <w:top w:val="single" w:sz="4" w:space="0" w:color="auto"/>
            </w:tcBorders>
          </w:tcPr>
          <w:p w:rsidR="0065430B" w:rsidRPr="00215A21" w:rsidRDefault="0065430B" w:rsidP="006054BB">
            <w:pPr>
              <w:keepNext/>
              <w:spacing w:line="200" w:lineRule="exact"/>
              <w:rPr>
                <w:rStyle w:val="PlaceholderText"/>
                <w:rFonts w:ascii="Arial" w:hAnsi="Arial" w:cs="Arial"/>
                <w:szCs w:val="18"/>
              </w:rPr>
            </w:pPr>
            <w:r w:rsidRPr="00215A21">
              <w:rPr>
                <w:rStyle w:val="PlaceholderText"/>
                <w:rFonts w:ascii="Arial" w:hAnsi="Arial" w:cs="Arial"/>
                <w:szCs w:val="18"/>
              </w:rPr>
              <w:t xml:space="preserve">Agriculture </w:t>
            </w:r>
          </w:p>
        </w:tc>
        <w:tc>
          <w:tcPr>
            <w:tcW w:w="750" w:type="pct"/>
            <w:tcBorders>
              <w:top w:val="single" w:sz="4" w:space="0" w:color="auto"/>
            </w:tcBorders>
          </w:tcPr>
          <w:p w:rsidR="0065430B" w:rsidRPr="00215A21" w:rsidRDefault="0065430B"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Borders>
              <w:top w:val="single" w:sz="4" w:space="0" w:color="auto"/>
            </w:tcBorders>
          </w:tcPr>
          <w:p w:rsidR="0065430B" w:rsidRPr="00215A21" w:rsidRDefault="0065430B" w:rsidP="006054BB">
            <w:pPr>
              <w:tabs>
                <w:tab w:val="decimal" w:pos="567"/>
              </w:tabs>
              <w:jc w:val="center"/>
              <w:rPr>
                <w:rFonts w:ascii="Arial" w:hAnsi="Arial" w:cs="Arial"/>
                <w:szCs w:val="18"/>
              </w:rPr>
            </w:pPr>
            <w:r w:rsidRPr="00215A21">
              <w:rPr>
                <w:rFonts w:ascii="Arial" w:hAnsi="Arial" w:cs="Arial"/>
                <w:szCs w:val="18"/>
              </w:rPr>
              <w:t>-10</w:t>
            </w:r>
          </w:p>
        </w:tc>
        <w:tc>
          <w:tcPr>
            <w:tcW w:w="886" w:type="pct"/>
            <w:tcBorders>
              <w:top w:val="single" w:sz="4" w:space="0" w:color="auto"/>
            </w:tcBorders>
          </w:tcPr>
          <w:p w:rsidR="0065430B" w:rsidRPr="00215A21" w:rsidRDefault="0065430B" w:rsidP="001C2102">
            <w:pPr>
              <w:tabs>
                <w:tab w:val="decimal" w:pos="738"/>
              </w:tabs>
              <w:rPr>
                <w:rFonts w:ascii="Arial" w:hAnsi="Arial" w:cs="Arial"/>
                <w:szCs w:val="18"/>
              </w:rPr>
            </w:pPr>
            <w:r w:rsidRPr="00215A21">
              <w:rPr>
                <w:rFonts w:ascii="Arial" w:hAnsi="Arial" w:cs="Arial"/>
                <w:szCs w:val="18"/>
              </w:rPr>
              <w:t>6</w:t>
            </w:r>
          </w:p>
        </w:tc>
        <w:tc>
          <w:tcPr>
            <w:tcW w:w="886" w:type="pct"/>
            <w:tcBorders>
              <w:top w:val="single" w:sz="4" w:space="0" w:color="auto"/>
            </w:tcBorders>
          </w:tcPr>
          <w:p w:rsidR="0065430B" w:rsidRPr="00215A21" w:rsidRDefault="0065430B" w:rsidP="006054BB">
            <w:pPr>
              <w:tabs>
                <w:tab w:val="decimal" w:pos="567"/>
              </w:tabs>
              <w:jc w:val="center"/>
              <w:rPr>
                <w:rFonts w:ascii="Arial" w:hAnsi="Arial" w:cs="Arial"/>
                <w:szCs w:val="18"/>
              </w:rPr>
            </w:pPr>
            <w:r w:rsidRPr="00215A21">
              <w:rPr>
                <w:rFonts w:ascii="Arial" w:hAnsi="Arial" w:cs="Arial"/>
                <w:szCs w:val="18"/>
              </w:rPr>
              <w:t>-23</w:t>
            </w:r>
          </w:p>
        </w:tc>
        <w:tc>
          <w:tcPr>
            <w:tcW w:w="886" w:type="pct"/>
            <w:tcBorders>
              <w:top w:val="single" w:sz="4" w:space="0" w:color="auto"/>
            </w:tcBorders>
          </w:tcPr>
          <w:p w:rsidR="0065430B" w:rsidRPr="00215A21" w:rsidRDefault="0065430B" w:rsidP="006054BB">
            <w:pPr>
              <w:tabs>
                <w:tab w:val="decimal" w:pos="567"/>
              </w:tabs>
              <w:jc w:val="center"/>
              <w:rPr>
                <w:rFonts w:ascii="Arial" w:hAnsi="Arial" w:cs="Arial"/>
                <w:szCs w:val="18"/>
              </w:rPr>
            </w:pPr>
            <w:r w:rsidRPr="00215A21">
              <w:rPr>
                <w:rFonts w:ascii="Arial" w:hAnsi="Arial" w:cs="Arial"/>
                <w:szCs w:val="18"/>
              </w:rPr>
              <w:t>-27</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-2.2</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1.2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-4.6</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-6</w:t>
            </w:r>
          </w:p>
        </w:tc>
      </w:tr>
      <w:tr w:rsidR="001C2102" w:rsidRPr="00215A21" w:rsidTr="001C2102">
        <w:trPr>
          <w:trHeight w:val="600"/>
        </w:trPr>
        <w:tc>
          <w:tcPr>
            <w:tcW w:w="705" w:type="pct"/>
          </w:tcPr>
          <w:p w:rsidR="001C2102" w:rsidRPr="00215A21" w:rsidRDefault="001C2102" w:rsidP="006054BB">
            <w:pPr>
              <w:keepNext/>
              <w:spacing w:line="200" w:lineRule="exact"/>
              <w:rPr>
                <w:rStyle w:val="PlaceholderText"/>
                <w:rFonts w:ascii="Arial" w:hAnsi="Arial" w:cs="Arial"/>
                <w:szCs w:val="18"/>
              </w:rPr>
            </w:pPr>
            <w:r w:rsidRPr="00215A21">
              <w:rPr>
                <w:rStyle w:val="PlaceholderText"/>
                <w:rFonts w:ascii="Arial" w:hAnsi="Arial" w:cs="Arial"/>
                <w:szCs w:val="18"/>
              </w:rPr>
              <w:t>Mining</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-6</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10</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4</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0.1</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-1.4</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0.8</w:t>
            </w:r>
          </w:p>
        </w:tc>
      </w:tr>
      <w:tr w:rsidR="001C2102" w:rsidRPr="00215A21" w:rsidTr="001C2102">
        <w:trPr>
          <w:trHeight w:val="600"/>
        </w:trPr>
        <w:tc>
          <w:tcPr>
            <w:tcW w:w="705" w:type="pct"/>
          </w:tcPr>
          <w:p w:rsidR="001C2102" w:rsidRPr="00215A21" w:rsidRDefault="001C2102" w:rsidP="006054BB">
            <w:pPr>
              <w:keepNext/>
              <w:spacing w:line="200" w:lineRule="exact"/>
              <w:rPr>
                <w:rStyle w:val="PlaceholderText"/>
                <w:rFonts w:ascii="Arial" w:hAnsi="Arial" w:cs="Arial"/>
                <w:szCs w:val="18"/>
              </w:rPr>
            </w:pPr>
            <w:r w:rsidRPr="00215A21">
              <w:rPr>
                <w:rStyle w:val="PlaceholderText"/>
                <w:rFonts w:ascii="Arial" w:hAnsi="Arial" w:cs="Arial"/>
                <w:szCs w:val="18"/>
              </w:rPr>
              <w:t>Manufacturing</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-4</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-6</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-9</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-0.9</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-1.3</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w:t>
            </w:r>
          </w:p>
        </w:tc>
      </w:tr>
      <w:tr w:rsidR="001C2102" w:rsidRPr="00215A21" w:rsidTr="001C2102">
        <w:trPr>
          <w:trHeight w:val="600"/>
        </w:trPr>
        <w:tc>
          <w:tcPr>
            <w:tcW w:w="705" w:type="pct"/>
          </w:tcPr>
          <w:p w:rsidR="001C2102" w:rsidRPr="00215A21" w:rsidRDefault="001C2102" w:rsidP="00BA5AAA">
            <w:pPr>
              <w:rPr>
                <w:rStyle w:val="PlaceholderText"/>
                <w:rFonts w:ascii="Arial" w:hAnsi="Arial" w:cs="Arial"/>
                <w:szCs w:val="18"/>
              </w:rPr>
            </w:pPr>
            <w:r w:rsidRPr="00215A21">
              <w:rPr>
                <w:rFonts w:ascii="Arial" w:hAnsi="Arial" w:cs="Arial"/>
                <w:szCs w:val="18"/>
              </w:rPr>
              <w:t>Electricity supply</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10</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-4</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-21</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-16</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2.2</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-0.9</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-4.3</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-3.5</w:t>
            </w:r>
          </w:p>
        </w:tc>
      </w:tr>
      <w:tr w:rsidR="001C2102" w:rsidRPr="00215A21" w:rsidTr="001C2102">
        <w:trPr>
          <w:trHeight w:val="600"/>
        </w:trPr>
        <w:tc>
          <w:tcPr>
            <w:tcW w:w="705" w:type="pct"/>
          </w:tcPr>
          <w:p w:rsidR="001C2102" w:rsidRPr="00215A21" w:rsidRDefault="001C2102" w:rsidP="00BA5AAA">
            <w:pPr>
              <w:rPr>
                <w:rStyle w:val="PlaceholderText"/>
                <w:rFonts w:ascii="Arial" w:hAnsi="Arial" w:cs="Arial"/>
                <w:szCs w:val="18"/>
              </w:rPr>
            </w:pPr>
            <w:r w:rsidRPr="00215A21">
              <w:rPr>
                <w:rFonts w:ascii="Arial" w:hAnsi="Arial" w:cs="Arial"/>
                <w:szCs w:val="18"/>
              </w:rPr>
              <w:t>Transport</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0</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-0.5</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0</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0.5</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w:t>
            </w:r>
          </w:p>
        </w:tc>
      </w:tr>
      <w:tr w:rsidR="001C2102" w:rsidRPr="00215A21" w:rsidTr="001C2102">
        <w:trPr>
          <w:trHeight w:val="600"/>
        </w:trPr>
        <w:tc>
          <w:tcPr>
            <w:tcW w:w="705" w:type="pct"/>
          </w:tcPr>
          <w:p w:rsidR="001C2102" w:rsidRPr="00215A21" w:rsidRDefault="001C2102" w:rsidP="006054BB">
            <w:pPr>
              <w:keepNext/>
              <w:spacing w:line="200" w:lineRule="exact"/>
              <w:rPr>
                <w:rStyle w:val="PlaceholderText"/>
                <w:rFonts w:ascii="Arial" w:hAnsi="Arial" w:cs="Arial"/>
                <w:szCs w:val="18"/>
              </w:rPr>
            </w:pPr>
            <w:r w:rsidRPr="00215A21">
              <w:rPr>
                <w:rStyle w:val="PlaceholderText"/>
                <w:rFonts w:ascii="Arial" w:hAnsi="Arial" w:cs="Arial"/>
                <w:szCs w:val="18"/>
              </w:rPr>
              <w:t>Commercial and services</w:t>
            </w:r>
          </w:p>
        </w:tc>
        <w:tc>
          <w:tcPr>
            <w:tcW w:w="750" w:type="pct"/>
          </w:tcPr>
          <w:p w:rsidR="001C2102" w:rsidRPr="00215A21" w:rsidRDefault="001C2102" w:rsidP="006054BB">
            <w:pPr>
              <w:jc w:val="center"/>
              <w:rPr>
                <w:rFonts w:ascii="Arial" w:hAnsi="Arial" w:cs="Arial"/>
                <w:szCs w:val="18"/>
              </w:rPr>
            </w:pPr>
            <w:r w:rsidRPr="00215A21">
              <w:rPr>
                <w:rFonts w:ascii="Arial" w:hAnsi="Arial" w:cs="Arial"/>
                <w:szCs w:val="18"/>
              </w:rPr>
              <w:t>MtCO</w:t>
            </w:r>
            <w:r w:rsidRPr="00215A21">
              <w:rPr>
                <w:rFonts w:ascii="Arial" w:hAnsi="Arial" w:cs="Arial"/>
                <w:szCs w:val="18"/>
                <w:vertAlign w:val="subscript"/>
              </w:rPr>
              <w:t>2</w:t>
            </w:r>
            <w:r w:rsidRPr="00215A21">
              <w:rPr>
                <w:rFonts w:ascii="Arial" w:hAnsi="Arial" w:cs="Arial"/>
                <w:szCs w:val="18"/>
              </w:rPr>
              <w:t>e</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-5</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-1</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-8</w:t>
            </w:r>
          </w:p>
        </w:tc>
      </w:tr>
      <w:tr w:rsidR="001C2102" w:rsidRPr="00215A21" w:rsidTr="001C2102">
        <w:trPr>
          <w:cnfStyle w:val="000000100000" w:firstRow="0" w:lastRow="0" w:firstColumn="0" w:lastColumn="0" w:oddVBand="0" w:evenVBand="0" w:oddHBand="1" w:evenHBand="0" w:firstRowFirstColumn="0" w:firstRowLastColumn="0" w:lastRowFirstColumn="0" w:lastRowLastColumn="0"/>
          <w:trHeight w:val="600"/>
        </w:trPr>
        <w:tc>
          <w:tcPr>
            <w:tcW w:w="705" w:type="pct"/>
          </w:tcPr>
          <w:p w:rsidR="001C2102" w:rsidRPr="00215A21" w:rsidRDefault="001C2102" w:rsidP="006054BB">
            <w:pPr>
              <w:keepNext/>
              <w:spacing w:line="200" w:lineRule="exact"/>
              <w:rPr>
                <w:rStyle w:val="PlaceholderText"/>
                <w:rFonts w:ascii="Arial" w:hAnsi="Arial" w:cs="Arial"/>
                <w:szCs w:val="18"/>
              </w:rPr>
            </w:pPr>
          </w:p>
        </w:tc>
        <w:tc>
          <w:tcPr>
            <w:tcW w:w="750" w:type="pct"/>
          </w:tcPr>
          <w:p w:rsidR="001C2102" w:rsidRPr="00215A21" w:rsidRDefault="001C2102" w:rsidP="00C8003C">
            <w:pPr>
              <w:jc w:val="center"/>
              <w:rPr>
                <w:rFonts w:ascii="Arial" w:hAnsi="Arial" w:cs="Arial"/>
                <w:szCs w:val="18"/>
              </w:rPr>
            </w:pPr>
            <w:r w:rsidRPr="00215A21">
              <w:rPr>
                <w:rFonts w:ascii="Arial" w:hAnsi="Arial" w:cs="Arial"/>
                <w:szCs w:val="18"/>
              </w:rPr>
              <w:t>change over period, %</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-1.2</w:t>
            </w:r>
          </w:p>
        </w:tc>
        <w:tc>
          <w:tcPr>
            <w:tcW w:w="886" w:type="pct"/>
          </w:tcPr>
          <w:p w:rsidR="001C2102" w:rsidRPr="00215A21" w:rsidRDefault="001C2102" w:rsidP="001C2102">
            <w:pPr>
              <w:tabs>
                <w:tab w:val="decimal" w:pos="738"/>
              </w:tabs>
              <w:rPr>
                <w:rFonts w:ascii="Arial" w:hAnsi="Arial" w:cs="Arial"/>
                <w:szCs w:val="18"/>
              </w:rPr>
            </w:pPr>
            <w:r w:rsidRPr="00215A21">
              <w:rPr>
                <w:rFonts w:ascii="Arial" w:hAnsi="Arial" w:cs="Arial"/>
                <w:szCs w:val="18"/>
              </w:rPr>
              <w:t>-0.2</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-0.4</w:t>
            </w:r>
          </w:p>
        </w:tc>
        <w:tc>
          <w:tcPr>
            <w:tcW w:w="886" w:type="pct"/>
          </w:tcPr>
          <w:p w:rsidR="001C2102" w:rsidRPr="00215A21" w:rsidRDefault="001C2102" w:rsidP="006054BB">
            <w:pPr>
              <w:tabs>
                <w:tab w:val="decimal" w:pos="567"/>
              </w:tabs>
              <w:jc w:val="center"/>
              <w:rPr>
                <w:rFonts w:ascii="Arial" w:hAnsi="Arial" w:cs="Arial"/>
                <w:szCs w:val="18"/>
              </w:rPr>
            </w:pPr>
            <w:r w:rsidRPr="00215A21">
              <w:rPr>
                <w:rFonts w:ascii="Arial" w:hAnsi="Arial" w:cs="Arial"/>
                <w:szCs w:val="18"/>
              </w:rPr>
              <w:t>-1.9</w:t>
            </w:r>
          </w:p>
        </w:tc>
      </w:tr>
    </w:tbl>
    <w:p w:rsidR="0065430B" w:rsidRPr="00820511" w:rsidRDefault="0065430B" w:rsidP="0065430B">
      <w:pPr>
        <w:pStyle w:val="Header"/>
        <w:pBdr>
          <w:bottom w:val="none" w:sz="0" w:space="0" w:color="auto"/>
        </w:pBdr>
      </w:pPr>
    </w:p>
    <w:p w:rsidR="0065430B" w:rsidRDefault="0065430B" w:rsidP="0065430B">
      <w:pPr>
        <w:pStyle w:val="Note"/>
      </w:pPr>
      <w:r>
        <w:t>Note:</w:t>
      </w:r>
      <w:r>
        <w:tab/>
        <w:t>LMDI decomposition of economy-wide emissions by subsectors. Intensity effect of main sector is recovered by summing relevant subdivisions.</w:t>
      </w:r>
    </w:p>
    <w:p w:rsidR="0065430B" w:rsidRPr="001E35D8" w:rsidRDefault="0065430B" w:rsidP="0065430B">
      <w:pPr>
        <w:pStyle w:val="Source"/>
      </w:pPr>
      <w:r w:rsidRPr="00EF51BF">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r>
        <w:t>Within sectors, there are two effects:</w:t>
      </w:r>
    </w:p>
    <w:p w:rsidR="0065430B" w:rsidRDefault="0065430B" w:rsidP="0065430B">
      <w:pPr>
        <w:pStyle w:val="Dashedbullets"/>
        <w:ind w:left="720" w:hanging="360"/>
      </w:pPr>
      <w:r>
        <w:t>a restructuring within the sector between more and less emissions intensive subsectors; and</w:t>
      </w:r>
    </w:p>
    <w:p w:rsidR="0065430B" w:rsidRPr="005743BE" w:rsidRDefault="0065430B" w:rsidP="0065430B">
      <w:pPr>
        <w:pStyle w:val="Dashedbullets"/>
        <w:ind w:left="720" w:hanging="360"/>
      </w:pPr>
      <w:r>
        <w:t>a change in the emissions intensity of subsectors.</w:t>
      </w:r>
    </w:p>
    <w:p w:rsidR="0065430B" w:rsidRDefault="0065430B" w:rsidP="0065430B"/>
    <w:p w:rsidR="0065430B" w:rsidRPr="005743BE" w:rsidRDefault="0065430B" w:rsidP="0065430B">
      <w:r>
        <w:lastRenderedPageBreak/>
        <w:t xml:space="preserve">Within manufacturing, a shift towards non-metallic mineral and metal product manufacturing, as shown in </w:t>
      </w:r>
      <w:r w:rsidR="005A66AE">
        <w:fldChar w:fldCharType="begin"/>
      </w:r>
      <w:r>
        <w:instrText xml:space="preserve"> REF _Ref365885759 \r \h </w:instrText>
      </w:r>
      <w:r w:rsidR="005A66AE">
        <w:fldChar w:fldCharType="separate"/>
      </w:r>
      <w:r w:rsidR="00197E14">
        <w:t>Figure 54</w:t>
      </w:r>
      <w:r w:rsidR="005A66AE">
        <w:fldChar w:fldCharType="end"/>
      </w:r>
      <w:r>
        <w:t>, increased the contribution of manufacturing to the structural effect.</w:t>
      </w:r>
    </w:p>
    <w:p w:rsidR="0065430B" w:rsidRPr="000D25DC" w:rsidRDefault="0065430B" w:rsidP="0065430B">
      <w:pPr>
        <w:pStyle w:val="Charttitle"/>
      </w:pPr>
      <w:bookmarkStart w:id="301" w:name="_Toc365818488"/>
      <w:bookmarkStart w:id="302" w:name="_Ref365885759"/>
      <w:bookmarkStart w:id="303" w:name="_Toc366269875"/>
      <w:bookmarkStart w:id="304" w:name="_Toc369890594"/>
      <w:r>
        <w:t xml:space="preserve">A </w:t>
      </w:r>
      <w:r w:rsidR="00332951">
        <w:t xml:space="preserve">restructuring </w:t>
      </w:r>
      <w:r>
        <w:t>to</w:t>
      </w:r>
      <w:r w:rsidR="008D1DA2">
        <w:t>wards</w:t>
      </w:r>
      <w:r>
        <w:t xml:space="preserve"> metal and non-metallic mineral products within manufacturing pushed up emissions</w:t>
      </w:r>
      <w:bookmarkEnd w:id="301"/>
      <w:bookmarkEnd w:id="302"/>
      <w:bookmarkEnd w:id="303"/>
      <w:bookmarkEnd w:id="304"/>
    </w:p>
    <w:p w:rsidR="0065430B" w:rsidRPr="00430244" w:rsidRDefault="0065430B" w:rsidP="0065430B">
      <w:pPr>
        <w:pStyle w:val="Chartspacer"/>
        <w:rPr>
          <w:rStyle w:val="PlaceholderText"/>
        </w:rPr>
      </w:pPr>
      <w:r w:rsidRPr="004214A8">
        <w:rPr>
          <w:rStyle w:val="PlaceholderText"/>
        </w:rPr>
        <w:t xml:space="preserve"> </w:t>
      </w:r>
      <w:r w:rsidRPr="00B503E9">
        <w:rPr>
          <w:noProof/>
          <w:lang w:eastAsia="en-GB"/>
        </w:rPr>
        <w:drawing>
          <wp:inline distT="0" distB="0" distL="0" distR="0" wp14:anchorId="305C2D09" wp14:editId="5B387A20">
            <wp:extent cx="6120000" cy="39936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000" cy="3993683"/>
                    </a:xfrm>
                    <a:prstGeom prst="rect">
                      <a:avLst/>
                    </a:prstGeom>
                    <a:noFill/>
                    <a:ln>
                      <a:noFill/>
                    </a:ln>
                  </pic:spPr>
                </pic:pic>
              </a:graphicData>
            </a:graphic>
          </wp:inline>
        </w:drawing>
      </w:r>
    </w:p>
    <w:p w:rsidR="0065430B" w:rsidRDefault="0065430B" w:rsidP="0065430B">
      <w:pPr>
        <w:pStyle w:val="Note"/>
      </w:pPr>
      <w:r>
        <w:t>Note:</w:t>
      </w:r>
      <w:r>
        <w:tab/>
        <w:t>Detailed account of structural effect contribution to total change in economy-wide emission</w:t>
      </w:r>
      <w:r w:rsidR="005F0C6A">
        <w:t>s</w:t>
      </w:r>
      <w:r>
        <w:t xml:space="preserve"> by subsector.</w:t>
      </w:r>
    </w:p>
    <w:p w:rsidR="0065430B" w:rsidRPr="001E35D8" w:rsidRDefault="0065430B" w:rsidP="0065430B">
      <w:pPr>
        <w:pStyle w:val="Source"/>
      </w:pPr>
      <w:r w:rsidRPr="00EF51BF">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Pr="005A132E" w:rsidRDefault="0065430B" w:rsidP="0065430B">
      <w:r>
        <w:t xml:space="preserve">Nevertheless, the emissions intensity of non-metallic mineral and metal product manufacturing continued to improve between </w:t>
      </w:r>
      <w:r w:rsidR="006C667D">
        <w:t>2008</w:t>
      </w:r>
      <w:r>
        <w:t xml:space="preserve"> and </w:t>
      </w:r>
      <w:r w:rsidR="006C667D">
        <w:t>2011</w:t>
      </w:r>
      <w:r>
        <w:t xml:space="preserve">, albeit less than between </w:t>
      </w:r>
      <w:r w:rsidR="006C667D">
        <w:t>2005</w:t>
      </w:r>
      <w:r>
        <w:t xml:space="preserve"> and </w:t>
      </w:r>
      <w:r w:rsidR="006C667D">
        <w:t>2008</w:t>
      </w:r>
      <w:r>
        <w:t xml:space="preserve">, as shown in </w:t>
      </w:r>
      <w:r w:rsidR="005A66AE">
        <w:fldChar w:fldCharType="begin"/>
      </w:r>
      <w:r>
        <w:instrText xml:space="preserve"> REF _Ref365885891 \r \h </w:instrText>
      </w:r>
      <w:r w:rsidR="005A66AE">
        <w:fldChar w:fldCharType="separate"/>
      </w:r>
      <w:r w:rsidR="00197E14">
        <w:t>Figure 55</w:t>
      </w:r>
      <w:r w:rsidR="005A66AE">
        <w:fldChar w:fldCharType="end"/>
      </w:r>
      <w:r>
        <w:t>.</w:t>
      </w:r>
    </w:p>
    <w:p w:rsidR="0065430B" w:rsidRPr="000D25DC" w:rsidRDefault="0065430B" w:rsidP="0065430B">
      <w:pPr>
        <w:pStyle w:val="Charttitle"/>
      </w:pPr>
      <w:bookmarkStart w:id="305" w:name="_Toc365818490"/>
      <w:bookmarkStart w:id="306" w:name="_Ref365885891"/>
      <w:bookmarkStart w:id="307" w:name="_Toc366269876"/>
      <w:bookmarkStart w:id="308" w:name="_Toc369890595"/>
      <w:r>
        <w:lastRenderedPageBreak/>
        <w:t xml:space="preserve">Manufacturing of metal products and non-metallic mineral products drove down the emissions intensity of manufacturing between </w:t>
      </w:r>
      <w:r w:rsidR="006C667D">
        <w:t>2005</w:t>
      </w:r>
      <w:r>
        <w:t xml:space="preserve"> and </w:t>
      </w:r>
      <w:r w:rsidR="006C667D">
        <w:t>2011</w:t>
      </w:r>
      <w:bookmarkEnd w:id="305"/>
      <w:bookmarkEnd w:id="306"/>
      <w:bookmarkEnd w:id="307"/>
      <w:bookmarkEnd w:id="308"/>
    </w:p>
    <w:p w:rsidR="0065430B" w:rsidRPr="00430244" w:rsidRDefault="0065430B" w:rsidP="0065430B">
      <w:pPr>
        <w:pStyle w:val="Chartspacer"/>
        <w:rPr>
          <w:rStyle w:val="PlaceholderText"/>
        </w:rPr>
      </w:pPr>
      <w:r w:rsidRPr="00B503E9">
        <w:rPr>
          <w:noProof/>
          <w:lang w:eastAsia="en-GB"/>
        </w:rPr>
        <w:drawing>
          <wp:inline distT="0" distB="0" distL="0" distR="0" wp14:anchorId="20B1FEE2" wp14:editId="678BF519">
            <wp:extent cx="6120000" cy="39936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000" cy="3993683"/>
                    </a:xfrm>
                    <a:prstGeom prst="rect">
                      <a:avLst/>
                    </a:prstGeom>
                    <a:noFill/>
                    <a:ln>
                      <a:noFill/>
                    </a:ln>
                  </pic:spPr>
                </pic:pic>
              </a:graphicData>
            </a:graphic>
          </wp:inline>
        </w:drawing>
      </w:r>
    </w:p>
    <w:p w:rsidR="0065430B" w:rsidRDefault="0065430B" w:rsidP="0065430B">
      <w:pPr>
        <w:pStyle w:val="Note"/>
      </w:pPr>
      <w:r>
        <w:t>Note:</w:t>
      </w:r>
      <w:r>
        <w:tab/>
        <w:t>Detailed account of intensity effect contribution to total change in economy-wide emission</w:t>
      </w:r>
      <w:r w:rsidR="005F0C6A">
        <w:t>s</w:t>
      </w:r>
      <w:r>
        <w:t xml:space="preserve"> by subsector.</w:t>
      </w:r>
    </w:p>
    <w:p w:rsidR="0065430B"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r>
        <w:t>Within mining, the sector restructured away from coal mining and oil and gas extraction, which has a high emission</w:t>
      </w:r>
      <w:r w:rsidR="008D1DA2">
        <w:t>s</w:t>
      </w:r>
      <w:r>
        <w:t xml:space="preserve"> intensity, towards metal ore and non-metallic mineral mining and quarrying, which has a lower emissions intensity, yet </w:t>
      </w:r>
      <w:r w:rsidR="008D1DA2">
        <w:t xml:space="preserve">is </w:t>
      </w:r>
      <w:r>
        <w:t xml:space="preserve">still higher than for most sectors of the economy, as shown in </w:t>
      </w:r>
      <w:r w:rsidR="005A66AE">
        <w:fldChar w:fldCharType="begin"/>
      </w:r>
      <w:r>
        <w:instrText xml:space="preserve"> REF _Ref365886026 \r \h </w:instrText>
      </w:r>
      <w:r w:rsidR="005A66AE">
        <w:fldChar w:fldCharType="separate"/>
      </w:r>
      <w:r w:rsidR="00197E14">
        <w:t>Figure 56</w:t>
      </w:r>
      <w:r w:rsidR="005A66AE">
        <w:fldChar w:fldCharType="end"/>
      </w:r>
      <w:r>
        <w:t>.</w:t>
      </w:r>
    </w:p>
    <w:p w:rsidR="0065430B" w:rsidRPr="000D25DC" w:rsidRDefault="0065430B" w:rsidP="0065430B">
      <w:pPr>
        <w:pStyle w:val="Charttitle"/>
      </w:pPr>
      <w:bookmarkStart w:id="309" w:name="_Toc365818489"/>
      <w:bookmarkStart w:id="310" w:name="_Ref365886026"/>
      <w:bookmarkStart w:id="311" w:name="_Ref365888949"/>
      <w:bookmarkStart w:id="312" w:name="_Toc366269877"/>
      <w:bookmarkStart w:id="313" w:name="_Toc369890596"/>
      <w:r>
        <w:lastRenderedPageBreak/>
        <w:t xml:space="preserve">The structural change within the mining sector </w:t>
      </w:r>
      <w:r w:rsidR="001C2102">
        <w:t xml:space="preserve">since </w:t>
      </w:r>
      <w:r w:rsidR="006C667D">
        <w:t>2008</w:t>
      </w:r>
      <w:r w:rsidR="001C2102">
        <w:t xml:space="preserve"> </w:t>
      </w:r>
      <w:r>
        <w:t>contributed to a lower emissions intensity of the economy</w:t>
      </w:r>
      <w:bookmarkEnd w:id="309"/>
      <w:bookmarkEnd w:id="310"/>
      <w:bookmarkEnd w:id="311"/>
      <w:bookmarkEnd w:id="312"/>
      <w:bookmarkEnd w:id="313"/>
    </w:p>
    <w:p w:rsidR="0065430B" w:rsidRPr="00430244" w:rsidRDefault="0065430B" w:rsidP="0065430B">
      <w:pPr>
        <w:pStyle w:val="Chartspacer"/>
        <w:rPr>
          <w:rStyle w:val="PlaceholderText"/>
        </w:rPr>
      </w:pPr>
      <w:r w:rsidRPr="00B503E9">
        <w:rPr>
          <w:noProof/>
          <w:lang w:eastAsia="en-GB"/>
        </w:rPr>
        <w:drawing>
          <wp:inline distT="0" distB="0" distL="0" distR="0" wp14:anchorId="7F46A77B" wp14:editId="54940CFF">
            <wp:extent cx="6120000" cy="32040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000" cy="3204000"/>
                    </a:xfrm>
                    <a:prstGeom prst="rect">
                      <a:avLst/>
                    </a:prstGeom>
                    <a:noFill/>
                    <a:ln>
                      <a:noFill/>
                    </a:ln>
                  </pic:spPr>
                </pic:pic>
              </a:graphicData>
            </a:graphic>
          </wp:inline>
        </w:drawing>
      </w:r>
    </w:p>
    <w:p w:rsidR="0065430B" w:rsidRDefault="0065430B" w:rsidP="0065430B">
      <w:pPr>
        <w:pStyle w:val="Note"/>
      </w:pPr>
      <w:r>
        <w:t>Note:</w:t>
      </w:r>
      <w:r>
        <w:tab/>
        <w:t>Detailed account of structural effect contribution to total change in economy-wide emission</w:t>
      </w:r>
      <w:r w:rsidR="005F0C6A">
        <w:t>s</w:t>
      </w:r>
      <w:r>
        <w:t xml:space="preserve"> by subsector.</w:t>
      </w:r>
    </w:p>
    <w:p w:rsidR="0065430B"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r>
        <w:t xml:space="preserve">Coal mining and oil and gas extraction have become relatively more </w:t>
      </w:r>
      <w:r w:rsidR="005F0C6A">
        <w:t>emissions-</w:t>
      </w:r>
      <w:r>
        <w:t xml:space="preserve">intensive and have driven up the overall emissions intensity of the mining sector between </w:t>
      </w:r>
      <w:r w:rsidR="006C667D">
        <w:t>2008</w:t>
      </w:r>
      <w:r>
        <w:t xml:space="preserve"> and </w:t>
      </w:r>
      <w:r w:rsidR="006C667D">
        <w:t>2011</w:t>
      </w:r>
      <w:r>
        <w:t xml:space="preserve">, as shown in </w:t>
      </w:r>
      <w:r w:rsidR="005A66AE">
        <w:fldChar w:fldCharType="begin"/>
      </w:r>
      <w:r>
        <w:instrText xml:space="preserve"> REF _Ref365888949 \r \h </w:instrText>
      </w:r>
      <w:r w:rsidR="005A66AE">
        <w:fldChar w:fldCharType="separate"/>
      </w:r>
      <w:r w:rsidR="00197E14">
        <w:t>Figure 56</w:t>
      </w:r>
      <w:r w:rsidR="005A66AE">
        <w:fldChar w:fldCharType="end"/>
      </w:r>
      <w:r>
        <w:t>. Metal ore and non-metallic mineral mining and quarrying, on the other hand, has become less emissions</w:t>
      </w:r>
      <w:r w:rsidR="005F0C6A">
        <w:t>-</w:t>
      </w:r>
      <w:r>
        <w:t xml:space="preserve">intensive between </w:t>
      </w:r>
      <w:r w:rsidR="006C667D">
        <w:t>2000</w:t>
      </w:r>
      <w:r>
        <w:t xml:space="preserve"> and </w:t>
      </w:r>
      <w:r w:rsidR="006C667D">
        <w:t>2011</w:t>
      </w:r>
      <w:r>
        <w:t>.</w:t>
      </w:r>
    </w:p>
    <w:p w:rsidR="0065430B" w:rsidRPr="000D25DC" w:rsidRDefault="0065430B" w:rsidP="0065430B">
      <w:pPr>
        <w:pStyle w:val="Charttitle"/>
      </w:pPr>
      <w:bookmarkStart w:id="314" w:name="_Toc365818491"/>
      <w:bookmarkStart w:id="315" w:name="_Toc366269878"/>
      <w:bookmarkStart w:id="316" w:name="_Toc369890597"/>
      <w:r>
        <w:lastRenderedPageBreak/>
        <w:t>Coal mining and oil and gas extraction increased the emissions intensity of the mining sector and affected the emissions intensity of the economy negatively</w:t>
      </w:r>
      <w:bookmarkEnd w:id="314"/>
      <w:bookmarkEnd w:id="315"/>
      <w:bookmarkEnd w:id="316"/>
    </w:p>
    <w:p w:rsidR="0065430B" w:rsidRPr="00430244" w:rsidRDefault="0065430B" w:rsidP="0065430B">
      <w:pPr>
        <w:pStyle w:val="Chartspacer"/>
        <w:rPr>
          <w:rStyle w:val="PlaceholderText"/>
        </w:rPr>
      </w:pPr>
      <w:r w:rsidRPr="00B503E9">
        <w:rPr>
          <w:noProof/>
          <w:lang w:eastAsia="en-GB"/>
        </w:rPr>
        <w:drawing>
          <wp:inline distT="0" distB="0" distL="0" distR="0" wp14:anchorId="4EC38175" wp14:editId="3D4A31C8">
            <wp:extent cx="6120000" cy="3204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000" cy="3204000"/>
                    </a:xfrm>
                    <a:prstGeom prst="rect">
                      <a:avLst/>
                    </a:prstGeom>
                    <a:noFill/>
                    <a:ln>
                      <a:noFill/>
                    </a:ln>
                  </pic:spPr>
                </pic:pic>
              </a:graphicData>
            </a:graphic>
          </wp:inline>
        </w:drawing>
      </w:r>
    </w:p>
    <w:p w:rsidR="0065430B" w:rsidRDefault="0065430B" w:rsidP="0065430B">
      <w:pPr>
        <w:pStyle w:val="Note"/>
      </w:pPr>
      <w:r>
        <w:t>Note:</w:t>
      </w:r>
      <w:r>
        <w:tab/>
        <w:t>Detailed account of intensity effect contribution to total change in economy-wide emission by subsector.</w:t>
      </w:r>
    </w:p>
    <w:p w:rsidR="0065430B" w:rsidRDefault="0065430B" w:rsidP="0065430B">
      <w:pPr>
        <w:pStyle w:val="Source"/>
      </w:pPr>
      <w:r w:rsidRPr="005A132E">
        <w:t>Source:</w:t>
      </w:r>
      <w:r>
        <w:tab/>
        <w:t>Vivid Economics</w:t>
      </w:r>
      <w:r w:rsidRPr="007D7E27">
        <w:t xml:space="preserve"> </w:t>
      </w:r>
      <w:r>
        <w:t xml:space="preserve">based on </w:t>
      </w:r>
      <w:r w:rsidR="00C11149">
        <w:t>Australian Government National Greenhouse Gas Inventory (2013) and Australian Government Bureau of Resource and Energy Economics (2013)</w:t>
      </w:r>
    </w:p>
    <w:p w:rsidR="0065430B" w:rsidRDefault="0065430B" w:rsidP="0065430B">
      <w:r>
        <w:t>The trend continuation of lower emissions intensity depends mainly on the electricity sector. Within the electricity sector, continuing renewable incentives and further substitution of gas for coal despite projected gas prices increases would be consistent with a further decline of the emissions intensity. The emissions intensity within other sectors further contributes to changes in the overall emissions intensity.</w:t>
      </w:r>
    </w:p>
    <w:p w:rsidR="001067E8" w:rsidRDefault="001067E8" w:rsidP="001067E8">
      <w:pPr>
        <w:pStyle w:val="Heading2"/>
      </w:pPr>
      <w:bookmarkStart w:id="317" w:name="_Toc369890620"/>
      <w:r>
        <w:lastRenderedPageBreak/>
        <w:t>Summary of results</w:t>
      </w:r>
      <w:bookmarkEnd w:id="317"/>
    </w:p>
    <w:p w:rsidR="001067E8" w:rsidRPr="001067E8" w:rsidRDefault="001067E8" w:rsidP="001067E8"/>
    <w:p w:rsidR="0065430B" w:rsidRDefault="0065430B" w:rsidP="0065430B">
      <w:r>
        <w:t xml:space="preserve">The main results from the analysis are summarised in </w:t>
      </w:r>
      <w:r w:rsidR="005A66AE">
        <w:fldChar w:fldCharType="begin"/>
      </w:r>
      <w:r w:rsidR="00040612">
        <w:instrText xml:space="preserve"> REF _Ref366270664 \r \h </w:instrText>
      </w:r>
      <w:r w:rsidR="005A66AE">
        <w:fldChar w:fldCharType="separate"/>
      </w:r>
      <w:r w:rsidR="00197E14">
        <w:t>Box 4</w:t>
      </w:r>
      <w:r w:rsidR="005A66AE">
        <w:fldChar w:fldCharType="end"/>
      </w:r>
      <w:r>
        <w:t>.</w:t>
      </w:r>
    </w:p>
    <w:p w:rsidR="0065430B" w:rsidRDefault="0065430B" w:rsidP="0065430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CCFF"/>
        <w:tblLook w:val="04A0" w:firstRow="1" w:lastRow="0" w:firstColumn="1" w:lastColumn="0" w:noHBand="0" w:noVBand="1"/>
      </w:tblPr>
      <w:tblGrid>
        <w:gridCol w:w="9356"/>
      </w:tblGrid>
      <w:tr w:rsidR="0065430B" w:rsidRPr="003721F3" w:rsidTr="006054BB">
        <w:trPr>
          <w:trHeight w:val="567"/>
        </w:trPr>
        <w:tc>
          <w:tcPr>
            <w:tcW w:w="9356" w:type="dxa"/>
            <w:shd w:val="clear" w:color="auto" w:fill="90E1F9"/>
          </w:tcPr>
          <w:p w:rsidR="0065430B" w:rsidRPr="003721F3" w:rsidRDefault="008A2AA8" w:rsidP="006054BB">
            <w:pPr>
              <w:pStyle w:val="Boxtitle"/>
              <w:ind w:left="680" w:hanging="680"/>
            </w:pPr>
            <w:bookmarkStart w:id="318" w:name="_Ref366270664"/>
            <w:bookmarkStart w:id="319" w:name="_Toc369890602"/>
            <w:r>
              <w:t>Economy-wide</w:t>
            </w:r>
            <w:r w:rsidR="0065430B">
              <w:t xml:space="preserve"> emissions increased when LULUCF emissions are excluded</w:t>
            </w:r>
            <w:bookmarkEnd w:id="318"/>
            <w:bookmarkEnd w:id="319"/>
          </w:p>
          <w:p w:rsidR="0065430B" w:rsidRDefault="0065430B" w:rsidP="006054BB">
            <w:r>
              <w:t xml:space="preserve">Total emissions including LULUCF have decreased by 21.4 Mt (3.7 per cent) between </w:t>
            </w:r>
            <w:r w:rsidR="006C667D">
              <w:t>2008</w:t>
            </w:r>
            <w:r>
              <w:t xml:space="preserve"> and </w:t>
            </w:r>
            <w:r w:rsidR="006C667D">
              <w:t>2011</w:t>
            </w:r>
            <w:r>
              <w:t xml:space="preserve">. This is solely due to a decline in LULUCF emissions, which fell by 23.3 Mt (4 per cent of </w:t>
            </w:r>
            <w:r w:rsidR="006C667D">
              <w:t>2008</w:t>
            </w:r>
            <w:r>
              <w:t xml:space="preserve"> emissions), and was partially offset by higher emissions from sectors of the economy, which grew by 1.9 Mt (0.3 per cent of </w:t>
            </w:r>
            <w:r w:rsidR="006C667D">
              <w:t>2008</w:t>
            </w:r>
            <w:r>
              <w:t xml:space="preserve"> emissions).</w:t>
            </w:r>
          </w:p>
          <w:p w:rsidR="0065430B" w:rsidRDefault="0065430B" w:rsidP="006054BB"/>
          <w:p w:rsidR="0065430B" w:rsidRDefault="0065430B" w:rsidP="006054BB">
            <w:r>
              <w:t xml:space="preserve">Emissions grew </w:t>
            </w:r>
            <w:r w:rsidR="001C2102">
              <w:t>most strongly</w:t>
            </w:r>
            <w:r>
              <w:t xml:space="preserve"> in mining and transport, by 7.1 Mt (1.2 per cent of </w:t>
            </w:r>
            <w:r w:rsidR="006C667D">
              <w:t>2008</w:t>
            </w:r>
            <w:r>
              <w:t xml:space="preserve"> emissions) and 2.6 Mt (0.4 per cent of </w:t>
            </w:r>
            <w:r w:rsidR="006C667D">
              <w:t>2008</w:t>
            </w:r>
            <w:r>
              <w:t xml:space="preserve"> emissions) respectively, and residential and other sectors, which grew by 1.1 Mt (0.2 per cent of </w:t>
            </w:r>
            <w:r w:rsidR="006C667D">
              <w:t>2008</w:t>
            </w:r>
            <w:r>
              <w:t xml:space="preserve"> emissions) and 0.9 Mt (0.2 per cent of </w:t>
            </w:r>
            <w:r w:rsidR="006C667D">
              <w:t>2008</w:t>
            </w:r>
            <w:r>
              <w:t xml:space="preserve"> emissions) respectively. This was almost entirely offset by a decline of emissions from electricity, which fell by 5.2 Mt (0.9 per cent of </w:t>
            </w:r>
            <w:r w:rsidR="006C667D">
              <w:t>2008</w:t>
            </w:r>
            <w:r>
              <w:t xml:space="preserve"> emissions), agriculture, which fell by 2.5 Mt (0.4 per cent of </w:t>
            </w:r>
            <w:r w:rsidR="006C667D">
              <w:t>2008</w:t>
            </w:r>
            <w:r>
              <w:t xml:space="preserve"> emissions), and manufacturing, which fell by 2.1 Mt (0.4 per cent of </w:t>
            </w:r>
            <w:r w:rsidR="006C667D">
              <w:t>2008</w:t>
            </w:r>
            <w:r>
              <w:t xml:space="preserve"> emissions).</w:t>
            </w:r>
          </w:p>
          <w:p w:rsidR="0065430B" w:rsidRPr="003721F3" w:rsidRDefault="0065430B" w:rsidP="006054BB">
            <w:pPr>
              <w:pStyle w:val="Dashedbullets"/>
              <w:numPr>
                <w:ilvl w:val="0"/>
                <w:numId w:val="0"/>
              </w:numPr>
            </w:pPr>
          </w:p>
        </w:tc>
      </w:tr>
    </w:tbl>
    <w:p w:rsidR="002815CF" w:rsidRPr="00AC341A" w:rsidRDefault="00FA5C21" w:rsidP="002815CF">
      <w:pPr>
        <w:pStyle w:val="Heading1"/>
      </w:pPr>
      <w:bookmarkStart w:id="320" w:name="_Ref366251342"/>
      <w:bookmarkStart w:id="321" w:name="Section5"/>
      <w:bookmarkStart w:id="322" w:name="_Toc369890505"/>
      <w:bookmarkEnd w:id="234"/>
      <w:r>
        <w:lastRenderedPageBreak/>
        <w:t>Conclusion</w:t>
      </w:r>
      <w:bookmarkEnd w:id="320"/>
      <w:bookmarkEnd w:id="322"/>
    </w:p>
    <w:p w:rsidR="002815CF" w:rsidRPr="00EF51BF" w:rsidRDefault="00CB71BB" w:rsidP="002815CF">
      <w:pPr>
        <w:pStyle w:val="Sectionsubheading"/>
      </w:pPr>
      <w:r>
        <w:t xml:space="preserve">Trends in electricity generation </w:t>
      </w:r>
      <w:r w:rsidR="00D17CAE">
        <w:t>emissions intensity and economy-</w:t>
      </w:r>
      <w:r>
        <w:t xml:space="preserve">wide emissions </w:t>
      </w:r>
      <w:r w:rsidR="00026598">
        <w:t xml:space="preserve">are influenced by </w:t>
      </w:r>
      <w:r w:rsidR="00CF0AE0">
        <w:t xml:space="preserve">economic activity and </w:t>
      </w:r>
      <w:r w:rsidR="00026598">
        <w:t>policy</w:t>
      </w:r>
    </w:p>
    <w:p w:rsidR="002815CF" w:rsidRDefault="0002418D" w:rsidP="002815CF">
      <w:pPr>
        <w:pStyle w:val="Sectioncontents"/>
      </w:pPr>
      <w:r>
        <w:t>Section c</w:t>
      </w:r>
      <w:r w:rsidR="002815CF"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rFonts w:cs="Times New Roman"/>
        </w:rPr>
        <w:fldChar w:fldCharType="begin"/>
      </w:r>
      <w:r w:rsidR="002815CF" w:rsidRPr="00EF51BF">
        <w:instrText xml:space="preserve"> TOC \u \t "Heading </w:instrText>
      </w:r>
      <w:r w:rsidR="002815CF">
        <w:instrText>2</w:instrText>
      </w:r>
      <w:r w:rsidR="002815CF" w:rsidRPr="00EF51BF">
        <w:instrText>,</w:instrText>
      </w:r>
      <w:r w:rsidR="002815CF">
        <w:instrText>1</w:instrText>
      </w:r>
      <w:r w:rsidR="002815CF" w:rsidRPr="00EF51BF">
        <w:instrText xml:space="preserve">" </w:instrText>
      </w:r>
      <w:r w:rsidR="002815CF">
        <w:instrText>\b "Section5"</w:instrText>
      </w:r>
      <w:r w:rsidR="002815CF" w:rsidRPr="00EF51BF">
        <w:instrText xml:space="preserve"> </w:instrText>
      </w:r>
      <w:r w:rsidRPr="00EF51BF">
        <w:rPr>
          <w:rFonts w:cs="Times New Roman"/>
        </w:rPr>
        <w:fldChar w:fldCharType="separate"/>
      </w:r>
      <w:r w:rsidR="00BB4088">
        <w:t>5.1</w:t>
      </w:r>
      <w:r w:rsidR="00BB4088">
        <w:rPr>
          <w:rFonts w:asciiTheme="minorHAnsi" w:eastAsiaTheme="minorEastAsia" w:hAnsiTheme="minorHAnsi" w:cstheme="minorBidi"/>
          <w:color w:val="auto"/>
          <w:lang w:eastAsia="en-GB"/>
        </w:rPr>
        <w:tab/>
      </w:r>
      <w:r w:rsidR="00BB4088">
        <w:t>Context for the results</w:t>
      </w:r>
      <w:r w:rsidR="00BB4088">
        <w:tab/>
      </w:r>
      <w:r w:rsidR="00BB4088">
        <w:fldChar w:fldCharType="begin"/>
      </w:r>
      <w:r w:rsidR="00BB4088">
        <w:instrText xml:space="preserve"> PAGEREF _Toc369890621 \h </w:instrText>
      </w:r>
      <w:r w:rsidR="00BB4088">
        <w:fldChar w:fldCharType="separate"/>
      </w:r>
      <w:r w:rsidR="00197E14">
        <w:t>114</w:t>
      </w:r>
      <w:r w:rsidR="00BB4088">
        <w:fldChar w:fldCharType="end"/>
      </w:r>
    </w:p>
    <w:p w:rsidR="00BB4088" w:rsidRDefault="00BB4088">
      <w:pPr>
        <w:pStyle w:val="TOC1"/>
        <w:rPr>
          <w:rFonts w:asciiTheme="minorHAnsi" w:eastAsiaTheme="minorEastAsia" w:hAnsiTheme="minorHAnsi" w:cstheme="minorBidi"/>
          <w:color w:val="auto"/>
          <w:lang w:eastAsia="en-GB"/>
        </w:rPr>
      </w:pPr>
      <w:r>
        <w:t>5.2</w:t>
      </w:r>
      <w:r>
        <w:rPr>
          <w:rFonts w:asciiTheme="minorHAnsi" w:eastAsiaTheme="minorEastAsia" w:hAnsiTheme="minorHAnsi" w:cstheme="minorBidi"/>
          <w:color w:val="auto"/>
          <w:lang w:eastAsia="en-GB"/>
        </w:rPr>
        <w:tab/>
      </w:r>
      <w:r>
        <w:t>Headline results</w:t>
      </w:r>
      <w:r>
        <w:tab/>
      </w:r>
      <w:r>
        <w:fldChar w:fldCharType="begin"/>
      </w:r>
      <w:r>
        <w:instrText xml:space="preserve"> PAGEREF _Toc369890622 \h </w:instrText>
      </w:r>
      <w:r>
        <w:fldChar w:fldCharType="separate"/>
      </w:r>
      <w:r w:rsidR="00197E14">
        <w:t>115</w:t>
      </w:r>
      <w:r>
        <w:fldChar w:fldCharType="end"/>
      </w:r>
    </w:p>
    <w:p w:rsidR="00BB4088" w:rsidRDefault="00BB4088">
      <w:pPr>
        <w:pStyle w:val="TOC1"/>
        <w:rPr>
          <w:rFonts w:asciiTheme="minorHAnsi" w:eastAsiaTheme="minorEastAsia" w:hAnsiTheme="minorHAnsi" w:cstheme="minorBidi"/>
          <w:color w:val="auto"/>
          <w:lang w:eastAsia="en-GB"/>
        </w:rPr>
      </w:pPr>
      <w:r>
        <w:t>5.3</w:t>
      </w:r>
      <w:r>
        <w:rPr>
          <w:rFonts w:asciiTheme="minorHAnsi" w:eastAsiaTheme="minorEastAsia" w:hAnsiTheme="minorHAnsi" w:cstheme="minorBidi"/>
          <w:color w:val="auto"/>
          <w:lang w:eastAsia="en-GB"/>
        </w:rPr>
        <w:tab/>
      </w:r>
      <w:r>
        <w:t>Discussion of main findings</w:t>
      </w:r>
      <w:r>
        <w:tab/>
      </w:r>
      <w:r>
        <w:fldChar w:fldCharType="begin"/>
      </w:r>
      <w:r>
        <w:instrText xml:space="preserve"> PAGEREF _Toc369890623 \h </w:instrText>
      </w:r>
      <w:r>
        <w:fldChar w:fldCharType="separate"/>
      </w:r>
      <w:r w:rsidR="00197E14">
        <w:t>116</w:t>
      </w:r>
      <w:r>
        <w:fldChar w:fldCharType="end"/>
      </w:r>
    </w:p>
    <w:p w:rsidR="00BB4088" w:rsidRDefault="00BB4088">
      <w:pPr>
        <w:pStyle w:val="TOC1"/>
        <w:rPr>
          <w:rFonts w:asciiTheme="minorHAnsi" w:eastAsiaTheme="minorEastAsia" w:hAnsiTheme="minorHAnsi" w:cstheme="minorBidi"/>
          <w:color w:val="auto"/>
          <w:lang w:eastAsia="en-GB"/>
        </w:rPr>
      </w:pPr>
      <w:r>
        <w:t>5.4</w:t>
      </w:r>
      <w:r>
        <w:rPr>
          <w:rFonts w:asciiTheme="minorHAnsi" w:eastAsiaTheme="minorEastAsia" w:hAnsiTheme="minorHAnsi" w:cstheme="minorBidi"/>
          <w:color w:val="auto"/>
          <w:lang w:eastAsia="en-GB"/>
        </w:rPr>
        <w:tab/>
      </w:r>
      <w:r>
        <w:t>Concluding remarks</w:t>
      </w:r>
      <w:r>
        <w:tab/>
      </w:r>
      <w:r>
        <w:fldChar w:fldCharType="begin"/>
      </w:r>
      <w:r>
        <w:instrText xml:space="preserve"> PAGEREF _Toc369890624 \h </w:instrText>
      </w:r>
      <w:r>
        <w:fldChar w:fldCharType="separate"/>
      </w:r>
      <w:r w:rsidR="00197E14">
        <w:t>117</w:t>
      </w:r>
      <w:r>
        <w:fldChar w:fldCharType="end"/>
      </w:r>
    </w:p>
    <w:p w:rsidR="002815CF" w:rsidRPr="00EF51BF" w:rsidRDefault="005A66AE" w:rsidP="002815CF">
      <w:pPr>
        <w:pStyle w:val="Sectionintroheading"/>
      </w:pPr>
      <w:r w:rsidRPr="00EF51BF">
        <w:rPr>
          <w:rFonts w:cs="Arial"/>
        </w:rPr>
        <w:fldChar w:fldCharType="end"/>
      </w:r>
      <w:r w:rsidR="008A2AA8">
        <w:t xml:space="preserve">This work </w:t>
      </w:r>
      <w:r w:rsidR="00026598">
        <w:t xml:space="preserve">is an analysis of </w:t>
      </w:r>
      <w:r w:rsidR="008A2AA8">
        <w:t>long term electricity consumption, electricity generation emissions intensity and economy-wide emissions</w:t>
      </w:r>
      <w:r w:rsidR="00026598">
        <w:t xml:space="preserve"> trends</w:t>
      </w:r>
    </w:p>
    <w:p w:rsidR="00CA1E6C" w:rsidRDefault="00CA1E6C" w:rsidP="00CA1E6C">
      <w:pPr>
        <w:pStyle w:val="Indentedtext425cm"/>
      </w:pPr>
    </w:p>
    <w:p w:rsidR="00CA1E6C" w:rsidRDefault="00816595" w:rsidP="00CA1E6C">
      <w:pPr>
        <w:pStyle w:val="Indentedtext425cm"/>
      </w:pPr>
      <w:r>
        <w:t>Electricity consumption</w:t>
      </w:r>
      <w:r w:rsidR="00C13D1C">
        <w:t xml:space="preserve"> </w:t>
      </w:r>
      <w:r w:rsidR="00026598">
        <w:t xml:space="preserve">was static </w:t>
      </w:r>
      <w:r w:rsidR="00C13D1C">
        <w:t xml:space="preserve">between </w:t>
      </w:r>
      <w:r w:rsidR="006C667D">
        <w:t>2008</w:t>
      </w:r>
      <w:r w:rsidR="00C13D1C">
        <w:t xml:space="preserve"> and </w:t>
      </w:r>
      <w:r w:rsidR="006C667D">
        <w:t>2012</w:t>
      </w:r>
      <w:r w:rsidR="00C13D1C">
        <w:t xml:space="preserve"> </w:t>
      </w:r>
      <w:r w:rsidR="00CF0AE0">
        <w:t xml:space="preserve">in response </w:t>
      </w:r>
      <w:r w:rsidR="00C13D1C">
        <w:t xml:space="preserve">to a combination of factors </w:t>
      </w:r>
      <w:r w:rsidR="00CF0AE0">
        <w:t xml:space="preserve">including </w:t>
      </w:r>
      <w:r w:rsidR="00C13D1C">
        <w:t xml:space="preserve">increased electricity prices, lower economic growth and, in residential consumption, </w:t>
      </w:r>
      <w:r w:rsidR="00CF0AE0">
        <w:t xml:space="preserve">uptake of </w:t>
      </w:r>
      <w:r w:rsidR="00C13D1C">
        <w:t xml:space="preserve">solar PV. </w:t>
      </w:r>
      <w:r w:rsidR="00026598">
        <w:t xml:space="preserve">In the future, the combination of </w:t>
      </w:r>
      <w:r w:rsidR="00C13D1C">
        <w:t xml:space="preserve">a slowdown in electricity price </w:t>
      </w:r>
      <w:r w:rsidR="00026598">
        <w:t xml:space="preserve">rises </w:t>
      </w:r>
      <w:r w:rsidR="00C13D1C">
        <w:t>and higher economic growth</w:t>
      </w:r>
      <w:r w:rsidR="00026598">
        <w:t xml:space="preserve"> might cause </w:t>
      </w:r>
      <w:r w:rsidR="00C13D1C">
        <w:t>electricity consumption to grow again.</w:t>
      </w:r>
    </w:p>
    <w:p w:rsidR="00816595" w:rsidRDefault="00816595" w:rsidP="00CA1E6C">
      <w:pPr>
        <w:pStyle w:val="Indentedtext425cm"/>
      </w:pPr>
    </w:p>
    <w:p w:rsidR="00816595" w:rsidRDefault="00026598" w:rsidP="00CA1E6C">
      <w:pPr>
        <w:pStyle w:val="Indentedtext425cm"/>
      </w:pPr>
      <w:r>
        <w:t>Declines in e</w:t>
      </w:r>
      <w:r w:rsidR="00816595">
        <w:t xml:space="preserve">lectricity generation emissions intensity </w:t>
      </w:r>
      <w:r>
        <w:t xml:space="preserve">seen between </w:t>
      </w:r>
      <w:r w:rsidR="006C667D">
        <w:t>2008</w:t>
      </w:r>
      <w:r w:rsidR="00C13D1C">
        <w:t xml:space="preserve"> and </w:t>
      </w:r>
      <w:r w:rsidR="006C667D">
        <w:t>2011</w:t>
      </w:r>
      <w:r w:rsidR="00C13D1C">
        <w:t xml:space="preserve"> </w:t>
      </w:r>
      <w:r w:rsidR="00816595">
        <w:t>are due to an increase</w:t>
      </w:r>
      <w:r w:rsidR="00D17CAE">
        <w:t>d</w:t>
      </w:r>
      <w:r w:rsidR="00816595">
        <w:t xml:space="preserve"> share of gas and renewables in the generation mix. </w:t>
      </w:r>
      <w:r>
        <w:t>F</w:t>
      </w:r>
      <w:r w:rsidR="00C13D1C">
        <w:t>uture increase</w:t>
      </w:r>
      <w:r>
        <w:t>s</w:t>
      </w:r>
      <w:r w:rsidR="00C13D1C">
        <w:t xml:space="preserve"> in renewable</w:t>
      </w:r>
      <w:r w:rsidR="00CF0AE0">
        <w:t>s</w:t>
      </w:r>
      <w:r w:rsidR="00C13D1C">
        <w:t xml:space="preserve"> generation</w:t>
      </w:r>
      <w:r w:rsidR="00816595">
        <w:t xml:space="preserve"> </w:t>
      </w:r>
      <w:r>
        <w:t>depend</w:t>
      </w:r>
      <w:r w:rsidR="00816595">
        <w:t xml:space="preserve"> on the evolution of the M-RET and other policies </w:t>
      </w:r>
      <w:r w:rsidR="00D17CAE">
        <w:t xml:space="preserve">such </w:t>
      </w:r>
      <w:r w:rsidR="00816595">
        <w:t xml:space="preserve">as the carbon price. </w:t>
      </w:r>
      <w:r w:rsidR="00C13D1C">
        <w:t xml:space="preserve">Increased gas generation depends on a </w:t>
      </w:r>
      <w:r>
        <w:t xml:space="preserve">basket </w:t>
      </w:r>
      <w:r w:rsidR="00C13D1C">
        <w:t xml:space="preserve">of factors, among them availability of gas </w:t>
      </w:r>
      <w:r w:rsidR="00CF0AE0">
        <w:t xml:space="preserve">from </w:t>
      </w:r>
      <w:r w:rsidR="00C13D1C">
        <w:t>coal seam gas exploitation, the strength of the carbon price and state-wide efforts such as emissions reduction schemes</w:t>
      </w:r>
      <w:r w:rsidR="00BC640D">
        <w:t>.</w:t>
      </w:r>
    </w:p>
    <w:p w:rsidR="002815CF" w:rsidRDefault="002815CF" w:rsidP="002815CF">
      <w:pPr>
        <w:pStyle w:val="Indentedtext425cm"/>
      </w:pPr>
    </w:p>
    <w:p w:rsidR="002815CF" w:rsidRPr="00EF51BF" w:rsidRDefault="00026598" w:rsidP="00CF0AE0">
      <w:pPr>
        <w:pStyle w:val="Indentedtext425cm"/>
      </w:pPr>
      <w:r>
        <w:t xml:space="preserve">Both falling </w:t>
      </w:r>
      <w:r w:rsidR="00BC640D">
        <w:t xml:space="preserve">LULUCF emissions </w:t>
      </w:r>
      <w:r>
        <w:t xml:space="preserve">and decreased emissions from electricity generation have been principal contributors to </w:t>
      </w:r>
      <w:r w:rsidR="00BC640D">
        <w:t>overall economy-wide emissions</w:t>
      </w:r>
      <w:r>
        <w:t xml:space="preserve"> reductions in recent years</w:t>
      </w:r>
      <w:r w:rsidR="00BC640D">
        <w:t>.</w:t>
      </w:r>
    </w:p>
    <w:p w:rsidR="002815CF" w:rsidRDefault="002815CF" w:rsidP="002815CF">
      <w:pPr>
        <w:spacing w:after="200" w:line="276" w:lineRule="auto"/>
      </w:pPr>
      <w:r w:rsidRPr="00EF51BF">
        <w:br w:type="page"/>
      </w:r>
    </w:p>
    <w:p w:rsidR="00B55B91" w:rsidRDefault="00026598" w:rsidP="006E1581">
      <w:pPr>
        <w:pStyle w:val="Heading2"/>
      </w:pPr>
      <w:bookmarkStart w:id="323" w:name="_Toc369890621"/>
      <w:r>
        <w:lastRenderedPageBreak/>
        <w:t>C</w:t>
      </w:r>
      <w:r w:rsidR="00B55B91">
        <w:t>ontext</w:t>
      </w:r>
      <w:r>
        <w:t xml:space="preserve"> for the results</w:t>
      </w:r>
      <w:bookmarkEnd w:id="323"/>
    </w:p>
    <w:p w:rsidR="00B55B91" w:rsidRDefault="00B55B91" w:rsidP="00977282">
      <w:pPr>
        <w:spacing w:after="200" w:line="276" w:lineRule="auto"/>
      </w:pPr>
      <w:r>
        <w:t xml:space="preserve">The results </w:t>
      </w:r>
      <w:r w:rsidR="00026598">
        <w:t xml:space="preserve">of this work come from </w:t>
      </w:r>
      <w:r>
        <w:t xml:space="preserve">long term statistical analysis. Readers wanting to find </w:t>
      </w:r>
      <w:r w:rsidR="00CF0AE0">
        <w:t xml:space="preserve">discussion of </w:t>
      </w:r>
      <w:r>
        <w:t xml:space="preserve">very recent developments, in particular the influence of the carbon price mechanism, </w:t>
      </w:r>
      <w:r w:rsidR="00026598">
        <w:t xml:space="preserve">are asked to consult </w:t>
      </w:r>
      <w:r>
        <w:t xml:space="preserve">other work. </w:t>
      </w:r>
      <w:r w:rsidR="00026598">
        <w:t xml:space="preserve">Compared with previous work, this work </w:t>
      </w:r>
      <w:r>
        <w:t xml:space="preserve">presents </w:t>
      </w:r>
      <w:r w:rsidR="00026598">
        <w:t xml:space="preserve">a </w:t>
      </w:r>
      <w:r>
        <w:t>more granular statistical treatment of developments in electricity consumption in the NEM, electricity generation emissions intensity and economy-wide emissions.</w:t>
      </w:r>
    </w:p>
    <w:p w:rsidR="00B55B91" w:rsidRDefault="00B55B91" w:rsidP="00977282">
      <w:pPr>
        <w:spacing w:after="200" w:line="276" w:lineRule="auto"/>
      </w:pPr>
      <w:r>
        <w:t xml:space="preserve">The statistical analysis </w:t>
      </w:r>
      <w:r w:rsidR="00026598">
        <w:t>measures trends and identifies</w:t>
      </w:r>
      <w:r>
        <w:t xml:space="preserve"> the relative importance of </w:t>
      </w:r>
      <w:r w:rsidR="00026598">
        <w:t xml:space="preserve">the </w:t>
      </w:r>
      <w:r>
        <w:t>drivers</w:t>
      </w:r>
      <w:r w:rsidR="00026598">
        <w:t xml:space="preserve"> of trends</w:t>
      </w:r>
      <w:r>
        <w:t xml:space="preserve">. The work </w:t>
      </w:r>
      <w:r w:rsidR="00026598">
        <w:t xml:space="preserve">contributes to </w:t>
      </w:r>
      <w:r>
        <w:t>the discussion of</w:t>
      </w:r>
      <w:r w:rsidR="000B2FEB">
        <w:t xml:space="preserve"> changes in electricity consumption, electricity generation emissions intensity and economy-wide emissions. </w:t>
      </w:r>
      <w:r w:rsidR="00026598">
        <w:t>It identifies</w:t>
      </w:r>
      <w:r w:rsidR="000B2FEB">
        <w:t xml:space="preserve"> how electricity consu</w:t>
      </w:r>
      <w:r>
        <w:t xml:space="preserve">mption within sectors, especially in </w:t>
      </w:r>
      <w:r w:rsidR="00026598">
        <w:t xml:space="preserve">the </w:t>
      </w:r>
      <w:r>
        <w:t>residential</w:t>
      </w:r>
      <w:r w:rsidR="00026598">
        <w:t xml:space="preserve"> sector</w:t>
      </w:r>
      <w:r>
        <w:t>,</w:t>
      </w:r>
      <w:r w:rsidR="000B2FEB">
        <w:t xml:space="preserve"> </w:t>
      </w:r>
      <w:r w:rsidR="00D17CAE">
        <w:t>has</w:t>
      </w:r>
      <w:r w:rsidR="00026598">
        <w:t xml:space="preserve"> </w:t>
      </w:r>
      <w:r w:rsidR="000B2FEB">
        <w:t xml:space="preserve">changed over time and what the underlying drivers </w:t>
      </w:r>
      <w:r w:rsidR="00026598">
        <w:t xml:space="preserve">have been. In contrast, </w:t>
      </w:r>
      <w:r>
        <w:t>other work such as the AEMO National Electricity Forecast Report</w:t>
      </w:r>
      <w:r w:rsidR="000B2FEB">
        <w:t xml:space="preserve"> </w:t>
      </w:r>
      <w:r w:rsidR="00922D0C">
        <w:t>does not report results for the residential sector alone</w:t>
      </w:r>
      <w:r>
        <w:t>.</w:t>
      </w:r>
      <w:r w:rsidR="000B2FEB">
        <w:t xml:space="preserve"> In electricity generation emissions intensity, the relative contribution</w:t>
      </w:r>
      <w:r w:rsidR="00922D0C">
        <w:t>s</w:t>
      </w:r>
      <w:r w:rsidR="000B2FEB">
        <w:t xml:space="preserve"> of fossil fuel mix switching</w:t>
      </w:r>
      <w:r w:rsidR="00922D0C">
        <w:t xml:space="preserve"> and</w:t>
      </w:r>
      <w:r w:rsidR="000B2FEB">
        <w:t xml:space="preserve"> increased renewables deployment </w:t>
      </w:r>
      <w:r w:rsidR="00D17CAE">
        <w:t>are</w:t>
      </w:r>
      <w:r w:rsidR="000B2FEB">
        <w:t xml:space="preserve"> highlighted as well as how other factors, such as a lower carbon intensity within fuel types, contributed over time. The work details how economy-wide emissions with and without LULUCF emissions have </w:t>
      </w:r>
      <w:r w:rsidR="00922D0C">
        <w:t xml:space="preserve">tracked </w:t>
      </w:r>
      <w:r w:rsidR="000B2FEB">
        <w:t xml:space="preserve">and </w:t>
      </w:r>
      <w:r w:rsidR="00922D0C">
        <w:t xml:space="preserve">places </w:t>
      </w:r>
      <w:r w:rsidR="000B2FEB">
        <w:t xml:space="preserve">the relative emissions reductions achieved from LULUCF </w:t>
      </w:r>
      <w:r w:rsidR="00922D0C">
        <w:t xml:space="preserve">alongside </w:t>
      </w:r>
      <w:r w:rsidR="000B2FEB">
        <w:t>changes in other sectors.</w:t>
      </w:r>
    </w:p>
    <w:p w:rsidR="006E1581" w:rsidRPr="006E1581" w:rsidRDefault="006E1581" w:rsidP="006E1581">
      <w:pPr>
        <w:pStyle w:val="Heading2"/>
      </w:pPr>
      <w:bookmarkStart w:id="324" w:name="_Toc369890622"/>
      <w:r w:rsidRPr="006E1581">
        <w:lastRenderedPageBreak/>
        <w:t>Headline results</w:t>
      </w:r>
      <w:bookmarkEnd w:id="324"/>
    </w:p>
    <w:p w:rsidR="00602F13" w:rsidRDefault="00602F13" w:rsidP="00962646">
      <w:r>
        <w:t xml:space="preserve">While electricity consumption in the NEM has fallen due to lower economic growth, restructuring towards less electro-intensive sectors and improved electricity intensity, the trends differ between sectors. </w:t>
      </w:r>
      <w:r w:rsidRPr="006E1581">
        <w:t>Residential demand remained flat, with an increase in population, but no increase in per capita consumption</w:t>
      </w:r>
      <w:r w:rsidR="00922D0C">
        <w:t>. T</w:t>
      </w:r>
      <w:r w:rsidRPr="006E1581">
        <w:t xml:space="preserve">he effect of </w:t>
      </w:r>
      <w:r w:rsidR="00922D0C">
        <w:t xml:space="preserve">rising </w:t>
      </w:r>
      <w:r w:rsidRPr="006E1581">
        <w:t>final consumption expenditure was offset by downward pressure on electricity consumption from higher electricity prices.</w:t>
      </w:r>
      <w:r>
        <w:t xml:space="preserve"> Off-grid solar PV consumption </w:t>
      </w:r>
      <w:r w:rsidR="00922D0C">
        <w:t>made a contribution</w:t>
      </w:r>
      <w:r>
        <w:t xml:space="preserve"> to </w:t>
      </w:r>
      <w:r w:rsidR="00922D0C">
        <w:t xml:space="preserve">lower </w:t>
      </w:r>
      <w:r>
        <w:t>consumption of on-grid electricity.</w:t>
      </w:r>
      <w:r w:rsidRPr="006E1581">
        <w:t xml:space="preserve"> Manufacturing consumption fell steeply, by 7.6 per cent between </w:t>
      </w:r>
      <w:r w:rsidR="006C667D">
        <w:t>2008</w:t>
      </w:r>
      <w:r w:rsidRPr="006E1581">
        <w:t xml:space="preserve"> and </w:t>
      </w:r>
      <w:r w:rsidR="006C667D">
        <w:t>2012</w:t>
      </w:r>
      <w:r w:rsidRPr="006E1581">
        <w:t>,</w:t>
      </w:r>
      <w:r>
        <w:t xml:space="preserve"> fuel</w:t>
      </w:r>
      <w:r w:rsidR="00922D0C">
        <w:t>led</w:t>
      </w:r>
      <w:r>
        <w:t xml:space="preserve"> by a decline of economic activity in manufacturing,</w:t>
      </w:r>
      <w:r w:rsidRPr="006E1581">
        <w:t xml:space="preserve"> but commercial and services consumption moved in the opposite direction, rising by 4.2 per cent, showing the effect of greater economic activity in commercial and services sector despite higher electricity prices.</w:t>
      </w:r>
    </w:p>
    <w:p w:rsidR="00602F13" w:rsidRPr="006E1581" w:rsidRDefault="00602F13" w:rsidP="00962646"/>
    <w:p w:rsidR="006E1581" w:rsidRDefault="006E1581" w:rsidP="006E1581">
      <w:pPr>
        <w:spacing w:after="200" w:line="276" w:lineRule="auto"/>
      </w:pPr>
      <w:r w:rsidRPr="006E1581">
        <w:t xml:space="preserve">Of the 6.3 per cent improvement in electricity </w:t>
      </w:r>
      <w:r w:rsidR="00602F13">
        <w:t>generation</w:t>
      </w:r>
      <w:r w:rsidR="00602F13" w:rsidRPr="006E1581">
        <w:t xml:space="preserve"> </w:t>
      </w:r>
      <w:r w:rsidRPr="006E1581">
        <w:t xml:space="preserve">emissions intensity after </w:t>
      </w:r>
      <w:r w:rsidR="006C667D">
        <w:t>2008</w:t>
      </w:r>
      <w:r w:rsidRPr="006E1581">
        <w:t>, four fifths was due to a rising share of gas and renewables in generation output, under the influence of policy and market factors such as the availability of gas</w:t>
      </w:r>
      <w:r w:rsidR="00B7346E">
        <w:t xml:space="preserve"> </w:t>
      </w:r>
      <w:r w:rsidR="00922D0C">
        <w:t xml:space="preserve">and </w:t>
      </w:r>
      <w:r w:rsidR="00CF0AE0">
        <w:t xml:space="preserve">of </w:t>
      </w:r>
      <w:r w:rsidR="00B7346E">
        <w:t>rainfall for hydroelectricity.</w:t>
      </w:r>
    </w:p>
    <w:p w:rsidR="00602F13" w:rsidRPr="006E1581" w:rsidRDefault="00602F13" w:rsidP="006E1581">
      <w:pPr>
        <w:spacing w:after="200" w:line="276" w:lineRule="auto"/>
      </w:pPr>
      <w:r w:rsidRPr="006E1581">
        <w:t xml:space="preserve">The stability of economy-wide emissions excluding LULUCF after </w:t>
      </w:r>
      <w:r w:rsidR="006C667D">
        <w:t>2008</w:t>
      </w:r>
      <w:r w:rsidRPr="006E1581">
        <w:t xml:space="preserve"> is due to the electricity sector, </w:t>
      </w:r>
      <w:r w:rsidR="00922D0C">
        <w:t xml:space="preserve">whose emissions tracked </w:t>
      </w:r>
      <w:r w:rsidRPr="006E1581">
        <w:t xml:space="preserve">1 per cent </w:t>
      </w:r>
      <w:r>
        <w:t>per year</w:t>
      </w:r>
      <w:r w:rsidRPr="006E1581">
        <w:t xml:space="preserve"> below trend economic growth, and reduced emissions intensity in sectors of the econom</w:t>
      </w:r>
      <w:r w:rsidR="00D17CAE">
        <w:t>y</w:t>
      </w:r>
      <w:r w:rsidRPr="006E1581">
        <w:t xml:space="preserve"> except mining.</w:t>
      </w:r>
    </w:p>
    <w:p w:rsidR="006E1581" w:rsidRPr="006E1581" w:rsidRDefault="006E1581" w:rsidP="006E1581">
      <w:pPr>
        <w:pStyle w:val="Heading2"/>
      </w:pPr>
      <w:bookmarkStart w:id="325" w:name="_Toc369890623"/>
      <w:r w:rsidRPr="006E1581">
        <w:lastRenderedPageBreak/>
        <w:t>Discussion of main findings</w:t>
      </w:r>
      <w:bookmarkEnd w:id="325"/>
    </w:p>
    <w:p w:rsidR="006E1581" w:rsidRPr="006E1581" w:rsidRDefault="006E1581" w:rsidP="006E1581">
      <w:pPr>
        <w:spacing w:after="200" w:line="276" w:lineRule="auto"/>
      </w:pPr>
      <w:r w:rsidRPr="006E1581">
        <w:t xml:space="preserve">As is well known, electricity generation is the most important driver of trends in emissions excluding LULUCF. Over recent decades, electricity generation emissions have risen as the economy has expanded but recently that trend has slowed almost to a stop. The factors which have caused the standstill are a mix of market and policy effects. The market effects have been a reduced rate of growth in economic activity during the global financial crisis and greater availability of natural gas. In response, electricity consumption growth has slowed and gas-fired plant have dramatically increased their market </w:t>
      </w:r>
      <w:r w:rsidR="00CF0AE0">
        <w:t>share</w:t>
      </w:r>
      <w:r w:rsidRPr="006E1581">
        <w:t>. This has brought down the underlying emissions trend to a level at which strengthened policy measures on renewable, gas and carbon prices have been sufficient to contain emissions growth to close to zero.</w:t>
      </w:r>
    </w:p>
    <w:p w:rsidR="006E1581" w:rsidRPr="006E1581" w:rsidRDefault="006E1581" w:rsidP="006E1581">
      <w:pPr>
        <w:spacing w:after="200" w:line="276" w:lineRule="auto"/>
      </w:pPr>
      <w:r w:rsidRPr="006E1581">
        <w:t xml:space="preserve">The simple arithmetic of increasing economic activity, market effects within the power market and policy will continue to govern emissions trends. The pressures on these factors seem, on balance, to be for an upward trend, </w:t>
      </w:r>
      <w:r w:rsidR="00AA747C">
        <w:t>if economic growth continues,</w:t>
      </w:r>
      <w:r w:rsidR="00CF0AE0">
        <w:t xml:space="preserve"> if gas prices rise</w:t>
      </w:r>
      <w:r w:rsidRPr="006E1581">
        <w:t xml:space="preserve"> faster than coal prices</w:t>
      </w:r>
      <w:r w:rsidR="00922D0C">
        <w:t xml:space="preserve"> as forecast</w:t>
      </w:r>
      <w:r w:rsidRPr="006E1581">
        <w:t xml:space="preserve">, and </w:t>
      </w:r>
      <w:r w:rsidR="00922D0C">
        <w:t xml:space="preserve">if </w:t>
      </w:r>
      <w:r w:rsidRPr="006E1581">
        <w:t>promises of significant changes to climate policy under a Coalition Government</w:t>
      </w:r>
      <w:r w:rsidR="00922D0C">
        <w:t xml:space="preserve"> are </w:t>
      </w:r>
      <w:r w:rsidR="00D17CAE">
        <w:t>carried through</w:t>
      </w:r>
      <w:r w:rsidRPr="006E1581">
        <w:t>.</w:t>
      </w:r>
    </w:p>
    <w:p w:rsidR="006E1581" w:rsidRPr="006E1581" w:rsidRDefault="006E1581" w:rsidP="006E1581">
      <w:pPr>
        <w:spacing w:after="200" w:line="276" w:lineRule="auto"/>
      </w:pPr>
      <w:r w:rsidRPr="006E1581">
        <w:t xml:space="preserve">The consumption of electricity has expanded in response to increased economic activity, but economic activity has grown much faster than electricity consumption. This is because Australia has steadily increased the productivity of its electricity use. A major contribution to greater electricity productivity has come from a structural shift away from more energy intensive sectors such as mining and manufacturing towards less intensive sectors such as commerce and services. This is a persistent pattern observed in many developed economies. Energy efficiency will also have played a role, </w:t>
      </w:r>
      <w:r w:rsidR="00922D0C">
        <w:t xml:space="preserve">but </w:t>
      </w:r>
      <w:r w:rsidRPr="006E1581">
        <w:t xml:space="preserve">this work does not </w:t>
      </w:r>
      <w:r w:rsidR="00922D0C">
        <w:t>attempt to measure its effect</w:t>
      </w:r>
      <w:r w:rsidRPr="006E1581">
        <w:t>.</w:t>
      </w:r>
    </w:p>
    <w:p w:rsidR="006E1581" w:rsidRPr="006E1581" w:rsidRDefault="006E1581" w:rsidP="006E1581">
      <w:pPr>
        <w:spacing w:after="200" w:line="276" w:lineRule="auto"/>
      </w:pPr>
      <w:r w:rsidRPr="006E1581">
        <w:t xml:space="preserve">In recent years, the price of electricity has risen sharply, having a dampening effect on </w:t>
      </w:r>
      <w:r w:rsidR="00B24BE1">
        <w:t>consumption</w:t>
      </w:r>
      <w:r w:rsidRPr="006E1581">
        <w:t xml:space="preserve">. With forecast increases in the fuel </w:t>
      </w:r>
      <w:r w:rsidR="00215A21">
        <w:t xml:space="preserve">costs of fossil power generation, </w:t>
      </w:r>
      <w:r w:rsidRPr="006E1581">
        <w:t xml:space="preserve">further price rises </w:t>
      </w:r>
      <w:r w:rsidR="00215A21">
        <w:t xml:space="preserve">are </w:t>
      </w:r>
      <w:r w:rsidRPr="006E1581">
        <w:t>expected, exerting continuing downward press</w:t>
      </w:r>
      <w:r w:rsidR="00922D0C">
        <w:t>ure on electricity consumption.</w:t>
      </w:r>
    </w:p>
    <w:p w:rsidR="006E1581" w:rsidRPr="006E1581" w:rsidRDefault="006E1581" w:rsidP="006E1581">
      <w:pPr>
        <w:spacing w:after="200" w:line="276" w:lineRule="auto"/>
      </w:pPr>
      <w:r w:rsidRPr="006E1581">
        <w:t>The pattern of emissions trends excluding LULUCF closely follows the story of electricity emissions intensity and consumption. This work show</w:t>
      </w:r>
      <w:r w:rsidR="00922D0C">
        <w:t>s</w:t>
      </w:r>
      <w:r w:rsidRPr="006E1581">
        <w:t xml:space="preserve"> statistically that emissions trends are driven by economic activity and changes in the composition of the economy, and the contribution of policy, principally through the power sector, is also clear. The same drivers are at work in </w:t>
      </w:r>
      <w:r w:rsidR="00922D0C">
        <w:t xml:space="preserve">both </w:t>
      </w:r>
      <w:r w:rsidRPr="006E1581">
        <w:t xml:space="preserve">emissions in general </w:t>
      </w:r>
      <w:r w:rsidR="00922D0C">
        <w:t xml:space="preserve">and in </w:t>
      </w:r>
      <w:r w:rsidRPr="006E1581">
        <w:t>electricity generation: unsurprising since electricity is an input in almost all activities which release emissions directly.</w:t>
      </w:r>
    </w:p>
    <w:p w:rsidR="006E1581" w:rsidRPr="006E1581" w:rsidRDefault="006E1581" w:rsidP="006E1581">
      <w:pPr>
        <w:pStyle w:val="Heading2"/>
      </w:pPr>
      <w:bookmarkStart w:id="326" w:name="_Toc369890624"/>
      <w:r w:rsidRPr="006E1581">
        <w:lastRenderedPageBreak/>
        <w:t>Concluding remarks</w:t>
      </w:r>
      <w:bookmarkEnd w:id="326"/>
    </w:p>
    <w:p w:rsidR="006E1581" w:rsidRPr="006E1581" w:rsidRDefault="006E1581" w:rsidP="006E1581">
      <w:pPr>
        <w:spacing w:after="200" w:line="276" w:lineRule="auto"/>
      </w:pPr>
      <w:r w:rsidRPr="006E1581">
        <w:t xml:space="preserve">This work looks backwards rather than forwards, but </w:t>
      </w:r>
      <w:r w:rsidR="00215A21">
        <w:t xml:space="preserve">it shows that </w:t>
      </w:r>
      <w:r w:rsidRPr="006E1581">
        <w:t xml:space="preserve">for those tasked with drawing up projections and forecasts, there are both market and policy effects to consider. Those effects drive changes in electricity consumption, in electricity emissions intensity and in economy-wide emissions and the contributions of each are visible in the statistical and descriptive analysis. Policy has been a significant influence since </w:t>
      </w:r>
      <w:r w:rsidR="006C667D">
        <w:t>2008</w:t>
      </w:r>
      <w:r w:rsidRPr="006E1581">
        <w:t>, indeed a more identifiable and probably stronger influence since that date than it was before, principally through renewable energy support policies. Market conditions favourable to low emissions growth have contributed to a remarkable period of stable non-LULUCF emissions in Australia.</w:t>
      </w:r>
    </w:p>
    <w:p w:rsidR="006E1581" w:rsidRPr="006E1581" w:rsidRDefault="006E1581" w:rsidP="006E1581">
      <w:pPr>
        <w:spacing w:after="200" w:line="276" w:lineRule="auto"/>
      </w:pPr>
      <w:r w:rsidRPr="006E1581">
        <w:t>In working out the level of policy effort which would achieve a given trend in emissions in Australia, the key questions will be:</w:t>
      </w:r>
    </w:p>
    <w:p w:rsidR="006E1581" w:rsidRPr="006E1581" w:rsidRDefault="006E1581" w:rsidP="006E1581">
      <w:pPr>
        <w:pStyle w:val="Dashedbullets"/>
      </w:pPr>
      <w:r w:rsidRPr="006E1581">
        <w:t xml:space="preserve">How will future market conditions influence the balance of output between </w:t>
      </w:r>
      <w:r w:rsidR="00215A21">
        <w:t>types of fossil fuel</w:t>
      </w:r>
      <w:r w:rsidRPr="006E1581">
        <w:t>-fired electricity generation?</w:t>
      </w:r>
    </w:p>
    <w:p w:rsidR="006E1581" w:rsidRPr="006E1581" w:rsidRDefault="006E1581" w:rsidP="006E1581">
      <w:pPr>
        <w:pStyle w:val="Dashedbullets"/>
      </w:pPr>
      <w:r w:rsidRPr="006E1581">
        <w:t>Will renewable energy policy maintain the recent pace of investment in new renewable energy capacity?</w:t>
      </w:r>
    </w:p>
    <w:p w:rsidR="006E1581" w:rsidRPr="006E1581" w:rsidRDefault="006E1581" w:rsidP="006E1581">
      <w:pPr>
        <w:pStyle w:val="Dashedbullets"/>
      </w:pPr>
      <w:r w:rsidRPr="006E1581">
        <w:t>Will the structural trends in the economy towards the commercial and services sector be stable and persistent, or will there be a resurgence in manufacturing and mining?</w:t>
      </w:r>
    </w:p>
    <w:p w:rsidR="006E1581" w:rsidRPr="006E1581" w:rsidRDefault="006E1581" w:rsidP="006E1581">
      <w:pPr>
        <w:pStyle w:val="Dashedbullets"/>
      </w:pPr>
      <w:r w:rsidRPr="006E1581">
        <w:t>How fast will the economy overall grow?</w:t>
      </w:r>
    </w:p>
    <w:p w:rsidR="00134439" w:rsidRPr="00AC341A" w:rsidRDefault="008A0361" w:rsidP="00134439">
      <w:pPr>
        <w:pStyle w:val="Heading1"/>
      </w:pPr>
      <w:bookmarkStart w:id="327" w:name="_Ref366251349"/>
      <w:bookmarkStart w:id="328" w:name="Section6"/>
      <w:bookmarkStart w:id="329" w:name="_Toc369890506"/>
      <w:bookmarkEnd w:id="321"/>
      <w:r>
        <w:lastRenderedPageBreak/>
        <w:t>Methodology</w:t>
      </w:r>
      <w:bookmarkEnd w:id="327"/>
      <w:bookmarkEnd w:id="329"/>
    </w:p>
    <w:p w:rsidR="00134439" w:rsidRPr="00EF51BF" w:rsidRDefault="0002418D" w:rsidP="00134439">
      <w:pPr>
        <w:pStyle w:val="Sectionsubheading"/>
      </w:pPr>
      <w:r>
        <w:t>T</w:t>
      </w:r>
      <w:r w:rsidR="005B6EE1">
        <w:t xml:space="preserve">he </w:t>
      </w:r>
      <w:r>
        <w:t xml:space="preserve">approach to </w:t>
      </w:r>
      <w:r w:rsidR="005B6EE1">
        <w:t xml:space="preserve">decomposition </w:t>
      </w:r>
      <w:r w:rsidR="00F444C7">
        <w:t>and driver quantification</w:t>
      </w:r>
    </w:p>
    <w:p w:rsidR="00134439" w:rsidRDefault="00134439" w:rsidP="00134439">
      <w:pPr>
        <w:pStyle w:val="Sectioncontents"/>
      </w:pPr>
      <w:r w:rsidRPr="002A31C3">
        <w:t>Secti</w:t>
      </w:r>
      <w:r w:rsidR="0002418D">
        <w:t>on c</w:t>
      </w:r>
      <w:r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134439" w:rsidRPr="00EF51BF">
        <w:rPr>
          <w:noProof w:val="0"/>
        </w:rPr>
        <w:instrText xml:space="preserve"> TOC \u \t "Heading </w:instrText>
      </w:r>
      <w:r w:rsidR="00134439">
        <w:rPr>
          <w:noProof w:val="0"/>
        </w:rPr>
        <w:instrText>2</w:instrText>
      </w:r>
      <w:r w:rsidR="00134439" w:rsidRPr="00EF51BF">
        <w:rPr>
          <w:noProof w:val="0"/>
        </w:rPr>
        <w:instrText>,</w:instrText>
      </w:r>
      <w:r w:rsidR="00134439">
        <w:rPr>
          <w:noProof w:val="0"/>
        </w:rPr>
        <w:instrText>1</w:instrText>
      </w:r>
      <w:r w:rsidR="00134439" w:rsidRPr="00EF51BF">
        <w:rPr>
          <w:noProof w:val="0"/>
        </w:rPr>
        <w:instrText xml:space="preserve">" </w:instrText>
      </w:r>
      <w:r w:rsidR="00134439">
        <w:rPr>
          <w:noProof w:val="0"/>
        </w:rPr>
        <w:instrText>\b "Section6"</w:instrText>
      </w:r>
      <w:r w:rsidR="00134439" w:rsidRPr="00EF51BF">
        <w:rPr>
          <w:noProof w:val="0"/>
        </w:rPr>
        <w:instrText xml:space="preserve"> </w:instrText>
      </w:r>
      <w:r w:rsidRPr="00EF51BF">
        <w:rPr>
          <w:noProof w:val="0"/>
        </w:rPr>
        <w:fldChar w:fldCharType="separate"/>
      </w:r>
      <w:r w:rsidR="00BB4088">
        <w:t>6.1</w:t>
      </w:r>
      <w:r w:rsidR="00BB4088">
        <w:rPr>
          <w:rFonts w:asciiTheme="minorHAnsi" w:eastAsiaTheme="minorEastAsia" w:hAnsiTheme="minorHAnsi" w:cstheme="minorBidi"/>
          <w:color w:val="auto"/>
          <w:lang w:eastAsia="en-GB"/>
        </w:rPr>
        <w:tab/>
      </w:r>
      <w:r w:rsidR="00BB4088">
        <w:t>Index decomposition</w:t>
      </w:r>
      <w:r w:rsidR="00BB4088">
        <w:tab/>
      </w:r>
      <w:r w:rsidR="00BB4088">
        <w:fldChar w:fldCharType="begin"/>
      </w:r>
      <w:r w:rsidR="00BB4088">
        <w:instrText xml:space="preserve"> PAGEREF _Toc369890625 \h </w:instrText>
      </w:r>
      <w:r w:rsidR="00BB4088">
        <w:fldChar w:fldCharType="separate"/>
      </w:r>
      <w:r w:rsidR="00197E14">
        <w:t>119</w:t>
      </w:r>
      <w:r w:rsidR="00BB4088">
        <w:fldChar w:fldCharType="end"/>
      </w:r>
    </w:p>
    <w:p w:rsidR="00BB4088" w:rsidRDefault="00BB4088">
      <w:pPr>
        <w:pStyle w:val="TOC1"/>
        <w:rPr>
          <w:rFonts w:asciiTheme="minorHAnsi" w:eastAsiaTheme="minorEastAsia" w:hAnsiTheme="minorHAnsi" w:cstheme="minorBidi"/>
          <w:color w:val="auto"/>
          <w:lang w:eastAsia="en-GB"/>
        </w:rPr>
      </w:pPr>
      <w:r>
        <w:t>6.2</w:t>
      </w:r>
      <w:r>
        <w:rPr>
          <w:rFonts w:asciiTheme="minorHAnsi" w:eastAsiaTheme="minorEastAsia" w:hAnsiTheme="minorHAnsi" w:cstheme="minorBidi"/>
          <w:color w:val="auto"/>
          <w:lang w:eastAsia="en-GB"/>
        </w:rPr>
        <w:tab/>
      </w:r>
      <w:r>
        <w:t>Trend analysis since 2008</w:t>
      </w:r>
      <w:r>
        <w:tab/>
      </w:r>
      <w:r>
        <w:fldChar w:fldCharType="begin"/>
      </w:r>
      <w:r>
        <w:instrText xml:space="preserve"> PAGEREF _Toc369890626 \h </w:instrText>
      </w:r>
      <w:r>
        <w:fldChar w:fldCharType="separate"/>
      </w:r>
      <w:r w:rsidR="00197E14">
        <w:t>125</w:t>
      </w:r>
      <w:r>
        <w:fldChar w:fldCharType="end"/>
      </w:r>
    </w:p>
    <w:p w:rsidR="00134439" w:rsidRPr="00EF51BF" w:rsidRDefault="005A66AE" w:rsidP="00134439">
      <w:pPr>
        <w:pStyle w:val="Sectionintroheading"/>
      </w:pPr>
      <w:r w:rsidRPr="00EF51BF">
        <w:rPr>
          <w:rFonts w:cs="Arial"/>
        </w:rPr>
        <w:fldChar w:fldCharType="end"/>
      </w:r>
    </w:p>
    <w:p w:rsidR="009C2C60" w:rsidRDefault="00BE6C52" w:rsidP="00BE6C52">
      <w:pPr>
        <w:pStyle w:val="Indentedtext425cm"/>
      </w:pPr>
      <w:r w:rsidRPr="00BE6C52">
        <w:t xml:space="preserve">The decomposition analysis </w:t>
      </w:r>
      <w:r w:rsidR="0002418D">
        <w:t xml:space="preserve">reveals </w:t>
      </w:r>
      <w:r w:rsidRPr="00BE6C52">
        <w:t>the results of changes in economic activity, restructuring of the economy and changes in the intensity of economy-wide sectors and is flexible to capture how the fossil fuel mix, renewables, and factors like fuel efficiency and carbon intensity of power plants influenced electricity generation emissions intensity.</w:t>
      </w:r>
    </w:p>
    <w:p w:rsidR="00A52823" w:rsidRDefault="00A52823" w:rsidP="00BE6C52">
      <w:pPr>
        <w:pStyle w:val="Indentedtext425cm"/>
      </w:pPr>
    </w:p>
    <w:p w:rsidR="00A52823" w:rsidRDefault="00A52823" w:rsidP="00BE6C52">
      <w:pPr>
        <w:pStyle w:val="Indentedtext425cm"/>
      </w:pPr>
      <w:r>
        <w:t xml:space="preserve">The trend analysis allows identification and estimation of the relative contribution of drivers of each residential, commercial and services and manufacturing </w:t>
      </w:r>
      <w:r w:rsidR="00B24BE1">
        <w:t>consumption</w:t>
      </w:r>
      <w:r>
        <w:t>.</w:t>
      </w:r>
    </w:p>
    <w:p w:rsidR="0002418D" w:rsidRDefault="0002418D" w:rsidP="00BE6C52">
      <w:pPr>
        <w:pStyle w:val="Indentedtext425cm"/>
      </w:pPr>
    </w:p>
    <w:p w:rsidR="0002418D" w:rsidRDefault="0002418D" w:rsidP="00BE6C52">
      <w:pPr>
        <w:pStyle w:val="Indentedtext425cm"/>
      </w:pPr>
      <w:r>
        <w:t>This section describes the statistical techniques used to perform these analyses.</w:t>
      </w:r>
    </w:p>
    <w:p w:rsidR="00A52823" w:rsidRDefault="00A52823" w:rsidP="00BE6C52">
      <w:pPr>
        <w:pStyle w:val="Indentedtext425cm"/>
      </w:pPr>
    </w:p>
    <w:p w:rsidR="00134439" w:rsidRPr="00EF51BF" w:rsidRDefault="00134439" w:rsidP="00134439">
      <w:pPr>
        <w:pStyle w:val="Quote"/>
        <w:ind w:left="2410"/>
      </w:pPr>
      <w:r w:rsidRPr="00EF51BF">
        <w:t>‘</w:t>
      </w:r>
      <w:r w:rsidR="00C3015C" w:rsidRPr="00C3015C">
        <w:t>The aim of index decomposition is to break down the total change in an aggregate series over a period of time into a set of underlying components.</w:t>
      </w:r>
      <w:r w:rsidRPr="00EF51BF">
        <w:t>’</w:t>
      </w:r>
    </w:p>
    <w:p w:rsidR="00134439" w:rsidRPr="00EF51BF" w:rsidRDefault="00134439" w:rsidP="00134439">
      <w:pPr>
        <w:spacing w:after="200" w:line="276" w:lineRule="auto"/>
      </w:pPr>
      <w:r w:rsidRPr="00EF51BF">
        <w:br w:type="page"/>
      </w:r>
    </w:p>
    <w:p w:rsidR="00911BF4" w:rsidRDefault="002549FA" w:rsidP="002549FA">
      <w:pPr>
        <w:pStyle w:val="Heading2"/>
      </w:pPr>
      <w:bookmarkStart w:id="330" w:name="_Toc369890625"/>
      <w:r>
        <w:lastRenderedPageBreak/>
        <w:t>Index decomposition</w:t>
      </w:r>
      <w:bookmarkEnd w:id="330"/>
    </w:p>
    <w:p w:rsidR="002549FA" w:rsidRPr="002549FA" w:rsidRDefault="002549FA" w:rsidP="002549FA">
      <w:pPr>
        <w:pStyle w:val="Subheading"/>
      </w:pPr>
      <w:r>
        <w:t>Breaking down changes into specific effects</w:t>
      </w:r>
    </w:p>
    <w:p w:rsidR="00911BF4" w:rsidRPr="00506C7D" w:rsidRDefault="00911BF4" w:rsidP="00911BF4">
      <w:r w:rsidRPr="00506C7D">
        <w:t xml:space="preserve">The aim of index decomposition is to break down the total change in an aggregate series over a period of time into </w:t>
      </w:r>
      <w:r>
        <w:t xml:space="preserve">a set of </w:t>
      </w:r>
      <w:r w:rsidRPr="00506C7D">
        <w:t xml:space="preserve">underlying </w:t>
      </w:r>
      <w:r>
        <w:t>components</w:t>
      </w:r>
      <w:r w:rsidRPr="00506C7D">
        <w:t xml:space="preserve">. </w:t>
      </w:r>
      <w:r>
        <w:t xml:space="preserve">It </w:t>
      </w:r>
      <w:r w:rsidRPr="00506C7D">
        <w:t xml:space="preserve">shows the contribution of each </w:t>
      </w:r>
      <w:r>
        <w:t xml:space="preserve">component </w:t>
      </w:r>
      <w:r w:rsidRPr="00506C7D">
        <w:t xml:space="preserve">to the change </w:t>
      </w:r>
      <w:r>
        <w:t xml:space="preserve">in </w:t>
      </w:r>
      <w:r w:rsidRPr="00506C7D">
        <w:t xml:space="preserve">the aggregate. For example, given a change in electricity consumption, the change </w:t>
      </w:r>
      <w:r>
        <w:t xml:space="preserve">is </w:t>
      </w:r>
      <w:r w:rsidRPr="00506C7D">
        <w:t>attributed to:</w:t>
      </w:r>
    </w:p>
    <w:p w:rsidR="00911BF4" w:rsidRPr="00506C7D" w:rsidRDefault="00911BF4" w:rsidP="00911BF4">
      <w:pPr>
        <w:pStyle w:val="Dashedbullets"/>
        <w:ind w:left="720" w:hanging="360"/>
      </w:pPr>
      <w:r w:rsidRPr="00C16703">
        <w:rPr>
          <w:b/>
        </w:rPr>
        <w:t>activity effect:</w:t>
      </w:r>
      <w:r>
        <w:t xml:space="preserve"> </w:t>
      </w:r>
      <w:r w:rsidRPr="00506C7D">
        <w:t>overall activity (GDP) effect;</w:t>
      </w:r>
    </w:p>
    <w:p w:rsidR="00911BF4" w:rsidRPr="00506C7D" w:rsidRDefault="009E35A3" w:rsidP="00911BF4">
      <w:pPr>
        <w:pStyle w:val="Dashedbullets"/>
        <w:ind w:left="720" w:hanging="360"/>
      </w:pPr>
      <w:r>
        <w:rPr>
          <w:b/>
        </w:rPr>
        <w:t>structural</w:t>
      </w:r>
      <w:r w:rsidR="00911BF4" w:rsidRPr="00C16703">
        <w:rPr>
          <w:b/>
        </w:rPr>
        <w:t xml:space="preserve"> effect:</w:t>
      </w:r>
      <w:r w:rsidR="00911BF4">
        <w:t xml:space="preserve"> </w:t>
      </w:r>
      <w:r w:rsidR="00911BF4" w:rsidRPr="00506C7D">
        <w:t>sector share in the overall level;</w:t>
      </w:r>
    </w:p>
    <w:p w:rsidR="00911BF4" w:rsidRPr="00506C7D" w:rsidRDefault="00911BF4" w:rsidP="00911BF4">
      <w:pPr>
        <w:pStyle w:val="Dashedbullets"/>
        <w:ind w:left="720" w:hanging="360"/>
      </w:pPr>
      <w:r w:rsidRPr="00C16703">
        <w:rPr>
          <w:b/>
        </w:rPr>
        <w:t>intensity effect:</w:t>
      </w:r>
      <w:r>
        <w:t xml:space="preserve"> </w:t>
      </w:r>
      <w:r w:rsidRPr="00506C7D">
        <w:t>sector intensity of electricity use.</w:t>
      </w:r>
    </w:p>
    <w:p w:rsidR="00911BF4" w:rsidRPr="00506C7D" w:rsidRDefault="00911BF4" w:rsidP="00911BF4">
      <w:pPr>
        <w:pStyle w:val="Dashedbullets"/>
        <w:numPr>
          <w:ilvl w:val="0"/>
          <w:numId w:val="0"/>
        </w:numPr>
        <w:ind w:left="284"/>
      </w:pPr>
    </w:p>
    <w:p w:rsidR="00911BF4" w:rsidRDefault="00911BF4" w:rsidP="00911BF4">
      <w:r w:rsidRPr="00506C7D">
        <w:t xml:space="preserve">The </w:t>
      </w:r>
      <w:r w:rsidRPr="00506C7D">
        <w:rPr>
          <w:b/>
        </w:rPr>
        <w:t>activity effect</w:t>
      </w:r>
      <w:r w:rsidRPr="00506C7D">
        <w:t xml:space="preserve"> captures the contribution of economic output to electricity </w:t>
      </w:r>
      <w:r w:rsidR="00B24BE1">
        <w:t>consumption</w:t>
      </w:r>
      <w:r w:rsidRPr="00506C7D">
        <w:t xml:space="preserve">. An increase in </w:t>
      </w:r>
      <w:r>
        <w:t xml:space="preserve">economic activity and </w:t>
      </w:r>
      <w:r w:rsidR="00B24BE1">
        <w:t>consumption</w:t>
      </w:r>
      <w:r>
        <w:t xml:space="preserve"> across all sectors and regions will always lead to higher electricity consumption. This effect captures the contribution of economic activity to electricity consumption, when both structure of the economy and the sectoral intensities remain constant. The general level of economic activity is measured by GVA</w:t>
      </w:r>
      <w:r w:rsidR="00513047">
        <w:t xml:space="preserve"> (Gross Value Added</w:t>
      </w:r>
      <w:r w:rsidR="000F4508">
        <w:t>) for</w:t>
      </w:r>
      <w:r>
        <w:t xml:space="preserve"> industrial sectors and income or final consumption for residential sector.</w:t>
      </w:r>
    </w:p>
    <w:p w:rsidR="00911BF4" w:rsidRDefault="00911BF4" w:rsidP="00911BF4"/>
    <w:p w:rsidR="00911BF4" w:rsidRPr="00A40FBD" w:rsidRDefault="00911BF4" w:rsidP="00911BF4">
      <w:r w:rsidRPr="00506C7D">
        <w:t xml:space="preserve">The </w:t>
      </w:r>
      <w:r w:rsidRPr="00506C7D">
        <w:rPr>
          <w:b/>
        </w:rPr>
        <w:t>intensity effect</w:t>
      </w:r>
      <w:r w:rsidRPr="00506C7D">
        <w:t xml:space="preserve">: an increase </w:t>
      </w:r>
      <w:r>
        <w:t xml:space="preserve">(decrease) in a sector’s intensity, </w:t>
      </w:r>
      <w:r w:rsidRPr="00506C7D">
        <w:t xml:space="preserve">electricity </w:t>
      </w:r>
      <w:r w:rsidR="000F4508" w:rsidRPr="00506C7D">
        <w:t xml:space="preserve">consumption </w:t>
      </w:r>
      <w:r w:rsidR="000F4508">
        <w:t>in</w:t>
      </w:r>
      <w:r>
        <w:t xml:space="preserve"> GWh</w:t>
      </w:r>
      <w:r w:rsidRPr="00506C7D">
        <w:t>/</w:t>
      </w:r>
      <w:r>
        <w:t xml:space="preserve">gross value added </w:t>
      </w:r>
      <w:r w:rsidRPr="00506C7D">
        <w:t>in AUD</w:t>
      </w:r>
      <w:r>
        <w:t>,</w:t>
      </w:r>
      <w:r w:rsidRPr="00506C7D">
        <w:t xml:space="preserve"> cause electricity </w:t>
      </w:r>
      <w:r>
        <w:t xml:space="preserve">consumption </w:t>
      </w:r>
      <w:r w:rsidRPr="00506C7D">
        <w:t>to rise</w:t>
      </w:r>
      <w:r>
        <w:t xml:space="preserve"> (fall)</w:t>
      </w:r>
      <w:r w:rsidRPr="00506C7D">
        <w:t>. A change</w:t>
      </w:r>
      <w:r>
        <w:t xml:space="preserve"> in the intensity of use will typically be the effect of structural change within a sector, technology employed or asset utilisation. Over time, electricity intensity is expected to decline (improve) as the introduction of more efficient technology leads to higher output or GVA</w:t>
      </w:r>
      <w:r w:rsidR="00513047">
        <w:t xml:space="preserve"> </w:t>
      </w:r>
      <w:r>
        <w:t>for each unit of energy input, but structural changes can cause intensity to increase or decrease. There can also be increases if a new technology involves the mechanisation of part of a production process</w:t>
      </w:r>
      <w:r w:rsidR="00513047">
        <w:t xml:space="preserve"> or, in the residential sector, if there is a greater use of resources on activities that consume electricity.</w:t>
      </w:r>
    </w:p>
    <w:p w:rsidR="00911BF4" w:rsidRDefault="00911BF4" w:rsidP="00911BF4"/>
    <w:p w:rsidR="00911BF4" w:rsidRDefault="00911BF4" w:rsidP="00911BF4">
      <w:r w:rsidRPr="00506C7D">
        <w:t xml:space="preserve">The </w:t>
      </w:r>
      <w:r w:rsidRPr="00506C7D">
        <w:rPr>
          <w:b/>
        </w:rPr>
        <w:t>structur</w:t>
      </w:r>
      <w:r w:rsidR="009E35A3">
        <w:rPr>
          <w:b/>
        </w:rPr>
        <w:t>al</w:t>
      </w:r>
      <w:r w:rsidRPr="00506C7D">
        <w:rPr>
          <w:b/>
        </w:rPr>
        <w:t xml:space="preserve"> effect</w:t>
      </w:r>
      <w:r w:rsidRPr="00506C7D">
        <w:t xml:space="preserve"> captures </w:t>
      </w:r>
      <w:r>
        <w:t xml:space="preserve">changes in </w:t>
      </w:r>
      <w:r w:rsidRPr="00506C7D">
        <w:t xml:space="preserve">the balance between sectors of the economy. </w:t>
      </w:r>
      <w:r>
        <w:t>A s</w:t>
      </w:r>
      <w:r w:rsidRPr="00506C7D">
        <w:t>ector’s share of aggregate activit</w:t>
      </w:r>
      <w:r>
        <w:t>i</w:t>
      </w:r>
      <w:r w:rsidRPr="00506C7D">
        <w:t xml:space="preserve">es is measured as the ratio of the sector’s GVA over the sum of all activities. A shift </w:t>
      </w:r>
      <w:r>
        <w:t xml:space="preserve">in sector shares </w:t>
      </w:r>
      <w:r w:rsidRPr="00506C7D">
        <w:t>from low</w:t>
      </w:r>
      <w:r>
        <w:t xml:space="preserve"> (high) electricity intensity</w:t>
      </w:r>
      <w:r w:rsidRPr="00506C7D">
        <w:t xml:space="preserve"> to high </w:t>
      </w:r>
      <w:r>
        <w:t xml:space="preserve">(low) </w:t>
      </w:r>
      <w:r w:rsidRPr="00506C7D">
        <w:t>electricity</w:t>
      </w:r>
      <w:r>
        <w:t xml:space="preserve"> intensity</w:t>
      </w:r>
      <w:r w:rsidRPr="00506C7D">
        <w:t xml:space="preserve"> sector</w:t>
      </w:r>
      <w:r>
        <w:t>s</w:t>
      </w:r>
      <w:r w:rsidRPr="00506C7D">
        <w:t xml:space="preserve"> will cause an increase </w:t>
      </w:r>
      <w:r>
        <w:t xml:space="preserve">(decrease) </w:t>
      </w:r>
      <w:r w:rsidRPr="00506C7D">
        <w:t xml:space="preserve">in electricity consumption even if the general activity level and sectoral intensities </w:t>
      </w:r>
      <w:r>
        <w:t>remain constant.</w:t>
      </w:r>
    </w:p>
    <w:p w:rsidR="00911BF4" w:rsidRPr="00F667D5" w:rsidRDefault="00911BF4" w:rsidP="00911BF4">
      <w:pPr>
        <w:rPr>
          <w:b/>
        </w:rPr>
      </w:pPr>
    </w:p>
    <w:p w:rsidR="00911BF4" w:rsidRDefault="00911BF4" w:rsidP="00911BF4">
      <w:r>
        <w:t xml:space="preserve">The </w:t>
      </w:r>
      <w:r w:rsidR="004A48D4">
        <w:t xml:space="preserve">analysis uses </w:t>
      </w:r>
      <w:r>
        <w:t xml:space="preserve">chain volume measure of activity. Although </w:t>
      </w:r>
      <w:r w:rsidR="00310A21">
        <w:t>chain volume measures</w:t>
      </w:r>
      <w:r>
        <w:t xml:space="preserve"> poses the problem that economic activities are not additive, it offers a clear advantage over the alternatives, namely nominal measures and deflated nominal measures. The first of these produces a decomposition that contains inflation, which obscures some of the real effects, while the application of a deflator results in a biased picture because of changes in relative prices. In particular, if there is a relative price decrease in manufacturing, the resulting deflated nominal GVA will underestimate manufacturing real GVA and produce an upward bias in the intensity of use (Electricity consumption/GVA).</w:t>
      </w:r>
    </w:p>
    <w:p w:rsidR="00911BF4" w:rsidRDefault="00911BF4" w:rsidP="00911BF4"/>
    <w:p w:rsidR="00911BF4" w:rsidRDefault="00911BF4" w:rsidP="00911BF4">
      <w:r>
        <w:lastRenderedPageBreak/>
        <w:t>The decomposition can be written as:</w:t>
      </w:r>
    </w:p>
    <w:p w:rsidR="00911BF4" w:rsidRDefault="00911BF4" w:rsidP="00911BF4">
      <w:pPr>
        <w:spacing w:line="240" w:lineRule="atLeast"/>
        <w:jc w:val="both"/>
        <w:rPr>
          <w:rFonts w:eastAsiaTheme="minorEastAsia"/>
        </w:rPr>
      </w:pPr>
    </w:p>
    <w:p w:rsidR="00911BF4" w:rsidRPr="00D61759" w:rsidRDefault="00911BF4" w:rsidP="00911BF4">
      <w:pPr>
        <w:spacing w:line="240" w:lineRule="atLeast"/>
        <w:jc w:val="both"/>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tot</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act</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str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int</m:t>
              </m:r>
            </m:sub>
          </m:sSub>
        </m:oMath>
      </m:oMathPara>
    </w:p>
    <w:p w:rsidR="00911BF4" w:rsidRPr="000A601A" w:rsidRDefault="00911BF4" w:rsidP="00911BF4">
      <w:pPr>
        <w:spacing w:line="240" w:lineRule="atLeast"/>
        <w:jc w:val="both"/>
        <w:rPr>
          <w:rFonts w:eastAsiaTheme="minorEastAsia"/>
        </w:rPr>
      </w:pPr>
    </w:p>
    <w:p w:rsidR="00911BF4" w:rsidRDefault="00911BF4" w:rsidP="00911BF4">
      <w:pPr>
        <w:rPr>
          <w:rFonts w:eastAsiaTheme="minorEastAsia"/>
        </w:rPr>
      </w:pPr>
      <w:r>
        <w:rPr>
          <w:rFonts w:eastAsiaTheme="minorEastAsia"/>
        </w:rPr>
        <w:t>where:</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E</m:t>
            </m:r>
          </m:e>
          <m:sub>
            <m:r>
              <w:rPr>
                <w:rFonts w:ascii="Cambria Math" w:hAnsi="Cambria Math"/>
              </w:rPr>
              <m:t>tot</m:t>
            </m:r>
          </m:sub>
        </m:sSub>
      </m:oMath>
      <w:r w:rsidR="00911BF4">
        <w:t xml:space="preserve"> is the total change in electricity consumption;</w:t>
      </w:r>
    </w:p>
    <w:p w:rsidR="00911BF4" w:rsidRDefault="00911BF4" w:rsidP="00911BF4">
      <w:pPr>
        <w:pStyle w:val="Dashedbullets"/>
        <w:ind w:left="720" w:hanging="360"/>
      </w:pP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act</m:t>
            </m:r>
          </m:sub>
        </m:sSub>
      </m:oMath>
      <w:r>
        <w:t xml:space="preserve"> is change due to activity factor;</w:t>
      </w:r>
    </w:p>
    <w:p w:rsidR="00911BF4" w:rsidRDefault="00911BF4" w:rsidP="00911BF4">
      <w:pPr>
        <w:pStyle w:val="Dashedbullets"/>
        <w:ind w:left="720" w:hanging="360"/>
      </w:pP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str</m:t>
            </m:r>
          </m:sub>
        </m:sSub>
      </m:oMath>
      <w:r>
        <w:t xml:space="preserve"> is the change due to changing structure of the economy that is changes in sectoral shares; and,</w:t>
      </w:r>
    </w:p>
    <w:p w:rsidR="00911BF4" w:rsidRDefault="00911BF4" w:rsidP="00911BF4">
      <w:pPr>
        <w:pStyle w:val="Dashedbullets"/>
        <w:ind w:left="720" w:hanging="360"/>
      </w:pPr>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int</m:t>
            </m:r>
          </m:sub>
        </m:sSub>
      </m:oMath>
      <w:r>
        <w:t xml:space="preserve"> is due to the intensity effect.</w:t>
      </w:r>
    </w:p>
    <w:p w:rsidR="00911BF4" w:rsidRPr="007166B8" w:rsidRDefault="00911BF4" w:rsidP="00911BF4">
      <w:pPr>
        <w:rPr>
          <w:b/>
        </w:rPr>
      </w:pPr>
    </w:p>
    <w:p w:rsidR="00911BF4" w:rsidRPr="007166B8" w:rsidRDefault="00911BF4" w:rsidP="00911BF4">
      <w:pPr>
        <w:rPr>
          <w:rFonts w:eastAsiaTheme="minorEastAsia"/>
        </w:rPr>
      </w:pPr>
      <w:r w:rsidRPr="007166B8">
        <w:rPr>
          <w:rFonts w:eastAsiaTheme="minorEastAsia"/>
        </w:rPr>
        <w:t xml:space="preserve">The Logarithmic Mean Divisia Index (LMDI) and Laspeyres methodologies </w:t>
      </w:r>
      <w:r>
        <w:rPr>
          <w:rFonts w:eastAsiaTheme="minorEastAsia"/>
        </w:rPr>
        <w:t xml:space="preserve">can both </w:t>
      </w:r>
      <w:r w:rsidRPr="007166B8">
        <w:rPr>
          <w:rFonts w:eastAsiaTheme="minorEastAsia"/>
        </w:rPr>
        <w:t xml:space="preserve">isolate the contribution of each factor. </w:t>
      </w:r>
      <w:r>
        <w:rPr>
          <w:rFonts w:eastAsiaTheme="minorEastAsia"/>
        </w:rPr>
        <w:t>In the description that follows, the explanation addresses their use</w:t>
      </w:r>
      <w:r w:rsidRPr="007166B8">
        <w:rPr>
          <w:rFonts w:eastAsiaTheme="minorEastAsia"/>
        </w:rPr>
        <w:t xml:space="preserve"> </w:t>
      </w:r>
      <w:r>
        <w:rPr>
          <w:rFonts w:eastAsiaTheme="minorEastAsia"/>
        </w:rPr>
        <w:t xml:space="preserve">in </w:t>
      </w:r>
      <w:r w:rsidRPr="007166B8">
        <w:rPr>
          <w:rFonts w:eastAsiaTheme="minorEastAsia"/>
        </w:rPr>
        <w:t>electricity consumption by sector or region.</w:t>
      </w:r>
    </w:p>
    <w:p w:rsidR="00911BF4" w:rsidRDefault="00911BF4" w:rsidP="00911BF4">
      <w:pPr>
        <w:rPr>
          <w:rFonts w:eastAsiaTheme="minorEastAsia"/>
        </w:rPr>
      </w:pPr>
    </w:p>
    <w:p w:rsidR="00911BF4" w:rsidRDefault="00911BF4" w:rsidP="00911BF4">
      <w:pPr>
        <w:pStyle w:val="Heading3"/>
      </w:pPr>
      <w:r>
        <w:t>Laspeyres</w:t>
      </w:r>
    </w:p>
    <w:p w:rsidR="00911BF4" w:rsidRDefault="00911BF4" w:rsidP="00911BF4">
      <w:r w:rsidRPr="00936384">
        <w:rPr>
          <w:bCs/>
        </w:rPr>
        <w:t>Laspeyres</w:t>
      </w:r>
      <w:r w:rsidRPr="00936384">
        <w:t xml:space="preserve"> measures the impact of a factor on the variable of interest by allowing it to vary, while keeping all other factors fixed at the value of a base year</w:t>
      </w:r>
      <w:r>
        <w:t xml:space="preserve">. </w:t>
      </w:r>
      <w:r w:rsidRPr="00936384">
        <w:t xml:space="preserve">Considering the change in electricity </w:t>
      </w:r>
      <w:r w:rsidR="00B24BE1">
        <w:t>consumption</w:t>
      </w:r>
      <w:r w:rsidRPr="00936384">
        <w:t xml:space="preserve"> (</w:t>
      </w:r>
      <w:r w:rsidRPr="00936384">
        <w:rPr>
          <w:i/>
          <w:iCs/>
        </w:rPr>
        <w:t>E</w:t>
      </w:r>
      <w:r w:rsidRPr="00936384">
        <w:t xml:space="preserve">) from period </w:t>
      </w:r>
      <w:r>
        <w:t>0</w:t>
      </w:r>
      <w:r w:rsidRPr="00936384">
        <w:rPr>
          <w:i/>
          <w:iCs/>
        </w:rPr>
        <w:t xml:space="preserve"> </w:t>
      </w:r>
      <w:r w:rsidRPr="00936384">
        <w:t xml:space="preserve">to period </w:t>
      </w:r>
      <w:r>
        <w:t>T</w:t>
      </w:r>
      <w:r w:rsidRPr="00936384">
        <w:t xml:space="preserve">, the Laspeyres method decomposes changes into the following three effects: </w:t>
      </w:r>
    </w:p>
    <w:p w:rsidR="00911BF4" w:rsidRPr="00936384" w:rsidRDefault="00911BF4" w:rsidP="00911BF4"/>
    <w:p w:rsidR="00911BF4" w:rsidRPr="000A601A" w:rsidRDefault="003F142F" w:rsidP="00911BF4">
      <w:pPr>
        <w:pStyle w:val="Dashedbullets"/>
        <w:ind w:left="720" w:hanging="360"/>
      </w:pPr>
      <m:oMath>
        <m:sSup>
          <m:sSupPr>
            <m:ctrlPr>
              <w:rPr>
                <w:rFonts w:ascii="Cambria Math" w:hAnsi="Cambria Math"/>
              </w:rPr>
            </m:ctrlPr>
          </m:sSupPr>
          <m:e>
            <m:r>
              <w:rPr>
                <w:rFonts w:ascii="Cambria Math" w:hAnsi="Cambria Math"/>
              </w:rPr>
              <m:t>E</m:t>
            </m:r>
          </m:e>
          <m:sup>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m:t>
            </m:r>
          </m:sup>
        </m:s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tot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act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str</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int</m:t>
            </m:r>
          </m:sub>
        </m:sSub>
      </m:oMath>
    </w:p>
    <w:p w:rsidR="00911BF4" w:rsidRPr="000A601A" w:rsidRDefault="00911BF4" w:rsidP="00911BF4">
      <w:pPr>
        <w:pStyle w:val="Dashedbullets"/>
        <w:numPr>
          <w:ilvl w:val="0"/>
          <w:numId w:val="0"/>
        </w:numPr>
        <w:ind w:left="284"/>
      </w:pPr>
    </w:p>
    <w:p w:rsidR="00911BF4" w:rsidRPr="000A601A" w:rsidRDefault="00911BF4" w:rsidP="00911BF4">
      <w:pPr>
        <w:pStyle w:val="Dashedbullets"/>
        <w:ind w:left="720" w:hanging="360"/>
      </w:pP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act</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w:rPr>
                <w:rFonts w:ascii="Cambria Math" w:hAnsi="Cambria Math"/>
              </w:rPr>
              <m:t>T</m:t>
            </m:r>
          </m:sup>
        </m:sSup>
        <m:sSup>
          <m:sSupPr>
            <m:ctrlPr>
              <w:rPr>
                <w:rFonts w:ascii="Cambria Math" w:hAnsi="Cambria Math"/>
              </w:rPr>
            </m:ctrlPr>
          </m:sSupPr>
          <m:e>
            <m:r>
              <m:rPr>
                <m:sty m:val="p"/>
              </m:rPr>
              <w:rPr>
                <w:rFonts w:ascii="Cambria Math" w:hAnsi="Cambria Math"/>
              </w:rPr>
              <m:t>-</m:t>
            </m:r>
            <m:r>
              <w:rPr>
                <w:rFonts w:ascii="Cambria Math" w:hAnsi="Cambria Math"/>
              </w:rPr>
              <m:t>Q</m:t>
            </m:r>
          </m:e>
          <m:sup>
            <m:r>
              <m:rPr>
                <m:sty m:val="p"/>
              </m:rPr>
              <w:rPr>
                <w:rFonts w:ascii="Cambria Math" w:hAnsi="Cambria Math"/>
              </w:rPr>
              <m:t>0</m:t>
            </m:r>
          </m:sup>
        </m:sSup>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i</m:t>
                    </m:r>
                  </m:sub>
                </m:sSub>
              </m:e>
              <m:sup>
                <m:r>
                  <m:rPr>
                    <m:sty m:val="p"/>
                  </m:rPr>
                  <w:rPr>
                    <w:rFonts w:ascii="Cambria Math" w:hAnsi="Cambria Math"/>
                  </w:rPr>
                  <m:t>0</m:t>
                </m:r>
              </m:sup>
            </m:sSup>
          </m:e>
        </m:nary>
      </m:oMath>
    </w:p>
    <w:p w:rsidR="00911BF4" w:rsidRPr="000A601A" w:rsidRDefault="00911BF4" w:rsidP="00911BF4">
      <w:pPr>
        <w:pStyle w:val="Dashedbullets"/>
        <w:ind w:left="720" w:hanging="360"/>
      </w:pP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str</m:t>
            </m:r>
          </m:sub>
        </m:sSub>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r>
                  <w:rPr>
                    <w:rFonts w:ascii="Cambria Math" w:hAnsi="Cambria Math"/>
                  </w:rPr>
                  <m:t>Q</m:t>
                </m:r>
              </m:e>
              <m:sup>
                <m:r>
                  <m:rPr>
                    <m:sty m:val="p"/>
                  </m:rPr>
                  <w:rPr>
                    <w:rFonts w:ascii="Cambria Math" w:hAnsi="Cambria Math"/>
                  </w:rPr>
                  <m:t>0</m:t>
                </m:r>
              </m:sup>
            </m:sSup>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sup>
            </m:sSubSup>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i</m:t>
                    </m:r>
                  </m:sub>
                </m:sSub>
              </m:e>
              <m:sup>
                <m:r>
                  <m:rPr>
                    <m:sty m:val="p"/>
                  </m:rPr>
                  <w:rPr>
                    <w:rFonts w:ascii="Cambria Math" w:hAnsi="Cambria Math"/>
                  </w:rPr>
                  <m:t>0</m:t>
                </m:r>
              </m:sup>
            </m:sSup>
            <m:r>
              <m:rPr>
                <m:sty m:val="p"/>
              </m:rPr>
              <w:rPr>
                <w:rFonts w:ascii="Cambria Math" w:hAnsi="Cambria Math"/>
              </w:rPr>
              <m:t>-</m:t>
            </m:r>
          </m:e>
        </m:nary>
        <m:nary>
          <m:naryPr>
            <m:chr m:val="∑"/>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r>
                  <w:rPr>
                    <w:rFonts w:ascii="Cambria Math" w:hAnsi="Cambria Math"/>
                  </w:rPr>
                  <m:t>Q</m:t>
                </m:r>
              </m:e>
              <m:sup>
                <m:r>
                  <m:rPr>
                    <m:sty m:val="p"/>
                  </m:rPr>
                  <w:rPr>
                    <w:rFonts w:ascii="Cambria Math" w:hAnsi="Cambria Math"/>
                  </w:rPr>
                  <m:t>0</m:t>
                </m:r>
              </m:sup>
            </m:sSup>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i</m:t>
                    </m:r>
                  </m:sub>
                </m:sSub>
              </m:e>
              <m:sup>
                <m:r>
                  <m:rPr>
                    <m:sty m:val="p"/>
                  </m:rPr>
                  <w:rPr>
                    <w:rFonts w:ascii="Cambria Math" w:hAnsi="Cambria Math"/>
                  </w:rPr>
                  <m:t>0</m:t>
                </m:r>
              </m:sup>
            </m:sSup>
          </m:e>
        </m:nary>
      </m:oMath>
    </w:p>
    <w:p w:rsidR="00911BF4" w:rsidRPr="000A601A" w:rsidRDefault="00911BF4" w:rsidP="00911BF4">
      <w:pPr>
        <w:pStyle w:val="Dashedbullets"/>
        <w:ind w:left="720" w:hanging="360"/>
      </w:pP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int</m:t>
            </m:r>
          </m:sub>
        </m:sSub>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r>
                  <w:rPr>
                    <w:rFonts w:ascii="Cambria Math" w:hAnsi="Cambria Math"/>
                  </w:rPr>
                  <m:t>Q</m:t>
                </m:r>
              </m:e>
              <m:sup>
                <m:r>
                  <m:rPr>
                    <m:sty m:val="p"/>
                  </m:rPr>
                  <w:rPr>
                    <w:rFonts w:ascii="Cambria Math" w:hAnsi="Cambria Math"/>
                  </w:rPr>
                  <m:t>0</m:t>
                </m:r>
              </m:sup>
            </m:sSup>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i</m:t>
                    </m:r>
                  </m:sub>
                </m:sSub>
              </m:e>
              <m:sup>
                <m:r>
                  <w:rPr>
                    <w:rFonts w:ascii="Cambria Math" w:hAnsi="Cambria Math"/>
                  </w:rPr>
                  <m:t>T</m:t>
                </m:r>
              </m:sup>
            </m:sSup>
            <m:r>
              <m:rPr>
                <m:sty m:val="p"/>
              </m:rPr>
              <w:rPr>
                <w:rFonts w:ascii="Cambria Math" w:hAnsi="Cambria Math"/>
              </w:rPr>
              <m:t>-</m:t>
            </m:r>
          </m:e>
        </m:nary>
        <m:nary>
          <m:naryPr>
            <m:chr m:val="∑"/>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r>
                  <w:rPr>
                    <w:rFonts w:ascii="Cambria Math" w:hAnsi="Cambria Math"/>
                  </w:rPr>
                  <m:t>Q</m:t>
                </m:r>
              </m:e>
              <m:sup>
                <m:r>
                  <m:rPr>
                    <m:sty m:val="p"/>
                  </m:rPr>
                  <w:rPr>
                    <w:rFonts w:ascii="Cambria Math" w:hAnsi="Cambria Math"/>
                  </w:rPr>
                  <m:t>0</m:t>
                </m:r>
              </m:sup>
            </m:sSup>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i</m:t>
                    </m:r>
                  </m:sub>
                </m:sSub>
              </m:e>
              <m:sup>
                <m:r>
                  <m:rPr>
                    <m:sty m:val="p"/>
                  </m:rPr>
                  <w:rPr>
                    <w:rFonts w:ascii="Cambria Math" w:hAnsi="Cambria Math"/>
                  </w:rPr>
                  <m:t>0</m:t>
                </m:r>
              </m:sup>
            </m:sSup>
          </m:e>
        </m:nary>
      </m:oMath>
    </w:p>
    <w:p w:rsidR="00911BF4" w:rsidRPr="00C4560E" w:rsidRDefault="00911BF4" w:rsidP="00911BF4">
      <w:pPr>
        <w:rPr>
          <w:rFonts w:eastAsiaTheme="minorEastAsia"/>
        </w:rPr>
      </w:pPr>
    </w:p>
    <w:p w:rsidR="00911BF4" w:rsidRDefault="00911BF4" w:rsidP="00911BF4">
      <w:r>
        <w:t>where:</w:t>
      </w:r>
    </w:p>
    <w:p w:rsidR="00911BF4" w:rsidRDefault="00911BF4" w:rsidP="00911BF4">
      <w:pPr>
        <w:pStyle w:val="Dashedbullets"/>
        <w:ind w:left="720" w:hanging="360"/>
      </w:pPr>
      <m:oMath>
        <m:r>
          <w:rPr>
            <w:rFonts w:ascii="Cambria Math" w:hAnsi="Cambria Math"/>
          </w:rPr>
          <m:t>Q</m:t>
        </m:r>
      </m:oMath>
      <w:r>
        <w:t xml:space="preserve"> is the level of overall activity;</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911BF4">
        <w:t xml:space="preserve"> is the level of sector/region </w:t>
      </w:r>
      <w:r w:rsidR="00911BF4" w:rsidRPr="00D61759">
        <w:rPr>
          <w:i/>
        </w:rPr>
        <w:t>i</w:t>
      </w:r>
      <w:r w:rsidR="00911BF4">
        <w:t xml:space="preserve"> activity;</w:t>
      </w:r>
    </w:p>
    <w:p w:rsidR="00911BF4" w:rsidRDefault="003F142F" w:rsidP="00911BF4">
      <w:pPr>
        <w:pStyle w:val="Dashedbullets"/>
        <w:ind w:left="720" w:hanging="360"/>
        <w:rPr>
          <w:i/>
        </w:rPr>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911BF4">
        <w:t xml:space="preserve"> is electricity consumption of sector/region </w:t>
      </w:r>
      <w:r w:rsidR="00911BF4">
        <w:rPr>
          <w:i/>
        </w:rPr>
        <w:t>i</w:t>
      </w:r>
      <w:r w:rsidR="00911BF4">
        <w:t>;</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oMath>
      <w:r w:rsidR="00911BF4">
        <w:t xml:space="preserve"> is the share of sector/region </w:t>
      </w:r>
      <w:r w:rsidR="00911BF4">
        <w:rPr>
          <w:i/>
        </w:rPr>
        <w:t>i</w:t>
      </w:r>
      <w:r w:rsidR="00911BF4" w:rsidRPr="00262A42">
        <w:t>;</w:t>
      </w:r>
      <w:r w:rsidR="00911BF4">
        <w:rPr>
          <w:i/>
        </w:rPr>
        <w:t xml:space="preserve"> </w:t>
      </w:r>
      <w:r w:rsidR="00911BF4">
        <w:t>and</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00911BF4">
        <w:t xml:space="preserve"> is the intensity of sector/region </w:t>
      </w:r>
      <w:r w:rsidR="00911BF4" w:rsidRPr="000D2F67">
        <w:rPr>
          <w:i/>
        </w:rPr>
        <w:t>i</w:t>
      </w:r>
      <w:r w:rsidR="00911BF4">
        <w:t xml:space="preserve">.  </w:t>
      </w:r>
    </w:p>
    <w:p w:rsidR="00911BF4" w:rsidRDefault="00911BF4" w:rsidP="00911BF4">
      <w:pPr>
        <w:rPr>
          <w:rFonts w:eastAsiaTheme="minorEastAsia"/>
          <w:iCs/>
        </w:rPr>
      </w:pPr>
    </w:p>
    <w:p w:rsidR="00911BF4" w:rsidRPr="007166B8" w:rsidRDefault="00911BF4" w:rsidP="00911BF4">
      <w:pPr>
        <w:rPr>
          <w:rFonts w:eastAsiaTheme="minorEastAsia"/>
          <w:iCs/>
        </w:rPr>
      </w:pPr>
      <w:r w:rsidRPr="007166B8">
        <w:rPr>
          <w:rFonts w:eastAsiaTheme="minorEastAsia"/>
          <w:iCs/>
        </w:rPr>
        <w:t>Each term in the summation correspond</w:t>
      </w:r>
      <w:r>
        <w:rPr>
          <w:rFonts w:eastAsiaTheme="minorEastAsia"/>
          <w:iCs/>
        </w:rPr>
        <w:t>s</w:t>
      </w:r>
      <w:r w:rsidRPr="007166B8">
        <w:rPr>
          <w:rFonts w:eastAsiaTheme="minorEastAsia"/>
          <w:iCs/>
        </w:rPr>
        <w:t xml:space="preserve"> to the sector specific contribution to the overall effect. The sectors classification is:</w:t>
      </w:r>
    </w:p>
    <w:p w:rsidR="00911BF4" w:rsidRPr="00346865" w:rsidRDefault="00911BF4" w:rsidP="00911BF4">
      <w:pPr>
        <w:pStyle w:val="Dashedbullets"/>
        <w:ind w:left="720" w:hanging="360"/>
      </w:pPr>
      <w:r w:rsidRPr="00346865">
        <w:t>Division A: Agriculture, Forestry and Fishing</w:t>
      </w:r>
      <w:r>
        <w:t>;</w:t>
      </w:r>
    </w:p>
    <w:p w:rsidR="00911BF4" w:rsidRPr="00346865" w:rsidRDefault="00911BF4" w:rsidP="00911BF4">
      <w:pPr>
        <w:pStyle w:val="Dashedbullets"/>
        <w:ind w:left="720" w:hanging="360"/>
      </w:pPr>
      <w:r w:rsidRPr="00346865">
        <w:t>Division B: Mining</w:t>
      </w:r>
      <w:r>
        <w:t>;</w:t>
      </w:r>
    </w:p>
    <w:p w:rsidR="00911BF4" w:rsidRDefault="00911BF4" w:rsidP="00911BF4">
      <w:pPr>
        <w:pStyle w:val="Dashedbullets"/>
        <w:ind w:left="720" w:hanging="360"/>
      </w:pPr>
      <w:r w:rsidRPr="00346865">
        <w:t>Division C: Manufacturing</w:t>
      </w:r>
      <w:r>
        <w:t>;</w:t>
      </w:r>
    </w:p>
    <w:p w:rsidR="00911BF4" w:rsidRPr="00346865" w:rsidRDefault="00911BF4" w:rsidP="00911BF4">
      <w:pPr>
        <w:pStyle w:val="Dashedbullets"/>
        <w:ind w:left="720" w:hanging="360"/>
      </w:pPr>
      <w:r w:rsidRPr="00346865">
        <w:t>Division D: Electricity, Gas, Water &amp; Waste services</w:t>
      </w:r>
      <w:r>
        <w:t>;</w:t>
      </w:r>
    </w:p>
    <w:p w:rsidR="00911BF4" w:rsidRPr="00346865" w:rsidRDefault="00911BF4" w:rsidP="00911BF4">
      <w:pPr>
        <w:pStyle w:val="Dashedbullets"/>
        <w:ind w:left="720" w:hanging="360"/>
      </w:pPr>
      <w:r w:rsidRPr="00346865">
        <w:t>Div. I Transport, Postal and Warehousing</w:t>
      </w:r>
      <w:r>
        <w:t>;</w:t>
      </w:r>
    </w:p>
    <w:p w:rsidR="00911BF4" w:rsidRPr="00346865" w:rsidRDefault="00911BF4" w:rsidP="00911BF4">
      <w:pPr>
        <w:pStyle w:val="Dashedbullets"/>
        <w:ind w:left="720" w:hanging="360"/>
      </w:pPr>
      <w:r w:rsidRPr="00346865">
        <w:t>Commercial and Services</w:t>
      </w:r>
      <w:r>
        <w:t>;</w:t>
      </w:r>
    </w:p>
    <w:p w:rsidR="00911BF4" w:rsidRDefault="00911BF4" w:rsidP="00911BF4">
      <w:pPr>
        <w:pStyle w:val="Dashedbullets"/>
        <w:ind w:left="720" w:hanging="360"/>
      </w:pPr>
      <w:r w:rsidRPr="00346865">
        <w:t>Residential</w:t>
      </w:r>
      <w:r>
        <w:t>.</w:t>
      </w:r>
    </w:p>
    <w:p w:rsidR="00911BF4" w:rsidRPr="007166B8" w:rsidRDefault="00911BF4" w:rsidP="00911BF4">
      <w:pPr>
        <w:pStyle w:val="Dashedbullets"/>
        <w:numPr>
          <w:ilvl w:val="0"/>
          <w:numId w:val="0"/>
        </w:numPr>
        <w:ind w:left="284"/>
      </w:pPr>
    </w:p>
    <w:p w:rsidR="00911BF4" w:rsidRPr="007166B8" w:rsidRDefault="00911BF4" w:rsidP="00911BF4">
      <w:pPr>
        <w:pStyle w:val="Dashedbullets"/>
        <w:numPr>
          <w:ilvl w:val="0"/>
          <w:numId w:val="0"/>
        </w:numPr>
      </w:pPr>
      <w:r w:rsidRPr="007166B8">
        <w:t xml:space="preserve">The regional decomposition </w:t>
      </w:r>
      <w:r>
        <w:t xml:space="preserve">encompasses </w:t>
      </w:r>
      <w:r w:rsidRPr="007166B8">
        <w:t>all states.</w:t>
      </w:r>
    </w:p>
    <w:p w:rsidR="00911BF4" w:rsidRDefault="00911BF4" w:rsidP="00911BF4">
      <w:pPr>
        <w:pStyle w:val="Dashedbullets"/>
        <w:numPr>
          <w:ilvl w:val="0"/>
          <w:numId w:val="0"/>
        </w:numPr>
      </w:pPr>
    </w:p>
    <w:p w:rsidR="00911BF4" w:rsidRPr="006F5A50" w:rsidRDefault="00911BF4" w:rsidP="00911BF4">
      <w:pPr>
        <w:rPr>
          <w:rFonts w:eastAsiaTheme="minorEastAsia"/>
          <w:iCs/>
        </w:rPr>
      </w:pPr>
      <w:r w:rsidRPr="006F5A50">
        <w:rPr>
          <w:rFonts w:eastAsiaTheme="minorEastAsia"/>
          <w:iCs/>
        </w:rPr>
        <w:t xml:space="preserve">The methods are refined with additional interaction terms to yield a perfect decomposition. The Laspeyres method can produce residuals caused by the interaction between changes of factors. It is important to obtain as perfect decomposition as possible since any residuals </w:t>
      </w:r>
      <w:r>
        <w:rPr>
          <w:rFonts w:eastAsiaTheme="minorEastAsia"/>
          <w:iCs/>
        </w:rPr>
        <w:t xml:space="preserve">would leave </w:t>
      </w:r>
      <w:r w:rsidRPr="006F5A50">
        <w:rPr>
          <w:rFonts w:eastAsiaTheme="minorEastAsia"/>
          <w:iCs/>
        </w:rPr>
        <w:t xml:space="preserve">a change in electricity that is unexplained. The ‘refined Laspeyres decomposition’ is designed to keep the residual equal to zero, by </w:t>
      </w:r>
      <w:r w:rsidR="00971CE6">
        <w:rPr>
          <w:rFonts w:eastAsiaTheme="minorEastAsia"/>
          <w:iCs/>
        </w:rPr>
        <w:t xml:space="preserve">using joint creation, equal distribution </w:t>
      </w:r>
      <w:r w:rsidRPr="006F5A50">
        <w:rPr>
          <w:rFonts w:eastAsiaTheme="minorEastAsia"/>
          <w:iCs/>
        </w:rPr>
        <w:t xml:space="preserve">principle to </w:t>
      </w:r>
      <w:r w:rsidR="00971CE6">
        <w:rPr>
          <w:rFonts w:eastAsiaTheme="minorEastAsia"/>
          <w:iCs/>
        </w:rPr>
        <w:t>allocate</w:t>
      </w:r>
      <w:r w:rsidRPr="006F5A50">
        <w:rPr>
          <w:rFonts w:eastAsiaTheme="minorEastAsia"/>
          <w:iCs/>
        </w:rPr>
        <w:t xml:space="preserve"> the interactions among the main effects’. The refined formula for activity effect then becomes:</w:t>
      </w:r>
    </w:p>
    <w:p w:rsidR="00911BF4" w:rsidRDefault="00911BF4" w:rsidP="00911BF4">
      <w:pPr>
        <w:rPr>
          <w:rFonts w:eastAsiaTheme="minorEastAsia"/>
          <w:iCs/>
        </w:rPr>
      </w:pPr>
    </w:p>
    <w:p w:rsidR="00911BF4" w:rsidRDefault="00911BF4" w:rsidP="00911BF4">
      <w:pPr>
        <w:pStyle w:val="Dashedbullets"/>
        <w:spacing w:line="240" w:lineRule="atLeast"/>
        <w:ind w:left="720" w:hanging="360"/>
      </w:pP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act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Q</m:t>
                </m:r>
              </m:e>
              <m:sup>
                <m:r>
                  <w:rPr>
                    <w:rFonts w:ascii="Cambria Math" w:hAnsi="Cambria Math"/>
                  </w:rPr>
                  <m:t>T</m:t>
                </m:r>
              </m:sup>
            </m:sSup>
            <m:sSup>
              <m:sSupPr>
                <m:ctrlPr>
                  <w:rPr>
                    <w:rFonts w:ascii="Cambria Math" w:hAnsi="Cambria Math"/>
                  </w:rPr>
                </m:ctrlPr>
              </m:sSupPr>
              <m:e>
                <m:r>
                  <m:rPr>
                    <m:sty m:val="p"/>
                  </m:rPr>
                  <w:rPr>
                    <w:rFonts w:ascii="Cambria Math" w:hAnsi="Cambria Math"/>
                  </w:rPr>
                  <m:t>-</m:t>
                </m:r>
                <m:r>
                  <w:rPr>
                    <w:rFonts w:ascii="Cambria Math" w:hAnsi="Cambria Math"/>
                  </w:rPr>
                  <m:t>Q</m:t>
                </m:r>
              </m:e>
              <m:sup>
                <m:r>
                  <m:rPr>
                    <m:sty m:val="p"/>
                  </m:rPr>
                  <w:rPr>
                    <w:rFonts w:ascii="Cambria Math" w:hAnsi="Cambria Math"/>
                  </w:rPr>
                  <m:t>0</m:t>
                </m:r>
              </m:sup>
            </m:sSup>
          </m:e>
        </m:d>
        <m:nary>
          <m:naryPr>
            <m:chr m:val="∑"/>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sSubSup>
              <m:sSubSupPr>
                <m:ctrlPr>
                  <w:rPr>
                    <w:rFonts w:ascii="Cambria Math" w:hAnsi="Cambria Math"/>
                  </w:rPr>
                </m:ctrlPr>
              </m:sSubSupPr>
              <m:e>
                <m:r>
                  <w:rPr>
                    <w:rFonts w:ascii="Cambria Math" w:hAnsi="Cambria Math"/>
                  </w:rPr>
                  <m:t>I</m:t>
                </m:r>
              </m:e>
              <m:sub>
                <m:r>
                  <w:rPr>
                    <w:rFonts w:ascii="Cambria Math" w:hAnsi="Cambria Math"/>
                  </w:rPr>
                  <m:t>i</m:t>
                </m:r>
              </m:sub>
              <m:sup>
                <m:r>
                  <m:rPr>
                    <m:sty m:val="p"/>
                  </m:rPr>
                  <w:rPr>
                    <w:rFonts w:ascii="Cambria Math" w:hAnsi="Cambria Math"/>
                  </w:rPr>
                  <m:t>0</m:t>
                </m:r>
              </m:sup>
            </m:sSubSup>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p>
              <m:sSupPr>
                <m:ctrlPr>
                  <w:rPr>
                    <w:rFonts w:ascii="Cambria Math" w:hAnsi="Cambria Math"/>
                  </w:rPr>
                </m:ctrlPr>
              </m:sSupPr>
              <m:e>
                <m:r>
                  <w:rPr>
                    <w:rFonts w:ascii="Cambria Math" w:hAnsi="Cambria Math"/>
                  </w:rPr>
                  <m:t>Q</m:t>
                </m:r>
              </m:e>
              <m:sup>
                <m:r>
                  <w:rPr>
                    <w:rFonts w:ascii="Cambria Math" w:hAnsi="Cambria Math"/>
                  </w:rPr>
                  <m:t>T</m:t>
                </m:r>
              </m:sup>
            </m:sSup>
            <m:sSup>
              <m:sSupPr>
                <m:ctrlPr>
                  <w:rPr>
                    <w:rFonts w:ascii="Cambria Math" w:hAnsi="Cambria Math"/>
                  </w:rPr>
                </m:ctrlPr>
              </m:sSupPr>
              <m:e>
                <m:r>
                  <m:rPr>
                    <m:sty m:val="p"/>
                  </m:rPr>
                  <w:rPr>
                    <w:rFonts w:ascii="Cambria Math" w:hAnsi="Cambria Math"/>
                  </w:rPr>
                  <m:t>-</m:t>
                </m:r>
                <m:r>
                  <w:rPr>
                    <w:rFonts w:ascii="Cambria Math" w:hAnsi="Cambria Math"/>
                  </w:rPr>
                  <m:t>Q</m:t>
                </m:r>
              </m:e>
              <m:sup>
                <m:r>
                  <m:rPr>
                    <m:sty m:val="p"/>
                  </m:rPr>
                  <w:rPr>
                    <w:rFonts w:ascii="Cambria Math" w:hAnsi="Cambria Math"/>
                  </w:rPr>
                  <m:t>0</m:t>
                </m:r>
              </m:sup>
            </m:sSup>
          </m:e>
        </m:d>
        <m:d>
          <m:dPr>
            <m:ctrlPr>
              <w:rPr>
                <w:rFonts w:ascii="Cambria Math" w:hAnsi="Cambria Math"/>
              </w:rPr>
            </m:ctrlPr>
          </m:dPr>
          <m:e>
            <m:nary>
              <m:naryPr>
                <m:chr m:val="∑"/>
                <m:supHide m:val="1"/>
                <m:ctrlPr>
                  <w:rPr>
                    <w:rFonts w:ascii="Cambria Math" w:hAnsi="Cambria Math"/>
                  </w:rPr>
                </m:ctrlPr>
              </m:naryPr>
              <m:sub>
                <m:r>
                  <w:rPr>
                    <w:rFonts w:ascii="Cambria Math" w:hAnsi="Cambria Math"/>
                  </w:rPr>
                  <m:t>i</m:t>
                </m:r>
              </m:sub>
              <m:sup/>
              <m:e>
                <m:d>
                  <m:dPr>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e>
                </m:d>
              </m:e>
            </m:nary>
            <m:sSubSup>
              <m:sSubSupPr>
                <m:ctrlPr>
                  <w:rPr>
                    <w:rFonts w:ascii="Cambria Math" w:hAnsi="Cambria Math"/>
                  </w:rPr>
                </m:ctrlPr>
              </m:sSubSupPr>
              <m:e>
                <m:r>
                  <w:rPr>
                    <w:rFonts w:ascii="Cambria Math" w:hAnsi="Cambria Math"/>
                  </w:rPr>
                  <m:t>I</m:t>
                </m:r>
              </m:e>
              <m:sub>
                <m:r>
                  <w:rPr>
                    <w:rFonts w:ascii="Cambria Math" w:hAnsi="Cambria Math"/>
                  </w:rPr>
                  <m:t>i</m:t>
                </m:r>
              </m:sub>
              <m:sup>
                <m:r>
                  <m:rPr>
                    <m:sty m:val="p"/>
                  </m:rPr>
                  <w:rPr>
                    <w:rFonts w:ascii="Cambria Math" w:hAnsi="Cambria Math"/>
                  </w:rPr>
                  <m:t>0</m:t>
                </m:r>
              </m:sup>
            </m:sSubSup>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i</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m:t>
                        </m:r>
                      </m:sub>
                      <m:sup>
                        <m:r>
                          <m:rPr>
                            <m:sty m:val="p"/>
                          </m:rPr>
                          <w:rPr>
                            <w:rFonts w:ascii="Cambria Math" w:hAnsi="Cambria Math"/>
                          </w:rPr>
                          <m:t>0</m:t>
                        </m:r>
                      </m:sup>
                    </m:sSubSup>
                  </m:e>
                </m:d>
              </m:e>
            </m:nary>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nary>
          <m:naryPr>
            <m:chr m:val="∑"/>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r>
                  <m:rPr>
                    <m:sty m:val="p"/>
                  </m:rPr>
                  <w:rPr>
                    <w:rFonts w:ascii="Cambria Math" w:hAnsi="Cambria Math"/>
                  </w:rPr>
                  <m:t>(</m:t>
                </m:r>
                <m:r>
                  <w:rPr>
                    <w:rFonts w:ascii="Cambria Math" w:hAnsi="Cambria Math"/>
                  </w:rPr>
                  <m:t>Q</m:t>
                </m:r>
              </m:e>
              <m:sup>
                <m:r>
                  <w:rPr>
                    <w:rFonts w:ascii="Cambria Math" w:hAnsi="Cambria Math"/>
                  </w:rPr>
                  <m:t>T</m:t>
                </m:r>
              </m:sup>
            </m:sSup>
            <m:sSup>
              <m:sSupPr>
                <m:ctrlPr>
                  <w:rPr>
                    <w:rFonts w:ascii="Cambria Math" w:hAnsi="Cambria Math"/>
                  </w:rPr>
                </m:ctrlPr>
              </m:sSupPr>
              <m:e>
                <m:r>
                  <m:rPr>
                    <m:sty m:val="p"/>
                  </m:rPr>
                  <w:rPr>
                    <w:rFonts w:ascii="Cambria Math" w:hAnsi="Cambria Math"/>
                  </w:rPr>
                  <m:t>-</m:t>
                </m:r>
                <m:r>
                  <w:rPr>
                    <w:rFonts w:ascii="Cambria Math" w:hAnsi="Cambria Math"/>
                  </w:rPr>
                  <m:t>Q</m:t>
                </m:r>
              </m:e>
              <m:sup>
                <m:r>
                  <m:rPr>
                    <m:sty m:val="p"/>
                  </m:rPr>
                  <w:rPr>
                    <w:rFonts w:ascii="Cambria Math" w:hAnsi="Cambria Math"/>
                  </w:rPr>
                  <m:t>0</m:t>
                </m:r>
              </m:sup>
            </m:s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i</m:t>
                    </m:r>
                  </m:sub>
                  <m:sup>
                    <m:r>
                      <m:rPr>
                        <m:sty m:val="p"/>
                      </m:rPr>
                      <w:rPr>
                        <w:rFonts w:ascii="Cambria Math" w:hAnsi="Cambria Math"/>
                      </w:rPr>
                      <m:t>0</m:t>
                    </m:r>
                  </m:sup>
                </m:sSubSup>
              </m:e>
            </m:d>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i</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m:t>
                    </m:r>
                  </m:sub>
                  <m:sup>
                    <m:r>
                      <m:rPr>
                        <m:sty m:val="p"/>
                      </m:rPr>
                      <w:rPr>
                        <w:rFonts w:ascii="Cambria Math" w:hAnsi="Cambria Math"/>
                      </w:rPr>
                      <m:t>0</m:t>
                    </m:r>
                  </m:sup>
                </m:sSubSup>
              </m:e>
            </m:d>
          </m:e>
        </m:nary>
      </m:oMath>
    </w:p>
    <w:p w:rsidR="00911BF4" w:rsidRPr="00C4560E" w:rsidRDefault="00911BF4" w:rsidP="00911BF4">
      <w:pPr>
        <w:jc w:val="both"/>
        <w:rPr>
          <w:rFonts w:eastAsiaTheme="minorEastAsia"/>
          <w:iCs/>
        </w:rPr>
      </w:pPr>
    </w:p>
    <w:p w:rsidR="00911BF4" w:rsidRPr="002840B9" w:rsidRDefault="00911BF4" w:rsidP="00911BF4">
      <w:pPr>
        <w:jc w:val="both"/>
        <w:rPr>
          <w:rFonts w:eastAsiaTheme="minorEastAsia"/>
          <w:iCs/>
        </w:rPr>
      </w:pPr>
      <w:r>
        <w:rPr>
          <w:rFonts w:eastAsiaTheme="minorEastAsia"/>
          <w:iCs/>
        </w:rPr>
        <w:t xml:space="preserve">with similar formulae for the other effects into which the variable of interest is decomposed, see </w:t>
      </w:r>
      <w:r w:rsidR="005A66AE">
        <w:rPr>
          <w:rFonts w:eastAsiaTheme="minorEastAsia"/>
          <w:iCs/>
        </w:rPr>
        <w:fldChar w:fldCharType="begin" w:fldLock="1"/>
      </w:r>
      <w:r w:rsidR="00971CE6">
        <w:rPr>
          <w:rFonts w:eastAsiaTheme="minorEastAsia"/>
          <w:iCs/>
        </w:rPr>
        <w:instrText>ADDIN CSL_CITATION { "citationItems" : [ { "id" : "ITEM-1", "itemData" : { "DOI" : "10.1016/S0360-5442(00)00039-6", "ISSN" : "03605442", "author" : [ { "dropping-particle" : "", "family" : "Ang", "given" : "B.W.", "non-dropping-particle" : "", "parse-names" : false, "suffix" : "" }, { "dropping-particle" : "", "family" : "Zhang", "given" : "F.Q.", "non-dropping-particle" : "", "parse-names" : false, "suffix" : "" } ], "container-title" : "Energy", "id" : "ITEM-1", "issue" : "12", "issued" : { "date-parts" : [ [ "2000", "12" ] ] }, "page" : "1149-1176", "title" : "A survey of index decomposition analysis in energy and environmental studies", "type" : "article-journal", "volume" : "25" }, "uris" : [ "http://www.mendeley.com/documents/?uuid=ebea0ac7-c6b1-45ae-9c15-f0f2ed3b7eb3" ] }, { "id" : "ITEM-2", "itemData" : { "author" : [ { "dropping-particle" : "", "family" : "Granel", "given" : "Frederic", "non-dropping-particle" : "", "parse-names" : false, "suffix" : "" } ], "id" : "ITEM-2", "issued" : { "date-parts" : [ [ "2003" ] ] }, "title" : "A comparative analysis of index decomposition methods", "type" : "thesis" }, "uris" : [ "http://www.mendeley.com/documents/?uuid=939c7514-f402-490a-9945-a5bb64956a42" ] } ], "mendeley" : { "manualFormatting" : "(Ang &amp; Zhang, 2000)", "previouslyFormattedCitation" : "(Ang &amp; Zhang, 2000; Granel, 2003)" }, "properties" : { "noteIndex" : 0 }, "schema" : "https://github.com/citation-style-language/schema/raw/master/csl-citation.json" }</w:instrText>
      </w:r>
      <w:r w:rsidR="005A66AE">
        <w:rPr>
          <w:rFonts w:eastAsiaTheme="minorEastAsia"/>
          <w:iCs/>
        </w:rPr>
        <w:fldChar w:fldCharType="separate"/>
      </w:r>
      <w:r w:rsidR="00971CE6">
        <w:rPr>
          <w:rFonts w:eastAsiaTheme="minorEastAsia"/>
          <w:iCs/>
          <w:noProof/>
        </w:rPr>
        <w:t>(Ang &amp; Zhang, 2000</w:t>
      </w:r>
      <w:r w:rsidRPr="00D97452">
        <w:rPr>
          <w:rFonts w:eastAsiaTheme="minorEastAsia"/>
          <w:iCs/>
          <w:noProof/>
        </w:rPr>
        <w:t>)</w:t>
      </w:r>
      <w:r w:rsidR="005A66AE">
        <w:rPr>
          <w:rFonts w:eastAsiaTheme="minorEastAsia"/>
          <w:iCs/>
        </w:rPr>
        <w:fldChar w:fldCharType="end"/>
      </w:r>
      <w:r>
        <w:rPr>
          <w:rFonts w:eastAsiaTheme="minorEastAsia"/>
          <w:iCs/>
        </w:rPr>
        <w:t xml:space="preserve"> for details.</w:t>
      </w:r>
    </w:p>
    <w:p w:rsidR="00911BF4" w:rsidRDefault="00911BF4" w:rsidP="00911BF4">
      <w:pPr>
        <w:rPr>
          <w:rFonts w:eastAsiaTheme="minorEastAsia"/>
          <w:iCs/>
        </w:rPr>
      </w:pPr>
    </w:p>
    <w:p w:rsidR="00911BF4" w:rsidRDefault="00911BF4" w:rsidP="00911BF4">
      <w:pPr>
        <w:pStyle w:val="Heading3"/>
      </w:pPr>
      <w:r>
        <w:t>Logarithmic Mean Divisia Index (LMDI)</w:t>
      </w:r>
    </w:p>
    <w:p w:rsidR="00911BF4" w:rsidRPr="006F5A50" w:rsidRDefault="00911BF4" w:rsidP="00911BF4">
      <w:r w:rsidRPr="006F5A50">
        <w:rPr>
          <w:rFonts w:eastAsiaTheme="minorEastAsia"/>
        </w:rPr>
        <w:t>LMDI is based on the logarithm mean growth rate of factors of interest so each fact</w:t>
      </w:r>
      <w:r>
        <w:rPr>
          <w:rFonts w:eastAsiaTheme="minorEastAsia"/>
        </w:rPr>
        <w:t>or contribution is the logarithmic</w:t>
      </w:r>
      <w:r w:rsidRPr="006F5A50">
        <w:rPr>
          <w:rFonts w:eastAsiaTheme="minorEastAsia"/>
        </w:rPr>
        <w:t xml:space="preserve"> change in the factor multiplied by a weight that represents the logarithmic mean of the change of electricity consumption. </w:t>
      </w:r>
      <w:r w:rsidRPr="006F5A50">
        <w:t xml:space="preserve">Starting with the identity: </w:t>
      </w:r>
    </w:p>
    <w:p w:rsidR="00911BF4" w:rsidRDefault="00911BF4" w:rsidP="00911BF4"/>
    <w:p w:rsidR="00911BF4" w:rsidRDefault="00911BF4" w:rsidP="00911BF4">
      <w:pPr>
        <w:pStyle w:val="Dashedbullets"/>
        <w:ind w:left="720" w:hanging="360"/>
        <w:rPr>
          <w:rFonts w:eastAsiaTheme="minorEastAsia"/>
        </w:rPr>
      </w:pPr>
      <m:oMath>
        <m:r>
          <w:rPr>
            <w:rFonts w:ascii="Cambria Math" w:hAnsi="Cambria Math"/>
          </w:rPr>
          <m:t>E</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E</m:t>
                </m:r>
              </m:e>
              <m:sub>
                <m:r>
                  <w:rPr>
                    <w:rFonts w:ascii="Cambria Math" w:hAnsi="Cambria Math"/>
                  </w:rPr>
                  <m:t>i</m:t>
                </m:r>
              </m:sub>
            </m:sSub>
          </m:e>
        </m:nary>
      </m:oMath>
    </w:p>
    <w:p w:rsidR="00911BF4" w:rsidRDefault="00911BF4" w:rsidP="00911BF4">
      <w:pPr>
        <w:pStyle w:val="Dashedbullets"/>
        <w:numPr>
          <w:ilvl w:val="0"/>
          <w:numId w:val="0"/>
        </w:numPr>
        <w:ind w:left="284"/>
        <w:rPr>
          <w:rFonts w:eastAsiaTheme="minorEastAsia"/>
        </w:rPr>
      </w:pPr>
    </w:p>
    <w:p w:rsidR="00911BF4" w:rsidRDefault="00911BF4" w:rsidP="00911BF4">
      <w:r w:rsidRPr="00E80768">
        <w:t>where total electricity consumption</w:t>
      </w:r>
      <w:r>
        <w:t xml:space="preserve"> </w:t>
      </w:r>
      <m:oMath>
        <m:r>
          <w:rPr>
            <w:rFonts w:ascii="Cambria Math" w:eastAsiaTheme="minorEastAsia" w:hAnsi="Cambria Math"/>
          </w:rPr>
          <m:t>E</m:t>
        </m:r>
      </m:oMath>
      <w:r w:rsidRPr="00E80768">
        <w:t xml:space="preserve"> equals the sum of electricity consumption by sector</w:t>
      </w:r>
      <w:r>
        <w:t xml:space="preserve">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sidRPr="00E80768">
        <w:t>. Then each sector</w:t>
      </w:r>
      <w:r>
        <w:t>’s consumption can be decomposed as:</w:t>
      </w:r>
    </w:p>
    <w:p w:rsidR="00911BF4" w:rsidRPr="00F667D5" w:rsidRDefault="00911BF4" w:rsidP="00911BF4"/>
    <w:p w:rsidR="00911BF4" w:rsidRDefault="003F142F" w:rsidP="00911BF4">
      <w:pPr>
        <w:pStyle w:val="Dashedbullets"/>
        <w:spacing w:line="240" w:lineRule="atLeast"/>
        <w:ind w:left="720" w:hanging="360"/>
        <w:rPr>
          <w:rFonts w:eastAsiaTheme="minorEastAsia"/>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Q</m:t>
            </m:r>
          </m:den>
        </m:f>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en>
        </m:f>
        <m:r>
          <m:rPr>
            <m:sty m:val="p"/>
          </m:rPr>
          <w:rPr>
            <w:rFonts w:ascii="Cambria Math" w:hAnsi="Cambria Math"/>
          </w:rPr>
          <m:t xml:space="preserve">  </m:t>
        </m:r>
      </m:oMath>
    </w:p>
    <w:p w:rsidR="00911BF4" w:rsidRDefault="00911BF4" w:rsidP="00911BF4">
      <w:pPr>
        <w:pStyle w:val="Dashedbullets"/>
        <w:numPr>
          <w:ilvl w:val="0"/>
          <w:numId w:val="0"/>
        </w:numPr>
        <w:ind w:left="284"/>
        <w:rPr>
          <w:rFonts w:eastAsiaTheme="minorEastAsia"/>
        </w:rPr>
      </w:pPr>
    </w:p>
    <w:p w:rsidR="00911BF4" w:rsidRDefault="00911BF4" w:rsidP="00911BF4">
      <w:r>
        <w:t>The last expression introduces matching terms in the numerator and denominator of the fraction so that the identity remains valid after cancelling out. This manipulation is introduced in order to analyse the factors that are thought to be important. These factors are:</w:t>
      </w:r>
    </w:p>
    <w:p w:rsidR="00911BF4" w:rsidRDefault="00911BF4" w:rsidP="00911BF4">
      <w:pPr>
        <w:pStyle w:val="Dashedbullets"/>
        <w:ind w:left="720" w:hanging="360"/>
        <w:rPr>
          <w:rFonts w:eastAsiaTheme="minorEastAsia"/>
        </w:rPr>
      </w:pPr>
      <m:oMath>
        <m:r>
          <m:rPr>
            <m:sty m:val="p"/>
          </m:rPr>
          <w:rPr>
            <w:rFonts w:ascii="Cambria Math" w:hAnsi="Cambria Math"/>
          </w:rPr>
          <m:t>Q</m:t>
        </m:r>
      </m:oMath>
      <w:r>
        <w:rPr>
          <w:rFonts w:eastAsiaTheme="minorEastAsia"/>
        </w:rPr>
        <w:t>, a measure of aggregate activity such as GVA;</w:t>
      </w:r>
    </w:p>
    <w:p w:rsidR="00911BF4" w:rsidRDefault="003F142F" w:rsidP="00911BF4">
      <w:pPr>
        <w:pStyle w:val="Dashedbullets"/>
        <w:ind w:left="720" w:hanging="360"/>
        <w:rPr>
          <w:rFonts w:eastAsiaTheme="minorEastAsia"/>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r>
          <w:rPr>
            <w:rFonts w:ascii="Cambria Math" w:eastAsiaTheme="minorEastAsia" w:hAnsi="Cambria Math"/>
          </w:rPr>
          <m:t>,</m:t>
        </m:r>
      </m:oMath>
      <w:r w:rsidR="00911BF4">
        <w:rPr>
          <w:rFonts w:eastAsiaTheme="minorEastAsia"/>
        </w:rPr>
        <w:t xml:space="preserve"> a measure of sectoral/regional activity;</w:t>
      </w:r>
    </w:p>
    <w:p w:rsidR="00911BF4" w:rsidRDefault="003F142F" w:rsidP="00911BF4">
      <w:pPr>
        <w:pStyle w:val="Dashedbullets"/>
        <w:ind w:left="720" w:hanging="360"/>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m:t>
            </m:r>
          </m:sub>
        </m:sSub>
      </m:oMath>
      <w:r w:rsidR="00911BF4">
        <w:rPr>
          <w:rFonts w:eastAsiaTheme="minorEastAsia"/>
        </w:rPr>
        <w:t>, a measure of intensity; and,</w:t>
      </w:r>
    </w:p>
    <w:p w:rsidR="00911BF4" w:rsidRPr="00C4560E" w:rsidRDefault="003F142F" w:rsidP="00911BF4">
      <w:pPr>
        <w:pStyle w:val="Dashedbullets"/>
        <w:ind w:left="720" w:hanging="360"/>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m:t>
            </m:r>
          </m:sub>
        </m:sSub>
        <m:r>
          <w:rPr>
            <w:rFonts w:ascii="Cambria Math" w:eastAsiaTheme="minorEastAsia" w:hAnsi="Cambria Math"/>
          </w:rPr>
          <m:t>/Q</m:t>
        </m:r>
      </m:oMath>
      <w:r w:rsidR="00911BF4">
        <w:rPr>
          <w:rFonts w:eastAsiaTheme="minorEastAsia"/>
        </w:rPr>
        <w:t>, the share of a sector/region.</w:t>
      </w:r>
    </w:p>
    <w:p w:rsidR="00911BF4" w:rsidRPr="00C4560E" w:rsidRDefault="00911BF4" w:rsidP="00911BF4">
      <w:pPr>
        <w:rPr>
          <w:rFonts w:eastAsiaTheme="minorEastAsia"/>
        </w:rPr>
      </w:pPr>
    </w:p>
    <w:p w:rsidR="00911BF4" w:rsidRDefault="00911BF4" w:rsidP="00911BF4">
      <w:pPr>
        <w:rPr>
          <w:rFonts w:eastAsiaTheme="minorEastAsia"/>
        </w:rPr>
      </w:pPr>
      <w:r>
        <w:rPr>
          <w:rFonts w:eastAsiaTheme="minorEastAsia"/>
        </w:rPr>
        <w:t>The LMDI decomposition is:</w:t>
      </w:r>
    </w:p>
    <w:p w:rsidR="00911BF4" w:rsidRPr="000A601A" w:rsidRDefault="003F142F" w:rsidP="00911BF4">
      <w:pPr>
        <w:pStyle w:val="Dashedbullets"/>
        <w:ind w:left="720" w:hanging="360"/>
      </w:pPr>
      <m:oMath>
        <m:sSup>
          <m:sSupPr>
            <m:ctrlPr>
              <w:rPr>
                <w:rFonts w:ascii="Cambria Math" w:hAnsi="Cambria Math"/>
              </w:rPr>
            </m:ctrlPr>
          </m:sSupPr>
          <m:e>
            <m:r>
              <w:rPr>
                <w:rFonts w:ascii="Cambria Math" w:hAnsi="Cambria Math"/>
              </w:rPr>
              <m:t>E</m:t>
            </m:r>
          </m:e>
          <m:sup>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m:t>
            </m:r>
          </m:sup>
        </m:s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tot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act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str</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int</m:t>
            </m:r>
          </m:sub>
        </m:sSub>
      </m:oMath>
    </w:p>
    <w:p w:rsidR="00911BF4" w:rsidRPr="000A601A" w:rsidRDefault="00911BF4" w:rsidP="00911BF4">
      <w:pPr>
        <w:pStyle w:val="Dashedbullets"/>
        <w:numPr>
          <w:ilvl w:val="0"/>
          <w:numId w:val="0"/>
        </w:numPr>
        <w:ind w:left="284"/>
      </w:pPr>
    </w:p>
    <w:p w:rsidR="00911BF4" w:rsidRPr="00F667D5" w:rsidRDefault="00911BF4" w:rsidP="00911BF4">
      <w:pPr>
        <w:pStyle w:val="Dashedbullets"/>
        <w:spacing w:line="240" w:lineRule="atLeast"/>
        <w:ind w:left="720" w:hanging="360"/>
        <w:rPr>
          <w:sz w:val="18"/>
          <w:szCs w:val="18"/>
        </w:rPr>
      </w:pPr>
      <m:oMath>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E</m:t>
            </m:r>
          </m:e>
          <m:sub>
            <m:r>
              <w:rPr>
                <w:rFonts w:ascii="Cambria Math" w:hAnsi="Cambria Math"/>
                <w:sz w:val="18"/>
                <w:szCs w:val="18"/>
              </w:rPr>
              <m:t>act</m:t>
            </m:r>
          </m:sub>
        </m:sSub>
        <m:r>
          <m:rPr>
            <m:sty m:val="p"/>
          </m:rPr>
          <w:rPr>
            <w:rFonts w:ascii="Cambria Math" w:hAnsi="Cambria Math"/>
            <w:sz w:val="18"/>
            <w:szCs w:val="18"/>
          </w:rPr>
          <m:t>=</m:t>
        </m:r>
        <m:nary>
          <m:naryPr>
            <m:chr m:val="∑"/>
            <m:supHide m:val="1"/>
            <m:ctrlPr>
              <w:rPr>
                <w:rFonts w:ascii="Cambria Math" w:hAnsi="Cambria Math"/>
                <w:sz w:val="18"/>
                <w:szCs w:val="18"/>
              </w:rPr>
            </m:ctrlPr>
          </m:naryPr>
          <m:sub>
            <m:r>
              <w:rPr>
                <w:rFonts w:ascii="Cambria Math" w:hAnsi="Cambria Math"/>
                <w:sz w:val="18"/>
                <w:szCs w:val="18"/>
              </w:rPr>
              <m:t>i</m:t>
            </m:r>
          </m:sub>
          <m:sup/>
          <m:e>
            <m:sSub>
              <m:sSubPr>
                <m:ctrlPr>
                  <w:rPr>
                    <w:rFonts w:ascii="Cambria Math" w:hAnsi="Cambria Math"/>
                    <w:sz w:val="18"/>
                    <w:szCs w:val="18"/>
                  </w:rPr>
                </m:ctrlPr>
              </m:sSubPr>
              <m:e>
                <m:r>
                  <w:rPr>
                    <w:rFonts w:ascii="Cambria Math" w:hAnsi="Cambria Math"/>
                    <w:sz w:val="18"/>
                    <w:szCs w:val="18"/>
                  </w:rPr>
                  <m:t>w</m:t>
                </m:r>
              </m:e>
              <m:sub>
                <m:r>
                  <w:rPr>
                    <w:rFonts w:ascii="Cambria Math" w:hAnsi="Cambria Math"/>
                    <w:sz w:val="18"/>
                    <w:szCs w:val="18"/>
                  </w:rPr>
                  <m:t>i</m:t>
                </m:r>
              </m:sub>
            </m:sSub>
            <m:func>
              <m:funcPr>
                <m:ctrlPr>
                  <w:rPr>
                    <w:rFonts w:ascii="Cambria Math" w:hAnsi="Cambria Math"/>
                    <w:sz w:val="18"/>
                    <w:szCs w:val="18"/>
                  </w:rPr>
                </m:ctrlPr>
              </m:funcPr>
              <m:fName>
                <m:r>
                  <w:rPr>
                    <w:rFonts w:ascii="Cambria Math" w:hAnsi="Cambria Math"/>
                    <w:sz w:val="18"/>
                    <w:szCs w:val="18"/>
                  </w:rPr>
                  <m:t>log</m:t>
                </m:r>
              </m:fName>
              <m:e>
                <m:f>
                  <m:fPr>
                    <m:ctrlPr>
                      <w:rPr>
                        <w:rFonts w:ascii="Cambria Math" w:hAnsi="Cambria Math"/>
                        <w:sz w:val="18"/>
                        <w:szCs w:val="18"/>
                      </w:rPr>
                    </m:ctrlPr>
                  </m:fPr>
                  <m:num>
                    <m:sSup>
                      <m:sSupPr>
                        <m:ctrlPr>
                          <w:rPr>
                            <w:rFonts w:ascii="Cambria Math" w:hAnsi="Cambria Math"/>
                            <w:sz w:val="18"/>
                            <w:szCs w:val="18"/>
                          </w:rPr>
                        </m:ctrlPr>
                      </m:sSupPr>
                      <m:e>
                        <m:r>
                          <w:rPr>
                            <w:rFonts w:ascii="Cambria Math" w:hAnsi="Cambria Math"/>
                            <w:sz w:val="18"/>
                            <w:szCs w:val="18"/>
                          </w:rPr>
                          <m:t>Q</m:t>
                        </m:r>
                      </m:e>
                      <m:sup>
                        <m:r>
                          <w:rPr>
                            <w:rFonts w:ascii="Cambria Math" w:hAnsi="Cambria Math"/>
                            <w:sz w:val="18"/>
                            <w:szCs w:val="18"/>
                          </w:rPr>
                          <m:t>T</m:t>
                        </m:r>
                      </m:sup>
                    </m:sSup>
                  </m:num>
                  <m:den>
                    <m:sSup>
                      <m:sSupPr>
                        <m:ctrlPr>
                          <w:rPr>
                            <w:rFonts w:ascii="Cambria Math" w:hAnsi="Cambria Math"/>
                            <w:sz w:val="18"/>
                            <w:szCs w:val="18"/>
                          </w:rPr>
                        </m:ctrlPr>
                      </m:sSupPr>
                      <m:e>
                        <m:r>
                          <w:rPr>
                            <w:rFonts w:ascii="Cambria Math" w:hAnsi="Cambria Math"/>
                            <w:sz w:val="18"/>
                            <w:szCs w:val="18"/>
                          </w:rPr>
                          <m:t>Q</m:t>
                        </m:r>
                      </m:e>
                      <m:sup>
                        <m:r>
                          <m:rPr>
                            <m:sty m:val="p"/>
                          </m:rPr>
                          <w:rPr>
                            <w:rFonts w:ascii="Cambria Math" w:hAnsi="Cambria Math"/>
                            <w:sz w:val="18"/>
                            <w:szCs w:val="18"/>
                          </w:rPr>
                          <m:t>0</m:t>
                        </m:r>
                      </m:sup>
                    </m:sSup>
                  </m:den>
                </m:f>
              </m:e>
            </m:func>
          </m:e>
        </m:nary>
      </m:oMath>
    </w:p>
    <w:p w:rsidR="00911BF4" w:rsidRPr="00F667D5" w:rsidRDefault="00911BF4" w:rsidP="00911BF4">
      <w:pPr>
        <w:pStyle w:val="Dashedbullets"/>
        <w:spacing w:line="240" w:lineRule="atLeast"/>
        <w:ind w:left="720" w:hanging="360"/>
        <w:rPr>
          <w:sz w:val="18"/>
          <w:szCs w:val="18"/>
        </w:rPr>
      </w:pPr>
      <m:oMath>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E</m:t>
            </m:r>
          </m:e>
          <m:sub>
            <m:r>
              <w:rPr>
                <w:rFonts w:ascii="Cambria Math" w:hAnsi="Cambria Math"/>
                <w:sz w:val="18"/>
                <w:szCs w:val="18"/>
              </w:rPr>
              <m:t>str</m:t>
            </m:r>
          </m:sub>
        </m:sSub>
        <m:r>
          <m:rPr>
            <m:sty m:val="p"/>
          </m:rPr>
          <w:rPr>
            <w:rFonts w:ascii="Cambria Math" w:hAnsi="Cambria Math"/>
            <w:sz w:val="18"/>
            <w:szCs w:val="18"/>
          </w:rPr>
          <m:t>=</m:t>
        </m:r>
        <m:nary>
          <m:naryPr>
            <m:chr m:val="∑"/>
            <m:supHide m:val="1"/>
            <m:ctrlPr>
              <w:rPr>
                <w:rFonts w:ascii="Cambria Math" w:hAnsi="Cambria Math"/>
                <w:sz w:val="18"/>
                <w:szCs w:val="18"/>
              </w:rPr>
            </m:ctrlPr>
          </m:naryPr>
          <m:sub>
            <m:r>
              <w:rPr>
                <w:rFonts w:ascii="Cambria Math" w:hAnsi="Cambria Math"/>
                <w:sz w:val="18"/>
                <w:szCs w:val="18"/>
              </w:rPr>
              <m:t>i</m:t>
            </m:r>
          </m:sub>
          <m:sup/>
          <m:e>
            <m:sSub>
              <m:sSubPr>
                <m:ctrlPr>
                  <w:rPr>
                    <w:rFonts w:ascii="Cambria Math" w:hAnsi="Cambria Math"/>
                    <w:sz w:val="18"/>
                    <w:szCs w:val="18"/>
                  </w:rPr>
                </m:ctrlPr>
              </m:sSubPr>
              <m:e>
                <m:r>
                  <w:rPr>
                    <w:rFonts w:ascii="Cambria Math" w:hAnsi="Cambria Math"/>
                    <w:sz w:val="18"/>
                    <w:szCs w:val="18"/>
                  </w:rPr>
                  <m:t>w</m:t>
                </m:r>
              </m:e>
              <m:sub>
                <m:r>
                  <w:rPr>
                    <w:rFonts w:ascii="Cambria Math" w:hAnsi="Cambria Math"/>
                    <w:sz w:val="18"/>
                    <w:szCs w:val="18"/>
                  </w:rPr>
                  <m:t>i</m:t>
                </m:r>
              </m:sub>
            </m:sSub>
            <m:func>
              <m:funcPr>
                <m:ctrlPr>
                  <w:rPr>
                    <w:rFonts w:ascii="Cambria Math" w:hAnsi="Cambria Math"/>
                    <w:sz w:val="18"/>
                    <w:szCs w:val="18"/>
                  </w:rPr>
                </m:ctrlPr>
              </m:funcPr>
              <m:fName>
                <m:r>
                  <w:rPr>
                    <w:rFonts w:ascii="Cambria Math" w:hAnsi="Cambria Math"/>
                    <w:sz w:val="18"/>
                    <w:szCs w:val="18"/>
                  </w:rPr>
                  <m:t>log</m:t>
                </m:r>
              </m:fName>
              <m:e>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S</m:t>
                        </m:r>
                      </m:e>
                      <m:sub>
                        <m:r>
                          <w:rPr>
                            <w:rFonts w:ascii="Cambria Math" w:hAnsi="Cambria Math"/>
                            <w:sz w:val="18"/>
                            <w:szCs w:val="18"/>
                          </w:rPr>
                          <m:t>i</m:t>
                        </m:r>
                      </m:sub>
                      <m:sup>
                        <m:r>
                          <w:rPr>
                            <w:rFonts w:ascii="Cambria Math" w:hAnsi="Cambria Math"/>
                            <w:sz w:val="18"/>
                            <w:szCs w:val="18"/>
                          </w:rPr>
                          <m:t>T</m:t>
                        </m:r>
                      </m:sup>
                    </m:sSubSup>
                  </m:num>
                  <m:den>
                    <m:sSubSup>
                      <m:sSubSupPr>
                        <m:ctrlPr>
                          <w:rPr>
                            <w:rFonts w:ascii="Cambria Math" w:hAnsi="Cambria Math"/>
                            <w:sz w:val="18"/>
                            <w:szCs w:val="18"/>
                          </w:rPr>
                        </m:ctrlPr>
                      </m:sSubSupPr>
                      <m:e>
                        <m:r>
                          <w:rPr>
                            <w:rFonts w:ascii="Cambria Math" w:hAnsi="Cambria Math"/>
                            <w:sz w:val="18"/>
                            <w:szCs w:val="18"/>
                          </w:rPr>
                          <m:t>S</m:t>
                        </m:r>
                      </m:e>
                      <m:sub>
                        <m:r>
                          <w:rPr>
                            <w:rFonts w:ascii="Cambria Math" w:hAnsi="Cambria Math"/>
                            <w:sz w:val="18"/>
                            <w:szCs w:val="18"/>
                          </w:rPr>
                          <m:t>i</m:t>
                        </m:r>
                      </m:sub>
                      <m:sup>
                        <m:r>
                          <m:rPr>
                            <m:sty m:val="p"/>
                          </m:rPr>
                          <w:rPr>
                            <w:rFonts w:ascii="Cambria Math" w:hAnsi="Cambria Math"/>
                            <w:sz w:val="18"/>
                            <w:szCs w:val="18"/>
                          </w:rPr>
                          <m:t>0</m:t>
                        </m:r>
                      </m:sup>
                    </m:sSubSup>
                  </m:den>
                </m:f>
              </m:e>
            </m:func>
          </m:e>
        </m:nary>
      </m:oMath>
    </w:p>
    <w:p w:rsidR="00911BF4" w:rsidRPr="00F667D5" w:rsidRDefault="00911BF4" w:rsidP="00911BF4">
      <w:pPr>
        <w:pStyle w:val="Dashedbullets"/>
        <w:spacing w:line="240" w:lineRule="atLeast"/>
        <w:ind w:left="720" w:hanging="360"/>
        <w:rPr>
          <w:sz w:val="18"/>
          <w:szCs w:val="18"/>
        </w:rPr>
      </w:pPr>
      <m:oMath>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E</m:t>
            </m:r>
          </m:e>
          <m:sub>
            <m:r>
              <w:rPr>
                <w:rFonts w:ascii="Cambria Math" w:hAnsi="Cambria Math"/>
                <w:sz w:val="18"/>
                <w:szCs w:val="18"/>
              </w:rPr>
              <m:t>int</m:t>
            </m:r>
          </m:sub>
        </m:sSub>
        <m:r>
          <m:rPr>
            <m:sty m:val="p"/>
          </m:rPr>
          <w:rPr>
            <w:rFonts w:ascii="Cambria Math" w:hAnsi="Cambria Math"/>
            <w:sz w:val="18"/>
            <w:szCs w:val="18"/>
          </w:rPr>
          <m:t>=</m:t>
        </m:r>
        <m:nary>
          <m:naryPr>
            <m:chr m:val="∑"/>
            <m:supHide m:val="1"/>
            <m:ctrlPr>
              <w:rPr>
                <w:rFonts w:ascii="Cambria Math" w:hAnsi="Cambria Math"/>
                <w:sz w:val="18"/>
                <w:szCs w:val="18"/>
              </w:rPr>
            </m:ctrlPr>
          </m:naryPr>
          <m:sub>
            <m:r>
              <w:rPr>
                <w:rFonts w:ascii="Cambria Math" w:hAnsi="Cambria Math"/>
                <w:sz w:val="18"/>
                <w:szCs w:val="18"/>
              </w:rPr>
              <m:t>i</m:t>
            </m:r>
          </m:sub>
          <m:sup/>
          <m:e>
            <m:sSub>
              <m:sSubPr>
                <m:ctrlPr>
                  <w:rPr>
                    <w:rFonts w:ascii="Cambria Math" w:hAnsi="Cambria Math"/>
                    <w:sz w:val="18"/>
                    <w:szCs w:val="18"/>
                  </w:rPr>
                </m:ctrlPr>
              </m:sSubPr>
              <m:e>
                <m:r>
                  <w:rPr>
                    <w:rFonts w:ascii="Cambria Math" w:hAnsi="Cambria Math"/>
                    <w:sz w:val="18"/>
                    <w:szCs w:val="18"/>
                  </w:rPr>
                  <m:t>w</m:t>
                </m:r>
              </m:e>
              <m:sub>
                <m:r>
                  <w:rPr>
                    <w:rFonts w:ascii="Cambria Math" w:hAnsi="Cambria Math"/>
                    <w:sz w:val="18"/>
                    <w:szCs w:val="18"/>
                  </w:rPr>
                  <m:t>i</m:t>
                </m:r>
              </m:sub>
            </m:sSub>
            <m:func>
              <m:funcPr>
                <m:ctrlPr>
                  <w:rPr>
                    <w:rFonts w:ascii="Cambria Math" w:hAnsi="Cambria Math"/>
                    <w:sz w:val="18"/>
                    <w:szCs w:val="18"/>
                  </w:rPr>
                </m:ctrlPr>
              </m:funcPr>
              <m:fName>
                <m:r>
                  <w:rPr>
                    <w:rFonts w:ascii="Cambria Math" w:hAnsi="Cambria Math"/>
                    <w:sz w:val="18"/>
                    <w:szCs w:val="18"/>
                  </w:rPr>
                  <m:t>log</m:t>
                </m:r>
              </m:fName>
              <m:e>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I</m:t>
                        </m:r>
                      </m:e>
                      <m:sub>
                        <m:r>
                          <w:rPr>
                            <w:rFonts w:ascii="Cambria Math" w:hAnsi="Cambria Math"/>
                            <w:sz w:val="18"/>
                            <w:szCs w:val="18"/>
                          </w:rPr>
                          <m:t>i</m:t>
                        </m:r>
                      </m:sub>
                      <m:sup>
                        <m:r>
                          <w:rPr>
                            <w:rFonts w:ascii="Cambria Math" w:hAnsi="Cambria Math"/>
                            <w:sz w:val="18"/>
                            <w:szCs w:val="18"/>
                          </w:rPr>
                          <m:t>T</m:t>
                        </m:r>
                      </m:sup>
                    </m:sSubSup>
                  </m:num>
                  <m:den>
                    <m:sSubSup>
                      <m:sSubSupPr>
                        <m:ctrlPr>
                          <w:rPr>
                            <w:rFonts w:ascii="Cambria Math" w:hAnsi="Cambria Math"/>
                            <w:sz w:val="18"/>
                            <w:szCs w:val="18"/>
                          </w:rPr>
                        </m:ctrlPr>
                      </m:sSubSupPr>
                      <m:e>
                        <m:r>
                          <w:rPr>
                            <w:rFonts w:ascii="Cambria Math" w:hAnsi="Cambria Math"/>
                            <w:sz w:val="18"/>
                            <w:szCs w:val="18"/>
                          </w:rPr>
                          <m:t>I</m:t>
                        </m:r>
                      </m:e>
                      <m:sub>
                        <m:r>
                          <w:rPr>
                            <w:rFonts w:ascii="Cambria Math" w:hAnsi="Cambria Math"/>
                            <w:sz w:val="18"/>
                            <w:szCs w:val="18"/>
                          </w:rPr>
                          <m:t>i</m:t>
                        </m:r>
                      </m:sub>
                      <m:sup>
                        <m:r>
                          <m:rPr>
                            <m:sty m:val="p"/>
                          </m:rPr>
                          <w:rPr>
                            <w:rFonts w:ascii="Cambria Math" w:hAnsi="Cambria Math"/>
                            <w:sz w:val="18"/>
                            <w:szCs w:val="18"/>
                          </w:rPr>
                          <m:t>0</m:t>
                        </m:r>
                      </m:sup>
                    </m:sSubSup>
                  </m:den>
                </m:f>
              </m:e>
            </m:func>
          </m:e>
        </m:nary>
      </m:oMath>
    </w:p>
    <w:p w:rsidR="00911BF4" w:rsidRPr="00F667D5" w:rsidRDefault="003F142F" w:rsidP="00911BF4">
      <w:pPr>
        <w:pStyle w:val="Dashedbullets"/>
        <w:spacing w:line="240" w:lineRule="atLeast"/>
        <w:ind w:left="720" w:hanging="360"/>
        <w:rPr>
          <w:sz w:val="18"/>
          <w:szCs w:val="18"/>
        </w:rPr>
      </w:pPr>
      <m:oMath>
        <m:sSub>
          <m:sSubPr>
            <m:ctrlPr>
              <w:rPr>
                <w:rFonts w:ascii="Cambria Math" w:hAnsi="Cambria Math"/>
                <w:sz w:val="18"/>
                <w:szCs w:val="18"/>
              </w:rPr>
            </m:ctrlPr>
          </m:sSubPr>
          <m:e>
            <m:r>
              <m:rPr>
                <m:sty m:val="p"/>
              </m:rPr>
              <w:rPr>
                <w:rFonts w:ascii="Cambria Math" w:hAnsi="Cambria Math" w:hint="eastAsia"/>
                <w:sz w:val="18"/>
                <w:szCs w:val="18"/>
              </w:rPr>
              <m:t> </m:t>
            </m:r>
            <m:r>
              <w:rPr>
                <w:rFonts w:ascii="Cambria Math" w:hAnsi="Cambria Math"/>
                <w:sz w:val="18"/>
                <w:szCs w:val="18"/>
              </w:rPr>
              <m:t>w</m:t>
            </m:r>
          </m:e>
          <m:sub>
            <m:r>
              <w:rPr>
                <w:rFonts w:ascii="Cambria Math" w:hAnsi="Cambria Math"/>
                <w:sz w:val="18"/>
                <w:szCs w:val="18"/>
              </w:rPr>
              <m:t>i</m:t>
            </m:r>
          </m:sub>
        </m:sSub>
        <m:r>
          <m:rPr>
            <m:sty m:val="p"/>
          </m:rPr>
          <w:rPr>
            <w:rFonts w:ascii="Cambria Math" w:hAnsi="Cambria Math"/>
            <w:sz w:val="18"/>
            <w:szCs w:val="18"/>
          </w:rPr>
          <m:t>=</m:t>
        </m:r>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E</m:t>
                </m:r>
              </m:e>
              <m:sub>
                <m:r>
                  <w:rPr>
                    <w:rFonts w:ascii="Cambria Math" w:hAnsi="Cambria Math"/>
                    <w:sz w:val="18"/>
                    <w:szCs w:val="18"/>
                  </w:rPr>
                  <m:t>i</m:t>
                </m:r>
              </m:sub>
              <m:sup>
                <m:r>
                  <w:rPr>
                    <w:rFonts w:ascii="Cambria Math" w:hAnsi="Cambria Math"/>
                    <w:sz w:val="18"/>
                    <w:szCs w:val="18"/>
                  </w:rPr>
                  <m:t>T</m:t>
                </m:r>
              </m:sup>
            </m:sSub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E</m:t>
                </m:r>
              </m:e>
              <m:sub>
                <m:r>
                  <w:rPr>
                    <w:rFonts w:ascii="Cambria Math" w:hAnsi="Cambria Math"/>
                    <w:sz w:val="18"/>
                    <w:szCs w:val="18"/>
                  </w:rPr>
                  <m:t>i</m:t>
                </m:r>
              </m:sub>
              <m:sup>
                <m:r>
                  <m:rPr>
                    <m:sty m:val="p"/>
                  </m:rPr>
                  <w:rPr>
                    <w:rFonts w:ascii="Cambria Math" w:hAnsi="Cambria Math"/>
                    <w:sz w:val="18"/>
                    <w:szCs w:val="18"/>
                  </w:rPr>
                  <m:t>0</m:t>
                </m:r>
              </m:sup>
            </m:sSubSup>
          </m:num>
          <m:den>
            <m:func>
              <m:funcPr>
                <m:ctrlPr>
                  <w:rPr>
                    <w:rFonts w:ascii="Cambria Math" w:hAnsi="Cambria Math"/>
                    <w:sz w:val="18"/>
                    <w:szCs w:val="18"/>
                  </w:rPr>
                </m:ctrlPr>
              </m:funcPr>
              <m:fName>
                <m:r>
                  <w:rPr>
                    <w:rFonts w:ascii="Cambria Math" w:hAnsi="Cambria Math"/>
                    <w:sz w:val="18"/>
                    <w:szCs w:val="18"/>
                  </w:rPr>
                  <m:t>log</m:t>
                </m:r>
              </m:fName>
              <m:e>
                <m:sSubSup>
                  <m:sSubSupPr>
                    <m:ctrlPr>
                      <w:rPr>
                        <w:rFonts w:ascii="Cambria Math" w:hAnsi="Cambria Math"/>
                        <w:sz w:val="18"/>
                        <w:szCs w:val="18"/>
                      </w:rPr>
                    </m:ctrlPr>
                  </m:sSubSupPr>
                  <m:e>
                    <m:r>
                      <w:rPr>
                        <w:rFonts w:ascii="Cambria Math" w:hAnsi="Cambria Math"/>
                        <w:sz w:val="18"/>
                        <w:szCs w:val="18"/>
                      </w:rPr>
                      <m:t>E</m:t>
                    </m:r>
                  </m:e>
                  <m:sub>
                    <m:r>
                      <w:rPr>
                        <w:rFonts w:ascii="Cambria Math" w:hAnsi="Cambria Math"/>
                        <w:sz w:val="18"/>
                        <w:szCs w:val="18"/>
                      </w:rPr>
                      <m:t>i</m:t>
                    </m:r>
                  </m:sub>
                  <m:sup>
                    <m:r>
                      <w:rPr>
                        <w:rFonts w:ascii="Cambria Math" w:hAnsi="Cambria Math"/>
                        <w:sz w:val="18"/>
                        <w:szCs w:val="18"/>
                      </w:rPr>
                      <m:t>T</m:t>
                    </m:r>
                  </m:sup>
                </m:sSubSup>
              </m:e>
            </m:func>
            <m:r>
              <m:rPr>
                <m:sty m:val="p"/>
              </m:rPr>
              <w:rPr>
                <w:rFonts w:ascii="Cambria Math" w:hAnsi="Cambria Math"/>
                <w:sz w:val="18"/>
                <w:szCs w:val="18"/>
              </w:rPr>
              <m:t>-</m:t>
            </m:r>
            <m:func>
              <m:funcPr>
                <m:ctrlPr>
                  <w:rPr>
                    <w:rFonts w:ascii="Cambria Math" w:hAnsi="Cambria Math"/>
                    <w:sz w:val="18"/>
                    <w:szCs w:val="18"/>
                  </w:rPr>
                </m:ctrlPr>
              </m:funcPr>
              <m:fName>
                <m:r>
                  <w:rPr>
                    <w:rFonts w:ascii="Cambria Math" w:hAnsi="Cambria Math"/>
                    <w:sz w:val="18"/>
                    <w:szCs w:val="18"/>
                  </w:rPr>
                  <m:t>log</m:t>
                </m:r>
              </m:fName>
              <m:e>
                <m:sSubSup>
                  <m:sSubSupPr>
                    <m:ctrlPr>
                      <w:rPr>
                        <w:rFonts w:ascii="Cambria Math" w:hAnsi="Cambria Math"/>
                        <w:sz w:val="18"/>
                        <w:szCs w:val="18"/>
                      </w:rPr>
                    </m:ctrlPr>
                  </m:sSubSupPr>
                  <m:e>
                    <m:r>
                      <w:rPr>
                        <w:rFonts w:ascii="Cambria Math" w:hAnsi="Cambria Math"/>
                        <w:sz w:val="18"/>
                        <w:szCs w:val="18"/>
                      </w:rPr>
                      <m:t>E</m:t>
                    </m:r>
                  </m:e>
                  <m:sub>
                    <m:r>
                      <w:rPr>
                        <w:rFonts w:ascii="Cambria Math" w:hAnsi="Cambria Math"/>
                        <w:sz w:val="18"/>
                        <w:szCs w:val="18"/>
                      </w:rPr>
                      <m:t>i</m:t>
                    </m:r>
                  </m:sub>
                  <m:sup>
                    <m:r>
                      <m:rPr>
                        <m:sty m:val="p"/>
                      </m:rPr>
                      <w:rPr>
                        <w:rFonts w:ascii="Cambria Math" w:hAnsi="Cambria Math"/>
                        <w:sz w:val="18"/>
                        <w:szCs w:val="18"/>
                      </w:rPr>
                      <m:t>0</m:t>
                    </m:r>
                  </m:sup>
                </m:sSubSup>
              </m:e>
            </m:func>
          </m:den>
        </m:f>
      </m:oMath>
    </w:p>
    <w:p w:rsidR="00911BF4" w:rsidRDefault="00911BF4" w:rsidP="00911BF4">
      <w:pPr>
        <w:spacing w:line="300" w:lineRule="atLeast"/>
        <w:rPr>
          <w:rFonts w:eastAsiaTheme="minorEastAsia"/>
        </w:rPr>
      </w:pPr>
    </w:p>
    <w:p w:rsidR="00911BF4" w:rsidRPr="006F5A50" w:rsidRDefault="00911BF4" w:rsidP="00911BF4">
      <w:r w:rsidRPr="006F5A50">
        <w:t>Unlike the Laspeyres</w:t>
      </w:r>
      <w:r>
        <w:t>,</w:t>
      </w:r>
      <w:r w:rsidRPr="006F5A50">
        <w:t xml:space="preserve"> the LMDI is a perfect decomposition so it leaves no residuals</w:t>
      </w:r>
      <w:r>
        <w:t xml:space="preserve">, </w:t>
      </w:r>
      <w:r w:rsidRPr="006F5A50">
        <w:t xml:space="preserve">see </w:t>
      </w:r>
      <w:r w:rsidR="005A66AE" w:rsidRPr="006F5A50">
        <w:fldChar w:fldCharType="begin" w:fldLock="1"/>
      </w:r>
      <w:r w:rsidR="00971CE6">
        <w:instrText>ADDIN CSL_CITATION { "citationItems" : [ { "id" : "ITEM-1", "itemData" : { "author" : [ { "dropping-particle" : "", "family" : "Ang", "given" : "B.W.", "non-dropping-particle" : "", "parse-names" : false, "suffix" : "" } ], "container-title" : "Energy Policy", "id" : "ITEM-1", "issued" : { "date-parts" : [ [ "2005" ] ] }, "page" : "867-871", "title" : "The LMDI approach to decomposition analysis: a practical guide", "type" : "article-journal", "volume" : "33" }, "uris" : [ "http://www.mendeley.com/documents/?uuid=c1fffec4-16aa-483a-ba5f-a5d1350925d5" ] } ], "mendeley" : { "previouslyFormattedCitation" : "(Ang, 2005)" }, "properties" : { "noteIndex" : 0 }, "schema" : "https://github.com/citation-style-language/schema/raw/master/csl-citation.json" }</w:instrText>
      </w:r>
      <w:r w:rsidR="005A66AE" w:rsidRPr="006F5A50">
        <w:fldChar w:fldCharType="separate"/>
      </w:r>
      <w:r w:rsidRPr="006F5A50">
        <w:rPr>
          <w:noProof/>
        </w:rPr>
        <w:t>(Ang, 2005)</w:t>
      </w:r>
      <w:r w:rsidR="005A66AE" w:rsidRPr="006F5A50">
        <w:fldChar w:fldCharType="end"/>
      </w:r>
      <w:r w:rsidRPr="006F5A50">
        <w:t xml:space="preserve"> for more details.</w:t>
      </w:r>
    </w:p>
    <w:p w:rsidR="00911BF4" w:rsidRPr="006F5A50" w:rsidRDefault="00911BF4" w:rsidP="00911BF4"/>
    <w:p w:rsidR="00911BF4" w:rsidRPr="006F5A50" w:rsidRDefault="00911BF4" w:rsidP="00911BF4">
      <w:r w:rsidRPr="006F5A50">
        <w:t xml:space="preserve">The key difference between the Laspeyres and LMDI is that Laspeyres uses weights based on data from a single base year, while the LMDI uses the average of the data of the two years. Both the Laspeyres and LMDI perform reasonably well. </w:t>
      </w:r>
      <w:r>
        <w:t>T</w:t>
      </w:r>
      <w:r w:rsidRPr="006F5A50">
        <w:t>he IEA recommends both methods</w:t>
      </w:r>
      <w:r>
        <w:t>,</w:t>
      </w:r>
      <w:r w:rsidRPr="006F5A50">
        <w:t xml:space="preserve"> </w:t>
      </w:r>
      <w:r>
        <w:t xml:space="preserve">which gives </w:t>
      </w:r>
      <w:r w:rsidRPr="006F5A50">
        <w:t xml:space="preserve">a range of </w:t>
      </w:r>
      <w:r>
        <w:t xml:space="preserve">estimates of </w:t>
      </w:r>
      <w:r w:rsidRPr="006F5A50">
        <w:t>effects.</w:t>
      </w:r>
      <w:r w:rsidRPr="006F5A50" w:rsidDel="00836053">
        <w:t xml:space="preserve"> </w:t>
      </w:r>
      <w:r w:rsidRPr="006F5A50">
        <w:t>The IEA advocates the suitability of these two methods:</w:t>
      </w:r>
    </w:p>
    <w:p w:rsidR="00911BF4" w:rsidRPr="006F5A50" w:rsidRDefault="00911BF4" w:rsidP="00911BF4">
      <w:pPr>
        <w:pStyle w:val="Dashedbullets"/>
        <w:ind w:left="720" w:hanging="360"/>
      </w:pPr>
      <w:r w:rsidRPr="006F5A50">
        <w:t xml:space="preserve">Laspeyres for its ease of understanding, especially to non-experts, but </w:t>
      </w:r>
      <w:r>
        <w:t xml:space="preserve">with the drawback of having </w:t>
      </w:r>
      <w:r w:rsidRPr="006F5A50">
        <w:t>an</w:t>
      </w:r>
      <w:r>
        <w:t xml:space="preserve"> interaction term;</w:t>
      </w:r>
    </w:p>
    <w:p w:rsidR="00911BF4" w:rsidRPr="006F5A50" w:rsidRDefault="00911BF4" w:rsidP="00911BF4">
      <w:pPr>
        <w:pStyle w:val="Dashedbullets"/>
        <w:ind w:left="720" w:hanging="360"/>
      </w:pPr>
      <w:r w:rsidRPr="006F5A50">
        <w:t xml:space="preserve"> LMDI for its theoretical soundness</w:t>
      </w:r>
      <w:r>
        <w:t>, see (</w:t>
      </w:r>
      <w:r w:rsidR="005A66AE">
        <w:fldChar w:fldCharType="begin" w:fldLock="1"/>
      </w:r>
      <w:r w:rsidR="00971CE6">
        <w:instrText>ADDIN CSL_CITATION { "citationItems" : [ { "id" : "ITEM-1", "itemData" : { "author" : [ { "dropping-particle" : "", "family" : "Trudeau", "given" : "Nathalie", "non-dropping-particle" : "", "parse-names" : false, "suffix" : "" } ], "container-title" : "Energy Efficiency Indicators Workshop", "id" : "ITEM-1", "issue" : "June", "issued" : { "date-parts" : [ [ "2012" ] ] }, "page" : "6-7", "title" : "Update on energy efficiency activities at the IEA. The Scoreboard and other analytical developments Development and use of indicators at the IEA", "type" : "article-journal" }, "uris" : [ "http://www.mendeley.com/documents/?uuid=315cb27b-8e47-464b-b5b1-62cf7736126c" ] } ], "mendeley" : { "manualFormatting" : "Trudeau, 2012)", "previouslyFormattedCitation" : "(Trudeau, 2012)" }, "properties" : { "noteIndex" : 0 }, "schema" : "https://github.com/citation-style-language/schema/raw/master/csl-citation.json" }</w:instrText>
      </w:r>
      <w:r w:rsidR="005A66AE">
        <w:fldChar w:fldCharType="separate"/>
      </w:r>
      <w:r w:rsidRPr="00246AF2">
        <w:rPr>
          <w:noProof/>
        </w:rPr>
        <w:t>Trudeau, 2012)</w:t>
      </w:r>
      <w:r w:rsidR="005A66AE">
        <w:fldChar w:fldCharType="end"/>
      </w:r>
      <w:r w:rsidRPr="006F5A50">
        <w:t>.</w:t>
      </w:r>
    </w:p>
    <w:p w:rsidR="00911BF4" w:rsidRDefault="00911BF4" w:rsidP="00911BF4"/>
    <w:p w:rsidR="00911BF4" w:rsidRPr="00990FB4" w:rsidRDefault="00911BF4" w:rsidP="00911BF4">
      <w:r>
        <w:t xml:space="preserve">In this study, both </w:t>
      </w:r>
      <w:r w:rsidRPr="006F5A50">
        <w:t xml:space="preserve">decompositions </w:t>
      </w:r>
      <w:r>
        <w:t xml:space="preserve">are used, to increase </w:t>
      </w:r>
      <w:r w:rsidRPr="006F5A50">
        <w:t xml:space="preserve">robustness. The methods </w:t>
      </w:r>
      <w:r>
        <w:t xml:space="preserve">do </w:t>
      </w:r>
      <w:r w:rsidRPr="006F5A50">
        <w:t>not give very different</w:t>
      </w:r>
      <w:r w:rsidRPr="00F667D5">
        <w:t xml:space="preserve"> answers</w:t>
      </w:r>
      <w:r>
        <w:t>,</w:t>
      </w:r>
      <w:r w:rsidRPr="00F667D5">
        <w:t xml:space="preserve"> </w:t>
      </w:r>
      <w:r>
        <w:t xml:space="preserve">but </w:t>
      </w:r>
      <w:r w:rsidRPr="00F667D5">
        <w:t xml:space="preserve">their respective results do not lend themselves to direct comparison </w:t>
      </w:r>
      <w:r>
        <w:t>and can</w:t>
      </w:r>
      <w:r w:rsidRPr="00F667D5">
        <w:t xml:space="preserve">not </w:t>
      </w:r>
      <w:r>
        <w:t xml:space="preserve">act as </w:t>
      </w:r>
      <w:r w:rsidRPr="00F667D5">
        <w:t>an upper or lower bound for each other.</w:t>
      </w:r>
      <w:r w:rsidRPr="00990FB4">
        <w:t xml:space="preserve"> </w:t>
      </w:r>
      <w:r>
        <w:t>The same methodologies are used to decompose CO</w:t>
      </w:r>
      <w:r w:rsidRPr="00990FB4">
        <w:rPr>
          <w:vertAlign w:val="subscript"/>
        </w:rPr>
        <w:t>2</w:t>
      </w:r>
      <w:r>
        <w:t xml:space="preserve"> emissions intensity of electricity generation and total emissions. </w:t>
      </w:r>
    </w:p>
    <w:p w:rsidR="00911BF4" w:rsidRDefault="00911BF4" w:rsidP="00911BF4">
      <w:pPr>
        <w:rPr>
          <w:b/>
        </w:rPr>
      </w:pPr>
    </w:p>
    <w:p w:rsidR="00911BF4" w:rsidRDefault="00911BF4" w:rsidP="00911BF4">
      <w:pPr>
        <w:pStyle w:val="Heading3"/>
      </w:pPr>
      <w:r>
        <w:t>Decomposing electricity consumption</w:t>
      </w:r>
    </w:p>
    <w:p w:rsidR="00911BF4" w:rsidRPr="006F5A50" w:rsidRDefault="00911BF4" w:rsidP="00911BF4">
      <w:r w:rsidRPr="006F5A50">
        <w:t xml:space="preserve">Electricity consumption growth </w:t>
      </w:r>
      <w:r>
        <w:t xml:space="preserve">is </w:t>
      </w:r>
      <w:r w:rsidRPr="006F5A50">
        <w:t>explained by the three effects given in the relationship:</w:t>
      </w:r>
    </w:p>
    <w:p w:rsidR="00911BF4" w:rsidRDefault="00911BF4" w:rsidP="00911BF4"/>
    <w:p w:rsidR="00911BF4" w:rsidRPr="003A28A7" w:rsidRDefault="00911BF4" w:rsidP="00911BF4">
      <w:pPr>
        <w:spacing w:line="240" w:lineRule="atLeast"/>
        <w:jc w:val="both"/>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tot</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act</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str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int</m:t>
              </m:r>
            </m:sub>
          </m:sSub>
        </m:oMath>
      </m:oMathPara>
    </w:p>
    <w:p w:rsidR="00911BF4" w:rsidRDefault="00911BF4" w:rsidP="00911BF4">
      <w:pPr>
        <w:spacing w:line="240" w:lineRule="atLeast"/>
        <w:jc w:val="both"/>
        <w:rPr>
          <w:rFonts w:eastAsiaTheme="minorEastAsia"/>
        </w:rPr>
      </w:pPr>
    </w:p>
    <w:p w:rsidR="00911BF4" w:rsidRPr="003A28A7" w:rsidRDefault="00911BF4" w:rsidP="00911BF4">
      <w:pPr>
        <w:spacing w:line="240" w:lineRule="atLeast"/>
        <w:jc w:val="both"/>
        <w:rPr>
          <w:rFonts w:eastAsiaTheme="minorEastAsia"/>
        </w:rPr>
      </w:pPr>
      <w:r>
        <w:rPr>
          <w:rFonts w:eastAsiaTheme="minorEastAsia"/>
        </w:rPr>
        <w:t>The factors affecting electricity consumption are:</w:t>
      </w:r>
    </w:p>
    <w:p w:rsidR="00911BF4" w:rsidRDefault="00911BF4" w:rsidP="00911BF4">
      <w:pPr>
        <w:pStyle w:val="Dashedbullets"/>
        <w:ind w:left="720" w:hanging="360"/>
      </w:pPr>
      <w:r w:rsidRPr="00990FB4">
        <w:rPr>
          <w:i/>
        </w:rPr>
        <w:t>Activity effect</w:t>
      </w:r>
      <w:r>
        <w:rPr>
          <w:i/>
        </w:rPr>
        <w:t xml:space="preserve">: </w:t>
      </w:r>
      <w:r>
        <w:t>a general increase (decrease) in industrial production and/or residential consumption over a period which results in an increase (decrease) in electricity consumption, if the composition of the economy and use intensity remain the same;</w:t>
      </w:r>
    </w:p>
    <w:p w:rsidR="00911BF4" w:rsidRPr="004E5635" w:rsidRDefault="00911BF4" w:rsidP="00911BF4">
      <w:pPr>
        <w:pStyle w:val="Dashedbullets"/>
        <w:ind w:left="720" w:hanging="360"/>
        <w:rPr>
          <w:i/>
        </w:rPr>
      </w:pPr>
      <w:r w:rsidRPr="00990FB4">
        <w:rPr>
          <w:i/>
        </w:rPr>
        <w:t>Structural effect</w:t>
      </w:r>
      <w:r w:rsidRPr="003A28A7">
        <w:rPr>
          <w:i/>
        </w:rPr>
        <w:t>:</w:t>
      </w:r>
      <w:r>
        <w:t xml:space="preserve"> electricity consumption falls (rises) if there is reallocation of production from (to) high energy intensive to (from) low energy intensive sector, again while keeping general activities and energy intensities at a constant level;</w:t>
      </w:r>
    </w:p>
    <w:p w:rsidR="00911BF4" w:rsidRPr="003A28A7" w:rsidRDefault="00911BF4" w:rsidP="00911BF4">
      <w:pPr>
        <w:pStyle w:val="Dashedbullets"/>
        <w:ind w:left="720" w:hanging="360"/>
        <w:rPr>
          <w:i/>
        </w:rPr>
      </w:pPr>
      <w:r w:rsidRPr="00990FB4">
        <w:rPr>
          <w:i/>
        </w:rPr>
        <w:t>Intensity effect</w:t>
      </w:r>
      <w:r>
        <w:rPr>
          <w:i/>
        </w:rPr>
        <w:t xml:space="preserve">: </w:t>
      </w:r>
      <w:r>
        <w:t>if nothing else changes, a fall (rise) in the intensity of use, for efficiency reason or otherwise, will lead to lower (higher) consumption of electricity.</w:t>
      </w:r>
    </w:p>
    <w:p w:rsidR="00911BF4" w:rsidRDefault="00911BF4" w:rsidP="00911BF4">
      <w:pPr>
        <w:rPr>
          <w:b/>
        </w:rPr>
      </w:pPr>
    </w:p>
    <w:p w:rsidR="00911BF4" w:rsidRDefault="00911BF4" w:rsidP="00911BF4">
      <w:pPr>
        <w:pStyle w:val="Heading3"/>
      </w:pPr>
      <w:r>
        <w:t>Decomposing electricity emissions intensity</w:t>
      </w:r>
    </w:p>
    <w:p w:rsidR="00911BF4" w:rsidRPr="006F5A50" w:rsidRDefault="00911BF4" w:rsidP="00911BF4">
      <w:r w:rsidRPr="006F5A50">
        <w:t>Both Laspeyres and LMDI methods are used to decompose the CO</w:t>
      </w:r>
      <w:r w:rsidRPr="00990FB4">
        <w:rPr>
          <w:vertAlign w:val="subscript"/>
        </w:rPr>
        <w:t>2</w:t>
      </w:r>
      <w:r w:rsidRPr="006F5A50">
        <w:t xml:space="preserve"> emissions intensity from electricity generation. To decompose the emissions intensity of electricity generation, the following factors are considered:</w:t>
      </w:r>
    </w:p>
    <w:p w:rsidR="00911BF4" w:rsidRDefault="00911BF4" w:rsidP="00911BF4">
      <w:pPr>
        <w:pStyle w:val="Dashedbullets"/>
        <w:ind w:left="720" w:hanging="360"/>
      </w:pPr>
      <w:r>
        <w:t>the share of electricity generated from fossil fuel in total electricity;</w:t>
      </w:r>
    </w:p>
    <w:p w:rsidR="00911BF4" w:rsidRDefault="00911BF4" w:rsidP="00911BF4">
      <w:pPr>
        <w:pStyle w:val="Dashedbullets"/>
        <w:ind w:left="720" w:hanging="360"/>
      </w:pPr>
      <w:r>
        <w:t>the share of electricity from each fossil fuel type in total fossil fuel electricity;</w:t>
      </w:r>
    </w:p>
    <w:p w:rsidR="00911BF4" w:rsidRDefault="00911BF4" w:rsidP="00911BF4">
      <w:pPr>
        <w:pStyle w:val="Dashedbullets"/>
        <w:ind w:left="720" w:hanging="360"/>
      </w:pPr>
      <w:r>
        <w:t>the inverse of fuel efficiency, that is, converting fossil fuel into electricity;</w:t>
      </w:r>
    </w:p>
    <w:p w:rsidR="00911BF4" w:rsidRDefault="00911BF4" w:rsidP="00911BF4">
      <w:pPr>
        <w:pStyle w:val="Dashedbullets"/>
        <w:ind w:left="720" w:hanging="360"/>
      </w:pPr>
      <w:r>
        <w:t>the emissions intensity of each fossil fuel input.</w:t>
      </w:r>
    </w:p>
    <w:p w:rsidR="00911BF4" w:rsidRDefault="00911BF4" w:rsidP="00911BF4"/>
    <w:p w:rsidR="00911BF4" w:rsidRDefault="00911BF4" w:rsidP="00911BF4">
      <w:pPr>
        <w:spacing w:line="300" w:lineRule="atLeast"/>
        <w:rPr>
          <w:rFonts w:eastAsiaTheme="minorEastAsia"/>
        </w:rPr>
      </w:pPr>
      <w:r>
        <w:rPr>
          <w:rFonts w:eastAsiaTheme="minorEastAsia"/>
        </w:rPr>
        <w:t>The emissions intensity can be written as:</w:t>
      </w:r>
    </w:p>
    <w:p w:rsidR="00911BF4" w:rsidRDefault="00911BF4" w:rsidP="00911BF4">
      <w:pPr>
        <w:spacing w:line="300" w:lineRule="atLeast"/>
        <w:rPr>
          <w:rFonts w:eastAsiaTheme="minorEastAsia"/>
        </w:rPr>
      </w:pPr>
    </w:p>
    <w:p w:rsidR="00911BF4" w:rsidRDefault="003F142F" w:rsidP="00911BF4">
      <w:pPr>
        <w:pStyle w:val="Dashedbullets"/>
        <w:spacing w:line="240" w:lineRule="atLeast"/>
        <w:ind w:left="720" w:hanging="360"/>
        <w:rPr>
          <w:rFonts w:eastAsiaTheme="minorEastAsia"/>
        </w:rPr>
      </w:pPr>
      <m:oMath>
        <m:f>
          <m:fPr>
            <m:ctrlPr>
              <w:rPr>
                <w:rFonts w:ascii="Cambria Math" w:hAnsi="Cambria Math"/>
              </w:rPr>
            </m:ctrlPr>
          </m:fPr>
          <m:num>
            <m:r>
              <w:rPr>
                <w:rFonts w:ascii="Cambria Math" w:hAnsi="Cambria Math"/>
              </w:rPr>
              <m:t>EEm</m:t>
            </m:r>
          </m:num>
          <m:den>
            <m:r>
              <w:rPr>
                <w:rFonts w:ascii="Cambria Math" w:hAnsi="Cambria Math"/>
              </w:rPr>
              <m:t>E</m:t>
            </m:r>
          </m:den>
        </m:f>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ff</m:t>
                    </m:r>
                  </m:sub>
                </m:sSub>
              </m:num>
              <m:den>
                <m:r>
                  <w:rPr>
                    <w:rFonts w:ascii="Cambria Math" w:hAnsi="Cambria Math"/>
                  </w:rPr>
                  <m:t>E</m:t>
                </m:r>
              </m:den>
            </m:f>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ft(j)</m:t>
                    </m:r>
                  </m:sub>
                </m:sSub>
              </m:num>
              <m:den>
                <m:sSub>
                  <m:sSubPr>
                    <m:ctrlPr>
                      <w:rPr>
                        <w:rFonts w:ascii="Cambria Math" w:hAnsi="Cambria Math"/>
                      </w:rPr>
                    </m:ctrlPr>
                  </m:sSubPr>
                  <m:e>
                    <m:r>
                      <w:rPr>
                        <w:rFonts w:ascii="Cambria Math" w:hAnsi="Cambria Math"/>
                      </w:rPr>
                      <m:t>E</m:t>
                    </m:r>
                  </m:e>
                  <m:sub>
                    <m:r>
                      <w:rPr>
                        <w:rFonts w:ascii="Cambria Math" w:hAnsi="Cambria Math"/>
                      </w:rPr>
                      <m:t>ff</m:t>
                    </m:r>
                  </m:sub>
                </m:sSub>
              </m:den>
            </m:f>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in</m:t>
                    </m:r>
                  </m:sub>
                </m:sSub>
              </m:num>
              <m:den>
                <m:sSub>
                  <m:sSubPr>
                    <m:ctrlPr>
                      <w:rPr>
                        <w:rFonts w:ascii="Cambria Math" w:hAnsi="Cambria Math"/>
                      </w:rPr>
                    </m:ctrlPr>
                  </m:sSubPr>
                  <m:e>
                    <m:r>
                      <w:rPr>
                        <w:rFonts w:ascii="Cambria Math" w:hAnsi="Cambria Math"/>
                      </w:rPr>
                      <m:t>E</m:t>
                    </m:r>
                  </m:e>
                  <m:sub>
                    <m:r>
                      <w:rPr>
                        <w:rFonts w:ascii="Cambria Math" w:hAnsi="Cambria Math"/>
                      </w:rPr>
                      <m:t>ft(j)</m:t>
                    </m:r>
                  </m:sub>
                </m:sSub>
              </m:den>
            </m:f>
            <m:f>
              <m:fPr>
                <m:ctrlPr>
                  <w:rPr>
                    <w:rFonts w:ascii="Cambria Math" w:hAnsi="Cambria Math"/>
                  </w:rPr>
                </m:ctrlPr>
              </m:fPr>
              <m:num>
                <m:r>
                  <w:rPr>
                    <w:rFonts w:ascii="Cambria Math" w:hAnsi="Cambria Math"/>
                  </w:rPr>
                  <m:t>EE</m:t>
                </m:r>
                <m:sSub>
                  <m:sSubPr>
                    <m:ctrlPr>
                      <w:rPr>
                        <w:rFonts w:ascii="Cambria Math" w:hAnsi="Cambria Math"/>
                      </w:rPr>
                    </m:ctrlPr>
                  </m:sSubPr>
                  <m:e>
                    <m:r>
                      <w:rPr>
                        <w:rFonts w:ascii="Cambria Math" w:hAnsi="Cambria Math"/>
                      </w:rPr>
                      <m:t>m</m:t>
                    </m:r>
                  </m:e>
                  <m:sub>
                    <m:r>
                      <w:rPr>
                        <w:rFonts w:ascii="Cambria Math" w:hAnsi="Cambria Math"/>
                      </w:rPr>
                      <m:t>in</m:t>
                    </m:r>
                  </m:sub>
                </m:sSub>
              </m:num>
              <m:den>
                <m:sSub>
                  <m:sSubPr>
                    <m:ctrlPr>
                      <w:rPr>
                        <w:rFonts w:ascii="Cambria Math" w:hAnsi="Cambria Math"/>
                      </w:rPr>
                    </m:ctrlPr>
                  </m:sSubPr>
                  <m:e>
                    <m:r>
                      <w:rPr>
                        <w:rFonts w:ascii="Cambria Math" w:hAnsi="Cambria Math"/>
                      </w:rPr>
                      <m:t>E</m:t>
                    </m:r>
                  </m:e>
                  <m:sub>
                    <m:r>
                      <w:rPr>
                        <w:rFonts w:ascii="Cambria Math" w:hAnsi="Cambria Math"/>
                      </w:rPr>
                      <m:t>in</m:t>
                    </m:r>
                  </m:sub>
                </m:sSub>
              </m:den>
            </m:f>
            <m:r>
              <m:rPr>
                <m:sty m:val="p"/>
              </m:rPr>
              <w:rPr>
                <w:rFonts w:ascii="Cambria Math" w:hAnsi="Cambria Math"/>
              </w:rPr>
              <m:t xml:space="preserve">  </m:t>
            </m:r>
          </m:e>
        </m:nary>
        <m:r>
          <m:rPr>
            <m:sty m:val="p"/>
          </m:rPr>
          <w:rPr>
            <w:rFonts w:ascii="Cambria Math" w:hAnsi="Cambria Math"/>
          </w:rPr>
          <m:t xml:space="preserve"> </m:t>
        </m:r>
      </m:oMath>
    </w:p>
    <w:p w:rsidR="00911BF4" w:rsidRPr="00446434" w:rsidRDefault="00911BF4" w:rsidP="00911BF4">
      <w:pPr>
        <w:pStyle w:val="Dashedbullets"/>
        <w:numPr>
          <w:ilvl w:val="0"/>
          <w:numId w:val="0"/>
        </w:numPr>
        <w:ind w:left="284"/>
        <w:rPr>
          <w:rFonts w:eastAsiaTheme="minorEastAsia"/>
        </w:rPr>
      </w:pPr>
    </w:p>
    <w:p w:rsidR="00911BF4" w:rsidRDefault="00911BF4" w:rsidP="00911BF4">
      <w:r>
        <w:t>where:</w:t>
      </w:r>
    </w:p>
    <w:p w:rsidR="00911BF4" w:rsidRDefault="00911BF4" w:rsidP="00911BF4">
      <w:pPr>
        <w:pStyle w:val="Dashedbullets"/>
        <w:ind w:left="720" w:hanging="360"/>
      </w:pPr>
      <m:oMath>
        <m:r>
          <w:rPr>
            <w:rFonts w:ascii="Cambria Math" w:hAnsi="Cambria Math"/>
          </w:rPr>
          <m:t>EEm</m:t>
        </m:r>
      </m:oMath>
      <w:r>
        <w:rPr>
          <w:rFonts w:eastAsiaTheme="minorEastAsia"/>
        </w:rPr>
        <w:t xml:space="preserve"> is total CO</w:t>
      </w:r>
      <w:r w:rsidRPr="00990FB4">
        <w:rPr>
          <w:rFonts w:eastAsiaTheme="minorEastAsia"/>
          <w:vertAlign w:val="subscript"/>
        </w:rPr>
        <w:t>2</w:t>
      </w:r>
      <w:r>
        <w:rPr>
          <w:rFonts w:eastAsiaTheme="minorEastAsia"/>
        </w:rPr>
        <w:t xml:space="preserve"> emissions from electricity generation (in kilotonnes)</w:t>
      </w:r>
      <w:r>
        <w:t>;</w:t>
      </w:r>
    </w:p>
    <w:p w:rsidR="00911BF4" w:rsidRDefault="00911BF4" w:rsidP="00911BF4">
      <w:pPr>
        <w:pStyle w:val="Dashedbullets"/>
        <w:ind w:left="720" w:hanging="360"/>
      </w:pPr>
      <m:oMath>
        <m:r>
          <w:rPr>
            <w:rFonts w:ascii="Cambria Math" w:hAnsi="Cambria Math"/>
          </w:rPr>
          <m:t>E</m:t>
        </m:r>
      </m:oMath>
      <w:r>
        <w:rPr>
          <w:rFonts w:eastAsiaTheme="minorEastAsia"/>
        </w:rPr>
        <w:t xml:space="preserve"> is total electricity generated (in GWh);</w:t>
      </w:r>
    </w:p>
    <w:p w:rsidR="00911BF4" w:rsidRDefault="003F142F" w:rsidP="00911BF4">
      <w:pPr>
        <w:pStyle w:val="Dashedbullets"/>
        <w:ind w:left="720" w:hanging="360"/>
        <w:rPr>
          <w:i/>
        </w:rPr>
      </w:pPr>
      <m:oMath>
        <m:sSub>
          <m:sSubPr>
            <m:ctrlPr>
              <w:rPr>
                <w:rFonts w:ascii="Cambria Math" w:hAnsi="Cambria Math"/>
                <w:i/>
              </w:rPr>
            </m:ctrlPr>
          </m:sSubPr>
          <m:e>
            <m:r>
              <w:rPr>
                <w:rFonts w:ascii="Cambria Math" w:hAnsi="Cambria Math"/>
              </w:rPr>
              <m:t>E</m:t>
            </m:r>
          </m:e>
          <m:sub>
            <m:r>
              <w:rPr>
                <w:rFonts w:ascii="Cambria Math" w:hAnsi="Cambria Math"/>
              </w:rPr>
              <m:t>ff</m:t>
            </m:r>
          </m:sub>
        </m:sSub>
      </m:oMath>
      <w:r w:rsidR="00911BF4">
        <w:rPr>
          <w:rFonts w:eastAsiaTheme="minorEastAsia"/>
        </w:rPr>
        <w:t xml:space="preserve"> is electricity generated from fossil fuels (in GWh);</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E</m:t>
            </m:r>
          </m:e>
          <m:sub>
            <m:r>
              <w:rPr>
                <w:rFonts w:ascii="Cambria Math" w:hAnsi="Cambria Math"/>
              </w:rPr>
              <m:t>ft</m:t>
            </m:r>
          </m:sub>
        </m:sSub>
      </m:oMath>
      <w:r w:rsidR="00911BF4">
        <w:rPr>
          <w:rFonts w:eastAsiaTheme="minorEastAsia"/>
        </w:rPr>
        <w:t xml:space="preserve"> is electricity generated by each type of fossil fuel (black coal, brown coal and natural gas in GWh);</w:t>
      </w:r>
    </w:p>
    <w:p w:rsidR="00911BF4" w:rsidRPr="00E00EB2" w:rsidRDefault="003F142F" w:rsidP="00911BF4">
      <w:pPr>
        <w:pStyle w:val="Dashedbullets"/>
        <w:ind w:left="720" w:hanging="360"/>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in</m:t>
            </m:r>
          </m:sub>
        </m:sSub>
      </m:oMath>
      <w:r w:rsidR="00911BF4">
        <w:rPr>
          <w:rFonts w:eastAsiaTheme="minorEastAsia"/>
        </w:rPr>
        <w:t>is the energy input (in PJ) of each fossil fuel type; and,</w:t>
      </w:r>
    </w:p>
    <w:p w:rsidR="00911BF4" w:rsidRDefault="00911BF4" w:rsidP="00911BF4">
      <w:pPr>
        <w:pStyle w:val="Dashedbullets"/>
        <w:ind w:left="720" w:hanging="360"/>
      </w:pPr>
      <m:oMath>
        <m:r>
          <w:rPr>
            <w:rFonts w:ascii="Cambria Math" w:hAnsi="Cambria Math"/>
          </w:rPr>
          <m:t>EE</m:t>
        </m:r>
        <m:sSub>
          <m:sSubPr>
            <m:ctrlPr>
              <w:rPr>
                <w:rFonts w:ascii="Cambria Math" w:hAnsi="Cambria Math"/>
                <w:i/>
              </w:rPr>
            </m:ctrlPr>
          </m:sSubPr>
          <m:e>
            <m:r>
              <w:rPr>
                <w:rFonts w:ascii="Cambria Math" w:hAnsi="Cambria Math"/>
              </w:rPr>
              <m:t>m</m:t>
            </m:r>
          </m:e>
          <m:sub>
            <m:r>
              <w:rPr>
                <w:rFonts w:ascii="Cambria Math" w:hAnsi="Cambria Math"/>
              </w:rPr>
              <m:t>in</m:t>
            </m:r>
          </m:sub>
        </m:sSub>
      </m:oMath>
      <w:r>
        <w:rPr>
          <w:rFonts w:eastAsiaTheme="minorEastAsia"/>
        </w:rPr>
        <w:t>is the CO</w:t>
      </w:r>
      <w:r w:rsidRPr="00990FB4">
        <w:rPr>
          <w:rFonts w:eastAsiaTheme="minorEastAsia"/>
          <w:vertAlign w:val="subscript"/>
        </w:rPr>
        <w:t>2</w:t>
      </w:r>
      <w:r>
        <w:rPr>
          <w:rFonts w:eastAsiaTheme="minorEastAsia"/>
        </w:rPr>
        <w:t xml:space="preserve"> emissions from each fossil fuel type input (in kilotonnes).</w:t>
      </w:r>
      <w:r>
        <w:t xml:space="preserve">  </w:t>
      </w:r>
    </w:p>
    <w:p w:rsidR="00911BF4" w:rsidRDefault="00911BF4" w:rsidP="00911BF4">
      <w:pPr>
        <w:spacing w:line="300" w:lineRule="atLeast"/>
        <w:rPr>
          <w:rFonts w:eastAsiaTheme="minorEastAsia"/>
        </w:rPr>
      </w:pPr>
    </w:p>
    <w:p w:rsidR="00911BF4" w:rsidRDefault="00911BF4" w:rsidP="00911BF4">
      <w:pPr>
        <w:spacing w:line="300" w:lineRule="atLeast"/>
        <w:rPr>
          <w:rFonts w:eastAsiaTheme="minorEastAsia"/>
        </w:rPr>
      </w:pPr>
      <w:r>
        <w:rPr>
          <w:rFonts w:eastAsiaTheme="minorEastAsia"/>
        </w:rPr>
        <w:t>Given this breakdown, the methods described above compute the contribution of each factor. The factors affecting the emissions intensity are:</w:t>
      </w:r>
    </w:p>
    <w:p w:rsidR="00911BF4" w:rsidRDefault="00911BF4" w:rsidP="00911BF4">
      <w:pPr>
        <w:pStyle w:val="Dashedbullets"/>
        <w:ind w:left="720" w:hanging="360"/>
      </w:pPr>
      <w:r w:rsidRPr="002A3A08">
        <w:rPr>
          <w:i/>
        </w:rPr>
        <w:t>renewable share effect</w:t>
      </w:r>
      <w:r>
        <w:t>: an increase (decrease) in electricity generated from fossil fuel relative to total electricity output results in higher (lower) CO</w:t>
      </w:r>
      <w:r w:rsidRPr="00990FB4">
        <w:rPr>
          <w:vertAlign w:val="subscript"/>
        </w:rPr>
        <w:t>2</w:t>
      </w:r>
      <w:r>
        <w:t xml:space="preserve"> emissions per unit of output. The renewable cost of renewable and fossil power and strength of policies drive this factor;</w:t>
      </w:r>
    </w:p>
    <w:p w:rsidR="00911BF4" w:rsidRDefault="00911BF4" w:rsidP="00911BF4">
      <w:pPr>
        <w:pStyle w:val="Dashedbullets"/>
        <w:ind w:left="720" w:hanging="360"/>
      </w:pPr>
      <w:r w:rsidRPr="002A3A08">
        <w:rPr>
          <w:i/>
        </w:rPr>
        <w:t>fossil fuel mix:</w:t>
      </w:r>
      <w:r>
        <w:t xml:space="preserve"> within fossil fuel generation, a shift from black coal to natural gas, for example, will lead to lower intensity. The effect is driven by changes in the relative prices of fossil fuels, by policy and by availability of plant;</w:t>
      </w:r>
    </w:p>
    <w:p w:rsidR="00911BF4" w:rsidRDefault="00911BF4" w:rsidP="00911BF4">
      <w:pPr>
        <w:pStyle w:val="Dashedbullets"/>
        <w:ind w:left="720" w:hanging="360"/>
      </w:pPr>
      <w:r w:rsidRPr="002A3A08">
        <w:rPr>
          <w:i/>
        </w:rPr>
        <w:t>conversion efficiency:</w:t>
      </w:r>
      <w:r>
        <w:t xml:space="preserve"> this measures units of fossil fuel input per unit of electricity output and the higher it is the more emissions intense electricity generation becomes. This factor changes if new more efficient electricity generation plants are introduced and older less efficient plants are decommissioned;</w:t>
      </w:r>
    </w:p>
    <w:p w:rsidR="00911BF4" w:rsidRPr="008F6F05" w:rsidRDefault="00911BF4" w:rsidP="00911BF4">
      <w:pPr>
        <w:pStyle w:val="Dashedbullets"/>
        <w:ind w:left="720" w:hanging="360"/>
        <w:rPr>
          <w:rFonts w:eastAsiaTheme="minorEastAsia"/>
        </w:rPr>
      </w:pPr>
      <w:r w:rsidRPr="002A3A08">
        <w:rPr>
          <w:i/>
        </w:rPr>
        <w:t>carbon intensity:</w:t>
      </w:r>
      <w:r>
        <w:t xml:space="preserve"> each fossil fuel input contains an amount of useful thermal energy per tonne of CO</w:t>
      </w:r>
      <w:r>
        <w:rPr>
          <w:vertAlign w:val="subscript"/>
        </w:rPr>
        <w:t xml:space="preserve">2 </w:t>
      </w:r>
      <w:r>
        <w:t>released upon combustion. This changes if the fuel quality changes, particularly the balance between carbon, hydrogen and water in coal, and the CO</w:t>
      </w:r>
      <w:r>
        <w:rPr>
          <w:vertAlign w:val="subscript"/>
        </w:rPr>
        <w:t>2</w:t>
      </w:r>
      <w:r>
        <w:t xml:space="preserve"> carried within natural gas.</w:t>
      </w:r>
    </w:p>
    <w:p w:rsidR="00911BF4" w:rsidRPr="00C4560E" w:rsidRDefault="00911BF4" w:rsidP="00911BF4"/>
    <w:p w:rsidR="00911BF4" w:rsidRDefault="00911BF4" w:rsidP="00911BF4">
      <w:pPr>
        <w:pStyle w:val="Heading3"/>
      </w:pPr>
      <w:r>
        <w:t>Decomposing economy</w:t>
      </w:r>
      <w:r w:rsidR="00513047">
        <w:t>-</w:t>
      </w:r>
      <w:r>
        <w:t>wide level of gas emissions</w:t>
      </w:r>
    </w:p>
    <w:p w:rsidR="00911BF4" w:rsidRDefault="00911BF4" w:rsidP="00911BF4">
      <w:r w:rsidRPr="006F5A50">
        <w:t xml:space="preserve">The decomposition follows the same structure as the electricity </w:t>
      </w:r>
      <w:r w:rsidR="00B24BE1">
        <w:t>consumption</w:t>
      </w:r>
      <w:r w:rsidRPr="006F5A50">
        <w:t xml:space="preserve"> decomposition and breaks down emissions into an activity, structural and intensity effect.</w:t>
      </w:r>
    </w:p>
    <w:p w:rsidR="00911BF4" w:rsidRDefault="00911BF4" w:rsidP="00911BF4"/>
    <w:p w:rsidR="00911BF4" w:rsidRDefault="00911BF4" w:rsidP="00911BF4">
      <w:r>
        <w:t>Total gas emissions can be written as:</w:t>
      </w:r>
    </w:p>
    <w:p w:rsidR="00911BF4" w:rsidRPr="0070269F" w:rsidRDefault="00911BF4" w:rsidP="00911BF4"/>
    <w:p w:rsidR="00911BF4" w:rsidRPr="00F667D5" w:rsidRDefault="00911BF4" w:rsidP="00911BF4">
      <w:pPr>
        <w:pStyle w:val="Dashedbullets"/>
        <w:spacing w:line="240" w:lineRule="atLeast"/>
        <w:ind w:left="714" w:hanging="357"/>
        <w:rPr>
          <w:rFonts w:ascii="Cambria Math" w:hAnsi="Cambria Math"/>
        </w:rPr>
      </w:pPr>
      <m:oMath>
        <m:r>
          <w:rPr>
            <w:rFonts w:ascii="Cambria Math" w:hAnsi="Cambria Math"/>
          </w:rPr>
          <m:t>E</m:t>
        </m:r>
        <m:r>
          <m:rPr>
            <m:sty m:val="p"/>
          </m:rPr>
          <w:rPr>
            <w:rFonts w:ascii="Cambria Math" w:hAnsi="Cambria Math"/>
          </w:rPr>
          <m:t>m=</m:t>
        </m:r>
        <m:nary>
          <m:naryPr>
            <m:chr m:val="∑"/>
            <m:limLoc m:val="undOvr"/>
            <m:supHide m:val="1"/>
            <m:ctrlPr>
              <w:rPr>
                <w:rFonts w:ascii="Cambria Math" w:hAnsi="Cambria Math"/>
              </w:rPr>
            </m:ctrlPr>
          </m:naryPr>
          <m:sub>
            <m:r>
              <m:rPr>
                <m:sty m:val="p"/>
              </m:rPr>
              <w:rPr>
                <w:rFonts w:ascii="Cambria Math" w:hAnsi="Cambria Math"/>
              </w:rPr>
              <m:t>i</m:t>
            </m:r>
          </m:sub>
          <m:sup/>
          <m:e>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Q</m:t>
                </m:r>
              </m:den>
            </m:f>
            <m:f>
              <m:fPr>
                <m:ctrlPr>
                  <w:rPr>
                    <w:rFonts w:ascii="Cambria Math" w:hAnsi="Cambria Math"/>
                  </w:rPr>
                </m:ctrlPr>
              </m:fPr>
              <m:num>
                <m:r>
                  <m:rPr>
                    <m:sty m:val="p"/>
                  </m:rPr>
                  <w:rPr>
                    <w:rFonts w:ascii="Cambria Math" w:hAnsi="Cambria Math"/>
                  </w:rPr>
                  <m:t>E</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en>
            </m:f>
            <m:r>
              <m:rPr>
                <m:sty m:val="p"/>
              </m:rPr>
              <w:rPr>
                <w:rFonts w:ascii="Cambria Math" w:hAnsi="Cambria Math"/>
              </w:rPr>
              <m:t xml:space="preserve">  </m:t>
            </m:r>
          </m:e>
        </m:nary>
        <m:r>
          <m:rPr>
            <m:sty m:val="p"/>
          </m:rPr>
          <w:rPr>
            <w:rFonts w:ascii="Cambria Math" w:hAnsi="Cambria Math"/>
          </w:rPr>
          <m:t xml:space="preserve"> </m:t>
        </m:r>
      </m:oMath>
    </w:p>
    <w:p w:rsidR="00911BF4" w:rsidRDefault="00911BF4" w:rsidP="00911BF4">
      <w:pPr>
        <w:rPr>
          <w:rFonts w:eastAsiaTheme="minorEastAsia"/>
        </w:rPr>
      </w:pPr>
    </w:p>
    <w:p w:rsidR="00911BF4" w:rsidRDefault="00911BF4" w:rsidP="00911BF4">
      <w:r>
        <w:t>where:</w:t>
      </w:r>
    </w:p>
    <w:p w:rsidR="00911BF4" w:rsidRDefault="00911BF4" w:rsidP="00911BF4">
      <w:pPr>
        <w:pStyle w:val="Dashedbullets"/>
        <w:ind w:left="720" w:hanging="360"/>
        <w:rPr>
          <w:i/>
        </w:rPr>
      </w:pPr>
      <m:oMath>
        <m:r>
          <w:rPr>
            <w:rFonts w:ascii="Cambria Math" w:eastAsiaTheme="minorEastAsia" w:hAnsi="Cambria Math"/>
          </w:rPr>
          <m:t>Em</m:t>
        </m:r>
      </m:oMath>
      <w:r>
        <w:rPr>
          <w:rFonts w:eastAsiaTheme="minorEastAsia"/>
        </w:rPr>
        <w:t xml:space="preserve"> and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oMath>
      <w:r>
        <w:rPr>
          <w:rFonts w:eastAsiaTheme="minorEastAsia"/>
        </w:rPr>
        <w:t xml:space="preserve"> are the aggregate and sectoral gas emissions;</w:t>
      </w:r>
    </w:p>
    <w:p w:rsidR="00911BF4" w:rsidRDefault="00911BF4" w:rsidP="00911BF4">
      <w:pPr>
        <w:pStyle w:val="Dashedbullets"/>
        <w:ind w:left="720" w:hanging="360"/>
      </w:pPr>
      <m:oMath>
        <m:r>
          <w:rPr>
            <w:rFonts w:ascii="Cambria Math" w:hAnsi="Cambria Math"/>
          </w:rPr>
          <m:t>Q</m:t>
        </m:r>
      </m:oMath>
      <w:r>
        <w:rPr>
          <w:rFonts w:eastAsiaTheme="minorEastAsia"/>
        </w:rPr>
        <w:t xml:space="preserve"> is aggregate activity level;</w:t>
      </w:r>
      <w:r>
        <w:t xml:space="preserve"> and,</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911BF4">
        <w:rPr>
          <w:rFonts w:eastAsiaTheme="minorEastAsia"/>
        </w:rPr>
        <w:t xml:space="preserve"> is the sector activity level.</w:t>
      </w:r>
    </w:p>
    <w:p w:rsidR="00911BF4" w:rsidRDefault="00911BF4" w:rsidP="00911BF4">
      <w:pPr>
        <w:rPr>
          <w:rFonts w:eastAsiaTheme="minorEastAsia"/>
        </w:rPr>
      </w:pPr>
    </w:p>
    <w:p w:rsidR="00911BF4" w:rsidRPr="007166B8" w:rsidRDefault="00911BF4" w:rsidP="00911BF4">
      <w:pPr>
        <w:rPr>
          <w:rFonts w:eastAsiaTheme="minorEastAsia"/>
        </w:rPr>
      </w:pPr>
      <w:r w:rsidRPr="007166B8">
        <w:rPr>
          <w:rFonts w:eastAsiaTheme="minorEastAsia"/>
        </w:rPr>
        <w:t xml:space="preserve">The effects </w:t>
      </w:r>
      <w:r>
        <w:rPr>
          <w:rFonts w:eastAsiaTheme="minorEastAsia"/>
        </w:rPr>
        <w:t xml:space="preserve">are </w:t>
      </w:r>
      <w:r w:rsidRPr="007166B8">
        <w:rPr>
          <w:rFonts w:eastAsiaTheme="minorEastAsia"/>
        </w:rPr>
        <w:t xml:space="preserve">akin to electricity consumption drivers: </w:t>
      </w:r>
      <w:r>
        <w:rPr>
          <w:rFonts w:eastAsiaTheme="minorEastAsia"/>
        </w:rPr>
        <w:t>the a</w:t>
      </w:r>
      <w:r w:rsidRPr="007166B8">
        <w:rPr>
          <w:rFonts w:eastAsiaTheme="minorEastAsia"/>
        </w:rPr>
        <w:t xml:space="preserve">ctivity effect measured by GVA and </w:t>
      </w:r>
      <w:r>
        <w:rPr>
          <w:rFonts w:eastAsiaTheme="minorEastAsia"/>
        </w:rPr>
        <w:t xml:space="preserve">final consumption expenditure </w:t>
      </w:r>
      <w:r w:rsidRPr="007166B8">
        <w:rPr>
          <w:rFonts w:eastAsiaTheme="minorEastAsia"/>
        </w:rPr>
        <w:t>show</w:t>
      </w:r>
      <w:r>
        <w:rPr>
          <w:rFonts w:eastAsiaTheme="minorEastAsia"/>
        </w:rPr>
        <w:t>s</w:t>
      </w:r>
      <w:r w:rsidRPr="007166B8">
        <w:rPr>
          <w:rFonts w:eastAsiaTheme="minorEastAsia"/>
        </w:rPr>
        <w:t xml:space="preserve"> the contribution of </w:t>
      </w:r>
      <w:r>
        <w:rPr>
          <w:rFonts w:eastAsiaTheme="minorEastAsia"/>
        </w:rPr>
        <w:t>economic activity</w:t>
      </w:r>
      <w:r w:rsidRPr="007166B8">
        <w:rPr>
          <w:rFonts w:eastAsiaTheme="minorEastAsia"/>
        </w:rPr>
        <w:t>. Structural effect</w:t>
      </w:r>
      <w:r>
        <w:rPr>
          <w:rFonts w:eastAsiaTheme="minorEastAsia"/>
        </w:rPr>
        <w:t>s</w:t>
      </w:r>
      <w:r w:rsidRPr="007166B8">
        <w:rPr>
          <w:rFonts w:eastAsiaTheme="minorEastAsia"/>
        </w:rPr>
        <w:t xml:space="preserve"> measured by a </w:t>
      </w:r>
      <w:r w:rsidRPr="007166B8">
        <w:rPr>
          <w:rFonts w:eastAsiaTheme="minorEastAsia"/>
        </w:rPr>
        <w:lastRenderedPageBreak/>
        <w:t>sector</w:t>
      </w:r>
      <w:r>
        <w:rPr>
          <w:rFonts w:eastAsiaTheme="minorEastAsia"/>
        </w:rPr>
        <w:t>’</w:t>
      </w:r>
      <w:r w:rsidRPr="007166B8">
        <w:rPr>
          <w:rFonts w:eastAsiaTheme="minorEastAsia"/>
        </w:rPr>
        <w:t>s activity share of aggregate activities capture</w:t>
      </w:r>
      <w:r>
        <w:rPr>
          <w:rFonts w:eastAsiaTheme="minorEastAsia"/>
        </w:rPr>
        <w:t>s</w:t>
      </w:r>
      <w:r w:rsidRPr="007166B8">
        <w:rPr>
          <w:rFonts w:eastAsiaTheme="minorEastAsia"/>
        </w:rPr>
        <w:t xml:space="preserve"> changes in emissions directly attributable to shifts between sectors. Finally</w:t>
      </w:r>
      <w:r>
        <w:rPr>
          <w:rFonts w:eastAsiaTheme="minorEastAsia"/>
        </w:rPr>
        <w:t>, the</w:t>
      </w:r>
      <w:r w:rsidRPr="007166B8">
        <w:rPr>
          <w:rFonts w:eastAsiaTheme="minorEastAsia"/>
        </w:rPr>
        <w:t xml:space="preserve"> intensity factor isolate</w:t>
      </w:r>
      <w:r>
        <w:rPr>
          <w:rFonts w:eastAsiaTheme="minorEastAsia"/>
        </w:rPr>
        <w:t>s</w:t>
      </w:r>
      <w:r w:rsidRPr="007166B8">
        <w:rPr>
          <w:rFonts w:eastAsiaTheme="minorEastAsia"/>
        </w:rPr>
        <w:t xml:space="preserve"> the improvement or worsening performance of sectors emissions which are related to </w:t>
      </w:r>
      <w:r>
        <w:rPr>
          <w:rFonts w:eastAsiaTheme="minorEastAsia"/>
        </w:rPr>
        <w:t>restructuring within the sector or technical change, that is, changing efficiency</w:t>
      </w:r>
      <w:r w:rsidRPr="007166B8">
        <w:rPr>
          <w:rFonts w:eastAsiaTheme="minorEastAsia"/>
        </w:rPr>
        <w:t>.</w:t>
      </w:r>
    </w:p>
    <w:p w:rsidR="00911BF4" w:rsidRDefault="00911BF4" w:rsidP="00911BF4">
      <w:pPr>
        <w:rPr>
          <w:rFonts w:eastAsiaTheme="minorEastAsia"/>
        </w:rPr>
      </w:pPr>
    </w:p>
    <w:p w:rsidR="00911BF4" w:rsidRDefault="00911BF4" w:rsidP="00911BF4">
      <w:pPr>
        <w:rPr>
          <w:rFonts w:eastAsiaTheme="minorEastAsia"/>
        </w:rPr>
      </w:pPr>
    </w:p>
    <w:p w:rsidR="00911BF4" w:rsidRDefault="00911BF4" w:rsidP="002549FA">
      <w:pPr>
        <w:pStyle w:val="Heading2"/>
      </w:pPr>
      <w:bookmarkStart w:id="331" w:name="_Toc369890626"/>
      <w:r>
        <w:lastRenderedPageBreak/>
        <w:t xml:space="preserve">Trend </w:t>
      </w:r>
      <w:r w:rsidRPr="002549FA">
        <w:t>analysis</w:t>
      </w:r>
      <w:r>
        <w:t xml:space="preserve"> since 2008</w:t>
      </w:r>
      <w:bookmarkEnd w:id="331"/>
    </w:p>
    <w:p w:rsidR="00115C25" w:rsidRPr="00115C25" w:rsidRDefault="00115C25" w:rsidP="00115C25">
      <w:pPr>
        <w:pStyle w:val="Subheading"/>
      </w:pPr>
      <w:r>
        <w:t>Identifying and quantifying electricity consumption drivers</w:t>
      </w:r>
      <w:r w:rsidR="00B94978">
        <w:t xml:space="preserve"> in sectors</w:t>
      </w:r>
    </w:p>
    <w:p w:rsidR="00911BF4" w:rsidRPr="006F5A50" w:rsidRDefault="00911BF4" w:rsidP="00911BF4">
      <w:r w:rsidRPr="006F5A50">
        <w:t xml:space="preserve">The second </w:t>
      </w:r>
      <w:r>
        <w:t xml:space="preserve">part </w:t>
      </w:r>
      <w:r w:rsidRPr="006F5A50">
        <w:t>of the analysis explain</w:t>
      </w:r>
      <w:r>
        <w:t>s</w:t>
      </w:r>
      <w:r w:rsidRPr="006F5A50">
        <w:t xml:space="preserve"> some of the conclusions from the </w:t>
      </w:r>
      <w:r>
        <w:t>decomposition analysis</w:t>
      </w:r>
      <w:r w:rsidRPr="006F5A50">
        <w:t xml:space="preserve">. The focus is on the </w:t>
      </w:r>
      <w:r>
        <w:t xml:space="preserve">period after </w:t>
      </w:r>
      <w:r w:rsidRPr="006F5A50">
        <w:t>2008.</w:t>
      </w:r>
    </w:p>
    <w:p w:rsidR="00911BF4" w:rsidRPr="006F5A50" w:rsidRDefault="00911BF4" w:rsidP="00911BF4"/>
    <w:p w:rsidR="00911BF4" w:rsidRDefault="00911BF4" w:rsidP="00911BF4">
      <w:r>
        <w:t>A</w:t>
      </w:r>
      <w:r w:rsidRPr="006F5A50">
        <w:t xml:space="preserve">n Autoregressive-Distributed-Lag (ADL) model </w:t>
      </w:r>
      <w:r>
        <w:t xml:space="preserve">is used </w:t>
      </w:r>
      <w:r w:rsidRPr="006F5A50">
        <w:t>to analyse long term trend</w:t>
      </w:r>
      <w:r>
        <w:t>s</w:t>
      </w:r>
      <w:r w:rsidRPr="006F5A50">
        <w:t xml:space="preserve"> in electricity consumption. </w:t>
      </w:r>
      <w:r>
        <w:t xml:space="preserve">The ADL model is a dynamic regression model that is flexible enough to encompass many types of dynamic relationships such as Error Correction Model (ECM) or Partial Adjustment Model (PAM). It also estimates jointly the short run dynamics and long run relationship. It </w:t>
      </w:r>
      <w:r w:rsidRPr="006F5A50">
        <w:t>is advocated in previous peer reviewed academic work and</w:t>
      </w:r>
      <w:r w:rsidRPr="00B81B00">
        <w:t xml:space="preserve"> is widely used in similar analyses.</w:t>
      </w:r>
      <w:r>
        <w:t xml:space="preserve"> </w:t>
      </w:r>
      <w:r w:rsidR="005A66AE">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Shin, &amp; Smith, 2001", "previouslyFormattedCitation" : "(Pesaran, Shin, &amp; Smith, 2001)" }, "properties" : { "noteIndex" : 0 }, "schema" : "https://github.com/citation-style-language/schema/raw/master/csl-citation.json" }</w:instrText>
      </w:r>
      <w:r w:rsidR="005A66AE">
        <w:fldChar w:fldCharType="separate"/>
      </w:r>
      <w:r w:rsidRPr="00132678">
        <w:rPr>
          <w:noProof/>
        </w:rPr>
        <w:t>Pesaran, Shin, &amp; Smith, 2001</w:t>
      </w:r>
      <w:r w:rsidR="005A66AE">
        <w:fldChar w:fldCharType="end"/>
      </w:r>
      <w:r>
        <w:t xml:space="preserve">, advise the use of this methodology to model equilibrium relationships in economics, </w:t>
      </w:r>
      <w:r w:rsidR="005A66AE">
        <w:fldChar w:fldCharType="begin" w:fldLock="1"/>
      </w:r>
      <w:r w:rsidR="00971CE6">
        <w:instrText>ADDIN CSL_CITATION { "citationItems" : [ { "id" : "ITEM-1", "itemData" : { "author" : [ { "dropping-particle" : "", "family" : "Madlener", "given" : "Reinhard", "non-dropping-particle" : "", "parse-names" : false, "suffix" : "" }, { "dropping-particle" : "", "family" : "Bernstein", "given" : "Ronald", "non-dropping-particle" : "", "parse-names" : false, "suffix" : "" }, { "dropping-particle" : "", "family" : "Gonzalez", "given" : "Miguel", "non-dropping-particle" : "", "parse-names" : false, "suffix" : "" } ], "id" : "ITEM-1", "issued" : { "date-parts" : [ [ "2011" ] ] }, "title" : "Econometric Estimation of Energy Demand Elasticities", "type" : "report" }, "uris" : [ "http://www.mendeley.com/documents/?uuid=a99fe16c-ea40-4be7-a081-41f73a4d9f3e" ] } ], "mendeley" : { "manualFormatting" : "and Madlener, Bernstein, &amp; Gonzalez, 2011", "previouslyFormattedCitation" : "(Madlener et al., 2011)" }, "properties" : { "noteIndex" : 0 }, "schema" : "https://github.com/citation-style-language/schema/raw/master/csl-citation.json" }</w:instrText>
      </w:r>
      <w:r w:rsidR="005A66AE">
        <w:fldChar w:fldCharType="separate"/>
      </w:r>
      <w:r>
        <w:rPr>
          <w:noProof/>
        </w:rPr>
        <w:t xml:space="preserve">and </w:t>
      </w:r>
      <w:r w:rsidRPr="00F83EB4">
        <w:rPr>
          <w:noProof/>
        </w:rPr>
        <w:t>Madlener, Bernstein, &amp; Gonzalez, 2011</w:t>
      </w:r>
      <w:r w:rsidR="005A66AE">
        <w:fldChar w:fldCharType="end"/>
      </w:r>
      <w:r>
        <w:t xml:space="preserve">, used the ADL in modelling electricity </w:t>
      </w:r>
      <w:r w:rsidR="00B24BE1">
        <w:t>consumption</w:t>
      </w:r>
      <w:r>
        <w:t xml:space="preserve">. They also give a comprehensive survey of the methods use in modelling energy </w:t>
      </w:r>
      <w:r w:rsidR="00B24BE1">
        <w:t>consumption</w:t>
      </w:r>
      <w:r>
        <w:t xml:space="preserve">. </w:t>
      </w:r>
    </w:p>
    <w:p w:rsidR="00911BF4" w:rsidRDefault="00911BF4" w:rsidP="00911BF4"/>
    <w:p w:rsidR="00911BF4" w:rsidRDefault="00911BF4" w:rsidP="00911BF4">
      <w:r w:rsidRPr="006F5A50">
        <w:t>The advantages of this method rests on it ease of interpretation, robustness to time series properties of the data and robustness to endogenous variable bias. There is also another advantage in that the bounds testing procedure for the existence of a long run relationship (cointegration) is valid what</w:t>
      </w:r>
      <w:r>
        <w:t>ever</w:t>
      </w:r>
      <w:r w:rsidRPr="006F5A50">
        <w:t xml:space="preserve"> the time series properties of the data. </w:t>
      </w:r>
      <w:r>
        <w:t>The bounds</w:t>
      </w:r>
      <w:r w:rsidR="00BC6C12">
        <w:t xml:space="preserve"> </w:t>
      </w:r>
      <w:r>
        <w:t xml:space="preserve">testing is valid whether all the series are stationary, non-stationary or a combination of the two. </w:t>
      </w:r>
      <w:r w:rsidRPr="006F5A50">
        <w:t xml:space="preserve">In the presence of structural breaks, there can arise a great deal of uncertainty about these properties. </w:t>
      </w:r>
      <w:r>
        <w:t xml:space="preserve">The model </w:t>
      </w:r>
      <w:r w:rsidRPr="006F5A50">
        <w:t>also permits the inclusion</w:t>
      </w:r>
      <w:r>
        <w:t xml:space="preserve"> of different number of lags of the explanatory variables, which makes the estimation more efficient, by using a general to specific modelling framework. </w:t>
      </w:r>
      <w:r w:rsidR="005A66AE">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et al., 2001", "previouslyFormattedCitation" : "(Pesaran et al., 2001)" }, "properties" : { "noteIndex" : 0 }, "schema" : "https://github.com/citation-style-language/schema/raw/master/csl-citation.json" }</w:instrText>
      </w:r>
      <w:r w:rsidR="005A66AE">
        <w:fldChar w:fldCharType="separate"/>
      </w:r>
      <w:r w:rsidRPr="00132678">
        <w:rPr>
          <w:noProof/>
        </w:rPr>
        <w:t>Pesaran et al., 2001</w:t>
      </w:r>
      <w:r w:rsidR="005A66AE">
        <w:fldChar w:fldCharType="end"/>
      </w:r>
      <w:r>
        <w:t xml:space="preserve">, show that the ADL method yields consistent estimates of the long run coefficients, which are asymptotically normal. However, if structural breaks are not accounted for then the estimates of the long run coefficients will be biased. </w:t>
      </w:r>
      <w:r w:rsidR="005E51AC">
        <w:t xml:space="preserve">This potential problem is dealt with by including structural breaks that are identified through an analysis of their contribution to model fit. </w:t>
      </w:r>
      <w:r>
        <w:t xml:space="preserve">The method can be sensitive to lag selection. </w:t>
      </w:r>
    </w:p>
    <w:p w:rsidR="00911BF4" w:rsidRPr="00F667D5" w:rsidRDefault="00911BF4" w:rsidP="00911BF4"/>
    <w:p w:rsidR="00911BF4" w:rsidRPr="007166B8" w:rsidRDefault="00911BF4" w:rsidP="00911BF4">
      <w:r w:rsidRPr="007166B8">
        <w:t>The ADL model is defined as:</w:t>
      </w:r>
    </w:p>
    <w:p w:rsidR="00911BF4" w:rsidRDefault="00911BF4" w:rsidP="00911BF4"/>
    <w:p w:rsidR="00911BF4" w:rsidRPr="00F667D5" w:rsidRDefault="003F142F" w:rsidP="00911BF4">
      <w:pPr>
        <w:pStyle w:val="Dashedbullets"/>
        <w:spacing w:line="240" w:lineRule="atLeast"/>
        <w:ind w:left="714" w:hanging="357"/>
        <w:rPr>
          <w:rFonts w:eastAsiaTheme="minorEastAsia"/>
        </w:rPr>
      </w:pPr>
      <m:oMath>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D</m:t>
                </m:r>
              </m:e>
              <m:sub>
                <m:r>
                  <w:rPr>
                    <w:rFonts w:ascii="Cambria Math" w:hAnsi="Cambria Math"/>
                  </w:rPr>
                  <m:t>it</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sSub>
                <m:r>
                  <w:rPr>
                    <w:rFonts w:ascii="Cambria Math" w:hAnsi="Cambria Math"/>
                  </w:rPr>
                  <m:t>D</m:t>
                </m:r>
              </m:e>
              <m:sub>
                <m:r>
                  <w:rPr>
                    <w:rFonts w:ascii="Cambria Math" w:hAnsi="Cambria Math"/>
                  </w:rPr>
                  <m:t>t</m:t>
                </m:r>
              </m:sub>
            </m:sSub>
            <m:r>
              <w:rPr>
                <w:rFonts w:ascii="Cambria Math" w:hAnsi="Cambria Math"/>
              </w:rPr>
              <m:t>t</m:t>
            </m:r>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q</m:t>
            </m:r>
          </m:sup>
          <m:e>
            <m:sSub>
              <m:sSubPr>
                <m:ctrlPr>
                  <w:rPr>
                    <w:rFonts w:ascii="Cambria Math" w:hAnsi="Cambria Math"/>
                  </w:rPr>
                </m:ctrlPr>
              </m:sSubPr>
              <m:e>
                <m:r>
                  <w:rPr>
                    <w:rFonts w:ascii="Cambria Math" w:hAnsi="Cambria Math"/>
                  </w:rPr>
                  <m:t>B</m:t>
                </m:r>
              </m:e>
              <m:sub>
                <m:r>
                  <m:rPr>
                    <m:sty m:val="p"/>
                  </m:rPr>
                  <w:rPr>
                    <w:rFonts w:ascii="Cambria Math" w:hAnsi="Cambria Math"/>
                  </w:rPr>
                  <m:t>1</m:t>
                </m:r>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m:t>
                </m:r>
                <m:r>
                  <w:rPr>
                    <w:rFonts w:ascii="Cambria Math" w:hAnsi="Cambria Math"/>
                  </w:rPr>
                  <m:t>i</m:t>
                </m: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q</m:t>
            </m:r>
          </m:sup>
          <m:e>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i</m:t>
                </m:r>
              </m:sub>
            </m:sSub>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oMath>
    </w:p>
    <w:p w:rsidR="00911BF4" w:rsidRPr="00F667D5" w:rsidRDefault="00911BF4" w:rsidP="00911BF4">
      <w:pPr>
        <w:pStyle w:val="Dashedbullets"/>
        <w:numPr>
          <w:ilvl w:val="0"/>
          <w:numId w:val="0"/>
        </w:numPr>
        <w:ind w:left="284"/>
        <w:rPr>
          <w:rFonts w:eastAsiaTheme="minorEastAsia"/>
        </w:rPr>
      </w:pP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911BF4">
        <w:t xml:space="preserve"> is the dependent variable, electricity consumption by sector; </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Z</m:t>
            </m:r>
          </m:e>
          <m:sub>
            <m:r>
              <w:rPr>
                <w:rFonts w:ascii="Cambria Math" w:hAnsi="Cambria Math"/>
              </w:rPr>
              <m:t>t</m:t>
            </m:r>
          </m:sub>
        </m:sSub>
      </m:oMath>
      <w:r w:rsidR="00911BF4">
        <w:t xml:space="preserve"> is a vector of explanatory variables that are thought to be important; and,</w:t>
      </w:r>
    </w:p>
    <w:p w:rsidR="00911BF4" w:rsidRDefault="003F142F" w:rsidP="00911BF4">
      <w:pPr>
        <w:pStyle w:val="Dashedbullets"/>
        <w:ind w:left="720" w:hanging="360"/>
      </w:pP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00911BF4">
        <w:rPr>
          <w:rFonts w:eastAsiaTheme="minorEastAsia"/>
        </w:rPr>
        <w:t xml:space="preserve"> </w:t>
      </w:r>
      <w:r w:rsidR="00911BF4">
        <w:t>is either level or impulse dummy variable to pick up structural breaks.</w:t>
      </w:r>
    </w:p>
    <w:p w:rsidR="00911BF4" w:rsidRDefault="00911BF4" w:rsidP="00911BF4"/>
    <w:p w:rsidR="00911BF4" w:rsidRDefault="00911BF4" w:rsidP="00911BF4">
      <w:r>
        <w:t xml:space="preserve">The dependent variable is a function of its own lagged values as well as contemporaneous and lagged values of the explanatory variables. The dependent and explanatory variables are allowed to be both stationary and non-stationary. Although the short run and long run dynamics are nested within the ADL, it is better to </w:t>
      </w:r>
      <w:r>
        <w:lastRenderedPageBreak/>
        <w:t>specify the ADL equation as an unconstrained Error Correction Model. The advantages of doing so are ease of interpretation and ease of testing restrictions on the long run coefficients directly, such as testing for cointegration.</w:t>
      </w:r>
    </w:p>
    <w:p w:rsidR="00911BF4" w:rsidRDefault="00911BF4" w:rsidP="00911BF4"/>
    <w:p w:rsidR="00911BF4" w:rsidRPr="006F5A50" w:rsidRDefault="00911BF4" w:rsidP="00911BF4">
      <w:r w:rsidRPr="006F5A50">
        <w:t xml:space="preserve">The analysis starts by considering a general unconstrained Error Correction Model </w:t>
      </w:r>
    </w:p>
    <w:p w:rsidR="00911BF4" w:rsidRDefault="00911BF4" w:rsidP="00911BF4"/>
    <w:p w:rsidR="00911BF4" w:rsidRDefault="00911BF4" w:rsidP="00911BF4">
      <w:pPr>
        <w:pStyle w:val="Dashedbullets"/>
        <w:ind w:left="720" w:hanging="360"/>
        <w:rPr>
          <w:rFonts w:eastAsiaTheme="minorEastAsia"/>
        </w:rPr>
      </w:pPr>
      <m:oMath>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D</m:t>
                </m:r>
              </m:e>
              <m:sub>
                <m:r>
                  <w:rPr>
                    <w:rFonts w:ascii="Cambria Math" w:hAnsi="Cambria Math"/>
                  </w:rPr>
                  <m:t>it</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sSub>
                <m:r>
                  <w:rPr>
                    <w:rFonts w:ascii="Cambria Math" w:hAnsi="Cambria Math"/>
                  </w:rPr>
                  <m:t>D</m:t>
                </m:r>
              </m:e>
              <m:sub>
                <m:r>
                  <w:rPr>
                    <w:rFonts w:ascii="Cambria Math" w:hAnsi="Cambria Math"/>
                  </w:rPr>
                  <m:t>t</m:t>
                </m:r>
              </m:sub>
            </m:sSub>
            <m:r>
              <w:rPr>
                <w:rFonts w:ascii="Cambria Math" w:hAnsi="Cambria Math"/>
              </w:rPr>
              <m:t>t</m:t>
            </m:r>
          </m:e>
        </m:nary>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q</m:t>
            </m:r>
          </m:sup>
          <m:e>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i</m:t>
                </m:r>
              </m:sub>
            </m:sSub>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m:t>
                </m:r>
                <m:r>
                  <w:rPr>
                    <w:rFonts w:ascii="Cambria Math" w:hAnsi="Cambria Math"/>
                  </w:rPr>
                  <m:t>i</m:t>
                </m: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q</m:t>
            </m:r>
          </m:sup>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i</m:t>
                </m:r>
              </m:sub>
            </m:sSub>
            <m:r>
              <w:rPr>
                <w:rFonts w:ascii="Cambria Math" w:hAnsi="Cambria Math"/>
              </w:rPr>
              <m:t>Δ</m:t>
            </m:r>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oMath>
    </w:p>
    <w:p w:rsidR="00911BF4" w:rsidRDefault="00911BF4" w:rsidP="00911BF4">
      <w:pPr>
        <w:pStyle w:val="Dashedbullets"/>
        <w:numPr>
          <w:ilvl w:val="0"/>
          <w:numId w:val="0"/>
        </w:numPr>
        <w:ind w:left="284" w:hanging="284"/>
        <w:rPr>
          <w:rFonts w:eastAsiaTheme="minorEastAsia"/>
        </w:rPr>
      </w:pPr>
    </w:p>
    <w:p w:rsidR="00911BF4" w:rsidRDefault="00911BF4" w:rsidP="00911BF4">
      <w:r>
        <w:t xml:space="preserve">where </w:t>
      </w:r>
      <m:oMath>
        <m:sSub>
          <m:sSubPr>
            <m:ctrlPr>
              <w:rPr>
                <w:rFonts w:ascii="Cambria Math" w:hAnsi="Cambria Math"/>
              </w:rPr>
            </m:ctrlPr>
          </m:sSubPr>
          <m:e>
            <m:r>
              <w:rPr>
                <w:rFonts w:ascii="Cambria Math" w:hAnsi="Cambria Math"/>
              </w:rPr>
              <m:t>a</m:t>
            </m:r>
          </m:e>
          <m:sub>
            <m:r>
              <m:rPr>
                <m:sty m:val="p"/>
              </m:rP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1i</m:t>
            </m:r>
          </m:sub>
        </m:sSub>
        <m:r>
          <w:rPr>
            <w:rFonts w:ascii="Cambria Math" w:hAnsi="Cambria Math"/>
          </w:rPr>
          <m:t xml:space="preserve"> </m:t>
        </m:r>
      </m:oMath>
      <w:r>
        <w:rPr>
          <w:rFonts w:eastAsiaTheme="minorEastAsia"/>
        </w:rPr>
        <w:t xml:space="preserve">and </w:t>
      </w:r>
      <m:oMath>
        <m:sSub>
          <m:sSubPr>
            <m:ctrlPr>
              <w:rPr>
                <w:rFonts w:ascii="Cambria Math" w:hAnsi="Cambria Math"/>
                <w:i/>
              </w:rPr>
            </m:ctrlPr>
          </m:sSubPr>
          <m:e>
            <m:r>
              <w:rPr>
                <w:rFonts w:ascii="Cambria Math" w:hAnsi="Cambria Math"/>
              </w:rPr>
              <m:t>c</m:t>
            </m:r>
          </m:e>
          <m:sub>
            <m:r>
              <w:rPr>
                <w:rFonts w:ascii="Cambria Math" w:hAnsi="Cambria Math"/>
              </w:rPr>
              <m:t>2i</m:t>
            </m:r>
          </m:sub>
        </m:sSub>
      </m:oMath>
      <w:r>
        <w:t xml:space="preserve">  are model coefficients and </w:t>
      </w:r>
      <m:oMath>
        <m:r>
          <w:rPr>
            <w:rFonts w:ascii="Cambria Math" w:hAnsi="Cambria Math"/>
          </w:rPr>
          <m:t>Δ</m:t>
        </m:r>
      </m:oMath>
      <w:r>
        <w:rPr>
          <w:rFonts w:eastAsiaTheme="minorEastAsia"/>
          <w:iCs/>
        </w:rPr>
        <w:t xml:space="preserve"> is the first difference operator.</w:t>
      </w:r>
    </w:p>
    <w:p w:rsidR="00911BF4" w:rsidRDefault="00911BF4" w:rsidP="00911BF4"/>
    <w:p w:rsidR="00911BF4" w:rsidRDefault="00911BF4" w:rsidP="00911BF4">
      <w:r>
        <w:t xml:space="preserve">The model coefficients </w:t>
      </w:r>
      <m:oMath>
        <m:sSub>
          <m:sSubPr>
            <m:ctrlPr>
              <w:rPr>
                <w:rFonts w:ascii="Cambria Math" w:hAnsi="Cambria Math"/>
              </w:rPr>
            </m:ctrlPr>
          </m:sSubPr>
          <m:e>
            <m:r>
              <w:rPr>
                <w:rFonts w:ascii="Cambria Math" w:hAnsi="Cambria Math"/>
              </w:rPr>
              <m:t>a</m:t>
            </m:r>
          </m:e>
          <m:sub>
            <m:r>
              <m:rPr>
                <m:sty m:val="p"/>
              </m:rP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1i</m:t>
            </m:r>
          </m:sub>
        </m:sSub>
        <m:r>
          <w:rPr>
            <w:rFonts w:ascii="Cambria Math" w:hAnsi="Cambria Math"/>
          </w:rPr>
          <m:t xml:space="preserve"> </m:t>
        </m:r>
      </m:oMath>
      <w:r>
        <w:rPr>
          <w:rFonts w:eastAsiaTheme="minorEastAsia"/>
        </w:rPr>
        <w:t xml:space="preserve">and </w:t>
      </w:r>
      <m:oMath>
        <m:sSub>
          <m:sSubPr>
            <m:ctrlPr>
              <w:rPr>
                <w:rFonts w:ascii="Cambria Math" w:hAnsi="Cambria Math"/>
                <w:i/>
              </w:rPr>
            </m:ctrlPr>
          </m:sSubPr>
          <m:e>
            <m:r>
              <w:rPr>
                <w:rFonts w:ascii="Cambria Math" w:hAnsi="Cambria Math"/>
              </w:rPr>
              <m:t>c</m:t>
            </m:r>
          </m:e>
          <m:sub>
            <m:r>
              <w:rPr>
                <w:rFonts w:ascii="Cambria Math" w:hAnsi="Cambria Math"/>
              </w:rPr>
              <m:t>2i</m:t>
            </m:r>
          </m:sub>
        </m:sSub>
      </m:oMath>
      <w:r>
        <w:t xml:space="preserve"> are estimated by Ordinary Least Squares (OLS) and if the model is well specified, Pesaran et al (2001) show that these are consistent and asymptotically normal. As noted above the model estimates the short run dynamics of the dependent variable by including its own lags and the lags of other relevant explanatory variables. Also, the ECM specification directly recovers the long run relationship through the error correction term:</w:t>
      </w:r>
    </w:p>
    <w:p w:rsidR="00911BF4" w:rsidRPr="00F667D5" w:rsidRDefault="00911BF4" w:rsidP="00911BF4">
      <w:pPr>
        <w:pStyle w:val="Dashedbullets"/>
        <w:numPr>
          <w:ilvl w:val="0"/>
          <w:numId w:val="0"/>
        </w:numPr>
        <w:ind w:left="284"/>
      </w:pPr>
    </w:p>
    <w:p w:rsidR="00911BF4" w:rsidRPr="00F667D5" w:rsidRDefault="003F142F" w:rsidP="00911BF4">
      <w:pPr>
        <w:pStyle w:val="Dashedbullets"/>
        <w:ind w:left="720" w:hanging="360"/>
      </w:pPr>
      <m:oMath>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oMath>
    </w:p>
    <w:p w:rsidR="00911BF4" w:rsidRDefault="00911BF4" w:rsidP="00911BF4">
      <w:pPr>
        <w:pStyle w:val="Dashedbullets"/>
        <w:numPr>
          <w:ilvl w:val="0"/>
          <w:numId w:val="0"/>
        </w:numPr>
        <w:ind w:left="284"/>
      </w:pPr>
    </w:p>
    <w:p w:rsidR="00911BF4" w:rsidRDefault="00911BF4" w:rsidP="00911BF4">
      <w:r>
        <w:t>Which then give the long run relationship up to a constant term as:</w:t>
      </w:r>
    </w:p>
    <w:p w:rsidR="00911BF4" w:rsidRDefault="00911BF4" w:rsidP="00911BF4"/>
    <w:p w:rsidR="00911BF4" w:rsidRPr="00A60B09" w:rsidRDefault="003F142F" w:rsidP="00911BF4">
      <w:pPr>
        <w:pStyle w:val="Dashedbullets"/>
        <w:spacing w:line="240" w:lineRule="atLeast"/>
        <w:ind w:left="714" w:hanging="357"/>
        <w:rPr>
          <w:rFonts w:eastAsiaTheme="minorEastAsia"/>
        </w:rPr>
      </w:pPr>
      <m:oMath>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b</m:t>
                </m:r>
              </m:e>
              <m:sub>
                <m:r>
                  <m:rPr>
                    <m:sty m:val="p"/>
                  </m:rPr>
                  <w:rPr>
                    <w:rFonts w:ascii="Cambria Math" w:hAnsi="Cambria Math"/>
                  </w:rPr>
                  <m:t>1</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t</m:t>
            </m:r>
          </m:sub>
        </m:sSub>
      </m:oMath>
    </w:p>
    <w:p w:rsidR="00911BF4" w:rsidRDefault="00911BF4" w:rsidP="00911BF4"/>
    <w:p w:rsidR="00911BF4" w:rsidRDefault="00911BF4" w:rsidP="00911BF4">
      <w:r w:rsidRPr="006F5A50">
        <w:t>The analysis proceeds by estimating a general form of the equation above</w:t>
      </w:r>
      <w:r>
        <w:t>,</w:t>
      </w:r>
      <w:r w:rsidRPr="006F5A50">
        <w:t xml:space="preserve"> choosing a sufficient lag structure. A number of breaks are included based on a formal regression analysis</w:t>
      </w:r>
      <w:r>
        <w:t>,</w:t>
      </w:r>
      <w:r w:rsidRPr="006F5A50">
        <w:t xml:space="preserve"> Bai and Perron (1998)</w:t>
      </w:r>
      <w:r>
        <w:t>,</w:t>
      </w:r>
      <w:r w:rsidRPr="006F5A50">
        <w:t xml:space="preserve"> to identify potential break dates </w:t>
      </w:r>
      <w:r w:rsidR="00513047">
        <w:t>through consideration of model fit</w:t>
      </w:r>
      <w:r w:rsidRPr="006F5A50">
        <w:t>. The robustness of the estimated equation ultimately depend</w:t>
      </w:r>
      <w:r>
        <w:t>s</w:t>
      </w:r>
      <w:r w:rsidRPr="006F5A50">
        <w:t xml:space="preserve"> on these estimated</w:t>
      </w:r>
      <w:r>
        <w:t xml:space="preserve"> breaks. The regression is re-estimated while excluding insignificant lags of differenced data.</w:t>
      </w:r>
    </w:p>
    <w:p w:rsidR="00911BF4" w:rsidRDefault="00911BF4" w:rsidP="00911BF4"/>
    <w:p w:rsidR="00911BF4" w:rsidRPr="006F5A50" w:rsidRDefault="00911BF4" w:rsidP="00911BF4">
      <w:pPr>
        <w:rPr>
          <w:rFonts w:eastAsiaTheme="minorEastAsia"/>
        </w:rPr>
      </w:pPr>
      <w:r w:rsidRPr="006F5A50">
        <w:t xml:space="preserve">The long run relationship is tested </w:t>
      </w:r>
      <w:r>
        <w:t>in several ways</w:t>
      </w:r>
      <w:r w:rsidRPr="006F5A50">
        <w:t>. Based on Pesaran et al</w:t>
      </w:r>
      <w:r w:rsidR="00360333">
        <w:t>.</w:t>
      </w:r>
      <w:r w:rsidR="00AC1FC2">
        <w:t xml:space="preserve"> (2001</w:t>
      </w:r>
      <w:r w:rsidRPr="006F5A50">
        <w:t>)</w:t>
      </w:r>
      <w:r>
        <w:t>,</w:t>
      </w:r>
      <w:r w:rsidRPr="006F5A50">
        <w:t xml:space="preserve"> cointegration</w:t>
      </w:r>
      <w:r>
        <w:t xml:space="preserve"> and </w:t>
      </w:r>
      <w:r w:rsidRPr="006F5A50">
        <w:t>long run relation</w:t>
      </w:r>
      <w:r>
        <w:t>s</w:t>
      </w:r>
      <w:r w:rsidRPr="006F5A50">
        <w:t xml:space="preserve"> </w:t>
      </w:r>
      <w:r>
        <w:t xml:space="preserve">are addressed </w:t>
      </w:r>
      <w:r w:rsidRPr="006F5A50">
        <w:t>by testing the hypothesis that the coefficients of the level variables a</w:t>
      </w:r>
      <w:r>
        <w:t>re jointly equal to zero, that is:</w:t>
      </w:r>
    </w:p>
    <w:p w:rsidR="00911BF4" w:rsidRDefault="00911BF4" w:rsidP="00911BF4">
      <w:pPr>
        <w:rPr>
          <w:rFonts w:eastAsiaTheme="minorEastAsia"/>
        </w:rPr>
      </w:pPr>
    </w:p>
    <w:p w:rsidR="00911BF4" w:rsidRDefault="003F142F" w:rsidP="00911BF4">
      <w:pPr>
        <w:pStyle w:val="Dashedbullets"/>
        <w:ind w:left="720" w:hanging="360"/>
      </w:pP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=0</m:t>
        </m:r>
      </m:oMath>
      <w:r w:rsidR="00911BF4">
        <w:t xml:space="preserve"> </w:t>
      </w:r>
    </w:p>
    <w:p w:rsidR="00911BF4" w:rsidRDefault="003F142F" w:rsidP="00911BF4">
      <w:pPr>
        <w:pStyle w:val="Dashedbullets"/>
        <w:ind w:left="720" w:hanging="360"/>
      </w:pPr>
      <m:oMath>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≠0</m:t>
        </m:r>
      </m:oMath>
      <w:r w:rsidR="00911BF4">
        <w:t xml:space="preserve"> </w:t>
      </w:r>
    </w:p>
    <w:p w:rsidR="00911BF4" w:rsidRDefault="00911BF4" w:rsidP="00911BF4"/>
    <w:p w:rsidR="00911BF4" w:rsidRDefault="00911BF4" w:rsidP="00911BF4">
      <w:r>
        <w:t xml:space="preserve">The use of an </w:t>
      </w:r>
      <w:r w:rsidRPr="00F667D5">
        <w:rPr>
          <w:i/>
        </w:rPr>
        <w:t>F-test</w:t>
      </w:r>
      <w:r>
        <w:t xml:space="preserve"> is advocated and depending on whether the variables are stationary or not the resulting </w:t>
      </w:r>
      <w:r>
        <w:br/>
      </w:r>
      <w:r w:rsidRPr="00F667D5">
        <w:rPr>
          <w:i/>
        </w:rPr>
        <w:t>F-stat</w:t>
      </w:r>
      <w:r>
        <w:t xml:space="preserve"> is compared to some bounds. The bounds are tabulated in </w:t>
      </w:r>
      <w:r w:rsidR="005A66AE">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et al., 2001", "previouslyFormattedCitation" : "(Pesaran et al., 2001)" }, "properties" : { "noteIndex" : 0 }, "schema" : "https://github.com/citation-style-language/schema/raw/master/csl-citation.json" }</w:instrText>
      </w:r>
      <w:r w:rsidR="005A66AE">
        <w:fldChar w:fldCharType="separate"/>
      </w:r>
      <w:r w:rsidRPr="00132678">
        <w:rPr>
          <w:noProof/>
        </w:rPr>
        <w:t>Pesaran et al., 2001</w:t>
      </w:r>
      <w:r w:rsidR="005A66AE">
        <w:fldChar w:fldCharType="end"/>
      </w:r>
      <w:r>
        <w:t>, and the lower and upper limits correspond to whether all the variables are stationary or all the variables are non-stationary respectively.</w:t>
      </w:r>
    </w:p>
    <w:p w:rsidR="00911BF4" w:rsidRDefault="00911BF4" w:rsidP="00911BF4"/>
    <w:p w:rsidR="00911BF4" w:rsidRPr="006F5A50" w:rsidRDefault="00911BF4" w:rsidP="00911BF4">
      <w:r w:rsidRPr="006F5A50">
        <w:t xml:space="preserve">The modelling is </w:t>
      </w:r>
      <w:r>
        <w:t xml:space="preserve">conducted </w:t>
      </w:r>
      <w:r w:rsidRPr="006F5A50">
        <w:t>in the following steps:</w:t>
      </w:r>
    </w:p>
    <w:p w:rsidR="00911BF4" w:rsidRPr="004E5635" w:rsidRDefault="00911BF4" w:rsidP="00911BF4">
      <w:pPr>
        <w:pStyle w:val="Dashedbullets"/>
        <w:ind w:left="720" w:hanging="360"/>
      </w:pPr>
      <w:r w:rsidRPr="006F5A50">
        <w:t>check variables for stationarity and use</w:t>
      </w:r>
      <w:r w:rsidRPr="004E5635">
        <w:t xml:space="preserve"> OLS regression with breaks to identify potential break dates</w:t>
      </w:r>
      <w:r>
        <w:t>;</w:t>
      </w:r>
    </w:p>
    <w:p w:rsidR="00911BF4" w:rsidRPr="004E5635" w:rsidRDefault="00911BF4" w:rsidP="00911BF4">
      <w:pPr>
        <w:pStyle w:val="Dashedbullets"/>
        <w:ind w:left="720" w:hanging="360"/>
      </w:pPr>
      <w:r w:rsidRPr="004E5635">
        <w:lastRenderedPageBreak/>
        <w:t>estimate a general unconstrained ECM model and carry out dia</w:t>
      </w:r>
      <w:r>
        <w:t>gnostic checks for autocorrelation,</w:t>
      </w:r>
      <w:r w:rsidRPr="004E5635">
        <w:t xml:space="preserve"> heteroskedasticity and specification</w:t>
      </w:r>
      <w:r>
        <w:t>;</w:t>
      </w:r>
    </w:p>
    <w:p w:rsidR="00911BF4" w:rsidRPr="004E5635" w:rsidRDefault="00911BF4" w:rsidP="00911BF4">
      <w:pPr>
        <w:pStyle w:val="Dashedbullets"/>
        <w:ind w:left="720" w:hanging="360"/>
      </w:pPr>
      <w:r w:rsidRPr="004E5635">
        <w:t>sequentially delete insignificant variables if the t-stat is too small and its omission does not lead to substantial change in the coefficient of the remaining variables</w:t>
      </w:r>
      <w:r>
        <w:t>;</w:t>
      </w:r>
    </w:p>
    <w:p w:rsidR="00911BF4" w:rsidRPr="004E5635" w:rsidRDefault="00911BF4" w:rsidP="00911BF4">
      <w:pPr>
        <w:pStyle w:val="Dashedbullets"/>
        <w:ind w:left="720" w:hanging="360"/>
      </w:pPr>
      <w:r w:rsidRPr="004E5635">
        <w:t>impose equality constraint in order to reduce number of estimated coefficients</w:t>
      </w:r>
      <w:r>
        <w:t>;</w:t>
      </w:r>
    </w:p>
    <w:p w:rsidR="00911BF4" w:rsidRPr="004E5635" w:rsidRDefault="00911BF4" w:rsidP="00911BF4">
      <w:pPr>
        <w:pStyle w:val="Dashedbullets"/>
        <w:ind w:left="720" w:hanging="360"/>
      </w:pPr>
      <w:r w:rsidRPr="004E5635">
        <w:t>model checking via diagnostic checks and parameter constancy</w:t>
      </w:r>
      <w:r>
        <w:t>;</w:t>
      </w:r>
    </w:p>
    <w:p w:rsidR="00911BF4" w:rsidRPr="004E5635" w:rsidRDefault="00911BF4" w:rsidP="00911BF4">
      <w:pPr>
        <w:pStyle w:val="Dashedbullets"/>
        <w:ind w:left="720" w:hanging="360"/>
      </w:pPr>
      <w:r w:rsidRPr="004E5635">
        <w:t>use of bounds testing to confirm the long run relationship exists</w:t>
      </w:r>
      <w:r>
        <w:t>.</w:t>
      </w:r>
    </w:p>
    <w:p w:rsidR="00911BF4" w:rsidRDefault="00911BF4" w:rsidP="00911BF4">
      <w:pPr>
        <w:spacing w:line="300" w:lineRule="atLeast"/>
        <w:rPr>
          <w:rFonts w:ascii="Cambria Math" w:eastAsiaTheme="minorEastAsia" w:hAnsi="Cambria Math"/>
        </w:rPr>
      </w:pPr>
    </w:p>
    <w:p w:rsidR="00911BF4" w:rsidRPr="00117AB4" w:rsidRDefault="00911BF4" w:rsidP="00911BF4">
      <w:r>
        <w:t xml:space="preserve">Model estimates are also checked against other published work in the same field. Particularly the price elasticity is very unstable and only reasonable estimates (as </w:t>
      </w:r>
      <w:r w:rsidR="00513047">
        <w:t>determined by</w:t>
      </w:r>
      <w:r>
        <w:t xml:space="preserve"> other published work) are considered. </w:t>
      </w:r>
    </w:p>
    <w:p w:rsidR="00911BF4" w:rsidRDefault="00911BF4" w:rsidP="00911BF4">
      <w:pPr>
        <w:rPr>
          <w:b/>
        </w:rPr>
      </w:pPr>
    </w:p>
    <w:p w:rsidR="00911BF4" w:rsidRDefault="00911BF4" w:rsidP="00911BF4">
      <w:pPr>
        <w:spacing w:line="300" w:lineRule="atLeast"/>
      </w:pPr>
      <w:r w:rsidRPr="002075EB">
        <w:t>Once a model is estimated for the sample ending in 2007, forecasts for the period 2008 to 2012 are generated for the actual evolution of the explanatory variables.</w:t>
      </w:r>
      <w:r>
        <w:t xml:space="preserve"> These forecasts are then compared to actual data along with different scenarios. For each model one of the explanatory variables is assumed to stay fixed at the 2007 level and a new forecast of the dependent variable is generated, scenario definition are given below. These forecasts constitute counterfactuals which </w:t>
      </w:r>
      <w:r w:rsidR="00513047">
        <w:t xml:space="preserve">can </w:t>
      </w:r>
      <w:r>
        <w:t>shed light on the contribution of each explanatory variable to the forecast. Actual data is compared to these scenarios in order to identify any pattern that is not corroborated by the model.</w:t>
      </w:r>
    </w:p>
    <w:p w:rsidR="00911BF4" w:rsidRDefault="00911BF4" w:rsidP="00911BF4">
      <w:pPr>
        <w:spacing w:line="300" w:lineRule="atLeast"/>
      </w:pPr>
    </w:p>
    <w:p w:rsidR="00911BF4" w:rsidRDefault="00911BF4" w:rsidP="00911BF4">
      <w:pPr>
        <w:spacing w:line="300" w:lineRule="atLeast"/>
      </w:pPr>
      <w:r>
        <w:t xml:space="preserve">A forecast error can be the product of structural unpredictable errors, estimation errors and post estimation breaks. Whereas there is not much that can be done about the former two, breaks in the trend are something that </w:t>
      </w:r>
      <w:r w:rsidR="00513047">
        <w:t>can indicate</w:t>
      </w:r>
      <w:r>
        <w:t xml:space="preserve"> how the behaviour of the dependent variable may have changed. </w:t>
      </w:r>
    </w:p>
    <w:p w:rsidR="00911BF4" w:rsidRDefault="00911BF4" w:rsidP="00911BF4">
      <w:pPr>
        <w:spacing w:line="300" w:lineRule="atLeast"/>
      </w:pPr>
    </w:p>
    <w:p w:rsidR="00911BF4" w:rsidRPr="006F5A50" w:rsidRDefault="00911BF4" w:rsidP="00911BF4">
      <w:pPr>
        <w:spacing w:line="300" w:lineRule="atLeast"/>
      </w:pPr>
      <w:r>
        <w:t xml:space="preserve">There an additional experiment that is carried out. It is to decompose the forecast of the dependent variable, </w:t>
      </w:r>
      <w:r w:rsidR="00513047">
        <w:t>for example</w:t>
      </w:r>
      <w:r>
        <w:t xml:space="preserve"> electricity consumption, into its main components, which are in the ADL model, the effect of the explanatory variables (prices and activities), dynamics and residuals. The effect of an explanatory variable, for example electricity prices is then derived as the difference between the scenario that assumes no changes in any explanatory variable (baseline) and the scenario that assumes solely a change in electricity prices. This method of isolating the effect of one explanatory variable is descriptive only since it is not innocuous to assume that changing one variable only is valid since explanatory variables are correlated. Although not statistically exact, the experiment gives an idea about the size of the change in the explanatory variable and the size of the response of the dependent variable (via the elasticity coefficient).</w:t>
      </w:r>
    </w:p>
    <w:p w:rsidR="00911BF4" w:rsidRPr="000D25DC" w:rsidRDefault="00911BF4" w:rsidP="00911BF4">
      <w:pPr>
        <w:pStyle w:val="Charttitle"/>
      </w:pPr>
      <w:bookmarkStart w:id="332" w:name="_Toc365822807"/>
      <w:bookmarkStart w:id="333" w:name="_Toc366269880"/>
      <w:bookmarkStart w:id="334" w:name="_Toc369890598"/>
      <w:r>
        <w:lastRenderedPageBreak/>
        <w:t>The trend analysis tests the data and builds a robust model to arrive at the final results</w:t>
      </w:r>
      <w:bookmarkEnd w:id="332"/>
      <w:bookmarkEnd w:id="333"/>
      <w:bookmarkEnd w:id="334"/>
    </w:p>
    <w:p w:rsidR="00911BF4" w:rsidRPr="00430244" w:rsidRDefault="00513047" w:rsidP="00911BF4">
      <w:pPr>
        <w:pStyle w:val="Chartspacer"/>
        <w:rPr>
          <w:rStyle w:val="PlaceholderText"/>
        </w:rPr>
      </w:pPr>
      <w:r w:rsidRPr="00513047">
        <w:rPr>
          <w:noProof/>
          <w:lang w:eastAsia="en-GB"/>
        </w:rPr>
        <w:drawing>
          <wp:inline distT="0" distB="0" distL="0" distR="0" wp14:anchorId="62649C0C" wp14:editId="48C362C2">
            <wp:extent cx="6120765" cy="685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765" cy="6859675"/>
                    </a:xfrm>
                    <a:prstGeom prst="rect">
                      <a:avLst/>
                    </a:prstGeom>
                    <a:noFill/>
                    <a:ln>
                      <a:noFill/>
                    </a:ln>
                  </pic:spPr>
                </pic:pic>
              </a:graphicData>
            </a:graphic>
          </wp:inline>
        </w:drawing>
      </w:r>
    </w:p>
    <w:p w:rsidR="00911BF4" w:rsidRPr="005A132E" w:rsidRDefault="00911BF4" w:rsidP="00911BF4">
      <w:pPr>
        <w:pStyle w:val="Source"/>
      </w:pPr>
      <w:r w:rsidRPr="005A132E">
        <w:t>Source:</w:t>
      </w:r>
      <w:r>
        <w:tab/>
        <w:t>Vivid Economics</w:t>
      </w:r>
    </w:p>
    <w:p w:rsidR="00911BF4" w:rsidRDefault="00911BF4" w:rsidP="00911BF4">
      <w:pPr>
        <w:spacing w:line="300" w:lineRule="atLeast"/>
        <w:rPr>
          <w:rFonts w:ascii="Cambria Math" w:eastAsiaTheme="minorEastAsia" w:hAnsi="Cambria Math"/>
        </w:rPr>
      </w:pPr>
    </w:p>
    <w:p w:rsidR="00911BF4" w:rsidRDefault="00911BF4" w:rsidP="00911BF4">
      <w:pPr>
        <w:spacing w:line="300" w:lineRule="atLeast"/>
        <w:rPr>
          <w:rFonts w:ascii="Cambria Math" w:eastAsiaTheme="minorEastAsia" w:hAnsi="Cambria Math"/>
        </w:rPr>
      </w:pPr>
    </w:p>
    <w:p w:rsidR="00911BF4" w:rsidRDefault="00911BF4" w:rsidP="00911BF4">
      <w:pPr>
        <w:spacing w:line="300" w:lineRule="atLeast"/>
        <w:rPr>
          <w:rFonts w:ascii="Cambria Math" w:eastAsiaTheme="minorEastAsia" w:hAnsi="Cambria Math"/>
        </w:rPr>
      </w:pPr>
    </w:p>
    <w:p w:rsidR="00911BF4" w:rsidRPr="006F5A50" w:rsidRDefault="00911BF4" w:rsidP="00911BF4">
      <w:pPr>
        <w:spacing w:line="300" w:lineRule="atLeast"/>
      </w:pPr>
    </w:p>
    <w:p w:rsidR="00911BF4" w:rsidRPr="006F5A50" w:rsidRDefault="00911BF4" w:rsidP="00911BF4">
      <w:pPr>
        <w:spacing w:line="300" w:lineRule="atLeast"/>
      </w:pPr>
      <w:r w:rsidRPr="006F5A50">
        <w:t>The scenarios that are of interest in the analysis are:</w:t>
      </w:r>
    </w:p>
    <w:p w:rsidR="00911BF4" w:rsidRPr="006F5A50" w:rsidRDefault="00911BF4" w:rsidP="00911BF4">
      <w:pPr>
        <w:pStyle w:val="Dashedbullets"/>
        <w:ind w:left="720" w:hanging="360"/>
      </w:pPr>
      <w:r w:rsidRPr="006F5A50">
        <w:t>scenario 0</w:t>
      </w:r>
      <w:r>
        <w:t xml:space="preserve"> – actual</w:t>
      </w:r>
      <w:r w:rsidRPr="006F5A50">
        <w:t>: forecast based on activity variable (GVA/FCE) and electricity price taki</w:t>
      </w:r>
      <w:r>
        <w:t>ng their actual course;</w:t>
      </w:r>
    </w:p>
    <w:p w:rsidR="00911BF4" w:rsidRPr="006F5A50" w:rsidRDefault="00911BF4" w:rsidP="00911BF4">
      <w:pPr>
        <w:pStyle w:val="Dashedbullets"/>
        <w:ind w:left="720" w:hanging="360"/>
      </w:pPr>
      <w:r w:rsidRPr="006F5A50">
        <w:t>scenario 1</w:t>
      </w:r>
      <w:r>
        <w:t xml:space="preserve"> – fixed factors</w:t>
      </w:r>
      <w:r w:rsidRPr="006F5A50">
        <w:t>: forecast based on</w:t>
      </w:r>
      <w:r>
        <w:t xml:space="preserve"> all</w:t>
      </w:r>
      <w:r w:rsidRPr="006F5A50">
        <w:t xml:space="preserve"> explanatory variables </w:t>
      </w:r>
      <w:r>
        <w:t xml:space="preserve">fixed </w:t>
      </w:r>
      <w:r w:rsidRPr="006F5A50">
        <w:t xml:space="preserve">at their 2007 level. This is the </w:t>
      </w:r>
      <w:r>
        <w:t>baseline</w:t>
      </w:r>
      <w:r w:rsidRPr="006F5A50">
        <w:t xml:space="preserve"> against which the effect of </w:t>
      </w:r>
      <w:r>
        <w:t>the drivers is explained;</w:t>
      </w:r>
    </w:p>
    <w:p w:rsidR="00911BF4" w:rsidRPr="006F5A50" w:rsidRDefault="00911BF4" w:rsidP="00911BF4">
      <w:pPr>
        <w:pStyle w:val="Dashedbullets"/>
        <w:ind w:left="720" w:hanging="360"/>
      </w:pPr>
      <w:r w:rsidRPr="006F5A50">
        <w:t>scenario 2</w:t>
      </w:r>
      <w:r>
        <w:t xml:space="preserve"> – activity effect</w:t>
      </w:r>
      <w:r w:rsidRPr="006F5A50">
        <w:t>: forecast based on changing activity driver</w:t>
      </w:r>
      <w:r>
        <w:t>s</w:t>
      </w:r>
      <w:r w:rsidRPr="006F5A50">
        <w:t xml:space="preserve"> and </w:t>
      </w:r>
      <w:r>
        <w:t xml:space="preserve">other factors </w:t>
      </w:r>
      <w:r w:rsidRPr="006F5A50">
        <w:t>fixed at 2007 level. The difference between this forecast and benchmark will give</w:t>
      </w:r>
      <w:r>
        <w:t>s an idea of the activity effect; and</w:t>
      </w:r>
    </w:p>
    <w:p w:rsidR="00911BF4" w:rsidRPr="006F5A50" w:rsidRDefault="00911BF4" w:rsidP="00911BF4">
      <w:pPr>
        <w:pStyle w:val="Dashedbullets"/>
        <w:ind w:left="720" w:hanging="360"/>
      </w:pPr>
      <w:r w:rsidRPr="006F5A50">
        <w:t>scenario 3</w:t>
      </w:r>
      <w:r>
        <w:t xml:space="preserve"> – price effect</w:t>
      </w:r>
      <w:r w:rsidRPr="006F5A50">
        <w:t>: forecast based on changing electricity price and keeping activity variable fixed at 2007 level. This recover</w:t>
      </w:r>
      <w:r>
        <w:t>s</w:t>
      </w:r>
      <w:r w:rsidRPr="006F5A50">
        <w:t xml:space="preserve"> the effect of changing prices compared to benchmark.</w:t>
      </w:r>
    </w:p>
    <w:p w:rsidR="00911BF4" w:rsidRPr="006F5A50" w:rsidRDefault="00911BF4" w:rsidP="00911BF4">
      <w:pPr>
        <w:pStyle w:val="Dashedbullets"/>
        <w:numPr>
          <w:ilvl w:val="0"/>
          <w:numId w:val="0"/>
        </w:numPr>
        <w:ind w:left="720" w:hanging="360"/>
      </w:pPr>
    </w:p>
    <w:p w:rsidR="00A37AD8" w:rsidRDefault="00911BF4" w:rsidP="00190CCE">
      <w:pPr>
        <w:pStyle w:val="Dashedbullets"/>
        <w:numPr>
          <w:ilvl w:val="0"/>
          <w:numId w:val="0"/>
        </w:numPr>
        <w:sectPr w:rsidR="00A37AD8" w:rsidSect="00A3383B">
          <w:pgSz w:w="11907" w:h="16840" w:code="9"/>
          <w:pgMar w:top="1985" w:right="1134" w:bottom="1701" w:left="1134" w:header="425" w:footer="284" w:gutter="0"/>
          <w:cols w:space="708"/>
          <w:docGrid w:linePitch="360"/>
        </w:sectPr>
      </w:pPr>
      <w:r w:rsidRPr="006F5A50">
        <w:t xml:space="preserve">The models are </w:t>
      </w:r>
      <w:r>
        <w:t xml:space="preserve">then </w:t>
      </w:r>
      <w:r w:rsidRPr="006F5A50">
        <w:t xml:space="preserve">re-estimated using the full available sample ending in 2012 to </w:t>
      </w:r>
      <w:r>
        <w:t>see whether the coefficient</w:t>
      </w:r>
      <w:r w:rsidRPr="006F5A50">
        <w:t xml:space="preserve"> estimates change. Similar forecasts to the above scenarios are generated, </w:t>
      </w:r>
      <w:r w:rsidR="00513047">
        <w:t>using the new coefficient estimates</w:t>
      </w:r>
      <w:r w:rsidR="000159B2">
        <w:t xml:space="preserve">, </w:t>
      </w:r>
      <w:r w:rsidRPr="006F5A50">
        <w:t>show</w:t>
      </w:r>
      <w:r>
        <w:t>ing whether</w:t>
      </w:r>
      <w:r w:rsidRPr="006F5A50">
        <w:t xml:space="preserve"> the relative contribution of drivers </w:t>
      </w:r>
      <w:r>
        <w:t>is the same for the model to 2007 and the model to 2012. Differences between the two models could suggest a change in behaviour after 2007.</w:t>
      </w:r>
      <w:bookmarkEnd w:id="328"/>
    </w:p>
    <w:p w:rsidR="009F503D" w:rsidRPr="00AC341A" w:rsidRDefault="001E68BB" w:rsidP="009F503D">
      <w:pPr>
        <w:pStyle w:val="Heading1"/>
      </w:pPr>
      <w:bookmarkStart w:id="335" w:name="_Ref366251408"/>
      <w:bookmarkStart w:id="336" w:name="Section7"/>
      <w:bookmarkStart w:id="337" w:name="_Toc369890507"/>
      <w:r>
        <w:lastRenderedPageBreak/>
        <w:t>Data</w:t>
      </w:r>
      <w:bookmarkEnd w:id="335"/>
      <w:bookmarkEnd w:id="337"/>
    </w:p>
    <w:p w:rsidR="009F503D" w:rsidRPr="00EF51BF" w:rsidRDefault="00807C20" w:rsidP="009F503D">
      <w:pPr>
        <w:pStyle w:val="Sectionsubheading"/>
      </w:pPr>
      <w:r w:rsidRPr="00807C20">
        <w:t xml:space="preserve">The data </w:t>
      </w:r>
      <w:r w:rsidR="0002418D">
        <w:t>is collected</w:t>
      </w:r>
      <w:r w:rsidRPr="00807C20">
        <w:t xml:space="preserve"> from official, public sources and </w:t>
      </w:r>
      <w:r w:rsidR="0002418D">
        <w:t>is disaggregated to sector level</w:t>
      </w:r>
    </w:p>
    <w:p w:rsidR="009F503D" w:rsidRDefault="0002418D" w:rsidP="009F503D">
      <w:pPr>
        <w:pStyle w:val="Sectioncontents"/>
      </w:pPr>
      <w:r>
        <w:t>Section c</w:t>
      </w:r>
      <w:r w:rsidR="009F503D" w:rsidRPr="002A31C3">
        <w:t xml:space="preserve">ontents: </w:t>
      </w:r>
    </w:p>
    <w:p w:rsidR="00BB4088" w:rsidRDefault="005A66AE">
      <w:pPr>
        <w:pStyle w:val="TOC1"/>
        <w:rPr>
          <w:rFonts w:asciiTheme="minorHAnsi" w:eastAsiaTheme="minorEastAsia" w:hAnsiTheme="minorHAnsi" w:cstheme="minorBidi"/>
          <w:color w:val="auto"/>
          <w:lang w:eastAsia="en-GB"/>
        </w:rPr>
      </w:pPr>
      <w:r w:rsidRPr="00EF51BF">
        <w:rPr>
          <w:noProof w:val="0"/>
        </w:rPr>
        <w:fldChar w:fldCharType="begin"/>
      </w:r>
      <w:r w:rsidR="009F503D" w:rsidRPr="00EF51BF">
        <w:rPr>
          <w:noProof w:val="0"/>
        </w:rPr>
        <w:instrText xml:space="preserve"> TOC \u \t "Heading </w:instrText>
      </w:r>
      <w:r w:rsidR="009F503D">
        <w:rPr>
          <w:noProof w:val="0"/>
        </w:rPr>
        <w:instrText>2</w:instrText>
      </w:r>
      <w:r w:rsidR="009F503D" w:rsidRPr="00EF51BF">
        <w:rPr>
          <w:noProof w:val="0"/>
        </w:rPr>
        <w:instrText>,</w:instrText>
      </w:r>
      <w:r w:rsidR="009F503D">
        <w:rPr>
          <w:noProof w:val="0"/>
        </w:rPr>
        <w:instrText>1</w:instrText>
      </w:r>
      <w:r w:rsidR="009F503D" w:rsidRPr="00EF51BF">
        <w:rPr>
          <w:noProof w:val="0"/>
        </w:rPr>
        <w:instrText xml:space="preserve">" </w:instrText>
      </w:r>
      <w:r w:rsidR="009F503D">
        <w:rPr>
          <w:noProof w:val="0"/>
        </w:rPr>
        <w:instrText>\b "Section7"</w:instrText>
      </w:r>
      <w:r w:rsidR="009F503D" w:rsidRPr="00EF51BF">
        <w:rPr>
          <w:noProof w:val="0"/>
        </w:rPr>
        <w:instrText xml:space="preserve"> </w:instrText>
      </w:r>
      <w:r w:rsidRPr="00EF51BF">
        <w:rPr>
          <w:noProof w:val="0"/>
        </w:rPr>
        <w:fldChar w:fldCharType="separate"/>
      </w:r>
      <w:r w:rsidR="00BB4088">
        <w:t>7.1</w:t>
      </w:r>
      <w:r w:rsidR="00BB4088">
        <w:rPr>
          <w:rFonts w:asciiTheme="minorHAnsi" w:eastAsiaTheme="minorEastAsia" w:hAnsiTheme="minorHAnsi" w:cstheme="minorBidi"/>
          <w:color w:val="auto"/>
          <w:lang w:eastAsia="en-GB"/>
        </w:rPr>
        <w:tab/>
      </w:r>
      <w:r w:rsidR="00BB4088">
        <w:t>Data sources</w:t>
      </w:r>
      <w:r w:rsidR="00BB4088">
        <w:tab/>
      </w:r>
      <w:r w:rsidR="00BB4088">
        <w:fldChar w:fldCharType="begin"/>
      </w:r>
      <w:r w:rsidR="00BB4088">
        <w:instrText xml:space="preserve"> PAGEREF _Toc369890627 \h </w:instrText>
      </w:r>
      <w:r w:rsidR="00BB4088">
        <w:fldChar w:fldCharType="separate"/>
      </w:r>
      <w:r w:rsidR="00197E14">
        <w:t>131</w:t>
      </w:r>
      <w:r w:rsidR="00BB4088">
        <w:fldChar w:fldCharType="end"/>
      </w:r>
    </w:p>
    <w:p w:rsidR="00BB4088" w:rsidRDefault="00BB4088">
      <w:pPr>
        <w:pStyle w:val="TOC1"/>
        <w:rPr>
          <w:rFonts w:asciiTheme="minorHAnsi" w:eastAsiaTheme="minorEastAsia" w:hAnsiTheme="minorHAnsi" w:cstheme="minorBidi"/>
          <w:color w:val="auto"/>
          <w:lang w:eastAsia="en-GB"/>
        </w:rPr>
      </w:pPr>
      <w:r>
        <w:t>7.2</w:t>
      </w:r>
      <w:r>
        <w:rPr>
          <w:rFonts w:asciiTheme="minorHAnsi" w:eastAsiaTheme="minorEastAsia" w:hAnsiTheme="minorHAnsi" w:cstheme="minorBidi"/>
          <w:color w:val="auto"/>
          <w:lang w:eastAsia="en-GB"/>
        </w:rPr>
        <w:tab/>
      </w:r>
      <w:r>
        <w:t>Data issues</w:t>
      </w:r>
      <w:r>
        <w:tab/>
      </w:r>
      <w:r>
        <w:fldChar w:fldCharType="begin"/>
      </w:r>
      <w:r>
        <w:instrText xml:space="preserve"> PAGEREF _Toc369890628 \h </w:instrText>
      </w:r>
      <w:r>
        <w:fldChar w:fldCharType="separate"/>
      </w:r>
      <w:r w:rsidR="00197E14">
        <w:t>134</w:t>
      </w:r>
      <w:r>
        <w:fldChar w:fldCharType="end"/>
      </w:r>
    </w:p>
    <w:p w:rsidR="009F503D" w:rsidRPr="00EF51BF" w:rsidRDefault="005A66AE" w:rsidP="00F854B9">
      <w:pPr>
        <w:pStyle w:val="Sectionintroheading"/>
      </w:pPr>
      <w:r w:rsidRPr="00EF51BF">
        <w:rPr>
          <w:rFonts w:cs="Arial"/>
        </w:rPr>
        <w:fldChar w:fldCharType="end"/>
      </w:r>
      <w:r w:rsidR="009F503D" w:rsidRPr="00EF51BF">
        <w:br w:type="page"/>
      </w:r>
    </w:p>
    <w:p w:rsidR="009F503D" w:rsidRPr="00EF51BF" w:rsidRDefault="00AA0373" w:rsidP="008650BE">
      <w:pPr>
        <w:pStyle w:val="Heading2"/>
      </w:pPr>
      <w:bookmarkStart w:id="338" w:name="_Toc369890627"/>
      <w:r>
        <w:lastRenderedPageBreak/>
        <w:t>Data</w:t>
      </w:r>
      <w:r w:rsidR="00723C7F">
        <w:t xml:space="preserve"> sources</w:t>
      </w:r>
      <w:bookmarkEnd w:id="338"/>
    </w:p>
    <w:p w:rsidR="00480BBB" w:rsidRDefault="00480BBB" w:rsidP="00480BBB"/>
    <w:p w:rsidR="00480BBB" w:rsidRPr="00C8696F" w:rsidRDefault="00480BBB" w:rsidP="00480BBB">
      <w:r w:rsidRPr="00C8696F">
        <w:t>For electricity consumption and generation the Australian Energy Statistics (AES) database published by the Bureau of Resources and Energy Economics (BREE) is the main source of data, since the AES is the main official source of energy data. The database is very extensive and includes breakdown of consumption data by sector (corresponding to Australian and New Zealand Standard Industrial Classification (ANZSIC) codes) and by state. The 2013 data vintage was used, which revises some previous data, most notably industrial electricity consumption.</w:t>
      </w:r>
    </w:p>
    <w:p w:rsidR="00480BBB" w:rsidRPr="00C8696F" w:rsidRDefault="00480BBB" w:rsidP="00480BBB"/>
    <w:p w:rsidR="00480BBB" w:rsidRPr="00C8696F" w:rsidRDefault="00480BBB" w:rsidP="00480BBB">
      <w:r w:rsidRPr="00C8696F">
        <w:t xml:space="preserve">Gas emissions data was obtained from The Australian Greenhouse Emissions Information System (AGEIS). This is the main database for emissions data. The data for emissions due to electricity generation and </w:t>
      </w:r>
      <w:r w:rsidR="008A2AA8">
        <w:t>economy-wide</w:t>
      </w:r>
      <w:r w:rsidRPr="00C8696F">
        <w:t xml:space="preserve"> emissions exists from 1990 to 2012 apart from Division A: Agriculture, Forestry and Fishing which is only available from 2008. The data for the subsector Agriculture exists from 1990.  </w:t>
      </w:r>
    </w:p>
    <w:p w:rsidR="00480BBB" w:rsidRPr="00C8696F" w:rsidRDefault="00480BBB" w:rsidP="00480BBB"/>
    <w:p w:rsidR="00480BBB" w:rsidRPr="00C8696F" w:rsidRDefault="00480BBB" w:rsidP="00480BBB">
      <w:r w:rsidRPr="00C8696F">
        <w:t xml:space="preserve">Macroeconomic data was obtained from the Australian Bureau of Statistics (ABS), OECD database and DataStream. An extensive database of macroeconomic, population and weather variables was collected and used and detailed in </w:t>
      </w:r>
      <w:r w:rsidR="005A66AE" w:rsidRPr="00C8696F">
        <w:fldChar w:fldCharType="begin"/>
      </w:r>
      <w:r w:rsidRPr="00C8696F">
        <w:instrText xml:space="preserve"> REF _Ref366078981 \r \h </w:instrText>
      </w:r>
      <w:r w:rsidR="00C8696F">
        <w:instrText xml:space="preserve"> \* MERGEFORMAT </w:instrText>
      </w:r>
      <w:r w:rsidR="005A66AE" w:rsidRPr="00C8696F">
        <w:fldChar w:fldCharType="separate"/>
      </w:r>
      <w:r w:rsidR="00197E14">
        <w:t>Table 25</w:t>
      </w:r>
      <w:r w:rsidR="005A66AE" w:rsidRPr="00C8696F">
        <w:fldChar w:fldCharType="end"/>
      </w:r>
      <w:r w:rsidRPr="00C8696F">
        <w:t>.</w:t>
      </w:r>
    </w:p>
    <w:p w:rsidR="00480BBB" w:rsidRPr="00EC00EC" w:rsidRDefault="008F0640" w:rsidP="00480BBB">
      <w:pPr>
        <w:pStyle w:val="Tabletitle"/>
        <w:ind w:left="1134" w:hanging="1134"/>
      </w:pPr>
      <w:bookmarkStart w:id="339" w:name="_Toc366078961"/>
      <w:bookmarkStart w:id="340" w:name="_Ref366078981"/>
      <w:bookmarkStart w:id="341" w:name="_Toc369890534"/>
      <w:r>
        <w:t>The Bureau of Resources and Energy Economics</w:t>
      </w:r>
      <w:r w:rsidR="00480BBB">
        <w:t xml:space="preserve">, </w:t>
      </w:r>
      <w:r>
        <w:t xml:space="preserve">the National Greenhouse Gas Inventory (AGEIS) </w:t>
      </w:r>
      <w:r w:rsidR="00480BBB">
        <w:t xml:space="preserve">and </w:t>
      </w:r>
      <w:r>
        <w:t xml:space="preserve">the </w:t>
      </w:r>
      <w:r w:rsidR="00480BBB">
        <w:t>B</w:t>
      </w:r>
      <w:r>
        <w:t xml:space="preserve">ureau of </w:t>
      </w:r>
      <w:r w:rsidR="00480BBB">
        <w:t>S</w:t>
      </w:r>
      <w:r>
        <w:t>tatistics</w:t>
      </w:r>
      <w:r w:rsidR="00480BBB">
        <w:t xml:space="preserve"> are main data sources.</w:t>
      </w:r>
      <w:bookmarkEnd w:id="339"/>
      <w:bookmarkEnd w:id="340"/>
      <w:bookmarkEnd w:id="341"/>
    </w:p>
    <w:tbl>
      <w:tblPr>
        <w:tblStyle w:val="Vividtable"/>
        <w:tblW w:w="9854" w:type="dxa"/>
        <w:tblLook w:val="04A0" w:firstRow="1" w:lastRow="0" w:firstColumn="1" w:lastColumn="0" w:noHBand="0" w:noVBand="1"/>
      </w:tblPr>
      <w:tblGrid>
        <w:gridCol w:w="1642"/>
        <w:gridCol w:w="1642"/>
        <w:gridCol w:w="1642"/>
        <w:gridCol w:w="1642"/>
        <w:gridCol w:w="1643"/>
        <w:gridCol w:w="1643"/>
      </w:tblGrid>
      <w:tr w:rsidR="00480BBB" w:rsidRPr="001D2AE0" w:rsidTr="006054BB">
        <w:trPr>
          <w:cnfStyle w:val="100000000000" w:firstRow="1" w:lastRow="0" w:firstColumn="0" w:lastColumn="0" w:oddVBand="0" w:evenVBand="0" w:oddHBand="0" w:evenHBand="0" w:firstRowFirstColumn="0" w:firstRowLastColumn="0" w:lastRowFirstColumn="0" w:lastRowLastColumn="0"/>
          <w:trHeight w:val="544"/>
        </w:trPr>
        <w:tc>
          <w:tcPr>
            <w:tcW w:w="1642" w:type="dxa"/>
            <w:hideMark/>
          </w:tcPr>
          <w:p w:rsidR="00480BBB" w:rsidRPr="007C5C84" w:rsidRDefault="00480BBB" w:rsidP="006054BB">
            <w:pPr>
              <w:keepNext/>
              <w:rPr>
                <w:rStyle w:val="PlaceholderText"/>
                <w:szCs w:val="18"/>
              </w:rPr>
            </w:pPr>
            <w:r w:rsidRPr="007C5C84">
              <w:rPr>
                <w:rStyle w:val="PlaceholderText"/>
                <w:szCs w:val="18"/>
              </w:rPr>
              <w:t>Variable</w:t>
            </w:r>
          </w:p>
        </w:tc>
        <w:tc>
          <w:tcPr>
            <w:tcW w:w="1642" w:type="dxa"/>
            <w:hideMark/>
          </w:tcPr>
          <w:p w:rsidR="00480BBB" w:rsidRPr="007C5C84" w:rsidRDefault="00480BBB" w:rsidP="006054BB">
            <w:pPr>
              <w:keepNext/>
              <w:rPr>
                <w:rStyle w:val="PlaceholderText"/>
                <w:szCs w:val="18"/>
              </w:rPr>
            </w:pPr>
            <w:r w:rsidRPr="007C5C84">
              <w:rPr>
                <w:rStyle w:val="PlaceholderText"/>
                <w:szCs w:val="18"/>
              </w:rPr>
              <w:t>Source</w:t>
            </w:r>
          </w:p>
        </w:tc>
        <w:tc>
          <w:tcPr>
            <w:tcW w:w="1642" w:type="dxa"/>
            <w:hideMark/>
          </w:tcPr>
          <w:p w:rsidR="00480BBB" w:rsidRPr="007C5C84" w:rsidRDefault="00480BBB" w:rsidP="006054BB">
            <w:pPr>
              <w:keepNext/>
              <w:rPr>
                <w:rStyle w:val="PlaceholderText"/>
                <w:szCs w:val="18"/>
              </w:rPr>
            </w:pPr>
            <w:r w:rsidRPr="007C5C84">
              <w:rPr>
                <w:rStyle w:val="PlaceholderText"/>
                <w:szCs w:val="18"/>
              </w:rPr>
              <w:t>Variable type, unit</w:t>
            </w:r>
          </w:p>
        </w:tc>
        <w:tc>
          <w:tcPr>
            <w:tcW w:w="1642" w:type="dxa"/>
            <w:hideMark/>
          </w:tcPr>
          <w:p w:rsidR="00480BBB" w:rsidRPr="007C5C84" w:rsidRDefault="00480BBB" w:rsidP="006054BB">
            <w:pPr>
              <w:keepNext/>
              <w:rPr>
                <w:rStyle w:val="PlaceholderText"/>
                <w:szCs w:val="18"/>
              </w:rPr>
            </w:pPr>
            <w:r w:rsidRPr="007C5C84">
              <w:rPr>
                <w:rStyle w:val="PlaceholderText"/>
                <w:szCs w:val="18"/>
              </w:rPr>
              <w:t>Breakdown</w:t>
            </w:r>
          </w:p>
        </w:tc>
        <w:tc>
          <w:tcPr>
            <w:tcW w:w="1643" w:type="dxa"/>
            <w:hideMark/>
          </w:tcPr>
          <w:p w:rsidR="00480BBB" w:rsidRPr="007C5C84" w:rsidRDefault="00480BBB" w:rsidP="006054BB">
            <w:pPr>
              <w:keepNext/>
              <w:rPr>
                <w:rStyle w:val="PlaceholderText"/>
                <w:szCs w:val="18"/>
              </w:rPr>
            </w:pPr>
            <w:r w:rsidRPr="007C5C84">
              <w:rPr>
                <w:rStyle w:val="PlaceholderText"/>
                <w:szCs w:val="18"/>
              </w:rPr>
              <w:t>Period available</w:t>
            </w:r>
          </w:p>
        </w:tc>
        <w:tc>
          <w:tcPr>
            <w:tcW w:w="1643" w:type="dxa"/>
            <w:hideMark/>
          </w:tcPr>
          <w:p w:rsidR="00480BBB" w:rsidRPr="007C5C84" w:rsidRDefault="00480BBB" w:rsidP="006054BB">
            <w:pPr>
              <w:keepNext/>
              <w:rPr>
                <w:rStyle w:val="PlaceholderText"/>
                <w:szCs w:val="18"/>
              </w:rPr>
            </w:pPr>
            <w:r w:rsidRPr="007C5C84">
              <w:rPr>
                <w:rStyle w:val="PlaceholderText"/>
                <w:szCs w:val="18"/>
              </w:rPr>
              <w:t>Frequency</w:t>
            </w:r>
          </w:p>
        </w:tc>
      </w:tr>
      <w:tr w:rsidR="00480BBB" w:rsidRPr="00D573F3" w:rsidTr="006054BB">
        <w:trPr>
          <w:cnfStyle w:val="000000100000" w:firstRow="0" w:lastRow="0" w:firstColumn="0" w:lastColumn="0" w:oddVBand="0" w:evenVBand="0" w:oddHBand="1" w:evenHBand="0" w:firstRowFirstColumn="0" w:firstRowLastColumn="0" w:lastRowFirstColumn="0" w:lastRowLastColumn="0"/>
          <w:trHeight w:val="663"/>
        </w:trPr>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Energy consumption</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Australian Bureau of Resources and Energy Economics</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Consumption by industry and fuel type, PJs</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Industry at National and State level</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1973</w:t>
            </w:r>
            <w:r>
              <w:rPr>
                <w:rFonts w:ascii="Arial" w:eastAsia="Times New Roman" w:hAnsi="Arial" w:cs="Arial"/>
                <w:color w:val="000000" w:themeColor="dark1"/>
                <w:kern w:val="24"/>
                <w:sz w:val="16"/>
                <w:szCs w:val="16"/>
                <w:lang w:eastAsia="en-GB"/>
              </w:rPr>
              <w:t xml:space="preserve">-74 to </w:t>
            </w:r>
            <w:r w:rsidR="006C667D">
              <w:rPr>
                <w:rFonts w:ascii="Arial" w:eastAsia="Times New Roman" w:hAnsi="Arial" w:cs="Arial"/>
                <w:color w:val="000000" w:themeColor="dark1"/>
                <w:kern w:val="24"/>
                <w:sz w:val="16"/>
                <w:szCs w:val="16"/>
                <w:lang w:eastAsia="en-GB"/>
              </w:rPr>
              <w:t>2011</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Annually</w:t>
            </w:r>
          </w:p>
        </w:tc>
      </w:tr>
      <w:tr w:rsidR="00480BBB" w:rsidRPr="001D2AE0" w:rsidTr="006054BB">
        <w:trPr>
          <w:trHeight w:val="822"/>
        </w:trPr>
        <w:tc>
          <w:tcPr>
            <w:tcW w:w="1642" w:type="dxa"/>
          </w:tcPr>
          <w:p w:rsidR="00480BBB" w:rsidRPr="001D2AE0"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Electricity generation</w:t>
            </w:r>
          </w:p>
        </w:tc>
        <w:tc>
          <w:tcPr>
            <w:tcW w:w="1642" w:type="dxa"/>
          </w:tcPr>
          <w:p w:rsidR="00480BBB" w:rsidRPr="001D2AE0"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473427">
              <w:rPr>
                <w:rFonts w:ascii="Arial" w:eastAsia="Times New Roman" w:hAnsi="Arial" w:cs="Arial"/>
                <w:color w:val="000000" w:themeColor="dark1"/>
                <w:kern w:val="24"/>
                <w:sz w:val="16"/>
                <w:szCs w:val="16"/>
                <w:lang w:eastAsia="en-GB"/>
              </w:rPr>
              <w:t>Australian Bureau of Resources and Energy Economics</w:t>
            </w:r>
          </w:p>
        </w:tc>
        <w:tc>
          <w:tcPr>
            <w:tcW w:w="1642" w:type="dxa"/>
          </w:tcPr>
          <w:p w:rsidR="00480BBB" w:rsidRPr="001D2AE0"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D573F3">
              <w:rPr>
                <w:rFonts w:ascii="Arial" w:eastAsia="Times New Roman" w:hAnsi="Arial" w:cs="Arial"/>
                <w:color w:val="000000" w:themeColor="dark1"/>
                <w:kern w:val="24"/>
                <w:sz w:val="16"/>
                <w:szCs w:val="16"/>
                <w:lang w:eastAsia="en-GB"/>
              </w:rPr>
              <w:t>Generation by fuel, GWh</w:t>
            </w:r>
          </w:p>
        </w:tc>
        <w:tc>
          <w:tcPr>
            <w:tcW w:w="1642" w:type="dxa"/>
          </w:tcPr>
          <w:p w:rsidR="00480BBB" w:rsidRPr="001D2AE0"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National</w:t>
            </w:r>
          </w:p>
        </w:tc>
        <w:tc>
          <w:tcPr>
            <w:tcW w:w="1643" w:type="dxa"/>
          </w:tcPr>
          <w:p w:rsidR="00480BBB" w:rsidRPr="001D2AE0" w:rsidRDefault="005B06D4"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1990</w:t>
            </w:r>
            <w:r w:rsidR="00480BBB">
              <w:rPr>
                <w:rFonts w:ascii="Arial" w:eastAsia="Times New Roman" w:hAnsi="Arial" w:cs="Arial"/>
                <w:color w:val="000000" w:themeColor="dark1"/>
                <w:kern w:val="24"/>
                <w:sz w:val="16"/>
                <w:szCs w:val="16"/>
                <w:lang w:eastAsia="en-GB"/>
              </w:rPr>
              <w:t xml:space="preserve"> to </w:t>
            </w:r>
            <w:r w:rsidR="006C667D">
              <w:rPr>
                <w:rFonts w:ascii="Arial" w:eastAsia="Times New Roman" w:hAnsi="Arial" w:cs="Arial"/>
                <w:color w:val="000000" w:themeColor="dark1"/>
                <w:kern w:val="24"/>
                <w:sz w:val="16"/>
                <w:szCs w:val="16"/>
                <w:lang w:eastAsia="en-GB"/>
              </w:rPr>
              <w:t>2012</w:t>
            </w:r>
          </w:p>
        </w:tc>
        <w:tc>
          <w:tcPr>
            <w:tcW w:w="1643" w:type="dxa"/>
          </w:tcPr>
          <w:p w:rsidR="00480BBB" w:rsidRPr="001D2AE0"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Annually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CO</w:t>
            </w:r>
            <w:r w:rsidRPr="00757808">
              <w:rPr>
                <w:rFonts w:ascii="Arial" w:eastAsia="Times New Roman" w:hAnsi="Arial" w:cs="Arial"/>
                <w:color w:val="000000" w:themeColor="dark1"/>
                <w:kern w:val="24"/>
                <w:sz w:val="16"/>
                <w:szCs w:val="16"/>
                <w:vertAlign w:val="subscript"/>
                <w:lang w:eastAsia="en-GB"/>
              </w:rPr>
              <w:t>2</w:t>
            </w:r>
            <w:r>
              <w:rPr>
                <w:rFonts w:ascii="Arial" w:eastAsia="Times New Roman" w:hAnsi="Arial" w:cs="Arial"/>
                <w:color w:val="000000" w:themeColor="dark1"/>
                <w:kern w:val="24"/>
                <w:sz w:val="16"/>
                <w:szCs w:val="16"/>
                <w:lang w:eastAsia="en-GB"/>
              </w:rPr>
              <w:t xml:space="preserve"> emissions from electricity generation</w:t>
            </w:r>
          </w:p>
        </w:tc>
        <w:tc>
          <w:tcPr>
            <w:tcW w:w="1642" w:type="dxa"/>
          </w:tcPr>
          <w:p w:rsidR="00480BBB" w:rsidRPr="00473427"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AGEIS</w:t>
            </w:r>
          </w:p>
        </w:tc>
        <w:tc>
          <w:tcPr>
            <w:tcW w:w="1642" w:type="dxa"/>
          </w:tcPr>
          <w:p w:rsidR="00480BBB" w:rsidRPr="00D573F3"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Gg/Kt CO</w:t>
            </w:r>
            <w:r w:rsidRPr="00757808">
              <w:rPr>
                <w:rFonts w:ascii="Arial" w:eastAsia="Times New Roman" w:hAnsi="Arial" w:cs="Arial"/>
                <w:color w:val="000000" w:themeColor="dark1"/>
                <w:kern w:val="24"/>
                <w:sz w:val="16"/>
                <w:szCs w:val="16"/>
                <w:vertAlign w:val="subscript"/>
                <w:lang w:eastAsia="en-GB"/>
              </w:rPr>
              <w:t>2</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National</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1990 to 2011</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Annually</w:t>
            </w:r>
          </w:p>
        </w:tc>
      </w:tr>
      <w:tr w:rsidR="00480BBB" w:rsidRPr="001D2AE0" w:rsidTr="006054BB">
        <w:trPr>
          <w:trHeight w:val="822"/>
        </w:trPr>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G</w:t>
            </w:r>
            <w:r>
              <w:rPr>
                <w:rFonts w:ascii="Arial" w:eastAsia="Times New Roman" w:hAnsi="Arial" w:cs="Arial"/>
                <w:color w:val="000000" w:themeColor="dark1"/>
                <w:kern w:val="24"/>
                <w:sz w:val="16"/>
                <w:szCs w:val="16"/>
                <w:lang w:eastAsia="en-GB"/>
              </w:rPr>
              <w:t>reenhouse</w:t>
            </w:r>
            <w:r w:rsidRPr="00FB0BBC">
              <w:rPr>
                <w:rFonts w:ascii="Arial" w:eastAsia="Times New Roman" w:hAnsi="Arial" w:cs="Arial"/>
                <w:color w:val="000000" w:themeColor="dark1"/>
                <w:kern w:val="24"/>
                <w:sz w:val="16"/>
                <w:szCs w:val="16"/>
                <w:lang w:eastAsia="en-GB"/>
              </w:rPr>
              <w:t xml:space="preserve"> </w:t>
            </w:r>
            <w:r>
              <w:rPr>
                <w:rFonts w:ascii="Arial" w:eastAsia="Times New Roman" w:hAnsi="Arial" w:cs="Arial"/>
                <w:color w:val="000000" w:themeColor="dark1"/>
                <w:kern w:val="24"/>
                <w:sz w:val="16"/>
                <w:szCs w:val="16"/>
                <w:lang w:eastAsia="en-GB"/>
              </w:rPr>
              <w:t>g</w:t>
            </w:r>
            <w:r w:rsidRPr="00FB0BBC">
              <w:rPr>
                <w:rFonts w:ascii="Arial" w:eastAsia="Times New Roman" w:hAnsi="Arial" w:cs="Arial"/>
                <w:color w:val="000000" w:themeColor="dark1"/>
                <w:kern w:val="24"/>
                <w:sz w:val="16"/>
                <w:szCs w:val="16"/>
                <w:lang w:eastAsia="en-GB"/>
              </w:rPr>
              <w:t xml:space="preserve">as </w:t>
            </w:r>
            <w:r>
              <w:rPr>
                <w:rFonts w:ascii="Arial" w:eastAsia="Times New Roman" w:hAnsi="Arial" w:cs="Arial"/>
                <w:color w:val="000000" w:themeColor="dark1"/>
                <w:kern w:val="24"/>
                <w:sz w:val="16"/>
                <w:szCs w:val="16"/>
                <w:lang w:eastAsia="en-GB"/>
              </w:rPr>
              <w:t>e</w:t>
            </w:r>
            <w:r w:rsidRPr="00FB0BBC">
              <w:rPr>
                <w:rFonts w:ascii="Arial" w:eastAsia="Times New Roman" w:hAnsi="Arial" w:cs="Arial"/>
                <w:color w:val="000000" w:themeColor="dark1"/>
                <w:kern w:val="24"/>
                <w:sz w:val="16"/>
                <w:szCs w:val="16"/>
                <w:lang w:eastAsia="en-GB"/>
              </w:rPr>
              <w:t>missions in economy</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AGEIS</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Gg/Mt CO</w:t>
            </w:r>
            <w:r w:rsidRPr="00757808">
              <w:rPr>
                <w:rFonts w:ascii="Arial" w:eastAsia="Times New Roman" w:hAnsi="Arial" w:cs="Arial"/>
                <w:color w:val="000000" w:themeColor="dark1"/>
                <w:kern w:val="24"/>
                <w:sz w:val="16"/>
                <w:szCs w:val="16"/>
                <w:vertAlign w:val="subscript"/>
                <w:lang w:eastAsia="en-GB"/>
              </w:rPr>
              <w:t>2</w:t>
            </w:r>
            <w:r w:rsidRPr="00FB0BBC">
              <w:rPr>
                <w:rFonts w:ascii="Arial" w:eastAsia="Times New Roman" w:hAnsi="Arial" w:cs="Arial"/>
                <w:color w:val="000000" w:themeColor="dark1"/>
                <w:kern w:val="24"/>
                <w:sz w:val="16"/>
                <w:szCs w:val="16"/>
                <w:lang w:eastAsia="en-GB"/>
              </w:rPr>
              <w:t>- equivalent</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National &amp; State level</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1990 to 2011</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Annually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G</w:t>
            </w:r>
            <w:r>
              <w:rPr>
                <w:rFonts w:ascii="Arial" w:eastAsia="Times New Roman" w:hAnsi="Arial" w:cs="Arial"/>
                <w:color w:val="000000" w:themeColor="dark1"/>
                <w:kern w:val="24"/>
                <w:sz w:val="16"/>
                <w:szCs w:val="16"/>
                <w:lang w:eastAsia="en-GB"/>
              </w:rPr>
              <w:t>reenhouse</w:t>
            </w:r>
            <w:r w:rsidRPr="00FB0BBC">
              <w:rPr>
                <w:rFonts w:ascii="Arial" w:eastAsia="Times New Roman" w:hAnsi="Arial" w:cs="Arial"/>
                <w:color w:val="000000" w:themeColor="dark1"/>
                <w:kern w:val="24"/>
                <w:sz w:val="16"/>
                <w:szCs w:val="16"/>
                <w:lang w:eastAsia="en-GB"/>
              </w:rPr>
              <w:t xml:space="preserve"> </w:t>
            </w:r>
            <w:r>
              <w:rPr>
                <w:rFonts w:ascii="Arial" w:eastAsia="Times New Roman" w:hAnsi="Arial" w:cs="Arial"/>
                <w:color w:val="000000" w:themeColor="dark1"/>
                <w:kern w:val="24"/>
                <w:sz w:val="16"/>
                <w:szCs w:val="16"/>
                <w:lang w:eastAsia="en-GB"/>
              </w:rPr>
              <w:t>g</w:t>
            </w:r>
            <w:r w:rsidRPr="00FB0BBC">
              <w:rPr>
                <w:rFonts w:ascii="Arial" w:eastAsia="Times New Roman" w:hAnsi="Arial" w:cs="Arial"/>
                <w:color w:val="000000" w:themeColor="dark1"/>
                <w:kern w:val="24"/>
                <w:sz w:val="16"/>
                <w:szCs w:val="16"/>
                <w:lang w:eastAsia="en-GB"/>
              </w:rPr>
              <w:t xml:space="preserve">as </w:t>
            </w:r>
            <w:r>
              <w:rPr>
                <w:rFonts w:ascii="Arial" w:eastAsia="Times New Roman" w:hAnsi="Arial" w:cs="Arial"/>
                <w:color w:val="000000" w:themeColor="dark1"/>
                <w:kern w:val="24"/>
                <w:sz w:val="16"/>
                <w:szCs w:val="16"/>
                <w:lang w:eastAsia="en-GB"/>
              </w:rPr>
              <w:t>e</w:t>
            </w:r>
            <w:r w:rsidRPr="00FB0BBC">
              <w:rPr>
                <w:rFonts w:ascii="Arial" w:eastAsia="Times New Roman" w:hAnsi="Arial" w:cs="Arial"/>
                <w:color w:val="000000" w:themeColor="dark1"/>
                <w:kern w:val="24"/>
                <w:sz w:val="16"/>
                <w:szCs w:val="16"/>
                <w:lang w:eastAsia="en-GB"/>
              </w:rPr>
              <w:t>missions by sector</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AGEIS</w:t>
            </w:r>
          </w:p>
        </w:tc>
        <w:tc>
          <w:tcPr>
            <w:tcW w:w="1642" w:type="dxa"/>
          </w:tcPr>
          <w:p w:rsidR="00B95102"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Gg/Mt CO</w:t>
            </w:r>
            <w:r w:rsidRPr="00757808">
              <w:rPr>
                <w:rFonts w:ascii="Arial" w:eastAsia="Times New Roman" w:hAnsi="Arial" w:cs="Arial"/>
                <w:color w:val="000000" w:themeColor="dark1"/>
                <w:kern w:val="24"/>
                <w:sz w:val="16"/>
                <w:szCs w:val="16"/>
                <w:vertAlign w:val="subscript"/>
                <w:lang w:eastAsia="en-GB"/>
              </w:rPr>
              <w:t>2</w:t>
            </w:r>
            <w:r w:rsidRPr="00FB0BBC">
              <w:rPr>
                <w:rFonts w:ascii="Arial" w:eastAsia="Times New Roman" w:hAnsi="Arial" w:cs="Arial"/>
                <w:color w:val="000000" w:themeColor="dark1"/>
                <w:kern w:val="24"/>
                <w:sz w:val="16"/>
                <w:szCs w:val="16"/>
                <w:lang w:eastAsia="en-GB"/>
              </w:rPr>
              <w:t>- equivalent</w:t>
            </w:r>
          </w:p>
        </w:tc>
        <w:tc>
          <w:tcPr>
            <w:tcW w:w="1642"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National</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1990 to 2011</w:t>
            </w:r>
          </w:p>
        </w:tc>
        <w:tc>
          <w:tcPr>
            <w:tcW w:w="1643" w:type="dxa"/>
          </w:tcPr>
          <w:p w:rsidR="00480BBB"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Annually</w:t>
            </w:r>
          </w:p>
        </w:tc>
      </w:tr>
      <w:tr w:rsidR="00480BBB" w:rsidRPr="001D2AE0" w:rsidTr="006054BB">
        <w:trPr>
          <w:trHeight w:val="822"/>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Energy prices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IEA WDI</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Retail and wholesale price index of coal, natural gas, oil products, electricity</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1978</w:t>
            </w:r>
            <w:r>
              <w:rPr>
                <w:rFonts w:ascii="Arial" w:eastAsia="Times New Roman" w:hAnsi="Arial" w:cs="Arial"/>
                <w:color w:val="000000" w:themeColor="dark1"/>
                <w:kern w:val="24"/>
                <w:sz w:val="16"/>
                <w:szCs w:val="16"/>
                <w:lang w:eastAsia="en-GB"/>
              </w:rPr>
              <w:t xml:space="preserve"> to </w:t>
            </w:r>
            <w:r w:rsidRPr="001D2AE0">
              <w:rPr>
                <w:rFonts w:ascii="Arial" w:eastAsia="Times New Roman" w:hAnsi="Arial" w:cs="Arial"/>
                <w:color w:val="000000" w:themeColor="dark1"/>
                <w:kern w:val="24"/>
                <w:sz w:val="16"/>
                <w:szCs w:val="16"/>
                <w:lang w:eastAsia="en-GB"/>
              </w:rPr>
              <w:t>2012</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Annually and quarterly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430"/>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Electricity – PPI</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Index</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March 1970 </w:t>
            </w:r>
            <w:r>
              <w:rPr>
                <w:rFonts w:ascii="Arial" w:eastAsia="Times New Roman" w:hAnsi="Arial" w:cs="Arial"/>
                <w:color w:val="000000" w:themeColor="dark1"/>
                <w:kern w:val="24"/>
                <w:sz w:val="16"/>
                <w:szCs w:val="16"/>
                <w:lang w:eastAsia="en-GB"/>
              </w:rPr>
              <w:t>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trHeight w:val="418"/>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Electricity - CPI</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Index</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&amp; State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September 1980 </w:t>
            </w:r>
            <w:r>
              <w:rPr>
                <w:rFonts w:ascii="Arial" w:eastAsia="Times New Roman" w:hAnsi="Arial" w:cs="Arial"/>
                <w:color w:val="000000" w:themeColor="dark1"/>
                <w:kern w:val="24"/>
                <w:sz w:val="16"/>
                <w:szCs w:val="16"/>
                <w:lang w:eastAsia="en-GB"/>
              </w:rPr>
              <w:t>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lastRenderedPageBreak/>
              <w:t>GDP</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September 1959 </w:t>
            </w:r>
            <w:r>
              <w:rPr>
                <w:rFonts w:ascii="Arial" w:eastAsia="Times New Roman" w:hAnsi="Arial" w:cs="Arial"/>
                <w:color w:val="000000" w:themeColor="dark1"/>
                <w:kern w:val="24"/>
                <w:sz w:val="16"/>
                <w:szCs w:val="16"/>
                <w:lang w:eastAsia="en-GB"/>
              </w:rPr>
              <w:t>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trHeight w:val="822"/>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kern w:val="24"/>
                <w:sz w:val="16"/>
                <w:szCs w:val="16"/>
                <w:lang w:eastAsia="en-GB"/>
              </w:rPr>
              <w:t xml:space="preserve">Final </w:t>
            </w:r>
            <w:r>
              <w:rPr>
                <w:rFonts w:ascii="Arial" w:eastAsia="Times New Roman" w:hAnsi="Arial" w:cs="Arial"/>
                <w:color w:val="000000"/>
                <w:kern w:val="24"/>
                <w:sz w:val="16"/>
                <w:szCs w:val="16"/>
                <w:lang w:eastAsia="en-GB"/>
              </w:rPr>
              <w:t>c</w:t>
            </w:r>
            <w:r w:rsidRPr="001D2AE0">
              <w:rPr>
                <w:rFonts w:ascii="Arial" w:eastAsia="Times New Roman" w:hAnsi="Arial" w:cs="Arial"/>
                <w:color w:val="000000"/>
                <w:kern w:val="24"/>
                <w:sz w:val="16"/>
                <w:szCs w:val="16"/>
                <w:lang w:eastAsia="en-GB"/>
              </w:rPr>
              <w:t xml:space="preserve">onsumption </w:t>
            </w:r>
            <w:r>
              <w:rPr>
                <w:rFonts w:ascii="Arial" w:eastAsia="Times New Roman" w:hAnsi="Arial" w:cs="Arial"/>
                <w:color w:val="000000"/>
                <w:kern w:val="24"/>
                <w:sz w:val="16"/>
                <w:szCs w:val="16"/>
                <w:lang w:eastAsia="en-GB"/>
              </w:rPr>
              <w:t>e</w:t>
            </w:r>
            <w:r w:rsidRPr="001D2AE0">
              <w:rPr>
                <w:rFonts w:ascii="Arial" w:eastAsia="Times New Roman" w:hAnsi="Arial" w:cs="Arial"/>
                <w:color w:val="000000"/>
                <w:kern w:val="24"/>
                <w:sz w:val="16"/>
                <w:szCs w:val="16"/>
                <w:lang w:eastAsia="en-GB"/>
              </w:rPr>
              <w:t>xpenditure</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1959 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kern w:val="24"/>
                <w:sz w:val="16"/>
                <w:szCs w:val="16"/>
                <w:lang w:eastAsia="en-GB"/>
              </w:rPr>
              <w:t xml:space="preserve">Gross </w:t>
            </w:r>
            <w:r>
              <w:rPr>
                <w:rFonts w:ascii="Arial" w:eastAsia="Times New Roman" w:hAnsi="Arial" w:cs="Arial"/>
                <w:color w:val="000000"/>
                <w:kern w:val="24"/>
                <w:sz w:val="16"/>
                <w:szCs w:val="16"/>
                <w:lang w:eastAsia="en-GB"/>
              </w:rPr>
              <w:t>f</w:t>
            </w:r>
            <w:r w:rsidRPr="001D2AE0">
              <w:rPr>
                <w:rFonts w:ascii="Arial" w:eastAsia="Times New Roman" w:hAnsi="Arial" w:cs="Arial"/>
                <w:color w:val="000000"/>
                <w:kern w:val="24"/>
                <w:sz w:val="16"/>
                <w:szCs w:val="16"/>
                <w:lang w:eastAsia="en-GB"/>
              </w:rPr>
              <w:t xml:space="preserve">ixed </w:t>
            </w:r>
            <w:r>
              <w:rPr>
                <w:rFonts w:ascii="Arial" w:eastAsia="Times New Roman" w:hAnsi="Arial" w:cs="Arial"/>
                <w:color w:val="000000"/>
                <w:kern w:val="24"/>
                <w:sz w:val="16"/>
                <w:szCs w:val="16"/>
                <w:lang w:eastAsia="en-GB"/>
              </w:rPr>
              <w:t>c</w:t>
            </w:r>
            <w:r w:rsidRPr="001D2AE0">
              <w:rPr>
                <w:rFonts w:ascii="Arial" w:eastAsia="Times New Roman" w:hAnsi="Arial" w:cs="Arial"/>
                <w:color w:val="000000"/>
                <w:kern w:val="24"/>
                <w:sz w:val="16"/>
                <w:szCs w:val="16"/>
                <w:lang w:eastAsia="en-GB"/>
              </w:rPr>
              <w:t>apital</w:t>
            </w:r>
          </w:p>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kern w:val="24"/>
                <w:sz w:val="16"/>
                <w:szCs w:val="16"/>
                <w:lang w:eastAsia="en-GB"/>
              </w:rPr>
              <w:t>f</w:t>
            </w:r>
            <w:r w:rsidRPr="001D2AE0">
              <w:rPr>
                <w:rFonts w:ascii="Arial" w:eastAsia="Times New Roman" w:hAnsi="Arial" w:cs="Arial"/>
                <w:color w:val="000000"/>
                <w:kern w:val="24"/>
                <w:sz w:val="16"/>
                <w:szCs w:val="16"/>
                <w:lang w:eastAsia="en-GB"/>
              </w:rPr>
              <w:t>ormation</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National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1959 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trHeight w:val="822"/>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State </w:t>
            </w:r>
            <w:r>
              <w:rPr>
                <w:rFonts w:ascii="Arial" w:eastAsia="Times New Roman" w:hAnsi="Arial" w:cs="Arial"/>
                <w:color w:val="000000" w:themeColor="dark1"/>
                <w:kern w:val="24"/>
                <w:sz w:val="16"/>
                <w:szCs w:val="16"/>
                <w:lang w:eastAsia="en-GB"/>
              </w:rPr>
              <w:t>f</w:t>
            </w:r>
            <w:r w:rsidRPr="001D2AE0">
              <w:rPr>
                <w:rFonts w:ascii="Arial" w:eastAsia="Times New Roman" w:hAnsi="Arial" w:cs="Arial"/>
                <w:color w:val="000000" w:themeColor="dark1"/>
                <w:kern w:val="24"/>
                <w:sz w:val="16"/>
                <w:szCs w:val="16"/>
                <w:lang w:eastAsia="en-GB"/>
              </w:rPr>
              <w:t xml:space="preserve">inal </w:t>
            </w:r>
            <w:r>
              <w:rPr>
                <w:rFonts w:ascii="Arial" w:eastAsia="Times New Roman" w:hAnsi="Arial" w:cs="Arial"/>
                <w:color w:val="000000" w:themeColor="dark1"/>
                <w:kern w:val="24"/>
                <w:sz w:val="16"/>
                <w:szCs w:val="16"/>
                <w:lang w:eastAsia="en-GB"/>
              </w:rPr>
              <w:t>d</w:t>
            </w:r>
            <w:r w:rsidRPr="001D2AE0">
              <w:rPr>
                <w:rFonts w:ascii="Arial" w:eastAsia="Times New Roman" w:hAnsi="Arial" w:cs="Arial"/>
                <w:color w:val="000000" w:themeColor="dark1"/>
                <w:kern w:val="24"/>
                <w:sz w:val="16"/>
                <w:szCs w:val="16"/>
                <w:lang w:eastAsia="en-GB"/>
              </w:rPr>
              <w:t>emand</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Trend, seasonally adjusted, original; $m</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State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1985 to</w:t>
            </w:r>
            <w:r w:rsidRPr="001D2AE0">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Quarterly</w:t>
            </w:r>
          </w:p>
        </w:tc>
      </w:tr>
      <w:tr w:rsidR="00480BBB" w:rsidRPr="001D2AE0" w:rsidTr="006054BB">
        <w:trPr>
          <w:cnfStyle w:val="000000100000" w:firstRow="0" w:lastRow="0" w:firstColumn="0" w:lastColumn="0" w:oddVBand="0" w:evenVBand="0" w:oddHBand="1" w:evenHBand="0" w:firstRowFirstColumn="0" w:firstRowLastColumn="0" w:lastRowFirstColumn="0" w:lastRowLastColumn="0"/>
          <w:trHeight w:val="633"/>
        </w:trPr>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Gross </w:t>
            </w:r>
            <w:r>
              <w:rPr>
                <w:rFonts w:ascii="Arial" w:eastAsia="Times New Roman" w:hAnsi="Arial" w:cs="Arial"/>
                <w:color w:val="000000" w:themeColor="dark1"/>
                <w:kern w:val="24"/>
                <w:sz w:val="16"/>
                <w:szCs w:val="16"/>
                <w:lang w:eastAsia="en-GB"/>
              </w:rPr>
              <w:t>s</w:t>
            </w:r>
            <w:r w:rsidRPr="001D2AE0">
              <w:rPr>
                <w:rFonts w:ascii="Arial" w:eastAsia="Times New Roman" w:hAnsi="Arial" w:cs="Arial"/>
                <w:color w:val="000000" w:themeColor="dark1"/>
                <w:kern w:val="24"/>
                <w:sz w:val="16"/>
                <w:szCs w:val="16"/>
                <w:lang w:eastAsia="en-GB"/>
              </w:rPr>
              <w:t xml:space="preserve">tate </w:t>
            </w:r>
            <w:r>
              <w:rPr>
                <w:rFonts w:ascii="Arial" w:eastAsia="Times New Roman" w:hAnsi="Arial" w:cs="Arial"/>
                <w:color w:val="000000" w:themeColor="dark1"/>
                <w:kern w:val="24"/>
                <w:sz w:val="16"/>
                <w:szCs w:val="16"/>
                <w:lang w:eastAsia="en-GB"/>
              </w:rPr>
              <w:t>p</w:t>
            </w:r>
            <w:r w:rsidRPr="001D2AE0">
              <w:rPr>
                <w:rFonts w:ascii="Arial" w:eastAsia="Times New Roman" w:hAnsi="Arial" w:cs="Arial"/>
                <w:color w:val="000000" w:themeColor="dark1"/>
                <w:kern w:val="24"/>
                <w:sz w:val="16"/>
                <w:szCs w:val="16"/>
                <w:lang w:eastAsia="en-GB"/>
              </w:rPr>
              <w:t>roduct</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Chain volume measures, current prices; $m</w:t>
            </w:r>
          </w:p>
        </w:tc>
        <w:tc>
          <w:tcPr>
            <w:tcW w:w="1642"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State level</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 xml:space="preserve">June 1990 </w:t>
            </w:r>
            <w:r>
              <w:rPr>
                <w:rFonts w:ascii="Arial" w:eastAsia="Times New Roman" w:hAnsi="Arial" w:cs="Arial"/>
                <w:color w:val="000000" w:themeColor="dark1"/>
                <w:kern w:val="24"/>
                <w:sz w:val="16"/>
                <w:szCs w:val="16"/>
                <w:lang w:eastAsia="en-GB"/>
              </w:rPr>
              <w:t>to</w:t>
            </w:r>
            <w:r w:rsidRPr="001D2AE0">
              <w:rPr>
                <w:rFonts w:ascii="Arial" w:eastAsia="Times New Roman" w:hAnsi="Arial" w:cs="Arial"/>
                <w:color w:val="000000" w:themeColor="dark1"/>
                <w:kern w:val="24"/>
                <w:sz w:val="16"/>
                <w:szCs w:val="16"/>
                <w:lang w:eastAsia="en-GB"/>
              </w:rPr>
              <w:t xml:space="preserve"> June 2012</w:t>
            </w:r>
          </w:p>
        </w:tc>
        <w:tc>
          <w:tcPr>
            <w:tcW w:w="1643" w:type="dxa"/>
            <w:hideMark/>
          </w:tcPr>
          <w:p w:rsidR="00480BBB" w:rsidRPr="001D2AE0" w:rsidRDefault="00480BBB" w:rsidP="006054BB">
            <w:pPr>
              <w:spacing w:line="240" w:lineRule="auto"/>
              <w:textAlignment w:val="center"/>
              <w:rPr>
                <w:rFonts w:ascii="Arial" w:eastAsia="Times New Roman" w:hAnsi="Arial" w:cs="Arial"/>
                <w:color w:val="auto"/>
                <w:sz w:val="36"/>
                <w:szCs w:val="36"/>
                <w:lang w:eastAsia="en-GB"/>
              </w:rPr>
            </w:pPr>
            <w:r w:rsidRPr="001D2AE0">
              <w:rPr>
                <w:rFonts w:ascii="Arial" w:eastAsia="Times New Roman" w:hAnsi="Arial" w:cs="Arial"/>
                <w:color w:val="000000" w:themeColor="dark1"/>
                <w:kern w:val="24"/>
                <w:sz w:val="16"/>
                <w:szCs w:val="16"/>
                <w:lang w:eastAsia="en-GB"/>
              </w:rPr>
              <w:t>Annually</w:t>
            </w:r>
          </w:p>
        </w:tc>
      </w:tr>
      <w:tr w:rsidR="00480BBB" w:rsidRPr="00484F6C" w:rsidTr="006054BB">
        <w:trPr>
          <w:trHeight w:val="822"/>
        </w:trPr>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Sectoral Gross value added (GVA)</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Gross value added, chain volume measures; $m</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National &amp; State level</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Varying start dates (1974</w:t>
            </w:r>
            <w:r>
              <w:rPr>
                <w:rFonts w:ascii="Arial" w:eastAsia="Times New Roman" w:hAnsi="Arial" w:cs="Arial"/>
                <w:color w:val="000000" w:themeColor="dark1"/>
                <w:kern w:val="24"/>
                <w:sz w:val="16"/>
                <w:szCs w:val="16"/>
                <w:lang w:eastAsia="en-GB"/>
              </w:rPr>
              <w:t>/</w:t>
            </w:r>
            <w:r w:rsidRPr="007C5C84">
              <w:rPr>
                <w:rFonts w:ascii="Arial" w:eastAsia="Times New Roman" w:hAnsi="Arial" w:cs="Arial"/>
                <w:color w:val="000000" w:themeColor="dark1"/>
                <w:kern w:val="24"/>
                <w:sz w:val="16"/>
                <w:szCs w:val="16"/>
                <w:lang w:eastAsia="en-GB"/>
              </w:rPr>
              <w:t xml:space="preserve">1985) </w:t>
            </w:r>
            <w:r>
              <w:rPr>
                <w:rFonts w:ascii="Arial" w:eastAsia="Times New Roman" w:hAnsi="Arial" w:cs="Arial"/>
                <w:color w:val="000000" w:themeColor="dark1"/>
                <w:kern w:val="24"/>
                <w:sz w:val="16"/>
                <w:szCs w:val="16"/>
                <w:lang w:eastAsia="en-GB"/>
              </w:rPr>
              <w:t>to</w:t>
            </w:r>
            <w:r w:rsidRPr="007C5C84">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Annually</w:t>
            </w:r>
          </w:p>
        </w:tc>
      </w:tr>
      <w:tr w:rsidR="00480BBB" w:rsidRPr="00484F6C" w:rsidTr="006054BB">
        <w:trPr>
          <w:cnfStyle w:val="000000100000" w:firstRow="0" w:lastRow="0" w:firstColumn="0" w:lastColumn="0" w:oddVBand="0" w:evenVBand="0" w:oddHBand="1" w:evenHBand="0" w:firstRowFirstColumn="0" w:firstRowLastColumn="0" w:lastRowFirstColumn="0" w:lastRowLastColumn="0"/>
          <w:trHeight w:val="430"/>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 xml:space="preserve">Gross </w:t>
            </w:r>
            <w:r>
              <w:rPr>
                <w:rFonts w:ascii="Arial" w:eastAsia="Times New Roman" w:hAnsi="Arial" w:cs="Arial"/>
                <w:color w:val="000000" w:themeColor="dark1"/>
                <w:kern w:val="24"/>
                <w:sz w:val="16"/>
                <w:szCs w:val="16"/>
                <w:lang w:eastAsia="en-GB"/>
              </w:rPr>
              <w:t>s</w:t>
            </w:r>
            <w:r w:rsidRPr="00484F6C">
              <w:rPr>
                <w:rFonts w:ascii="Arial" w:eastAsia="Times New Roman" w:hAnsi="Arial" w:cs="Arial"/>
                <w:color w:val="000000" w:themeColor="dark1"/>
                <w:kern w:val="24"/>
                <w:sz w:val="16"/>
                <w:szCs w:val="16"/>
                <w:lang w:eastAsia="en-GB"/>
              </w:rPr>
              <w:t xml:space="preserve">tate </w:t>
            </w:r>
            <w:r>
              <w:rPr>
                <w:rFonts w:ascii="Arial" w:eastAsia="Times New Roman" w:hAnsi="Arial" w:cs="Arial"/>
                <w:color w:val="000000" w:themeColor="dark1"/>
                <w:kern w:val="24"/>
                <w:sz w:val="16"/>
                <w:szCs w:val="16"/>
                <w:lang w:eastAsia="en-GB"/>
              </w:rPr>
              <w:t>p</w:t>
            </w:r>
            <w:r w:rsidRPr="00484F6C">
              <w:rPr>
                <w:rFonts w:ascii="Arial" w:eastAsia="Times New Roman" w:hAnsi="Arial" w:cs="Arial"/>
                <w:color w:val="000000" w:themeColor="dark1"/>
                <w:kern w:val="24"/>
                <w:sz w:val="16"/>
                <w:szCs w:val="16"/>
                <w:lang w:eastAsia="en-GB"/>
              </w:rPr>
              <w:t>roduct</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Chain volume measures, current prices;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State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 xml:space="preserve">June 1990 </w:t>
            </w:r>
            <w:r>
              <w:rPr>
                <w:rFonts w:ascii="Arial" w:eastAsia="Times New Roman" w:hAnsi="Arial" w:cs="Arial"/>
                <w:color w:val="000000" w:themeColor="dark1"/>
                <w:kern w:val="24"/>
                <w:sz w:val="16"/>
                <w:szCs w:val="16"/>
                <w:lang w:eastAsia="en-GB"/>
              </w:rPr>
              <w:t>to</w:t>
            </w:r>
            <w:r w:rsidRPr="00484F6C">
              <w:rPr>
                <w:rFonts w:ascii="Arial" w:eastAsia="Times New Roman" w:hAnsi="Arial" w:cs="Arial"/>
                <w:color w:val="000000" w:themeColor="dark1"/>
                <w:kern w:val="24"/>
                <w:sz w:val="16"/>
                <w:szCs w:val="16"/>
                <w:lang w:eastAsia="en-GB"/>
              </w:rPr>
              <w:t xml:space="preserve"> June 2012</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Annually</w:t>
            </w:r>
          </w:p>
        </w:tc>
      </w:tr>
      <w:tr w:rsidR="00480BBB" w:rsidRPr="00484F6C" w:rsidTr="006054BB">
        <w:trPr>
          <w:trHeight w:val="418"/>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Theme="minorHAnsi" w:eastAsia="Times New Roman" w:hAnsi="Arial" w:cs="Arial"/>
                <w:color w:val="000000" w:themeColor="dark1"/>
                <w:kern w:val="24"/>
                <w:sz w:val="16"/>
                <w:szCs w:val="16"/>
                <w:lang w:eastAsia="en-GB"/>
              </w:rPr>
              <w:t xml:space="preserve">Household </w:t>
            </w:r>
            <w:r>
              <w:rPr>
                <w:rFonts w:asciiTheme="minorHAnsi" w:eastAsia="Times New Roman" w:hAnsi="Arial" w:cs="Arial"/>
                <w:color w:val="000000" w:themeColor="dark1"/>
                <w:kern w:val="24"/>
                <w:sz w:val="16"/>
                <w:szCs w:val="16"/>
                <w:lang w:eastAsia="en-GB"/>
              </w:rPr>
              <w:t>f</w:t>
            </w:r>
            <w:r w:rsidRPr="00484F6C">
              <w:rPr>
                <w:rFonts w:asciiTheme="minorHAnsi" w:eastAsia="Times New Roman" w:hAnsi="Arial" w:cs="Arial"/>
                <w:color w:val="000000" w:themeColor="dark1"/>
                <w:kern w:val="24"/>
                <w:sz w:val="16"/>
                <w:szCs w:val="16"/>
                <w:lang w:eastAsia="en-GB"/>
              </w:rPr>
              <w:t xml:space="preserve">inal </w:t>
            </w:r>
            <w:r>
              <w:rPr>
                <w:rFonts w:asciiTheme="minorHAnsi" w:eastAsia="Times New Roman" w:hAnsi="Arial" w:cs="Arial"/>
                <w:color w:val="000000" w:themeColor="dark1"/>
                <w:kern w:val="24"/>
                <w:sz w:val="16"/>
                <w:szCs w:val="16"/>
                <w:lang w:eastAsia="en-GB"/>
              </w:rPr>
              <w:t>consumption e</w:t>
            </w:r>
            <w:r w:rsidRPr="00484F6C">
              <w:rPr>
                <w:rFonts w:asciiTheme="minorHAnsi" w:eastAsia="Times New Roman" w:hAnsi="Arial" w:cs="Arial"/>
                <w:color w:val="000000" w:themeColor="dark1"/>
                <w:kern w:val="24"/>
                <w:sz w:val="16"/>
                <w:szCs w:val="16"/>
                <w:lang w:eastAsia="en-GB"/>
              </w:rPr>
              <w:t xml:space="preserve">xpenditure </w:t>
            </w:r>
            <w:r>
              <w:rPr>
                <w:rFonts w:asciiTheme="minorHAnsi" w:eastAsia="Times New Roman" w:hAnsi="Arial" w:cs="Arial"/>
                <w:color w:val="000000" w:themeColor="dark1"/>
                <w:kern w:val="24"/>
                <w:sz w:val="16"/>
                <w:szCs w:val="16"/>
                <w:lang w:eastAsia="en-GB"/>
              </w:rPr>
              <w:t>(</w:t>
            </w:r>
            <w:r w:rsidRPr="00484F6C">
              <w:rPr>
                <w:rFonts w:asciiTheme="minorHAnsi" w:eastAsia="Times New Roman" w:hAnsi="Arial" w:cs="Arial"/>
                <w:color w:val="000000" w:themeColor="dark1"/>
                <w:kern w:val="24"/>
                <w:sz w:val="16"/>
                <w:szCs w:val="16"/>
                <w:lang w:eastAsia="en-GB"/>
              </w:rPr>
              <w:t>HFCE</w:t>
            </w:r>
            <w:r>
              <w:rPr>
                <w:rFonts w:asciiTheme="minorHAnsi" w:eastAsia="Times New Roman" w:hAnsi="Arial" w:cs="Arial"/>
                <w:color w:val="000000" w:themeColor="dark1"/>
                <w:kern w:val="24"/>
                <w:sz w:val="16"/>
                <w:szCs w:val="16"/>
                <w:lang w:eastAsia="en-GB"/>
              </w:rPr>
              <w:t>)</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National &amp; State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 xml:space="preserve">September 1980 to </w:t>
            </w:r>
            <w:r w:rsidRPr="00484F6C">
              <w:rPr>
                <w:rFonts w:ascii="Arial" w:eastAsia="Times New Roman" w:hAnsi="Arial" w:cs="Arial"/>
                <w:color w:val="000000" w:themeColor="dark1"/>
                <w:kern w:val="24"/>
                <w:sz w:val="16"/>
                <w:szCs w:val="16"/>
                <w:lang w:eastAsia="en-GB"/>
              </w:rPr>
              <w:t>March 2013</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Quarterly</w:t>
            </w:r>
          </w:p>
        </w:tc>
      </w:tr>
      <w:tr w:rsidR="00480BBB" w:rsidRPr="00484F6C"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kern w:val="24"/>
                <w:sz w:val="16"/>
                <w:szCs w:val="16"/>
                <w:lang w:eastAsia="en-GB"/>
              </w:rPr>
              <w:t>HFCE</w:t>
            </w:r>
            <w:r>
              <w:rPr>
                <w:rFonts w:ascii="Arial" w:eastAsia="Times New Roman" w:hAnsi="Arial" w:cs="Arial"/>
                <w:color w:val="000000"/>
                <w:kern w:val="24"/>
                <w:sz w:val="16"/>
                <w:szCs w:val="16"/>
                <w:lang w:eastAsia="en-GB"/>
              </w:rPr>
              <w:t>:</w:t>
            </w:r>
            <w:r w:rsidRPr="00484F6C">
              <w:rPr>
                <w:rFonts w:ascii="Arial" w:eastAsia="Times New Roman" w:hAnsi="Arial" w:cs="Arial"/>
                <w:color w:val="000000"/>
                <w:kern w:val="24"/>
                <w:sz w:val="16"/>
                <w:szCs w:val="16"/>
                <w:lang w:eastAsia="en-GB"/>
              </w:rPr>
              <w:t xml:space="preserve"> </w:t>
            </w:r>
            <w:r>
              <w:rPr>
                <w:rFonts w:ascii="Arial" w:eastAsia="Times New Roman" w:hAnsi="Arial" w:cs="Arial"/>
                <w:color w:val="000000"/>
                <w:kern w:val="24"/>
                <w:sz w:val="16"/>
                <w:szCs w:val="16"/>
                <w:lang w:eastAsia="en-GB"/>
              </w:rPr>
              <w:t>household a</w:t>
            </w:r>
            <w:r w:rsidRPr="00484F6C">
              <w:rPr>
                <w:rFonts w:ascii="Arial" w:eastAsia="Times New Roman" w:hAnsi="Arial" w:cs="Arial"/>
                <w:color w:val="000000"/>
                <w:kern w:val="24"/>
                <w:sz w:val="16"/>
                <w:szCs w:val="16"/>
                <w:lang w:eastAsia="en-GB"/>
              </w:rPr>
              <w:t>ppliances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National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1959 to</w:t>
            </w:r>
            <w:r w:rsidRPr="00484F6C">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Quarterly</w:t>
            </w:r>
          </w:p>
        </w:tc>
      </w:tr>
      <w:tr w:rsidR="00480BBB" w:rsidRPr="00484F6C" w:rsidTr="006054BB">
        <w:trPr>
          <w:trHeight w:val="822"/>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Theme="minorHAnsi" w:eastAsia="Times New Roman" w:hAnsi="Arial" w:cs="Arial"/>
                <w:color w:val="000000"/>
                <w:kern w:val="24"/>
                <w:sz w:val="16"/>
                <w:szCs w:val="16"/>
                <w:lang w:eastAsia="en-GB"/>
              </w:rPr>
              <w:t>HFCE</w:t>
            </w:r>
            <w:r>
              <w:rPr>
                <w:rFonts w:asciiTheme="minorHAnsi" w:eastAsia="Times New Roman" w:hAnsi="Arial" w:cs="Arial"/>
                <w:color w:val="000000"/>
                <w:kern w:val="24"/>
                <w:sz w:val="16"/>
                <w:szCs w:val="16"/>
                <w:lang w:eastAsia="en-GB"/>
              </w:rPr>
              <w:t>:</w:t>
            </w:r>
            <w:r w:rsidRPr="00484F6C">
              <w:rPr>
                <w:rFonts w:asciiTheme="minorHAnsi" w:eastAsia="Times New Roman" w:hAnsi="Arial" w:cs="Arial"/>
                <w:color w:val="000000"/>
                <w:kern w:val="24"/>
                <w:sz w:val="16"/>
                <w:szCs w:val="16"/>
                <w:lang w:eastAsia="en-GB"/>
              </w:rPr>
              <w:t xml:space="preserve"> </w:t>
            </w:r>
            <w:r>
              <w:rPr>
                <w:rFonts w:asciiTheme="minorHAnsi" w:eastAsia="Times New Roman" w:hAnsi="Arial" w:cs="Arial"/>
                <w:color w:val="000000"/>
                <w:kern w:val="24"/>
                <w:sz w:val="16"/>
                <w:szCs w:val="16"/>
                <w:lang w:eastAsia="en-GB"/>
              </w:rPr>
              <w:t>h</w:t>
            </w:r>
            <w:r w:rsidRPr="00484F6C">
              <w:rPr>
                <w:rFonts w:asciiTheme="minorHAnsi" w:eastAsia="Times New Roman" w:hAnsi="Arial" w:cs="Arial"/>
                <w:color w:val="000000"/>
                <w:kern w:val="24"/>
                <w:sz w:val="16"/>
                <w:szCs w:val="16"/>
                <w:lang w:eastAsia="en-GB"/>
              </w:rPr>
              <w:t xml:space="preserve">ousehold </w:t>
            </w:r>
            <w:r>
              <w:rPr>
                <w:rFonts w:asciiTheme="minorHAnsi" w:eastAsia="Times New Roman" w:hAnsi="Arial" w:cs="Arial"/>
                <w:color w:val="000000"/>
                <w:kern w:val="24"/>
                <w:sz w:val="16"/>
                <w:szCs w:val="16"/>
                <w:lang w:eastAsia="en-GB"/>
              </w:rPr>
              <w:t>a</w:t>
            </w:r>
            <w:r w:rsidRPr="00484F6C">
              <w:rPr>
                <w:rFonts w:asciiTheme="minorHAnsi" w:eastAsia="Times New Roman" w:hAnsi="Arial" w:cs="Arial"/>
                <w:color w:val="000000"/>
                <w:kern w:val="24"/>
                <w:sz w:val="16"/>
                <w:szCs w:val="16"/>
                <w:lang w:eastAsia="en-GB"/>
              </w:rPr>
              <w:t>ppliances</w:t>
            </w:r>
            <w:r>
              <w:rPr>
                <w:rFonts w:asciiTheme="minorHAnsi" w:eastAsia="Times New Roman" w:hAnsi="Arial" w:cs="Arial"/>
                <w:color w:val="000000"/>
                <w:kern w:val="24"/>
                <w:sz w:val="16"/>
                <w:szCs w:val="16"/>
                <w:lang w:eastAsia="en-GB"/>
              </w:rPr>
              <w:t xml:space="preserve"> -</w:t>
            </w:r>
          </w:p>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kern w:val="24"/>
                <w:sz w:val="16"/>
                <w:szCs w:val="16"/>
                <w:lang w:eastAsia="en-GB"/>
              </w:rPr>
              <w:t>v</w:t>
            </w:r>
            <w:r w:rsidRPr="00484F6C">
              <w:rPr>
                <w:rFonts w:ascii="Arial" w:eastAsia="Times New Roman" w:hAnsi="Arial" w:cs="Arial"/>
                <w:color w:val="000000"/>
                <w:kern w:val="24"/>
                <w:sz w:val="16"/>
                <w:szCs w:val="16"/>
                <w:lang w:eastAsia="en-GB"/>
              </w:rPr>
              <w:t>ehicles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National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 xml:space="preserve">September 1959 </w:t>
            </w:r>
            <w:r>
              <w:rPr>
                <w:rFonts w:ascii="Arial" w:eastAsia="Times New Roman" w:hAnsi="Arial" w:cs="Arial"/>
                <w:color w:val="000000" w:themeColor="dark1"/>
                <w:kern w:val="24"/>
                <w:sz w:val="16"/>
                <w:szCs w:val="16"/>
                <w:lang w:eastAsia="en-GB"/>
              </w:rPr>
              <w:t>to</w:t>
            </w:r>
            <w:r w:rsidRPr="00484F6C">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Quarterly</w:t>
            </w:r>
          </w:p>
        </w:tc>
      </w:tr>
      <w:tr w:rsidR="00480BBB" w:rsidRPr="00484F6C"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Theme="minorHAnsi" w:eastAsia="Times New Roman" w:hAnsi="Arial" w:cs="Arial"/>
                <w:color w:val="000000"/>
                <w:kern w:val="24"/>
                <w:sz w:val="16"/>
                <w:szCs w:val="16"/>
                <w:lang w:eastAsia="en-GB"/>
              </w:rPr>
              <w:t>HFCE</w:t>
            </w:r>
            <w:r>
              <w:rPr>
                <w:rFonts w:asciiTheme="minorHAnsi" w:eastAsia="Times New Roman" w:hAnsi="Arial" w:cs="Arial"/>
                <w:color w:val="000000"/>
                <w:kern w:val="24"/>
                <w:sz w:val="16"/>
                <w:szCs w:val="16"/>
                <w:lang w:eastAsia="en-GB"/>
              </w:rPr>
              <w:t>:</w:t>
            </w:r>
            <w:r w:rsidRPr="00484F6C">
              <w:rPr>
                <w:rFonts w:asciiTheme="minorHAnsi" w:eastAsia="Times New Roman" w:hAnsi="Arial" w:cs="Arial"/>
                <w:color w:val="000000"/>
                <w:kern w:val="24"/>
                <w:sz w:val="16"/>
                <w:szCs w:val="16"/>
                <w:lang w:eastAsia="en-GB"/>
              </w:rPr>
              <w:t xml:space="preserve"> </w:t>
            </w:r>
            <w:r>
              <w:rPr>
                <w:rFonts w:asciiTheme="minorHAnsi" w:eastAsia="Times New Roman" w:hAnsi="Arial" w:cs="Arial"/>
                <w:color w:val="000000"/>
                <w:kern w:val="24"/>
                <w:sz w:val="16"/>
                <w:szCs w:val="16"/>
                <w:lang w:eastAsia="en-GB"/>
              </w:rPr>
              <w:t>h</w:t>
            </w:r>
            <w:r w:rsidRPr="00484F6C">
              <w:rPr>
                <w:rFonts w:asciiTheme="minorHAnsi" w:eastAsia="Times New Roman" w:hAnsi="Arial" w:cs="Arial"/>
                <w:color w:val="000000"/>
                <w:kern w:val="24"/>
                <w:sz w:val="16"/>
                <w:szCs w:val="16"/>
                <w:lang w:eastAsia="en-GB"/>
              </w:rPr>
              <w:t xml:space="preserve">ousehold </w:t>
            </w:r>
            <w:r>
              <w:rPr>
                <w:rFonts w:asciiTheme="minorHAnsi" w:eastAsia="Times New Roman" w:hAnsi="Arial" w:cs="Arial"/>
                <w:color w:val="000000"/>
                <w:kern w:val="24"/>
                <w:sz w:val="16"/>
                <w:szCs w:val="16"/>
                <w:lang w:eastAsia="en-GB"/>
              </w:rPr>
              <w:t>a</w:t>
            </w:r>
            <w:r w:rsidRPr="00484F6C">
              <w:rPr>
                <w:rFonts w:asciiTheme="minorHAnsi" w:eastAsia="Times New Roman" w:hAnsi="Arial" w:cs="Arial"/>
                <w:color w:val="000000"/>
                <w:kern w:val="24"/>
                <w:sz w:val="16"/>
                <w:szCs w:val="16"/>
                <w:lang w:eastAsia="en-GB"/>
              </w:rPr>
              <w:t>ppliances</w:t>
            </w:r>
            <w:r>
              <w:rPr>
                <w:rFonts w:asciiTheme="minorHAnsi" w:eastAsia="Times New Roman" w:hAnsi="Arial" w:cs="Arial"/>
                <w:color w:val="000000"/>
                <w:kern w:val="24"/>
                <w:sz w:val="16"/>
                <w:szCs w:val="16"/>
                <w:lang w:eastAsia="en-GB"/>
              </w:rPr>
              <w:t xml:space="preserve"> -</w:t>
            </w:r>
          </w:p>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Theme="minorHAnsi" w:eastAsia="Times New Roman" w:hAnsi="Arial" w:cs="Arial"/>
                <w:color w:val="000000"/>
                <w:kern w:val="24"/>
                <w:sz w:val="16"/>
                <w:szCs w:val="16"/>
                <w:lang w:eastAsia="en-GB"/>
              </w:rPr>
              <w:t>f</w:t>
            </w:r>
            <w:r w:rsidRPr="00484F6C">
              <w:rPr>
                <w:rFonts w:asciiTheme="minorHAnsi" w:eastAsia="Times New Roman" w:hAnsi="Arial" w:cs="Arial"/>
                <w:color w:val="000000"/>
                <w:kern w:val="24"/>
                <w:sz w:val="16"/>
                <w:szCs w:val="16"/>
                <w:lang w:eastAsia="en-GB"/>
              </w:rPr>
              <w:t>uels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Chain volume measures &amp; current prices; trend, seasonally adjusted and original;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National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1959 to</w:t>
            </w:r>
            <w:r w:rsidRPr="00484F6C">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Quarterly</w:t>
            </w:r>
          </w:p>
        </w:tc>
      </w:tr>
      <w:tr w:rsidR="00480BBB" w:rsidRPr="00484F6C" w:rsidTr="006054BB">
        <w:trPr>
          <w:trHeight w:val="822"/>
        </w:trPr>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Theme="minorHAnsi" w:eastAsia="Times New Roman" w:hAnsi="Arial" w:cs="Arial"/>
                <w:color w:val="000000" w:themeColor="dark1"/>
                <w:kern w:val="24"/>
                <w:sz w:val="16"/>
                <w:szCs w:val="16"/>
                <w:lang w:eastAsia="en-GB"/>
              </w:rPr>
              <w:t>CPI and PPI (components)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Trend, seasonally adjusted, original; $m</w:t>
            </w:r>
          </w:p>
        </w:tc>
        <w:tc>
          <w:tcPr>
            <w:tcW w:w="1642"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State level</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Pr>
                <w:rFonts w:ascii="Arial" w:eastAsia="Times New Roman" w:hAnsi="Arial" w:cs="Arial"/>
                <w:color w:val="000000" w:themeColor="dark1"/>
                <w:kern w:val="24"/>
                <w:sz w:val="16"/>
                <w:szCs w:val="16"/>
                <w:lang w:eastAsia="en-GB"/>
              </w:rPr>
              <w:t>September 1985 to</w:t>
            </w:r>
            <w:r w:rsidRPr="00484F6C">
              <w:rPr>
                <w:rFonts w:ascii="Arial" w:eastAsia="Times New Roman" w:hAnsi="Arial" w:cs="Arial"/>
                <w:color w:val="000000" w:themeColor="dark1"/>
                <w:kern w:val="24"/>
                <w:sz w:val="16"/>
                <w:szCs w:val="16"/>
                <w:lang w:eastAsia="en-GB"/>
              </w:rPr>
              <w:t xml:space="preserve"> March 2013</w:t>
            </w:r>
          </w:p>
        </w:tc>
        <w:tc>
          <w:tcPr>
            <w:tcW w:w="1643" w:type="dxa"/>
            <w:hideMark/>
          </w:tcPr>
          <w:p w:rsidR="00480BBB" w:rsidRPr="00484F6C" w:rsidRDefault="00480BBB" w:rsidP="006054BB">
            <w:pPr>
              <w:spacing w:line="240" w:lineRule="auto"/>
              <w:textAlignment w:val="center"/>
              <w:rPr>
                <w:rFonts w:ascii="Arial" w:eastAsia="Times New Roman" w:hAnsi="Arial" w:cs="Arial"/>
                <w:color w:val="auto"/>
                <w:sz w:val="36"/>
                <w:szCs w:val="36"/>
                <w:lang w:eastAsia="en-GB"/>
              </w:rPr>
            </w:pPr>
            <w:r w:rsidRPr="00484F6C">
              <w:rPr>
                <w:rFonts w:ascii="Arial" w:eastAsia="Times New Roman" w:hAnsi="Arial" w:cs="Arial"/>
                <w:color w:val="000000" w:themeColor="dark1"/>
                <w:kern w:val="24"/>
                <w:sz w:val="16"/>
                <w:szCs w:val="16"/>
                <w:lang w:eastAsia="en-GB"/>
              </w:rPr>
              <w:t>Quarterly</w:t>
            </w:r>
          </w:p>
        </w:tc>
      </w:tr>
      <w:tr w:rsidR="00480BBB" w:rsidRPr="00D573F3" w:rsidTr="006054BB">
        <w:trPr>
          <w:cnfStyle w:val="000000100000" w:firstRow="0" w:lastRow="0" w:firstColumn="0" w:lastColumn="0" w:oddVBand="0" w:evenVBand="0" w:oddHBand="1" w:evenHBand="0" w:firstRowFirstColumn="0" w:firstRowLastColumn="0" w:lastRowFirstColumn="0" w:lastRowLastColumn="0"/>
          <w:trHeight w:val="822"/>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themeColor="dark1"/>
                <w:kern w:val="24"/>
                <w:sz w:val="16"/>
                <w:szCs w:val="16"/>
                <w:lang w:eastAsia="en-GB"/>
              </w:rPr>
              <w:t xml:space="preserve">Industrial </w:t>
            </w:r>
            <w:r>
              <w:rPr>
                <w:rFonts w:asciiTheme="minorHAnsi" w:eastAsia="Times New Roman" w:hAnsi="Arial" w:cs="Arial"/>
                <w:color w:val="000000" w:themeColor="dark1"/>
                <w:kern w:val="24"/>
                <w:sz w:val="16"/>
                <w:szCs w:val="16"/>
                <w:lang w:eastAsia="en-GB"/>
              </w:rPr>
              <w:t>p</w:t>
            </w:r>
            <w:r w:rsidRPr="00D573F3">
              <w:rPr>
                <w:rFonts w:asciiTheme="minorHAnsi" w:eastAsia="Times New Roman" w:hAnsi="Arial" w:cs="Arial"/>
                <w:color w:val="000000" w:themeColor="dark1"/>
                <w:kern w:val="24"/>
                <w:sz w:val="16"/>
                <w:szCs w:val="16"/>
                <w:lang w:eastAsia="en-GB"/>
              </w:rPr>
              <w:t xml:space="preserve">roduction </w:t>
            </w:r>
            <w:r>
              <w:rPr>
                <w:rFonts w:asciiTheme="minorHAnsi" w:eastAsia="Times New Roman" w:hAnsi="Arial" w:cs="Arial"/>
                <w:color w:val="000000" w:themeColor="dark1"/>
                <w:kern w:val="24"/>
                <w:sz w:val="16"/>
                <w:szCs w:val="16"/>
                <w:lang w:eastAsia="en-GB"/>
              </w:rPr>
              <w:t>i</w:t>
            </w:r>
            <w:r w:rsidRPr="00D573F3">
              <w:rPr>
                <w:rFonts w:asciiTheme="minorHAnsi" w:eastAsia="Times New Roman" w:hAnsi="Arial" w:cs="Arial"/>
                <w:color w:val="000000" w:themeColor="dark1"/>
                <w:kern w:val="24"/>
                <w:sz w:val="16"/>
                <w:szCs w:val="16"/>
                <w:lang w:eastAsia="en-GB"/>
              </w:rPr>
              <w:t>ndex</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484F6C">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Index</w:t>
            </w:r>
          </w:p>
        </w:tc>
        <w:tc>
          <w:tcPr>
            <w:tcW w:w="1642"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National</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January</w:t>
            </w:r>
            <w:r>
              <w:rPr>
                <w:rFonts w:ascii="Arial" w:eastAsia="Times New Roman" w:hAnsi="Arial" w:cs="Arial"/>
                <w:color w:val="000000" w:themeColor="dark1"/>
                <w:kern w:val="24"/>
                <w:sz w:val="16"/>
                <w:szCs w:val="16"/>
                <w:lang w:eastAsia="en-GB"/>
              </w:rPr>
              <w:t xml:space="preserve"> </w:t>
            </w:r>
            <w:r w:rsidRPr="007C5C84">
              <w:rPr>
                <w:rFonts w:ascii="Arial" w:eastAsia="Times New Roman" w:hAnsi="Arial" w:cs="Arial"/>
                <w:color w:val="000000" w:themeColor="dark1"/>
                <w:kern w:val="24"/>
                <w:sz w:val="16"/>
                <w:szCs w:val="16"/>
                <w:lang w:eastAsia="en-GB"/>
              </w:rPr>
              <w:t xml:space="preserve">1974 </w:t>
            </w:r>
            <w:r>
              <w:rPr>
                <w:rFonts w:ascii="Arial" w:eastAsia="Times New Roman" w:hAnsi="Arial" w:cs="Arial"/>
                <w:color w:val="000000" w:themeColor="dark1"/>
                <w:kern w:val="24"/>
                <w:sz w:val="16"/>
                <w:szCs w:val="16"/>
                <w:lang w:eastAsia="en-GB"/>
              </w:rPr>
              <w:t>to March 2013</w:t>
            </w:r>
          </w:p>
        </w:tc>
        <w:tc>
          <w:tcPr>
            <w:tcW w:w="1643" w:type="dxa"/>
            <w:hideMark/>
          </w:tcPr>
          <w:p w:rsidR="00480BBB" w:rsidRPr="007C5C84"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7C5C84">
              <w:rPr>
                <w:rFonts w:ascii="Arial" w:eastAsia="Times New Roman" w:hAnsi="Arial" w:cs="Arial"/>
                <w:color w:val="000000" w:themeColor="dark1"/>
                <w:kern w:val="24"/>
                <w:sz w:val="16"/>
                <w:szCs w:val="16"/>
                <w:lang w:eastAsia="en-GB"/>
              </w:rPr>
              <w:t>Quarterly</w:t>
            </w:r>
          </w:p>
        </w:tc>
      </w:tr>
      <w:tr w:rsidR="00480BBB" w:rsidRPr="00D573F3" w:rsidTr="006054BB">
        <w:trPr>
          <w:trHeight w:val="418"/>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Melbourne/Westpac leading index of economic activity</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DataStream</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Index seasonally adjusted</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National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January 1960 – December 2012</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Quarterly</w:t>
            </w:r>
          </w:p>
        </w:tc>
      </w:tr>
      <w:tr w:rsidR="00480BBB" w:rsidRPr="00D573F3" w:rsidTr="006054BB">
        <w:trPr>
          <w:cnfStyle w:val="000000100000" w:firstRow="0" w:lastRow="0" w:firstColumn="0" w:lastColumn="0" w:oddVBand="0" w:evenVBand="0" w:oddHBand="1" w:evenHBand="0" w:firstRowFirstColumn="0" w:firstRowLastColumn="0" w:lastRowFirstColumn="0" w:lastRowLastColumn="0"/>
          <w:trHeight w:val="418"/>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 xml:space="preserve">Building approvals: </w:t>
            </w:r>
            <w:r>
              <w:rPr>
                <w:rFonts w:asciiTheme="minorHAnsi" w:eastAsia="Times New Roman" w:hAnsi="Arial" w:cs="Arial"/>
                <w:color w:val="000000"/>
                <w:kern w:val="24"/>
                <w:sz w:val="16"/>
                <w:szCs w:val="16"/>
                <w:lang w:eastAsia="en-GB"/>
              </w:rPr>
              <w:t>n</w:t>
            </w:r>
            <w:r w:rsidRPr="00D573F3">
              <w:rPr>
                <w:rFonts w:asciiTheme="minorHAnsi" w:eastAsia="Times New Roman" w:hAnsi="Arial" w:cs="Arial"/>
                <w:color w:val="000000"/>
                <w:kern w:val="24"/>
                <w:sz w:val="16"/>
                <w:szCs w:val="16"/>
                <w:lang w:eastAsia="en-GB"/>
              </w:rPr>
              <w:t>ew houses</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DataStream</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Number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National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January 1971 – December 2012</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Quarterly</w:t>
            </w:r>
          </w:p>
        </w:tc>
      </w:tr>
      <w:tr w:rsidR="00480BBB" w:rsidRPr="00484F6C" w:rsidTr="006054BB">
        <w:trPr>
          <w:trHeight w:val="822"/>
        </w:trPr>
        <w:tc>
          <w:tcPr>
            <w:tcW w:w="1642" w:type="dxa"/>
          </w:tcPr>
          <w:p w:rsidR="00480BBB" w:rsidRPr="00484F6C" w:rsidRDefault="00480BBB" w:rsidP="00B95102">
            <w:pPr>
              <w:spacing w:line="240" w:lineRule="auto"/>
              <w:textAlignment w:val="center"/>
              <w:rPr>
                <w:rFonts w:asciiTheme="minorHAnsi" w:eastAsia="Times New Roman" w:hAnsi="Arial" w:cs="Arial"/>
                <w:color w:val="000000" w:themeColor="dark1"/>
                <w:kern w:val="24"/>
                <w:sz w:val="16"/>
                <w:szCs w:val="16"/>
                <w:lang w:eastAsia="en-GB"/>
              </w:rPr>
            </w:pPr>
            <w:r w:rsidRPr="00FB0BBC">
              <w:rPr>
                <w:rFonts w:asciiTheme="minorHAnsi" w:eastAsia="Times New Roman" w:hAnsi="Arial" w:cs="Arial"/>
                <w:color w:val="000000" w:themeColor="dark1"/>
                <w:kern w:val="24"/>
                <w:sz w:val="16"/>
                <w:szCs w:val="16"/>
                <w:lang w:eastAsia="en-GB"/>
              </w:rPr>
              <w:t>Weather and other seasonal factors</w:t>
            </w:r>
          </w:p>
        </w:tc>
        <w:tc>
          <w:tcPr>
            <w:tcW w:w="1642" w:type="dxa"/>
          </w:tcPr>
          <w:p w:rsidR="00480BBB" w:rsidRPr="00484F6C"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Australian Bureau of Meteorology</w:t>
            </w:r>
          </w:p>
        </w:tc>
        <w:tc>
          <w:tcPr>
            <w:tcW w:w="1642" w:type="dxa"/>
          </w:tcPr>
          <w:p w:rsidR="00480BBB" w:rsidRPr="00484F6C"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Number of hot and rainy days per year</w:t>
            </w:r>
          </w:p>
        </w:tc>
        <w:tc>
          <w:tcPr>
            <w:tcW w:w="1642" w:type="dxa"/>
          </w:tcPr>
          <w:p w:rsidR="00480BBB" w:rsidRPr="00484F6C" w:rsidRDefault="00480BBB" w:rsidP="006054BB">
            <w:pPr>
              <w:spacing w:line="240" w:lineRule="auto"/>
              <w:textAlignment w:val="center"/>
              <w:rPr>
                <w:rFonts w:ascii="Arial" w:eastAsia="Times New Roman" w:hAnsi="Arial" w:cs="Arial"/>
                <w:color w:val="000000" w:themeColor="dark1"/>
                <w:kern w:val="24"/>
                <w:sz w:val="16"/>
                <w:szCs w:val="16"/>
                <w:lang w:eastAsia="en-GB"/>
              </w:rPr>
            </w:pPr>
            <w:r w:rsidRPr="00FB0BBC">
              <w:rPr>
                <w:rFonts w:ascii="Arial" w:eastAsia="Times New Roman" w:hAnsi="Arial" w:cs="Arial"/>
                <w:color w:val="000000" w:themeColor="dark1"/>
                <w:kern w:val="24"/>
                <w:sz w:val="16"/>
                <w:szCs w:val="16"/>
                <w:lang w:eastAsia="en-GB"/>
              </w:rPr>
              <w:t>State level</w:t>
            </w:r>
          </w:p>
        </w:tc>
        <w:tc>
          <w:tcPr>
            <w:tcW w:w="1643" w:type="dxa"/>
          </w:tcPr>
          <w:p w:rsidR="00480BBB" w:rsidRPr="00484F6C"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1</w:t>
            </w:r>
            <w:r w:rsidRPr="00FB0BBC">
              <w:rPr>
                <w:rFonts w:ascii="Arial" w:eastAsia="Times New Roman" w:hAnsi="Arial" w:cs="Arial"/>
                <w:color w:val="000000" w:themeColor="dark1"/>
                <w:kern w:val="24"/>
                <w:sz w:val="16"/>
                <w:szCs w:val="16"/>
                <w:lang w:eastAsia="en-GB"/>
              </w:rPr>
              <w:t>910</w:t>
            </w:r>
            <w:r>
              <w:rPr>
                <w:rFonts w:ascii="Arial" w:eastAsia="Times New Roman" w:hAnsi="Arial" w:cs="Arial"/>
                <w:color w:val="000000" w:themeColor="dark1"/>
                <w:kern w:val="24"/>
                <w:sz w:val="16"/>
                <w:szCs w:val="16"/>
                <w:lang w:eastAsia="en-GB"/>
              </w:rPr>
              <w:t xml:space="preserve"> </w:t>
            </w:r>
            <w:r w:rsidRPr="00FB0BBC">
              <w:rPr>
                <w:rFonts w:ascii="Arial" w:eastAsia="Times New Roman" w:hAnsi="Arial" w:cs="Arial"/>
                <w:color w:val="000000" w:themeColor="dark1"/>
                <w:kern w:val="24"/>
                <w:sz w:val="16"/>
                <w:szCs w:val="16"/>
                <w:lang w:eastAsia="en-GB"/>
              </w:rPr>
              <w:t>-</w:t>
            </w:r>
            <w:r>
              <w:rPr>
                <w:rFonts w:ascii="Arial" w:eastAsia="Times New Roman" w:hAnsi="Arial" w:cs="Arial"/>
                <w:color w:val="000000" w:themeColor="dark1"/>
                <w:kern w:val="24"/>
                <w:sz w:val="16"/>
                <w:szCs w:val="16"/>
                <w:lang w:eastAsia="en-GB"/>
              </w:rPr>
              <w:t xml:space="preserve"> </w:t>
            </w:r>
            <w:r w:rsidRPr="00FB0BBC">
              <w:rPr>
                <w:rFonts w:ascii="Arial" w:eastAsia="Times New Roman" w:hAnsi="Arial" w:cs="Arial"/>
                <w:color w:val="000000" w:themeColor="dark1"/>
                <w:kern w:val="24"/>
                <w:sz w:val="16"/>
                <w:szCs w:val="16"/>
                <w:lang w:eastAsia="en-GB"/>
              </w:rPr>
              <w:t>201</w:t>
            </w:r>
            <w:r>
              <w:rPr>
                <w:rFonts w:ascii="Arial" w:eastAsia="Times New Roman" w:hAnsi="Arial" w:cs="Arial"/>
                <w:color w:val="000000" w:themeColor="dark1"/>
                <w:kern w:val="24"/>
                <w:sz w:val="16"/>
                <w:szCs w:val="16"/>
                <w:lang w:eastAsia="en-GB"/>
              </w:rPr>
              <w:t>3</w:t>
            </w:r>
          </w:p>
        </w:tc>
        <w:tc>
          <w:tcPr>
            <w:tcW w:w="1643" w:type="dxa"/>
          </w:tcPr>
          <w:p w:rsidR="00480BBB" w:rsidRPr="00484F6C" w:rsidRDefault="00480BBB" w:rsidP="006054BB">
            <w:pPr>
              <w:spacing w:line="240" w:lineRule="auto"/>
              <w:textAlignment w:val="center"/>
              <w:rPr>
                <w:rFonts w:ascii="Arial" w:eastAsia="Times New Roman" w:hAnsi="Arial" w:cs="Arial"/>
                <w:color w:val="000000" w:themeColor="dark1"/>
                <w:kern w:val="24"/>
                <w:sz w:val="16"/>
                <w:szCs w:val="16"/>
                <w:lang w:eastAsia="en-GB"/>
              </w:rPr>
            </w:pPr>
            <w:r>
              <w:rPr>
                <w:rFonts w:ascii="Arial" w:eastAsia="Times New Roman" w:hAnsi="Arial" w:cs="Arial"/>
                <w:color w:val="000000" w:themeColor="dark1"/>
                <w:kern w:val="24"/>
                <w:sz w:val="16"/>
                <w:szCs w:val="16"/>
                <w:lang w:eastAsia="en-GB"/>
              </w:rPr>
              <w:t>Annually</w:t>
            </w:r>
          </w:p>
        </w:tc>
      </w:tr>
      <w:tr w:rsidR="00480BBB" w:rsidRPr="00FB0BBC" w:rsidTr="006054BB">
        <w:trPr>
          <w:cnfStyle w:val="000000100000" w:firstRow="0" w:lastRow="0" w:firstColumn="0" w:lastColumn="0" w:oddVBand="0" w:evenVBand="0" w:oddHBand="1" w:evenHBand="0" w:firstRowFirstColumn="0" w:firstRowLastColumn="0" w:lastRowFirstColumn="0" w:lastRowLastColumn="0"/>
          <w:trHeight w:val="663"/>
        </w:trPr>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lastRenderedPageBreak/>
              <w:t>Population and population density</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Australian Bureau of Statistics</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Number of persons; number of persons per km</w:t>
            </w:r>
            <w:r w:rsidRPr="00757808">
              <w:rPr>
                <w:rFonts w:asciiTheme="minorHAnsi" w:eastAsia="Times New Roman" w:hAnsi="Arial" w:cs="Arial"/>
                <w:color w:val="000000" w:themeColor="dark1"/>
                <w:kern w:val="24"/>
                <w:sz w:val="16"/>
                <w:szCs w:val="16"/>
                <w:vertAlign w:val="superscript"/>
                <w:lang w:eastAsia="en-GB"/>
              </w:rPr>
              <w:t>2</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National &amp; State level</w:t>
            </w:r>
          </w:p>
        </w:tc>
        <w:tc>
          <w:tcPr>
            <w:tcW w:w="1643"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June 1981 – September 2012</w:t>
            </w:r>
          </w:p>
        </w:tc>
        <w:tc>
          <w:tcPr>
            <w:tcW w:w="1643"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Quarterly</w:t>
            </w:r>
          </w:p>
        </w:tc>
      </w:tr>
      <w:tr w:rsidR="00480BBB" w:rsidRPr="00D573F3" w:rsidTr="006054BB">
        <w:trPr>
          <w:trHeight w:val="430"/>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Population</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Australian Bureau of Statistics</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themeColor="dark1"/>
                <w:kern w:val="24"/>
                <w:sz w:val="16"/>
                <w:szCs w:val="16"/>
                <w:lang w:eastAsia="en-GB"/>
              </w:rPr>
              <w:t>Number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National &amp; State level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1960 - 2012</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Annually</w:t>
            </w:r>
          </w:p>
        </w:tc>
      </w:tr>
      <w:tr w:rsidR="00480BBB" w:rsidRPr="00D573F3" w:rsidTr="006054BB">
        <w:trPr>
          <w:cnfStyle w:val="000000100000" w:firstRow="0" w:lastRow="0" w:firstColumn="0" w:lastColumn="0" w:oddVBand="0" w:evenVBand="0" w:oddHBand="1" w:evenHBand="0" w:firstRowFirstColumn="0" w:firstRowLastColumn="0" w:lastRowFirstColumn="0" w:lastRowLastColumn="0"/>
          <w:trHeight w:val="430"/>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Urban population</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World Development Indicators</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Number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National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1960 - 2012</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Annually</w:t>
            </w:r>
          </w:p>
        </w:tc>
      </w:tr>
      <w:tr w:rsidR="00480BBB" w:rsidRPr="00D573F3" w:rsidTr="006054BB">
        <w:trPr>
          <w:trHeight w:val="418"/>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themeColor="dark1"/>
                <w:kern w:val="24"/>
                <w:sz w:val="16"/>
                <w:szCs w:val="16"/>
                <w:lang w:eastAsia="en-GB"/>
              </w:rPr>
              <w:t>Employment</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OECD Database</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Number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National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themeColor="dark1"/>
                <w:kern w:val="24"/>
                <w:sz w:val="16"/>
                <w:szCs w:val="16"/>
                <w:lang w:eastAsia="en-GB"/>
              </w:rPr>
              <w:t>January 1980 - March 2012</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themeColor="dark1"/>
                <w:kern w:val="24"/>
                <w:sz w:val="16"/>
                <w:szCs w:val="16"/>
                <w:lang w:eastAsia="en-GB"/>
              </w:rPr>
              <w:t>Annually</w:t>
            </w:r>
          </w:p>
        </w:tc>
      </w:tr>
      <w:tr w:rsidR="00480BBB" w:rsidRPr="00D573F3" w:rsidTr="006054BB">
        <w:trPr>
          <w:cnfStyle w:val="000000100000" w:firstRow="0" w:lastRow="0" w:firstColumn="0" w:lastColumn="0" w:oddVBand="0" w:evenVBand="0" w:oddHBand="1" w:evenHBand="0" w:firstRowFirstColumn="0" w:firstRowLastColumn="0" w:lastRowFirstColumn="0" w:lastRowLastColumn="0"/>
          <w:trHeight w:val="418"/>
        </w:trPr>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Employment in service sector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OECD Database</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kern w:val="24"/>
                <w:sz w:val="16"/>
                <w:szCs w:val="16"/>
                <w:lang w:eastAsia="en-GB"/>
              </w:rPr>
              <w:t>Number</w:t>
            </w:r>
          </w:p>
        </w:tc>
        <w:tc>
          <w:tcPr>
            <w:tcW w:w="1642"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National</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Arial" w:eastAsia="Times New Roman" w:hAnsi="Arial" w:cs="Arial"/>
                <w:color w:val="000000"/>
                <w:kern w:val="24"/>
                <w:sz w:val="16"/>
                <w:szCs w:val="16"/>
                <w:lang w:eastAsia="en-GB"/>
              </w:rPr>
              <w:t>January 1986 – December 2009</w:t>
            </w:r>
          </w:p>
        </w:tc>
        <w:tc>
          <w:tcPr>
            <w:tcW w:w="1643" w:type="dxa"/>
            <w:hideMark/>
          </w:tcPr>
          <w:p w:rsidR="00480BBB" w:rsidRPr="00D573F3" w:rsidRDefault="00480BBB" w:rsidP="006054BB">
            <w:pPr>
              <w:spacing w:line="240" w:lineRule="auto"/>
              <w:textAlignment w:val="center"/>
              <w:rPr>
                <w:rFonts w:ascii="Arial" w:eastAsia="Times New Roman" w:hAnsi="Arial" w:cs="Arial"/>
                <w:color w:val="auto"/>
                <w:sz w:val="36"/>
                <w:szCs w:val="36"/>
                <w:lang w:eastAsia="en-GB"/>
              </w:rPr>
            </w:pPr>
            <w:r w:rsidRPr="00D573F3">
              <w:rPr>
                <w:rFonts w:asciiTheme="minorHAnsi" w:eastAsia="Times New Roman" w:hAnsi="Arial" w:cs="Arial"/>
                <w:color w:val="000000" w:themeColor="dark1"/>
                <w:kern w:val="24"/>
                <w:sz w:val="16"/>
                <w:szCs w:val="16"/>
                <w:lang w:eastAsia="en-GB"/>
              </w:rPr>
              <w:t>Annually</w:t>
            </w:r>
          </w:p>
        </w:tc>
      </w:tr>
      <w:tr w:rsidR="00480BBB" w:rsidRPr="00FB0BBC" w:rsidTr="006054BB">
        <w:trPr>
          <w:trHeight w:val="462"/>
        </w:trPr>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Average household size</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Australian Bureau of Statistics</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Average number of persons per household</w:t>
            </w:r>
          </w:p>
        </w:tc>
        <w:tc>
          <w:tcPr>
            <w:tcW w:w="1642"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National &amp; state level</w:t>
            </w:r>
          </w:p>
        </w:tc>
        <w:tc>
          <w:tcPr>
            <w:tcW w:w="1643"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1991-2011</w:t>
            </w:r>
          </w:p>
        </w:tc>
        <w:tc>
          <w:tcPr>
            <w:tcW w:w="1643" w:type="dxa"/>
            <w:hideMark/>
          </w:tcPr>
          <w:p w:rsidR="00480BBB" w:rsidRPr="007C5C84" w:rsidRDefault="00480BBB" w:rsidP="006054BB">
            <w:pPr>
              <w:spacing w:line="240" w:lineRule="auto"/>
              <w:textAlignment w:val="center"/>
              <w:rPr>
                <w:rFonts w:asciiTheme="minorHAnsi" w:eastAsia="Times New Roman" w:hAnsi="Arial" w:cs="Arial"/>
                <w:color w:val="000000" w:themeColor="dark1"/>
                <w:kern w:val="24"/>
                <w:sz w:val="16"/>
                <w:szCs w:val="16"/>
                <w:lang w:eastAsia="en-GB"/>
              </w:rPr>
            </w:pPr>
            <w:r w:rsidRPr="007C5C84">
              <w:rPr>
                <w:rFonts w:asciiTheme="minorHAnsi" w:eastAsia="Times New Roman" w:hAnsi="Arial" w:cs="Arial"/>
                <w:color w:val="000000" w:themeColor="dark1"/>
                <w:kern w:val="24"/>
                <w:sz w:val="16"/>
                <w:szCs w:val="16"/>
                <w:lang w:eastAsia="en-GB"/>
              </w:rPr>
              <w:t>Every 5 years</w:t>
            </w:r>
          </w:p>
        </w:tc>
      </w:tr>
    </w:tbl>
    <w:p w:rsidR="00480BBB" w:rsidRDefault="00480BBB" w:rsidP="00480BBB">
      <w:pPr>
        <w:pStyle w:val="Note"/>
      </w:pPr>
      <w:r>
        <w:t>Note:</w:t>
      </w:r>
      <w:r>
        <w:tab/>
        <w:t>Annual data has been used for the analysis.</w:t>
      </w:r>
    </w:p>
    <w:p w:rsidR="00480BBB" w:rsidRDefault="00480BBB" w:rsidP="00480BBB">
      <w:pPr>
        <w:pStyle w:val="Source"/>
      </w:pPr>
      <w:r w:rsidRPr="00EF51BF">
        <w:t>Source:</w:t>
      </w:r>
      <w:r>
        <w:tab/>
        <w:t>Vivid Economics</w:t>
      </w:r>
    </w:p>
    <w:p w:rsidR="00480BBB" w:rsidRPr="004F6712" w:rsidRDefault="00480BBB" w:rsidP="005C5236">
      <w:pPr>
        <w:pStyle w:val="Heading2"/>
      </w:pPr>
      <w:bookmarkStart w:id="342" w:name="_Toc369890628"/>
      <w:r w:rsidRPr="004F6712">
        <w:lastRenderedPageBreak/>
        <w:t>Data issues</w:t>
      </w:r>
      <w:bookmarkEnd w:id="342"/>
    </w:p>
    <w:p w:rsidR="00480BBB" w:rsidRPr="00C8696F" w:rsidRDefault="00693696" w:rsidP="00480BBB">
      <w:r>
        <w:t>Bureau of Resources and Energy Economics (BREE)</w:t>
      </w:r>
      <w:r w:rsidR="00480BBB" w:rsidRPr="00C8696F">
        <w:t xml:space="preserve"> data was subject to an adjustment</w:t>
      </w:r>
      <w:r w:rsidR="00977282">
        <w:t xml:space="preserve"> in 2012 that revised historical data until</w:t>
      </w:r>
      <w:r w:rsidR="00480BBB" w:rsidRPr="00C8696F">
        <w:t xml:space="preserve"> in </w:t>
      </w:r>
      <w:r w:rsidR="00A44C3F">
        <w:t>2003</w:t>
      </w:r>
      <w:r w:rsidR="00480BBB" w:rsidRPr="00C8696F">
        <w:t xml:space="preserve"> </w:t>
      </w:r>
      <w:r w:rsidR="005A66AE" w:rsidRPr="00C8696F">
        <w:fldChar w:fldCharType="begin" w:fldLock="1"/>
      </w:r>
      <w:r w:rsidR="00971CE6">
        <w:instrText>ADDIN CSL_CITATION { "citationItems" : [ { "id" : "ITEM-1", "itemData" : { "author" : [ { "dropping-particle" : "", "family" : "Clare Stark", "given" : "", "non-dropping-particle" : "", "parse-names" : false, "suffix" : "" }, { "dropping-particle" : "", "family" : "Penney", "given" : "Kate", "non-dropping-particle" : "", "parse-names" : false, "suffix" : "" }, { "dropping-particle" : "", "family" : "Feng", "given" : "Alex", "non-dropping-particle" : "", "parse-names" : false, "suffix" : "" } ], "container-title" : "Bureau of Resources and Energy Economics Publication", "id" : "ITEM-1", "issued" : { "date-parts" : [ [ "2012" ] ] }, "title" : "Australian Energy Update 2012", "type" : "article-journal" }, "uris" : [ "http://www.mendeley.com/documents/?uuid=cf4be904-4537-481a-9cfc-d8a8c9903929" ] } ], "mendeley" : { "previouslyFormattedCitation" : "(Clare Stark, Penney, &amp; Feng, 2012)" }, "properties" : { "noteIndex" : 0 }, "schema" : "https://github.com/citation-style-language/schema/raw/master/csl-citation.json" }</w:instrText>
      </w:r>
      <w:r w:rsidR="005A66AE" w:rsidRPr="00C8696F">
        <w:fldChar w:fldCharType="separate"/>
      </w:r>
      <w:r w:rsidR="00480BBB" w:rsidRPr="00C8696F">
        <w:rPr>
          <w:noProof/>
        </w:rPr>
        <w:t>(Clare Stark, Penney, &amp; Feng, 2012)</w:t>
      </w:r>
      <w:r w:rsidR="005A66AE" w:rsidRPr="00C8696F">
        <w:fldChar w:fldCharType="end"/>
      </w:r>
      <w:r w:rsidR="00480BBB" w:rsidRPr="00C8696F">
        <w:t xml:space="preserve">. As a consequence substantial breaks in the data for all sectors, particularly manufacturing, appear in the year </w:t>
      </w:r>
      <w:r w:rsidR="00A44C3F">
        <w:t>2003</w:t>
      </w:r>
      <w:r w:rsidR="00480BBB" w:rsidRPr="00C8696F">
        <w:t xml:space="preserve">. The index decomposition will be sensitive to the breaks, therefore only results since </w:t>
      </w:r>
      <w:r w:rsidR="006C667D">
        <w:t>2004</w:t>
      </w:r>
      <w:r w:rsidR="00480BBB" w:rsidRPr="00C8696F">
        <w:t xml:space="preserve"> are reported and analysed. For trend models this poses a more direct problem, which is dealt with by the introduction of appropriate dummy variables.</w:t>
      </w:r>
    </w:p>
    <w:p w:rsidR="00480BBB" w:rsidRPr="00C8696F" w:rsidRDefault="00480BBB" w:rsidP="00480BBB"/>
    <w:p w:rsidR="00480BBB" w:rsidRPr="00C8696F" w:rsidRDefault="00480BBB" w:rsidP="00480BBB">
      <w:r w:rsidRPr="00C8696F">
        <w:t xml:space="preserve">BREE data is inconsistent to the degree that the published figures for total electricity consumption diverge from the sum of electricity consumption over all sectors in </w:t>
      </w:r>
      <w:r w:rsidR="006C667D">
        <w:t>2010</w:t>
      </w:r>
      <w:r w:rsidRPr="00C8696F">
        <w:t xml:space="preserve"> and </w:t>
      </w:r>
      <w:r w:rsidR="006C667D">
        <w:t>2011</w:t>
      </w:r>
      <w:r w:rsidRPr="00C8696F">
        <w:t xml:space="preserve"> (for sectoral data). The use of disaggregated data is preferred as it is more consistent with other data sources.</w:t>
      </w:r>
    </w:p>
    <w:p w:rsidR="00480BBB" w:rsidRPr="00C8696F" w:rsidRDefault="00480BBB" w:rsidP="00480BBB"/>
    <w:p w:rsidR="00480BBB" w:rsidRPr="00C8696F" w:rsidRDefault="00480BBB" w:rsidP="00480BBB">
      <w:r w:rsidRPr="00C8696F">
        <w:t xml:space="preserve">BREE data is not consistent </w:t>
      </w:r>
      <w:r w:rsidR="009124B0" w:rsidRPr="00C8696F">
        <w:t>to the degree that</w:t>
      </w:r>
      <w:r w:rsidRPr="00C8696F">
        <w:t xml:space="preserve"> the published figures for electricity consumption of manufacturing in Australia is different from the sum of manufacturing consumption over all states between </w:t>
      </w:r>
      <w:r w:rsidR="006C667D">
        <w:t>2010</w:t>
      </w:r>
      <w:r w:rsidRPr="00C8696F">
        <w:t xml:space="preserve"> and </w:t>
      </w:r>
      <w:r w:rsidR="006C667D">
        <w:t>2012</w:t>
      </w:r>
      <w:r w:rsidRPr="00C8696F">
        <w:t>. State level data is not reliable as it does not show the recent decline in consumption in the NEM region. This was dealt with by taking Australia-wide data and subtracting from it data for the states of Western Australia and Northern Territory. Given the relative size of these two states any data error is likely going to be relatively small. WA manufacturing consumption shows an increase in the period noted above, which is at odds with the whole of Australia data.</w:t>
      </w:r>
    </w:p>
    <w:p w:rsidR="00480BBB" w:rsidRPr="00C8696F" w:rsidRDefault="00480BBB" w:rsidP="00480BBB"/>
    <w:p w:rsidR="00480BBB" w:rsidRPr="00C8696F" w:rsidRDefault="00480BBB" w:rsidP="00480BBB">
      <w:r w:rsidRPr="00C8696F">
        <w:t xml:space="preserve">BREE data for commercial and services sector consumption jumps in the year </w:t>
      </w:r>
      <w:r w:rsidR="006C667D">
        <w:t>2012</w:t>
      </w:r>
      <w:r w:rsidRPr="00C8696F">
        <w:t>. This is probably the result of data error signalling that appropriate care should be used in analysing the data. An adjustment is proposed to minimise the effect of this anomaly, by constructing an alternative consumption figure equivalent to an intensity of us</w:t>
      </w:r>
      <w:r w:rsidR="009F66C9" w:rsidRPr="00C8696F">
        <w:t>e (Electricity consumption</w:t>
      </w:r>
      <w:r w:rsidRPr="00C8696F">
        <w:t>/commercial and services sector GVA) similar to the previous year (</w:t>
      </w:r>
      <w:r w:rsidR="006C667D">
        <w:t>2011</w:t>
      </w:r>
      <w:r w:rsidRPr="00C8696F">
        <w:t>). The adjusted consumption figure is therefore constructed as the GVA for the commercial and services sector multiplied by the previous year’s electricity intensity of use. This will probably still overstate the consumption since there is a general downward trend in the electricity intensity of commercial and services sector. However, given the upward anomaly it is better to be on the conservative side.</w:t>
      </w:r>
    </w:p>
    <w:p w:rsidR="00480BBB" w:rsidRPr="00C8696F" w:rsidRDefault="00480BBB" w:rsidP="00480BBB"/>
    <w:p w:rsidR="00480BBB" w:rsidRDefault="00480BBB" w:rsidP="00480BBB">
      <w:r w:rsidRPr="00C8696F">
        <w:t xml:space="preserve">Electricity production data by types of fuel shows inconsistent pattern in the period </w:t>
      </w:r>
      <w:r w:rsidR="006C667D">
        <w:t>2002</w:t>
      </w:r>
      <w:r w:rsidRPr="00C8696F">
        <w:t>. Electricity generation from black coal decreased substantially, while the black coal energy input increased slightly. The total electricity generation was stable by the fact that gas fired electricity generation increased</w:t>
      </w:r>
      <w:r>
        <w:t xml:space="preserve"> substantially. This makes the analysis of electricity generation emissions intensity problematic in</w:t>
      </w:r>
      <w:r w:rsidR="009F66C9">
        <w:t xml:space="preserve"> the period </w:t>
      </w:r>
      <w:r w:rsidR="006C667D">
        <w:t>2000</w:t>
      </w:r>
      <w:r w:rsidR="009F66C9">
        <w:t xml:space="preserve"> to </w:t>
      </w:r>
      <w:r w:rsidR="006C667D">
        <w:t>2005</w:t>
      </w:r>
      <w:r w:rsidR="009F66C9">
        <w:t>.</w:t>
      </w:r>
    </w:p>
    <w:p w:rsidR="00B43592" w:rsidRDefault="00B43592" w:rsidP="00B95102">
      <w:pPr>
        <w:pStyle w:val="Appendix"/>
      </w:pPr>
      <w:bookmarkStart w:id="343" w:name="_Toc364930392"/>
      <w:bookmarkStart w:id="344" w:name="_Toc366269882"/>
      <w:bookmarkStart w:id="345" w:name="_Toc369890508"/>
      <w:bookmarkEnd w:id="336"/>
      <w:r w:rsidRPr="00EF51BF">
        <w:lastRenderedPageBreak/>
        <w:t>Appendix</w:t>
      </w:r>
      <w:bookmarkEnd w:id="343"/>
      <w:bookmarkEnd w:id="345"/>
    </w:p>
    <w:p w:rsidR="00B43592" w:rsidRDefault="00B43592" w:rsidP="00B43592">
      <w:pPr>
        <w:pStyle w:val="Subheading"/>
      </w:pPr>
      <w:r>
        <w:t>Unit root testing</w:t>
      </w:r>
    </w:p>
    <w:p w:rsidR="00B43592" w:rsidRPr="00DE4EAF" w:rsidRDefault="00B43592" w:rsidP="00B43592">
      <w:pPr>
        <w:pStyle w:val="Tabletitle"/>
      </w:pPr>
      <w:bookmarkStart w:id="346" w:name="_Toc369890535"/>
      <w:r>
        <w:t>Electricity consumption in levels is non-stationary in all sectors</w:t>
      </w:r>
      <w:bookmarkEnd w:id="346"/>
    </w:p>
    <w:tbl>
      <w:tblPr>
        <w:tblStyle w:val="Vividtable"/>
        <w:tblW w:w="9464" w:type="dxa"/>
        <w:tblLook w:val="04A0" w:firstRow="1" w:lastRow="0" w:firstColumn="1" w:lastColumn="0" w:noHBand="0" w:noVBand="1"/>
      </w:tblPr>
      <w:tblGrid>
        <w:gridCol w:w="1937"/>
        <w:gridCol w:w="1717"/>
        <w:gridCol w:w="1982"/>
        <w:gridCol w:w="1844"/>
        <w:gridCol w:w="1984"/>
      </w:tblGrid>
      <w:tr w:rsidR="00B43592" w:rsidRPr="00980041" w:rsidTr="00C8003C">
        <w:trPr>
          <w:cnfStyle w:val="100000000000" w:firstRow="1" w:lastRow="0" w:firstColumn="0" w:lastColumn="0" w:oddVBand="0" w:evenVBand="0" w:oddHBand="0" w:evenHBand="0" w:firstRowFirstColumn="0" w:firstRowLastColumn="0" w:lastRowFirstColumn="0" w:lastRowLastColumn="0"/>
          <w:trHeight w:val="340"/>
        </w:trPr>
        <w:tc>
          <w:tcPr>
            <w:tcW w:w="1024" w:type="pct"/>
          </w:tcPr>
          <w:p w:rsidR="00B43592" w:rsidRPr="004328B0" w:rsidRDefault="00B43592" w:rsidP="00C8003C">
            <w:pPr>
              <w:keepNext/>
              <w:rPr>
                <w:rStyle w:val="PlaceholderText"/>
                <w:rFonts w:ascii="Arial" w:hAnsi="Arial" w:cs="Arial"/>
                <w:szCs w:val="18"/>
              </w:rPr>
            </w:pPr>
          </w:p>
        </w:tc>
        <w:tc>
          <w:tcPr>
            <w:tcW w:w="1954" w:type="pct"/>
            <w:gridSpan w:val="2"/>
          </w:tcPr>
          <w:p w:rsidR="00B43592" w:rsidRPr="00E534F4" w:rsidRDefault="00B43592" w:rsidP="00C8003C">
            <w:pPr>
              <w:jc w:val="center"/>
              <w:rPr>
                <w:rFonts w:ascii="Calibri" w:hAnsi="Calibri"/>
                <w:color w:val="000000"/>
              </w:rPr>
            </w:pPr>
            <w:r w:rsidRPr="00E534F4">
              <w:rPr>
                <w:rFonts w:ascii="Calibri" w:hAnsi="Calibri"/>
                <w:color w:val="000000"/>
              </w:rPr>
              <w:t>Variable in levels</w:t>
            </w:r>
          </w:p>
        </w:tc>
        <w:tc>
          <w:tcPr>
            <w:tcW w:w="2022" w:type="pct"/>
            <w:gridSpan w:val="2"/>
          </w:tcPr>
          <w:p w:rsidR="00B43592" w:rsidRPr="00E534F4" w:rsidRDefault="00B43592" w:rsidP="00C8003C">
            <w:pPr>
              <w:jc w:val="center"/>
              <w:rPr>
                <w:rFonts w:ascii="Calibri" w:hAnsi="Calibri"/>
                <w:color w:val="000000"/>
              </w:rPr>
            </w:pPr>
            <w:r w:rsidRPr="00E534F4">
              <w:rPr>
                <w:rFonts w:ascii="Calibri" w:hAnsi="Calibri"/>
                <w:color w:val="000000"/>
              </w:rPr>
              <w:t>Variable in first difference</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340"/>
        </w:trPr>
        <w:tc>
          <w:tcPr>
            <w:tcW w:w="1024" w:type="pct"/>
          </w:tcPr>
          <w:p w:rsidR="00B43592" w:rsidRPr="004328B0" w:rsidRDefault="00B43592" w:rsidP="00C8003C">
            <w:pPr>
              <w:keepNext/>
              <w:rPr>
                <w:rStyle w:val="PlaceholderText"/>
                <w:rFonts w:ascii="Arial" w:hAnsi="Arial" w:cs="Arial"/>
                <w:b/>
                <w:szCs w:val="18"/>
              </w:rPr>
            </w:pPr>
            <w:r>
              <w:rPr>
                <w:rStyle w:val="PlaceholderText"/>
                <w:rFonts w:ascii="Arial" w:hAnsi="Arial" w:cs="Arial"/>
                <w:szCs w:val="18"/>
              </w:rPr>
              <w:t>Sector</w:t>
            </w:r>
          </w:p>
        </w:tc>
        <w:tc>
          <w:tcPr>
            <w:tcW w:w="907" w:type="pct"/>
          </w:tcPr>
          <w:p w:rsidR="00B43592" w:rsidRDefault="00B43592" w:rsidP="00C8003C">
            <w:pPr>
              <w:rPr>
                <w:rFonts w:ascii="Calibri" w:hAnsi="Calibri"/>
                <w:color w:val="000000"/>
              </w:rPr>
            </w:pPr>
            <w:r>
              <w:rPr>
                <w:rFonts w:ascii="Calibri" w:hAnsi="Calibri"/>
                <w:color w:val="000000"/>
              </w:rPr>
              <w:t>Intercept</w:t>
            </w:r>
          </w:p>
        </w:tc>
        <w:tc>
          <w:tcPr>
            <w:tcW w:w="1047" w:type="pct"/>
          </w:tcPr>
          <w:p w:rsidR="00B43592" w:rsidRDefault="00B43592" w:rsidP="00C8003C">
            <w:pPr>
              <w:rPr>
                <w:rFonts w:ascii="Calibri" w:hAnsi="Calibri"/>
                <w:color w:val="000000"/>
              </w:rPr>
            </w:pPr>
            <w:r>
              <w:rPr>
                <w:rFonts w:ascii="Calibri" w:hAnsi="Calibri"/>
                <w:color w:val="000000"/>
              </w:rPr>
              <w:t>Intercept and trend</w:t>
            </w:r>
          </w:p>
        </w:tc>
        <w:tc>
          <w:tcPr>
            <w:tcW w:w="974" w:type="pct"/>
          </w:tcPr>
          <w:p w:rsidR="00B43592" w:rsidRDefault="00B43592" w:rsidP="00C8003C">
            <w:pPr>
              <w:rPr>
                <w:rFonts w:ascii="Calibri" w:hAnsi="Calibri"/>
                <w:color w:val="000000"/>
              </w:rPr>
            </w:pPr>
            <w:r>
              <w:rPr>
                <w:rFonts w:ascii="Calibri" w:hAnsi="Calibri"/>
                <w:color w:val="000000"/>
              </w:rPr>
              <w:t>Intercept</w:t>
            </w:r>
          </w:p>
        </w:tc>
        <w:tc>
          <w:tcPr>
            <w:tcW w:w="1048" w:type="pct"/>
          </w:tcPr>
          <w:p w:rsidR="00B43592" w:rsidRDefault="00B43592" w:rsidP="00C8003C">
            <w:pPr>
              <w:rPr>
                <w:rFonts w:ascii="Calibri" w:hAnsi="Calibri"/>
                <w:color w:val="000000"/>
              </w:rPr>
            </w:pPr>
            <w:r>
              <w:rPr>
                <w:rFonts w:ascii="Calibri" w:hAnsi="Calibri"/>
                <w:color w:val="000000"/>
              </w:rPr>
              <w:t>Intercept and trend</w:t>
            </w:r>
          </w:p>
        </w:tc>
      </w:tr>
      <w:tr w:rsidR="00B43592" w:rsidRPr="00980041" w:rsidTr="00C8003C">
        <w:trPr>
          <w:trHeight w:val="737"/>
        </w:trPr>
        <w:tc>
          <w:tcPr>
            <w:tcW w:w="1024" w:type="pct"/>
          </w:tcPr>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Residential</w:t>
            </w:r>
          </w:p>
        </w:tc>
        <w:tc>
          <w:tcPr>
            <w:tcW w:w="907" w:type="pct"/>
          </w:tcPr>
          <w:p w:rsidR="00B43592" w:rsidRDefault="00B43592" w:rsidP="00C8003C">
            <w:pPr>
              <w:jc w:val="center"/>
              <w:rPr>
                <w:rFonts w:ascii="Calibri" w:hAnsi="Calibri"/>
                <w:color w:val="000000"/>
              </w:rPr>
            </w:pPr>
            <w:r>
              <w:rPr>
                <w:rFonts w:ascii="Calibri" w:hAnsi="Calibri"/>
                <w:color w:val="000000"/>
              </w:rPr>
              <w:t>0.63</w:t>
            </w:r>
          </w:p>
        </w:tc>
        <w:tc>
          <w:tcPr>
            <w:tcW w:w="1047" w:type="pct"/>
          </w:tcPr>
          <w:p w:rsidR="00B43592" w:rsidRDefault="00B43592" w:rsidP="00C8003C">
            <w:pPr>
              <w:jc w:val="center"/>
              <w:rPr>
                <w:rFonts w:ascii="Calibri" w:hAnsi="Calibri"/>
                <w:color w:val="000000"/>
              </w:rPr>
            </w:pPr>
            <w:r>
              <w:rPr>
                <w:rFonts w:ascii="Calibri" w:hAnsi="Calibri"/>
                <w:color w:val="000000"/>
              </w:rPr>
              <w:t>0.49</w:t>
            </w:r>
          </w:p>
        </w:tc>
        <w:tc>
          <w:tcPr>
            <w:tcW w:w="974" w:type="pct"/>
          </w:tcPr>
          <w:p w:rsidR="00B43592" w:rsidRDefault="00B43592" w:rsidP="00C8003C">
            <w:pPr>
              <w:jc w:val="center"/>
              <w:rPr>
                <w:rFonts w:ascii="Calibri" w:hAnsi="Calibri"/>
                <w:color w:val="000000"/>
              </w:rPr>
            </w:pPr>
            <w:r>
              <w:rPr>
                <w:rFonts w:ascii="Calibri" w:hAnsi="Calibri"/>
                <w:color w:val="000000"/>
              </w:rPr>
              <w:t>0.00*</w:t>
            </w:r>
          </w:p>
        </w:tc>
        <w:tc>
          <w:tcPr>
            <w:tcW w:w="1048" w:type="pct"/>
          </w:tcPr>
          <w:p w:rsidR="00B43592" w:rsidRDefault="00B43592" w:rsidP="00C8003C">
            <w:pPr>
              <w:jc w:val="center"/>
              <w:rPr>
                <w:rFonts w:ascii="Calibri" w:hAnsi="Calibri"/>
                <w:color w:val="000000"/>
              </w:rPr>
            </w:pPr>
            <w:r>
              <w:rPr>
                <w:rFonts w:ascii="Calibri" w:hAnsi="Calibri"/>
                <w:color w:val="000000"/>
              </w:rPr>
              <w:t>0.00</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24" w:type="pct"/>
          </w:tcPr>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Commercial and services</w:t>
            </w:r>
          </w:p>
        </w:tc>
        <w:tc>
          <w:tcPr>
            <w:tcW w:w="907" w:type="pct"/>
          </w:tcPr>
          <w:p w:rsidR="00B43592" w:rsidRDefault="00B43592" w:rsidP="00C8003C">
            <w:pPr>
              <w:jc w:val="center"/>
              <w:rPr>
                <w:rFonts w:ascii="Calibri" w:hAnsi="Calibri"/>
                <w:color w:val="000000"/>
              </w:rPr>
            </w:pPr>
            <w:r>
              <w:rPr>
                <w:rFonts w:ascii="Calibri" w:hAnsi="Calibri"/>
                <w:color w:val="000000"/>
              </w:rPr>
              <w:t>0.82</w:t>
            </w:r>
          </w:p>
        </w:tc>
        <w:tc>
          <w:tcPr>
            <w:tcW w:w="1047" w:type="pct"/>
          </w:tcPr>
          <w:p w:rsidR="00B43592" w:rsidRDefault="00B43592" w:rsidP="00C8003C">
            <w:pPr>
              <w:jc w:val="center"/>
              <w:rPr>
                <w:rFonts w:ascii="Calibri" w:hAnsi="Calibri"/>
                <w:color w:val="000000"/>
              </w:rPr>
            </w:pPr>
            <w:r>
              <w:rPr>
                <w:rFonts w:ascii="Calibri" w:hAnsi="Calibri"/>
                <w:color w:val="000000"/>
              </w:rPr>
              <w:t>0.49</w:t>
            </w:r>
          </w:p>
        </w:tc>
        <w:tc>
          <w:tcPr>
            <w:tcW w:w="974" w:type="pct"/>
          </w:tcPr>
          <w:p w:rsidR="00B43592" w:rsidRDefault="00B43592" w:rsidP="00C8003C">
            <w:pPr>
              <w:jc w:val="center"/>
              <w:rPr>
                <w:rFonts w:ascii="Calibri" w:hAnsi="Calibri"/>
                <w:color w:val="000000"/>
              </w:rPr>
            </w:pPr>
            <w:r>
              <w:rPr>
                <w:rFonts w:ascii="Calibri" w:hAnsi="Calibri"/>
                <w:color w:val="000000"/>
              </w:rPr>
              <w:t>0.00*</w:t>
            </w:r>
          </w:p>
        </w:tc>
        <w:tc>
          <w:tcPr>
            <w:tcW w:w="1048" w:type="pct"/>
          </w:tcPr>
          <w:p w:rsidR="00B43592" w:rsidRDefault="00B43592" w:rsidP="00C8003C">
            <w:pPr>
              <w:jc w:val="center"/>
              <w:rPr>
                <w:rFonts w:ascii="Calibri" w:hAnsi="Calibri"/>
                <w:color w:val="000000"/>
              </w:rPr>
            </w:pPr>
            <w:r>
              <w:rPr>
                <w:rFonts w:ascii="Calibri" w:hAnsi="Calibri"/>
                <w:color w:val="000000"/>
              </w:rPr>
              <w:t>0.00</w:t>
            </w:r>
          </w:p>
        </w:tc>
      </w:tr>
      <w:tr w:rsidR="00B43592" w:rsidRPr="00980041" w:rsidTr="00C8003C">
        <w:trPr>
          <w:trHeight w:val="737"/>
        </w:trPr>
        <w:tc>
          <w:tcPr>
            <w:tcW w:w="1024" w:type="pct"/>
          </w:tcPr>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Manufacturing</w:t>
            </w:r>
          </w:p>
        </w:tc>
        <w:tc>
          <w:tcPr>
            <w:tcW w:w="907" w:type="pct"/>
          </w:tcPr>
          <w:p w:rsidR="00B43592" w:rsidRDefault="00B43592" w:rsidP="00C8003C">
            <w:pPr>
              <w:jc w:val="center"/>
              <w:rPr>
                <w:rFonts w:ascii="Calibri" w:hAnsi="Calibri"/>
                <w:color w:val="000000"/>
              </w:rPr>
            </w:pPr>
            <w:r>
              <w:rPr>
                <w:rFonts w:ascii="Calibri" w:hAnsi="Calibri"/>
                <w:color w:val="000000"/>
              </w:rPr>
              <w:t>0.36</w:t>
            </w:r>
          </w:p>
        </w:tc>
        <w:tc>
          <w:tcPr>
            <w:tcW w:w="1047" w:type="pct"/>
          </w:tcPr>
          <w:p w:rsidR="00B43592" w:rsidRDefault="00B43592" w:rsidP="00C8003C">
            <w:pPr>
              <w:jc w:val="center"/>
              <w:rPr>
                <w:rFonts w:ascii="Calibri" w:hAnsi="Calibri"/>
                <w:color w:val="000000"/>
              </w:rPr>
            </w:pPr>
            <w:r>
              <w:rPr>
                <w:rFonts w:ascii="Calibri" w:hAnsi="Calibri"/>
                <w:color w:val="000000"/>
              </w:rPr>
              <w:t>0.98</w:t>
            </w:r>
          </w:p>
        </w:tc>
        <w:tc>
          <w:tcPr>
            <w:tcW w:w="974" w:type="pct"/>
          </w:tcPr>
          <w:p w:rsidR="00B43592" w:rsidRDefault="00B43592" w:rsidP="00C8003C">
            <w:pPr>
              <w:jc w:val="center"/>
              <w:rPr>
                <w:rFonts w:ascii="Calibri" w:hAnsi="Calibri"/>
                <w:color w:val="000000"/>
              </w:rPr>
            </w:pPr>
            <w:r>
              <w:rPr>
                <w:rFonts w:ascii="Calibri" w:hAnsi="Calibri"/>
                <w:color w:val="000000"/>
              </w:rPr>
              <w:t>0.01</w:t>
            </w:r>
          </w:p>
        </w:tc>
        <w:tc>
          <w:tcPr>
            <w:tcW w:w="1048" w:type="pct"/>
          </w:tcPr>
          <w:p w:rsidR="00B43592" w:rsidRDefault="00B43592" w:rsidP="00C8003C">
            <w:pPr>
              <w:jc w:val="center"/>
              <w:rPr>
                <w:rFonts w:ascii="Calibri" w:hAnsi="Calibri"/>
                <w:color w:val="000000"/>
              </w:rPr>
            </w:pPr>
            <w:r>
              <w:rPr>
                <w:rFonts w:ascii="Calibri" w:hAnsi="Calibri"/>
                <w:color w:val="000000"/>
              </w:rPr>
              <w:t>0.00*</w:t>
            </w:r>
          </w:p>
        </w:tc>
      </w:tr>
    </w:tbl>
    <w:p w:rsidR="00B43592" w:rsidRDefault="00B43592" w:rsidP="00B43592">
      <w:pPr>
        <w:pStyle w:val="Note"/>
      </w:pPr>
      <w:r>
        <w:t>Note:</w:t>
      </w:r>
      <w:r>
        <w:tab/>
        <w:t xml:space="preserve">Electricity consumption time series properties. P-values from Augmented Dickey-Fuller unit root test are reported, the testing regression is estimated between </w:t>
      </w:r>
      <w:r w:rsidR="005B06D4">
        <w:t>1990</w:t>
      </w:r>
      <w:r>
        <w:t xml:space="preserve"> and </w:t>
      </w:r>
      <w:r w:rsidR="006C667D">
        <w:t>2012</w:t>
      </w:r>
      <w:r>
        <w:t>. * indicate preferred time series specification. Schwarz Information Criterion was used for lag selection.</w:t>
      </w:r>
    </w:p>
    <w:p w:rsidR="00B43592" w:rsidRDefault="00B43592" w:rsidP="00B43592">
      <w:pPr>
        <w:pStyle w:val="Source"/>
      </w:pPr>
      <w:r w:rsidRPr="00EF51BF">
        <w:t>Source:</w:t>
      </w:r>
      <w:r>
        <w:tab/>
        <w:t>Vivid Economics based on BREE (2013)</w:t>
      </w:r>
    </w:p>
    <w:p w:rsidR="00B43592" w:rsidRDefault="00B43592" w:rsidP="00B43592">
      <w:pPr>
        <w:pStyle w:val="Subheading"/>
      </w:pPr>
      <w:r>
        <w:t>ADL equations</w:t>
      </w:r>
    </w:p>
    <w:p w:rsidR="00B43592" w:rsidRPr="00DE4EAF" w:rsidRDefault="00B43592" w:rsidP="00B43592">
      <w:pPr>
        <w:pStyle w:val="Tabletitle"/>
      </w:pPr>
      <w:bookmarkStart w:id="347" w:name="_Toc369890536"/>
      <w:r>
        <w:t>Manufacturing equations show consistent long run estimates of price and GVA elasticities</w:t>
      </w:r>
      <w:bookmarkEnd w:id="347"/>
      <w:r>
        <w:t xml:space="preserve"> </w:t>
      </w:r>
    </w:p>
    <w:tbl>
      <w:tblPr>
        <w:tblStyle w:val="Vividtable"/>
        <w:tblW w:w="9322" w:type="dxa"/>
        <w:tblLayout w:type="fixed"/>
        <w:tblLook w:val="04A0" w:firstRow="1" w:lastRow="0" w:firstColumn="1" w:lastColumn="0" w:noHBand="0" w:noVBand="1"/>
      </w:tblPr>
      <w:tblGrid>
        <w:gridCol w:w="1953"/>
        <w:gridCol w:w="1427"/>
        <w:gridCol w:w="1000"/>
        <w:gridCol w:w="132"/>
        <w:gridCol w:w="7"/>
        <w:gridCol w:w="1389"/>
        <w:gridCol w:w="13"/>
        <w:gridCol w:w="21"/>
        <w:gridCol w:w="990"/>
        <w:gridCol w:w="132"/>
        <w:gridCol w:w="7"/>
        <w:gridCol w:w="1273"/>
        <w:gridCol w:w="132"/>
        <w:gridCol w:w="7"/>
        <w:gridCol w:w="839"/>
      </w:tblGrid>
      <w:tr w:rsidR="00B43592" w:rsidRPr="00980041" w:rsidTr="00C8003C">
        <w:trPr>
          <w:cnfStyle w:val="100000000000" w:firstRow="1" w:lastRow="0" w:firstColumn="0" w:lastColumn="0" w:oddVBand="0" w:evenVBand="0" w:oddHBand="0" w:evenHBand="0" w:firstRowFirstColumn="0" w:firstRowLastColumn="0" w:lastRowFirstColumn="0" w:lastRowLastColumn="0"/>
          <w:trHeight w:val="340"/>
        </w:trPr>
        <w:tc>
          <w:tcPr>
            <w:tcW w:w="1047" w:type="pct"/>
          </w:tcPr>
          <w:p w:rsidR="00B43592" w:rsidRPr="0009719F" w:rsidRDefault="00B43592" w:rsidP="00C8003C">
            <w:pPr>
              <w:keepNext/>
              <w:rPr>
                <w:rStyle w:val="PlaceholderText"/>
                <w:rFonts w:asciiTheme="majorHAnsi" w:hAnsiTheme="majorHAnsi" w:cstheme="majorHAnsi"/>
                <w:b w:val="0"/>
              </w:rPr>
            </w:pPr>
          </w:p>
        </w:tc>
        <w:tc>
          <w:tcPr>
            <w:tcW w:w="1301" w:type="pct"/>
            <w:gridSpan w:val="2"/>
          </w:tcPr>
          <w:p w:rsidR="00B43592" w:rsidRPr="0009719F" w:rsidRDefault="00B43592" w:rsidP="002E7F6E">
            <w:pPr>
              <w:jc w:val="center"/>
              <w:rPr>
                <w:rFonts w:asciiTheme="majorHAnsi" w:hAnsiTheme="majorHAnsi" w:cstheme="majorHAnsi"/>
                <w:color w:val="000000"/>
              </w:rPr>
            </w:pPr>
            <w:r w:rsidRPr="0009719F">
              <w:rPr>
                <w:rFonts w:asciiTheme="majorHAnsi" w:hAnsiTheme="majorHAnsi" w:cstheme="majorHAnsi"/>
                <w:color w:val="000000"/>
              </w:rPr>
              <w:t>NEM</w:t>
            </w:r>
          </w:p>
        </w:tc>
        <w:tc>
          <w:tcPr>
            <w:tcW w:w="1369" w:type="pct"/>
            <w:gridSpan w:val="6"/>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NEM</w:t>
            </w:r>
          </w:p>
        </w:tc>
        <w:tc>
          <w:tcPr>
            <w:tcW w:w="1282" w:type="pct"/>
            <w:gridSpan w:val="6"/>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Australia</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340"/>
        </w:trPr>
        <w:tc>
          <w:tcPr>
            <w:tcW w:w="1047" w:type="pct"/>
          </w:tcPr>
          <w:p w:rsidR="00B43592" w:rsidRPr="0009719F" w:rsidRDefault="00B43592" w:rsidP="00C8003C">
            <w:pPr>
              <w:keepNext/>
              <w:rPr>
                <w:rStyle w:val="PlaceholderText"/>
                <w:rFonts w:asciiTheme="majorHAnsi" w:hAnsiTheme="majorHAnsi" w:cstheme="majorHAnsi"/>
                <w:b/>
              </w:rPr>
            </w:pPr>
          </w:p>
        </w:tc>
        <w:tc>
          <w:tcPr>
            <w:tcW w:w="1301"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2007</w:t>
            </w:r>
          </w:p>
        </w:tc>
        <w:tc>
          <w:tcPr>
            <w:tcW w:w="1369" w:type="pct"/>
            <w:gridSpan w:val="6"/>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2012</w:t>
            </w:r>
          </w:p>
        </w:tc>
        <w:tc>
          <w:tcPr>
            <w:tcW w:w="1282" w:type="pct"/>
            <w:gridSpan w:val="6"/>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1976-77 to </w:t>
            </w:r>
            <w:r w:rsidR="006C667D">
              <w:rPr>
                <w:rFonts w:asciiTheme="majorHAnsi" w:hAnsiTheme="majorHAnsi" w:cstheme="majorHAnsi"/>
                <w:b/>
                <w:color w:val="000000"/>
              </w:rPr>
              <w:t>2012</w:t>
            </w:r>
          </w:p>
        </w:tc>
      </w:tr>
      <w:tr w:rsidR="00B43592" w:rsidRPr="00980041" w:rsidTr="00C8003C">
        <w:trPr>
          <w:trHeight w:val="737"/>
        </w:trPr>
        <w:tc>
          <w:tcPr>
            <w:tcW w:w="1047" w:type="pct"/>
          </w:tcPr>
          <w:p w:rsidR="00B43592" w:rsidRPr="0009719F" w:rsidRDefault="00B43592" w:rsidP="00C8003C">
            <w:pPr>
              <w:keepNext/>
              <w:spacing w:line="200" w:lineRule="exact"/>
              <w:jc w:val="center"/>
              <w:rPr>
                <w:rStyle w:val="PlaceholderText"/>
                <w:rFonts w:asciiTheme="majorHAnsi" w:hAnsiTheme="majorHAnsi" w:cstheme="majorHAnsi"/>
                <w:b/>
              </w:rPr>
            </w:pPr>
            <w:r w:rsidRPr="0009719F">
              <w:rPr>
                <w:rStyle w:val="PlaceholderText"/>
                <w:rFonts w:asciiTheme="majorHAnsi" w:hAnsiTheme="majorHAnsi" w:cstheme="majorHAnsi"/>
                <w:b/>
              </w:rPr>
              <w:t>Manufacturing</w:t>
            </w:r>
          </w:p>
          <w:p w:rsidR="00B43592" w:rsidRPr="0009719F" w:rsidRDefault="00B43592" w:rsidP="00C8003C">
            <w:pPr>
              <w:keepNext/>
              <w:spacing w:line="200" w:lineRule="exact"/>
              <w:jc w:val="center"/>
              <w:rPr>
                <w:rStyle w:val="PlaceholderText"/>
                <w:rFonts w:asciiTheme="majorHAnsi" w:hAnsiTheme="majorHAnsi" w:cstheme="majorHAnsi"/>
              </w:rPr>
            </w:pPr>
            <w:r w:rsidRPr="0009719F">
              <w:rPr>
                <w:rStyle w:val="PlaceholderText"/>
                <w:rFonts w:asciiTheme="majorHAnsi" w:hAnsiTheme="majorHAnsi" w:cstheme="majorHAnsi"/>
                <w:b/>
              </w:rPr>
              <w:t>Equations</w:t>
            </w:r>
          </w:p>
        </w:tc>
        <w:tc>
          <w:tcPr>
            <w:tcW w:w="765" w:type="pct"/>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36" w:type="pct"/>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827" w:type="pct"/>
            <w:gridSpan w:val="4"/>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42"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758"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24"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Pr>
                <w:rFonts w:asciiTheme="majorHAnsi" w:hAnsiTheme="majorHAnsi" w:cstheme="majorHAnsi"/>
                <w:b/>
                <w:color w:val="000000"/>
                <w:szCs w:val="18"/>
              </w:rPr>
              <w:t>Constant</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-0.22</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0.04</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-0.34</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0.02</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-0.26</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electricity consumption </w:t>
            </w:r>
            <w:r w:rsidRPr="0009719F">
              <w:rPr>
                <w:rFonts w:asciiTheme="majorHAnsi" w:hAnsiTheme="majorHAnsi" w:cstheme="majorHAnsi"/>
                <w:b/>
                <w:color w:val="000000"/>
                <w:szCs w:val="18"/>
                <w:vertAlign w:val="subscript"/>
              </w:rPr>
              <w:t xml:space="preserve">t-1 </w:t>
            </w:r>
            <w:r w:rsidRPr="0009719F">
              <w:rPr>
                <w:rFonts w:asciiTheme="majorHAnsi" w:hAnsiTheme="majorHAnsi" w:cstheme="majorHAnsi"/>
                <w:b/>
                <w:color w:val="000000"/>
                <w:szCs w:val="18"/>
              </w:rPr>
              <w:t xml:space="preserve">-  gva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-0.52</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-0.82</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0.02</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-0.44</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price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-0.29</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-0.37</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0.02</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-0.28</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lastRenderedPageBreak/>
              <w:t xml:space="preserve">Δ gva </w:t>
            </w:r>
            <w:r w:rsidRPr="0009719F">
              <w:rPr>
                <w:rFonts w:asciiTheme="majorHAnsi" w:hAnsiTheme="majorHAnsi" w:cstheme="majorHAnsi"/>
                <w:b/>
                <w:color w:val="000000"/>
                <w:szCs w:val="18"/>
                <w:vertAlign w:val="subscript"/>
              </w:rPr>
              <w:t>t</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0.99</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0.50</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0.14</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0.66</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electricity consumption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0.30</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0.06</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0.13</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0.54</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0.02</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0.88</w:t>
            </w:r>
            <w:r>
              <w:rPr>
                <w:rFonts w:asciiTheme="majorHAnsi" w:hAnsiTheme="majorHAnsi" w:cstheme="majorHAnsi"/>
                <w:color w:val="000000"/>
                <w:szCs w:val="18"/>
              </w:rPr>
              <w:t>)</w:t>
            </w: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gva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-0.60</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0.05</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0.92</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0.15</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0.36</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price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0.38</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0.27</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0.30</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0.19</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0.13</w:t>
            </w:r>
            <w:r>
              <w:rPr>
                <w:rFonts w:asciiTheme="majorHAnsi" w:hAnsiTheme="majorHAnsi" w:cstheme="majorHAnsi"/>
                <w:color w:val="000000"/>
                <w:szCs w:val="18"/>
              </w:rPr>
              <w:t>)</w:t>
            </w: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83</w:t>
            </w:r>
          </w:p>
        </w:tc>
        <w:tc>
          <w:tcPr>
            <w:tcW w:w="765"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82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0.07</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 xml:space="preserve">83 </w:t>
            </w:r>
            <w:r w:rsidRPr="0009719F">
              <w:rPr>
                <w:rFonts w:asciiTheme="majorHAnsi" w:hAnsiTheme="majorHAnsi" w:cstheme="majorHAnsi"/>
                <w:b/>
                <w:color w:val="000000"/>
                <w:szCs w:val="18"/>
              </w:rPr>
              <w:t>* time trend</w:t>
            </w:r>
          </w:p>
        </w:tc>
        <w:tc>
          <w:tcPr>
            <w:tcW w:w="765"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82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-0.01</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vertAlign w:val="subscript"/>
              </w:rPr>
            </w:pPr>
            <w:r w:rsidRPr="0009719F">
              <w:rPr>
                <w:rFonts w:asciiTheme="majorHAnsi" w:hAnsiTheme="majorHAnsi" w:cstheme="majorHAnsi"/>
                <w:b/>
                <w:color w:val="000000"/>
                <w:szCs w:val="18"/>
              </w:rPr>
              <w:t xml:space="preserve">Level Dummy </w:t>
            </w:r>
            <w:r>
              <w:rPr>
                <w:rFonts w:asciiTheme="majorHAnsi" w:hAnsiTheme="majorHAnsi" w:cstheme="majorHAnsi"/>
                <w:b/>
                <w:color w:val="000000"/>
                <w:szCs w:val="18"/>
                <w:vertAlign w:val="subscript"/>
              </w:rPr>
              <w:t>02</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-0.07</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-0.11</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-0.10</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Impulse Dummy </w:t>
            </w:r>
            <w:r w:rsidRPr="0009719F">
              <w:rPr>
                <w:rFonts w:asciiTheme="majorHAnsi" w:hAnsiTheme="majorHAnsi" w:cstheme="majorHAnsi"/>
                <w:b/>
                <w:color w:val="000000"/>
                <w:szCs w:val="18"/>
                <w:vertAlign w:val="subscript"/>
              </w:rPr>
              <w:t>03</w:t>
            </w:r>
          </w:p>
        </w:tc>
        <w:tc>
          <w:tcPr>
            <w:tcW w:w="765"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-0.18</w:t>
            </w:r>
          </w:p>
        </w:tc>
        <w:tc>
          <w:tcPr>
            <w:tcW w:w="536"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827"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-0.16</w:t>
            </w:r>
          </w:p>
        </w:tc>
        <w:tc>
          <w:tcPr>
            <w:tcW w:w="542"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58"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-0.19</w:t>
            </w:r>
          </w:p>
        </w:tc>
        <w:tc>
          <w:tcPr>
            <w:tcW w:w="524"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5000" w:type="pct"/>
            <w:gridSpan w:val="15"/>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t>Long run elasticities</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gva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611" w:type="pct"/>
            <w:gridSpan w:val="3"/>
          </w:tcPr>
          <w:p w:rsidR="00B43592" w:rsidRPr="0009719F" w:rsidRDefault="00B43592" w:rsidP="00C8003C">
            <w:pPr>
              <w:jc w:val="center"/>
              <w:rPr>
                <w:rFonts w:asciiTheme="majorHAnsi" w:hAnsiTheme="majorHAnsi" w:cstheme="majorHAnsi"/>
                <w:b/>
                <w:color w:val="000000"/>
                <w:szCs w:val="18"/>
              </w:rPr>
            </w:pPr>
          </w:p>
        </w:tc>
        <w:tc>
          <w:tcPr>
            <w:tcW w:w="763"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606" w:type="pct"/>
            <w:gridSpan w:val="3"/>
          </w:tcPr>
          <w:p w:rsidR="00B43592" w:rsidRPr="0009719F" w:rsidRDefault="00B43592" w:rsidP="00C8003C">
            <w:pPr>
              <w:jc w:val="center"/>
              <w:rPr>
                <w:rFonts w:asciiTheme="majorHAnsi" w:hAnsiTheme="majorHAnsi" w:cstheme="majorHAnsi"/>
                <w:b/>
                <w:color w:val="000000"/>
                <w:szCs w:val="18"/>
              </w:rPr>
            </w:pPr>
          </w:p>
        </w:tc>
        <w:tc>
          <w:tcPr>
            <w:tcW w:w="758"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449" w:type="pct"/>
          </w:tcPr>
          <w:p w:rsidR="00B43592" w:rsidRPr="0009719F" w:rsidRDefault="00B43592" w:rsidP="00C8003C">
            <w:pPr>
              <w:jc w:val="center"/>
              <w:rPr>
                <w:rFonts w:asciiTheme="majorHAnsi" w:hAnsiTheme="majorHAnsi" w:cstheme="majorHAnsi"/>
                <w:color w:val="000000"/>
                <w:szCs w:val="18"/>
              </w:rPr>
            </w:pPr>
          </w:p>
        </w:tc>
      </w:tr>
      <w:tr w:rsidR="00B43592" w:rsidRPr="00980041" w:rsidTr="00C8003C">
        <w:trPr>
          <w:trHeight w:val="737"/>
        </w:trPr>
        <w:tc>
          <w:tcPr>
            <w:tcW w:w="1047"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 </w:t>
            </w:r>
            <w:r w:rsidRPr="0009719F">
              <w:rPr>
                <w:rFonts w:asciiTheme="majorHAnsi" w:hAnsiTheme="majorHAnsi" w:cstheme="majorHAnsi"/>
                <w:b/>
                <w:color w:val="000000"/>
                <w:szCs w:val="18"/>
                <w:vertAlign w:val="subscript"/>
              </w:rPr>
              <w:t>t-1</w:t>
            </w:r>
          </w:p>
        </w:tc>
        <w:tc>
          <w:tcPr>
            <w:tcW w:w="765"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-0.56</w:t>
            </w:r>
          </w:p>
        </w:tc>
        <w:tc>
          <w:tcPr>
            <w:tcW w:w="611" w:type="pct"/>
            <w:gridSpan w:val="3"/>
          </w:tcPr>
          <w:p w:rsidR="00B43592" w:rsidRPr="0009719F" w:rsidRDefault="00B43592" w:rsidP="00C8003C">
            <w:pPr>
              <w:jc w:val="center"/>
              <w:rPr>
                <w:rFonts w:asciiTheme="majorHAnsi" w:hAnsiTheme="majorHAnsi" w:cstheme="majorHAnsi"/>
                <w:b/>
                <w:color w:val="000000"/>
                <w:szCs w:val="18"/>
              </w:rPr>
            </w:pPr>
          </w:p>
        </w:tc>
        <w:tc>
          <w:tcPr>
            <w:tcW w:w="763"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-0.45</w:t>
            </w:r>
          </w:p>
        </w:tc>
        <w:tc>
          <w:tcPr>
            <w:tcW w:w="606" w:type="pct"/>
            <w:gridSpan w:val="3"/>
          </w:tcPr>
          <w:p w:rsidR="00B43592" w:rsidRPr="0009719F" w:rsidRDefault="00B43592" w:rsidP="00C8003C">
            <w:pPr>
              <w:jc w:val="center"/>
              <w:rPr>
                <w:rFonts w:asciiTheme="majorHAnsi" w:hAnsiTheme="majorHAnsi" w:cstheme="majorHAnsi"/>
                <w:b/>
                <w:color w:val="000000"/>
                <w:szCs w:val="18"/>
              </w:rPr>
            </w:pPr>
          </w:p>
        </w:tc>
        <w:tc>
          <w:tcPr>
            <w:tcW w:w="758"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-0.63</w:t>
            </w:r>
          </w:p>
        </w:tc>
        <w:tc>
          <w:tcPr>
            <w:tcW w:w="449" w:type="pct"/>
          </w:tcPr>
          <w:p w:rsidR="00B43592" w:rsidRPr="0009719F" w:rsidRDefault="00B43592" w:rsidP="00C8003C">
            <w:pPr>
              <w:jc w:val="center"/>
              <w:rPr>
                <w:rFonts w:asciiTheme="majorHAnsi" w:hAnsiTheme="majorHAnsi" w:cstheme="majorHAnsi"/>
                <w:color w:val="000000"/>
                <w:szCs w:val="18"/>
              </w:rPr>
            </w:pP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5"/>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lastRenderedPageBreak/>
              <w:t>Cointegration test (null</w:t>
            </w:r>
            <w:r>
              <w:rPr>
                <w:rStyle w:val="PlaceholderText"/>
                <w:rFonts w:asciiTheme="majorHAnsi" w:hAnsiTheme="majorHAnsi" w:cstheme="majorHAnsi"/>
                <w:b/>
                <w:szCs w:val="18"/>
              </w:rPr>
              <w:t xml:space="preserve"> hypothesis</w:t>
            </w:r>
            <w:r w:rsidRPr="0009719F">
              <w:rPr>
                <w:rStyle w:val="PlaceholderText"/>
                <w:rFonts w:asciiTheme="majorHAnsi" w:hAnsiTheme="majorHAnsi" w:cstheme="majorHAnsi"/>
                <w:b/>
                <w:szCs w:val="18"/>
              </w:rPr>
              <w:t xml:space="preserve"> is cointegration)</w:t>
            </w:r>
          </w:p>
        </w:tc>
      </w:tr>
      <w:tr w:rsidR="00B43592" w:rsidRPr="00980041" w:rsidTr="00C8003C">
        <w:trPr>
          <w:trHeight w:val="737"/>
        </w:trPr>
        <w:tc>
          <w:tcPr>
            <w:tcW w:w="1047" w:type="pct"/>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765"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statistic</w:t>
            </w:r>
          </w:p>
        </w:tc>
        <w:tc>
          <w:tcPr>
            <w:tcW w:w="611"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45"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r>
              <w:rPr>
                <w:rFonts w:asciiTheme="majorHAnsi" w:hAnsiTheme="majorHAnsi" w:cstheme="majorHAnsi"/>
                <w:color w:val="000000"/>
                <w:szCs w:val="18"/>
              </w:rPr>
              <w:t>istic</w:t>
            </w:r>
          </w:p>
        </w:tc>
        <w:tc>
          <w:tcPr>
            <w:tcW w:w="620" w:type="pct"/>
            <w:gridSpan w:val="4"/>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58"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r>
              <w:rPr>
                <w:rFonts w:asciiTheme="majorHAnsi" w:hAnsiTheme="majorHAnsi" w:cstheme="majorHAnsi"/>
                <w:color w:val="000000"/>
                <w:szCs w:val="18"/>
              </w:rPr>
              <w:t>istic</w:t>
            </w:r>
          </w:p>
        </w:tc>
        <w:tc>
          <w:tcPr>
            <w:tcW w:w="453"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F stat f</w:t>
            </w:r>
            <w:r>
              <w:rPr>
                <w:rStyle w:val="PlaceholderText"/>
                <w:rFonts w:asciiTheme="majorHAnsi" w:hAnsiTheme="majorHAnsi" w:cstheme="majorHAnsi"/>
                <w:b/>
                <w:szCs w:val="18"/>
              </w:rPr>
              <w:t>or Cointegration</w:t>
            </w:r>
          </w:p>
        </w:tc>
        <w:tc>
          <w:tcPr>
            <w:tcW w:w="765"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5.54</w:t>
            </w:r>
          </w:p>
        </w:tc>
        <w:tc>
          <w:tcPr>
            <w:tcW w:w="611" w:type="pct"/>
            <w:gridSpan w:val="3"/>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c>
          <w:tcPr>
            <w:tcW w:w="745"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4.59*</w:t>
            </w:r>
          </w:p>
        </w:tc>
        <w:tc>
          <w:tcPr>
            <w:tcW w:w="620" w:type="pct"/>
            <w:gridSpan w:val="4"/>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c>
          <w:tcPr>
            <w:tcW w:w="758"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15.23</w:t>
            </w:r>
          </w:p>
        </w:tc>
        <w:tc>
          <w:tcPr>
            <w:tcW w:w="453" w:type="pct"/>
            <w:gridSpan w:val="2"/>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r>
      <w:tr w:rsidR="00B43592" w:rsidRPr="00980041" w:rsidTr="00C8003C">
        <w:trPr>
          <w:trHeight w:val="737"/>
        </w:trPr>
        <w:tc>
          <w:tcPr>
            <w:tcW w:w="5000" w:type="pct"/>
            <w:gridSpan w:val="15"/>
          </w:tcPr>
          <w:p w:rsidR="00B43592" w:rsidRPr="0009719F" w:rsidRDefault="00B43592" w:rsidP="00C8003C">
            <w:pPr>
              <w:keepNext/>
              <w:spacing w:line="200" w:lineRule="exact"/>
              <w:jc w:val="center"/>
              <w:rPr>
                <w:rFonts w:asciiTheme="majorHAnsi" w:hAnsiTheme="majorHAnsi" w:cstheme="majorHAnsi"/>
                <w:b/>
                <w:color w:val="000000"/>
                <w:szCs w:val="18"/>
              </w:rPr>
            </w:pPr>
            <w:r w:rsidRPr="0009719F">
              <w:rPr>
                <w:rStyle w:val="PlaceholderText"/>
                <w:rFonts w:asciiTheme="majorHAnsi" w:hAnsiTheme="majorHAnsi" w:cstheme="majorHAnsi"/>
                <w:b/>
                <w:szCs w:val="18"/>
              </w:rPr>
              <w:t xml:space="preserve">GVA long run coefficient test </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47" w:type="pct"/>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765" w:type="pct"/>
          </w:tcPr>
          <w:p w:rsidR="00B43592" w:rsidRPr="0009719F" w:rsidRDefault="00B43592" w:rsidP="00C8003C">
            <w:pPr>
              <w:rPr>
                <w:rFonts w:asciiTheme="majorHAnsi" w:hAnsiTheme="majorHAnsi" w:cstheme="majorHAnsi"/>
                <w:color w:val="000000"/>
                <w:szCs w:val="18"/>
              </w:rPr>
            </w:pPr>
          </w:p>
        </w:tc>
        <w:tc>
          <w:tcPr>
            <w:tcW w:w="611"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45"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620" w:type="pct"/>
            <w:gridSpan w:val="4"/>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58"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453"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r>
      <w:tr w:rsidR="00B43592" w:rsidRPr="00980041" w:rsidTr="00C8003C">
        <w:trPr>
          <w:trHeight w:val="737"/>
        </w:trPr>
        <w:tc>
          <w:tcPr>
            <w:tcW w:w="1047" w:type="pct"/>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Test of long run coefficient of GVA</w:t>
            </w:r>
          </w:p>
        </w:tc>
        <w:tc>
          <w:tcPr>
            <w:tcW w:w="765"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611"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0.27</w:t>
            </w:r>
          </w:p>
        </w:tc>
        <w:tc>
          <w:tcPr>
            <w:tcW w:w="745" w:type="pct"/>
          </w:tcPr>
          <w:p w:rsidR="00B43592" w:rsidRPr="0009719F" w:rsidRDefault="00B43592" w:rsidP="00C8003C">
            <w:pPr>
              <w:jc w:val="center"/>
              <w:rPr>
                <w:rFonts w:asciiTheme="majorHAnsi" w:hAnsiTheme="majorHAnsi" w:cstheme="majorHAnsi"/>
                <w:color w:val="000000"/>
                <w:szCs w:val="18"/>
              </w:rPr>
            </w:pPr>
          </w:p>
        </w:tc>
        <w:tc>
          <w:tcPr>
            <w:tcW w:w="620" w:type="pct"/>
            <w:gridSpan w:val="4"/>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0.20</w:t>
            </w:r>
          </w:p>
        </w:tc>
        <w:tc>
          <w:tcPr>
            <w:tcW w:w="758" w:type="pct"/>
            <w:gridSpan w:val="3"/>
          </w:tcPr>
          <w:p w:rsidR="00B43592" w:rsidRPr="0009719F" w:rsidRDefault="00B43592" w:rsidP="00C8003C">
            <w:pPr>
              <w:jc w:val="center"/>
              <w:rPr>
                <w:rFonts w:asciiTheme="majorHAnsi" w:hAnsiTheme="majorHAnsi" w:cstheme="majorHAnsi"/>
                <w:color w:val="000000"/>
                <w:szCs w:val="18"/>
              </w:rPr>
            </w:pPr>
          </w:p>
        </w:tc>
        <w:tc>
          <w:tcPr>
            <w:tcW w:w="453"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0.55</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5"/>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bCs/>
                <w:color w:val="000000"/>
                <w:szCs w:val="18"/>
              </w:rPr>
              <w:t>Diagnostic check</w:t>
            </w:r>
          </w:p>
        </w:tc>
      </w:tr>
      <w:tr w:rsidR="00B43592" w:rsidRPr="00980041" w:rsidTr="00C8003C">
        <w:trPr>
          <w:trHeight w:val="737"/>
        </w:trPr>
        <w:tc>
          <w:tcPr>
            <w:tcW w:w="1812" w:type="pct"/>
            <w:gridSpan w:val="2"/>
          </w:tcPr>
          <w:p w:rsidR="00B43592" w:rsidRPr="0009719F" w:rsidRDefault="00B43592" w:rsidP="00C8003C">
            <w:pPr>
              <w:rPr>
                <w:rFonts w:asciiTheme="majorHAnsi" w:hAnsiTheme="majorHAnsi" w:cstheme="majorHAnsi"/>
                <w:color w:val="000000"/>
                <w:szCs w:val="18"/>
              </w:rPr>
            </w:pPr>
            <w:r w:rsidRPr="0009719F">
              <w:rPr>
                <w:rStyle w:val="PlaceholderText"/>
                <w:rFonts w:asciiTheme="majorHAnsi" w:hAnsiTheme="majorHAnsi" w:cstheme="majorHAnsi"/>
                <w:b/>
                <w:szCs w:val="18"/>
              </w:rPr>
              <w:t>Heteros</w:t>
            </w:r>
            <w:r>
              <w:rPr>
                <w:rStyle w:val="PlaceholderText"/>
                <w:rFonts w:asciiTheme="majorHAnsi" w:hAnsiTheme="majorHAnsi" w:cstheme="majorHAnsi"/>
                <w:b/>
                <w:szCs w:val="18"/>
              </w:rPr>
              <w:t>k</w:t>
            </w:r>
            <w:r w:rsidRPr="0009719F">
              <w:rPr>
                <w:rStyle w:val="PlaceholderText"/>
                <w:rFonts w:asciiTheme="majorHAnsi" w:hAnsiTheme="majorHAnsi" w:cstheme="majorHAnsi"/>
                <w:b/>
                <w:szCs w:val="18"/>
              </w:rPr>
              <w:t>edasticity</w:t>
            </w:r>
          </w:p>
        </w:tc>
        <w:tc>
          <w:tcPr>
            <w:tcW w:w="607"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0.83</w:t>
            </w:r>
          </w:p>
        </w:tc>
        <w:tc>
          <w:tcPr>
            <w:tcW w:w="749" w:type="pct"/>
            <w:gridSpan w:val="2"/>
          </w:tcPr>
          <w:p w:rsidR="00B43592" w:rsidRPr="0009719F" w:rsidRDefault="00B43592" w:rsidP="00C8003C">
            <w:pPr>
              <w:jc w:val="center"/>
              <w:rPr>
                <w:rFonts w:asciiTheme="majorHAnsi" w:hAnsiTheme="majorHAnsi" w:cstheme="majorHAnsi"/>
                <w:color w:val="000000"/>
                <w:szCs w:val="18"/>
              </w:rPr>
            </w:pPr>
          </w:p>
        </w:tc>
        <w:tc>
          <w:tcPr>
            <w:tcW w:w="620"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0.27</w:t>
            </w:r>
          </w:p>
        </w:tc>
        <w:tc>
          <w:tcPr>
            <w:tcW w:w="758" w:type="pct"/>
            <w:gridSpan w:val="3"/>
          </w:tcPr>
          <w:p w:rsidR="00B43592" w:rsidRPr="0009719F" w:rsidRDefault="00B43592" w:rsidP="00C8003C">
            <w:pPr>
              <w:jc w:val="center"/>
              <w:rPr>
                <w:rFonts w:asciiTheme="majorHAnsi" w:hAnsiTheme="majorHAnsi" w:cstheme="majorHAnsi"/>
                <w:color w:val="000000"/>
                <w:szCs w:val="18"/>
              </w:rPr>
            </w:pPr>
          </w:p>
        </w:tc>
        <w:tc>
          <w:tcPr>
            <w:tcW w:w="453"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0.04*</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812" w:type="pct"/>
            <w:gridSpan w:val="2"/>
          </w:tcPr>
          <w:p w:rsidR="00B43592" w:rsidRPr="0009719F" w:rsidRDefault="00B43592" w:rsidP="00C8003C">
            <w:pPr>
              <w:rPr>
                <w:rFonts w:asciiTheme="majorHAnsi" w:hAnsiTheme="majorHAnsi" w:cstheme="majorHAnsi"/>
                <w:color w:val="000000"/>
                <w:szCs w:val="18"/>
              </w:rPr>
            </w:pPr>
            <w:r w:rsidRPr="0009719F">
              <w:rPr>
                <w:rStyle w:val="PlaceholderText"/>
                <w:rFonts w:asciiTheme="majorHAnsi" w:hAnsiTheme="majorHAnsi" w:cstheme="majorHAnsi"/>
                <w:b/>
                <w:szCs w:val="18"/>
              </w:rPr>
              <w:t>Auto correlation</w:t>
            </w:r>
          </w:p>
        </w:tc>
        <w:tc>
          <w:tcPr>
            <w:tcW w:w="607"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0.20</w:t>
            </w:r>
          </w:p>
        </w:tc>
        <w:tc>
          <w:tcPr>
            <w:tcW w:w="749" w:type="pct"/>
            <w:gridSpan w:val="2"/>
          </w:tcPr>
          <w:p w:rsidR="00B43592" w:rsidRPr="0009719F" w:rsidRDefault="00B43592" w:rsidP="00C8003C">
            <w:pPr>
              <w:jc w:val="center"/>
              <w:rPr>
                <w:rFonts w:asciiTheme="majorHAnsi" w:hAnsiTheme="majorHAnsi" w:cstheme="majorHAnsi"/>
                <w:color w:val="000000"/>
                <w:szCs w:val="18"/>
              </w:rPr>
            </w:pPr>
          </w:p>
        </w:tc>
        <w:tc>
          <w:tcPr>
            <w:tcW w:w="620"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0.82</w:t>
            </w:r>
          </w:p>
        </w:tc>
        <w:tc>
          <w:tcPr>
            <w:tcW w:w="758" w:type="pct"/>
            <w:gridSpan w:val="3"/>
          </w:tcPr>
          <w:p w:rsidR="00B43592" w:rsidRPr="0009719F" w:rsidRDefault="00B43592" w:rsidP="00C8003C">
            <w:pPr>
              <w:jc w:val="center"/>
              <w:rPr>
                <w:rFonts w:asciiTheme="majorHAnsi" w:hAnsiTheme="majorHAnsi" w:cstheme="majorHAnsi"/>
                <w:color w:val="000000"/>
                <w:szCs w:val="18"/>
              </w:rPr>
            </w:pPr>
          </w:p>
        </w:tc>
        <w:tc>
          <w:tcPr>
            <w:tcW w:w="453"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0.41</w:t>
            </w:r>
          </w:p>
        </w:tc>
      </w:tr>
      <w:tr w:rsidR="00B43592" w:rsidRPr="00980041" w:rsidTr="00C8003C">
        <w:trPr>
          <w:trHeight w:val="737"/>
        </w:trPr>
        <w:tc>
          <w:tcPr>
            <w:tcW w:w="1812" w:type="pct"/>
            <w:gridSpan w:val="2"/>
          </w:tcPr>
          <w:p w:rsidR="00B43592" w:rsidRPr="0009719F" w:rsidRDefault="00B43592" w:rsidP="00B95102">
            <w:pPr>
              <w:keepNext/>
              <w:spacing w:line="200" w:lineRule="exact"/>
              <w:rPr>
                <w:rFonts w:asciiTheme="majorHAnsi" w:hAnsiTheme="majorHAnsi" w:cstheme="majorHAnsi"/>
                <w:color w:val="000000"/>
                <w:szCs w:val="18"/>
              </w:rPr>
            </w:pPr>
            <w:r w:rsidRPr="0009719F">
              <w:rPr>
                <w:rStyle w:val="PlaceholderText"/>
                <w:rFonts w:asciiTheme="majorHAnsi" w:hAnsiTheme="majorHAnsi" w:cstheme="majorHAnsi"/>
                <w:b/>
                <w:szCs w:val="18"/>
              </w:rPr>
              <w:t>Ramsey RESET test</w:t>
            </w:r>
            <w:r w:rsidRPr="0009719F">
              <w:rPr>
                <w:rFonts w:asciiTheme="majorHAnsi" w:hAnsiTheme="majorHAnsi" w:cstheme="majorHAnsi"/>
                <w:color w:val="000000"/>
                <w:szCs w:val="18"/>
              </w:rPr>
              <w:t> </w:t>
            </w:r>
          </w:p>
        </w:tc>
        <w:tc>
          <w:tcPr>
            <w:tcW w:w="607"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0.14</w:t>
            </w:r>
          </w:p>
        </w:tc>
        <w:tc>
          <w:tcPr>
            <w:tcW w:w="749" w:type="pct"/>
            <w:gridSpan w:val="2"/>
          </w:tcPr>
          <w:p w:rsidR="00B43592" w:rsidRPr="0009719F" w:rsidRDefault="00B43592" w:rsidP="00C8003C">
            <w:pPr>
              <w:jc w:val="center"/>
              <w:rPr>
                <w:rFonts w:asciiTheme="majorHAnsi" w:hAnsiTheme="majorHAnsi" w:cstheme="majorHAnsi"/>
                <w:color w:val="000000"/>
                <w:szCs w:val="18"/>
              </w:rPr>
            </w:pPr>
          </w:p>
        </w:tc>
        <w:tc>
          <w:tcPr>
            <w:tcW w:w="620"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0.04*</w:t>
            </w:r>
          </w:p>
        </w:tc>
        <w:tc>
          <w:tcPr>
            <w:tcW w:w="758" w:type="pct"/>
            <w:gridSpan w:val="3"/>
          </w:tcPr>
          <w:p w:rsidR="00B43592" w:rsidRPr="0009719F" w:rsidRDefault="00B43592" w:rsidP="00C8003C">
            <w:pPr>
              <w:jc w:val="center"/>
              <w:rPr>
                <w:rFonts w:asciiTheme="majorHAnsi" w:hAnsiTheme="majorHAnsi" w:cstheme="majorHAnsi"/>
                <w:color w:val="000000"/>
                <w:szCs w:val="18"/>
              </w:rPr>
            </w:pPr>
          </w:p>
        </w:tc>
        <w:tc>
          <w:tcPr>
            <w:tcW w:w="453"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0.10</w:t>
            </w:r>
          </w:p>
        </w:tc>
      </w:tr>
    </w:tbl>
    <w:p w:rsidR="00B43592" w:rsidRDefault="00B43592" w:rsidP="00B43592">
      <w:pPr>
        <w:pStyle w:val="Note"/>
      </w:pPr>
      <w:r>
        <w:t>Note:</w:t>
      </w:r>
      <w:r>
        <w:tab/>
        <w:t xml:space="preserve">Estimates of ECM models and their p values. All of Australia model is presented for comparison. Bounds testing indicates there is evidence of cointegration at 10 per cent level. Restricting long run coefficient of GVA to 1 is supported by data. * indicates test statistic reject null hypothesis at 10 per cent level. Bound  value from </w:t>
      </w:r>
      <w:r w:rsidR="005A66AE" w:rsidRPr="000E5B41">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Shin, &amp; Smith (2001)", "previouslyFormattedCitation" : "(Pesaran et al., 2001)" }, "properties" : { "noteIndex" : 0 }, "schema" : "https://github.com/citation-style-language/schema/raw/master/csl-citation.json" }</w:instrText>
      </w:r>
      <w:r w:rsidR="005A66AE" w:rsidRPr="000E5B41">
        <w:fldChar w:fldCharType="separate"/>
      </w:r>
      <w:r w:rsidRPr="00CC2DE1">
        <w:rPr>
          <w:noProof/>
        </w:rPr>
        <w:t>Pesaran, Shin, &amp; Smith</w:t>
      </w:r>
      <w:r>
        <w:rPr>
          <w:noProof/>
        </w:rPr>
        <w:t xml:space="preserve"> (</w:t>
      </w:r>
      <w:r w:rsidRPr="00CC2DE1">
        <w:rPr>
          <w:noProof/>
        </w:rPr>
        <w:t>2001)</w:t>
      </w:r>
      <w:r w:rsidR="005A66AE" w:rsidRPr="000E5B41">
        <w:fldChar w:fldCharType="end"/>
      </w:r>
      <w:r w:rsidRPr="000E5B41">
        <w:t>.</w:t>
      </w:r>
      <w:r>
        <w:t xml:space="preserve"> The null hypothesis of the long run GVA coefficient test is that it is equal to zero. The Null of the heteroskedasticity and autocorrelation are the residuals are not heteroskedastic and not auto correlated.  Ramsey RESET test assumes no miss-specification under the null.   </w:t>
      </w:r>
    </w:p>
    <w:p w:rsidR="00B43592" w:rsidRDefault="00B43592" w:rsidP="00B43592">
      <w:pPr>
        <w:pStyle w:val="Source"/>
      </w:pPr>
      <w:r w:rsidRPr="00EF51BF">
        <w:t>Source:</w:t>
      </w:r>
      <w:r>
        <w:tab/>
        <w:t>Vivid Economics</w:t>
      </w:r>
    </w:p>
    <w:p w:rsidR="00B43592" w:rsidRPr="00EF51BF" w:rsidRDefault="00B43592" w:rsidP="00B43592"/>
    <w:p w:rsidR="00B43592" w:rsidRPr="00DE4EAF" w:rsidRDefault="00B43592" w:rsidP="00B43592">
      <w:pPr>
        <w:pStyle w:val="Tabletitle"/>
      </w:pPr>
      <w:bookmarkStart w:id="348" w:name="_Toc369890537"/>
      <w:r>
        <w:lastRenderedPageBreak/>
        <w:t>Commercial equations show consistent long run estimates of price and GVA elasticities</w:t>
      </w:r>
      <w:bookmarkEnd w:id="348"/>
      <w:r>
        <w:t xml:space="preserve"> </w:t>
      </w:r>
    </w:p>
    <w:tbl>
      <w:tblPr>
        <w:tblStyle w:val="Vividtable"/>
        <w:tblW w:w="9468" w:type="dxa"/>
        <w:tblLayout w:type="fixed"/>
        <w:tblLook w:val="04A0" w:firstRow="1" w:lastRow="0" w:firstColumn="1" w:lastColumn="0" w:noHBand="0" w:noVBand="1"/>
      </w:tblPr>
      <w:tblGrid>
        <w:gridCol w:w="1896"/>
        <w:gridCol w:w="286"/>
        <w:gridCol w:w="1142"/>
        <w:gridCol w:w="11"/>
        <w:gridCol w:w="1026"/>
        <w:gridCol w:w="8"/>
        <w:gridCol w:w="11"/>
        <w:gridCol w:w="1407"/>
        <w:gridCol w:w="68"/>
        <w:gridCol w:w="924"/>
        <w:gridCol w:w="57"/>
        <w:gridCol w:w="15"/>
        <w:gridCol w:w="9"/>
        <w:gridCol w:w="1335"/>
        <w:gridCol w:w="134"/>
        <w:gridCol w:w="8"/>
        <w:gridCol w:w="1091"/>
        <w:gridCol w:w="17"/>
        <w:gridCol w:w="23"/>
      </w:tblGrid>
      <w:tr w:rsidR="00B43592" w:rsidRPr="00980041" w:rsidTr="00C8003C">
        <w:trPr>
          <w:gridAfter w:val="1"/>
          <w:cnfStyle w:val="100000000000" w:firstRow="1" w:lastRow="0" w:firstColumn="0" w:lastColumn="0" w:oddVBand="0" w:evenVBand="0" w:oddHBand="0" w:evenHBand="0" w:firstRowFirstColumn="0" w:firstRowLastColumn="0" w:lastRowFirstColumn="0" w:lastRowLastColumn="0"/>
          <w:wAfter w:w="23" w:type="dxa"/>
          <w:trHeight w:val="340"/>
        </w:trPr>
        <w:tc>
          <w:tcPr>
            <w:tcW w:w="1001" w:type="pct"/>
          </w:tcPr>
          <w:p w:rsidR="00B43592" w:rsidRPr="0009719F" w:rsidRDefault="00B43592" w:rsidP="00C8003C">
            <w:pPr>
              <w:keepNext/>
              <w:rPr>
                <w:rStyle w:val="PlaceholderText"/>
                <w:rFonts w:asciiTheme="majorHAnsi" w:hAnsiTheme="majorHAnsi" w:cstheme="majorHAnsi"/>
                <w:b w:val="0"/>
              </w:rPr>
            </w:pPr>
          </w:p>
        </w:tc>
        <w:tc>
          <w:tcPr>
            <w:tcW w:w="1312" w:type="pct"/>
            <w:gridSpan w:val="6"/>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 xml:space="preserve">NEM </w:t>
            </w:r>
          </w:p>
        </w:tc>
        <w:tc>
          <w:tcPr>
            <w:tcW w:w="1310" w:type="pct"/>
            <w:gridSpan w:val="6"/>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NEM</w:t>
            </w:r>
          </w:p>
        </w:tc>
        <w:tc>
          <w:tcPr>
            <w:tcW w:w="1365" w:type="pct"/>
            <w:gridSpan w:val="5"/>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Australia</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340"/>
        </w:trPr>
        <w:tc>
          <w:tcPr>
            <w:tcW w:w="1001" w:type="pct"/>
          </w:tcPr>
          <w:p w:rsidR="00B43592" w:rsidRPr="0009719F" w:rsidRDefault="00B43592" w:rsidP="00C8003C">
            <w:pPr>
              <w:keepNext/>
              <w:rPr>
                <w:rStyle w:val="PlaceholderText"/>
                <w:rFonts w:asciiTheme="majorHAnsi" w:hAnsiTheme="majorHAnsi" w:cstheme="majorHAnsi"/>
                <w:b/>
              </w:rPr>
            </w:pPr>
          </w:p>
        </w:tc>
        <w:tc>
          <w:tcPr>
            <w:tcW w:w="1312" w:type="pct"/>
            <w:gridSpan w:val="6"/>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2007</w:t>
            </w:r>
          </w:p>
        </w:tc>
        <w:tc>
          <w:tcPr>
            <w:tcW w:w="1310" w:type="pct"/>
            <w:gridSpan w:val="6"/>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2012</w:t>
            </w:r>
          </w:p>
        </w:tc>
        <w:tc>
          <w:tcPr>
            <w:tcW w:w="1365" w:type="pct"/>
            <w:gridSpan w:val="5"/>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1976-77 to </w:t>
            </w:r>
            <w:r w:rsidR="006C667D">
              <w:rPr>
                <w:rFonts w:asciiTheme="majorHAnsi" w:hAnsiTheme="majorHAnsi" w:cstheme="majorHAnsi"/>
                <w:b/>
                <w:color w:val="000000"/>
              </w:rPr>
              <w:t>2012</w:t>
            </w:r>
          </w:p>
        </w:tc>
      </w:tr>
      <w:tr w:rsidR="00B43592" w:rsidRPr="00980041" w:rsidTr="00C8003C">
        <w:trPr>
          <w:gridAfter w:val="2"/>
          <w:wAfter w:w="40" w:type="dxa"/>
          <w:trHeight w:val="737"/>
        </w:trPr>
        <w:tc>
          <w:tcPr>
            <w:tcW w:w="1001" w:type="pct"/>
          </w:tcPr>
          <w:p w:rsidR="00B43592" w:rsidRPr="0009719F" w:rsidRDefault="00B43592" w:rsidP="00C8003C">
            <w:pPr>
              <w:keepNext/>
              <w:spacing w:line="200" w:lineRule="exact"/>
              <w:jc w:val="center"/>
              <w:rPr>
                <w:rStyle w:val="PlaceholderText"/>
                <w:rFonts w:asciiTheme="majorHAnsi" w:hAnsiTheme="majorHAnsi" w:cstheme="majorHAnsi"/>
                <w:b/>
              </w:rPr>
            </w:pPr>
            <w:r w:rsidRPr="0009719F">
              <w:rPr>
                <w:rStyle w:val="PlaceholderText"/>
                <w:rFonts w:asciiTheme="majorHAnsi" w:hAnsiTheme="majorHAnsi" w:cstheme="majorHAnsi"/>
                <w:b/>
              </w:rPr>
              <w:t>Commercial</w:t>
            </w:r>
          </w:p>
          <w:p w:rsidR="00B43592" w:rsidRPr="0009719F" w:rsidRDefault="00B43592" w:rsidP="00C8003C">
            <w:pPr>
              <w:keepNext/>
              <w:spacing w:line="200" w:lineRule="exact"/>
              <w:jc w:val="center"/>
              <w:rPr>
                <w:rStyle w:val="PlaceholderText"/>
                <w:rFonts w:asciiTheme="majorHAnsi" w:hAnsiTheme="majorHAnsi" w:cstheme="majorHAnsi"/>
              </w:rPr>
            </w:pPr>
            <w:r w:rsidRPr="0009719F">
              <w:rPr>
                <w:rStyle w:val="PlaceholderText"/>
                <w:rFonts w:asciiTheme="majorHAnsi" w:hAnsiTheme="majorHAnsi" w:cstheme="majorHAnsi"/>
                <w:b/>
              </w:rPr>
              <w:t>Equations</w:t>
            </w:r>
          </w:p>
        </w:tc>
        <w:tc>
          <w:tcPr>
            <w:tcW w:w="760"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52"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779"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26"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781"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80"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Constant</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-1.48</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-1.27</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0.05</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-1.09</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electricity consumption </w:t>
            </w:r>
            <w:r w:rsidRPr="0009719F">
              <w:rPr>
                <w:rFonts w:asciiTheme="majorHAnsi" w:hAnsiTheme="majorHAnsi" w:cstheme="majorHAnsi"/>
                <w:b/>
                <w:color w:val="000000"/>
                <w:szCs w:val="18"/>
                <w:vertAlign w:val="subscript"/>
              </w:rPr>
              <w:t>t-1</w:t>
            </w:r>
            <w:r w:rsidRPr="0009719F">
              <w:rPr>
                <w:rFonts w:asciiTheme="majorHAnsi" w:hAnsiTheme="majorHAnsi" w:cstheme="majorHAnsi"/>
                <w:b/>
                <w:color w:val="000000"/>
                <w:szCs w:val="18"/>
              </w:rPr>
              <w:t xml:space="preserve">- gva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-0.54</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-0.47</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0.04</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-0.36</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price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-0.22</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-0.22</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0.13</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-0.17</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nvhd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0.04</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0.28</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0.02</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0.19</w:t>
            </w:r>
            <w:r>
              <w:rPr>
                <w:rFonts w:asciiTheme="majorHAnsi" w:hAnsiTheme="majorHAnsi" w:cstheme="majorHAnsi"/>
                <w:color w:val="000000"/>
                <w:szCs w:val="18"/>
              </w:rPr>
              <w:t>)</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electricity consumption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0.26</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0.13</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0.33</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0.10</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0.26</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gva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1.02</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0.81</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0.06</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0.58</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0.02</w:t>
            </w:r>
            <w:r>
              <w:rPr>
                <w:rFonts w:asciiTheme="majorHAnsi" w:hAnsiTheme="majorHAnsi" w:cstheme="majorHAnsi"/>
                <w:color w:val="000000"/>
                <w:szCs w:val="18"/>
              </w:rPr>
              <w:t>)</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price </w:t>
            </w:r>
            <w:r w:rsidRPr="0009719F">
              <w:rPr>
                <w:rFonts w:asciiTheme="majorHAnsi" w:hAnsiTheme="majorHAnsi" w:cstheme="majorHAnsi"/>
                <w:b/>
                <w:color w:val="000000"/>
                <w:szCs w:val="18"/>
                <w:vertAlign w:val="subscript"/>
              </w:rPr>
              <w:t>t-1</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0.15</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0.22</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0.17</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0.07</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0.37</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83</w:t>
            </w:r>
          </w:p>
        </w:tc>
        <w:tc>
          <w:tcPr>
            <w:tcW w:w="760"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79"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0.16</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0.26</w:t>
            </w:r>
            <w:r>
              <w:rPr>
                <w:rFonts w:asciiTheme="majorHAnsi" w:hAnsiTheme="majorHAnsi" w:cstheme="majorHAnsi"/>
                <w:color w:val="000000"/>
                <w:szCs w:val="18"/>
              </w:rPr>
              <w:t>)</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vertAlign w:val="subscript"/>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 xml:space="preserve">83 </w:t>
            </w:r>
            <w:r w:rsidRPr="0009719F">
              <w:rPr>
                <w:rFonts w:asciiTheme="majorHAnsi" w:hAnsiTheme="majorHAnsi" w:cstheme="majorHAnsi"/>
                <w:b/>
                <w:color w:val="000000"/>
                <w:szCs w:val="18"/>
              </w:rPr>
              <w:t xml:space="preserve">* time trend </w:t>
            </w:r>
          </w:p>
        </w:tc>
        <w:tc>
          <w:tcPr>
            <w:tcW w:w="760"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79"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0.004</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0.44</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Impulse Dummy </w:t>
            </w:r>
            <w:r w:rsidRPr="0009719F">
              <w:rPr>
                <w:rFonts w:asciiTheme="majorHAnsi" w:hAnsiTheme="majorHAnsi" w:cstheme="majorHAnsi"/>
                <w:b/>
                <w:color w:val="000000"/>
                <w:szCs w:val="18"/>
                <w:vertAlign w:val="subscript"/>
              </w:rPr>
              <w:t>83</w:t>
            </w:r>
          </w:p>
        </w:tc>
        <w:tc>
          <w:tcPr>
            <w:tcW w:w="760"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79"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-0.07</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 xml:space="preserve">Level Dummy </w:t>
            </w:r>
            <w:r w:rsidRPr="0009719F">
              <w:rPr>
                <w:rStyle w:val="PlaceholderText"/>
                <w:rFonts w:asciiTheme="majorHAnsi" w:hAnsiTheme="majorHAnsi" w:cstheme="majorHAnsi"/>
                <w:b/>
                <w:szCs w:val="18"/>
                <w:vertAlign w:val="subscript"/>
              </w:rPr>
              <w:t>00</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0.24</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Impulse Dummy </w:t>
            </w:r>
            <w:r w:rsidRPr="0009719F">
              <w:rPr>
                <w:rFonts w:asciiTheme="majorHAnsi" w:hAnsiTheme="majorHAnsi" w:cstheme="majorHAnsi"/>
                <w:b/>
                <w:color w:val="000000"/>
                <w:szCs w:val="18"/>
                <w:vertAlign w:val="subscript"/>
              </w:rPr>
              <w:t>00</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-0.02</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-0.02</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0.35</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r>
      <w:tr w:rsidR="00B43592" w:rsidRPr="00980041" w:rsidTr="00C8003C">
        <w:trPr>
          <w:gridAfter w:val="1"/>
          <w:cnfStyle w:val="000000100000" w:firstRow="0" w:lastRow="0" w:firstColumn="0" w:lastColumn="0" w:oddVBand="0" w:evenVBand="0" w:oddHBand="1" w:evenHBand="0" w:firstRowFirstColumn="0" w:firstRowLastColumn="0" w:lastRowFirstColumn="0" w:lastRowLastColumn="0"/>
          <w:wAfter w:w="23" w:type="dxa"/>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Impulse Dummy </w:t>
            </w:r>
            <w:r w:rsidRPr="0009719F">
              <w:rPr>
                <w:rFonts w:asciiTheme="majorHAnsi" w:hAnsiTheme="majorHAnsi" w:cstheme="majorHAnsi"/>
                <w:b/>
                <w:color w:val="000000"/>
                <w:szCs w:val="18"/>
                <w:vertAlign w:val="subscript"/>
              </w:rPr>
              <w:t>03</w:t>
            </w:r>
          </w:p>
        </w:tc>
        <w:tc>
          <w:tcPr>
            <w:tcW w:w="76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0.11</w:t>
            </w:r>
          </w:p>
        </w:tc>
        <w:tc>
          <w:tcPr>
            <w:tcW w:w="552"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9"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0.11</w:t>
            </w:r>
          </w:p>
        </w:tc>
        <w:tc>
          <w:tcPr>
            <w:tcW w:w="518"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0.11</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gridAfter w:val="1"/>
          <w:wAfter w:w="23" w:type="dxa"/>
          <w:trHeight w:val="737"/>
        </w:trPr>
        <w:tc>
          <w:tcPr>
            <w:tcW w:w="1001" w:type="pct"/>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Δnvhd </w:t>
            </w:r>
            <w:r w:rsidRPr="0009719F">
              <w:rPr>
                <w:rFonts w:asciiTheme="majorHAnsi" w:hAnsiTheme="majorHAnsi" w:cstheme="majorHAnsi"/>
                <w:b/>
                <w:color w:val="000000"/>
                <w:szCs w:val="18"/>
                <w:vertAlign w:val="subscript"/>
              </w:rPr>
              <w:t>t</w:t>
            </w:r>
          </w:p>
        </w:tc>
        <w:tc>
          <w:tcPr>
            <w:tcW w:w="760" w:type="pct"/>
            <w:gridSpan w:val="3"/>
          </w:tcPr>
          <w:p w:rsidR="00B43592" w:rsidRDefault="00B43592" w:rsidP="00C8003C">
            <w:pPr>
              <w:jc w:val="center"/>
            </w:pPr>
            <w:r>
              <w:rPr>
                <w:rFonts w:asciiTheme="majorHAnsi" w:hAnsiTheme="majorHAnsi" w:cstheme="majorHAnsi"/>
                <w:color w:val="000000"/>
                <w:szCs w:val="18"/>
              </w:rPr>
              <w:t>NA</w:t>
            </w:r>
          </w:p>
        </w:tc>
        <w:tc>
          <w:tcPr>
            <w:tcW w:w="552" w:type="pct"/>
            <w:gridSpan w:val="3"/>
          </w:tcPr>
          <w:p w:rsidR="00B43592" w:rsidRDefault="00B43592" w:rsidP="00C8003C">
            <w:pPr>
              <w:jc w:val="center"/>
            </w:pPr>
            <w:r>
              <w:rPr>
                <w:rFonts w:asciiTheme="majorHAnsi" w:hAnsiTheme="majorHAnsi" w:cstheme="majorHAnsi"/>
                <w:color w:val="000000"/>
                <w:szCs w:val="18"/>
              </w:rPr>
              <w:t>NA</w:t>
            </w:r>
          </w:p>
        </w:tc>
        <w:tc>
          <w:tcPr>
            <w:tcW w:w="779" w:type="pct"/>
            <w:gridSpan w:val="2"/>
          </w:tcPr>
          <w:p w:rsidR="00B43592" w:rsidRDefault="00B43592" w:rsidP="00C8003C">
            <w:pPr>
              <w:jc w:val="center"/>
            </w:pPr>
            <w:r>
              <w:rPr>
                <w:rFonts w:asciiTheme="majorHAnsi" w:hAnsiTheme="majorHAnsi" w:cstheme="majorHAnsi"/>
                <w:color w:val="000000"/>
                <w:szCs w:val="18"/>
              </w:rPr>
              <w:t>NA</w:t>
            </w:r>
          </w:p>
        </w:tc>
        <w:tc>
          <w:tcPr>
            <w:tcW w:w="518" w:type="pct"/>
            <w:gridSpan w:val="2"/>
          </w:tcPr>
          <w:p w:rsidR="00B43592" w:rsidRDefault="00B43592" w:rsidP="00C8003C">
            <w:pPr>
              <w:jc w:val="center"/>
            </w:pPr>
            <w:r>
              <w:rPr>
                <w:rFonts w:asciiTheme="majorHAnsi" w:hAnsiTheme="majorHAnsi" w:cstheme="majorHAnsi"/>
                <w:color w:val="000000"/>
                <w:szCs w:val="18"/>
              </w:rPr>
              <w:t>NA</w:t>
            </w:r>
          </w:p>
        </w:tc>
        <w:tc>
          <w:tcPr>
            <w:tcW w:w="788" w:type="pct"/>
            <w:gridSpan w:val="4"/>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0.01</w:t>
            </w:r>
          </w:p>
        </w:tc>
        <w:tc>
          <w:tcPr>
            <w:tcW w:w="589" w:type="pct"/>
            <w:gridSpan w:val="3"/>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9"/>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lastRenderedPageBreak/>
              <w:t>Long run elasticities</w:t>
            </w:r>
          </w:p>
        </w:tc>
      </w:tr>
      <w:tr w:rsidR="00B43592" w:rsidRPr="00980041" w:rsidTr="00C8003C">
        <w:trPr>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gva </w:t>
            </w:r>
            <w:r w:rsidRPr="0009719F">
              <w:rPr>
                <w:rFonts w:asciiTheme="majorHAnsi" w:hAnsiTheme="majorHAnsi" w:cstheme="majorHAnsi"/>
                <w:b/>
                <w:color w:val="000000"/>
                <w:szCs w:val="18"/>
                <w:vertAlign w:val="subscript"/>
              </w:rPr>
              <w:t>t-1</w:t>
            </w:r>
          </w:p>
        </w:tc>
        <w:tc>
          <w:tcPr>
            <w:tcW w:w="754"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552" w:type="pct"/>
            <w:gridSpan w:val="3"/>
          </w:tcPr>
          <w:p w:rsidR="00B43592" w:rsidRPr="0009719F" w:rsidRDefault="00B43592" w:rsidP="00C8003C">
            <w:pPr>
              <w:jc w:val="center"/>
              <w:rPr>
                <w:rFonts w:asciiTheme="majorHAnsi" w:hAnsiTheme="majorHAnsi" w:cstheme="majorHAnsi"/>
                <w:b/>
                <w:color w:val="000000"/>
                <w:szCs w:val="18"/>
              </w:rPr>
            </w:pPr>
          </w:p>
        </w:tc>
        <w:tc>
          <w:tcPr>
            <w:tcW w:w="74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524" w:type="pct"/>
            <w:gridSpan w:val="2"/>
          </w:tcPr>
          <w:p w:rsidR="00B43592" w:rsidRPr="0009719F" w:rsidRDefault="00B43592" w:rsidP="00C8003C">
            <w:pPr>
              <w:jc w:val="center"/>
              <w:rPr>
                <w:rFonts w:asciiTheme="majorHAnsi" w:hAnsiTheme="majorHAnsi" w:cstheme="majorHAnsi"/>
                <w:b/>
                <w:color w:val="000000"/>
                <w:szCs w:val="18"/>
              </w:rPr>
            </w:pPr>
          </w:p>
        </w:tc>
        <w:tc>
          <w:tcPr>
            <w:tcW w:w="823" w:type="pct"/>
            <w:gridSpan w:val="6"/>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1.00</w:t>
            </w:r>
          </w:p>
        </w:tc>
        <w:tc>
          <w:tcPr>
            <w:tcW w:w="597" w:type="pct"/>
            <w:gridSpan w:val="3"/>
          </w:tcPr>
          <w:p w:rsidR="00B43592" w:rsidRPr="0009719F" w:rsidRDefault="00B43592" w:rsidP="00C8003C">
            <w:pPr>
              <w:jc w:val="center"/>
              <w:rPr>
                <w:rFonts w:asciiTheme="majorHAnsi" w:hAnsiTheme="majorHAnsi" w:cstheme="majorHAnsi"/>
                <w:b/>
                <w:color w:val="000000"/>
                <w:szCs w:val="18"/>
              </w:rPr>
            </w:pP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01" w:type="pct"/>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 </w:t>
            </w:r>
            <w:r w:rsidRPr="0009719F">
              <w:rPr>
                <w:rFonts w:asciiTheme="majorHAnsi" w:hAnsiTheme="majorHAnsi" w:cstheme="majorHAnsi"/>
                <w:b/>
                <w:color w:val="000000"/>
                <w:szCs w:val="18"/>
                <w:vertAlign w:val="subscript"/>
              </w:rPr>
              <w:t>t-1</w:t>
            </w:r>
          </w:p>
        </w:tc>
        <w:tc>
          <w:tcPr>
            <w:tcW w:w="754"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-0.42</w:t>
            </w:r>
          </w:p>
        </w:tc>
        <w:tc>
          <w:tcPr>
            <w:tcW w:w="552" w:type="pct"/>
            <w:gridSpan w:val="3"/>
          </w:tcPr>
          <w:p w:rsidR="00B43592" w:rsidRPr="0009719F" w:rsidRDefault="00B43592" w:rsidP="00C8003C">
            <w:pPr>
              <w:jc w:val="center"/>
              <w:rPr>
                <w:rFonts w:asciiTheme="majorHAnsi" w:hAnsiTheme="majorHAnsi" w:cstheme="majorHAnsi"/>
                <w:b/>
                <w:color w:val="000000"/>
                <w:szCs w:val="18"/>
              </w:rPr>
            </w:pPr>
          </w:p>
        </w:tc>
        <w:tc>
          <w:tcPr>
            <w:tcW w:w="74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-0.47</w:t>
            </w:r>
          </w:p>
        </w:tc>
        <w:tc>
          <w:tcPr>
            <w:tcW w:w="524" w:type="pct"/>
            <w:gridSpan w:val="2"/>
          </w:tcPr>
          <w:p w:rsidR="00B43592" w:rsidRPr="0009719F" w:rsidRDefault="00B43592" w:rsidP="00C8003C">
            <w:pPr>
              <w:jc w:val="center"/>
              <w:rPr>
                <w:rFonts w:asciiTheme="majorHAnsi" w:hAnsiTheme="majorHAnsi" w:cstheme="majorHAnsi"/>
                <w:b/>
                <w:color w:val="000000"/>
                <w:szCs w:val="18"/>
              </w:rPr>
            </w:pPr>
          </w:p>
        </w:tc>
        <w:tc>
          <w:tcPr>
            <w:tcW w:w="823" w:type="pct"/>
            <w:gridSpan w:val="6"/>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-0.47</w:t>
            </w:r>
          </w:p>
        </w:tc>
        <w:tc>
          <w:tcPr>
            <w:tcW w:w="597" w:type="pct"/>
            <w:gridSpan w:val="3"/>
          </w:tcPr>
          <w:p w:rsidR="00B43592" w:rsidRPr="0009719F" w:rsidRDefault="00B43592" w:rsidP="00C8003C">
            <w:pPr>
              <w:jc w:val="center"/>
              <w:rPr>
                <w:rFonts w:asciiTheme="majorHAnsi" w:hAnsiTheme="majorHAnsi" w:cstheme="majorHAnsi"/>
                <w:b/>
                <w:color w:val="000000"/>
                <w:szCs w:val="18"/>
              </w:rPr>
            </w:pPr>
          </w:p>
        </w:tc>
      </w:tr>
      <w:tr w:rsidR="00B43592" w:rsidRPr="00980041" w:rsidTr="00C8003C">
        <w:trPr>
          <w:trHeight w:val="737"/>
        </w:trPr>
        <w:tc>
          <w:tcPr>
            <w:tcW w:w="1001" w:type="pct"/>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Weather </w:t>
            </w:r>
            <w:r w:rsidRPr="0009719F">
              <w:rPr>
                <w:rFonts w:asciiTheme="majorHAnsi" w:hAnsiTheme="majorHAnsi" w:cstheme="majorHAnsi"/>
                <w:b/>
                <w:color w:val="000000"/>
                <w:szCs w:val="18"/>
                <w:vertAlign w:val="subscript"/>
              </w:rPr>
              <w:t>t-1</w:t>
            </w:r>
          </w:p>
        </w:tc>
        <w:tc>
          <w:tcPr>
            <w:tcW w:w="754"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0.081</w:t>
            </w:r>
          </w:p>
        </w:tc>
        <w:tc>
          <w:tcPr>
            <w:tcW w:w="552" w:type="pct"/>
            <w:gridSpan w:val="3"/>
          </w:tcPr>
          <w:p w:rsidR="00B43592" w:rsidRPr="0009719F" w:rsidRDefault="00B43592" w:rsidP="00C8003C">
            <w:pPr>
              <w:jc w:val="center"/>
              <w:rPr>
                <w:rFonts w:asciiTheme="majorHAnsi" w:hAnsiTheme="majorHAnsi" w:cstheme="majorHAnsi"/>
                <w:b/>
                <w:color w:val="000000"/>
                <w:szCs w:val="18"/>
              </w:rPr>
            </w:pPr>
          </w:p>
        </w:tc>
        <w:tc>
          <w:tcPr>
            <w:tcW w:w="74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0.059</w:t>
            </w:r>
          </w:p>
        </w:tc>
        <w:tc>
          <w:tcPr>
            <w:tcW w:w="524" w:type="pct"/>
            <w:gridSpan w:val="2"/>
          </w:tcPr>
          <w:p w:rsidR="00B43592" w:rsidRPr="0009719F" w:rsidRDefault="00B43592" w:rsidP="00C8003C">
            <w:pPr>
              <w:jc w:val="center"/>
              <w:rPr>
                <w:rFonts w:asciiTheme="majorHAnsi" w:hAnsiTheme="majorHAnsi" w:cstheme="majorHAnsi"/>
                <w:b/>
                <w:color w:val="000000"/>
                <w:szCs w:val="18"/>
              </w:rPr>
            </w:pPr>
          </w:p>
        </w:tc>
        <w:tc>
          <w:tcPr>
            <w:tcW w:w="823" w:type="pct"/>
            <w:gridSpan w:val="6"/>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0.046</w:t>
            </w:r>
          </w:p>
        </w:tc>
        <w:tc>
          <w:tcPr>
            <w:tcW w:w="597" w:type="pct"/>
            <w:gridSpan w:val="3"/>
          </w:tcPr>
          <w:p w:rsidR="00B43592" w:rsidRPr="0009719F" w:rsidRDefault="00B43592" w:rsidP="00C8003C">
            <w:pPr>
              <w:jc w:val="center"/>
              <w:rPr>
                <w:rFonts w:asciiTheme="majorHAnsi" w:hAnsiTheme="majorHAnsi" w:cstheme="majorHAnsi"/>
                <w:b/>
                <w:color w:val="000000"/>
                <w:szCs w:val="18"/>
              </w:rPr>
            </w:pP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9"/>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t>Cointegration test</w:t>
            </w:r>
          </w:p>
        </w:tc>
      </w:tr>
      <w:tr w:rsidR="00B43592" w:rsidRPr="00980041" w:rsidTr="00C8003C">
        <w:trPr>
          <w:trHeight w:val="737"/>
        </w:trPr>
        <w:tc>
          <w:tcPr>
            <w:tcW w:w="1152" w:type="pct"/>
            <w:gridSpan w:val="2"/>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609"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statistic</w:t>
            </w:r>
          </w:p>
        </w:tc>
        <w:tc>
          <w:tcPr>
            <w:tcW w:w="546"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49"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p>
        </w:tc>
        <w:tc>
          <w:tcPr>
            <w:tcW w:w="524"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48" w:type="pct"/>
            <w:gridSpan w:val="4"/>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p>
        </w:tc>
        <w:tc>
          <w:tcPr>
            <w:tcW w:w="673" w:type="pct"/>
            <w:gridSpan w:val="5"/>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152" w:type="pct"/>
            <w:gridSpan w:val="2"/>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 xml:space="preserve">F stat </w:t>
            </w:r>
            <w:r>
              <w:rPr>
                <w:rStyle w:val="PlaceholderText"/>
                <w:rFonts w:asciiTheme="majorHAnsi" w:hAnsiTheme="majorHAnsi" w:cstheme="majorHAnsi"/>
                <w:b/>
                <w:szCs w:val="18"/>
              </w:rPr>
              <w:t>for Cointegration</w:t>
            </w:r>
          </w:p>
        </w:tc>
        <w:tc>
          <w:tcPr>
            <w:tcW w:w="60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37.94</w:t>
            </w:r>
          </w:p>
        </w:tc>
        <w:tc>
          <w:tcPr>
            <w:tcW w:w="546" w:type="pct"/>
            <w:gridSpan w:val="2"/>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c>
          <w:tcPr>
            <w:tcW w:w="749" w:type="pct"/>
            <w:gridSpan w:val="2"/>
          </w:tcPr>
          <w:p w:rsidR="00B43592" w:rsidRPr="0009719F" w:rsidRDefault="00B43592" w:rsidP="00C8003C">
            <w:pPr>
              <w:jc w:val="center"/>
              <w:rPr>
                <w:rFonts w:asciiTheme="majorHAnsi" w:hAnsiTheme="majorHAnsi" w:cstheme="majorHAnsi"/>
                <w:b/>
                <w:bCs/>
                <w:color w:val="000000"/>
                <w:szCs w:val="18"/>
              </w:rPr>
            </w:pPr>
            <w:r w:rsidRPr="0009719F">
              <w:rPr>
                <w:rFonts w:asciiTheme="majorHAnsi" w:hAnsiTheme="majorHAnsi" w:cstheme="majorHAnsi"/>
                <w:b/>
                <w:bCs/>
                <w:color w:val="000000"/>
                <w:szCs w:val="18"/>
              </w:rPr>
              <w:t>3.23*</w:t>
            </w:r>
          </w:p>
        </w:tc>
        <w:tc>
          <w:tcPr>
            <w:tcW w:w="524" w:type="pct"/>
            <w:gridSpan w:val="2"/>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c>
          <w:tcPr>
            <w:tcW w:w="748" w:type="pct"/>
            <w:gridSpan w:val="4"/>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6.28</w:t>
            </w:r>
          </w:p>
        </w:tc>
        <w:tc>
          <w:tcPr>
            <w:tcW w:w="673" w:type="pct"/>
            <w:gridSpan w:val="5"/>
          </w:tcPr>
          <w:p w:rsidR="00B43592" w:rsidRPr="0009719F" w:rsidRDefault="00B43592" w:rsidP="00C8003C">
            <w:pPr>
              <w:jc w:val="center"/>
              <w:rPr>
                <w:rFonts w:asciiTheme="majorHAnsi" w:hAnsiTheme="majorHAnsi" w:cstheme="majorHAnsi"/>
                <w:b/>
                <w:color w:val="000000"/>
                <w:szCs w:val="18"/>
              </w:rPr>
            </w:pPr>
            <w:r>
              <w:rPr>
                <w:rFonts w:asciiTheme="majorHAnsi" w:hAnsiTheme="majorHAnsi" w:cstheme="majorHAnsi"/>
                <w:b/>
                <w:color w:val="000000"/>
                <w:szCs w:val="18"/>
              </w:rPr>
              <w:t>[</w:t>
            </w:r>
            <w:r w:rsidRPr="0009719F">
              <w:rPr>
                <w:rFonts w:asciiTheme="majorHAnsi" w:hAnsiTheme="majorHAnsi" w:cstheme="majorHAnsi"/>
                <w:b/>
                <w:color w:val="000000"/>
                <w:szCs w:val="18"/>
              </w:rPr>
              <w:t>5.06</w:t>
            </w:r>
            <w:r>
              <w:rPr>
                <w:rFonts w:asciiTheme="majorHAnsi" w:hAnsiTheme="majorHAnsi" w:cstheme="majorHAnsi"/>
                <w:b/>
                <w:color w:val="000000"/>
                <w:szCs w:val="18"/>
              </w:rPr>
              <w:t>]</w:t>
            </w:r>
          </w:p>
        </w:tc>
      </w:tr>
      <w:tr w:rsidR="00B43592" w:rsidRPr="00980041" w:rsidTr="00C8003C">
        <w:trPr>
          <w:trHeight w:val="737"/>
        </w:trPr>
        <w:tc>
          <w:tcPr>
            <w:tcW w:w="5000" w:type="pct"/>
            <w:gridSpan w:val="19"/>
          </w:tcPr>
          <w:p w:rsidR="00B43592" w:rsidRPr="0009719F" w:rsidRDefault="00B43592" w:rsidP="00C8003C">
            <w:pPr>
              <w:keepNext/>
              <w:spacing w:line="200" w:lineRule="exact"/>
              <w:jc w:val="center"/>
              <w:rPr>
                <w:rFonts w:asciiTheme="majorHAnsi" w:hAnsiTheme="majorHAnsi" w:cstheme="majorHAnsi"/>
                <w:b/>
                <w:color w:val="000000"/>
                <w:szCs w:val="18"/>
              </w:rPr>
            </w:pPr>
            <w:r w:rsidRPr="0009719F">
              <w:rPr>
                <w:rStyle w:val="PlaceholderText"/>
                <w:rFonts w:asciiTheme="majorHAnsi" w:hAnsiTheme="majorHAnsi" w:cstheme="majorHAnsi"/>
                <w:b/>
                <w:szCs w:val="18"/>
              </w:rPr>
              <w:t>GVA long run coefficient test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152" w:type="pct"/>
            <w:gridSpan w:val="2"/>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609" w:type="pct"/>
            <w:gridSpan w:val="2"/>
          </w:tcPr>
          <w:p w:rsidR="00B43592" w:rsidRPr="0009719F" w:rsidRDefault="00B43592" w:rsidP="00C8003C">
            <w:pPr>
              <w:rPr>
                <w:rFonts w:asciiTheme="majorHAnsi" w:hAnsiTheme="majorHAnsi" w:cstheme="majorHAnsi"/>
                <w:color w:val="000000"/>
                <w:szCs w:val="18"/>
              </w:rPr>
            </w:pPr>
          </w:p>
        </w:tc>
        <w:tc>
          <w:tcPr>
            <w:tcW w:w="546"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49"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524"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48" w:type="pct"/>
            <w:gridSpan w:val="4"/>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673" w:type="pct"/>
            <w:gridSpan w:val="5"/>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r>
      <w:tr w:rsidR="00B43592" w:rsidRPr="00980041" w:rsidTr="00C8003C">
        <w:trPr>
          <w:trHeight w:val="737"/>
        </w:trPr>
        <w:tc>
          <w:tcPr>
            <w:tcW w:w="1152" w:type="pct"/>
            <w:gridSpan w:val="2"/>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 xml:space="preserve">Test of long run coefficient of GVA </w:t>
            </w:r>
          </w:p>
        </w:tc>
        <w:tc>
          <w:tcPr>
            <w:tcW w:w="609"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546"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0.85</w:t>
            </w:r>
          </w:p>
        </w:tc>
        <w:tc>
          <w:tcPr>
            <w:tcW w:w="749" w:type="pct"/>
            <w:gridSpan w:val="2"/>
          </w:tcPr>
          <w:p w:rsidR="00B43592" w:rsidRPr="0009719F" w:rsidRDefault="00B43592" w:rsidP="00C8003C">
            <w:pPr>
              <w:jc w:val="center"/>
              <w:rPr>
                <w:rFonts w:asciiTheme="majorHAnsi" w:hAnsiTheme="majorHAnsi" w:cstheme="majorHAnsi"/>
                <w:b/>
                <w:color w:val="000000"/>
                <w:szCs w:val="18"/>
              </w:rPr>
            </w:pPr>
          </w:p>
        </w:tc>
        <w:tc>
          <w:tcPr>
            <w:tcW w:w="524"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0.64</w:t>
            </w:r>
          </w:p>
        </w:tc>
        <w:tc>
          <w:tcPr>
            <w:tcW w:w="748" w:type="pct"/>
            <w:gridSpan w:val="4"/>
          </w:tcPr>
          <w:p w:rsidR="00B43592" w:rsidRPr="0009719F" w:rsidRDefault="00B43592" w:rsidP="00C8003C">
            <w:pPr>
              <w:jc w:val="center"/>
              <w:rPr>
                <w:rFonts w:asciiTheme="majorHAnsi" w:hAnsiTheme="majorHAnsi" w:cstheme="majorHAnsi"/>
                <w:b/>
                <w:color w:val="000000"/>
                <w:szCs w:val="18"/>
              </w:rPr>
            </w:pPr>
          </w:p>
        </w:tc>
        <w:tc>
          <w:tcPr>
            <w:tcW w:w="673" w:type="pct"/>
            <w:gridSpan w:val="5"/>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0.89</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9"/>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bCs/>
                <w:color w:val="000000"/>
                <w:szCs w:val="18"/>
              </w:rPr>
              <w:t>Diagnostic check</w:t>
            </w:r>
          </w:p>
        </w:tc>
      </w:tr>
      <w:tr w:rsidR="00B43592" w:rsidRPr="00980041" w:rsidTr="00C8003C">
        <w:trPr>
          <w:trHeight w:val="737"/>
        </w:trPr>
        <w:tc>
          <w:tcPr>
            <w:tcW w:w="1761" w:type="pct"/>
            <w:gridSpan w:val="4"/>
          </w:tcPr>
          <w:p w:rsidR="00B43592" w:rsidRPr="0009719F" w:rsidRDefault="00B43592" w:rsidP="00C8003C">
            <w:pPr>
              <w:rPr>
                <w:rFonts w:asciiTheme="majorHAnsi" w:hAnsiTheme="majorHAnsi" w:cstheme="majorHAnsi"/>
                <w:color w:val="000000"/>
                <w:szCs w:val="18"/>
              </w:rPr>
            </w:pPr>
            <w:r>
              <w:rPr>
                <w:rStyle w:val="PlaceholderText"/>
                <w:rFonts w:asciiTheme="majorHAnsi" w:hAnsiTheme="majorHAnsi" w:cstheme="majorHAnsi"/>
                <w:b/>
                <w:szCs w:val="18"/>
              </w:rPr>
              <w:t>Heterosk</w:t>
            </w:r>
            <w:r w:rsidRPr="0009719F">
              <w:rPr>
                <w:rStyle w:val="PlaceholderText"/>
                <w:rFonts w:asciiTheme="majorHAnsi" w:hAnsiTheme="majorHAnsi" w:cstheme="majorHAnsi"/>
                <w:b/>
                <w:szCs w:val="18"/>
              </w:rPr>
              <w:t>edasticity</w:t>
            </w:r>
          </w:p>
        </w:tc>
        <w:tc>
          <w:tcPr>
            <w:tcW w:w="54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0.91</w:t>
            </w:r>
          </w:p>
        </w:tc>
        <w:tc>
          <w:tcPr>
            <w:tcW w:w="753" w:type="pct"/>
            <w:gridSpan w:val="3"/>
          </w:tcPr>
          <w:p w:rsidR="00B43592" w:rsidRPr="0009719F" w:rsidRDefault="00B43592" w:rsidP="00C8003C">
            <w:pPr>
              <w:jc w:val="center"/>
              <w:rPr>
                <w:rFonts w:asciiTheme="majorHAnsi" w:hAnsiTheme="majorHAnsi" w:cstheme="majorHAnsi"/>
                <w:color w:val="000000"/>
                <w:szCs w:val="18"/>
              </w:rPr>
            </w:pPr>
          </w:p>
        </w:tc>
        <w:tc>
          <w:tcPr>
            <w:tcW w:w="524"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0.91</w:t>
            </w:r>
          </w:p>
        </w:tc>
        <w:tc>
          <w:tcPr>
            <w:tcW w:w="748" w:type="pct"/>
            <w:gridSpan w:val="4"/>
          </w:tcPr>
          <w:p w:rsidR="00B43592" w:rsidRPr="0009719F" w:rsidRDefault="00B43592" w:rsidP="00C8003C">
            <w:pPr>
              <w:jc w:val="center"/>
              <w:rPr>
                <w:rFonts w:asciiTheme="majorHAnsi" w:hAnsiTheme="majorHAnsi" w:cstheme="majorHAnsi"/>
                <w:color w:val="000000"/>
                <w:szCs w:val="18"/>
              </w:rPr>
            </w:pPr>
          </w:p>
        </w:tc>
        <w:tc>
          <w:tcPr>
            <w:tcW w:w="673" w:type="pct"/>
            <w:gridSpan w:val="5"/>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0.85</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761" w:type="pct"/>
            <w:gridSpan w:val="4"/>
          </w:tcPr>
          <w:p w:rsidR="00B43592" w:rsidRPr="0009719F" w:rsidRDefault="00B43592" w:rsidP="00C8003C">
            <w:pPr>
              <w:rPr>
                <w:rFonts w:asciiTheme="majorHAnsi" w:hAnsiTheme="majorHAnsi" w:cstheme="majorHAnsi"/>
                <w:color w:val="000000"/>
                <w:szCs w:val="18"/>
              </w:rPr>
            </w:pPr>
            <w:r w:rsidRPr="0009719F">
              <w:rPr>
                <w:rStyle w:val="PlaceholderText"/>
                <w:rFonts w:asciiTheme="majorHAnsi" w:hAnsiTheme="majorHAnsi" w:cstheme="majorHAnsi"/>
                <w:b/>
                <w:szCs w:val="18"/>
              </w:rPr>
              <w:t>Auto correlation</w:t>
            </w:r>
          </w:p>
        </w:tc>
        <w:tc>
          <w:tcPr>
            <w:tcW w:w="54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0.15</w:t>
            </w:r>
          </w:p>
        </w:tc>
        <w:tc>
          <w:tcPr>
            <w:tcW w:w="753" w:type="pct"/>
            <w:gridSpan w:val="3"/>
          </w:tcPr>
          <w:p w:rsidR="00B43592" w:rsidRPr="0009719F" w:rsidRDefault="00B43592" w:rsidP="00C8003C">
            <w:pPr>
              <w:jc w:val="center"/>
              <w:rPr>
                <w:rFonts w:asciiTheme="majorHAnsi" w:hAnsiTheme="majorHAnsi" w:cstheme="majorHAnsi"/>
                <w:color w:val="000000"/>
                <w:szCs w:val="18"/>
              </w:rPr>
            </w:pPr>
          </w:p>
        </w:tc>
        <w:tc>
          <w:tcPr>
            <w:tcW w:w="524"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0.13</w:t>
            </w:r>
          </w:p>
        </w:tc>
        <w:tc>
          <w:tcPr>
            <w:tcW w:w="748" w:type="pct"/>
            <w:gridSpan w:val="4"/>
          </w:tcPr>
          <w:p w:rsidR="00B43592" w:rsidRPr="0009719F" w:rsidRDefault="00B43592" w:rsidP="00C8003C">
            <w:pPr>
              <w:jc w:val="center"/>
              <w:rPr>
                <w:rFonts w:asciiTheme="majorHAnsi" w:hAnsiTheme="majorHAnsi" w:cstheme="majorHAnsi"/>
                <w:color w:val="000000"/>
                <w:szCs w:val="18"/>
              </w:rPr>
            </w:pPr>
          </w:p>
        </w:tc>
        <w:tc>
          <w:tcPr>
            <w:tcW w:w="673" w:type="pct"/>
            <w:gridSpan w:val="5"/>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0.01*</w:t>
            </w:r>
          </w:p>
        </w:tc>
      </w:tr>
      <w:tr w:rsidR="00B43592" w:rsidRPr="00980041" w:rsidTr="00C8003C">
        <w:trPr>
          <w:trHeight w:val="737"/>
        </w:trPr>
        <w:tc>
          <w:tcPr>
            <w:tcW w:w="1761" w:type="pct"/>
            <w:gridSpan w:val="4"/>
          </w:tcPr>
          <w:p w:rsidR="00B43592" w:rsidRPr="00871693" w:rsidRDefault="00B43592" w:rsidP="00C8003C">
            <w:pPr>
              <w:keepNext/>
              <w:spacing w:line="200" w:lineRule="exact"/>
              <w:rPr>
                <w:rFonts w:asciiTheme="majorHAnsi" w:hAnsiTheme="majorHAnsi" w:cstheme="majorHAnsi"/>
                <w:b/>
                <w:szCs w:val="18"/>
              </w:rPr>
            </w:pPr>
            <w:r w:rsidRPr="0009719F">
              <w:rPr>
                <w:rStyle w:val="PlaceholderText"/>
                <w:rFonts w:asciiTheme="majorHAnsi" w:hAnsiTheme="majorHAnsi" w:cstheme="majorHAnsi"/>
                <w:b/>
                <w:szCs w:val="18"/>
              </w:rPr>
              <w:t>Ramsey RESET test</w:t>
            </w:r>
            <w:r w:rsidRPr="0009719F">
              <w:rPr>
                <w:rFonts w:asciiTheme="majorHAnsi" w:hAnsiTheme="majorHAnsi" w:cstheme="majorHAnsi"/>
                <w:color w:val="000000"/>
                <w:szCs w:val="18"/>
              </w:rPr>
              <w:t> </w:t>
            </w:r>
          </w:p>
        </w:tc>
        <w:tc>
          <w:tcPr>
            <w:tcW w:w="54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0.54</w:t>
            </w:r>
          </w:p>
        </w:tc>
        <w:tc>
          <w:tcPr>
            <w:tcW w:w="753" w:type="pct"/>
            <w:gridSpan w:val="3"/>
          </w:tcPr>
          <w:p w:rsidR="00B43592" w:rsidRPr="0009719F" w:rsidRDefault="00B43592" w:rsidP="00C8003C">
            <w:pPr>
              <w:jc w:val="center"/>
              <w:rPr>
                <w:rFonts w:asciiTheme="majorHAnsi" w:hAnsiTheme="majorHAnsi" w:cstheme="majorHAnsi"/>
                <w:color w:val="000000"/>
                <w:szCs w:val="18"/>
              </w:rPr>
            </w:pPr>
          </w:p>
        </w:tc>
        <w:tc>
          <w:tcPr>
            <w:tcW w:w="524"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0.21</w:t>
            </w:r>
          </w:p>
        </w:tc>
        <w:tc>
          <w:tcPr>
            <w:tcW w:w="748" w:type="pct"/>
            <w:gridSpan w:val="4"/>
          </w:tcPr>
          <w:p w:rsidR="00B43592" w:rsidRPr="0009719F" w:rsidRDefault="00B43592" w:rsidP="00C8003C">
            <w:pPr>
              <w:jc w:val="center"/>
              <w:rPr>
                <w:rFonts w:asciiTheme="majorHAnsi" w:hAnsiTheme="majorHAnsi" w:cstheme="majorHAnsi"/>
                <w:color w:val="000000"/>
                <w:szCs w:val="18"/>
              </w:rPr>
            </w:pPr>
          </w:p>
        </w:tc>
        <w:tc>
          <w:tcPr>
            <w:tcW w:w="673" w:type="pct"/>
            <w:gridSpan w:val="5"/>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0.61</w:t>
            </w:r>
          </w:p>
        </w:tc>
      </w:tr>
    </w:tbl>
    <w:p w:rsidR="00B43592" w:rsidRDefault="00B43592" w:rsidP="00B43592">
      <w:pPr>
        <w:pStyle w:val="Note"/>
      </w:pPr>
      <w:r>
        <w:t>Note:</w:t>
      </w:r>
      <w:r>
        <w:tab/>
        <w:t>Estimates of ECM models and their p values. All of Australia model is presented for comparison. Bounds testing indicates there is evidence of cointegration at 10 per cent level. Restricting long run coefficient of GVA to 1 is supported by data. * indicates test statistic reject null hypothesis at 10 per cent level.</w:t>
      </w:r>
      <w:r w:rsidRPr="005F06A7">
        <w:t xml:space="preserve"> </w:t>
      </w:r>
      <w:r>
        <w:t xml:space="preserve">Bound  value </w:t>
      </w:r>
      <w:r w:rsidRPr="000E5B41">
        <w:t xml:space="preserve">from </w:t>
      </w:r>
      <w:r w:rsidR="005A66AE" w:rsidRPr="000E5B41">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Shin, &amp; Smith (2001)", "previouslyFormattedCitation" : "(Pesaran et al., 2001)" }, "properties" : { "noteIndex" : 0 }, "schema" : "https://github.com/citation-style-language/schema/raw/master/csl-citation.json" }</w:instrText>
      </w:r>
      <w:r w:rsidR="005A66AE" w:rsidRPr="000E5B41">
        <w:fldChar w:fldCharType="separate"/>
      </w:r>
      <w:r w:rsidRPr="00CC2DE1">
        <w:rPr>
          <w:noProof/>
        </w:rPr>
        <w:t xml:space="preserve">Pesaran, Shin, &amp; Smith </w:t>
      </w:r>
      <w:r>
        <w:rPr>
          <w:noProof/>
        </w:rPr>
        <w:t>(</w:t>
      </w:r>
      <w:r w:rsidRPr="00CC2DE1">
        <w:rPr>
          <w:noProof/>
        </w:rPr>
        <w:t>2001)</w:t>
      </w:r>
      <w:r w:rsidR="005A66AE" w:rsidRPr="000E5B41">
        <w:fldChar w:fldCharType="end"/>
      </w:r>
      <w:r>
        <w:t>.</w:t>
      </w:r>
      <w:r w:rsidRPr="00871693">
        <w:t xml:space="preserve"> </w:t>
      </w:r>
      <w:r>
        <w:t>The null hypothesis of the long run GVA coefficient test is that it is equal to zero. The Null of the heteroskedasticity and  autocorrelation are the residuals are not heteroskedastic and not auto correlated.  Ramsey RESET test assumes no miss-specification under the null.</w:t>
      </w:r>
    </w:p>
    <w:p w:rsidR="00B43592" w:rsidRDefault="00B43592" w:rsidP="00B43592">
      <w:pPr>
        <w:pStyle w:val="Source"/>
      </w:pPr>
      <w:r w:rsidRPr="00EF51BF">
        <w:t>Source:</w:t>
      </w:r>
      <w:r>
        <w:tab/>
        <w:t>Vivid Economics</w:t>
      </w:r>
    </w:p>
    <w:p w:rsidR="00B43592" w:rsidRPr="00EF51BF" w:rsidRDefault="00B43592" w:rsidP="00B43592"/>
    <w:p w:rsidR="00B43592" w:rsidRPr="00DE4EAF" w:rsidRDefault="00B43592" w:rsidP="00B43592">
      <w:pPr>
        <w:pStyle w:val="Tabletitle"/>
      </w:pPr>
      <w:bookmarkStart w:id="349" w:name="_Toc369890538"/>
      <w:r>
        <w:t>Residential equations show consistent long run estimates of price and GVA elasticities</w:t>
      </w:r>
      <w:bookmarkEnd w:id="349"/>
      <w:r>
        <w:t xml:space="preserve"> </w:t>
      </w:r>
    </w:p>
    <w:tbl>
      <w:tblPr>
        <w:tblStyle w:val="Vividtable"/>
        <w:tblW w:w="9180" w:type="dxa"/>
        <w:tblLook w:val="04A0" w:firstRow="1" w:lastRow="0" w:firstColumn="1" w:lastColumn="0" w:noHBand="0" w:noVBand="1"/>
      </w:tblPr>
      <w:tblGrid>
        <w:gridCol w:w="1900"/>
        <w:gridCol w:w="6"/>
        <w:gridCol w:w="1417"/>
        <w:gridCol w:w="50"/>
        <w:gridCol w:w="99"/>
        <w:gridCol w:w="828"/>
        <w:gridCol w:w="83"/>
        <w:gridCol w:w="1364"/>
        <w:gridCol w:w="979"/>
        <w:gridCol w:w="22"/>
        <w:gridCol w:w="1395"/>
        <w:gridCol w:w="33"/>
        <w:gridCol w:w="1004"/>
      </w:tblGrid>
      <w:tr w:rsidR="00B43592" w:rsidRPr="00980041" w:rsidTr="00C8003C">
        <w:trPr>
          <w:cnfStyle w:val="100000000000" w:firstRow="1" w:lastRow="0" w:firstColumn="0" w:lastColumn="0" w:oddVBand="0" w:evenVBand="0" w:oddHBand="0" w:evenHBand="0" w:firstRowFirstColumn="0" w:firstRowLastColumn="0" w:lastRowFirstColumn="0" w:lastRowLastColumn="0"/>
          <w:trHeight w:val="340"/>
        </w:trPr>
        <w:tc>
          <w:tcPr>
            <w:tcW w:w="1038" w:type="pct"/>
            <w:gridSpan w:val="2"/>
          </w:tcPr>
          <w:p w:rsidR="00B43592" w:rsidRPr="0009719F" w:rsidRDefault="00B43592" w:rsidP="00C8003C">
            <w:pPr>
              <w:keepNext/>
              <w:rPr>
                <w:rStyle w:val="PlaceholderText"/>
                <w:rFonts w:asciiTheme="majorHAnsi" w:hAnsiTheme="majorHAnsi" w:cstheme="majorHAnsi"/>
                <w:b w:val="0"/>
                <w:szCs w:val="18"/>
              </w:rPr>
            </w:pPr>
          </w:p>
        </w:tc>
        <w:tc>
          <w:tcPr>
            <w:tcW w:w="1349" w:type="pct"/>
            <w:gridSpan w:val="5"/>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 xml:space="preserve">NEM </w:t>
            </w:r>
          </w:p>
        </w:tc>
        <w:tc>
          <w:tcPr>
            <w:tcW w:w="1288" w:type="pct"/>
            <w:gridSpan w:val="3"/>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NEM</w:t>
            </w:r>
          </w:p>
        </w:tc>
        <w:tc>
          <w:tcPr>
            <w:tcW w:w="1325" w:type="pct"/>
            <w:gridSpan w:val="3"/>
          </w:tcPr>
          <w:p w:rsidR="00B43592" w:rsidRPr="0009719F" w:rsidRDefault="00B43592" w:rsidP="00C8003C">
            <w:pPr>
              <w:jc w:val="center"/>
              <w:rPr>
                <w:rFonts w:asciiTheme="majorHAnsi" w:hAnsiTheme="majorHAnsi" w:cstheme="majorHAnsi"/>
                <w:color w:val="000000"/>
              </w:rPr>
            </w:pPr>
            <w:r w:rsidRPr="0009719F">
              <w:rPr>
                <w:rFonts w:asciiTheme="majorHAnsi" w:hAnsiTheme="majorHAnsi" w:cstheme="majorHAnsi"/>
                <w:color w:val="000000"/>
              </w:rPr>
              <w:t>Australia</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340"/>
        </w:trPr>
        <w:tc>
          <w:tcPr>
            <w:tcW w:w="1038" w:type="pct"/>
            <w:gridSpan w:val="2"/>
          </w:tcPr>
          <w:p w:rsidR="00B43592" w:rsidRPr="0009719F" w:rsidRDefault="00B43592" w:rsidP="00C8003C">
            <w:pPr>
              <w:keepNext/>
              <w:rPr>
                <w:rStyle w:val="PlaceholderText"/>
                <w:rFonts w:asciiTheme="majorHAnsi" w:hAnsiTheme="majorHAnsi" w:cstheme="majorHAnsi"/>
                <w:b/>
                <w:szCs w:val="18"/>
              </w:rPr>
            </w:pPr>
          </w:p>
        </w:tc>
        <w:tc>
          <w:tcPr>
            <w:tcW w:w="1349" w:type="pct"/>
            <w:gridSpan w:val="5"/>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2007</w:t>
            </w:r>
          </w:p>
        </w:tc>
        <w:tc>
          <w:tcPr>
            <w:tcW w:w="1288"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1991-92 to </w:t>
            </w:r>
            <w:r w:rsidR="006C667D">
              <w:rPr>
                <w:rFonts w:asciiTheme="majorHAnsi" w:hAnsiTheme="majorHAnsi" w:cstheme="majorHAnsi"/>
                <w:b/>
                <w:color w:val="000000"/>
              </w:rPr>
              <w:t>2012</w:t>
            </w:r>
          </w:p>
        </w:tc>
        <w:tc>
          <w:tcPr>
            <w:tcW w:w="1325" w:type="pct"/>
            <w:gridSpan w:val="3"/>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 xml:space="preserve">1976-77 to </w:t>
            </w:r>
            <w:r w:rsidR="006C667D">
              <w:rPr>
                <w:rFonts w:asciiTheme="majorHAnsi" w:hAnsiTheme="majorHAnsi" w:cstheme="majorHAnsi"/>
                <w:b/>
                <w:color w:val="000000"/>
              </w:rPr>
              <w:t>2012</w:t>
            </w:r>
          </w:p>
        </w:tc>
      </w:tr>
      <w:tr w:rsidR="00B43592" w:rsidRPr="00980041" w:rsidTr="00C8003C">
        <w:trPr>
          <w:trHeight w:val="737"/>
        </w:trPr>
        <w:tc>
          <w:tcPr>
            <w:tcW w:w="1038" w:type="pct"/>
            <w:gridSpan w:val="2"/>
          </w:tcPr>
          <w:p w:rsidR="00B43592" w:rsidRPr="0009719F" w:rsidRDefault="00B43592" w:rsidP="00C8003C">
            <w:pPr>
              <w:keepNext/>
              <w:spacing w:line="200" w:lineRule="exact"/>
              <w:jc w:val="center"/>
              <w:rPr>
                <w:rStyle w:val="PlaceholderText"/>
                <w:rFonts w:asciiTheme="majorHAnsi" w:hAnsiTheme="majorHAnsi" w:cstheme="majorHAnsi"/>
                <w:b/>
              </w:rPr>
            </w:pPr>
            <w:r w:rsidRPr="0009719F">
              <w:rPr>
                <w:rStyle w:val="PlaceholderText"/>
                <w:rFonts w:asciiTheme="majorHAnsi" w:hAnsiTheme="majorHAnsi" w:cstheme="majorHAnsi"/>
                <w:b/>
              </w:rPr>
              <w:t>Residential</w:t>
            </w:r>
          </w:p>
          <w:p w:rsidR="00B43592" w:rsidRPr="0009719F" w:rsidRDefault="00B43592" w:rsidP="00C8003C">
            <w:pPr>
              <w:keepNext/>
              <w:spacing w:line="200" w:lineRule="exact"/>
              <w:jc w:val="center"/>
              <w:rPr>
                <w:rStyle w:val="PlaceholderText"/>
                <w:rFonts w:asciiTheme="majorHAnsi" w:hAnsiTheme="majorHAnsi" w:cstheme="majorHAnsi"/>
                <w:szCs w:val="18"/>
              </w:rPr>
            </w:pPr>
            <w:r w:rsidRPr="0009719F">
              <w:rPr>
                <w:rStyle w:val="PlaceholderText"/>
                <w:rFonts w:asciiTheme="majorHAnsi" w:hAnsiTheme="majorHAnsi" w:cstheme="majorHAnsi"/>
                <w:b/>
              </w:rPr>
              <w:t>Equations</w:t>
            </w:r>
          </w:p>
        </w:tc>
        <w:tc>
          <w:tcPr>
            <w:tcW w:w="772" w:type="pct"/>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77" w:type="pct"/>
            <w:gridSpan w:val="4"/>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743" w:type="pct"/>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45"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c>
          <w:tcPr>
            <w:tcW w:w="778" w:type="pct"/>
            <w:gridSpan w:val="2"/>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Coefficient</w:t>
            </w:r>
          </w:p>
        </w:tc>
        <w:tc>
          <w:tcPr>
            <w:tcW w:w="547" w:type="pct"/>
          </w:tcPr>
          <w:p w:rsidR="00B43592" w:rsidRPr="0009719F" w:rsidRDefault="00B43592" w:rsidP="00C8003C">
            <w:pPr>
              <w:jc w:val="center"/>
              <w:rPr>
                <w:rFonts w:asciiTheme="majorHAnsi" w:hAnsiTheme="majorHAnsi" w:cstheme="majorHAnsi"/>
                <w:b/>
                <w:color w:val="000000"/>
              </w:rPr>
            </w:pPr>
            <w:r w:rsidRPr="0009719F">
              <w:rPr>
                <w:rFonts w:asciiTheme="majorHAnsi" w:hAnsiTheme="majorHAnsi" w:cstheme="majorHAnsi"/>
                <w:b/>
                <w:color w:val="000000"/>
              </w:rPr>
              <w:t>p value</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Pr>
                <w:rFonts w:asciiTheme="majorHAnsi" w:hAnsiTheme="majorHAnsi" w:cstheme="majorHAnsi"/>
                <w:b/>
                <w:color w:val="000000"/>
                <w:szCs w:val="18"/>
              </w:rPr>
              <w:t>Constant</w:t>
            </w:r>
          </w:p>
        </w:tc>
        <w:tc>
          <w:tcPr>
            <w:tcW w:w="77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1.06</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43"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0.97</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1.20</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electricity consumption </w:t>
            </w:r>
            <w:r w:rsidRPr="0009719F">
              <w:rPr>
                <w:rFonts w:asciiTheme="majorHAnsi" w:hAnsiTheme="majorHAnsi" w:cstheme="majorHAnsi"/>
                <w:b/>
                <w:color w:val="000000"/>
                <w:szCs w:val="18"/>
                <w:vertAlign w:val="subscript"/>
              </w:rPr>
              <w:t>t-1</w:t>
            </w:r>
          </w:p>
        </w:tc>
        <w:tc>
          <w:tcPr>
            <w:tcW w:w="77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-0.70</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43"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-0.64</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-0.85</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8" w:type="pct"/>
            <w:gridSpan w:val="2"/>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income </w:t>
            </w:r>
            <w:r w:rsidRPr="0009719F">
              <w:rPr>
                <w:rFonts w:asciiTheme="majorHAnsi" w:hAnsiTheme="majorHAnsi" w:cstheme="majorHAnsi"/>
                <w:b/>
                <w:color w:val="000000"/>
                <w:szCs w:val="18"/>
                <w:vertAlign w:val="subscript"/>
              </w:rPr>
              <w:t>t-t</w:t>
            </w:r>
          </w:p>
        </w:tc>
        <w:tc>
          <w:tcPr>
            <w:tcW w:w="77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0.48</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43"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0.44</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0.01</w:t>
            </w:r>
            <w:r>
              <w:rPr>
                <w:rFonts w:asciiTheme="majorHAnsi" w:hAnsiTheme="majorHAnsi" w:cstheme="majorHAnsi"/>
                <w:color w:val="000000"/>
                <w:szCs w:val="18"/>
              </w:rPr>
              <w:t>)</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0.58</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price </w:t>
            </w:r>
            <w:r w:rsidRPr="0009719F">
              <w:rPr>
                <w:rFonts w:asciiTheme="majorHAnsi" w:hAnsiTheme="majorHAnsi" w:cstheme="majorHAnsi"/>
                <w:b/>
                <w:color w:val="000000"/>
                <w:szCs w:val="18"/>
                <w:vertAlign w:val="subscript"/>
              </w:rPr>
              <w:t>t-1</w:t>
            </w:r>
          </w:p>
        </w:tc>
        <w:tc>
          <w:tcPr>
            <w:tcW w:w="77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-0.10</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0.36</w:t>
            </w:r>
            <w:r>
              <w:rPr>
                <w:rFonts w:asciiTheme="majorHAnsi" w:hAnsiTheme="majorHAnsi" w:cstheme="majorHAnsi"/>
                <w:color w:val="000000"/>
                <w:szCs w:val="18"/>
              </w:rPr>
              <w:t>)</w:t>
            </w:r>
          </w:p>
        </w:tc>
        <w:tc>
          <w:tcPr>
            <w:tcW w:w="743"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-0.04</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0.32</w:t>
            </w:r>
            <w:r>
              <w:rPr>
                <w:rFonts w:asciiTheme="majorHAnsi" w:hAnsiTheme="majorHAnsi" w:cstheme="majorHAnsi"/>
                <w:color w:val="000000"/>
                <w:szCs w:val="18"/>
              </w:rPr>
              <w:t>)</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-0.05</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0.03</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Δ electricity consumption </w:t>
            </w:r>
            <w:r w:rsidRPr="0009719F">
              <w:rPr>
                <w:rFonts w:asciiTheme="majorHAnsi" w:hAnsiTheme="majorHAnsi" w:cstheme="majorHAnsi"/>
                <w:b/>
                <w:color w:val="000000"/>
                <w:szCs w:val="18"/>
                <w:vertAlign w:val="subscript"/>
              </w:rPr>
              <w:t>t</w:t>
            </w:r>
          </w:p>
        </w:tc>
        <w:tc>
          <w:tcPr>
            <w:tcW w:w="772"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-0.19</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0.18</w:t>
            </w:r>
            <w:r>
              <w:rPr>
                <w:rFonts w:asciiTheme="majorHAnsi" w:hAnsiTheme="majorHAnsi" w:cstheme="majorHAnsi"/>
                <w:color w:val="000000"/>
                <w:szCs w:val="18"/>
              </w:rPr>
              <w:t>)</w:t>
            </w:r>
          </w:p>
        </w:tc>
        <w:tc>
          <w:tcPr>
            <w:tcW w:w="743"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-0.05</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0.50</w:t>
            </w:r>
            <w:r>
              <w:rPr>
                <w:rFonts w:asciiTheme="majorHAnsi" w:hAnsiTheme="majorHAnsi" w:cstheme="majorHAnsi"/>
                <w:color w:val="000000"/>
                <w:szCs w:val="18"/>
              </w:rPr>
              <w:t>)</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-0.08</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0.05</w:t>
            </w:r>
            <w:r>
              <w:rPr>
                <w:rFonts w:asciiTheme="majorHAnsi" w:hAnsiTheme="majorHAnsi" w:cstheme="majorHAnsi"/>
                <w:color w:val="000000"/>
                <w:szCs w:val="18"/>
              </w:rPr>
              <w:t>)</w:t>
            </w:r>
          </w:p>
        </w:tc>
      </w:tr>
      <w:tr w:rsidR="00B43592" w:rsidRPr="00980041" w:rsidTr="00C8003C">
        <w:trPr>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83</w:t>
            </w:r>
          </w:p>
        </w:tc>
        <w:tc>
          <w:tcPr>
            <w:tcW w:w="772"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43"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0.17</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vertAlign w:val="subscript"/>
              </w:rPr>
            </w:pPr>
            <w:r w:rsidRPr="0009719F">
              <w:rPr>
                <w:rFonts w:asciiTheme="majorHAnsi" w:hAnsiTheme="majorHAnsi" w:cstheme="majorHAnsi"/>
                <w:b/>
                <w:color w:val="000000"/>
                <w:szCs w:val="18"/>
              </w:rPr>
              <w:t xml:space="preserve">Level Dummy </w:t>
            </w:r>
            <w:r w:rsidRPr="0009719F">
              <w:rPr>
                <w:rFonts w:asciiTheme="majorHAnsi" w:hAnsiTheme="majorHAnsi" w:cstheme="majorHAnsi"/>
                <w:b/>
                <w:color w:val="000000"/>
                <w:szCs w:val="18"/>
                <w:vertAlign w:val="subscript"/>
              </w:rPr>
              <w:t xml:space="preserve">83 </w:t>
            </w:r>
            <w:r w:rsidRPr="0009719F">
              <w:rPr>
                <w:rFonts w:asciiTheme="majorHAnsi" w:hAnsiTheme="majorHAnsi" w:cstheme="majorHAnsi"/>
                <w:b/>
                <w:color w:val="000000"/>
                <w:szCs w:val="18"/>
              </w:rPr>
              <w:t xml:space="preserve">* time trend </w:t>
            </w:r>
          </w:p>
        </w:tc>
        <w:tc>
          <w:tcPr>
            <w:tcW w:w="772"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77" w:type="pct"/>
            <w:gridSpan w:val="4"/>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43"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545" w:type="pct"/>
            <w:gridSpan w:val="2"/>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NA</w:t>
            </w:r>
          </w:p>
        </w:tc>
        <w:tc>
          <w:tcPr>
            <w:tcW w:w="778"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0.03</w:t>
            </w:r>
          </w:p>
        </w:tc>
        <w:tc>
          <w:tcPr>
            <w:tcW w:w="547" w:type="pct"/>
          </w:tcPr>
          <w:p w:rsidR="00B43592" w:rsidRPr="0009719F"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09719F">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trHeight w:val="737"/>
        </w:trPr>
        <w:tc>
          <w:tcPr>
            <w:tcW w:w="1038" w:type="pct"/>
            <w:gridSpan w:val="2"/>
          </w:tcPr>
          <w:p w:rsidR="00B43592" w:rsidRPr="0009719F" w:rsidRDefault="00B43592" w:rsidP="00C8003C">
            <w:pPr>
              <w:rPr>
                <w:rFonts w:asciiTheme="majorHAnsi" w:hAnsiTheme="majorHAnsi" w:cstheme="majorHAnsi"/>
                <w:b/>
                <w:color w:val="000000"/>
                <w:szCs w:val="18"/>
              </w:rPr>
            </w:pPr>
            <w:r w:rsidRPr="0009719F">
              <w:rPr>
                <w:rFonts w:asciiTheme="majorHAnsi" w:hAnsiTheme="majorHAnsi" w:cstheme="majorHAnsi"/>
                <w:b/>
                <w:color w:val="000000"/>
                <w:szCs w:val="18"/>
              </w:rPr>
              <w:t xml:space="preserve">Impulse Dummy </w:t>
            </w:r>
            <w:r w:rsidRPr="0009719F">
              <w:rPr>
                <w:rFonts w:asciiTheme="majorHAnsi" w:hAnsiTheme="majorHAnsi" w:cstheme="majorHAnsi"/>
                <w:b/>
                <w:color w:val="000000"/>
                <w:szCs w:val="18"/>
                <w:vertAlign w:val="subscript"/>
              </w:rPr>
              <w:t>304</w:t>
            </w:r>
          </w:p>
        </w:tc>
        <w:tc>
          <w:tcPr>
            <w:tcW w:w="772" w:type="pct"/>
          </w:tcPr>
          <w:p w:rsidR="00B43592" w:rsidRPr="005F06A7" w:rsidRDefault="00B43592" w:rsidP="00C8003C">
            <w:pPr>
              <w:jc w:val="center"/>
              <w:rPr>
                <w:rFonts w:asciiTheme="majorHAnsi" w:hAnsiTheme="majorHAnsi" w:cstheme="majorHAnsi"/>
                <w:color w:val="000000"/>
                <w:szCs w:val="18"/>
              </w:rPr>
            </w:pPr>
            <w:r w:rsidRPr="005F06A7">
              <w:rPr>
                <w:rFonts w:asciiTheme="majorHAnsi" w:hAnsiTheme="majorHAnsi" w:cstheme="majorHAnsi"/>
                <w:color w:val="000000"/>
                <w:szCs w:val="18"/>
              </w:rPr>
              <w:t>0.04</w:t>
            </w:r>
          </w:p>
        </w:tc>
        <w:tc>
          <w:tcPr>
            <w:tcW w:w="577" w:type="pct"/>
            <w:gridSpan w:val="4"/>
          </w:tcPr>
          <w:p w:rsidR="00B43592" w:rsidRPr="005F06A7"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5F06A7">
              <w:rPr>
                <w:rFonts w:asciiTheme="majorHAnsi" w:hAnsiTheme="majorHAnsi" w:cstheme="majorHAnsi"/>
                <w:color w:val="000000"/>
                <w:szCs w:val="18"/>
              </w:rPr>
              <w:t>0.00</w:t>
            </w:r>
            <w:r>
              <w:rPr>
                <w:rFonts w:asciiTheme="majorHAnsi" w:hAnsiTheme="majorHAnsi" w:cstheme="majorHAnsi"/>
                <w:color w:val="000000"/>
                <w:szCs w:val="18"/>
              </w:rPr>
              <w:t>)</w:t>
            </w:r>
          </w:p>
        </w:tc>
        <w:tc>
          <w:tcPr>
            <w:tcW w:w="743" w:type="pct"/>
          </w:tcPr>
          <w:p w:rsidR="00B43592" w:rsidRPr="005F06A7" w:rsidRDefault="00B43592" w:rsidP="00C8003C">
            <w:pPr>
              <w:jc w:val="center"/>
              <w:rPr>
                <w:rFonts w:asciiTheme="majorHAnsi" w:hAnsiTheme="majorHAnsi" w:cstheme="majorHAnsi"/>
                <w:color w:val="000000"/>
                <w:szCs w:val="18"/>
              </w:rPr>
            </w:pPr>
            <w:r w:rsidRPr="005F06A7">
              <w:rPr>
                <w:rFonts w:asciiTheme="majorHAnsi" w:hAnsiTheme="majorHAnsi" w:cstheme="majorHAnsi"/>
                <w:color w:val="000000"/>
                <w:szCs w:val="18"/>
              </w:rPr>
              <w:t>0.04</w:t>
            </w:r>
          </w:p>
        </w:tc>
        <w:tc>
          <w:tcPr>
            <w:tcW w:w="545" w:type="pct"/>
            <w:gridSpan w:val="2"/>
          </w:tcPr>
          <w:p w:rsidR="00B43592" w:rsidRPr="005F06A7"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5F06A7">
              <w:rPr>
                <w:rFonts w:asciiTheme="majorHAnsi" w:hAnsiTheme="majorHAnsi" w:cstheme="majorHAnsi"/>
                <w:color w:val="000000"/>
                <w:szCs w:val="18"/>
              </w:rPr>
              <w:t>0.00</w:t>
            </w:r>
            <w:r>
              <w:rPr>
                <w:rFonts w:asciiTheme="majorHAnsi" w:hAnsiTheme="majorHAnsi" w:cstheme="majorHAnsi"/>
                <w:color w:val="000000"/>
                <w:szCs w:val="18"/>
              </w:rPr>
              <w:t>)</w:t>
            </w:r>
          </w:p>
        </w:tc>
        <w:tc>
          <w:tcPr>
            <w:tcW w:w="778" w:type="pct"/>
            <w:gridSpan w:val="2"/>
          </w:tcPr>
          <w:p w:rsidR="00B43592" w:rsidRPr="005F06A7" w:rsidRDefault="00B43592" w:rsidP="00C8003C">
            <w:pPr>
              <w:jc w:val="center"/>
              <w:rPr>
                <w:rFonts w:asciiTheme="majorHAnsi" w:hAnsiTheme="majorHAnsi" w:cstheme="majorHAnsi"/>
                <w:color w:val="000000"/>
                <w:szCs w:val="18"/>
              </w:rPr>
            </w:pPr>
            <w:r w:rsidRPr="005F06A7">
              <w:rPr>
                <w:rFonts w:asciiTheme="majorHAnsi" w:hAnsiTheme="majorHAnsi" w:cstheme="majorHAnsi"/>
                <w:color w:val="000000"/>
                <w:szCs w:val="18"/>
              </w:rPr>
              <w:t>0.04</w:t>
            </w:r>
          </w:p>
        </w:tc>
        <w:tc>
          <w:tcPr>
            <w:tcW w:w="547" w:type="pct"/>
          </w:tcPr>
          <w:p w:rsidR="00B43592" w:rsidRPr="005F06A7" w:rsidRDefault="00B43592" w:rsidP="00C8003C">
            <w:pPr>
              <w:jc w:val="center"/>
              <w:rPr>
                <w:rFonts w:asciiTheme="majorHAnsi" w:hAnsiTheme="majorHAnsi" w:cstheme="majorHAnsi"/>
                <w:color w:val="000000"/>
                <w:szCs w:val="18"/>
              </w:rPr>
            </w:pPr>
            <w:r>
              <w:rPr>
                <w:rFonts w:asciiTheme="majorHAnsi" w:hAnsiTheme="majorHAnsi" w:cstheme="majorHAnsi"/>
                <w:color w:val="000000"/>
                <w:szCs w:val="18"/>
              </w:rPr>
              <w:t>(</w:t>
            </w:r>
            <w:r w:rsidRPr="005F06A7">
              <w:rPr>
                <w:rFonts w:asciiTheme="majorHAnsi" w:hAnsiTheme="majorHAnsi" w:cstheme="majorHAnsi"/>
                <w:color w:val="000000"/>
                <w:szCs w:val="18"/>
              </w:rPr>
              <w:t>0.00</w:t>
            </w:r>
            <w:r>
              <w:rPr>
                <w:rFonts w:asciiTheme="majorHAnsi" w:hAnsiTheme="majorHAnsi" w:cstheme="majorHAnsi"/>
                <w:color w:val="000000"/>
                <w:szCs w:val="18"/>
              </w:rPr>
              <w: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3"/>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t>Long run elasticities</w:t>
            </w:r>
          </w:p>
        </w:tc>
      </w:tr>
      <w:tr w:rsidR="00B43592" w:rsidRPr="00980041" w:rsidTr="00C8003C">
        <w:trPr>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income </w:t>
            </w:r>
            <w:r w:rsidRPr="0009719F">
              <w:rPr>
                <w:rFonts w:asciiTheme="majorHAnsi" w:hAnsiTheme="majorHAnsi" w:cstheme="majorHAnsi"/>
                <w:b/>
                <w:color w:val="000000"/>
                <w:szCs w:val="18"/>
                <w:vertAlign w:val="subscript"/>
              </w:rPr>
              <w:t>t-1</w:t>
            </w:r>
          </w:p>
        </w:tc>
        <w:tc>
          <w:tcPr>
            <w:tcW w:w="79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0.69</w:t>
            </w:r>
          </w:p>
        </w:tc>
        <w:tc>
          <w:tcPr>
            <w:tcW w:w="550" w:type="pct"/>
            <w:gridSpan w:val="3"/>
          </w:tcPr>
          <w:p w:rsidR="00B43592" w:rsidRPr="0009719F" w:rsidRDefault="00B43592" w:rsidP="00C8003C">
            <w:pPr>
              <w:jc w:val="center"/>
              <w:rPr>
                <w:rFonts w:asciiTheme="majorHAnsi" w:hAnsiTheme="majorHAnsi" w:cstheme="majorHAnsi"/>
                <w:b/>
                <w:color w:val="000000"/>
                <w:szCs w:val="18"/>
              </w:rPr>
            </w:pPr>
          </w:p>
        </w:tc>
        <w:tc>
          <w:tcPr>
            <w:tcW w:w="743"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0.69</w:t>
            </w:r>
          </w:p>
        </w:tc>
        <w:tc>
          <w:tcPr>
            <w:tcW w:w="545" w:type="pct"/>
            <w:gridSpan w:val="2"/>
          </w:tcPr>
          <w:p w:rsidR="00B43592" w:rsidRPr="0009719F" w:rsidRDefault="00B43592" w:rsidP="00C8003C">
            <w:pPr>
              <w:jc w:val="center"/>
              <w:rPr>
                <w:rFonts w:asciiTheme="majorHAnsi" w:hAnsiTheme="majorHAnsi" w:cstheme="majorHAnsi"/>
                <w:b/>
                <w:color w:val="000000"/>
                <w:szCs w:val="18"/>
              </w:rPr>
            </w:pPr>
          </w:p>
        </w:tc>
        <w:tc>
          <w:tcPr>
            <w:tcW w:w="778"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0.68</w:t>
            </w:r>
          </w:p>
        </w:tc>
        <w:tc>
          <w:tcPr>
            <w:tcW w:w="547" w:type="pct"/>
          </w:tcPr>
          <w:p w:rsidR="00B43592" w:rsidRPr="0009719F" w:rsidRDefault="00B43592" w:rsidP="00C8003C">
            <w:pPr>
              <w:jc w:val="center"/>
              <w:rPr>
                <w:rFonts w:asciiTheme="majorHAnsi" w:hAnsiTheme="majorHAnsi" w:cstheme="majorHAnsi"/>
                <w:b/>
                <w:color w:val="000000"/>
                <w:szCs w:val="18"/>
              </w:rPr>
            </w:pP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8" w:type="pct"/>
            <w:gridSpan w:val="2"/>
          </w:tcPr>
          <w:p w:rsidR="00B43592" w:rsidRPr="00871693" w:rsidRDefault="00B43592" w:rsidP="00C8003C">
            <w:pPr>
              <w:rPr>
                <w:rStyle w:val="PlaceholderText"/>
                <w:rFonts w:asciiTheme="majorHAnsi" w:hAnsiTheme="majorHAnsi" w:cstheme="majorHAnsi"/>
                <w:b/>
                <w:color w:val="000000"/>
                <w:szCs w:val="18"/>
              </w:rPr>
            </w:pPr>
            <w:r w:rsidRPr="0009719F">
              <w:rPr>
                <w:rFonts w:asciiTheme="majorHAnsi" w:hAnsiTheme="majorHAnsi" w:cstheme="majorHAnsi"/>
                <w:b/>
                <w:color w:val="000000"/>
                <w:szCs w:val="18"/>
              </w:rPr>
              <w:t xml:space="preserve">p </w:t>
            </w:r>
            <w:r w:rsidRPr="0009719F">
              <w:rPr>
                <w:rFonts w:asciiTheme="majorHAnsi" w:hAnsiTheme="majorHAnsi" w:cstheme="majorHAnsi"/>
                <w:b/>
                <w:color w:val="000000"/>
                <w:szCs w:val="18"/>
                <w:vertAlign w:val="subscript"/>
              </w:rPr>
              <w:t>t-1</w:t>
            </w:r>
          </w:p>
        </w:tc>
        <w:tc>
          <w:tcPr>
            <w:tcW w:w="799"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-0.15</w:t>
            </w:r>
          </w:p>
        </w:tc>
        <w:tc>
          <w:tcPr>
            <w:tcW w:w="550" w:type="pct"/>
            <w:gridSpan w:val="3"/>
          </w:tcPr>
          <w:p w:rsidR="00B43592" w:rsidRPr="0009719F" w:rsidRDefault="00B43592" w:rsidP="00C8003C">
            <w:pPr>
              <w:jc w:val="center"/>
              <w:rPr>
                <w:rFonts w:asciiTheme="majorHAnsi" w:hAnsiTheme="majorHAnsi" w:cstheme="majorHAnsi"/>
                <w:b/>
                <w:color w:val="000000"/>
                <w:szCs w:val="18"/>
              </w:rPr>
            </w:pPr>
          </w:p>
        </w:tc>
        <w:tc>
          <w:tcPr>
            <w:tcW w:w="743"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-0.06</w:t>
            </w:r>
          </w:p>
        </w:tc>
        <w:tc>
          <w:tcPr>
            <w:tcW w:w="545" w:type="pct"/>
            <w:gridSpan w:val="2"/>
          </w:tcPr>
          <w:p w:rsidR="00B43592" w:rsidRPr="0009719F" w:rsidRDefault="00B43592" w:rsidP="00C8003C">
            <w:pPr>
              <w:jc w:val="center"/>
              <w:rPr>
                <w:rFonts w:asciiTheme="majorHAnsi" w:hAnsiTheme="majorHAnsi" w:cstheme="majorHAnsi"/>
                <w:b/>
                <w:color w:val="000000"/>
                <w:szCs w:val="18"/>
              </w:rPr>
            </w:pPr>
          </w:p>
        </w:tc>
        <w:tc>
          <w:tcPr>
            <w:tcW w:w="778"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-0.06</w:t>
            </w:r>
          </w:p>
        </w:tc>
        <w:tc>
          <w:tcPr>
            <w:tcW w:w="547" w:type="pct"/>
          </w:tcPr>
          <w:p w:rsidR="00B43592" w:rsidRPr="0009719F" w:rsidRDefault="00B43592" w:rsidP="00C8003C">
            <w:pPr>
              <w:jc w:val="center"/>
              <w:rPr>
                <w:rFonts w:asciiTheme="majorHAnsi" w:hAnsiTheme="majorHAnsi" w:cstheme="majorHAnsi"/>
                <w:b/>
                <w:color w:val="000000"/>
                <w:szCs w:val="18"/>
              </w:rPr>
            </w:pPr>
          </w:p>
        </w:tc>
      </w:tr>
      <w:tr w:rsidR="00B43592" w:rsidRPr="00980041" w:rsidTr="00C8003C">
        <w:trPr>
          <w:trHeight w:val="737"/>
        </w:trPr>
        <w:tc>
          <w:tcPr>
            <w:tcW w:w="5000" w:type="pct"/>
            <w:gridSpan w:val="13"/>
          </w:tcPr>
          <w:p w:rsidR="00B43592" w:rsidRPr="0009719F" w:rsidRDefault="00B43592" w:rsidP="00C8003C">
            <w:pPr>
              <w:keepNext/>
              <w:spacing w:line="200" w:lineRule="exact"/>
              <w:jc w:val="center"/>
              <w:rPr>
                <w:rStyle w:val="PlaceholderText"/>
                <w:rFonts w:asciiTheme="majorHAnsi" w:hAnsiTheme="majorHAnsi" w:cstheme="majorHAnsi"/>
                <w:b/>
                <w:szCs w:val="18"/>
              </w:rPr>
            </w:pPr>
            <w:r w:rsidRPr="0009719F">
              <w:rPr>
                <w:rStyle w:val="PlaceholderText"/>
                <w:rFonts w:asciiTheme="majorHAnsi" w:hAnsiTheme="majorHAnsi" w:cstheme="majorHAnsi"/>
                <w:b/>
                <w:szCs w:val="18"/>
              </w:rPr>
              <w:lastRenderedPageBreak/>
              <w:t>Cointegration test</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5" w:type="pct"/>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856" w:type="pct"/>
            <w:gridSpan w:val="4"/>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statistic</w:t>
            </w:r>
          </w:p>
        </w:tc>
        <w:tc>
          <w:tcPr>
            <w:tcW w:w="451"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88"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p>
        </w:tc>
        <w:tc>
          <w:tcPr>
            <w:tcW w:w="533"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c>
          <w:tcPr>
            <w:tcW w:w="772"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Test stat</w:t>
            </w:r>
          </w:p>
        </w:tc>
        <w:tc>
          <w:tcPr>
            <w:tcW w:w="565"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Upper bound</w:t>
            </w:r>
          </w:p>
        </w:tc>
      </w:tr>
      <w:tr w:rsidR="00B43592" w:rsidRPr="00980041" w:rsidTr="00C8003C">
        <w:trPr>
          <w:trHeight w:val="737"/>
        </w:trPr>
        <w:tc>
          <w:tcPr>
            <w:tcW w:w="1035" w:type="pct"/>
          </w:tcPr>
          <w:p w:rsidR="00B43592" w:rsidRPr="0009719F" w:rsidRDefault="00B43592" w:rsidP="00C8003C">
            <w:pPr>
              <w:keepNext/>
              <w:spacing w:line="200" w:lineRule="exact"/>
              <w:rPr>
                <w:rStyle w:val="PlaceholderText"/>
                <w:rFonts w:asciiTheme="majorHAnsi" w:hAnsiTheme="majorHAnsi" w:cstheme="majorHAnsi"/>
                <w:b/>
                <w:szCs w:val="18"/>
              </w:rPr>
            </w:pPr>
            <w:r>
              <w:rPr>
                <w:rStyle w:val="PlaceholderText"/>
                <w:rFonts w:asciiTheme="majorHAnsi" w:hAnsiTheme="majorHAnsi" w:cstheme="majorHAnsi"/>
                <w:b/>
                <w:szCs w:val="18"/>
              </w:rPr>
              <w:t>F stat for Cointegration</w:t>
            </w:r>
          </w:p>
        </w:tc>
        <w:tc>
          <w:tcPr>
            <w:tcW w:w="856" w:type="pct"/>
            <w:gridSpan w:val="4"/>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3.60*</w:t>
            </w:r>
          </w:p>
        </w:tc>
        <w:tc>
          <w:tcPr>
            <w:tcW w:w="451"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5.06</w:t>
            </w:r>
          </w:p>
        </w:tc>
        <w:tc>
          <w:tcPr>
            <w:tcW w:w="788"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4.13</w:t>
            </w:r>
            <w:r w:rsidRPr="0009719F">
              <w:rPr>
                <w:rFonts w:asciiTheme="majorHAnsi" w:hAnsiTheme="majorHAnsi" w:cstheme="majorHAnsi"/>
                <w:b/>
                <w:bCs/>
                <w:color w:val="000000"/>
                <w:szCs w:val="18"/>
              </w:rPr>
              <w:t>*</w:t>
            </w:r>
          </w:p>
        </w:tc>
        <w:tc>
          <w:tcPr>
            <w:tcW w:w="533"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5.06</w:t>
            </w:r>
          </w:p>
        </w:tc>
        <w:tc>
          <w:tcPr>
            <w:tcW w:w="772"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17.48</w:t>
            </w:r>
          </w:p>
        </w:tc>
        <w:tc>
          <w:tcPr>
            <w:tcW w:w="565"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5.06</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5000" w:type="pct"/>
            <w:gridSpan w:val="13"/>
          </w:tcPr>
          <w:p w:rsidR="00B43592" w:rsidRPr="0009719F" w:rsidRDefault="00B43592" w:rsidP="00C8003C">
            <w:pPr>
              <w:keepNext/>
              <w:spacing w:line="200" w:lineRule="exact"/>
              <w:jc w:val="center"/>
              <w:rPr>
                <w:rFonts w:asciiTheme="majorHAnsi" w:hAnsiTheme="majorHAnsi" w:cstheme="majorHAnsi"/>
                <w:b/>
                <w:color w:val="000000"/>
                <w:szCs w:val="18"/>
              </w:rPr>
            </w:pPr>
            <w:r w:rsidRPr="0009719F">
              <w:rPr>
                <w:rStyle w:val="PlaceholderText"/>
                <w:rFonts w:asciiTheme="majorHAnsi" w:hAnsiTheme="majorHAnsi" w:cstheme="majorHAnsi"/>
                <w:b/>
                <w:szCs w:val="18"/>
              </w:rPr>
              <w:t>GVA long run coefficient test</w:t>
            </w:r>
          </w:p>
        </w:tc>
      </w:tr>
      <w:tr w:rsidR="00B43592" w:rsidRPr="00980041" w:rsidTr="00C8003C">
        <w:trPr>
          <w:trHeight w:val="737"/>
        </w:trPr>
        <w:tc>
          <w:tcPr>
            <w:tcW w:w="1035" w:type="pct"/>
          </w:tcPr>
          <w:p w:rsidR="00B43592" w:rsidRPr="0009719F" w:rsidRDefault="00B43592" w:rsidP="00C8003C">
            <w:pPr>
              <w:keepNext/>
              <w:spacing w:line="200" w:lineRule="exact"/>
              <w:rPr>
                <w:rStyle w:val="PlaceholderText"/>
                <w:rFonts w:asciiTheme="majorHAnsi" w:hAnsiTheme="majorHAnsi" w:cstheme="majorHAnsi"/>
                <w:b/>
                <w:szCs w:val="18"/>
              </w:rPr>
            </w:pPr>
          </w:p>
        </w:tc>
        <w:tc>
          <w:tcPr>
            <w:tcW w:w="802" w:type="pct"/>
            <w:gridSpan w:val="3"/>
          </w:tcPr>
          <w:p w:rsidR="00B43592" w:rsidRPr="0009719F" w:rsidRDefault="00B43592" w:rsidP="00C8003C">
            <w:pPr>
              <w:rPr>
                <w:rFonts w:asciiTheme="majorHAnsi" w:hAnsiTheme="majorHAnsi" w:cstheme="majorHAnsi"/>
                <w:color w:val="000000"/>
                <w:szCs w:val="18"/>
              </w:rPr>
            </w:pPr>
          </w:p>
        </w:tc>
        <w:tc>
          <w:tcPr>
            <w:tcW w:w="550"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43"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545"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c>
          <w:tcPr>
            <w:tcW w:w="778" w:type="pct"/>
            <w:gridSpan w:val="2"/>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547" w:type="pct"/>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p value</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035" w:type="pct"/>
          </w:tcPr>
          <w:p w:rsidR="00B43592" w:rsidRPr="0009719F" w:rsidRDefault="00B43592" w:rsidP="00C8003C">
            <w:pPr>
              <w:keepNext/>
              <w:spacing w:line="200" w:lineRule="exact"/>
              <w:rPr>
                <w:rStyle w:val="PlaceholderText"/>
                <w:rFonts w:asciiTheme="majorHAnsi" w:hAnsiTheme="majorHAnsi" w:cstheme="majorHAnsi"/>
                <w:b/>
                <w:szCs w:val="18"/>
              </w:rPr>
            </w:pPr>
            <w:r w:rsidRPr="0009719F">
              <w:rPr>
                <w:rStyle w:val="PlaceholderText"/>
                <w:rFonts w:asciiTheme="majorHAnsi" w:hAnsiTheme="majorHAnsi" w:cstheme="majorHAnsi"/>
                <w:b/>
                <w:szCs w:val="18"/>
              </w:rPr>
              <w:t>Long run coefficient of GVA test</w:t>
            </w:r>
          </w:p>
        </w:tc>
        <w:tc>
          <w:tcPr>
            <w:tcW w:w="802" w:type="pct"/>
            <w:gridSpan w:val="3"/>
          </w:tcPr>
          <w:p w:rsidR="00B43592" w:rsidRPr="0009719F" w:rsidRDefault="00B43592" w:rsidP="00C8003C">
            <w:pPr>
              <w:rPr>
                <w:rFonts w:asciiTheme="majorHAnsi" w:hAnsiTheme="majorHAnsi" w:cstheme="majorHAnsi"/>
                <w:color w:val="000000"/>
                <w:szCs w:val="18"/>
              </w:rPr>
            </w:pPr>
            <w:r w:rsidRPr="0009719F">
              <w:rPr>
                <w:rFonts w:asciiTheme="majorHAnsi" w:hAnsiTheme="majorHAnsi" w:cstheme="majorHAnsi"/>
                <w:color w:val="000000"/>
                <w:szCs w:val="18"/>
              </w:rPr>
              <w:t> </w:t>
            </w:r>
          </w:p>
        </w:tc>
        <w:tc>
          <w:tcPr>
            <w:tcW w:w="550" w:type="pct"/>
            <w:gridSpan w:val="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0.85</w:t>
            </w:r>
          </w:p>
        </w:tc>
        <w:tc>
          <w:tcPr>
            <w:tcW w:w="743" w:type="pct"/>
          </w:tcPr>
          <w:p w:rsidR="00B43592" w:rsidRPr="0009719F" w:rsidRDefault="00B43592" w:rsidP="00C8003C">
            <w:pPr>
              <w:jc w:val="center"/>
              <w:rPr>
                <w:rFonts w:asciiTheme="majorHAnsi" w:hAnsiTheme="majorHAnsi" w:cstheme="majorHAnsi"/>
                <w:b/>
                <w:color w:val="000000"/>
                <w:szCs w:val="18"/>
              </w:rPr>
            </w:pPr>
          </w:p>
        </w:tc>
        <w:tc>
          <w:tcPr>
            <w:tcW w:w="545" w:type="pct"/>
            <w:gridSpan w:val="2"/>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0.64</w:t>
            </w:r>
          </w:p>
        </w:tc>
        <w:tc>
          <w:tcPr>
            <w:tcW w:w="778" w:type="pct"/>
            <w:gridSpan w:val="2"/>
          </w:tcPr>
          <w:p w:rsidR="00B43592" w:rsidRPr="0009719F" w:rsidRDefault="00B43592" w:rsidP="00C8003C">
            <w:pPr>
              <w:jc w:val="center"/>
              <w:rPr>
                <w:rFonts w:asciiTheme="majorHAnsi" w:hAnsiTheme="majorHAnsi" w:cstheme="majorHAnsi"/>
                <w:b/>
                <w:color w:val="000000"/>
                <w:szCs w:val="18"/>
              </w:rPr>
            </w:pPr>
          </w:p>
        </w:tc>
        <w:tc>
          <w:tcPr>
            <w:tcW w:w="547" w:type="pct"/>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color w:val="000000"/>
                <w:szCs w:val="18"/>
              </w:rPr>
              <w:t>0.89</w:t>
            </w:r>
          </w:p>
        </w:tc>
      </w:tr>
      <w:tr w:rsidR="00B43592" w:rsidRPr="00980041" w:rsidTr="00C8003C">
        <w:trPr>
          <w:trHeight w:val="737"/>
        </w:trPr>
        <w:tc>
          <w:tcPr>
            <w:tcW w:w="5000" w:type="pct"/>
            <w:gridSpan w:val="13"/>
          </w:tcPr>
          <w:p w:rsidR="00B43592" w:rsidRPr="0009719F" w:rsidRDefault="00B43592" w:rsidP="00C8003C">
            <w:pPr>
              <w:jc w:val="center"/>
              <w:rPr>
                <w:rFonts w:asciiTheme="majorHAnsi" w:hAnsiTheme="majorHAnsi" w:cstheme="majorHAnsi"/>
                <w:b/>
                <w:color w:val="000000"/>
                <w:szCs w:val="18"/>
              </w:rPr>
            </w:pPr>
            <w:r w:rsidRPr="0009719F">
              <w:rPr>
                <w:rFonts w:asciiTheme="majorHAnsi" w:hAnsiTheme="majorHAnsi" w:cstheme="majorHAnsi"/>
                <w:b/>
                <w:bCs/>
                <w:color w:val="000000"/>
                <w:szCs w:val="18"/>
              </w:rPr>
              <w:t>Diagnostic check</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837" w:type="pct"/>
            <w:gridSpan w:val="4"/>
          </w:tcPr>
          <w:p w:rsidR="00B43592" w:rsidRPr="0009719F" w:rsidRDefault="00B43592" w:rsidP="00C8003C">
            <w:pPr>
              <w:rPr>
                <w:rFonts w:asciiTheme="majorHAnsi" w:hAnsiTheme="majorHAnsi" w:cstheme="majorHAnsi"/>
                <w:color w:val="000000"/>
                <w:szCs w:val="18"/>
              </w:rPr>
            </w:pPr>
            <w:r>
              <w:rPr>
                <w:rStyle w:val="PlaceholderText"/>
                <w:rFonts w:asciiTheme="majorHAnsi" w:hAnsiTheme="majorHAnsi" w:cstheme="majorHAnsi"/>
                <w:b/>
                <w:szCs w:val="18"/>
              </w:rPr>
              <w:t>Heterosk</w:t>
            </w:r>
            <w:r w:rsidRPr="0009719F">
              <w:rPr>
                <w:rStyle w:val="PlaceholderText"/>
                <w:rFonts w:asciiTheme="majorHAnsi" w:hAnsiTheme="majorHAnsi" w:cstheme="majorHAnsi"/>
                <w:b/>
                <w:szCs w:val="18"/>
              </w:rPr>
              <w:t>edasticity</w:t>
            </w:r>
          </w:p>
        </w:tc>
        <w:tc>
          <w:tcPr>
            <w:tcW w:w="55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0.22</w:t>
            </w:r>
          </w:p>
        </w:tc>
        <w:tc>
          <w:tcPr>
            <w:tcW w:w="743" w:type="pct"/>
          </w:tcPr>
          <w:p w:rsidR="00B43592" w:rsidRPr="0009719F" w:rsidRDefault="00B43592" w:rsidP="00C8003C">
            <w:pPr>
              <w:jc w:val="center"/>
              <w:rPr>
                <w:rFonts w:asciiTheme="majorHAnsi" w:hAnsiTheme="majorHAnsi" w:cstheme="majorHAnsi"/>
                <w:color w:val="000000"/>
                <w:szCs w:val="18"/>
              </w:rPr>
            </w:pPr>
          </w:p>
        </w:tc>
        <w:tc>
          <w:tcPr>
            <w:tcW w:w="545"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0.04</w:t>
            </w:r>
          </w:p>
        </w:tc>
        <w:tc>
          <w:tcPr>
            <w:tcW w:w="778" w:type="pct"/>
            <w:gridSpan w:val="2"/>
          </w:tcPr>
          <w:p w:rsidR="00B43592" w:rsidRPr="0009719F" w:rsidRDefault="00B43592" w:rsidP="00C8003C">
            <w:pPr>
              <w:jc w:val="center"/>
              <w:rPr>
                <w:rFonts w:asciiTheme="majorHAnsi" w:hAnsiTheme="majorHAnsi" w:cstheme="majorHAnsi"/>
                <w:color w:val="000000"/>
                <w:szCs w:val="18"/>
              </w:rPr>
            </w:pPr>
          </w:p>
        </w:tc>
        <w:tc>
          <w:tcPr>
            <w:tcW w:w="547"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0.45</w:t>
            </w:r>
          </w:p>
        </w:tc>
      </w:tr>
      <w:tr w:rsidR="00B43592" w:rsidRPr="00980041" w:rsidTr="00C8003C">
        <w:trPr>
          <w:trHeight w:val="737"/>
        </w:trPr>
        <w:tc>
          <w:tcPr>
            <w:tcW w:w="1837" w:type="pct"/>
            <w:gridSpan w:val="4"/>
          </w:tcPr>
          <w:p w:rsidR="00B43592" w:rsidRPr="0009719F" w:rsidRDefault="00B43592" w:rsidP="00C8003C">
            <w:pPr>
              <w:rPr>
                <w:rFonts w:asciiTheme="majorHAnsi" w:hAnsiTheme="majorHAnsi" w:cstheme="majorHAnsi"/>
                <w:color w:val="000000"/>
                <w:szCs w:val="18"/>
              </w:rPr>
            </w:pPr>
            <w:r w:rsidRPr="0009719F">
              <w:rPr>
                <w:rStyle w:val="PlaceholderText"/>
                <w:rFonts w:asciiTheme="majorHAnsi" w:hAnsiTheme="majorHAnsi" w:cstheme="majorHAnsi"/>
                <w:b/>
                <w:szCs w:val="18"/>
              </w:rPr>
              <w:t>Auto correlation</w:t>
            </w:r>
          </w:p>
        </w:tc>
        <w:tc>
          <w:tcPr>
            <w:tcW w:w="55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0.84</w:t>
            </w:r>
          </w:p>
        </w:tc>
        <w:tc>
          <w:tcPr>
            <w:tcW w:w="743" w:type="pct"/>
          </w:tcPr>
          <w:p w:rsidR="00B43592" w:rsidRPr="0009719F" w:rsidRDefault="00B43592" w:rsidP="00C8003C">
            <w:pPr>
              <w:jc w:val="center"/>
              <w:rPr>
                <w:rFonts w:asciiTheme="majorHAnsi" w:hAnsiTheme="majorHAnsi" w:cstheme="majorHAnsi"/>
                <w:color w:val="000000"/>
                <w:szCs w:val="18"/>
              </w:rPr>
            </w:pPr>
          </w:p>
        </w:tc>
        <w:tc>
          <w:tcPr>
            <w:tcW w:w="545"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0.61</w:t>
            </w:r>
          </w:p>
        </w:tc>
        <w:tc>
          <w:tcPr>
            <w:tcW w:w="778" w:type="pct"/>
            <w:gridSpan w:val="2"/>
          </w:tcPr>
          <w:p w:rsidR="00B43592" w:rsidRPr="0009719F" w:rsidRDefault="00B43592" w:rsidP="00C8003C">
            <w:pPr>
              <w:jc w:val="center"/>
              <w:rPr>
                <w:rFonts w:asciiTheme="majorHAnsi" w:hAnsiTheme="majorHAnsi" w:cstheme="majorHAnsi"/>
                <w:color w:val="000000"/>
                <w:szCs w:val="18"/>
              </w:rPr>
            </w:pPr>
          </w:p>
        </w:tc>
        <w:tc>
          <w:tcPr>
            <w:tcW w:w="547"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0.94</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837" w:type="pct"/>
            <w:gridSpan w:val="4"/>
          </w:tcPr>
          <w:p w:rsidR="00B43592" w:rsidRPr="0009719F" w:rsidRDefault="00B43592" w:rsidP="00C8003C">
            <w:pPr>
              <w:rPr>
                <w:rFonts w:asciiTheme="majorHAnsi" w:hAnsiTheme="majorHAnsi" w:cstheme="majorHAnsi"/>
                <w:color w:val="000000"/>
                <w:szCs w:val="18"/>
              </w:rPr>
            </w:pPr>
            <w:r w:rsidRPr="0009719F">
              <w:rPr>
                <w:rStyle w:val="PlaceholderText"/>
                <w:rFonts w:asciiTheme="majorHAnsi" w:hAnsiTheme="majorHAnsi" w:cstheme="majorHAnsi"/>
                <w:b/>
                <w:szCs w:val="18"/>
              </w:rPr>
              <w:t>Ramsey RESET test</w:t>
            </w:r>
          </w:p>
        </w:tc>
        <w:tc>
          <w:tcPr>
            <w:tcW w:w="550" w:type="pct"/>
            <w:gridSpan w:val="3"/>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0.71</w:t>
            </w:r>
          </w:p>
        </w:tc>
        <w:tc>
          <w:tcPr>
            <w:tcW w:w="743" w:type="pct"/>
          </w:tcPr>
          <w:p w:rsidR="00B43592" w:rsidRPr="0009719F" w:rsidRDefault="00B43592" w:rsidP="00C8003C">
            <w:pPr>
              <w:jc w:val="center"/>
              <w:rPr>
                <w:rFonts w:asciiTheme="majorHAnsi" w:hAnsiTheme="majorHAnsi" w:cstheme="majorHAnsi"/>
                <w:color w:val="000000"/>
                <w:szCs w:val="18"/>
              </w:rPr>
            </w:pPr>
          </w:p>
        </w:tc>
        <w:tc>
          <w:tcPr>
            <w:tcW w:w="545" w:type="pct"/>
            <w:gridSpan w:val="2"/>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0.92</w:t>
            </w:r>
          </w:p>
        </w:tc>
        <w:tc>
          <w:tcPr>
            <w:tcW w:w="778" w:type="pct"/>
            <w:gridSpan w:val="2"/>
          </w:tcPr>
          <w:p w:rsidR="00B43592" w:rsidRPr="0009719F" w:rsidRDefault="00B43592" w:rsidP="00C8003C">
            <w:pPr>
              <w:jc w:val="center"/>
              <w:rPr>
                <w:rFonts w:asciiTheme="majorHAnsi" w:hAnsiTheme="majorHAnsi" w:cstheme="majorHAnsi"/>
                <w:color w:val="000000"/>
                <w:szCs w:val="18"/>
              </w:rPr>
            </w:pPr>
          </w:p>
        </w:tc>
        <w:tc>
          <w:tcPr>
            <w:tcW w:w="547" w:type="pct"/>
          </w:tcPr>
          <w:p w:rsidR="00B43592" w:rsidRPr="0009719F" w:rsidRDefault="00B43592" w:rsidP="00C8003C">
            <w:pPr>
              <w:jc w:val="center"/>
              <w:rPr>
                <w:rFonts w:asciiTheme="majorHAnsi" w:hAnsiTheme="majorHAnsi" w:cstheme="majorHAnsi"/>
                <w:color w:val="000000"/>
                <w:szCs w:val="18"/>
              </w:rPr>
            </w:pPr>
            <w:r w:rsidRPr="0009719F">
              <w:rPr>
                <w:rFonts w:asciiTheme="majorHAnsi" w:hAnsiTheme="majorHAnsi" w:cstheme="majorHAnsi"/>
                <w:color w:val="000000"/>
                <w:szCs w:val="18"/>
              </w:rPr>
              <w:t>0.55</w:t>
            </w:r>
          </w:p>
        </w:tc>
      </w:tr>
    </w:tbl>
    <w:p w:rsidR="00B43592" w:rsidRPr="00820511" w:rsidRDefault="00B43592" w:rsidP="00B43592">
      <w:pPr>
        <w:pStyle w:val="Header"/>
        <w:pBdr>
          <w:bottom w:val="none" w:sz="0" w:space="0" w:color="auto"/>
        </w:pBdr>
      </w:pPr>
    </w:p>
    <w:p w:rsidR="00B43592" w:rsidRDefault="00B43592" w:rsidP="00B43592">
      <w:pPr>
        <w:pStyle w:val="Note"/>
      </w:pPr>
      <w:r>
        <w:t>Note:</w:t>
      </w:r>
      <w:r>
        <w:tab/>
        <w:t>Estimates of ECM models and their p values. All of Australia model is presented for comparison. Bounds testing indicates that there is evidence of cointegration at the 10 per cent level. Restricting long run coefficient of GVA to 1 is supported by data. * indicates test statistic reject null hypothesis at 10 per cent level.</w:t>
      </w:r>
      <w:r w:rsidRPr="005F06A7">
        <w:t xml:space="preserve"> </w:t>
      </w:r>
      <w:r>
        <w:t xml:space="preserve">Bound  value </w:t>
      </w:r>
      <w:r w:rsidRPr="000E5B41">
        <w:t xml:space="preserve">from </w:t>
      </w:r>
      <w:r w:rsidR="005A66AE" w:rsidRPr="000E5B41">
        <w:fldChar w:fldCharType="begin" w:fldLock="1"/>
      </w:r>
      <w:r w:rsidR="00971CE6">
        <w:instrText>ADDIN CSL_CITATION { "citationItems" : [ { "id" : "ITEM-1", "itemData" : { "DOI" : "10.1002/jae.616", "ISSN" : "0883-7252", "author" : [ { "dropping-particle" : "", "family" : "Pesaran", "given" : "M. Hashem", "non-dropping-particle" : "", "parse-names" : false, "suffix" : "" }, { "dropping-particle" : "", "family" : "Shin", "given" : "Yongcheol", "non-dropping-particle" : "", "parse-names" : false, "suffix" : "" }, { "dropping-particle" : "", "family" : "Smith", "given" : "Richard J.", "non-dropping-particle" : "", "parse-names" : false, "suffix" : "" } ], "container-title" : "Journal of Applied Econometrics", "id" : "ITEM-1", "issue" : "3", "issued" : { "date-parts" : [ [ "2001", "5" ] ] }, "page" : "289-326", "title" : "Bounds testing approaches to the analysis of level relationships", "type" : "article-journal", "volume" : "16" }, "uris" : [ "http://www.mendeley.com/documents/?uuid=86a6dbde-66ba-413a-b906-a0d1fd07171b" ] } ], "mendeley" : { "manualFormatting" : "Pesaran, Shin, &amp; Smith (2001)", "previouslyFormattedCitation" : "(Pesaran et al., 2001)" }, "properties" : { "noteIndex" : 0 }, "schema" : "https://github.com/citation-style-language/schema/raw/master/csl-citation.json" }</w:instrText>
      </w:r>
      <w:r w:rsidR="005A66AE" w:rsidRPr="000E5B41">
        <w:fldChar w:fldCharType="separate"/>
      </w:r>
      <w:r w:rsidRPr="00CC2DE1">
        <w:rPr>
          <w:noProof/>
        </w:rPr>
        <w:t xml:space="preserve">Pesaran, Shin, &amp; Smith </w:t>
      </w:r>
      <w:r>
        <w:rPr>
          <w:noProof/>
        </w:rPr>
        <w:t>(</w:t>
      </w:r>
      <w:r w:rsidRPr="00CC2DE1">
        <w:rPr>
          <w:noProof/>
        </w:rPr>
        <w:t>2001)</w:t>
      </w:r>
      <w:r w:rsidR="005A66AE" w:rsidRPr="000E5B41">
        <w:fldChar w:fldCharType="end"/>
      </w:r>
      <w:r w:rsidRPr="000E5B41">
        <w:t>.</w:t>
      </w:r>
      <w:r w:rsidRPr="00871693">
        <w:t xml:space="preserve"> </w:t>
      </w:r>
      <w:r>
        <w:t xml:space="preserve">The null hypothesis of the long run GVA coefficient test is that it is equal to zero. The Null of the heteroskedasticity and autocorrelation are the residuals are not heteroskedastic and not auto correlated.  Ramsey RESET test assumes no miss-specification under the null.   </w:t>
      </w:r>
    </w:p>
    <w:p w:rsidR="00B43592" w:rsidRDefault="00B43592" w:rsidP="00B43592">
      <w:pPr>
        <w:pStyle w:val="Source"/>
      </w:pPr>
      <w:r w:rsidRPr="00EF51BF">
        <w:t>Source:</w:t>
      </w:r>
      <w:r>
        <w:tab/>
        <w:t>Vivid Economics</w:t>
      </w:r>
    </w:p>
    <w:p w:rsidR="00B43592" w:rsidRPr="00EF51BF" w:rsidRDefault="00B43592" w:rsidP="00B43592">
      <w:pPr>
        <w:pStyle w:val="Subheading"/>
      </w:pPr>
      <w:r>
        <w:t>Long run coefficient</w:t>
      </w:r>
      <w:r w:rsidRPr="000E5B41">
        <w:t>s</w:t>
      </w:r>
      <w:r>
        <w:t xml:space="preserve"> </w:t>
      </w:r>
    </w:p>
    <w:p w:rsidR="00B43592" w:rsidRPr="00DE4EAF" w:rsidRDefault="00B43592" w:rsidP="00B43592">
      <w:pPr>
        <w:pStyle w:val="Tabletitle"/>
      </w:pPr>
      <w:bookmarkStart w:id="350" w:name="_Toc365817689"/>
      <w:bookmarkStart w:id="351" w:name="_Toc369890539"/>
      <w:r>
        <w:lastRenderedPageBreak/>
        <w:t>Consumption Models for NEM region 1990-2007</w:t>
      </w:r>
      <w:bookmarkEnd w:id="350"/>
      <w:bookmarkEnd w:id="351"/>
    </w:p>
    <w:tbl>
      <w:tblPr>
        <w:tblStyle w:val="Vividtable"/>
        <w:tblW w:w="5000" w:type="pct"/>
        <w:tblLook w:val="04A0" w:firstRow="1" w:lastRow="0" w:firstColumn="1" w:lastColumn="0" w:noHBand="0" w:noVBand="1"/>
      </w:tblPr>
      <w:tblGrid>
        <w:gridCol w:w="2439"/>
        <w:gridCol w:w="2472"/>
        <w:gridCol w:w="2472"/>
        <w:gridCol w:w="2472"/>
      </w:tblGrid>
      <w:tr w:rsidR="00B43592" w:rsidRPr="00980041" w:rsidTr="00C8003C">
        <w:trPr>
          <w:cnfStyle w:val="100000000000" w:firstRow="1" w:lastRow="0" w:firstColumn="0" w:lastColumn="0" w:oddVBand="0" w:evenVBand="0" w:oddHBand="0" w:evenHBand="0" w:firstRowFirstColumn="0" w:firstRowLastColumn="0" w:lastRowFirstColumn="0" w:lastRowLastColumn="0"/>
          <w:trHeight w:val="340"/>
        </w:trPr>
        <w:tc>
          <w:tcPr>
            <w:tcW w:w="1238" w:type="pct"/>
          </w:tcPr>
          <w:p w:rsidR="00B43592" w:rsidRPr="004328B0" w:rsidRDefault="00B43592" w:rsidP="00C8003C">
            <w:pPr>
              <w:keepNext/>
              <w:rPr>
                <w:rStyle w:val="PlaceholderText"/>
                <w:rFonts w:ascii="Arial" w:hAnsi="Arial" w:cs="Arial"/>
                <w:b w:val="0"/>
                <w:szCs w:val="18"/>
              </w:rPr>
            </w:pPr>
          </w:p>
        </w:tc>
        <w:tc>
          <w:tcPr>
            <w:tcW w:w="1254" w:type="pct"/>
          </w:tcPr>
          <w:p w:rsidR="00B43592" w:rsidRPr="00A95FB8" w:rsidRDefault="00B43592" w:rsidP="00C8003C">
            <w:pPr>
              <w:keepNext/>
              <w:rPr>
                <w:rStyle w:val="PlaceholderText"/>
                <w:rFonts w:ascii="Arial" w:hAnsi="Arial" w:cs="Arial"/>
                <w:b w:val="0"/>
                <w:szCs w:val="18"/>
              </w:rPr>
            </w:pPr>
            <w:r w:rsidRPr="00127491">
              <w:rPr>
                <w:rStyle w:val="PlaceholderText"/>
                <w:rFonts w:ascii="Arial" w:hAnsi="Arial" w:cs="Arial"/>
                <w:szCs w:val="18"/>
              </w:rPr>
              <w:t>Price</w:t>
            </w:r>
          </w:p>
        </w:tc>
        <w:tc>
          <w:tcPr>
            <w:tcW w:w="1254" w:type="pct"/>
          </w:tcPr>
          <w:p w:rsidR="00B43592" w:rsidRPr="004328B0" w:rsidRDefault="00B43592" w:rsidP="00C8003C">
            <w:pPr>
              <w:keepNext/>
              <w:rPr>
                <w:rStyle w:val="PlaceholderText"/>
                <w:rFonts w:ascii="Arial" w:hAnsi="Arial" w:cs="Arial"/>
                <w:b w:val="0"/>
                <w:szCs w:val="18"/>
              </w:rPr>
            </w:pPr>
            <w:r>
              <w:rPr>
                <w:rStyle w:val="PlaceholderText"/>
                <w:rFonts w:ascii="Arial" w:hAnsi="Arial" w:cs="Arial"/>
                <w:szCs w:val="18"/>
              </w:rPr>
              <w:t>GVA/FCE</w:t>
            </w:r>
          </w:p>
        </w:tc>
        <w:tc>
          <w:tcPr>
            <w:tcW w:w="1254" w:type="pct"/>
          </w:tcPr>
          <w:p w:rsidR="00B43592" w:rsidRPr="004328B0" w:rsidRDefault="00B43592" w:rsidP="00C8003C">
            <w:pPr>
              <w:keepNext/>
              <w:rPr>
                <w:rStyle w:val="PlaceholderText"/>
                <w:rFonts w:ascii="Arial" w:hAnsi="Arial" w:cs="Arial"/>
                <w:b w:val="0"/>
                <w:szCs w:val="18"/>
              </w:rPr>
            </w:pPr>
            <w:r>
              <w:rPr>
                <w:rStyle w:val="PlaceholderText"/>
                <w:rFonts w:ascii="Arial" w:hAnsi="Arial" w:cs="Arial"/>
                <w:szCs w:val="18"/>
              </w:rPr>
              <w:t>Weather</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238" w:type="pct"/>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Manufacturing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[2012]</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-0.56</w:t>
            </w:r>
          </w:p>
          <w:p w:rsidR="00B43592" w:rsidRPr="004328B0" w:rsidRDefault="00B43592" w:rsidP="00C8003C">
            <w:pPr>
              <w:keepNext/>
              <w:spacing w:line="200" w:lineRule="exact"/>
              <w:rPr>
                <w:rStyle w:val="PlaceholderText"/>
                <w:rFonts w:ascii="Arial" w:hAnsi="Arial" w:cs="Arial"/>
                <w:b/>
                <w:szCs w:val="18"/>
              </w:rPr>
            </w:pPr>
            <w:r>
              <w:rPr>
                <w:rStyle w:val="PlaceholderText"/>
                <w:rFonts w:ascii="Arial" w:hAnsi="Arial" w:cs="Arial"/>
                <w:szCs w:val="18"/>
              </w:rPr>
              <w:t>[-.45]</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p w:rsidR="00B43592" w:rsidRPr="004328B0" w:rsidRDefault="00B43592" w:rsidP="00C8003C">
            <w:pPr>
              <w:keepNext/>
              <w:spacing w:line="200" w:lineRule="exact"/>
              <w:rPr>
                <w:rStyle w:val="PlaceholderText"/>
                <w:rFonts w:ascii="Arial" w:hAnsi="Arial" w:cs="Arial"/>
                <w:b/>
                <w:szCs w:val="18"/>
              </w:rPr>
            </w:pPr>
            <w:r>
              <w:rPr>
                <w:rStyle w:val="PlaceholderText"/>
                <w:rFonts w:ascii="Arial" w:hAnsi="Arial" w:cs="Arial"/>
                <w:szCs w:val="18"/>
              </w:rPr>
              <w:t>[1.00]</w:t>
            </w:r>
          </w:p>
        </w:tc>
        <w:tc>
          <w:tcPr>
            <w:tcW w:w="1254" w:type="pct"/>
          </w:tcPr>
          <w:p w:rsidR="00B43592" w:rsidRDefault="00B43592" w:rsidP="00C8003C">
            <w:pPr>
              <w:keepNext/>
              <w:spacing w:line="200" w:lineRule="exact"/>
              <w:rPr>
                <w:rStyle w:val="PlaceholderText"/>
                <w:rFonts w:ascii="Arial" w:hAnsi="Arial" w:cs="Arial"/>
                <w:szCs w:val="18"/>
              </w:rPr>
            </w:pPr>
          </w:p>
          <w:p w:rsidR="00B43592" w:rsidRPr="004328B0" w:rsidRDefault="00B43592" w:rsidP="00C8003C">
            <w:pPr>
              <w:keepNext/>
              <w:spacing w:line="200" w:lineRule="exact"/>
              <w:rPr>
                <w:rStyle w:val="PlaceholderText"/>
                <w:rFonts w:ascii="Arial" w:hAnsi="Arial" w:cs="Arial"/>
                <w:szCs w:val="18"/>
              </w:rPr>
            </w:pPr>
          </w:p>
        </w:tc>
      </w:tr>
      <w:tr w:rsidR="00B43592" w:rsidRPr="00980041" w:rsidTr="00C8003C">
        <w:trPr>
          <w:trHeight w:val="737"/>
        </w:trPr>
        <w:tc>
          <w:tcPr>
            <w:tcW w:w="1238" w:type="pct"/>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Commercial and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Services</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[2011]</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-0.42</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[-0.47]</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0.08</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[0.06]</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238" w:type="pct"/>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Residential</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[2012]</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-0.15</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[-0.07]</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0.69</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[0.69]</w:t>
            </w:r>
          </w:p>
        </w:tc>
        <w:tc>
          <w:tcPr>
            <w:tcW w:w="1254" w:type="pct"/>
          </w:tcPr>
          <w:p w:rsidR="00B43592" w:rsidRDefault="00B43592" w:rsidP="00C8003C">
            <w:pPr>
              <w:keepNext/>
              <w:spacing w:line="200" w:lineRule="exact"/>
              <w:rPr>
                <w:rStyle w:val="PlaceholderText"/>
                <w:rFonts w:ascii="Arial" w:hAnsi="Arial" w:cs="Arial"/>
                <w:szCs w:val="18"/>
              </w:rPr>
            </w:pPr>
          </w:p>
          <w:p w:rsidR="00B43592" w:rsidRPr="004328B0" w:rsidRDefault="00B43592" w:rsidP="00C8003C">
            <w:pPr>
              <w:keepNext/>
              <w:spacing w:line="200" w:lineRule="exact"/>
              <w:rPr>
                <w:rStyle w:val="PlaceholderText"/>
                <w:rFonts w:ascii="Arial" w:hAnsi="Arial" w:cs="Arial"/>
                <w:szCs w:val="18"/>
              </w:rPr>
            </w:pPr>
          </w:p>
        </w:tc>
      </w:tr>
    </w:tbl>
    <w:p w:rsidR="00B43592" w:rsidRPr="00820511" w:rsidRDefault="00B43592" w:rsidP="00B43592">
      <w:pPr>
        <w:pStyle w:val="Header"/>
        <w:pBdr>
          <w:bottom w:val="none" w:sz="0" w:space="0" w:color="auto"/>
        </w:pBdr>
      </w:pPr>
    </w:p>
    <w:p w:rsidR="00B43592" w:rsidRDefault="00B43592" w:rsidP="00B43592">
      <w:pPr>
        <w:pStyle w:val="Note"/>
      </w:pPr>
      <w:r>
        <w:t>Note:</w:t>
      </w:r>
      <w:r>
        <w:tab/>
        <w:t>Long run elasticity coefficients of different ADL models</w:t>
      </w:r>
    </w:p>
    <w:p w:rsidR="00B43592" w:rsidRDefault="00B43592" w:rsidP="00B43592">
      <w:pPr>
        <w:pStyle w:val="Source"/>
      </w:pPr>
      <w:r w:rsidRPr="00EF51BF">
        <w:t>Source:</w:t>
      </w:r>
      <w:r>
        <w:tab/>
        <w:t>Vivid Economics</w:t>
      </w:r>
    </w:p>
    <w:p w:rsidR="00B43592" w:rsidRDefault="00B43592" w:rsidP="00B43592"/>
    <w:p w:rsidR="00B43592" w:rsidRPr="00DE4EAF" w:rsidRDefault="00B43592" w:rsidP="00B43592">
      <w:pPr>
        <w:pStyle w:val="Tabletitle"/>
      </w:pPr>
      <w:bookmarkStart w:id="352" w:name="_Toc365817690"/>
      <w:bookmarkStart w:id="353" w:name="_Toc369890540"/>
      <w:r>
        <w:t>Consumption Models for Australia 1990-2012</w:t>
      </w:r>
      <w:bookmarkEnd w:id="352"/>
      <w:bookmarkEnd w:id="353"/>
    </w:p>
    <w:tbl>
      <w:tblPr>
        <w:tblStyle w:val="Vividtable"/>
        <w:tblW w:w="5000" w:type="pct"/>
        <w:tblLook w:val="04A0" w:firstRow="1" w:lastRow="0" w:firstColumn="1" w:lastColumn="0" w:noHBand="0" w:noVBand="1"/>
      </w:tblPr>
      <w:tblGrid>
        <w:gridCol w:w="2439"/>
        <w:gridCol w:w="2472"/>
        <w:gridCol w:w="2472"/>
        <w:gridCol w:w="2472"/>
      </w:tblGrid>
      <w:tr w:rsidR="00B43592" w:rsidRPr="00980041" w:rsidTr="00C8003C">
        <w:trPr>
          <w:cnfStyle w:val="100000000000" w:firstRow="1" w:lastRow="0" w:firstColumn="0" w:lastColumn="0" w:oddVBand="0" w:evenVBand="0" w:oddHBand="0" w:evenHBand="0" w:firstRowFirstColumn="0" w:firstRowLastColumn="0" w:lastRowFirstColumn="0" w:lastRowLastColumn="0"/>
          <w:trHeight w:val="340"/>
        </w:trPr>
        <w:tc>
          <w:tcPr>
            <w:tcW w:w="1238" w:type="pct"/>
            <w:tcBorders>
              <w:bottom w:val="single" w:sz="4" w:space="0" w:color="auto"/>
            </w:tcBorders>
          </w:tcPr>
          <w:p w:rsidR="00B43592" w:rsidRPr="00CC2DE1" w:rsidRDefault="00B43592" w:rsidP="00C8003C">
            <w:pPr>
              <w:keepNext/>
              <w:rPr>
                <w:rStyle w:val="PlaceholderText"/>
                <w:rFonts w:ascii="Arial" w:hAnsi="Arial" w:cs="Arial"/>
                <w:b w:val="0"/>
                <w:szCs w:val="18"/>
              </w:rPr>
            </w:pPr>
            <w:r w:rsidRPr="000E5B41">
              <w:rPr>
                <w:rStyle w:val="PlaceholderText"/>
                <w:rFonts w:ascii="Arial" w:hAnsi="Arial" w:cs="Arial"/>
                <w:szCs w:val="18"/>
              </w:rPr>
              <w:t>Sector</w:t>
            </w:r>
          </w:p>
        </w:tc>
        <w:tc>
          <w:tcPr>
            <w:tcW w:w="1254" w:type="pct"/>
            <w:tcBorders>
              <w:bottom w:val="single" w:sz="4" w:space="0" w:color="auto"/>
            </w:tcBorders>
          </w:tcPr>
          <w:p w:rsidR="00B43592" w:rsidRPr="00CC2DE1" w:rsidRDefault="00B43592" w:rsidP="00C8003C">
            <w:pPr>
              <w:keepNext/>
              <w:rPr>
                <w:rStyle w:val="PlaceholderText"/>
                <w:rFonts w:ascii="Arial" w:hAnsi="Arial" w:cs="Arial"/>
                <w:b w:val="0"/>
                <w:szCs w:val="18"/>
              </w:rPr>
            </w:pPr>
            <w:r w:rsidRPr="000E5B41">
              <w:rPr>
                <w:rStyle w:val="PlaceholderText"/>
                <w:rFonts w:ascii="Arial" w:hAnsi="Arial" w:cs="Arial"/>
                <w:szCs w:val="18"/>
              </w:rPr>
              <w:t>Price</w:t>
            </w:r>
          </w:p>
        </w:tc>
        <w:tc>
          <w:tcPr>
            <w:tcW w:w="1254" w:type="pct"/>
            <w:tcBorders>
              <w:bottom w:val="single" w:sz="4" w:space="0" w:color="auto"/>
            </w:tcBorders>
          </w:tcPr>
          <w:p w:rsidR="00B43592" w:rsidRPr="00CC2DE1" w:rsidRDefault="00B43592" w:rsidP="00C8003C">
            <w:pPr>
              <w:keepNext/>
              <w:rPr>
                <w:rStyle w:val="PlaceholderText"/>
                <w:rFonts w:ascii="Arial" w:hAnsi="Arial" w:cs="Arial"/>
                <w:b w:val="0"/>
                <w:szCs w:val="18"/>
              </w:rPr>
            </w:pPr>
            <w:r w:rsidRPr="000E5B41">
              <w:rPr>
                <w:rStyle w:val="PlaceholderText"/>
                <w:rFonts w:ascii="Arial" w:hAnsi="Arial" w:cs="Arial"/>
                <w:szCs w:val="18"/>
              </w:rPr>
              <w:t>GVA/FCE</w:t>
            </w:r>
          </w:p>
        </w:tc>
        <w:tc>
          <w:tcPr>
            <w:tcW w:w="1254" w:type="pct"/>
            <w:tcBorders>
              <w:bottom w:val="single" w:sz="4" w:space="0" w:color="auto"/>
            </w:tcBorders>
          </w:tcPr>
          <w:p w:rsidR="00B43592" w:rsidRPr="00CC2DE1" w:rsidRDefault="00B43592" w:rsidP="00C8003C">
            <w:pPr>
              <w:keepNext/>
              <w:rPr>
                <w:rStyle w:val="PlaceholderText"/>
                <w:rFonts w:ascii="Arial" w:hAnsi="Arial" w:cs="Arial"/>
                <w:b w:val="0"/>
                <w:szCs w:val="18"/>
              </w:rPr>
            </w:pPr>
            <w:r w:rsidRPr="000E5B41">
              <w:rPr>
                <w:rStyle w:val="PlaceholderText"/>
                <w:rFonts w:ascii="Arial" w:hAnsi="Arial" w:cs="Arial"/>
                <w:szCs w:val="18"/>
              </w:rPr>
              <w:t>Weather</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238" w:type="pct"/>
            <w:tcBorders>
              <w:top w:val="single" w:sz="4" w:space="0" w:color="auto"/>
            </w:tcBorders>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Manufacturing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[2012]</w:t>
            </w:r>
          </w:p>
        </w:tc>
        <w:tc>
          <w:tcPr>
            <w:tcW w:w="1254" w:type="pct"/>
            <w:tcBorders>
              <w:top w:val="single" w:sz="4" w:space="0" w:color="auto"/>
            </w:tcBorders>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-.64 </w:t>
            </w:r>
          </w:p>
          <w:p w:rsidR="00B43592" w:rsidRPr="004328B0" w:rsidRDefault="00B43592" w:rsidP="00C8003C">
            <w:pPr>
              <w:keepNext/>
              <w:spacing w:line="200" w:lineRule="exact"/>
              <w:rPr>
                <w:rStyle w:val="PlaceholderText"/>
                <w:rFonts w:ascii="Arial" w:hAnsi="Arial" w:cs="Arial"/>
                <w:b/>
                <w:szCs w:val="18"/>
              </w:rPr>
            </w:pPr>
            <w:r>
              <w:rPr>
                <w:rStyle w:val="PlaceholderText"/>
                <w:rFonts w:ascii="Arial" w:hAnsi="Arial" w:cs="Arial"/>
                <w:szCs w:val="18"/>
              </w:rPr>
              <w:t>[-.64]</w:t>
            </w:r>
          </w:p>
        </w:tc>
        <w:tc>
          <w:tcPr>
            <w:tcW w:w="1254" w:type="pct"/>
            <w:tcBorders>
              <w:top w:val="single" w:sz="4" w:space="0" w:color="auto"/>
            </w:tcBorders>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tc>
        <w:tc>
          <w:tcPr>
            <w:tcW w:w="1254" w:type="pct"/>
            <w:tcBorders>
              <w:top w:val="single" w:sz="4" w:space="0" w:color="auto"/>
            </w:tcBorders>
          </w:tcPr>
          <w:p w:rsidR="00B43592" w:rsidRDefault="00B43592" w:rsidP="00C8003C">
            <w:pPr>
              <w:keepNext/>
              <w:spacing w:line="200" w:lineRule="exact"/>
              <w:rPr>
                <w:rStyle w:val="PlaceholderText"/>
                <w:rFonts w:ascii="Arial" w:hAnsi="Arial" w:cs="Arial"/>
                <w:szCs w:val="18"/>
              </w:rPr>
            </w:pP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NA</w:t>
            </w:r>
          </w:p>
        </w:tc>
      </w:tr>
      <w:tr w:rsidR="00B43592" w:rsidRPr="00980041" w:rsidTr="00C8003C">
        <w:trPr>
          <w:trHeight w:val="737"/>
        </w:trPr>
        <w:tc>
          <w:tcPr>
            <w:tcW w:w="1238" w:type="pct"/>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 xml:space="preserve">Commercial and </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Services</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[2011]</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0.45</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[-0.47]</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[1.00]</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0.04</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[0.04]</w:t>
            </w:r>
          </w:p>
        </w:tc>
      </w:tr>
      <w:tr w:rsidR="00B43592" w:rsidRPr="00980041" w:rsidTr="00C8003C">
        <w:trPr>
          <w:cnfStyle w:val="000000100000" w:firstRow="0" w:lastRow="0" w:firstColumn="0" w:lastColumn="0" w:oddVBand="0" w:evenVBand="0" w:oddHBand="1" w:evenHBand="0" w:firstRowFirstColumn="0" w:firstRowLastColumn="0" w:lastRowFirstColumn="0" w:lastRowLastColumn="0"/>
          <w:trHeight w:val="737"/>
        </w:trPr>
        <w:tc>
          <w:tcPr>
            <w:tcW w:w="1238" w:type="pct"/>
          </w:tcPr>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Residential</w:t>
            </w: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2007</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[2012]</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-.14</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[-0.07]</w:t>
            </w:r>
          </w:p>
        </w:tc>
        <w:tc>
          <w:tcPr>
            <w:tcW w:w="1254" w:type="pct"/>
          </w:tcPr>
          <w:p w:rsidR="00B43592" w:rsidRDefault="00B43592" w:rsidP="00C8003C">
            <w:pPr>
              <w:keepNext/>
              <w:spacing w:line="200" w:lineRule="exact"/>
              <w:rPr>
                <w:rStyle w:val="PlaceholderText"/>
                <w:rFonts w:ascii="Arial" w:hAnsi="Arial" w:cs="Arial"/>
                <w:szCs w:val="18"/>
              </w:rPr>
            </w:pPr>
          </w:p>
          <w:p w:rsidR="00B43592"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0.63</w:t>
            </w: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[0.68]</w:t>
            </w:r>
          </w:p>
        </w:tc>
        <w:tc>
          <w:tcPr>
            <w:tcW w:w="1254" w:type="pct"/>
          </w:tcPr>
          <w:p w:rsidR="00B43592" w:rsidRDefault="00B43592" w:rsidP="00C8003C">
            <w:pPr>
              <w:keepNext/>
              <w:spacing w:line="200" w:lineRule="exact"/>
              <w:rPr>
                <w:rStyle w:val="PlaceholderText"/>
                <w:rFonts w:ascii="Arial" w:hAnsi="Arial" w:cs="Arial"/>
                <w:szCs w:val="18"/>
              </w:rPr>
            </w:pPr>
          </w:p>
          <w:p w:rsidR="00B43592" w:rsidRPr="004328B0" w:rsidRDefault="00B43592" w:rsidP="00C8003C">
            <w:pPr>
              <w:keepNext/>
              <w:spacing w:line="200" w:lineRule="exact"/>
              <w:rPr>
                <w:rStyle w:val="PlaceholderText"/>
                <w:rFonts w:ascii="Arial" w:hAnsi="Arial" w:cs="Arial"/>
                <w:szCs w:val="18"/>
              </w:rPr>
            </w:pPr>
            <w:r>
              <w:rPr>
                <w:rStyle w:val="PlaceholderText"/>
                <w:rFonts w:ascii="Arial" w:hAnsi="Arial" w:cs="Arial"/>
                <w:szCs w:val="18"/>
              </w:rPr>
              <w:t>NA</w:t>
            </w:r>
          </w:p>
        </w:tc>
      </w:tr>
    </w:tbl>
    <w:p w:rsidR="00B43592" w:rsidRPr="00820511" w:rsidRDefault="00B43592" w:rsidP="00B43592">
      <w:pPr>
        <w:pStyle w:val="Header"/>
        <w:pBdr>
          <w:bottom w:val="none" w:sz="0" w:space="0" w:color="auto"/>
        </w:pBdr>
      </w:pPr>
    </w:p>
    <w:p w:rsidR="00B43592" w:rsidRDefault="00B43592" w:rsidP="00B43592">
      <w:pPr>
        <w:pStyle w:val="Note"/>
      </w:pPr>
      <w:r>
        <w:t>Note:</w:t>
      </w:r>
      <w:r>
        <w:tab/>
        <w:t>Long run elasticity coefficients of different ADL models</w:t>
      </w:r>
      <w:r w:rsidRPr="00EF51BF">
        <w:t xml:space="preserve"> </w:t>
      </w:r>
    </w:p>
    <w:p w:rsidR="00B43592" w:rsidRDefault="00B43592" w:rsidP="00B43592">
      <w:pPr>
        <w:pStyle w:val="Note"/>
      </w:pPr>
      <w:r w:rsidRPr="00EF51BF">
        <w:t>Source:</w:t>
      </w:r>
      <w:r>
        <w:tab/>
        <w:t>Vivid Economics</w:t>
      </w:r>
    </w:p>
    <w:bookmarkEnd w:id="344"/>
    <w:p w:rsidR="00477577" w:rsidRDefault="00477577" w:rsidP="00310037">
      <w:pPr>
        <w:pStyle w:val="Appendix"/>
        <w:sectPr w:rsidR="00477577" w:rsidSect="00A3383B">
          <w:footerReference w:type="default" r:id="rId73"/>
          <w:pgSz w:w="11907" w:h="16840" w:code="9"/>
          <w:pgMar w:top="1985" w:right="1134" w:bottom="1701" w:left="1134" w:header="425" w:footer="284" w:gutter="0"/>
          <w:cols w:space="708"/>
          <w:docGrid w:linePitch="360"/>
        </w:sectPr>
      </w:pPr>
    </w:p>
    <w:p w:rsidR="002663CB" w:rsidRPr="00EF51BF" w:rsidRDefault="002663CB" w:rsidP="002663CB">
      <w:pPr>
        <w:pStyle w:val="References"/>
      </w:pPr>
      <w:bookmarkStart w:id="354" w:name="_Toc369890509"/>
      <w:r w:rsidRPr="00EF51BF">
        <w:lastRenderedPageBreak/>
        <w:t>References</w:t>
      </w:r>
      <w:bookmarkEnd w:id="354"/>
      <w:r w:rsidRPr="00EF51BF">
        <w:t xml:space="preserve"> </w:t>
      </w:r>
    </w:p>
    <w:p w:rsidR="00971CE6" w:rsidRDefault="00971CE6">
      <w:pPr>
        <w:pStyle w:val="NormalWeb"/>
        <w:ind w:left="480" w:hanging="480"/>
        <w:divId w:val="1203055241"/>
        <w:rPr>
          <w:rFonts w:eastAsiaTheme="minorEastAsia"/>
        </w:rPr>
      </w:pPr>
      <w:r>
        <w:t xml:space="preserve">ACIL Tasman. (2012). </w:t>
      </w:r>
      <w:r>
        <w:rPr>
          <w:i/>
          <w:iCs/>
        </w:rPr>
        <w:t>Fuel cost projections</w:t>
      </w:r>
      <w:r>
        <w:t>.</w:t>
      </w:r>
    </w:p>
    <w:p w:rsidR="00971CE6" w:rsidRDefault="00971CE6">
      <w:pPr>
        <w:pStyle w:val="NormalWeb"/>
        <w:ind w:left="480" w:hanging="480"/>
        <w:divId w:val="1203055241"/>
      </w:pPr>
      <w:r>
        <w:t xml:space="preserve">AEMO. (2013). National Electricity Forecasting Report. </w:t>
      </w:r>
      <w:r>
        <w:rPr>
          <w:i/>
          <w:iCs/>
        </w:rPr>
        <w:t>AEMO Australian Energy Market Operator</w:t>
      </w:r>
      <w:r>
        <w:t>.</w:t>
      </w:r>
    </w:p>
    <w:p w:rsidR="00971CE6" w:rsidRDefault="00971CE6">
      <w:pPr>
        <w:pStyle w:val="NormalWeb"/>
        <w:ind w:left="480" w:hanging="480"/>
        <w:divId w:val="1203055241"/>
      </w:pPr>
      <w:r>
        <w:t xml:space="preserve">Ang, B. W. (2005). The LMDI approach to decomposition analysis: a practical guide. </w:t>
      </w:r>
      <w:r>
        <w:rPr>
          <w:i/>
          <w:iCs/>
        </w:rPr>
        <w:t>Energy Policy</w:t>
      </w:r>
      <w:r>
        <w:t xml:space="preserve">, </w:t>
      </w:r>
      <w:r>
        <w:rPr>
          <w:i/>
          <w:iCs/>
        </w:rPr>
        <w:t>33</w:t>
      </w:r>
      <w:r>
        <w:t>, 867–871.</w:t>
      </w:r>
    </w:p>
    <w:p w:rsidR="00971CE6" w:rsidRDefault="00971CE6">
      <w:pPr>
        <w:pStyle w:val="NormalWeb"/>
        <w:ind w:left="480" w:hanging="480"/>
        <w:divId w:val="1203055241"/>
      </w:pPr>
      <w:r w:rsidRPr="00366A8E">
        <w:t xml:space="preserve">Ang, B. W., &amp; Zhang, F. Q. (2000). </w:t>
      </w:r>
      <w:r>
        <w:t xml:space="preserve">A survey of index decomposition analysis in energy and environmental studies. </w:t>
      </w:r>
      <w:r>
        <w:rPr>
          <w:i/>
          <w:iCs/>
        </w:rPr>
        <w:t>Energy</w:t>
      </w:r>
      <w:r>
        <w:t xml:space="preserve">, </w:t>
      </w:r>
      <w:r>
        <w:rPr>
          <w:i/>
          <w:iCs/>
        </w:rPr>
        <w:t>25</w:t>
      </w:r>
      <w:r>
        <w:t>(12), 1149–1176</w:t>
      </w:r>
    </w:p>
    <w:p w:rsidR="00971CE6" w:rsidRDefault="00971CE6">
      <w:pPr>
        <w:pStyle w:val="NormalWeb"/>
        <w:ind w:left="480" w:hanging="480"/>
        <w:divId w:val="1203055241"/>
      </w:pPr>
      <w:r>
        <w:t>Australian Bureau of Statistics. (2013).</w:t>
      </w:r>
    </w:p>
    <w:p w:rsidR="00971CE6" w:rsidRDefault="00971CE6">
      <w:pPr>
        <w:pStyle w:val="NormalWeb"/>
        <w:ind w:left="480" w:hanging="480"/>
        <w:divId w:val="1203055241"/>
      </w:pPr>
      <w:r>
        <w:t xml:space="preserve">Australian Government Bureau of </w:t>
      </w:r>
      <w:r w:rsidRPr="00AC1FC2">
        <w:t>Resource</w:t>
      </w:r>
      <w:r>
        <w:t xml:space="preserve"> and Energy Economics. (2012). </w:t>
      </w:r>
      <w:r>
        <w:rPr>
          <w:i/>
          <w:iCs/>
        </w:rPr>
        <w:t>BREE AUS electricity generation</w:t>
      </w:r>
      <w:r>
        <w:t>.</w:t>
      </w:r>
    </w:p>
    <w:p w:rsidR="00971CE6" w:rsidRDefault="00971CE6">
      <w:pPr>
        <w:pStyle w:val="NormalWeb"/>
        <w:ind w:left="480" w:hanging="480"/>
        <w:divId w:val="1203055241"/>
      </w:pPr>
      <w:r>
        <w:t xml:space="preserve">Australian Government Bureau of </w:t>
      </w:r>
      <w:r w:rsidRPr="00AC1FC2">
        <w:t>Resource</w:t>
      </w:r>
      <w:r>
        <w:t xml:space="preserve"> and Energy Economics. (2013). 2013 Australian Energy Update.</w:t>
      </w:r>
    </w:p>
    <w:p w:rsidR="00971CE6" w:rsidRDefault="00971CE6">
      <w:pPr>
        <w:pStyle w:val="NormalWeb"/>
        <w:ind w:left="480" w:hanging="480"/>
        <w:divId w:val="1203055241"/>
      </w:pPr>
      <w:r>
        <w:t xml:space="preserve">Australian Government Bureau of </w:t>
      </w:r>
      <w:r w:rsidRPr="00AC1FC2">
        <w:t>Resources</w:t>
      </w:r>
      <w:r w:rsidRPr="001B1C21">
        <w:t xml:space="preserve"> a</w:t>
      </w:r>
      <w:r>
        <w:t xml:space="preserve">nd Energy Economics. (2012a). </w:t>
      </w:r>
      <w:r>
        <w:rPr>
          <w:i/>
          <w:iCs/>
        </w:rPr>
        <w:t>Australian Energy Technology Assessment</w:t>
      </w:r>
      <w:r>
        <w:t>.</w:t>
      </w:r>
    </w:p>
    <w:p w:rsidR="00971CE6" w:rsidRDefault="00971CE6">
      <w:pPr>
        <w:pStyle w:val="NormalWeb"/>
        <w:ind w:left="480" w:hanging="480"/>
        <w:divId w:val="1203055241"/>
      </w:pPr>
      <w:r>
        <w:t xml:space="preserve">Australian Government Bureau of </w:t>
      </w:r>
      <w:r w:rsidRPr="00AC1FC2">
        <w:t>Resources</w:t>
      </w:r>
      <w:r>
        <w:t xml:space="preserve"> and Energy Economics. (2012b). Major electricity generation projects.</w:t>
      </w:r>
    </w:p>
    <w:p w:rsidR="00971CE6" w:rsidRDefault="00971CE6">
      <w:pPr>
        <w:pStyle w:val="NormalWeb"/>
        <w:ind w:left="480" w:hanging="480"/>
        <w:divId w:val="1203055241"/>
      </w:pPr>
      <w:r>
        <w:t xml:space="preserve">Australian Government Bureau of </w:t>
      </w:r>
      <w:r w:rsidRPr="00AC1FC2">
        <w:t>Resources</w:t>
      </w:r>
      <w:r>
        <w:t xml:space="preserve"> and Energy Economics. (2013). Energy in Australia.</w:t>
      </w:r>
    </w:p>
    <w:p w:rsidR="00971CE6" w:rsidRDefault="00971CE6">
      <w:pPr>
        <w:pStyle w:val="NormalWeb"/>
        <w:ind w:left="480" w:hanging="480"/>
        <w:divId w:val="1203055241"/>
      </w:pPr>
      <w:r>
        <w:t>Australian Government National Greenhouse Gas Inventory. (2013). National Greenhouse Gas Inventory.</w:t>
      </w:r>
    </w:p>
    <w:p w:rsidR="00971CE6" w:rsidRDefault="00971CE6">
      <w:pPr>
        <w:pStyle w:val="NormalWeb"/>
        <w:ind w:left="480" w:hanging="480"/>
        <w:divId w:val="1203055241"/>
      </w:pPr>
      <w:r>
        <w:t xml:space="preserve">Clare Stark, Penney, K., &amp; Feng, A. (2012). Australian Energy Update 2012. </w:t>
      </w:r>
      <w:r>
        <w:rPr>
          <w:i/>
          <w:iCs/>
        </w:rPr>
        <w:t>Bureau of Resources and Energy Economics Publication</w:t>
      </w:r>
      <w:r>
        <w:t>.</w:t>
      </w:r>
    </w:p>
    <w:p w:rsidR="00971CE6" w:rsidRDefault="00971CE6">
      <w:pPr>
        <w:pStyle w:val="NormalWeb"/>
        <w:ind w:left="480" w:hanging="480"/>
        <w:divId w:val="1203055241"/>
      </w:pPr>
      <w:r>
        <w:t xml:space="preserve">Climate Works. (2013). </w:t>
      </w:r>
      <w:r>
        <w:rPr>
          <w:i/>
          <w:iCs/>
        </w:rPr>
        <w:t>Tracking progress towards a low carbon economy</w:t>
      </w:r>
      <w:r>
        <w:t>.</w:t>
      </w:r>
    </w:p>
    <w:p w:rsidR="00971CE6" w:rsidRDefault="00971CE6">
      <w:pPr>
        <w:pStyle w:val="NormalWeb"/>
        <w:ind w:left="480" w:hanging="480"/>
        <w:divId w:val="1203055241"/>
      </w:pPr>
      <w:r>
        <w:t xml:space="preserve">Deutsche Bank. (2013). The Carbon Column 12, </w:t>
      </w:r>
      <w:r>
        <w:rPr>
          <w:i/>
          <w:iCs/>
        </w:rPr>
        <w:t>June</w:t>
      </w:r>
      <w:r>
        <w:t>.</w:t>
      </w:r>
    </w:p>
    <w:p w:rsidR="00971CE6" w:rsidRDefault="00971CE6">
      <w:pPr>
        <w:pStyle w:val="NormalWeb"/>
        <w:ind w:left="480" w:hanging="480"/>
        <w:divId w:val="1203055241"/>
      </w:pPr>
      <w:r>
        <w:t>International Energy Agency. (2013). CO2 emissions from fuel combustion.</w:t>
      </w:r>
    </w:p>
    <w:p w:rsidR="00971CE6" w:rsidRDefault="00971CE6">
      <w:pPr>
        <w:pStyle w:val="NormalWeb"/>
        <w:ind w:left="480" w:hanging="480"/>
        <w:divId w:val="1203055241"/>
      </w:pPr>
      <w:r w:rsidRPr="00971CE6">
        <w:rPr>
          <w:lang w:val="de-DE"/>
        </w:rPr>
        <w:t xml:space="preserve">Madlener, R., Bernstein, R., &amp; Gonzalez, M. (2011). </w:t>
      </w:r>
      <w:r>
        <w:rPr>
          <w:i/>
          <w:iCs/>
        </w:rPr>
        <w:t>Econometric Estimation of Energy Demand Elasticities</w:t>
      </w:r>
      <w:r>
        <w:t>.</w:t>
      </w:r>
    </w:p>
    <w:p w:rsidR="00971CE6" w:rsidRDefault="00971CE6">
      <w:pPr>
        <w:pStyle w:val="NormalWeb"/>
        <w:ind w:left="480" w:hanging="480"/>
        <w:divId w:val="1203055241"/>
      </w:pPr>
      <w:r>
        <w:lastRenderedPageBreak/>
        <w:t xml:space="preserve">Pesaran, M. H., Shin, Y., &amp; Smith, R. J. (2001). Bounds testing approaches to the analysis of level relationships. </w:t>
      </w:r>
      <w:r>
        <w:rPr>
          <w:i/>
          <w:iCs/>
        </w:rPr>
        <w:t>Journal of Applied Econometrics</w:t>
      </w:r>
      <w:r>
        <w:t xml:space="preserve">, </w:t>
      </w:r>
      <w:r>
        <w:rPr>
          <w:i/>
          <w:iCs/>
        </w:rPr>
        <w:t>16</w:t>
      </w:r>
      <w:r>
        <w:t>(3), 289–326</w:t>
      </w:r>
      <w:r w:rsidR="00F41069">
        <w:t>.</w:t>
      </w:r>
    </w:p>
    <w:p w:rsidR="00971CE6" w:rsidRDefault="00971CE6">
      <w:pPr>
        <w:pStyle w:val="NormalWeb"/>
        <w:ind w:left="480" w:hanging="480"/>
        <w:divId w:val="1203055241"/>
      </w:pPr>
      <w:r>
        <w:t>Pitt and Sherry. (2013). National Electricity Market demand and emissions continue to fall. Peak and WA seem t</w:t>
      </w:r>
      <w:r w:rsidR="00AC1FC2">
        <w:t>o be following.</w:t>
      </w:r>
    </w:p>
    <w:p w:rsidR="00971CE6" w:rsidRDefault="00971CE6">
      <w:pPr>
        <w:pStyle w:val="NormalWeb"/>
        <w:ind w:left="480" w:hanging="480"/>
        <w:divId w:val="1203055241"/>
      </w:pPr>
      <w:r>
        <w:t xml:space="preserve">Queensland Department of Energy and Water Supply. (2012). </w:t>
      </w:r>
      <w:r>
        <w:rPr>
          <w:i/>
          <w:iCs/>
        </w:rPr>
        <w:t>Queensland Gas Scheme 2011 Liable Year Annual Report</w:t>
      </w:r>
      <w:r>
        <w:t>.</w:t>
      </w:r>
    </w:p>
    <w:p w:rsidR="00971CE6" w:rsidRDefault="00971CE6">
      <w:pPr>
        <w:pStyle w:val="NormalWeb"/>
        <w:ind w:left="480" w:hanging="480"/>
        <w:divId w:val="1203055241"/>
      </w:pPr>
      <w:r>
        <w:t xml:space="preserve">Trudeau, N. (2012). Update on energy efficiency activities at the IEA. The Scoreboard and other analytical developments Development and use of indicators at the IEA. </w:t>
      </w:r>
      <w:r>
        <w:rPr>
          <w:i/>
          <w:iCs/>
        </w:rPr>
        <w:t>Energy Efficiency Indicators Workshop</w:t>
      </w:r>
      <w:r>
        <w:t>, (June), 6–7.</w:t>
      </w:r>
    </w:p>
    <w:p w:rsidR="00971CE6" w:rsidRDefault="00971CE6">
      <w:pPr>
        <w:pStyle w:val="NormalWeb"/>
        <w:ind w:left="480" w:hanging="480"/>
        <w:divId w:val="1203055241"/>
      </w:pPr>
      <w:r>
        <w:t>UNFCC</w:t>
      </w:r>
      <w:r w:rsidR="00543506">
        <w:t>C</w:t>
      </w:r>
      <w:r>
        <w:t>. (2010). Australia’s Fifth National Communication on Climate Change.</w:t>
      </w:r>
    </w:p>
    <w:p w:rsidR="00F41069" w:rsidRDefault="00971CE6">
      <w:pPr>
        <w:pStyle w:val="NormalWeb"/>
        <w:ind w:left="480" w:hanging="480"/>
        <w:divId w:val="1203055241"/>
      </w:pPr>
      <w:r>
        <w:t>UNFCCC. (2013). Australia’s Sixth National Communication on Climate Change.</w:t>
      </w:r>
    </w:p>
    <w:p w:rsidR="00971CE6" w:rsidRDefault="00971CE6" w:rsidP="00896BF6"/>
    <w:p w:rsidR="003E6F75" w:rsidRPr="00EF51BF" w:rsidRDefault="003E6F75" w:rsidP="00896BF6">
      <w:pPr>
        <w:sectPr w:rsidR="003E6F75" w:rsidRPr="00EF51BF" w:rsidSect="00A3383B">
          <w:footerReference w:type="default" r:id="rId74"/>
          <w:pgSz w:w="11907" w:h="16840" w:code="9"/>
          <w:pgMar w:top="1985" w:right="1134" w:bottom="1701" w:left="1134" w:header="425" w:footer="284" w:gutter="0"/>
          <w:cols w:space="708"/>
          <w:docGrid w:linePitch="360"/>
        </w:sectPr>
      </w:pPr>
    </w:p>
    <w:p w:rsidR="00DC5539" w:rsidRPr="00EF51BF" w:rsidRDefault="00DC5539" w:rsidP="00DC5539">
      <w:pPr>
        <w:spacing w:line="240" w:lineRule="exact"/>
        <w:rPr>
          <w:rFonts w:asciiTheme="minorHAnsi" w:hAnsiTheme="minorHAnsi" w:cstheme="minorHAnsi"/>
          <w:b/>
          <w:sz w:val="19"/>
          <w:szCs w:val="19"/>
        </w:rPr>
      </w:pPr>
    </w:p>
    <w:p w:rsidR="00DC5539" w:rsidRPr="00EF51BF" w:rsidRDefault="00DC5539" w:rsidP="00DC5539">
      <w:pPr>
        <w:spacing w:line="240" w:lineRule="exact"/>
        <w:rPr>
          <w:rFonts w:cs="Times New Roman"/>
          <w:sz w:val="19"/>
          <w:szCs w:val="19"/>
        </w:rPr>
      </w:pPr>
    </w:p>
    <w:tbl>
      <w:tblPr>
        <w:tblStyle w:val="TableGrid"/>
        <w:tblpPr w:leftFromText="180" w:rightFromText="180" w:vertAnchor="text" w:tblpY="8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5"/>
      </w:tblGrid>
      <w:tr w:rsidR="00DC5539" w:rsidRPr="00EF51BF" w:rsidTr="00DC5539">
        <w:tc>
          <w:tcPr>
            <w:tcW w:w="7445" w:type="dxa"/>
          </w:tcPr>
          <w:p w:rsidR="00DC5539" w:rsidRPr="00EF51BF" w:rsidRDefault="00DC5539" w:rsidP="00DC5539">
            <w:pPr>
              <w:pBdr>
                <w:top w:val="single" w:sz="4" w:space="6" w:color="auto"/>
                <w:bottom w:val="single" w:sz="4" w:space="6" w:color="auto"/>
              </w:pBdr>
              <w:spacing w:line="240" w:lineRule="exact"/>
              <w:rPr>
                <w:rFonts w:asciiTheme="minorHAnsi" w:hAnsiTheme="minorHAnsi" w:cstheme="minorHAnsi"/>
                <w:b/>
                <w:sz w:val="19"/>
                <w:szCs w:val="19"/>
              </w:rPr>
            </w:pPr>
            <w:r w:rsidRPr="00EF51BF">
              <w:rPr>
                <w:rFonts w:asciiTheme="minorHAnsi" w:hAnsiTheme="minorHAnsi" w:cstheme="minorHAnsi"/>
                <w:b/>
                <w:sz w:val="19"/>
                <w:szCs w:val="19"/>
              </w:rPr>
              <w:t>Contact us:</w:t>
            </w:r>
          </w:p>
          <w:p w:rsidR="00DC5539" w:rsidRDefault="00237B18" w:rsidP="00DC5539">
            <w:pPr>
              <w:pBdr>
                <w:top w:val="single" w:sz="4" w:space="6" w:color="auto"/>
                <w:bottom w:val="single" w:sz="4" w:space="6" w:color="auto"/>
              </w:pBdr>
              <w:tabs>
                <w:tab w:val="left" w:pos="2410"/>
              </w:tabs>
              <w:spacing w:line="240" w:lineRule="exact"/>
              <w:rPr>
                <w:rFonts w:asciiTheme="minorHAnsi" w:hAnsiTheme="minorHAnsi" w:cstheme="minorHAnsi"/>
                <w:color w:val="4D4D4D"/>
                <w:sz w:val="19"/>
                <w:szCs w:val="19"/>
              </w:rPr>
            </w:pPr>
            <w:r>
              <w:rPr>
                <w:rFonts w:asciiTheme="minorHAnsi" w:hAnsiTheme="minorHAnsi" w:cstheme="minorHAnsi"/>
                <w:color w:val="4D4D4D"/>
                <w:sz w:val="19"/>
                <w:szCs w:val="19"/>
              </w:rPr>
              <w:t>Vivid Economics Limited</w:t>
            </w:r>
            <w:r w:rsidR="00DC5539" w:rsidRPr="00EF51BF">
              <w:rPr>
                <w:rFonts w:asciiTheme="minorHAnsi" w:hAnsiTheme="minorHAnsi" w:cstheme="minorHAnsi"/>
                <w:color w:val="4D4D4D"/>
                <w:sz w:val="19"/>
                <w:szCs w:val="19"/>
              </w:rPr>
              <w:tab/>
            </w:r>
            <w:r>
              <w:rPr>
                <w:rFonts w:asciiTheme="minorHAnsi" w:hAnsiTheme="minorHAnsi" w:cstheme="minorHAnsi"/>
                <w:color w:val="4D4D4D"/>
                <w:sz w:val="19"/>
                <w:szCs w:val="19"/>
              </w:rPr>
              <w:t xml:space="preserve">         </w:t>
            </w:r>
            <w:r w:rsidR="00DC5539" w:rsidRPr="00EF51BF">
              <w:rPr>
                <w:rFonts w:asciiTheme="minorHAnsi" w:hAnsiTheme="minorHAnsi" w:cstheme="minorHAnsi"/>
                <w:color w:val="4D4D4D"/>
                <w:sz w:val="19"/>
                <w:szCs w:val="19"/>
              </w:rPr>
              <w:t>T: +44 (0)844 8000 254</w:t>
            </w:r>
          </w:p>
          <w:p w:rsidR="00237B18" w:rsidRPr="00EF51BF" w:rsidRDefault="00237B18" w:rsidP="00DC5539">
            <w:pPr>
              <w:pBdr>
                <w:top w:val="single" w:sz="4" w:space="6" w:color="auto"/>
                <w:bottom w:val="single" w:sz="4" w:space="6" w:color="auto"/>
              </w:pBdr>
              <w:tabs>
                <w:tab w:val="left" w:pos="2410"/>
              </w:tabs>
              <w:spacing w:line="240" w:lineRule="exact"/>
              <w:rPr>
                <w:rFonts w:asciiTheme="minorHAnsi" w:hAnsiTheme="minorHAnsi" w:cstheme="minorHAnsi"/>
                <w:color w:val="4D4D4D"/>
                <w:sz w:val="19"/>
                <w:szCs w:val="19"/>
              </w:rPr>
            </w:pPr>
            <w:r>
              <w:rPr>
                <w:rFonts w:asciiTheme="minorHAnsi" w:hAnsiTheme="minorHAnsi" w:cstheme="minorHAnsi"/>
                <w:color w:val="4D4D4D"/>
                <w:sz w:val="19"/>
                <w:szCs w:val="19"/>
              </w:rPr>
              <w:t>The Media Village</w:t>
            </w:r>
          </w:p>
          <w:p w:rsidR="00DC5539" w:rsidRPr="00EF51BF" w:rsidRDefault="00237B18" w:rsidP="00DC5539">
            <w:pPr>
              <w:pBdr>
                <w:top w:val="single" w:sz="4" w:space="6" w:color="auto"/>
                <w:bottom w:val="single" w:sz="4" w:space="6" w:color="auto"/>
              </w:pBdr>
              <w:tabs>
                <w:tab w:val="left" w:pos="2410"/>
              </w:tabs>
              <w:spacing w:line="240" w:lineRule="exact"/>
              <w:rPr>
                <w:rFonts w:asciiTheme="minorHAnsi" w:hAnsiTheme="minorHAnsi" w:cstheme="minorHAnsi"/>
                <w:color w:val="4D4D4D"/>
                <w:sz w:val="19"/>
                <w:szCs w:val="19"/>
              </w:rPr>
            </w:pPr>
            <w:r>
              <w:rPr>
                <w:rFonts w:asciiTheme="minorHAnsi" w:hAnsiTheme="minorHAnsi" w:cstheme="minorHAnsi"/>
                <w:color w:val="4D4D4D"/>
                <w:sz w:val="19"/>
                <w:szCs w:val="19"/>
              </w:rPr>
              <w:t>131-151 Great Titchfield Street</w:t>
            </w:r>
            <w:r w:rsidR="00DC5539" w:rsidRPr="00EF51BF">
              <w:rPr>
                <w:rFonts w:asciiTheme="minorHAnsi" w:hAnsiTheme="minorHAnsi" w:cstheme="minorHAnsi"/>
                <w:color w:val="4D4D4D"/>
                <w:sz w:val="19"/>
                <w:szCs w:val="19"/>
              </w:rPr>
              <w:tab/>
              <w:t>E: enquiries@vivideconomics.com</w:t>
            </w:r>
          </w:p>
          <w:p w:rsidR="00DC5539" w:rsidRDefault="00DC5539" w:rsidP="00DC5539">
            <w:pPr>
              <w:pBdr>
                <w:top w:val="single" w:sz="4" w:space="6" w:color="auto"/>
                <w:bottom w:val="single" w:sz="4" w:space="6" w:color="auto"/>
              </w:pBdr>
              <w:spacing w:line="240" w:lineRule="exact"/>
              <w:rPr>
                <w:rFonts w:asciiTheme="minorHAnsi" w:hAnsiTheme="minorHAnsi" w:cstheme="minorHAnsi"/>
                <w:color w:val="4D4D4D"/>
                <w:sz w:val="19"/>
                <w:szCs w:val="19"/>
              </w:rPr>
            </w:pPr>
            <w:r w:rsidRPr="00EF51BF">
              <w:rPr>
                <w:rFonts w:asciiTheme="minorHAnsi" w:hAnsiTheme="minorHAnsi" w:cstheme="minorHAnsi"/>
                <w:color w:val="4D4D4D"/>
                <w:sz w:val="19"/>
                <w:szCs w:val="19"/>
              </w:rPr>
              <w:t xml:space="preserve">London </w:t>
            </w:r>
            <w:r w:rsidR="00237B18">
              <w:rPr>
                <w:rFonts w:asciiTheme="minorHAnsi" w:hAnsiTheme="minorHAnsi" w:cstheme="minorHAnsi"/>
                <w:color w:val="4D4D4D"/>
                <w:sz w:val="19"/>
                <w:szCs w:val="19"/>
              </w:rPr>
              <w:t>W1W 5BB</w:t>
            </w:r>
          </w:p>
          <w:p w:rsidR="00237B18" w:rsidRPr="00237B18" w:rsidRDefault="00FC35B4" w:rsidP="00DC5539">
            <w:pPr>
              <w:pBdr>
                <w:top w:val="single" w:sz="4" w:space="6" w:color="auto"/>
                <w:bottom w:val="single" w:sz="4" w:space="6" w:color="auto"/>
              </w:pBdr>
              <w:spacing w:line="240" w:lineRule="exact"/>
              <w:rPr>
                <w:rFonts w:asciiTheme="minorHAnsi" w:hAnsiTheme="minorHAnsi" w:cstheme="minorHAnsi"/>
                <w:color w:val="4D4D4D"/>
                <w:sz w:val="19"/>
                <w:szCs w:val="19"/>
              </w:rPr>
            </w:pPr>
            <w:r>
              <w:rPr>
                <w:rFonts w:asciiTheme="minorHAnsi" w:hAnsiTheme="minorHAnsi" w:cstheme="minorHAnsi"/>
                <w:color w:val="4D4D4D"/>
                <w:sz w:val="19"/>
                <w:szCs w:val="19"/>
              </w:rPr>
              <w:t>United Kingdom</w:t>
            </w:r>
          </w:p>
        </w:tc>
      </w:tr>
      <w:tr w:rsidR="00DC5539" w:rsidRPr="00EF51BF" w:rsidTr="00DC5539">
        <w:tc>
          <w:tcPr>
            <w:tcW w:w="7445" w:type="dxa"/>
          </w:tcPr>
          <w:p w:rsidR="00DC5539" w:rsidRPr="00EF51BF" w:rsidRDefault="00DC5539" w:rsidP="00DC5539">
            <w:pPr>
              <w:spacing w:line="240" w:lineRule="exact"/>
              <w:rPr>
                <w:rFonts w:asciiTheme="minorHAnsi" w:hAnsiTheme="minorHAnsi" w:cstheme="minorHAnsi"/>
                <w:b/>
                <w:sz w:val="19"/>
                <w:szCs w:val="19"/>
              </w:rPr>
            </w:pPr>
          </w:p>
        </w:tc>
      </w:tr>
      <w:tr w:rsidR="00DC5539" w:rsidRPr="00EF51BF" w:rsidTr="00DC5539">
        <w:tc>
          <w:tcPr>
            <w:tcW w:w="7445" w:type="dxa"/>
          </w:tcPr>
          <w:p w:rsidR="00DC5539" w:rsidRPr="00EF51BF" w:rsidRDefault="00DC5539" w:rsidP="005E636F">
            <w:pPr>
              <w:pStyle w:val="CompanyProfile"/>
              <w:framePr w:hSpace="0" w:wrap="auto" w:vAnchor="margin" w:yAlign="inline"/>
            </w:pPr>
            <w:bookmarkStart w:id="355" w:name="_Toc286819930"/>
            <w:r w:rsidRPr="00EF51BF">
              <w:t>Company Profile</w:t>
            </w:r>
            <w:bookmarkEnd w:id="355"/>
            <w:r w:rsidRPr="00EF51BF">
              <w:t xml:space="preserve"> </w:t>
            </w:r>
          </w:p>
          <w:p w:rsidR="00DC5539" w:rsidRPr="00EF51BF" w:rsidRDefault="00DC5539" w:rsidP="00DC5539">
            <w:pPr>
              <w:spacing w:line="240" w:lineRule="exact"/>
              <w:rPr>
                <w:rFonts w:cs="Times New Roman"/>
                <w:sz w:val="19"/>
                <w:szCs w:val="19"/>
              </w:rPr>
            </w:pPr>
            <w:r w:rsidRPr="00EF51BF">
              <w:rPr>
                <w:rFonts w:cs="Times New Roman"/>
                <w:sz w:val="19"/>
                <w:szCs w:val="19"/>
              </w:rPr>
              <w:t>Vivid Economics is a leading strategic economics consultancy with global reach. We strive to create lasting value for our clients, both in government and the private sector, and for society at large.</w:t>
            </w:r>
          </w:p>
          <w:p w:rsidR="00DC5539" w:rsidRPr="00EF51BF" w:rsidRDefault="00DC5539" w:rsidP="00DC5539">
            <w:pPr>
              <w:spacing w:line="240" w:lineRule="exact"/>
              <w:rPr>
                <w:rFonts w:cs="Times New Roman"/>
                <w:sz w:val="19"/>
                <w:szCs w:val="19"/>
              </w:rPr>
            </w:pPr>
          </w:p>
          <w:p w:rsidR="00DC5539" w:rsidRPr="00EF51BF" w:rsidRDefault="00DC5539" w:rsidP="00DE1C41">
            <w:pPr>
              <w:spacing w:line="240" w:lineRule="exact"/>
              <w:rPr>
                <w:rFonts w:asciiTheme="minorHAnsi" w:hAnsiTheme="minorHAnsi" w:cstheme="minorHAnsi"/>
                <w:b/>
                <w:sz w:val="19"/>
                <w:szCs w:val="19"/>
              </w:rPr>
            </w:pPr>
            <w:r w:rsidRPr="00EF51BF">
              <w:rPr>
                <w:rFonts w:cs="Times New Roman"/>
                <w:sz w:val="19"/>
                <w:szCs w:val="19"/>
              </w:rPr>
              <w:t xml:space="preserve">We are a premier consultant in the policy-commerce interface and resource- and environment-intensive sectors, where we advise on the most critical and complex policy and commercial questions facing clients around the world. The success we bring to our clients reflects a strong partnership culture, solid foundation of skills and analytical assets, and close cooperation with a large network of contacts across key organisations. </w:t>
            </w:r>
          </w:p>
        </w:tc>
      </w:tr>
    </w:tbl>
    <w:p w:rsidR="00D26B53" w:rsidRPr="00EF51BF" w:rsidRDefault="00D26B53" w:rsidP="00DC5539">
      <w:pPr>
        <w:spacing w:line="240" w:lineRule="exact"/>
        <w:rPr>
          <w:rFonts w:cs="Times New Roman"/>
          <w:sz w:val="19"/>
          <w:szCs w:val="19"/>
        </w:rPr>
      </w:pPr>
    </w:p>
    <w:sectPr w:rsidR="00D26B53" w:rsidRPr="00EF51BF" w:rsidSect="00A3383B">
      <w:headerReference w:type="default" r:id="rId75"/>
      <w:footerReference w:type="default" r:id="rId76"/>
      <w:pgSz w:w="11907" w:h="16840" w:code="9"/>
      <w:pgMar w:top="1985" w:right="1134" w:bottom="1701" w:left="3544" w:header="42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1B8" w:rsidRDefault="003A41B8" w:rsidP="00430244">
      <w:r>
        <w:separator/>
      </w:r>
    </w:p>
  </w:endnote>
  <w:endnote w:type="continuationSeparator" w:id="0">
    <w:p w:rsidR="003A41B8" w:rsidRDefault="003A41B8" w:rsidP="0043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430244">
    <w:pPr>
      <w:pStyle w:val="Footer"/>
    </w:pPr>
    <w:r w:rsidRPr="001B2655">
      <w:rPr>
        <w:noProof/>
        <w:lang w:eastAsia="en-GB"/>
      </w:rPr>
      <w:drawing>
        <wp:anchor distT="0" distB="0" distL="114300" distR="114300" simplePos="0" relativeHeight="251652096" behindDoc="0" locked="1" layoutInCell="0" allowOverlap="1" wp14:anchorId="325A1922" wp14:editId="4582F283">
          <wp:simplePos x="0" y="0"/>
          <wp:positionH relativeFrom="margin">
            <wp:align>left</wp:align>
          </wp:positionH>
          <wp:positionV relativeFrom="page">
            <wp:posOffset>9969500</wp:posOffset>
          </wp:positionV>
          <wp:extent cx="1486800" cy="176400"/>
          <wp:effectExtent l="0" t="0" r="0" b="0"/>
          <wp:wrapNone/>
          <wp:docPr id="144"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486800" cy="176400"/>
                  </a:xfrm>
                  <a:prstGeom prst="rect">
                    <a:avLst/>
                  </a:prstGeom>
                </pic:spPr>
              </pic:pic>
            </a:graphicData>
          </a:graphic>
        </wp:anchor>
      </w:drawing>
    </w:r>
    <w:r w:rsidRPr="006D4112">
      <w:rPr>
        <w:noProof/>
        <w:lang w:eastAsia="en-GB"/>
      </w:rPr>
      <w:drawing>
        <wp:anchor distT="0" distB="0" distL="114300" distR="114300" simplePos="0" relativeHeight="251654144" behindDoc="1" locked="1" layoutInCell="0" allowOverlap="1" wp14:anchorId="4B9E582B" wp14:editId="14A93587">
          <wp:simplePos x="0" y="0"/>
          <wp:positionH relativeFrom="margin">
            <wp:align>right</wp:align>
          </wp:positionH>
          <wp:positionV relativeFrom="page">
            <wp:posOffset>9969500</wp:posOffset>
          </wp:positionV>
          <wp:extent cx="417600" cy="295200"/>
          <wp:effectExtent l="0" t="0" r="0" b="0"/>
          <wp:wrapNone/>
          <wp:docPr id="145"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2"/>
                  <a:stretch>
                    <a:fillRect/>
                  </a:stretch>
                </pic:blipFill>
                <pic:spPr>
                  <a:xfrm>
                    <a:off x="0" y="0"/>
                    <a:ext cx="417600" cy="2952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430244">
    <w:pPr>
      <w:pStyle w:val="Footer"/>
    </w:pPr>
    <w:r w:rsidRPr="001B2655">
      <w:rPr>
        <w:noProof/>
        <w:lang w:eastAsia="en-GB"/>
      </w:rPr>
      <w:drawing>
        <wp:anchor distT="0" distB="0" distL="114300" distR="114300" simplePos="0" relativeHeight="251660288" behindDoc="0" locked="1" layoutInCell="0" allowOverlap="1" wp14:anchorId="416FDB1D" wp14:editId="7B35C3B2">
          <wp:simplePos x="0" y="0"/>
          <wp:positionH relativeFrom="margin">
            <wp:align>left</wp:align>
          </wp:positionH>
          <wp:positionV relativeFrom="page">
            <wp:posOffset>9969500</wp:posOffset>
          </wp:positionV>
          <wp:extent cx="1486800" cy="176400"/>
          <wp:effectExtent l="0" t="0" r="0" b="0"/>
          <wp:wrapNone/>
          <wp:docPr id="48"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486800" cy="176400"/>
                  </a:xfrm>
                  <a:prstGeom prst="rect">
                    <a:avLst/>
                  </a:prstGeom>
                </pic:spPr>
              </pic:pic>
            </a:graphicData>
          </a:graphic>
        </wp:anchor>
      </w:drawing>
    </w:r>
    <w:r w:rsidRPr="006D4112">
      <w:rPr>
        <w:noProof/>
        <w:lang w:eastAsia="en-GB"/>
      </w:rPr>
      <w:drawing>
        <wp:anchor distT="0" distB="0" distL="114300" distR="114300" simplePos="0" relativeHeight="251661312" behindDoc="1" locked="1" layoutInCell="0" allowOverlap="1" wp14:anchorId="58A16D89" wp14:editId="43F413EF">
          <wp:simplePos x="0" y="0"/>
          <wp:positionH relativeFrom="margin">
            <wp:align>right</wp:align>
          </wp:positionH>
          <wp:positionV relativeFrom="page">
            <wp:posOffset>9969500</wp:posOffset>
          </wp:positionV>
          <wp:extent cx="414000" cy="295200"/>
          <wp:effectExtent l="0" t="0" r="0" b="0"/>
          <wp:wrapNone/>
          <wp:docPr id="51"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2"/>
                  <a:stretch>
                    <a:fillRect/>
                  </a:stretch>
                </pic:blipFill>
                <pic:spPr>
                  <a:xfrm>
                    <a:off x="0" y="0"/>
                    <a:ext cx="414000" cy="2952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430244">
    <w:pPr>
      <w:pStyle w:val="Footer"/>
    </w:pPr>
    <w:r w:rsidRPr="001B2655">
      <w:rPr>
        <w:noProof/>
        <w:lang w:eastAsia="en-GB"/>
      </w:rPr>
      <w:drawing>
        <wp:anchor distT="0" distB="0" distL="114300" distR="114300" simplePos="0" relativeHeight="251655168" behindDoc="0" locked="1" layoutInCell="0" allowOverlap="1" wp14:anchorId="05AD98A3" wp14:editId="6FC54C66">
          <wp:simplePos x="0" y="0"/>
          <wp:positionH relativeFrom="margin">
            <wp:align>left</wp:align>
          </wp:positionH>
          <wp:positionV relativeFrom="page">
            <wp:posOffset>9969500</wp:posOffset>
          </wp:positionV>
          <wp:extent cx="1486800" cy="176400"/>
          <wp:effectExtent l="0" t="0" r="0" b="0"/>
          <wp:wrapNone/>
          <wp:docPr id="55"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486800" cy="176400"/>
                  </a:xfrm>
                  <a:prstGeom prst="rect">
                    <a:avLst/>
                  </a:prstGeom>
                </pic:spPr>
              </pic:pic>
            </a:graphicData>
          </a:graphic>
        </wp:anchor>
      </w:drawing>
    </w:r>
    <w:r w:rsidRPr="006D4112">
      <w:rPr>
        <w:noProof/>
        <w:lang w:eastAsia="en-GB"/>
      </w:rPr>
      <w:drawing>
        <wp:anchor distT="0" distB="0" distL="114300" distR="114300" simplePos="0" relativeHeight="251656192" behindDoc="1" locked="1" layoutInCell="0" allowOverlap="1" wp14:anchorId="7F10E52E" wp14:editId="463506C7">
          <wp:simplePos x="0" y="0"/>
          <wp:positionH relativeFrom="margin">
            <wp:align>right</wp:align>
          </wp:positionH>
          <wp:positionV relativeFrom="page">
            <wp:posOffset>9969500</wp:posOffset>
          </wp:positionV>
          <wp:extent cx="414000" cy="295200"/>
          <wp:effectExtent l="0" t="0" r="0" b="0"/>
          <wp:wrapNone/>
          <wp:docPr id="63"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2"/>
                  <a:stretch>
                    <a:fillRect/>
                  </a:stretch>
                </pic:blipFill>
                <pic:spPr>
                  <a:xfrm>
                    <a:off x="0" y="0"/>
                    <a:ext cx="414000" cy="2952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430244">
    <w:pPr>
      <w:pStyle w:val="Footer"/>
    </w:pPr>
    <w:r w:rsidRPr="001B2655">
      <w:rPr>
        <w:noProof/>
        <w:lang w:eastAsia="en-GB"/>
      </w:rPr>
      <w:drawing>
        <wp:anchor distT="0" distB="0" distL="114300" distR="114300" simplePos="0" relativeHeight="251657216" behindDoc="0" locked="1" layoutInCell="0" allowOverlap="1">
          <wp:simplePos x="0" y="0"/>
          <wp:positionH relativeFrom="margin">
            <wp:align>left</wp:align>
          </wp:positionH>
          <wp:positionV relativeFrom="page">
            <wp:posOffset>9969500</wp:posOffset>
          </wp:positionV>
          <wp:extent cx="1486800" cy="176400"/>
          <wp:effectExtent l="0" t="0" r="0" b="0"/>
          <wp:wrapNone/>
          <wp:docPr id="161"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486800" cy="176400"/>
                  </a:xfrm>
                  <a:prstGeom prst="rect">
                    <a:avLst/>
                  </a:prstGeom>
                </pic:spPr>
              </pic:pic>
            </a:graphicData>
          </a:graphic>
        </wp:anchor>
      </w:drawing>
    </w:r>
    <w:r w:rsidRPr="006D4112">
      <w:rPr>
        <w:noProof/>
        <w:lang w:eastAsia="en-GB"/>
      </w:rPr>
      <w:drawing>
        <wp:anchor distT="0" distB="0" distL="114300" distR="114300" simplePos="0" relativeHeight="251658240" behindDoc="1" locked="1" layoutInCell="0" allowOverlap="1">
          <wp:simplePos x="0" y="0"/>
          <wp:positionH relativeFrom="margin">
            <wp:align>right</wp:align>
          </wp:positionH>
          <wp:positionV relativeFrom="page">
            <wp:posOffset>9969500</wp:posOffset>
          </wp:positionV>
          <wp:extent cx="414000" cy="295200"/>
          <wp:effectExtent l="0" t="0" r="0" b="0"/>
          <wp:wrapNone/>
          <wp:docPr id="162"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2"/>
                  <a:stretch>
                    <a:fillRect/>
                  </a:stretch>
                </pic:blipFill>
                <pic:spPr>
                  <a:xfrm>
                    <a:off x="0" y="0"/>
                    <a:ext cx="414000" cy="2952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430244">
    <w:pPr>
      <w:pStyle w:val="Footer"/>
    </w:pPr>
    <w:r w:rsidRPr="00B06C01">
      <w:rPr>
        <w:noProof/>
        <w:lang w:eastAsia="en-GB"/>
      </w:rPr>
      <w:drawing>
        <wp:anchor distT="0" distB="0" distL="114300" distR="114300" simplePos="0" relativeHeight="251663360" behindDoc="1" locked="1" layoutInCell="0" allowOverlap="1">
          <wp:simplePos x="0" y="0"/>
          <wp:positionH relativeFrom="margin">
            <wp:align>right</wp:align>
          </wp:positionH>
          <wp:positionV relativeFrom="page">
            <wp:posOffset>9969500</wp:posOffset>
          </wp:positionV>
          <wp:extent cx="414000" cy="295200"/>
          <wp:effectExtent l="0" t="0" r="0" b="0"/>
          <wp:wrapNone/>
          <wp:docPr id="5"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1"/>
                  <a:stretch>
                    <a:fillRect/>
                  </a:stretch>
                </pic:blipFill>
                <pic:spPr>
                  <a:xfrm>
                    <a:off x="0" y="0"/>
                    <a:ext cx="414000" cy="295200"/>
                  </a:xfrm>
                  <a:prstGeom prst="rect">
                    <a:avLst/>
                  </a:prstGeom>
                </pic:spPr>
              </pic:pic>
            </a:graphicData>
          </a:graphic>
        </wp:anchor>
      </w:drawing>
    </w:r>
    <w:r w:rsidRPr="001B2655">
      <w:rPr>
        <w:noProof/>
        <w:lang w:eastAsia="en-GB"/>
      </w:rPr>
      <w:drawing>
        <wp:anchor distT="0" distB="0" distL="114300" distR="114300" simplePos="0" relativeHeight="251662336" behindDoc="0" locked="1" layoutInCell="0" allowOverlap="1">
          <wp:simplePos x="0" y="0"/>
          <wp:positionH relativeFrom="margin">
            <wp:align>left</wp:align>
          </wp:positionH>
          <wp:positionV relativeFrom="page">
            <wp:posOffset>9969500</wp:posOffset>
          </wp:positionV>
          <wp:extent cx="1486800" cy="176400"/>
          <wp:effectExtent l="0" t="0" r="0" b="0"/>
          <wp:wrapNone/>
          <wp:docPr id="23"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2"/>
                  <a:stretch>
                    <a:fillRect/>
                  </a:stretch>
                </pic:blipFill>
                <pic:spPr>
                  <a:xfrm>
                    <a:off x="0" y="0"/>
                    <a:ext cx="1486800" cy="17640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17644E">
    <w:pPr>
      <w:pStyle w:val="Footer"/>
      <w:tabs>
        <w:tab w:val="clear" w:pos="9026"/>
        <w:tab w:val="right" w:pos="0"/>
        <w:tab w:val="right" w:pos="2410"/>
      </w:tabs>
    </w:pPr>
    <w:r w:rsidRPr="005608FE">
      <w:rPr>
        <w:noProof/>
        <w:lang w:eastAsia="en-GB"/>
      </w:rPr>
      <w:drawing>
        <wp:anchor distT="0" distB="0" distL="114300" distR="114300" simplePos="0" relativeHeight="251659264" behindDoc="1" locked="1" layoutInCell="0" allowOverlap="1">
          <wp:simplePos x="0" y="0"/>
          <wp:positionH relativeFrom="margin">
            <wp:align>right</wp:align>
          </wp:positionH>
          <wp:positionV relativeFrom="page">
            <wp:posOffset>9969500</wp:posOffset>
          </wp:positionV>
          <wp:extent cx="414000" cy="295200"/>
          <wp:effectExtent l="0" t="0" r="0" b="0"/>
          <wp:wrapNone/>
          <wp:docPr id="108" name="Picture 21" descr="icon-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ellow.jpg"/>
                  <pic:cNvPicPr/>
                </pic:nvPicPr>
                <pic:blipFill>
                  <a:blip r:embed="rId1"/>
                  <a:stretch>
                    <a:fillRect/>
                  </a:stretch>
                </pic:blipFill>
                <pic:spPr>
                  <a:xfrm>
                    <a:off x="0" y="0"/>
                    <a:ext cx="414000" cy="2952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1B8" w:rsidRDefault="003A41B8" w:rsidP="00430244"/>
  </w:footnote>
  <w:footnote w:type="continuationSeparator" w:id="0">
    <w:p w:rsidR="003A41B8" w:rsidRDefault="003A41B8" w:rsidP="00430244">
      <w:r>
        <w:continuationSeparator/>
      </w:r>
    </w:p>
  </w:footnote>
  <w:footnote w:id="1">
    <w:p w:rsidR="003F142F" w:rsidRDefault="003F142F">
      <w:pPr>
        <w:pStyle w:val="FootnoteText"/>
      </w:pPr>
      <w:r>
        <w:rPr>
          <w:rStyle w:val="FootnoteReference"/>
        </w:rPr>
        <w:footnoteRef/>
      </w:r>
      <w:r>
        <w:t xml:space="preserve"> All dates refer to fiscal years such that the fiscal year 2007-08 is shown </w:t>
      </w:r>
      <w:r>
        <w:t>a</w:t>
      </w:r>
      <w:r>
        <w:t>s 2008.</w:t>
      </w:r>
    </w:p>
  </w:footnote>
  <w:footnote w:id="2">
    <w:p w:rsidR="003F142F" w:rsidRDefault="003F142F" w:rsidP="00091B59">
      <w:pPr>
        <w:pStyle w:val="FootnoteText"/>
      </w:pPr>
      <w:r>
        <w:rPr>
          <w:rStyle w:val="FootnoteReference"/>
        </w:rPr>
        <w:footnoteRef/>
      </w:r>
      <w:r>
        <w:t xml:space="preserve"> Compared with the average intensity of these countries between 2008 and 2010.</w:t>
      </w:r>
    </w:p>
  </w:footnote>
  <w:footnote w:id="3">
    <w:p w:rsidR="003F142F" w:rsidRDefault="003F142F" w:rsidP="005329ED">
      <w:pPr>
        <w:pStyle w:val="FootnoteText"/>
      </w:pPr>
      <w:r>
        <w:rPr>
          <w:rStyle w:val="FootnoteReference"/>
        </w:rPr>
        <w:footnoteRef/>
      </w:r>
      <w:r>
        <w:t xml:space="preserve"> The NEM consists of New South Wales, Queensland, Victoria, Tasmania and South Australia.</w:t>
      </w:r>
    </w:p>
  </w:footnote>
  <w:footnote w:id="4">
    <w:p w:rsidR="003F142F" w:rsidRDefault="003F142F" w:rsidP="005329ED">
      <w:pPr>
        <w:pStyle w:val="FootnoteText"/>
      </w:pPr>
      <w:r>
        <w:rPr>
          <w:rStyle w:val="FootnoteReference"/>
        </w:rPr>
        <w:footnoteRef/>
      </w:r>
      <w:r>
        <w:t xml:space="preserve"> Unadjusted figures result in a growth of 0.1 per cent per year, increasing total demand by 0.4 per cent and resulting in </w:t>
      </w:r>
      <w:r>
        <w:t xml:space="preserve">a </w:t>
      </w:r>
      <w:r>
        <w:t>cumulative rise of 17.5 per cent between 1999-00 and 2011-12.</w:t>
      </w:r>
    </w:p>
  </w:footnote>
  <w:footnote w:id="5">
    <w:p w:rsidR="003F142F" w:rsidRDefault="003F142F" w:rsidP="005329ED">
      <w:pPr>
        <w:pStyle w:val="FootnoteText"/>
      </w:pPr>
      <w:r>
        <w:rPr>
          <w:rStyle w:val="FootnoteReference"/>
        </w:rPr>
        <w:footnoteRef/>
      </w:r>
      <w:r>
        <w:t xml:space="preserve"> The long run elasticity of a driver is obtained by dividing the coefficient of the driver, in this case electricity price (-0.1), by the coefficient of the lagged residential electricity consumption (-0.7).</w:t>
      </w:r>
    </w:p>
  </w:footnote>
  <w:footnote w:id="6">
    <w:p w:rsidR="003F142F" w:rsidRDefault="003F142F" w:rsidP="005329ED">
      <w:pPr>
        <w:pStyle w:val="FootnoteText"/>
      </w:pPr>
      <w:r>
        <w:rPr>
          <w:rStyle w:val="FootnoteReference"/>
        </w:rPr>
        <w:footnoteRef/>
      </w:r>
      <w:r>
        <w:t xml:space="preserve"> Solar PV includes both large and small scale on- and off-grid solar due to data availability, which might lead to a slight overstatement of the effect if most of the increased solar PV generation is from large scale on-grid projects.</w:t>
      </w:r>
    </w:p>
  </w:footnote>
  <w:footnote w:id="7">
    <w:p w:rsidR="003F142F" w:rsidRDefault="003F142F">
      <w:pPr>
        <w:pStyle w:val="FootnoteText"/>
      </w:pPr>
      <w:r>
        <w:rPr>
          <w:rStyle w:val="FootnoteReference"/>
        </w:rPr>
        <w:footnoteRef/>
      </w:r>
      <w:r>
        <w:t xml:space="preserve"> The CAGR is calculated until 2011 only because commercial and services electricity consumption in 2012 appears to be an outlier.</w:t>
      </w:r>
    </w:p>
  </w:footnote>
  <w:footnote w:id="8">
    <w:p w:rsidR="003F142F" w:rsidRDefault="003F142F" w:rsidP="00B75E40">
      <w:pPr>
        <w:pStyle w:val="FootnoteText"/>
      </w:pPr>
      <w:r>
        <w:rPr>
          <w:rStyle w:val="FootnoteReference"/>
        </w:rPr>
        <w:footnoteRef/>
      </w:r>
      <w:r>
        <w:t xml:space="preserve"> 2011/12 and 2012/13 electricity generation data is available for the NEM region from AEMO but not captured in the BREE or AGEIS datasets and therefore not included in the statistical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Pr="00E851E3" w:rsidRDefault="003F142F" w:rsidP="00F10297">
    <w:pPr>
      <w:pStyle w:val="Header"/>
      <w:rPr>
        <w:rStyle w:val="PageNumber"/>
      </w:rPr>
    </w:pPr>
    <w:fldSimple w:instr=" STYLEREF  Title  \* MERGEFORMAT ">
      <w:r w:rsidR="00197E14" w:rsidRPr="00197E14">
        <w:rPr>
          <w:b/>
          <w:bCs/>
          <w:lang w:val="en-US"/>
        </w:rPr>
        <w:t xml:space="preserve">Analysis of electricity consumption, electricity generation emissions intensity and </w:t>
      </w:r>
      <w:r w:rsidR="00197E14" w:rsidRPr="00197E14">
        <w:rPr>
          <w:b/>
        </w:rPr>
        <w:t>economy-wide emissions</w:t>
      </w:r>
    </w:fldSimple>
    <w:r w:rsidRPr="00C1092B">
      <w:t xml:space="preserve"> </w:t>
    </w:r>
    <w:r>
      <w:tab/>
    </w:r>
    <w:r>
      <w:rPr>
        <w:rFonts w:asciiTheme="minorHAnsi" w:hAnsiTheme="minorHAnsi"/>
        <w:sz w:val="16"/>
      </w:rPr>
      <mc:AlternateContent>
        <mc:Choice Requires="wps">
          <w:drawing>
            <wp:anchor distT="0" distB="0" distL="114300" distR="114300" simplePos="0" relativeHeight="251664384" behindDoc="1" locked="1" layoutInCell="0" allowOverlap="1" wp14:anchorId="6E3B71FC" wp14:editId="7990CDF9">
              <wp:simplePos x="0" y="0"/>
              <wp:positionH relativeFrom="margin">
                <wp:align>right</wp:align>
              </wp:positionH>
              <wp:positionV relativeFrom="line">
                <wp:align>center</wp:align>
              </wp:positionV>
              <wp:extent cx="372745" cy="2730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42F" w:rsidRPr="00DF5E9F" w:rsidRDefault="003F142F" w:rsidP="00FA2E30">
                          <w:pPr>
                            <w:spacing w:before="60" w:line="180" w:lineRule="exact"/>
                            <w:jc w:val="right"/>
                            <w:rPr>
                              <w:rStyle w:val="PageNumber"/>
                            </w:rPr>
                          </w:pPr>
                          <w:r w:rsidRPr="00DF5E9F">
                            <w:rPr>
                              <w:rStyle w:val="PageNumber"/>
                            </w:rPr>
                            <w:fldChar w:fldCharType="begin"/>
                          </w:r>
                          <w:r w:rsidRPr="00DF5E9F">
                            <w:rPr>
                              <w:rStyle w:val="PageNumber"/>
                            </w:rPr>
                            <w:instrText xml:space="preserve"> PAGE   \* MERGEFORMAT </w:instrText>
                          </w:r>
                          <w:r w:rsidRPr="00DF5E9F">
                            <w:rPr>
                              <w:rStyle w:val="PageNumber"/>
                            </w:rPr>
                            <w:fldChar w:fldCharType="separate"/>
                          </w:r>
                          <w:r w:rsidR="00197E14">
                            <w:rPr>
                              <w:rStyle w:val="PageNumber"/>
                              <w:noProof/>
                            </w:rPr>
                            <w:t>144</w:t>
                          </w:r>
                          <w:r w:rsidRPr="00DF5E9F">
                            <w:rPr>
                              <w:rStyle w:val="PageNumber"/>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1.85pt;margin-top:0;width:29.35pt;height:21.5pt;z-index:-251652096;visibility:visible;mso-wrap-style:square;mso-width-percent:0;mso-height-percent:0;mso-wrap-distance-left:9pt;mso-wrap-distance-top:0;mso-wrap-distance-right:9pt;mso-wrap-distance-bottom:0;mso-position-horizontal:right;mso-position-horizontal-relative:margin;mso-position-vertical:center;mso-position-vertical-relative:lin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" o:allowincell="f" filled="f" stroked="f">
              <v:textbox>
                <w:txbxContent>
                  <w:p w:rsidR="003F142F" w:rsidRPr="00DF5E9F" w:rsidRDefault="003F142F" w:rsidP="00FA2E30">
                    <w:pPr>
                      <w:spacing w:before="60" w:line="180" w:lineRule="exact"/>
                      <w:jc w:val="right"/>
                      <w:rPr>
                        <w:rStyle w:val="PageNumber"/>
                      </w:rPr>
                    </w:pPr>
                    <w:r w:rsidRPr="00DF5E9F">
                      <w:rPr>
                        <w:rStyle w:val="PageNumber"/>
                      </w:rPr>
                      <w:fldChar w:fldCharType="begin"/>
                    </w:r>
                    <w:r w:rsidRPr="00DF5E9F">
                      <w:rPr>
                        <w:rStyle w:val="PageNumber"/>
                      </w:rPr>
                      <w:instrText xml:space="preserve"> PAGE   \* MERGEFORMAT </w:instrText>
                    </w:r>
                    <w:r w:rsidRPr="00DF5E9F">
                      <w:rPr>
                        <w:rStyle w:val="PageNumber"/>
                      </w:rPr>
                      <w:fldChar w:fldCharType="separate"/>
                    </w:r>
                    <w:r w:rsidR="00197E14">
                      <w:rPr>
                        <w:rStyle w:val="PageNumber"/>
                        <w:noProof/>
                      </w:rPr>
                      <w:t>144</w:t>
                    </w:r>
                    <w:r w:rsidRPr="00DF5E9F">
                      <w:rPr>
                        <w:rStyle w:val="PageNumber"/>
                      </w:rPr>
                      <w:fldChar w:fldCharType="end"/>
                    </w:r>
                  </w:p>
                </w:txbxContent>
              </v:textbox>
              <w10:wrap anchorx="margin" anchory="lin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Default="003F142F" w:rsidP="009057FE">
    <w:pPr>
      <w:pStyle w:val="Header"/>
      <w:pBdr>
        <w:bottom w:val="none" w:sz="0" w:space="0" w:color="auto"/>
      </w:pBdr>
    </w:pPr>
    <w:r w:rsidRPr="00AD5E1F">
      <w:drawing>
        <wp:anchor distT="0" distB="0" distL="114300" distR="114300" simplePos="0" relativeHeight="251653120" behindDoc="0" locked="1" layoutInCell="0" allowOverlap="1" wp14:anchorId="3A772F98" wp14:editId="0969B2DD">
          <wp:simplePos x="0" y="0"/>
          <wp:positionH relativeFrom="page">
            <wp:posOffset>2257425</wp:posOffset>
          </wp:positionH>
          <wp:positionV relativeFrom="page">
            <wp:posOffset>393065</wp:posOffset>
          </wp:positionV>
          <wp:extent cx="1899920" cy="222885"/>
          <wp:effectExtent l="19050" t="0" r="5080" b="0"/>
          <wp:wrapNone/>
          <wp:docPr id="146"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899920" cy="22288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2F" w:rsidRPr="00F770C1" w:rsidRDefault="003F142F" w:rsidP="00F10297">
    <w:pPr>
      <w:pStyle w:val="Header"/>
    </w:pPr>
    <w:r w:rsidRPr="00F770C1">
      <w:drawing>
        <wp:anchor distT="0" distB="0" distL="114300" distR="114300" simplePos="0" relativeHeight="251651072" behindDoc="0" locked="1" layoutInCell="0" allowOverlap="1">
          <wp:simplePos x="0" y="0"/>
          <wp:positionH relativeFrom="page">
            <wp:posOffset>2257425</wp:posOffset>
          </wp:positionH>
          <wp:positionV relativeFrom="page">
            <wp:posOffset>416560</wp:posOffset>
          </wp:positionV>
          <wp:extent cx="1900800" cy="223200"/>
          <wp:effectExtent l="0" t="0" r="0" b="0"/>
          <wp:wrapNone/>
          <wp:docPr id="107" name="Picture 4" descr="viv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logo.jpg"/>
                  <pic:cNvPicPr/>
                </pic:nvPicPr>
                <pic:blipFill>
                  <a:blip r:embed="rId1"/>
                  <a:stretch>
                    <a:fillRect/>
                  </a:stretch>
                </pic:blipFill>
                <pic:spPr>
                  <a:xfrm>
                    <a:off x="0" y="0"/>
                    <a:ext cx="1900800" cy="223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D63"/>
    <w:multiLevelType w:val="hybridMultilevel"/>
    <w:tmpl w:val="D608ABEC"/>
    <w:lvl w:ilvl="0" w:tplc="FBE64EA6">
      <w:start w:val="1"/>
      <w:numFmt w:val="bullet"/>
      <w:lvlText w:val="—"/>
      <w:lvlJc w:val="left"/>
      <w:pPr>
        <w:tabs>
          <w:tab w:val="num" w:pos="720"/>
        </w:tabs>
        <w:ind w:left="720" w:hanging="360"/>
      </w:pPr>
      <w:rPr>
        <w:rFonts w:ascii="Arial" w:hAnsi="Arial" w:hint="default"/>
      </w:rPr>
    </w:lvl>
    <w:lvl w:ilvl="1" w:tplc="95DA66A0" w:tentative="1">
      <w:start w:val="1"/>
      <w:numFmt w:val="bullet"/>
      <w:lvlText w:val="—"/>
      <w:lvlJc w:val="left"/>
      <w:pPr>
        <w:tabs>
          <w:tab w:val="num" w:pos="1440"/>
        </w:tabs>
        <w:ind w:left="1440" w:hanging="360"/>
      </w:pPr>
      <w:rPr>
        <w:rFonts w:ascii="Arial" w:hAnsi="Arial" w:hint="default"/>
      </w:rPr>
    </w:lvl>
    <w:lvl w:ilvl="2" w:tplc="73FCEA94">
      <w:start w:val="1"/>
      <w:numFmt w:val="bullet"/>
      <w:lvlText w:val="—"/>
      <w:lvlJc w:val="left"/>
      <w:pPr>
        <w:tabs>
          <w:tab w:val="num" w:pos="2160"/>
        </w:tabs>
        <w:ind w:left="2160" w:hanging="360"/>
      </w:pPr>
      <w:rPr>
        <w:rFonts w:ascii="Arial" w:hAnsi="Arial" w:hint="default"/>
      </w:rPr>
    </w:lvl>
    <w:lvl w:ilvl="3" w:tplc="E048D87A" w:tentative="1">
      <w:start w:val="1"/>
      <w:numFmt w:val="bullet"/>
      <w:lvlText w:val="—"/>
      <w:lvlJc w:val="left"/>
      <w:pPr>
        <w:tabs>
          <w:tab w:val="num" w:pos="2880"/>
        </w:tabs>
        <w:ind w:left="2880" w:hanging="360"/>
      </w:pPr>
      <w:rPr>
        <w:rFonts w:ascii="Arial" w:hAnsi="Arial" w:hint="default"/>
      </w:rPr>
    </w:lvl>
    <w:lvl w:ilvl="4" w:tplc="6C6AA872" w:tentative="1">
      <w:start w:val="1"/>
      <w:numFmt w:val="bullet"/>
      <w:lvlText w:val="—"/>
      <w:lvlJc w:val="left"/>
      <w:pPr>
        <w:tabs>
          <w:tab w:val="num" w:pos="3600"/>
        </w:tabs>
        <w:ind w:left="3600" w:hanging="360"/>
      </w:pPr>
      <w:rPr>
        <w:rFonts w:ascii="Arial" w:hAnsi="Arial" w:hint="default"/>
      </w:rPr>
    </w:lvl>
    <w:lvl w:ilvl="5" w:tplc="B4EEB8D6" w:tentative="1">
      <w:start w:val="1"/>
      <w:numFmt w:val="bullet"/>
      <w:lvlText w:val="—"/>
      <w:lvlJc w:val="left"/>
      <w:pPr>
        <w:tabs>
          <w:tab w:val="num" w:pos="4320"/>
        </w:tabs>
        <w:ind w:left="4320" w:hanging="360"/>
      </w:pPr>
      <w:rPr>
        <w:rFonts w:ascii="Arial" w:hAnsi="Arial" w:hint="default"/>
      </w:rPr>
    </w:lvl>
    <w:lvl w:ilvl="6" w:tplc="67B274C0" w:tentative="1">
      <w:start w:val="1"/>
      <w:numFmt w:val="bullet"/>
      <w:lvlText w:val="—"/>
      <w:lvlJc w:val="left"/>
      <w:pPr>
        <w:tabs>
          <w:tab w:val="num" w:pos="5040"/>
        </w:tabs>
        <w:ind w:left="5040" w:hanging="360"/>
      </w:pPr>
      <w:rPr>
        <w:rFonts w:ascii="Arial" w:hAnsi="Arial" w:hint="default"/>
      </w:rPr>
    </w:lvl>
    <w:lvl w:ilvl="7" w:tplc="6382D836" w:tentative="1">
      <w:start w:val="1"/>
      <w:numFmt w:val="bullet"/>
      <w:lvlText w:val="—"/>
      <w:lvlJc w:val="left"/>
      <w:pPr>
        <w:tabs>
          <w:tab w:val="num" w:pos="5760"/>
        </w:tabs>
        <w:ind w:left="5760" w:hanging="360"/>
      </w:pPr>
      <w:rPr>
        <w:rFonts w:ascii="Arial" w:hAnsi="Arial" w:hint="default"/>
      </w:rPr>
    </w:lvl>
    <w:lvl w:ilvl="8" w:tplc="28C6A446" w:tentative="1">
      <w:start w:val="1"/>
      <w:numFmt w:val="bullet"/>
      <w:lvlText w:val="—"/>
      <w:lvlJc w:val="left"/>
      <w:pPr>
        <w:tabs>
          <w:tab w:val="num" w:pos="6480"/>
        </w:tabs>
        <w:ind w:left="6480" w:hanging="360"/>
      </w:pPr>
      <w:rPr>
        <w:rFonts w:ascii="Arial" w:hAnsi="Arial" w:hint="default"/>
      </w:rPr>
    </w:lvl>
  </w:abstractNum>
  <w:abstractNum w:abstractNumId="1">
    <w:nsid w:val="021D4BC3"/>
    <w:multiLevelType w:val="hybridMultilevel"/>
    <w:tmpl w:val="5FC20E4E"/>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nsid w:val="030162D6"/>
    <w:multiLevelType w:val="hybridMultilevel"/>
    <w:tmpl w:val="D10400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BA029C8"/>
    <w:multiLevelType w:val="multilevel"/>
    <w:tmpl w:val="52561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500E78"/>
    <w:multiLevelType w:val="hybridMultilevel"/>
    <w:tmpl w:val="6016A370"/>
    <w:lvl w:ilvl="0" w:tplc="F686006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5078B3"/>
    <w:multiLevelType w:val="hybridMultilevel"/>
    <w:tmpl w:val="7ABE6EF2"/>
    <w:lvl w:ilvl="0" w:tplc="DDA218DE">
      <w:start w:val="1"/>
      <w:numFmt w:val="bullet"/>
      <w:lvlText w:val="—"/>
      <w:lvlJc w:val="left"/>
      <w:pPr>
        <w:tabs>
          <w:tab w:val="num" w:pos="720"/>
        </w:tabs>
        <w:ind w:left="720" w:hanging="360"/>
      </w:pPr>
      <w:rPr>
        <w:rFonts w:ascii="Arial" w:hAnsi="Arial" w:hint="default"/>
      </w:rPr>
    </w:lvl>
    <w:lvl w:ilvl="1" w:tplc="40BE06EA">
      <w:start w:val="1"/>
      <w:numFmt w:val="bullet"/>
      <w:lvlText w:val="—"/>
      <w:lvlJc w:val="left"/>
      <w:pPr>
        <w:tabs>
          <w:tab w:val="num" w:pos="1440"/>
        </w:tabs>
        <w:ind w:left="1440" w:hanging="360"/>
      </w:pPr>
      <w:rPr>
        <w:rFonts w:ascii="Arial" w:hAnsi="Arial" w:hint="default"/>
      </w:rPr>
    </w:lvl>
    <w:lvl w:ilvl="2" w:tplc="8DA81180" w:tentative="1">
      <w:start w:val="1"/>
      <w:numFmt w:val="bullet"/>
      <w:lvlText w:val="—"/>
      <w:lvlJc w:val="left"/>
      <w:pPr>
        <w:tabs>
          <w:tab w:val="num" w:pos="2160"/>
        </w:tabs>
        <w:ind w:left="2160" w:hanging="360"/>
      </w:pPr>
      <w:rPr>
        <w:rFonts w:ascii="Arial" w:hAnsi="Arial" w:hint="default"/>
      </w:rPr>
    </w:lvl>
    <w:lvl w:ilvl="3" w:tplc="9CBED698" w:tentative="1">
      <w:start w:val="1"/>
      <w:numFmt w:val="bullet"/>
      <w:lvlText w:val="—"/>
      <w:lvlJc w:val="left"/>
      <w:pPr>
        <w:tabs>
          <w:tab w:val="num" w:pos="2880"/>
        </w:tabs>
        <w:ind w:left="2880" w:hanging="360"/>
      </w:pPr>
      <w:rPr>
        <w:rFonts w:ascii="Arial" w:hAnsi="Arial" w:hint="default"/>
      </w:rPr>
    </w:lvl>
    <w:lvl w:ilvl="4" w:tplc="337464B2" w:tentative="1">
      <w:start w:val="1"/>
      <w:numFmt w:val="bullet"/>
      <w:lvlText w:val="—"/>
      <w:lvlJc w:val="left"/>
      <w:pPr>
        <w:tabs>
          <w:tab w:val="num" w:pos="3600"/>
        </w:tabs>
        <w:ind w:left="3600" w:hanging="360"/>
      </w:pPr>
      <w:rPr>
        <w:rFonts w:ascii="Arial" w:hAnsi="Arial" w:hint="default"/>
      </w:rPr>
    </w:lvl>
    <w:lvl w:ilvl="5" w:tplc="9094ECF2" w:tentative="1">
      <w:start w:val="1"/>
      <w:numFmt w:val="bullet"/>
      <w:lvlText w:val="—"/>
      <w:lvlJc w:val="left"/>
      <w:pPr>
        <w:tabs>
          <w:tab w:val="num" w:pos="4320"/>
        </w:tabs>
        <w:ind w:left="4320" w:hanging="360"/>
      </w:pPr>
      <w:rPr>
        <w:rFonts w:ascii="Arial" w:hAnsi="Arial" w:hint="default"/>
      </w:rPr>
    </w:lvl>
    <w:lvl w:ilvl="6" w:tplc="8F2066C2" w:tentative="1">
      <w:start w:val="1"/>
      <w:numFmt w:val="bullet"/>
      <w:lvlText w:val="—"/>
      <w:lvlJc w:val="left"/>
      <w:pPr>
        <w:tabs>
          <w:tab w:val="num" w:pos="5040"/>
        </w:tabs>
        <w:ind w:left="5040" w:hanging="360"/>
      </w:pPr>
      <w:rPr>
        <w:rFonts w:ascii="Arial" w:hAnsi="Arial" w:hint="default"/>
      </w:rPr>
    </w:lvl>
    <w:lvl w:ilvl="7" w:tplc="A0FEB7C8" w:tentative="1">
      <w:start w:val="1"/>
      <w:numFmt w:val="bullet"/>
      <w:lvlText w:val="—"/>
      <w:lvlJc w:val="left"/>
      <w:pPr>
        <w:tabs>
          <w:tab w:val="num" w:pos="5760"/>
        </w:tabs>
        <w:ind w:left="5760" w:hanging="360"/>
      </w:pPr>
      <w:rPr>
        <w:rFonts w:ascii="Arial" w:hAnsi="Arial" w:hint="default"/>
      </w:rPr>
    </w:lvl>
    <w:lvl w:ilvl="8" w:tplc="FA6471F4" w:tentative="1">
      <w:start w:val="1"/>
      <w:numFmt w:val="bullet"/>
      <w:lvlText w:val="—"/>
      <w:lvlJc w:val="left"/>
      <w:pPr>
        <w:tabs>
          <w:tab w:val="num" w:pos="6480"/>
        </w:tabs>
        <w:ind w:left="6480" w:hanging="360"/>
      </w:pPr>
      <w:rPr>
        <w:rFonts w:ascii="Arial" w:hAnsi="Arial" w:hint="default"/>
      </w:rPr>
    </w:lvl>
  </w:abstractNum>
  <w:abstractNum w:abstractNumId="6">
    <w:nsid w:val="166A10E5"/>
    <w:multiLevelType w:val="hybridMultilevel"/>
    <w:tmpl w:val="BF967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71650BC"/>
    <w:multiLevelType w:val="hybridMultilevel"/>
    <w:tmpl w:val="02282978"/>
    <w:lvl w:ilvl="0" w:tplc="0310EF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3112F5"/>
    <w:multiLevelType w:val="hybridMultilevel"/>
    <w:tmpl w:val="CFE870B8"/>
    <w:lvl w:ilvl="0" w:tplc="F2121C08">
      <w:start w:val="1"/>
      <w:numFmt w:val="decimal"/>
      <w:pStyle w:val="Charttitle"/>
      <w:lvlText w:val="Figure %1."/>
      <w:lvlJc w:val="left"/>
      <w:pPr>
        <w:ind w:left="992" w:hanging="992"/>
      </w:pPr>
      <w:rPr>
        <w:rFonts w:ascii="Times New Roman" w:hAnsi="Times New Roman" w:hint="default"/>
        <w:b w:val="0"/>
        <w:i/>
        <w:caps w:val="0"/>
        <w:strike w:val="0"/>
        <w:dstrike w:val="0"/>
        <w:vanish w:val="0"/>
        <w:color w:val="000000" w:themeColor="text1"/>
        <w:sz w:val="18"/>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874D52"/>
    <w:multiLevelType w:val="hybridMultilevel"/>
    <w:tmpl w:val="6088BC1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nsid w:val="1BE31ACB"/>
    <w:multiLevelType w:val="multilevel"/>
    <w:tmpl w:val="64F8EB2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EA90344"/>
    <w:multiLevelType w:val="hybridMultilevel"/>
    <w:tmpl w:val="EDF0C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E54A5F"/>
    <w:multiLevelType w:val="hybridMultilevel"/>
    <w:tmpl w:val="5014A28C"/>
    <w:lvl w:ilvl="0" w:tplc="74F083BE">
      <w:start w:val="1"/>
      <w:numFmt w:val="decimal"/>
      <w:pStyle w:val="Boxtitle"/>
      <w:lvlText w:val="Box %1."/>
      <w:lvlJc w:val="left"/>
      <w:pPr>
        <w:ind w:left="720" w:hanging="360"/>
      </w:pPr>
      <w:rPr>
        <w:rFonts w:ascii="Times New Roman" w:hAnsi="Times New Roman" w:hint="default"/>
        <w:b w:val="0"/>
        <w:i/>
        <w:caps w:val="0"/>
        <w:strike w:val="0"/>
        <w:dstrike w:val="0"/>
        <w:vanish w:val="0"/>
        <w:color w:val="000000" w:themeColor="text1"/>
        <w:sz w:val="18"/>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A920AE"/>
    <w:multiLevelType w:val="hybridMultilevel"/>
    <w:tmpl w:val="E2EC0A82"/>
    <w:lvl w:ilvl="0" w:tplc="935496B4">
      <w:start w:val="1"/>
      <w:numFmt w:val="bullet"/>
      <w:lvlText w:val="—"/>
      <w:lvlJc w:val="left"/>
      <w:pPr>
        <w:tabs>
          <w:tab w:val="num" w:pos="720"/>
        </w:tabs>
        <w:ind w:left="720" w:hanging="360"/>
      </w:pPr>
      <w:rPr>
        <w:rFonts w:ascii="Arial" w:hAnsi="Arial" w:hint="default"/>
      </w:rPr>
    </w:lvl>
    <w:lvl w:ilvl="1" w:tplc="FC840986" w:tentative="1">
      <w:start w:val="1"/>
      <w:numFmt w:val="bullet"/>
      <w:lvlText w:val="—"/>
      <w:lvlJc w:val="left"/>
      <w:pPr>
        <w:tabs>
          <w:tab w:val="num" w:pos="1440"/>
        </w:tabs>
        <w:ind w:left="1440" w:hanging="360"/>
      </w:pPr>
      <w:rPr>
        <w:rFonts w:ascii="Arial" w:hAnsi="Arial" w:hint="default"/>
      </w:rPr>
    </w:lvl>
    <w:lvl w:ilvl="2" w:tplc="93D28CDC">
      <w:start w:val="1"/>
      <w:numFmt w:val="bullet"/>
      <w:lvlText w:val="—"/>
      <w:lvlJc w:val="left"/>
      <w:pPr>
        <w:tabs>
          <w:tab w:val="num" w:pos="2160"/>
        </w:tabs>
        <w:ind w:left="2160" w:hanging="360"/>
      </w:pPr>
      <w:rPr>
        <w:rFonts w:ascii="Arial" w:hAnsi="Arial" w:hint="default"/>
      </w:rPr>
    </w:lvl>
    <w:lvl w:ilvl="3" w:tplc="5D504492" w:tentative="1">
      <w:start w:val="1"/>
      <w:numFmt w:val="bullet"/>
      <w:lvlText w:val="—"/>
      <w:lvlJc w:val="left"/>
      <w:pPr>
        <w:tabs>
          <w:tab w:val="num" w:pos="2880"/>
        </w:tabs>
        <w:ind w:left="2880" w:hanging="360"/>
      </w:pPr>
      <w:rPr>
        <w:rFonts w:ascii="Arial" w:hAnsi="Arial" w:hint="default"/>
      </w:rPr>
    </w:lvl>
    <w:lvl w:ilvl="4" w:tplc="E9AAB6CA" w:tentative="1">
      <w:start w:val="1"/>
      <w:numFmt w:val="bullet"/>
      <w:lvlText w:val="—"/>
      <w:lvlJc w:val="left"/>
      <w:pPr>
        <w:tabs>
          <w:tab w:val="num" w:pos="3600"/>
        </w:tabs>
        <w:ind w:left="3600" w:hanging="360"/>
      </w:pPr>
      <w:rPr>
        <w:rFonts w:ascii="Arial" w:hAnsi="Arial" w:hint="default"/>
      </w:rPr>
    </w:lvl>
    <w:lvl w:ilvl="5" w:tplc="E210161A" w:tentative="1">
      <w:start w:val="1"/>
      <w:numFmt w:val="bullet"/>
      <w:lvlText w:val="—"/>
      <w:lvlJc w:val="left"/>
      <w:pPr>
        <w:tabs>
          <w:tab w:val="num" w:pos="4320"/>
        </w:tabs>
        <w:ind w:left="4320" w:hanging="360"/>
      </w:pPr>
      <w:rPr>
        <w:rFonts w:ascii="Arial" w:hAnsi="Arial" w:hint="default"/>
      </w:rPr>
    </w:lvl>
    <w:lvl w:ilvl="6" w:tplc="4F721724" w:tentative="1">
      <w:start w:val="1"/>
      <w:numFmt w:val="bullet"/>
      <w:lvlText w:val="—"/>
      <w:lvlJc w:val="left"/>
      <w:pPr>
        <w:tabs>
          <w:tab w:val="num" w:pos="5040"/>
        </w:tabs>
        <w:ind w:left="5040" w:hanging="360"/>
      </w:pPr>
      <w:rPr>
        <w:rFonts w:ascii="Arial" w:hAnsi="Arial" w:hint="default"/>
      </w:rPr>
    </w:lvl>
    <w:lvl w:ilvl="7" w:tplc="3C8AEEF8" w:tentative="1">
      <w:start w:val="1"/>
      <w:numFmt w:val="bullet"/>
      <w:lvlText w:val="—"/>
      <w:lvlJc w:val="left"/>
      <w:pPr>
        <w:tabs>
          <w:tab w:val="num" w:pos="5760"/>
        </w:tabs>
        <w:ind w:left="5760" w:hanging="360"/>
      </w:pPr>
      <w:rPr>
        <w:rFonts w:ascii="Arial" w:hAnsi="Arial" w:hint="default"/>
      </w:rPr>
    </w:lvl>
    <w:lvl w:ilvl="8" w:tplc="2D7A136A" w:tentative="1">
      <w:start w:val="1"/>
      <w:numFmt w:val="bullet"/>
      <w:lvlText w:val="—"/>
      <w:lvlJc w:val="left"/>
      <w:pPr>
        <w:tabs>
          <w:tab w:val="num" w:pos="6480"/>
        </w:tabs>
        <w:ind w:left="6480" w:hanging="360"/>
      </w:pPr>
      <w:rPr>
        <w:rFonts w:ascii="Arial" w:hAnsi="Arial" w:hint="default"/>
      </w:rPr>
    </w:lvl>
  </w:abstractNum>
  <w:abstractNum w:abstractNumId="14">
    <w:nsid w:val="29387142"/>
    <w:multiLevelType w:val="hybridMultilevel"/>
    <w:tmpl w:val="7A80209C"/>
    <w:lvl w:ilvl="0" w:tplc="0310EF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D5616D"/>
    <w:multiLevelType w:val="hybridMultilevel"/>
    <w:tmpl w:val="C26ACDFE"/>
    <w:lvl w:ilvl="0" w:tplc="14E606A4">
      <w:start w:val="1"/>
      <w:numFmt w:val="bullet"/>
      <w:lvlText w:val="—"/>
      <w:lvlJc w:val="left"/>
      <w:pPr>
        <w:tabs>
          <w:tab w:val="num" w:pos="720"/>
        </w:tabs>
        <w:ind w:left="720" w:hanging="360"/>
      </w:pPr>
      <w:rPr>
        <w:rFonts w:ascii="Arial" w:hAnsi="Arial" w:hint="default"/>
      </w:rPr>
    </w:lvl>
    <w:lvl w:ilvl="1" w:tplc="2B14258C" w:tentative="1">
      <w:start w:val="1"/>
      <w:numFmt w:val="bullet"/>
      <w:lvlText w:val="—"/>
      <w:lvlJc w:val="left"/>
      <w:pPr>
        <w:tabs>
          <w:tab w:val="num" w:pos="1440"/>
        </w:tabs>
        <w:ind w:left="1440" w:hanging="360"/>
      </w:pPr>
      <w:rPr>
        <w:rFonts w:ascii="Arial" w:hAnsi="Arial" w:hint="default"/>
      </w:rPr>
    </w:lvl>
    <w:lvl w:ilvl="2" w:tplc="B25607C6">
      <w:start w:val="1"/>
      <w:numFmt w:val="bullet"/>
      <w:lvlText w:val="—"/>
      <w:lvlJc w:val="left"/>
      <w:pPr>
        <w:tabs>
          <w:tab w:val="num" w:pos="2160"/>
        </w:tabs>
        <w:ind w:left="2160" w:hanging="360"/>
      </w:pPr>
      <w:rPr>
        <w:rFonts w:ascii="Arial" w:hAnsi="Arial" w:hint="default"/>
      </w:rPr>
    </w:lvl>
    <w:lvl w:ilvl="3" w:tplc="9454DC3E" w:tentative="1">
      <w:start w:val="1"/>
      <w:numFmt w:val="bullet"/>
      <w:lvlText w:val="—"/>
      <w:lvlJc w:val="left"/>
      <w:pPr>
        <w:tabs>
          <w:tab w:val="num" w:pos="2880"/>
        </w:tabs>
        <w:ind w:left="2880" w:hanging="360"/>
      </w:pPr>
      <w:rPr>
        <w:rFonts w:ascii="Arial" w:hAnsi="Arial" w:hint="default"/>
      </w:rPr>
    </w:lvl>
    <w:lvl w:ilvl="4" w:tplc="BBA66180" w:tentative="1">
      <w:start w:val="1"/>
      <w:numFmt w:val="bullet"/>
      <w:lvlText w:val="—"/>
      <w:lvlJc w:val="left"/>
      <w:pPr>
        <w:tabs>
          <w:tab w:val="num" w:pos="3600"/>
        </w:tabs>
        <w:ind w:left="3600" w:hanging="360"/>
      </w:pPr>
      <w:rPr>
        <w:rFonts w:ascii="Arial" w:hAnsi="Arial" w:hint="default"/>
      </w:rPr>
    </w:lvl>
    <w:lvl w:ilvl="5" w:tplc="D91A4384" w:tentative="1">
      <w:start w:val="1"/>
      <w:numFmt w:val="bullet"/>
      <w:lvlText w:val="—"/>
      <w:lvlJc w:val="left"/>
      <w:pPr>
        <w:tabs>
          <w:tab w:val="num" w:pos="4320"/>
        </w:tabs>
        <w:ind w:left="4320" w:hanging="360"/>
      </w:pPr>
      <w:rPr>
        <w:rFonts w:ascii="Arial" w:hAnsi="Arial" w:hint="default"/>
      </w:rPr>
    </w:lvl>
    <w:lvl w:ilvl="6" w:tplc="86F854C6" w:tentative="1">
      <w:start w:val="1"/>
      <w:numFmt w:val="bullet"/>
      <w:lvlText w:val="—"/>
      <w:lvlJc w:val="left"/>
      <w:pPr>
        <w:tabs>
          <w:tab w:val="num" w:pos="5040"/>
        </w:tabs>
        <w:ind w:left="5040" w:hanging="360"/>
      </w:pPr>
      <w:rPr>
        <w:rFonts w:ascii="Arial" w:hAnsi="Arial" w:hint="default"/>
      </w:rPr>
    </w:lvl>
    <w:lvl w:ilvl="7" w:tplc="97344E4C" w:tentative="1">
      <w:start w:val="1"/>
      <w:numFmt w:val="bullet"/>
      <w:lvlText w:val="—"/>
      <w:lvlJc w:val="left"/>
      <w:pPr>
        <w:tabs>
          <w:tab w:val="num" w:pos="5760"/>
        </w:tabs>
        <w:ind w:left="5760" w:hanging="360"/>
      </w:pPr>
      <w:rPr>
        <w:rFonts w:ascii="Arial" w:hAnsi="Arial" w:hint="default"/>
      </w:rPr>
    </w:lvl>
    <w:lvl w:ilvl="8" w:tplc="0CA2EFF2" w:tentative="1">
      <w:start w:val="1"/>
      <w:numFmt w:val="bullet"/>
      <w:lvlText w:val="—"/>
      <w:lvlJc w:val="left"/>
      <w:pPr>
        <w:tabs>
          <w:tab w:val="num" w:pos="6480"/>
        </w:tabs>
        <w:ind w:left="6480" w:hanging="360"/>
      </w:pPr>
      <w:rPr>
        <w:rFonts w:ascii="Arial" w:hAnsi="Arial" w:hint="default"/>
      </w:rPr>
    </w:lvl>
  </w:abstractNum>
  <w:abstractNum w:abstractNumId="16">
    <w:nsid w:val="2D3873CC"/>
    <w:multiLevelType w:val="hybridMultilevel"/>
    <w:tmpl w:val="8F74D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EB0587B"/>
    <w:multiLevelType w:val="hybridMultilevel"/>
    <w:tmpl w:val="7552565A"/>
    <w:lvl w:ilvl="0" w:tplc="2B269B08">
      <w:start w:val="1"/>
      <w:numFmt w:val="bullet"/>
      <w:lvlText w:val="—"/>
      <w:lvlJc w:val="left"/>
      <w:pPr>
        <w:tabs>
          <w:tab w:val="num" w:pos="360"/>
        </w:tabs>
        <w:ind w:left="360" w:hanging="360"/>
      </w:pPr>
      <w:rPr>
        <w:rFonts w:ascii="Arial" w:hAnsi="Arial" w:hint="default"/>
      </w:rPr>
    </w:lvl>
    <w:lvl w:ilvl="1" w:tplc="27541024">
      <w:start w:val="1"/>
      <w:numFmt w:val="bullet"/>
      <w:lvlText w:val="—"/>
      <w:lvlJc w:val="left"/>
      <w:pPr>
        <w:tabs>
          <w:tab w:val="num" w:pos="1080"/>
        </w:tabs>
        <w:ind w:left="1080" w:hanging="360"/>
      </w:pPr>
      <w:rPr>
        <w:rFonts w:ascii="Arial" w:hAnsi="Arial" w:hint="default"/>
      </w:rPr>
    </w:lvl>
    <w:lvl w:ilvl="2" w:tplc="ACAE2E08" w:tentative="1">
      <w:start w:val="1"/>
      <w:numFmt w:val="bullet"/>
      <w:lvlText w:val="—"/>
      <w:lvlJc w:val="left"/>
      <w:pPr>
        <w:tabs>
          <w:tab w:val="num" w:pos="1800"/>
        </w:tabs>
        <w:ind w:left="1800" w:hanging="360"/>
      </w:pPr>
      <w:rPr>
        <w:rFonts w:ascii="Arial" w:hAnsi="Arial" w:hint="default"/>
      </w:rPr>
    </w:lvl>
    <w:lvl w:ilvl="3" w:tplc="597EB44A" w:tentative="1">
      <w:start w:val="1"/>
      <w:numFmt w:val="bullet"/>
      <w:lvlText w:val="—"/>
      <w:lvlJc w:val="left"/>
      <w:pPr>
        <w:tabs>
          <w:tab w:val="num" w:pos="2520"/>
        </w:tabs>
        <w:ind w:left="2520" w:hanging="360"/>
      </w:pPr>
      <w:rPr>
        <w:rFonts w:ascii="Arial" w:hAnsi="Arial" w:hint="default"/>
      </w:rPr>
    </w:lvl>
    <w:lvl w:ilvl="4" w:tplc="0D749142" w:tentative="1">
      <w:start w:val="1"/>
      <w:numFmt w:val="bullet"/>
      <w:lvlText w:val="—"/>
      <w:lvlJc w:val="left"/>
      <w:pPr>
        <w:tabs>
          <w:tab w:val="num" w:pos="3240"/>
        </w:tabs>
        <w:ind w:left="3240" w:hanging="360"/>
      </w:pPr>
      <w:rPr>
        <w:rFonts w:ascii="Arial" w:hAnsi="Arial" w:hint="default"/>
      </w:rPr>
    </w:lvl>
    <w:lvl w:ilvl="5" w:tplc="1708E16E" w:tentative="1">
      <w:start w:val="1"/>
      <w:numFmt w:val="bullet"/>
      <w:lvlText w:val="—"/>
      <w:lvlJc w:val="left"/>
      <w:pPr>
        <w:tabs>
          <w:tab w:val="num" w:pos="3960"/>
        </w:tabs>
        <w:ind w:left="3960" w:hanging="360"/>
      </w:pPr>
      <w:rPr>
        <w:rFonts w:ascii="Arial" w:hAnsi="Arial" w:hint="default"/>
      </w:rPr>
    </w:lvl>
    <w:lvl w:ilvl="6" w:tplc="EAF0BD6C" w:tentative="1">
      <w:start w:val="1"/>
      <w:numFmt w:val="bullet"/>
      <w:lvlText w:val="—"/>
      <w:lvlJc w:val="left"/>
      <w:pPr>
        <w:tabs>
          <w:tab w:val="num" w:pos="4680"/>
        </w:tabs>
        <w:ind w:left="4680" w:hanging="360"/>
      </w:pPr>
      <w:rPr>
        <w:rFonts w:ascii="Arial" w:hAnsi="Arial" w:hint="default"/>
      </w:rPr>
    </w:lvl>
    <w:lvl w:ilvl="7" w:tplc="70D64D58" w:tentative="1">
      <w:start w:val="1"/>
      <w:numFmt w:val="bullet"/>
      <w:lvlText w:val="—"/>
      <w:lvlJc w:val="left"/>
      <w:pPr>
        <w:tabs>
          <w:tab w:val="num" w:pos="5400"/>
        </w:tabs>
        <w:ind w:left="5400" w:hanging="360"/>
      </w:pPr>
      <w:rPr>
        <w:rFonts w:ascii="Arial" w:hAnsi="Arial" w:hint="default"/>
      </w:rPr>
    </w:lvl>
    <w:lvl w:ilvl="8" w:tplc="8C5E8278" w:tentative="1">
      <w:start w:val="1"/>
      <w:numFmt w:val="bullet"/>
      <w:lvlText w:val="—"/>
      <w:lvlJc w:val="left"/>
      <w:pPr>
        <w:tabs>
          <w:tab w:val="num" w:pos="6120"/>
        </w:tabs>
        <w:ind w:left="6120" w:hanging="360"/>
      </w:pPr>
      <w:rPr>
        <w:rFonts w:ascii="Arial" w:hAnsi="Arial" w:hint="default"/>
      </w:rPr>
    </w:lvl>
  </w:abstractNum>
  <w:abstractNum w:abstractNumId="18">
    <w:nsid w:val="32110533"/>
    <w:multiLevelType w:val="hybridMultilevel"/>
    <w:tmpl w:val="29368456"/>
    <w:lvl w:ilvl="0" w:tplc="8B0A735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DB4446"/>
    <w:multiLevelType w:val="hybridMultilevel"/>
    <w:tmpl w:val="DBE803DE"/>
    <w:lvl w:ilvl="0" w:tplc="023AB0D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9B5135"/>
    <w:multiLevelType w:val="hybridMultilevel"/>
    <w:tmpl w:val="2496DA9E"/>
    <w:lvl w:ilvl="0" w:tplc="8C6EE2F4">
      <w:start w:val="1"/>
      <w:numFmt w:val="bullet"/>
      <w:lvlText w:val="—"/>
      <w:lvlJc w:val="left"/>
      <w:pPr>
        <w:tabs>
          <w:tab w:val="num" w:pos="720"/>
        </w:tabs>
        <w:ind w:left="720" w:hanging="360"/>
      </w:pPr>
      <w:rPr>
        <w:rFonts w:ascii="Arial" w:hAnsi="Arial" w:hint="default"/>
      </w:rPr>
    </w:lvl>
    <w:lvl w:ilvl="1" w:tplc="40C051F2">
      <w:start w:val="1"/>
      <w:numFmt w:val="bullet"/>
      <w:lvlText w:val="—"/>
      <w:lvlJc w:val="left"/>
      <w:pPr>
        <w:tabs>
          <w:tab w:val="num" w:pos="1440"/>
        </w:tabs>
        <w:ind w:left="1440" w:hanging="360"/>
      </w:pPr>
      <w:rPr>
        <w:rFonts w:ascii="Arial" w:hAnsi="Arial" w:hint="default"/>
      </w:rPr>
    </w:lvl>
    <w:lvl w:ilvl="2" w:tplc="0C2C7010" w:tentative="1">
      <w:start w:val="1"/>
      <w:numFmt w:val="bullet"/>
      <w:lvlText w:val="—"/>
      <w:lvlJc w:val="left"/>
      <w:pPr>
        <w:tabs>
          <w:tab w:val="num" w:pos="2160"/>
        </w:tabs>
        <w:ind w:left="2160" w:hanging="360"/>
      </w:pPr>
      <w:rPr>
        <w:rFonts w:ascii="Arial" w:hAnsi="Arial" w:hint="default"/>
      </w:rPr>
    </w:lvl>
    <w:lvl w:ilvl="3" w:tplc="9EC2FBFE" w:tentative="1">
      <w:start w:val="1"/>
      <w:numFmt w:val="bullet"/>
      <w:lvlText w:val="—"/>
      <w:lvlJc w:val="left"/>
      <w:pPr>
        <w:tabs>
          <w:tab w:val="num" w:pos="2880"/>
        </w:tabs>
        <w:ind w:left="2880" w:hanging="360"/>
      </w:pPr>
      <w:rPr>
        <w:rFonts w:ascii="Arial" w:hAnsi="Arial" w:hint="default"/>
      </w:rPr>
    </w:lvl>
    <w:lvl w:ilvl="4" w:tplc="C54EF818" w:tentative="1">
      <w:start w:val="1"/>
      <w:numFmt w:val="bullet"/>
      <w:lvlText w:val="—"/>
      <w:lvlJc w:val="left"/>
      <w:pPr>
        <w:tabs>
          <w:tab w:val="num" w:pos="3600"/>
        </w:tabs>
        <w:ind w:left="3600" w:hanging="360"/>
      </w:pPr>
      <w:rPr>
        <w:rFonts w:ascii="Arial" w:hAnsi="Arial" w:hint="default"/>
      </w:rPr>
    </w:lvl>
    <w:lvl w:ilvl="5" w:tplc="54F2467C" w:tentative="1">
      <w:start w:val="1"/>
      <w:numFmt w:val="bullet"/>
      <w:lvlText w:val="—"/>
      <w:lvlJc w:val="left"/>
      <w:pPr>
        <w:tabs>
          <w:tab w:val="num" w:pos="4320"/>
        </w:tabs>
        <w:ind w:left="4320" w:hanging="360"/>
      </w:pPr>
      <w:rPr>
        <w:rFonts w:ascii="Arial" w:hAnsi="Arial" w:hint="default"/>
      </w:rPr>
    </w:lvl>
    <w:lvl w:ilvl="6" w:tplc="5DCA7AA4" w:tentative="1">
      <w:start w:val="1"/>
      <w:numFmt w:val="bullet"/>
      <w:lvlText w:val="—"/>
      <w:lvlJc w:val="left"/>
      <w:pPr>
        <w:tabs>
          <w:tab w:val="num" w:pos="5040"/>
        </w:tabs>
        <w:ind w:left="5040" w:hanging="360"/>
      </w:pPr>
      <w:rPr>
        <w:rFonts w:ascii="Arial" w:hAnsi="Arial" w:hint="default"/>
      </w:rPr>
    </w:lvl>
    <w:lvl w:ilvl="7" w:tplc="835CCAC2" w:tentative="1">
      <w:start w:val="1"/>
      <w:numFmt w:val="bullet"/>
      <w:lvlText w:val="—"/>
      <w:lvlJc w:val="left"/>
      <w:pPr>
        <w:tabs>
          <w:tab w:val="num" w:pos="5760"/>
        </w:tabs>
        <w:ind w:left="5760" w:hanging="360"/>
      </w:pPr>
      <w:rPr>
        <w:rFonts w:ascii="Arial" w:hAnsi="Arial" w:hint="default"/>
      </w:rPr>
    </w:lvl>
    <w:lvl w:ilvl="8" w:tplc="145C8E96" w:tentative="1">
      <w:start w:val="1"/>
      <w:numFmt w:val="bullet"/>
      <w:lvlText w:val="—"/>
      <w:lvlJc w:val="left"/>
      <w:pPr>
        <w:tabs>
          <w:tab w:val="num" w:pos="6480"/>
        </w:tabs>
        <w:ind w:left="6480" w:hanging="360"/>
      </w:pPr>
      <w:rPr>
        <w:rFonts w:ascii="Arial" w:hAnsi="Arial" w:hint="default"/>
      </w:rPr>
    </w:lvl>
  </w:abstractNum>
  <w:abstractNum w:abstractNumId="21">
    <w:nsid w:val="3ECF4A78"/>
    <w:multiLevelType w:val="hybridMultilevel"/>
    <w:tmpl w:val="69405124"/>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nsid w:val="3F9D39A4"/>
    <w:multiLevelType w:val="hybridMultilevel"/>
    <w:tmpl w:val="31389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0456065"/>
    <w:multiLevelType w:val="hybridMultilevel"/>
    <w:tmpl w:val="93DA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20232E"/>
    <w:multiLevelType w:val="multilevel"/>
    <w:tmpl w:val="9C98F4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60B47C8"/>
    <w:multiLevelType w:val="hybridMultilevel"/>
    <w:tmpl w:val="324858C8"/>
    <w:lvl w:ilvl="0" w:tplc="7F288D1C">
      <w:start w:val="1"/>
      <w:numFmt w:val="bullet"/>
      <w:lvlText w:val="—"/>
      <w:lvlJc w:val="left"/>
      <w:pPr>
        <w:tabs>
          <w:tab w:val="num" w:pos="720"/>
        </w:tabs>
        <w:ind w:left="720" w:hanging="360"/>
      </w:pPr>
      <w:rPr>
        <w:rFonts w:ascii="Arial" w:hAnsi="Arial" w:hint="default"/>
      </w:rPr>
    </w:lvl>
    <w:lvl w:ilvl="1" w:tplc="02EC55C2">
      <w:start w:val="1"/>
      <w:numFmt w:val="bullet"/>
      <w:lvlText w:val="—"/>
      <w:lvlJc w:val="left"/>
      <w:pPr>
        <w:tabs>
          <w:tab w:val="num" w:pos="1440"/>
        </w:tabs>
        <w:ind w:left="1440" w:hanging="360"/>
      </w:pPr>
      <w:rPr>
        <w:rFonts w:ascii="Arial" w:hAnsi="Arial" w:hint="default"/>
      </w:rPr>
    </w:lvl>
    <w:lvl w:ilvl="2" w:tplc="4D9237F2" w:tentative="1">
      <w:start w:val="1"/>
      <w:numFmt w:val="bullet"/>
      <w:lvlText w:val="—"/>
      <w:lvlJc w:val="left"/>
      <w:pPr>
        <w:tabs>
          <w:tab w:val="num" w:pos="2160"/>
        </w:tabs>
        <w:ind w:left="2160" w:hanging="360"/>
      </w:pPr>
      <w:rPr>
        <w:rFonts w:ascii="Arial" w:hAnsi="Arial" w:hint="default"/>
      </w:rPr>
    </w:lvl>
    <w:lvl w:ilvl="3" w:tplc="C98A6BDC" w:tentative="1">
      <w:start w:val="1"/>
      <w:numFmt w:val="bullet"/>
      <w:lvlText w:val="—"/>
      <w:lvlJc w:val="left"/>
      <w:pPr>
        <w:tabs>
          <w:tab w:val="num" w:pos="2880"/>
        </w:tabs>
        <w:ind w:left="2880" w:hanging="360"/>
      </w:pPr>
      <w:rPr>
        <w:rFonts w:ascii="Arial" w:hAnsi="Arial" w:hint="default"/>
      </w:rPr>
    </w:lvl>
    <w:lvl w:ilvl="4" w:tplc="5568D594" w:tentative="1">
      <w:start w:val="1"/>
      <w:numFmt w:val="bullet"/>
      <w:lvlText w:val="—"/>
      <w:lvlJc w:val="left"/>
      <w:pPr>
        <w:tabs>
          <w:tab w:val="num" w:pos="3600"/>
        </w:tabs>
        <w:ind w:left="3600" w:hanging="360"/>
      </w:pPr>
      <w:rPr>
        <w:rFonts w:ascii="Arial" w:hAnsi="Arial" w:hint="default"/>
      </w:rPr>
    </w:lvl>
    <w:lvl w:ilvl="5" w:tplc="0622A76A" w:tentative="1">
      <w:start w:val="1"/>
      <w:numFmt w:val="bullet"/>
      <w:lvlText w:val="—"/>
      <w:lvlJc w:val="left"/>
      <w:pPr>
        <w:tabs>
          <w:tab w:val="num" w:pos="4320"/>
        </w:tabs>
        <w:ind w:left="4320" w:hanging="360"/>
      </w:pPr>
      <w:rPr>
        <w:rFonts w:ascii="Arial" w:hAnsi="Arial" w:hint="default"/>
      </w:rPr>
    </w:lvl>
    <w:lvl w:ilvl="6" w:tplc="0B18F4AC" w:tentative="1">
      <w:start w:val="1"/>
      <w:numFmt w:val="bullet"/>
      <w:lvlText w:val="—"/>
      <w:lvlJc w:val="left"/>
      <w:pPr>
        <w:tabs>
          <w:tab w:val="num" w:pos="5040"/>
        </w:tabs>
        <w:ind w:left="5040" w:hanging="360"/>
      </w:pPr>
      <w:rPr>
        <w:rFonts w:ascii="Arial" w:hAnsi="Arial" w:hint="default"/>
      </w:rPr>
    </w:lvl>
    <w:lvl w:ilvl="7" w:tplc="07E4EEF0" w:tentative="1">
      <w:start w:val="1"/>
      <w:numFmt w:val="bullet"/>
      <w:lvlText w:val="—"/>
      <w:lvlJc w:val="left"/>
      <w:pPr>
        <w:tabs>
          <w:tab w:val="num" w:pos="5760"/>
        </w:tabs>
        <w:ind w:left="5760" w:hanging="360"/>
      </w:pPr>
      <w:rPr>
        <w:rFonts w:ascii="Arial" w:hAnsi="Arial" w:hint="default"/>
      </w:rPr>
    </w:lvl>
    <w:lvl w:ilvl="8" w:tplc="ECE22C30" w:tentative="1">
      <w:start w:val="1"/>
      <w:numFmt w:val="bullet"/>
      <w:lvlText w:val="—"/>
      <w:lvlJc w:val="left"/>
      <w:pPr>
        <w:tabs>
          <w:tab w:val="num" w:pos="6480"/>
        </w:tabs>
        <w:ind w:left="6480" w:hanging="360"/>
      </w:pPr>
      <w:rPr>
        <w:rFonts w:ascii="Arial" w:hAnsi="Arial" w:hint="default"/>
      </w:rPr>
    </w:lvl>
  </w:abstractNum>
  <w:abstractNum w:abstractNumId="26">
    <w:nsid w:val="46167B14"/>
    <w:multiLevelType w:val="multilevel"/>
    <w:tmpl w:val="BB74C2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9DA6696"/>
    <w:multiLevelType w:val="hybridMultilevel"/>
    <w:tmpl w:val="C17C511C"/>
    <w:lvl w:ilvl="0" w:tplc="F8685CBC">
      <w:start w:val="1"/>
      <w:numFmt w:val="bullet"/>
      <w:lvlText w:val="—"/>
      <w:lvlJc w:val="left"/>
      <w:pPr>
        <w:tabs>
          <w:tab w:val="num" w:pos="720"/>
        </w:tabs>
        <w:ind w:left="720" w:hanging="360"/>
      </w:pPr>
      <w:rPr>
        <w:rFonts w:ascii="Arial" w:hAnsi="Arial" w:hint="default"/>
      </w:rPr>
    </w:lvl>
    <w:lvl w:ilvl="1" w:tplc="2BDCE708" w:tentative="1">
      <w:start w:val="1"/>
      <w:numFmt w:val="bullet"/>
      <w:lvlText w:val="—"/>
      <w:lvlJc w:val="left"/>
      <w:pPr>
        <w:tabs>
          <w:tab w:val="num" w:pos="1440"/>
        </w:tabs>
        <w:ind w:left="1440" w:hanging="360"/>
      </w:pPr>
      <w:rPr>
        <w:rFonts w:ascii="Arial" w:hAnsi="Arial" w:hint="default"/>
      </w:rPr>
    </w:lvl>
    <w:lvl w:ilvl="2" w:tplc="D618EAA4">
      <w:start w:val="1"/>
      <w:numFmt w:val="bullet"/>
      <w:lvlText w:val="—"/>
      <w:lvlJc w:val="left"/>
      <w:pPr>
        <w:tabs>
          <w:tab w:val="num" w:pos="2160"/>
        </w:tabs>
        <w:ind w:left="2160" w:hanging="360"/>
      </w:pPr>
      <w:rPr>
        <w:rFonts w:ascii="Arial" w:hAnsi="Arial" w:hint="default"/>
      </w:rPr>
    </w:lvl>
    <w:lvl w:ilvl="3" w:tplc="3B4405C4" w:tentative="1">
      <w:start w:val="1"/>
      <w:numFmt w:val="bullet"/>
      <w:lvlText w:val="—"/>
      <w:lvlJc w:val="left"/>
      <w:pPr>
        <w:tabs>
          <w:tab w:val="num" w:pos="2880"/>
        </w:tabs>
        <w:ind w:left="2880" w:hanging="360"/>
      </w:pPr>
      <w:rPr>
        <w:rFonts w:ascii="Arial" w:hAnsi="Arial" w:hint="default"/>
      </w:rPr>
    </w:lvl>
    <w:lvl w:ilvl="4" w:tplc="97A4D410" w:tentative="1">
      <w:start w:val="1"/>
      <w:numFmt w:val="bullet"/>
      <w:lvlText w:val="—"/>
      <w:lvlJc w:val="left"/>
      <w:pPr>
        <w:tabs>
          <w:tab w:val="num" w:pos="3600"/>
        </w:tabs>
        <w:ind w:left="3600" w:hanging="360"/>
      </w:pPr>
      <w:rPr>
        <w:rFonts w:ascii="Arial" w:hAnsi="Arial" w:hint="default"/>
      </w:rPr>
    </w:lvl>
    <w:lvl w:ilvl="5" w:tplc="13DE961E" w:tentative="1">
      <w:start w:val="1"/>
      <w:numFmt w:val="bullet"/>
      <w:lvlText w:val="—"/>
      <w:lvlJc w:val="left"/>
      <w:pPr>
        <w:tabs>
          <w:tab w:val="num" w:pos="4320"/>
        </w:tabs>
        <w:ind w:left="4320" w:hanging="360"/>
      </w:pPr>
      <w:rPr>
        <w:rFonts w:ascii="Arial" w:hAnsi="Arial" w:hint="default"/>
      </w:rPr>
    </w:lvl>
    <w:lvl w:ilvl="6" w:tplc="9000C366" w:tentative="1">
      <w:start w:val="1"/>
      <w:numFmt w:val="bullet"/>
      <w:lvlText w:val="—"/>
      <w:lvlJc w:val="left"/>
      <w:pPr>
        <w:tabs>
          <w:tab w:val="num" w:pos="5040"/>
        </w:tabs>
        <w:ind w:left="5040" w:hanging="360"/>
      </w:pPr>
      <w:rPr>
        <w:rFonts w:ascii="Arial" w:hAnsi="Arial" w:hint="default"/>
      </w:rPr>
    </w:lvl>
    <w:lvl w:ilvl="7" w:tplc="DB4CB55C" w:tentative="1">
      <w:start w:val="1"/>
      <w:numFmt w:val="bullet"/>
      <w:lvlText w:val="—"/>
      <w:lvlJc w:val="left"/>
      <w:pPr>
        <w:tabs>
          <w:tab w:val="num" w:pos="5760"/>
        </w:tabs>
        <w:ind w:left="5760" w:hanging="360"/>
      </w:pPr>
      <w:rPr>
        <w:rFonts w:ascii="Arial" w:hAnsi="Arial" w:hint="default"/>
      </w:rPr>
    </w:lvl>
    <w:lvl w:ilvl="8" w:tplc="3668B600" w:tentative="1">
      <w:start w:val="1"/>
      <w:numFmt w:val="bullet"/>
      <w:lvlText w:val="—"/>
      <w:lvlJc w:val="left"/>
      <w:pPr>
        <w:tabs>
          <w:tab w:val="num" w:pos="6480"/>
        </w:tabs>
        <w:ind w:left="6480" w:hanging="360"/>
      </w:pPr>
      <w:rPr>
        <w:rFonts w:ascii="Arial" w:hAnsi="Arial" w:hint="default"/>
      </w:rPr>
    </w:lvl>
  </w:abstractNum>
  <w:abstractNum w:abstractNumId="28">
    <w:nsid w:val="4A4D3278"/>
    <w:multiLevelType w:val="multilevel"/>
    <w:tmpl w:val="6AEC6346"/>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341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4D172B13"/>
    <w:multiLevelType w:val="multilevel"/>
    <w:tmpl w:val="898C2BE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0">
    <w:nsid w:val="4D3B1DE6"/>
    <w:multiLevelType w:val="hybridMultilevel"/>
    <w:tmpl w:val="7A6E5316"/>
    <w:lvl w:ilvl="0" w:tplc="FF1ED382">
      <w:start w:val="1"/>
      <w:numFmt w:val="bullet"/>
      <w:lvlText w:val="—"/>
      <w:lvlJc w:val="left"/>
      <w:pPr>
        <w:tabs>
          <w:tab w:val="num" w:pos="720"/>
        </w:tabs>
        <w:ind w:left="720" w:hanging="360"/>
      </w:pPr>
      <w:rPr>
        <w:rFonts w:ascii="Arial" w:hAnsi="Arial" w:hint="default"/>
      </w:rPr>
    </w:lvl>
    <w:lvl w:ilvl="1" w:tplc="C3BA3E22">
      <w:start w:val="1"/>
      <w:numFmt w:val="bullet"/>
      <w:lvlText w:val="—"/>
      <w:lvlJc w:val="left"/>
      <w:pPr>
        <w:tabs>
          <w:tab w:val="num" w:pos="1440"/>
        </w:tabs>
        <w:ind w:left="1440" w:hanging="360"/>
      </w:pPr>
      <w:rPr>
        <w:rFonts w:ascii="Arial" w:hAnsi="Arial" w:hint="default"/>
      </w:rPr>
    </w:lvl>
    <w:lvl w:ilvl="2" w:tplc="0FBCE4D2" w:tentative="1">
      <w:start w:val="1"/>
      <w:numFmt w:val="bullet"/>
      <w:lvlText w:val="—"/>
      <w:lvlJc w:val="left"/>
      <w:pPr>
        <w:tabs>
          <w:tab w:val="num" w:pos="2160"/>
        </w:tabs>
        <w:ind w:left="2160" w:hanging="360"/>
      </w:pPr>
      <w:rPr>
        <w:rFonts w:ascii="Arial" w:hAnsi="Arial" w:hint="default"/>
      </w:rPr>
    </w:lvl>
    <w:lvl w:ilvl="3" w:tplc="EED058DA" w:tentative="1">
      <w:start w:val="1"/>
      <w:numFmt w:val="bullet"/>
      <w:lvlText w:val="—"/>
      <w:lvlJc w:val="left"/>
      <w:pPr>
        <w:tabs>
          <w:tab w:val="num" w:pos="2880"/>
        </w:tabs>
        <w:ind w:left="2880" w:hanging="360"/>
      </w:pPr>
      <w:rPr>
        <w:rFonts w:ascii="Arial" w:hAnsi="Arial" w:hint="default"/>
      </w:rPr>
    </w:lvl>
    <w:lvl w:ilvl="4" w:tplc="2D3839C4" w:tentative="1">
      <w:start w:val="1"/>
      <w:numFmt w:val="bullet"/>
      <w:lvlText w:val="—"/>
      <w:lvlJc w:val="left"/>
      <w:pPr>
        <w:tabs>
          <w:tab w:val="num" w:pos="3600"/>
        </w:tabs>
        <w:ind w:left="3600" w:hanging="360"/>
      </w:pPr>
      <w:rPr>
        <w:rFonts w:ascii="Arial" w:hAnsi="Arial" w:hint="default"/>
      </w:rPr>
    </w:lvl>
    <w:lvl w:ilvl="5" w:tplc="A1B2C66A" w:tentative="1">
      <w:start w:val="1"/>
      <w:numFmt w:val="bullet"/>
      <w:lvlText w:val="—"/>
      <w:lvlJc w:val="left"/>
      <w:pPr>
        <w:tabs>
          <w:tab w:val="num" w:pos="4320"/>
        </w:tabs>
        <w:ind w:left="4320" w:hanging="360"/>
      </w:pPr>
      <w:rPr>
        <w:rFonts w:ascii="Arial" w:hAnsi="Arial" w:hint="default"/>
      </w:rPr>
    </w:lvl>
    <w:lvl w:ilvl="6" w:tplc="45867FD8" w:tentative="1">
      <w:start w:val="1"/>
      <w:numFmt w:val="bullet"/>
      <w:lvlText w:val="—"/>
      <w:lvlJc w:val="left"/>
      <w:pPr>
        <w:tabs>
          <w:tab w:val="num" w:pos="5040"/>
        </w:tabs>
        <w:ind w:left="5040" w:hanging="360"/>
      </w:pPr>
      <w:rPr>
        <w:rFonts w:ascii="Arial" w:hAnsi="Arial" w:hint="default"/>
      </w:rPr>
    </w:lvl>
    <w:lvl w:ilvl="7" w:tplc="E676D1FC" w:tentative="1">
      <w:start w:val="1"/>
      <w:numFmt w:val="bullet"/>
      <w:lvlText w:val="—"/>
      <w:lvlJc w:val="left"/>
      <w:pPr>
        <w:tabs>
          <w:tab w:val="num" w:pos="5760"/>
        </w:tabs>
        <w:ind w:left="5760" w:hanging="360"/>
      </w:pPr>
      <w:rPr>
        <w:rFonts w:ascii="Arial" w:hAnsi="Arial" w:hint="default"/>
      </w:rPr>
    </w:lvl>
    <w:lvl w:ilvl="8" w:tplc="375070C4" w:tentative="1">
      <w:start w:val="1"/>
      <w:numFmt w:val="bullet"/>
      <w:lvlText w:val="—"/>
      <w:lvlJc w:val="left"/>
      <w:pPr>
        <w:tabs>
          <w:tab w:val="num" w:pos="6480"/>
        </w:tabs>
        <w:ind w:left="6480" w:hanging="360"/>
      </w:pPr>
      <w:rPr>
        <w:rFonts w:ascii="Arial" w:hAnsi="Arial" w:hint="default"/>
      </w:rPr>
    </w:lvl>
  </w:abstractNum>
  <w:abstractNum w:abstractNumId="31">
    <w:nsid w:val="539C410C"/>
    <w:multiLevelType w:val="hybridMultilevel"/>
    <w:tmpl w:val="3D08C4C4"/>
    <w:lvl w:ilvl="0" w:tplc="16D2B65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3BC1DAD"/>
    <w:multiLevelType w:val="hybridMultilevel"/>
    <w:tmpl w:val="7160E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4BB4F77"/>
    <w:multiLevelType w:val="hybridMultilevel"/>
    <w:tmpl w:val="9744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814B96"/>
    <w:multiLevelType w:val="hybridMultilevel"/>
    <w:tmpl w:val="EEB4FCA8"/>
    <w:lvl w:ilvl="0" w:tplc="7038AC9A">
      <w:start w:val="1"/>
      <w:numFmt w:val="bullet"/>
      <w:lvlText w:val="—"/>
      <w:lvlJc w:val="left"/>
      <w:pPr>
        <w:tabs>
          <w:tab w:val="num" w:pos="720"/>
        </w:tabs>
        <w:ind w:left="720" w:hanging="360"/>
      </w:pPr>
      <w:rPr>
        <w:rFonts w:ascii="Arial" w:hAnsi="Arial" w:hint="default"/>
      </w:rPr>
    </w:lvl>
    <w:lvl w:ilvl="1" w:tplc="023ABC52">
      <w:start w:val="1"/>
      <w:numFmt w:val="bullet"/>
      <w:lvlText w:val="—"/>
      <w:lvlJc w:val="left"/>
      <w:pPr>
        <w:tabs>
          <w:tab w:val="num" w:pos="1440"/>
        </w:tabs>
        <w:ind w:left="1440" w:hanging="360"/>
      </w:pPr>
      <w:rPr>
        <w:rFonts w:ascii="Arial" w:hAnsi="Arial" w:hint="default"/>
      </w:rPr>
    </w:lvl>
    <w:lvl w:ilvl="2" w:tplc="08201D70" w:tentative="1">
      <w:start w:val="1"/>
      <w:numFmt w:val="bullet"/>
      <w:lvlText w:val="—"/>
      <w:lvlJc w:val="left"/>
      <w:pPr>
        <w:tabs>
          <w:tab w:val="num" w:pos="2160"/>
        </w:tabs>
        <w:ind w:left="2160" w:hanging="360"/>
      </w:pPr>
      <w:rPr>
        <w:rFonts w:ascii="Arial" w:hAnsi="Arial" w:hint="default"/>
      </w:rPr>
    </w:lvl>
    <w:lvl w:ilvl="3" w:tplc="D05035BA" w:tentative="1">
      <w:start w:val="1"/>
      <w:numFmt w:val="bullet"/>
      <w:lvlText w:val="—"/>
      <w:lvlJc w:val="left"/>
      <w:pPr>
        <w:tabs>
          <w:tab w:val="num" w:pos="2880"/>
        </w:tabs>
        <w:ind w:left="2880" w:hanging="360"/>
      </w:pPr>
      <w:rPr>
        <w:rFonts w:ascii="Arial" w:hAnsi="Arial" w:hint="default"/>
      </w:rPr>
    </w:lvl>
    <w:lvl w:ilvl="4" w:tplc="865287B0" w:tentative="1">
      <w:start w:val="1"/>
      <w:numFmt w:val="bullet"/>
      <w:lvlText w:val="—"/>
      <w:lvlJc w:val="left"/>
      <w:pPr>
        <w:tabs>
          <w:tab w:val="num" w:pos="3600"/>
        </w:tabs>
        <w:ind w:left="3600" w:hanging="360"/>
      </w:pPr>
      <w:rPr>
        <w:rFonts w:ascii="Arial" w:hAnsi="Arial" w:hint="default"/>
      </w:rPr>
    </w:lvl>
    <w:lvl w:ilvl="5" w:tplc="13E81FCE" w:tentative="1">
      <w:start w:val="1"/>
      <w:numFmt w:val="bullet"/>
      <w:lvlText w:val="—"/>
      <w:lvlJc w:val="left"/>
      <w:pPr>
        <w:tabs>
          <w:tab w:val="num" w:pos="4320"/>
        </w:tabs>
        <w:ind w:left="4320" w:hanging="360"/>
      </w:pPr>
      <w:rPr>
        <w:rFonts w:ascii="Arial" w:hAnsi="Arial" w:hint="default"/>
      </w:rPr>
    </w:lvl>
    <w:lvl w:ilvl="6" w:tplc="7694A91E" w:tentative="1">
      <w:start w:val="1"/>
      <w:numFmt w:val="bullet"/>
      <w:lvlText w:val="—"/>
      <w:lvlJc w:val="left"/>
      <w:pPr>
        <w:tabs>
          <w:tab w:val="num" w:pos="5040"/>
        </w:tabs>
        <w:ind w:left="5040" w:hanging="360"/>
      </w:pPr>
      <w:rPr>
        <w:rFonts w:ascii="Arial" w:hAnsi="Arial" w:hint="default"/>
      </w:rPr>
    </w:lvl>
    <w:lvl w:ilvl="7" w:tplc="7506D1EA" w:tentative="1">
      <w:start w:val="1"/>
      <w:numFmt w:val="bullet"/>
      <w:lvlText w:val="—"/>
      <w:lvlJc w:val="left"/>
      <w:pPr>
        <w:tabs>
          <w:tab w:val="num" w:pos="5760"/>
        </w:tabs>
        <w:ind w:left="5760" w:hanging="360"/>
      </w:pPr>
      <w:rPr>
        <w:rFonts w:ascii="Arial" w:hAnsi="Arial" w:hint="default"/>
      </w:rPr>
    </w:lvl>
    <w:lvl w:ilvl="8" w:tplc="75E2CD08" w:tentative="1">
      <w:start w:val="1"/>
      <w:numFmt w:val="bullet"/>
      <w:lvlText w:val="—"/>
      <w:lvlJc w:val="left"/>
      <w:pPr>
        <w:tabs>
          <w:tab w:val="num" w:pos="6480"/>
        </w:tabs>
        <w:ind w:left="6480" w:hanging="360"/>
      </w:pPr>
      <w:rPr>
        <w:rFonts w:ascii="Arial" w:hAnsi="Arial" w:hint="default"/>
      </w:rPr>
    </w:lvl>
  </w:abstractNum>
  <w:abstractNum w:abstractNumId="35">
    <w:nsid w:val="59E27376"/>
    <w:multiLevelType w:val="hybridMultilevel"/>
    <w:tmpl w:val="9E6A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6F0B25"/>
    <w:multiLevelType w:val="hybridMultilevel"/>
    <w:tmpl w:val="007CF38C"/>
    <w:lvl w:ilvl="0" w:tplc="DE505AB4">
      <w:numFmt w:val="bullet"/>
      <w:pStyle w:val="Dashedbullets"/>
      <w:lvlText w:val="–"/>
      <w:lvlJc w:val="left"/>
      <w:pPr>
        <w:ind w:left="720" w:hanging="360"/>
      </w:pPr>
      <w:rPr>
        <w:rFonts w:ascii="Arial" w:eastAsiaTheme="minorHAnsi"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A897ED6"/>
    <w:multiLevelType w:val="hybridMultilevel"/>
    <w:tmpl w:val="2A3E00F0"/>
    <w:lvl w:ilvl="0" w:tplc="8ED2718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BBA2B25"/>
    <w:multiLevelType w:val="hybridMultilevel"/>
    <w:tmpl w:val="0E506C2C"/>
    <w:lvl w:ilvl="0" w:tplc="3906275A">
      <w:start w:val="1"/>
      <w:numFmt w:val="decimal"/>
      <w:pStyle w:val="Tabletitle"/>
      <w:lvlText w:val="Table %1."/>
      <w:lvlJc w:val="left"/>
      <w:pPr>
        <w:ind w:left="992" w:hanging="992"/>
      </w:pPr>
      <w:rPr>
        <w:rFonts w:ascii="Times New Roman" w:hAnsi="Times New Roman" w:hint="default"/>
        <w:b w:val="0"/>
        <w:bCs w:val="0"/>
        <w:i/>
        <w:iCs w:val="0"/>
        <w:caps w:val="0"/>
        <w:smallCaps w:val="0"/>
        <w:strike w:val="0"/>
        <w:dstrike w:val="0"/>
        <w:vanish w:val="0"/>
        <w:color w:val="000000"/>
        <w:spacing w:val="0"/>
        <w:kern w:val="0"/>
        <w:position w:val="0"/>
        <w:sz w:val="18"/>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DC40EB"/>
    <w:multiLevelType w:val="hybridMultilevel"/>
    <w:tmpl w:val="4C247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6C36F0"/>
    <w:multiLevelType w:val="hybridMultilevel"/>
    <w:tmpl w:val="C380C062"/>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1">
    <w:nsid w:val="719106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A7944E7"/>
    <w:multiLevelType w:val="hybridMultilevel"/>
    <w:tmpl w:val="075C96BC"/>
    <w:lvl w:ilvl="0" w:tplc="8ED2718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AB1297E"/>
    <w:multiLevelType w:val="hybridMultilevel"/>
    <w:tmpl w:val="056A3382"/>
    <w:lvl w:ilvl="0" w:tplc="738AF558">
      <w:start w:val="1"/>
      <w:numFmt w:val="bullet"/>
      <w:lvlText w:val="—"/>
      <w:lvlJc w:val="left"/>
      <w:pPr>
        <w:tabs>
          <w:tab w:val="num" w:pos="720"/>
        </w:tabs>
        <w:ind w:left="720" w:hanging="360"/>
      </w:pPr>
      <w:rPr>
        <w:rFonts w:ascii="Arial" w:hAnsi="Arial" w:hint="default"/>
      </w:rPr>
    </w:lvl>
    <w:lvl w:ilvl="1" w:tplc="EACAD27E">
      <w:start w:val="1"/>
      <w:numFmt w:val="bullet"/>
      <w:lvlText w:val="—"/>
      <w:lvlJc w:val="left"/>
      <w:pPr>
        <w:tabs>
          <w:tab w:val="num" w:pos="1440"/>
        </w:tabs>
        <w:ind w:left="1440" w:hanging="360"/>
      </w:pPr>
      <w:rPr>
        <w:rFonts w:ascii="Arial" w:hAnsi="Arial" w:hint="default"/>
      </w:rPr>
    </w:lvl>
    <w:lvl w:ilvl="2" w:tplc="C52EEB08" w:tentative="1">
      <w:start w:val="1"/>
      <w:numFmt w:val="bullet"/>
      <w:lvlText w:val="—"/>
      <w:lvlJc w:val="left"/>
      <w:pPr>
        <w:tabs>
          <w:tab w:val="num" w:pos="2160"/>
        </w:tabs>
        <w:ind w:left="2160" w:hanging="360"/>
      </w:pPr>
      <w:rPr>
        <w:rFonts w:ascii="Arial" w:hAnsi="Arial" w:hint="default"/>
      </w:rPr>
    </w:lvl>
    <w:lvl w:ilvl="3" w:tplc="4002D8A2" w:tentative="1">
      <w:start w:val="1"/>
      <w:numFmt w:val="bullet"/>
      <w:lvlText w:val="—"/>
      <w:lvlJc w:val="left"/>
      <w:pPr>
        <w:tabs>
          <w:tab w:val="num" w:pos="2880"/>
        </w:tabs>
        <w:ind w:left="2880" w:hanging="360"/>
      </w:pPr>
      <w:rPr>
        <w:rFonts w:ascii="Arial" w:hAnsi="Arial" w:hint="default"/>
      </w:rPr>
    </w:lvl>
    <w:lvl w:ilvl="4" w:tplc="48266EE8" w:tentative="1">
      <w:start w:val="1"/>
      <w:numFmt w:val="bullet"/>
      <w:lvlText w:val="—"/>
      <w:lvlJc w:val="left"/>
      <w:pPr>
        <w:tabs>
          <w:tab w:val="num" w:pos="3600"/>
        </w:tabs>
        <w:ind w:left="3600" w:hanging="360"/>
      </w:pPr>
      <w:rPr>
        <w:rFonts w:ascii="Arial" w:hAnsi="Arial" w:hint="default"/>
      </w:rPr>
    </w:lvl>
    <w:lvl w:ilvl="5" w:tplc="2820C3B4" w:tentative="1">
      <w:start w:val="1"/>
      <w:numFmt w:val="bullet"/>
      <w:lvlText w:val="—"/>
      <w:lvlJc w:val="left"/>
      <w:pPr>
        <w:tabs>
          <w:tab w:val="num" w:pos="4320"/>
        </w:tabs>
        <w:ind w:left="4320" w:hanging="360"/>
      </w:pPr>
      <w:rPr>
        <w:rFonts w:ascii="Arial" w:hAnsi="Arial" w:hint="default"/>
      </w:rPr>
    </w:lvl>
    <w:lvl w:ilvl="6" w:tplc="76447D5A" w:tentative="1">
      <w:start w:val="1"/>
      <w:numFmt w:val="bullet"/>
      <w:lvlText w:val="—"/>
      <w:lvlJc w:val="left"/>
      <w:pPr>
        <w:tabs>
          <w:tab w:val="num" w:pos="5040"/>
        </w:tabs>
        <w:ind w:left="5040" w:hanging="360"/>
      </w:pPr>
      <w:rPr>
        <w:rFonts w:ascii="Arial" w:hAnsi="Arial" w:hint="default"/>
      </w:rPr>
    </w:lvl>
    <w:lvl w:ilvl="7" w:tplc="874046F0" w:tentative="1">
      <w:start w:val="1"/>
      <w:numFmt w:val="bullet"/>
      <w:lvlText w:val="—"/>
      <w:lvlJc w:val="left"/>
      <w:pPr>
        <w:tabs>
          <w:tab w:val="num" w:pos="5760"/>
        </w:tabs>
        <w:ind w:left="5760" w:hanging="360"/>
      </w:pPr>
      <w:rPr>
        <w:rFonts w:ascii="Arial" w:hAnsi="Arial" w:hint="default"/>
      </w:rPr>
    </w:lvl>
    <w:lvl w:ilvl="8" w:tplc="BAC81C1A" w:tentative="1">
      <w:start w:val="1"/>
      <w:numFmt w:val="bullet"/>
      <w:lvlText w:val="—"/>
      <w:lvlJc w:val="left"/>
      <w:pPr>
        <w:tabs>
          <w:tab w:val="num" w:pos="6480"/>
        </w:tabs>
        <w:ind w:left="6480" w:hanging="360"/>
      </w:pPr>
      <w:rPr>
        <w:rFonts w:ascii="Arial" w:hAnsi="Arial" w:hint="default"/>
      </w:rPr>
    </w:lvl>
  </w:abstractNum>
  <w:abstractNum w:abstractNumId="44">
    <w:nsid w:val="7E346949"/>
    <w:multiLevelType w:val="hybridMultilevel"/>
    <w:tmpl w:val="1E1EB6A4"/>
    <w:lvl w:ilvl="0" w:tplc="7570E4FC">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num>
  <w:num w:numId="2">
    <w:abstractNumId w:val="36"/>
  </w:num>
  <w:num w:numId="3">
    <w:abstractNumId w:val="38"/>
  </w:num>
  <w:num w:numId="4">
    <w:abstractNumId w:val="28"/>
  </w:num>
  <w:num w:numId="5">
    <w:abstractNumId w:val="12"/>
  </w:num>
  <w:num w:numId="6">
    <w:abstractNumId w:val="33"/>
  </w:num>
  <w:num w:numId="7">
    <w:abstractNumId w:val="11"/>
  </w:num>
  <w:num w:numId="8">
    <w:abstractNumId w:val="2"/>
  </w:num>
  <w:num w:numId="9">
    <w:abstractNumId w:val="18"/>
  </w:num>
  <w:num w:numId="10">
    <w:abstractNumId w:val="14"/>
  </w:num>
  <w:num w:numId="11">
    <w:abstractNumId w:val="19"/>
  </w:num>
  <w:num w:numId="12">
    <w:abstractNumId w:val="7"/>
  </w:num>
  <w:num w:numId="13">
    <w:abstractNumId w:val="4"/>
  </w:num>
  <w:num w:numId="14">
    <w:abstractNumId w:val="41"/>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29"/>
  </w:num>
  <w:num w:numId="20">
    <w:abstractNumId w:val="8"/>
    <w:lvlOverride w:ilvl="0">
      <w:startOverride w:val="1"/>
    </w:lvlOverride>
  </w:num>
  <w:num w:numId="21">
    <w:abstractNumId w:val="8"/>
    <w:lvlOverride w:ilvl="0">
      <w:startOverride w:val="1"/>
    </w:lvlOverride>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6"/>
  </w:num>
  <w:num w:numId="25">
    <w:abstractNumId w:val="13"/>
  </w:num>
  <w:num w:numId="26">
    <w:abstractNumId w:val="27"/>
  </w:num>
  <w:num w:numId="27">
    <w:abstractNumId w:val="15"/>
  </w:num>
  <w:num w:numId="28">
    <w:abstractNumId w:val="21"/>
  </w:num>
  <w:num w:numId="29">
    <w:abstractNumId w:val="25"/>
  </w:num>
  <w:num w:numId="30">
    <w:abstractNumId w:val="1"/>
  </w:num>
  <w:num w:numId="31">
    <w:abstractNumId w:val="40"/>
  </w:num>
  <w:num w:numId="32">
    <w:abstractNumId w:val="9"/>
  </w:num>
  <w:num w:numId="33">
    <w:abstractNumId w:val="0"/>
  </w:num>
  <w:num w:numId="34">
    <w:abstractNumId w:val="23"/>
  </w:num>
  <w:num w:numId="35">
    <w:abstractNumId w:val="35"/>
  </w:num>
  <w:num w:numId="36">
    <w:abstractNumId w:val="17"/>
  </w:num>
  <w:num w:numId="37">
    <w:abstractNumId w:val="43"/>
  </w:num>
  <w:num w:numId="38">
    <w:abstractNumId w:val="20"/>
  </w:num>
  <w:num w:numId="39">
    <w:abstractNumId w:val="34"/>
  </w:num>
  <w:num w:numId="40">
    <w:abstractNumId w:val="30"/>
  </w:num>
  <w:num w:numId="41">
    <w:abstractNumId w:val="5"/>
  </w:num>
  <w:num w:numId="42">
    <w:abstractNumId w:val="31"/>
  </w:num>
  <w:num w:numId="43">
    <w:abstractNumId w:val="39"/>
  </w:num>
  <w:num w:numId="44">
    <w:abstractNumId w:val="32"/>
  </w:num>
  <w:num w:numId="45">
    <w:abstractNumId w:val="22"/>
  </w:num>
  <w:num w:numId="46">
    <w:abstractNumId w:val="37"/>
  </w:num>
  <w:num w:numId="47">
    <w:abstractNumId w:val="42"/>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7CF"/>
    <w:rsid w:val="0000453B"/>
    <w:rsid w:val="0000455D"/>
    <w:rsid w:val="000045AA"/>
    <w:rsid w:val="00004F73"/>
    <w:rsid w:val="0000653B"/>
    <w:rsid w:val="00012200"/>
    <w:rsid w:val="00013E54"/>
    <w:rsid w:val="000159B2"/>
    <w:rsid w:val="000166CD"/>
    <w:rsid w:val="00017E43"/>
    <w:rsid w:val="00020ECA"/>
    <w:rsid w:val="00022D9A"/>
    <w:rsid w:val="0002418D"/>
    <w:rsid w:val="00025D40"/>
    <w:rsid w:val="00026598"/>
    <w:rsid w:val="00031044"/>
    <w:rsid w:val="000313D0"/>
    <w:rsid w:val="00035298"/>
    <w:rsid w:val="0003593F"/>
    <w:rsid w:val="00036ADD"/>
    <w:rsid w:val="00037276"/>
    <w:rsid w:val="00040612"/>
    <w:rsid w:val="000422E7"/>
    <w:rsid w:val="00045FEE"/>
    <w:rsid w:val="00046735"/>
    <w:rsid w:val="000510E0"/>
    <w:rsid w:val="0005187C"/>
    <w:rsid w:val="00056616"/>
    <w:rsid w:val="0006010D"/>
    <w:rsid w:val="0006077E"/>
    <w:rsid w:val="000615D5"/>
    <w:rsid w:val="00065466"/>
    <w:rsid w:val="0006765A"/>
    <w:rsid w:val="00070B87"/>
    <w:rsid w:val="000770B0"/>
    <w:rsid w:val="00077FE7"/>
    <w:rsid w:val="000814AE"/>
    <w:rsid w:val="000830FE"/>
    <w:rsid w:val="000912E3"/>
    <w:rsid w:val="00091B59"/>
    <w:rsid w:val="000A3884"/>
    <w:rsid w:val="000A46BD"/>
    <w:rsid w:val="000A47CF"/>
    <w:rsid w:val="000A5372"/>
    <w:rsid w:val="000A68A5"/>
    <w:rsid w:val="000A6DD0"/>
    <w:rsid w:val="000B177D"/>
    <w:rsid w:val="000B237A"/>
    <w:rsid w:val="000B2FEB"/>
    <w:rsid w:val="000B48F1"/>
    <w:rsid w:val="000B4CB9"/>
    <w:rsid w:val="000B74E4"/>
    <w:rsid w:val="000C21E4"/>
    <w:rsid w:val="000C2DF1"/>
    <w:rsid w:val="000C43B2"/>
    <w:rsid w:val="000C5DD0"/>
    <w:rsid w:val="000D25DC"/>
    <w:rsid w:val="000D2AF5"/>
    <w:rsid w:val="000D69AA"/>
    <w:rsid w:val="000D6CCC"/>
    <w:rsid w:val="000E116F"/>
    <w:rsid w:val="000E1602"/>
    <w:rsid w:val="000E1CE5"/>
    <w:rsid w:val="000E3997"/>
    <w:rsid w:val="000E5697"/>
    <w:rsid w:val="000E6CB9"/>
    <w:rsid w:val="000E784A"/>
    <w:rsid w:val="000E7A3A"/>
    <w:rsid w:val="000F1E7D"/>
    <w:rsid w:val="000F1F64"/>
    <w:rsid w:val="000F4508"/>
    <w:rsid w:val="000F66B6"/>
    <w:rsid w:val="000F7666"/>
    <w:rsid w:val="00101841"/>
    <w:rsid w:val="00103D38"/>
    <w:rsid w:val="001067E8"/>
    <w:rsid w:val="001103D3"/>
    <w:rsid w:val="00111A40"/>
    <w:rsid w:val="00111A8A"/>
    <w:rsid w:val="00111EFF"/>
    <w:rsid w:val="00114D05"/>
    <w:rsid w:val="0011542B"/>
    <w:rsid w:val="00115C25"/>
    <w:rsid w:val="00121E2E"/>
    <w:rsid w:val="001224AE"/>
    <w:rsid w:val="001267D6"/>
    <w:rsid w:val="00132875"/>
    <w:rsid w:val="00134439"/>
    <w:rsid w:val="00141B78"/>
    <w:rsid w:val="00160EDC"/>
    <w:rsid w:val="00162D54"/>
    <w:rsid w:val="0016627A"/>
    <w:rsid w:val="001667FC"/>
    <w:rsid w:val="00167E56"/>
    <w:rsid w:val="0017013F"/>
    <w:rsid w:val="00170C06"/>
    <w:rsid w:val="00171B6C"/>
    <w:rsid w:val="001759BE"/>
    <w:rsid w:val="0017632A"/>
    <w:rsid w:val="0017644E"/>
    <w:rsid w:val="0017656C"/>
    <w:rsid w:val="001770B5"/>
    <w:rsid w:val="00177424"/>
    <w:rsid w:val="001819DD"/>
    <w:rsid w:val="0018205A"/>
    <w:rsid w:val="001820B2"/>
    <w:rsid w:val="001834E5"/>
    <w:rsid w:val="0018763B"/>
    <w:rsid w:val="001903D3"/>
    <w:rsid w:val="00190CCE"/>
    <w:rsid w:val="00192F2A"/>
    <w:rsid w:val="001949F3"/>
    <w:rsid w:val="00194D2C"/>
    <w:rsid w:val="00194E62"/>
    <w:rsid w:val="00197E14"/>
    <w:rsid w:val="001A0515"/>
    <w:rsid w:val="001A528F"/>
    <w:rsid w:val="001A6E2E"/>
    <w:rsid w:val="001A7F3F"/>
    <w:rsid w:val="001B1C21"/>
    <w:rsid w:val="001B2655"/>
    <w:rsid w:val="001B2C3F"/>
    <w:rsid w:val="001B6F4C"/>
    <w:rsid w:val="001B78D1"/>
    <w:rsid w:val="001C11C6"/>
    <w:rsid w:val="001C1901"/>
    <w:rsid w:val="001C2102"/>
    <w:rsid w:val="001C32B2"/>
    <w:rsid w:val="001C3CA5"/>
    <w:rsid w:val="001D09FC"/>
    <w:rsid w:val="001D611C"/>
    <w:rsid w:val="001D7982"/>
    <w:rsid w:val="001E08F5"/>
    <w:rsid w:val="001E0B48"/>
    <w:rsid w:val="001E3766"/>
    <w:rsid w:val="001E3DF0"/>
    <w:rsid w:val="001E50D3"/>
    <w:rsid w:val="001E68BB"/>
    <w:rsid w:val="001E7C21"/>
    <w:rsid w:val="001E7F05"/>
    <w:rsid w:val="001F0940"/>
    <w:rsid w:val="001F1CC3"/>
    <w:rsid w:val="001F3FC2"/>
    <w:rsid w:val="001F5001"/>
    <w:rsid w:val="0020235C"/>
    <w:rsid w:val="00202472"/>
    <w:rsid w:val="00202C88"/>
    <w:rsid w:val="002055B0"/>
    <w:rsid w:val="002059CA"/>
    <w:rsid w:val="00215A21"/>
    <w:rsid w:val="00221001"/>
    <w:rsid w:val="0022120C"/>
    <w:rsid w:val="00222F07"/>
    <w:rsid w:val="0023032C"/>
    <w:rsid w:val="0023058A"/>
    <w:rsid w:val="002315CD"/>
    <w:rsid w:val="0023212F"/>
    <w:rsid w:val="00232290"/>
    <w:rsid w:val="00234568"/>
    <w:rsid w:val="00235DC0"/>
    <w:rsid w:val="00235E9B"/>
    <w:rsid w:val="00237B18"/>
    <w:rsid w:val="0024018C"/>
    <w:rsid w:val="00241735"/>
    <w:rsid w:val="00242F2C"/>
    <w:rsid w:val="00243F32"/>
    <w:rsid w:val="0024784A"/>
    <w:rsid w:val="002549FA"/>
    <w:rsid w:val="00254E53"/>
    <w:rsid w:val="00260FA3"/>
    <w:rsid w:val="002611BB"/>
    <w:rsid w:val="00264108"/>
    <w:rsid w:val="00265722"/>
    <w:rsid w:val="002663CB"/>
    <w:rsid w:val="00270306"/>
    <w:rsid w:val="00273F0D"/>
    <w:rsid w:val="002740CC"/>
    <w:rsid w:val="0027564C"/>
    <w:rsid w:val="00277A85"/>
    <w:rsid w:val="002815CF"/>
    <w:rsid w:val="0028182D"/>
    <w:rsid w:val="00283886"/>
    <w:rsid w:val="00283F53"/>
    <w:rsid w:val="00284852"/>
    <w:rsid w:val="00284BD8"/>
    <w:rsid w:val="00286D64"/>
    <w:rsid w:val="00290DA6"/>
    <w:rsid w:val="00292608"/>
    <w:rsid w:val="00293AD5"/>
    <w:rsid w:val="00294896"/>
    <w:rsid w:val="00297A35"/>
    <w:rsid w:val="00297F86"/>
    <w:rsid w:val="002A31C3"/>
    <w:rsid w:val="002A45B1"/>
    <w:rsid w:val="002A47E8"/>
    <w:rsid w:val="002A6B4B"/>
    <w:rsid w:val="002B0568"/>
    <w:rsid w:val="002B0A8D"/>
    <w:rsid w:val="002B3E45"/>
    <w:rsid w:val="002B429B"/>
    <w:rsid w:val="002B44F6"/>
    <w:rsid w:val="002B68E9"/>
    <w:rsid w:val="002C77E6"/>
    <w:rsid w:val="002D09B1"/>
    <w:rsid w:val="002D0A4A"/>
    <w:rsid w:val="002D4E4B"/>
    <w:rsid w:val="002E11BE"/>
    <w:rsid w:val="002E1689"/>
    <w:rsid w:val="002E1EDD"/>
    <w:rsid w:val="002E7F6E"/>
    <w:rsid w:val="002F1EBE"/>
    <w:rsid w:val="002F2205"/>
    <w:rsid w:val="002F2DCB"/>
    <w:rsid w:val="002F5972"/>
    <w:rsid w:val="002F5F5B"/>
    <w:rsid w:val="002F627D"/>
    <w:rsid w:val="002F7470"/>
    <w:rsid w:val="002F7E40"/>
    <w:rsid w:val="00301279"/>
    <w:rsid w:val="00303487"/>
    <w:rsid w:val="00304CDB"/>
    <w:rsid w:val="00305E77"/>
    <w:rsid w:val="0030763D"/>
    <w:rsid w:val="00310037"/>
    <w:rsid w:val="00310A21"/>
    <w:rsid w:val="00312419"/>
    <w:rsid w:val="00316E59"/>
    <w:rsid w:val="00320DF8"/>
    <w:rsid w:val="00323074"/>
    <w:rsid w:val="00324E46"/>
    <w:rsid w:val="003261E4"/>
    <w:rsid w:val="00327B74"/>
    <w:rsid w:val="00332951"/>
    <w:rsid w:val="003341F7"/>
    <w:rsid w:val="003361AB"/>
    <w:rsid w:val="00337307"/>
    <w:rsid w:val="003420C0"/>
    <w:rsid w:val="00342B38"/>
    <w:rsid w:val="00343677"/>
    <w:rsid w:val="003556BE"/>
    <w:rsid w:val="00356155"/>
    <w:rsid w:val="003563AB"/>
    <w:rsid w:val="00360333"/>
    <w:rsid w:val="00362B35"/>
    <w:rsid w:val="00363715"/>
    <w:rsid w:val="003647F9"/>
    <w:rsid w:val="00366A8E"/>
    <w:rsid w:val="003719F0"/>
    <w:rsid w:val="00371D0E"/>
    <w:rsid w:val="003721F3"/>
    <w:rsid w:val="00372E94"/>
    <w:rsid w:val="00373C41"/>
    <w:rsid w:val="00374723"/>
    <w:rsid w:val="003755CC"/>
    <w:rsid w:val="00376987"/>
    <w:rsid w:val="003772CA"/>
    <w:rsid w:val="00377453"/>
    <w:rsid w:val="00377BFA"/>
    <w:rsid w:val="00383835"/>
    <w:rsid w:val="00383AA5"/>
    <w:rsid w:val="0038483A"/>
    <w:rsid w:val="0038547F"/>
    <w:rsid w:val="00387A3C"/>
    <w:rsid w:val="003900B7"/>
    <w:rsid w:val="0039231E"/>
    <w:rsid w:val="003935E4"/>
    <w:rsid w:val="00393855"/>
    <w:rsid w:val="003A037E"/>
    <w:rsid w:val="003A1426"/>
    <w:rsid w:val="003A3931"/>
    <w:rsid w:val="003A4130"/>
    <w:rsid w:val="003A41B8"/>
    <w:rsid w:val="003A5E2B"/>
    <w:rsid w:val="003B0B5C"/>
    <w:rsid w:val="003B2261"/>
    <w:rsid w:val="003B2462"/>
    <w:rsid w:val="003B6A2D"/>
    <w:rsid w:val="003C39D1"/>
    <w:rsid w:val="003C6B9B"/>
    <w:rsid w:val="003D2598"/>
    <w:rsid w:val="003D34D8"/>
    <w:rsid w:val="003D3A5D"/>
    <w:rsid w:val="003D3A5E"/>
    <w:rsid w:val="003D3E0E"/>
    <w:rsid w:val="003D7505"/>
    <w:rsid w:val="003E1113"/>
    <w:rsid w:val="003E1196"/>
    <w:rsid w:val="003E2270"/>
    <w:rsid w:val="003E62FC"/>
    <w:rsid w:val="003E6F75"/>
    <w:rsid w:val="003E73DA"/>
    <w:rsid w:val="003F1241"/>
    <w:rsid w:val="003F142F"/>
    <w:rsid w:val="003F22B7"/>
    <w:rsid w:val="003F3EE0"/>
    <w:rsid w:val="003F6ABB"/>
    <w:rsid w:val="003F7456"/>
    <w:rsid w:val="004045A7"/>
    <w:rsid w:val="00405C60"/>
    <w:rsid w:val="00411675"/>
    <w:rsid w:val="004136F4"/>
    <w:rsid w:val="004139F9"/>
    <w:rsid w:val="00413FBF"/>
    <w:rsid w:val="00416259"/>
    <w:rsid w:val="0041751B"/>
    <w:rsid w:val="00420FB5"/>
    <w:rsid w:val="00422CE9"/>
    <w:rsid w:val="00430244"/>
    <w:rsid w:val="00431D37"/>
    <w:rsid w:val="00431E85"/>
    <w:rsid w:val="004328B7"/>
    <w:rsid w:val="00433E44"/>
    <w:rsid w:val="0043598E"/>
    <w:rsid w:val="00436428"/>
    <w:rsid w:val="00436598"/>
    <w:rsid w:val="00436EB1"/>
    <w:rsid w:val="004374B7"/>
    <w:rsid w:val="004416BF"/>
    <w:rsid w:val="004423F8"/>
    <w:rsid w:val="00442F4A"/>
    <w:rsid w:val="0044334F"/>
    <w:rsid w:val="004570BF"/>
    <w:rsid w:val="00461F6A"/>
    <w:rsid w:val="00464221"/>
    <w:rsid w:val="004661DB"/>
    <w:rsid w:val="004667C6"/>
    <w:rsid w:val="00473585"/>
    <w:rsid w:val="00473F6A"/>
    <w:rsid w:val="00474C27"/>
    <w:rsid w:val="00477577"/>
    <w:rsid w:val="004776D2"/>
    <w:rsid w:val="004809B2"/>
    <w:rsid w:val="00480BBB"/>
    <w:rsid w:val="00483C7F"/>
    <w:rsid w:val="00485A21"/>
    <w:rsid w:val="00485C1D"/>
    <w:rsid w:val="00485C77"/>
    <w:rsid w:val="00490A59"/>
    <w:rsid w:val="004919B2"/>
    <w:rsid w:val="004933EF"/>
    <w:rsid w:val="00494601"/>
    <w:rsid w:val="0049592A"/>
    <w:rsid w:val="00495D23"/>
    <w:rsid w:val="004A0989"/>
    <w:rsid w:val="004A0D8E"/>
    <w:rsid w:val="004A1124"/>
    <w:rsid w:val="004A20FF"/>
    <w:rsid w:val="004A48D4"/>
    <w:rsid w:val="004A65DA"/>
    <w:rsid w:val="004A7692"/>
    <w:rsid w:val="004B20E5"/>
    <w:rsid w:val="004B2937"/>
    <w:rsid w:val="004B38BD"/>
    <w:rsid w:val="004B48D7"/>
    <w:rsid w:val="004B7BC2"/>
    <w:rsid w:val="004C048D"/>
    <w:rsid w:val="004C267B"/>
    <w:rsid w:val="004C26AD"/>
    <w:rsid w:val="004C3277"/>
    <w:rsid w:val="004C5AF0"/>
    <w:rsid w:val="004D06BB"/>
    <w:rsid w:val="004D08A2"/>
    <w:rsid w:val="004D0E98"/>
    <w:rsid w:val="004D1A98"/>
    <w:rsid w:val="004D22CA"/>
    <w:rsid w:val="004D2427"/>
    <w:rsid w:val="004D5381"/>
    <w:rsid w:val="004D580A"/>
    <w:rsid w:val="004D79D0"/>
    <w:rsid w:val="004E10E3"/>
    <w:rsid w:val="004E3FFC"/>
    <w:rsid w:val="004E4482"/>
    <w:rsid w:val="004E4960"/>
    <w:rsid w:val="004E7E13"/>
    <w:rsid w:val="004E7F11"/>
    <w:rsid w:val="004F3486"/>
    <w:rsid w:val="004F6F09"/>
    <w:rsid w:val="004F77A8"/>
    <w:rsid w:val="004F7DFB"/>
    <w:rsid w:val="005005FF"/>
    <w:rsid w:val="005017A1"/>
    <w:rsid w:val="0050554E"/>
    <w:rsid w:val="00505F27"/>
    <w:rsid w:val="00512418"/>
    <w:rsid w:val="00513047"/>
    <w:rsid w:val="005244FF"/>
    <w:rsid w:val="00525505"/>
    <w:rsid w:val="00526D01"/>
    <w:rsid w:val="005329ED"/>
    <w:rsid w:val="00536DD4"/>
    <w:rsid w:val="00540966"/>
    <w:rsid w:val="00543506"/>
    <w:rsid w:val="00544455"/>
    <w:rsid w:val="00546B3E"/>
    <w:rsid w:val="005478F3"/>
    <w:rsid w:val="005608FE"/>
    <w:rsid w:val="00562DC9"/>
    <w:rsid w:val="005712BB"/>
    <w:rsid w:val="00571B9A"/>
    <w:rsid w:val="00575534"/>
    <w:rsid w:val="0057735F"/>
    <w:rsid w:val="00577E7A"/>
    <w:rsid w:val="00580A54"/>
    <w:rsid w:val="005834F7"/>
    <w:rsid w:val="005836BC"/>
    <w:rsid w:val="00586222"/>
    <w:rsid w:val="0058659D"/>
    <w:rsid w:val="005902B5"/>
    <w:rsid w:val="005944AE"/>
    <w:rsid w:val="005946C5"/>
    <w:rsid w:val="00595339"/>
    <w:rsid w:val="005962D7"/>
    <w:rsid w:val="005A0058"/>
    <w:rsid w:val="005A132E"/>
    <w:rsid w:val="005A2A56"/>
    <w:rsid w:val="005A3D1E"/>
    <w:rsid w:val="005A4C54"/>
    <w:rsid w:val="005A60A1"/>
    <w:rsid w:val="005A66AE"/>
    <w:rsid w:val="005A6BA6"/>
    <w:rsid w:val="005B06D4"/>
    <w:rsid w:val="005B2B33"/>
    <w:rsid w:val="005B35E6"/>
    <w:rsid w:val="005B5905"/>
    <w:rsid w:val="005B6517"/>
    <w:rsid w:val="005B6EE1"/>
    <w:rsid w:val="005B7534"/>
    <w:rsid w:val="005C1DC1"/>
    <w:rsid w:val="005C2636"/>
    <w:rsid w:val="005C5236"/>
    <w:rsid w:val="005C5576"/>
    <w:rsid w:val="005C787E"/>
    <w:rsid w:val="005E0068"/>
    <w:rsid w:val="005E0E7E"/>
    <w:rsid w:val="005E150C"/>
    <w:rsid w:val="005E2EDC"/>
    <w:rsid w:val="005E51AC"/>
    <w:rsid w:val="005E636F"/>
    <w:rsid w:val="005E69B7"/>
    <w:rsid w:val="005E7E6F"/>
    <w:rsid w:val="005F0238"/>
    <w:rsid w:val="005F054A"/>
    <w:rsid w:val="005F0C6A"/>
    <w:rsid w:val="005F1E3A"/>
    <w:rsid w:val="005F2A96"/>
    <w:rsid w:val="005F4C0F"/>
    <w:rsid w:val="005F5CB6"/>
    <w:rsid w:val="005F6F75"/>
    <w:rsid w:val="00602F13"/>
    <w:rsid w:val="006054BB"/>
    <w:rsid w:val="00606152"/>
    <w:rsid w:val="0060657D"/>
    <w:rsid w:val="006122D4"/>
    <w:rsid w:val="00615615"/>
    <w:rsid w:val="00620A78"/>
    <w:rsid w:val="00621A42"/>
    <w:rsid w:val="00622EDC"/>
    <w:rsid w:val="00625891"/>
    <w:rsid w:val="0062675F"/>
    <w:rsid w:val="0063354C"/>
    <w:rsid w:val="0063423D"/>
    <w:rsid w:val="00641685"/>
    <w:rsid w:val="00644C6C"/>
    <w:rsid w:val="00645813"/>
    <w:rsid w:val="0064730A"/>
    <w:rsid w:val="00650D5C"/>
    <w:rsid w:val="0065430B"/>
    <w:rsid w:val="00654B95"/>
    <w:rsid w:val="00655FC0"/>
    <w:rsid w:val="00657C64"/>
    <w:rsid w:val="00663A53"/>
    <w:rsid w:val="0066475D"/>
    <w:rsid w:val="00664AF1"/>
    <w:rsid w:val="00667FE4"/>
    <w:rsid w:val="00671005"/>
    <w:rsid w:val="0067181C"/>
    <w:rsid w:val="00671A22"/>
    <w:rsid w:val="00672465"/>
    <w:rsid w:val="00674C16"/>
    <w:rsid w:val="0067750E"/>
    <w:rsid w:val="00677587"/>
    <w:rsid w:val="00677C4F"/>
    <w:rsid w:val="00681049"/>
    <w:rsid w:val="00681093"/>
    <w:rsid w:val="00681489"/>
    <w:rsid w:val="006841F5"/>
    <w:rsid w:val="006844FA"/>
    <w:rsid w:val="00686A70"/>
    <w:rsid w:val="006879AA"/>
    <w:rsid w:val="00692A77"/>
    <w:rsid w:val="00693696"/>
    <w:rsid w:val="00693D44"/>
    <w:rsid w:val="00696124"/>
    <w:rsid w:val="006A2057"/>
    <w:rsid w:val="006A2320"/>
    <w:rsid w:val="006A4E48"/>
    <w:rsid w:val="006A4EA6"/>
    <w:rsid w:val="006B015F"/>
    <w:rsid w:val="006B2949"/>
    <w:rsid w:val="006B3237"/>
    <w:rsid w:val="006B6CED"/>
    <w:rsid w:val="006B7695"/>
    <w:rsid w:val="006B7880"/>
    <w:rsid w:val="006C0794"/>
    <w:rsid w:val="006C2014"/>
    <w:rsid w:val="006C2129"/>
    <w:rsid w:val="006C2A95"/>
    <w:rsid w:val="006C313D"/>
    <w:rsid w:val="006C583B"/>
    <w:rsid w:val="006C667D"/>
    <w:rsid w:val="006D33DA"/>
    <w:rsid w:val="006D3CF5"/>
    <w:rsid w:val="006D4112"/>
    <w:rsid w:val="006D68E8"/>
    <w:rsid w:val="006E02A1"/>
    <w:rsid w:val="006E1049"/>
    <w:rsid w:val="006E1581"/>
    <w:rsid w:val="006E2ED5"/>
    <w:rsid w:val="006E3C42"/>
    <w:rsid w:val="006E631B"/>
    <w:rsid w:val="006E7A3D"/>
    <w:rsid w:val="006F11F8"/>
    <w:rsid w:val="006F1252"/>
    <w:rsid w:val="006F52A4"/>
    <w:rsid w:val="006F58F9"/>
    <w:rsid w:val="006F6BDF"/>
    <w:rsid w:val="006F7388"/>
    <w:rsid w:val="006F742C"/>
    <w:rsid w:val="007011D6"/>
    <w:rsid w:val="0070602F"/>
    <w:rsid w:val="0070779A"/>
    <w:rsid w:val="00713E74"/>
    <w:rsid w:val="00720290"/>
    <w:rsid w:val="00720DFB"/>
    <w:rsid w:val="007229D1"/>
    <w:rsid w:val="00723C7F"/>
    <w:rsid w:val="00725F97"/>
    <w:rsid w:val="007270F1"/>
    <w:rsid w:val="0072733D"/>
    <w:rsid w:val="00731496"/>
    <w:rsid w:val="0073678F"/>
    <w:rsid w:val="00741227"/>
    <w:rsid w:val="00742622"/>
    <w:rsid w:val="00742BC6"/>
    <w:rsid w:val="00743C72"/>
    <w:rsid w:val="00744991"/>
    <w:rsid w:val="00747451"/>
    <w:rsid w:val="00747B0B"/>
    <w:rsid w:val="00755E17"/>
    <w:rsid w:val="007617DA"/>
    <w:rsid w:val="007666E1"/>
    <w:rsid w:val="00782D26"/>
    <w:rsid w:val="00784075"/>
    <w:rsid w:val="00784F05"/>
    <w:rsid w:val="00785587"/>
    <w:rsid w:val="00790EE8"/>
    <w:rsid w:val="00793C3B"/>
    <w:rsid w:val="007A2144"/>
    <w:rsid w:val="007A30F8"/>
    <w:rsid w:val="007A3344"/>
    <w:rsid w:val="007B0BF6"/>
    <w:rsid w:val="007B27FD"/>
    <w:rsid w:val="007B39DD"/>
    <w:rsid w:val="007B4A95"/>
    <w:rsid w:val="007B7417"/>
    <w:rsid w:val="007D4A55"/>
    <w:rsid w:val="007D4B35"/>
    <w:rsid w:val="007D50BA"/>
    <w:rsid w:val="007D5E03"/>
    <w:rsid w:val="007E3A86"/>
    <w:rsid w:val="007E6A52"/>
    <w:rsid w:val="007F0623"/>
    <w:rsid w:val="007F2BA7"/>
    <w:rsid w:val="007F565E"/>
    <w:rsid w:val="007F6029"/>
    <w:rsid w:val="00800D41"/>
    <w:rsid w:val="00801A99"/>
    <w:rsid w:val="00804EA4"/>
    <w:rsid w:val="0080561B"/>
    <w:rsid w:val="008060CB"/>
    <w:rsid w:val="00806806"/>
    <w:rsid w:val="00806A93"/>
    <w:rsid w:val="008070D0"/>
    <w:rsid w:val="00807C20"/>
    <w:rsid w:val="008103D1"/>
    <w:rsid w:val="00813BD9"/>
    <w:rsid w:val="00816595"/>
    <w:rsid w:val="008203F8"/>
    <w:rsid w:val="00822AC1"/>
    <w:rsid w:val="008256B2"/>
    <w:rsid w:val="0082758F"/>
    <w:rsid w:val="0082763F"/>
    <w:rsid w:val="008309CE"/>
    <w:rsid w:val="00831DEF"/>
    <w:rsid w:val="008320C1"/>
    <w:rsid w:val="00833CCF"/>
    <w:rsid w:val="0083542A"/>
    <w:rsid w:val="00842BE4"/>
    <w:rsid w:val="0084379B"/>
    <w:rsid w:val="008438D3"/>
    <w:rsid w:val="008458C5"/>
    <w:rsid w:val="00850149"/>
    <w:rsid w:val="008507AC"/>
    <w:rsid w:val="00854565"/>
    <w:rsid w:val="00854F40"/>
    <w:rsid w:val="0085557D"/>
    <w:rsid w:val="00855F97"/>
    <w:rsid w:val="00860FF0"/>
    <w:rsid w:val="008650BE"/>
    <w:rsid w:val="008718FA"/>
    <w:rsid w:val="008753EC"/>
    <w:rsid w:val="00881D78"/>
    <w:rsid w:val="0088380C"/>
    <w:rsid w:val="00883E10"/>
    <w:rsid w:val="00884F50"/>
    <w:rsid w:val="008902AC"/>
    <w:rsid w:val="00893091"/>
    <w:rsid w:val="008936A3"/>
    <w:rsid w:val="00894D61"/>
    <w:rsid w:val="00896BF6"/>
    <w:rsid w:val="00897DF7"/>
    <w:rsid w:val="008A0361"/>
    <w:rsid w:val="008A08DE"/>
    <w:rsid w:val="008A2AA8"/>
    <w:rsid w:val="008A2F83"/>
    <w:rsid w:val="008B5395"/>
    <w:rsid w:val="008B6BF5"/>
    <w:rsid w:val="008B7A09"/>
    <w:rsid w:val="008C037F"/>
    <w:rsid w:val="008C2547"/>
    <w:rsid w:val="008C27BD"/>
    <w:rsid w:val="008C60EF"/>
    <w:rsid w:val="008D0DCD"/>
    <w:rsid w:val="008D1CA6"/>
    <w:rsid w:val="008D1DA2"/>
    <w:rsid w:val="008D202D"/>
    <w:rsid w:val="008E0D11"/>
    <w:rsid w:val="008F0640"/>
    <w:rsid w:val="008F1466"/>
    <w:rsid w:val="008F17D9"/>
    <w:rsid w:val="008F2454"/>
    <w:rsid w:val="008F43A2"/>
    <w:rsid w:val="008F45B4"/>
    <w:rsid w:val="008F5E8F"/>
    <w:rsid w:val="008F61B0"/>
    <w:rsid w:val="008F7184"/>
    <w:rsid w:val="0090192D"/>
    <w:rsid w:val="0090194C"/>
    <w:rsid w:val="009031BC"/>
    <w:rsid w:val="009052A0"/>
    <w:rsid w:val="009057FE"/>
    <w:rsid w:val="00906CDE"/>
    <w:rsid w:val="009114DB"/>
    <w:rsid w:val="009116D5"/>
    <w:rsid w:val="00911BF4"/>
    <w:rsid w:val="00911E89"/>
    <w:rsid w:val="009124B0"/>
    <w:rsid w:val="0091419B"/>
    <w:rsid w:val="0091516A"/>
    <w:rsid w:val="00915333"/>
    <w:rsid w:val="009154A7"/>
    <w:rsid w:val="00916E19"/>
    <w:rsid w:val="00917F58"/>
    <w:rsid w:val="00922601"/>
    <w:rsid w:val="00922D0C"/>
    <w:rsid w:val="00923273"/>
    <w:rsid w:val="00923C92"/>
    <w:rsid w:val="00924C05"/>
    <w:rsid w:val="00931F42"/>
    <w:rsid w:val="0093570F"/>
    <w:rsid w:val="0093624B"/>
    <w:rsid w:val="00936535"/>
    <w:rsid w:val="00937C0A"/>
    <w:rsid w:val="00944452"/>
    <w:rsid w:val="00944DE6"/>
    <w:rsid w:val="009466EE"/>
    <w:rsid w:val="00946929"/>
    <w:rsid w:val="009549B3"/>
    <w:rsid w:val="00956A31"/>
    <w:rsid w:val="00960E47"/>
    <w:rsid w:val="009614CD"/>
    <w:rsid w:val="00962646"/>
    <w:rsid w:val="00963315"/>
    <w:rsid w:val="00963C5E"/>
    <w:rsid w:val="00966B3C"/>
    <w:rsid w:val="00971CE6"/>
    <w:rsid w:val="0097210C"/>
    <w:rsid w:val="00973794"/>
    <w:rsid w:val="00975E9C"/>
    <w:rsid w:val="00977282"/>
    <w:rsid w:val="009773EA"/>
    <w:rsid w:val="00980041"/>
    <w:rsid w:val="00982BD1"/>
    <w:rsid w:val="00986824"/>
    <w:rsid w:val="00993A4C"/>
    <w:rsid w:val="00995EE8"/>
    <w:rsid w:val="00996113"/>
    <w:rsid w:val="009A0C17"/>
    <w:rsid w:val="009A1AE7"/>
    <w:rsid w:val="009A2D66"/>
    <w:rsid w:val="009A352B"/>
    <w:rsid w:val="009A3947"/>
    <w:rsid w:val="009A3E24"/>
    <w:rsid w:val="009A479B"/>
    <w:rsid w:val="009A6558"/>
    <w:rsid w:val="009B00B3"/>
    <w:rsid w:val="009B1142"/>
    <w:rsid w:val="009B51B9"/>
    <w:rsid w:val="009B5A6C"/>
    <w:rsid w:val="009B5BD3"/>
    <w:rsid w:val="009B73BA"/>
    <w:rsid w:val="009C26B6"/>
    <w:rsid w:val="009C2C60"/>
    <w:rsid w:val="009C3400"/>
    <w:rsid w:val="009C3406"/>
    <w:rsid w:val="009C47EF"/>
    <w:rsid w:val="009C50D5"/>
    <w:rsid w:val="009C79B1"/>
    <w:rsid w:val="009C7C3A"/>
    <w:rsid w:val="009D0A1F"/>
    <w:rsid w:val="009D3C41"/>
    <w:rsid w:val="009D6270"/>
    <w:rsid w:val="009D6AA7"/>
    <w:rsid w:val="009E35A3"/>
    <w:rsid w:val="009E4625"/>
    <w:rsid w:val="009F3A85"/>
    <w:rsid w:val="009F4D44"/>
    <w:rsid w:val="009F503D"/>
    <w:rsid w:val="009F6452"/>
    <w:rsid w:val="009F66C9"/>
    <w:rsid w:val="00A0602D"/>
    <w:rsid w:val="00A10107"/>
    <w:rsid w:val="00A118FC"/>
    <w:rsid w:val="00A12358"/>
    <w:rsid w:val="00A136F6"/>
    <w:rsid w:val="00A174A3"/>
    <w:rsid w:val="00A21507"/>
    <w:rsid w:val="00A251DA"/>
    <w:rsid w:val="00A3008F"/>
    <w:rsid w:val="00A3029E"/>
    <w:rsid w:val="00A31CBE"/>
    <w:rsid w:val="00A32044"/>
    <w:rsid w:val="00A32125"/>
    <w:rsid w:val="00A329E7"/>
    <w:rsid w:val="00A32ABE"/>
    <w:rsid w:val="00A3383B"/>
    <w:rsid w:val="00A342E0"/>
    <w:rsid w:val="00A34BEA"/>
    <w:rsid w:val="00A34F08"/>
    <w:rsid w:val="00A350C7"/>
    <w:rsid w:val="00A37AD8"/>
    <w:rsid w:val="00A41CD2"/>
    <w:rsid w:val="00A42794"/>
    <w:rsid w:val="00A44C3F"/>
    <w:rsid w:val="00A47ED1"/>
    <w:rsid w:val="00A50123"/>
    <w:rsid w:val="00A51E8A"/>
    <w:rsid w:val="00A52823"/>
    <w:rsid w:val="00A52A79"/>
    <w:rsid w:val="00A56110"/>
    <w:rsid w:val="00A606D5"/>
    <w:rsid w:val="00A62C46"/>
    <w:rsid w:val="00A6339C"/>
    <w:rsid w:val="00A64E3E"/>
    <w:rsid w:val="00A650D1"/>
    <w:rsid w:val="00A656F9"/>
    <w:rsid w:val="00A66194"/>
    <w:rsid w:val="00A67431"/>
    <w:rsid w:val="00A67E9C"/>
    <w:rsid w:val="00A701CA"/>
    <w:rsid w:val="00A74567"/>
    <w:rsid w:val="00A74CEC"/>
    <w:rsid w:val="00A752AE"/>
    <w:rsid w:val="00A75BEB"/>
    <w:rsid w:val="00A77312"/>
    <w:rsid w:val="00A8195D"/>
    <w:rsid w:val="00A82101"/>
    <w:rsid w:val="00A85CFE"/>
    <w:rsid w:val="00A900C7"/>
    <w:rsid w:val="00A908B6"/>
    <w:rsid w:val="00A93F1C"/>
    <w:rsid w:val="00A95A44"/>
    <w:rsid w:val="00A95DF3"/>
    <w:rsid w:val="00A96D71"/>
    <w:rsid w:val="00AA0373"/>
    <w:rsid w:val="00AA0AE2"/>
    <w:rsid w:val="00AA0AF8"/>
    <w:rsid w:val="00AA2E71"/>
    <w:rsid w:val="00AA3B32"/>
    <w:rsid w:val="00AA4CFB"/>
    <w:rsid w:val="00AA6031"/>
    <w:rsid w:val="00AA609A"/>
    <w:rsid w:val="00AA747C"/>
    <w:rsid w:val="00AB1955"/>
    <w:rsid w:val="00AB246C"/>
    <w:rsid w:val="00AB3C0C"/>
    <w:rsid w:val="00AB46EE"/>
    <w:rsid w:val="00AB4B14"/>
    <w:rsid w:val="00AB5501"/>
    <w:rsid w:val="00AC1077"/>
    <w:rsid w:val="00AC1FC2"/>
    <w:rsid w:val="00AC2144"/>
    <w:rsid w:val="00AC3405"/>
    <w:rsid w:val="00AC341A"/>
    <w:rsid w:val="00AC37B3"/>
    <w:rsid w:val="00AC57B5"/>
    <w:rsid w:val="00AD01AF"/>
    <w:rsid w:val="00AD16E0"/>
    <w:rsid w:val="00AD1916"/>
    <w:rsid w:val="00AD1A8A"/>
    <w:rsid w:val="00AD2478"/>
    <w:rsid w:val="00AD4DEC"/>
    <w:rsid w:val="00AD5E1F"/>
    <w:rsid w:val="00AD7260"/>
    <w:rsid w:val="00AE283D"/>
    <w:rsid w:val="00AE3515"/>
    <w:rsid w:val="00AE3709"/>
    <w:rsid w:val="00AE5B12"/>
    <w:rsid w:val="00AE6F8E"/>
    <w:rsid w:val="00AE74DE"/>
    <w:rsid w:val="00AE7815"/>
    <w:rsid w:val="00AF52A4"/>
    <w:rsid w:val="00AF5D96"/>
    <w:rsid w:val="00AF6E58"/>
    <w:rsid w:val="00B02C3A"/>
    <w:rsid w:val="00B02EFF"/>
    <w:rsid w:val="00B0544C"/>
    <w:rsid w:val="00B0668C"/>
    <w:rsid w:val="00B06C01"/>
    <w:rsid w:val="00B139A5"/>
    <w:rsid w:val="00B13EBD"/>
    <w:rsid w:val="00B1463A"/>
    <w:rsid w:val="00B15BE9"/>
    <w:rsid w:val="00B16749"/>
    <w:rsid w:val="00B20716"/>
    <w:rsid w:val="00B20971"/>
    <w:rsid w:val="00B209A4"/>
    <w:rsid w:val="00B2119B"/>
    <w:rsid w:val="00B24BE1"/>
    <w:rsid w:val="00B252CB"/>
    <w:rsid w:val="00B26A1C"/>
    <w:rsid w:val="00B3004C"/>
    <w:rsid w:val="00B31469"/>
    <w:rsid w:val="00B317F4"/>
    <w:rsid w:val="00B347ED"/>
    <w:rsid w:val="00B37F46"/>
    <w:rsid w:val="00B4019B"/>
    <w:rsid w:val="00B402EB"/>
    <w:rsid w:val="00B4276E"/>
    <w:rsid w:val="00B42970"/>
    <w:rsid w:val="00B43592"/>
    <w:rsid w:val="00B44B7C"/>
    <w:rsid w:val="00B470CE"/>
    <w:rsid w:val="00B5258B"/>
    <w:rsid w:val="00B540B9"/>
    <w:rsid w:val="00B55B91"/>
    <w:rsid w:val="00B60431"/>
    <w:rsid w:val="00B60F1E"/>
    <w:rsid w:val="00B612DB"/>
    <w:rsid w:val="00B6297D"/>
    <w:rsid w:val="00B64B45"/>
    <w:rsid w:val="00B66A11"/>
    <w:rsid w:val="00B706B6"/>
    <w:rsid w:val="00B7346E"/>
    <w:rsid w:val="00B744A8"/>
    <w:rsid w:val="00B75E40"/>
    <w:rsid w:val="00B77CE4"/>
    <w:rsid w:val="00B800C7"/>
    <w:rsid w:val="00B80A3C"/>
    <w:rsid w:val="00B8154D"/>
    <w:rsid w:val="00B81A2E"/>
    <w:rsid w:val="00B820EA"/>
    <w:rsid w:val="00B84614"/>
    <w:rsid w:val="00B87284"/>
    <w:rsid w:val="00B90E58"/>
    <w:rsid w:val="00B90F1F"/>
    <w:rsid w:val="00B93EA1"/>
    <w:rsid w:val="00B94026"/>
    <w:rsid w:val="00B94978"/>
    <w:rsid w:val="00B95102"/>
    <w:rsid w:val="00BA170D"/>
    <w:rsid w:val="00BA4A25"/>
    <w:rsid w:val="00BA5AAA"/>
    <w:rsid w:val="00BA61D4"/>
    <w:rsid w:val="00BA7C43"/>
    <w:rsid w:val="00BB3FFF"/>
    <w:rsid w:val="00BB4088"/>
    <w:rsid w:val="00BB560F"/>
    <w:rsid w:val="00BB60C5"/>
    <w:rsid w:val="00BB7961"/>
    <w:rsid w:val="00BC004F"/>
    <w:rsid w:val="00BC5791"/>
    <w:rsid w:val="00BC640D"/>
    <w:rsid w:val="00BC6C12"/>
    <w:rsid w:val="00BC7BF1"/>
    <w:rsid w:val="00BD27E5"/>
    <w:rsid w:val="00BD49A0"/>
    <w:rsid w:val="00BD5B7C"/>
    <w:rsid w:val="00BD61E5"/>
    <w:rsid w:val="00BE638C"/>
    <w:rsid w:val="00BE6C52"/>
    <w:rsid w:val="00BF1E82"/>
    <w:rsid w:val="00BF2826"/>
    <w:rsid w:val="00BF2BA1"/>
    <w:rsid w:val="00BF4209"/>
    <w:rsid w:val="00BF5598"/>
    <w:rsid w:val="00BF676C"/>
    <w:rsid w:val="00C02028"/>
    <w:rsid w:val="00C04CDD"/>
    <w:rsid w:val="00C0567F"/>
    <w:rsid w:val="00C05FEC"/>
    <w:rsid w:val="00C06E90"/>
    <w:rsid w:val="00C1021E"/>
    <w:rsid w:val="00C1092B"/>
    <w:rsid w:val="00C11149"/>
    <w:rsid w:val="00C13D1C"/>
    <w:rsid w:val="00C16703"/>
    <w:rsid w:val="00C1770B"/>
    <w:rsid w:val="00C20D81"/>
    <w:rsid w:val="00C2172F"/>
    <w:rsid w:val="00C2350B"/>
    <w:rsid w:val="00C25052"/>
    <w:rsid w:val="00C25368"/>
    <w:rsid w:val="00C2606D"/>
    <w:rsid w:val="00C2638A"/>
    <w:rsid w:val="00C26AB5"/>
    <w:rsid w:val="00C26CC9"/>
    <w:rsid w:val="00C26F59"/>
    <w:rsid w:val="00C3015C"/>
    <w:rsid w:val="00C328B4"/>
    <w:rsid w:val="00C34FBE"/>
    <w:rsid w:val="00C370E1"/>
    <w:rsid w:val="00C40B9D"/>
    <w:rsid w:val="00C41399"/>
    <w:rsid w:val="00C4251A"/>
    <w:rsid w:val="00C47458"/>
    <w:rsid w:val="00C474B9"/>
    <w:rsid w:val="00C51BD9"/>
    <w:rsid w:val="00C602C7"/>
    <w:rsid w:val="00C621E5"/>
    <w:rsid w:val="00C646EA"/>
    <w:rsid w:val="00C66E33"/>
    <w:rsid w:val="00C67307"/>
    <w:rsid w:val="00C67438"/>
    <w:rsid w:val="00C73CAC"/>
    <w:rsid w:val="00C753FB"/>
    <w:rsid w:val="00C77B8B"/>
    <w:rsid w:val="00C8003C"/>
    <w:rsid w:val="00C84534"/>
    <w:rsid w:val="00C84E28"/>
    <w:rsid w:val="00C8510B"/>
    <w:rsid w:val="00C851B9"/>
    <w:rsid w:val="00C8696F"/>
    <w:rsid w:val="00C937D6"/>
    <w:rsid w:val="00C957AF"/>
    <w:rsid w:val="00C975C4"/>
    <w:rsid w:val="00CA0E34"/>
    <w:rsid w:val="00CA1E6C"/>
    <w:rsid w:val="00CA29E7"/>
    <w:rsid w:val="00CA5B28"/>
    <w:rsid w:val="00CA7331"/>
    <w:rsid w:val="00CA7948"/>
    <w:rsid w:val="00CB1420"/>
    <w:rsid w:val="00CB27AE"/>
    <w:rsid w:val="00CB2AEB"/>
    <w:rsid w:val="00CB5954"/>
    <w:rsid w:val="00CB5EAF"/>
    <w:rsid w:val="00CB71BB"/>
    <w:rsid w:val="00CB7D7F"/>
    <w:rsid w:val="00CC14AB"/>
    <w:rsid w:val="00CC678B"/>
    <w:rsid w:val="00CD213A"/>
    <w:rsid w:val="00CD27AD"/>
    <w:rsid w:val="00CD3036"/>
    <w:rsid w:val="00CD6B4A"/>
    <w:rsid w:val="00CE3701"/>
    <w:rsid w:val="00CE37A5"/>
    <w:rsid w:val="00CE6FE9"/>
    <w:rsid w:val="00CE77EA"/>
    <w:rsid w:val="00CF0AE0"/>
    <w:rsid w:val="00CF182B"/>
    <w:rsid w:val="00CF612E"/>
    <w:rsid w:val="00CF672C"/>
    <w:rsid w:val="00CF7C2D"/>
    <w:rsid w:val="00D0286D"/>
    <w:rsid w:val="00D0497A"/>
    <w:rsid w:val="00D0740E"/>
    <w:rsid w:val="00D15A0A"/>
    <w:rsid w:val="00D163A1"/>
    <w:rsid w:val="00D171D9"/>
    <w:rsid w:val="00D17CAE"/>
    <w:rsid w:val="00D20F74"/>
    <w:rsid w:val="00D20FB7"/>
    <w:rsid w:val="00D26B53"/>
    <w:rsid w:val="00D27828"/>
    <w:rsid w:val="00D27FF8"/>
    <w:rsid w:val="00D31149"/>
    <w:rsid w:val="00D332F6"/>
    <w:rsid w:val="00D35BAB"/>
    <w:rsid w:val="00D35E19"/>
    <w:rsid w:val="00D36AD6"/>
    <w:rsid w:val="00D404CE"/>
    <w:rsid w:val="00D40F91"/>
    <w:rsid w:val="00D411EB"/>
    <w:rsid w:val="00D42FE3"/>
    <w:rsid w:val="00D457B9"/>
    <w:rsid w:val="00D467CF"/>
    <w:rsid w:val="00D5156C"/>
    <w:rsid w:val="00D517A0"/>
    <w:rsid w:val="00D53D4B"/>
    <w:rsid w:val="00D54FB4"/>
    <w:rsid w:val="00D62CE6"/>
    <w:rsid w:val="00D6349F"/>
    <w:rsid w:val="00D64970"/>
    <w:rsid w:val="00D65DA5"/>
    <w:rsid w:val="00D66FD3"/>
    <w:rsid w:val="00D700BB"/>
    <w:rsid w:val="00D7564F"/>
    <w:rsid w:val="00D80251"/>
    <w:rsid w:val="00D808C6"/>
    <w:rsid w:val="00D818D2"/>
    <w:rsid w:val="00D83E7F"/>
    <w:rsid w:val="00D84A33"/>
    <w:rsid w:val="00D935D5"/>
    <w:rsid w:val="00D95617"/>
    <w:rsid w:val="00D96EEC"/>
    <w:rsid w:val="00DA0B74"/>
    <w:rsid w:val="00DA4EF0"/>
    <w:rsid w:val="00DA683C"/>
    <w:rsid w:val="00DB045D"/>
    <w:rsid w:val="00DB063B"/>
    <w:rsid w:val="00DB09FD"/>
    <w:rsid w:val="00DB3145"/>
    <w:rsid w:val="00DB317E"/>
    <w:rsid w:val="00DB3670"/>
    <w:rsid w:val="00DB3F5A"/>
    <w:rsid w:val="00DB48F8"/>
    <w:rsid w:val="00DB6406"/>
    <w:rsid w:val="00DB7917"/>
    <w:rsid w:val="00DC5539"/>
    <w:rsid w:val="00DC6B3C"/>
    <w:rsid w:val="00DD3D98"/>
    <w:rsid w:val="00DD571B"/>
    <w:rsid w:val="00DD5EBC"/>
    <w:rsid w:val="00DE1C41"/>
    <w:rsid w:val="00DE3A5A"/>
    <w:rsid w:val="00DE4EAF"/>
    <w:rsid w:val="00DE5C72"/>
    <w:rsid w:val="00DE6A50"/>
    <w:rsid w:val="00DF0B7F"/>
    <w:rsid w:val="00DF11CA"/>
    <w:rsid w:val="00DF1DC8"/>
    <w:rsid w:val="00DF34C4"/>
    <w:rsid w:val="00DF5E9F"/>
    <w:rsid w:val="00DF6B0B"/>
    <w:rsid w:val="00E04088"/>
    <w:rsid w:val="00E05B95"/>
    <w:rsid w:val="00E078DB"/>
    <w:rsid w:val="00E11FFD"/>
    <w:rsid w:val="00E14035"/>
    <w:rsid w:val="00E162BD"/>
    <w:rsid w:val="00E22685"/>
    <w:rsid w:val="00E23352"/>
    <w:rsid w:val="00E251AF"/>
    <w:rsid w:val="00E30FD0"/>
    <w:rsid w:val="00E3144B"/>
    <w:rsid w:val="00E32B8E"/>
    <w:rsid w:val="00E342A0"/>
    <w:rsid w:val="00E35145"/>
    <w:rsid w:val="00E354D1"/>
    <w:rsid w:val="00E42473"/>
    <w:rsid w:val="00E438CE"/>
    <w:rsid w:val="00E459CD"/>
    <w:rsid w:val="00E50197"/>
    <w:rsid w:val="00E509BC"/>
    <w:rsid w:val="00E52BF1"/>
    <w:rsid w:val="00E53614"/>
    <w:rsid w:val="00E54211"/>
    <w:rsid w:val="00E5427E"/>
    <w:rsid w:val="00E55D37"/>
    <w:rsid w:val="00E56E3E"/>
    <w:rsid w:val="00E6279D"/>
    <w:rsid w:val="00E65F73"/>
    <w:rsid w:val="00E70275"/>
    <w:rsid w:val="00E73B90"/>
    <w:rsid w:val="00E80093"/>
    <w:rsid w:val="00E8325B"/>
    <w:rsid w:val="00E851E3"/>
    <w:rsid w:val="00E864C6"/>
    <w:rsid w:val="00E868B4"/>
    <w:rsid w:val="00E913C5"/>
    <w:rsid w:val="00E93B88"/>
    <w:rsid w:val="00E93EDF"/>
    <w:rsid w:val="00E94313"/>
    <w:rsid w:val="00E97143"/>
    <w:rsid w:val="00EA3730"/>
    <w:rsid w:val="00EA6169"/>
    <w:rsid w:val="00EA67F2"/>
    <w:rsid w:val="00EB114E"/>
    <w:rsid w:val="00EC0315"/>
    <w:rsid w:val="00EC144C"/>
    <w:rsid w:val="00EC1D5C"/>
    <w:rsid w:val="00EC369B"/>
    <w:rsid w:val="00EC6091"/>
    <w:rsid w:val="00EC6A37"/>
    <w:rsid w:val="00EC6BE7"/>
    <w:rsid w:val="00EC6DD7"/>
    <w:rsid w:val="00ED468C"/>
    <w:rsid w:val="00ED4D8B"/>
    <w:rsid w:val="00ED675D"/>
    <w:rsid w:val="00EE0011"/>
    <w:rsid w:val="00EE0A87"/>
    <w:rsid w:val="00EE6CC0"/>
    <w:rsid w:val="00EF1536"/>
    <w:rsid w:val="00EF23E0"/>
    <w:rsid w:val="00EF3EEF"/>
    <w:rsid w:val="00EF51BF"/>
    <w:rsid w:val="00EF5761"/>
    <w:rsid w:val="00EF6B57"/>
    <w:rsid w:val="00F00EC6"/>
    <w:rsid w:val="00F01B0D"/>
    <w:rsid w:val="00F060C0"/>
    <w:rsid w:val="00F06348"/>
    <w:rsid w:val="00F0711D"/>
    <w:rsid w:val="00F07D24"/>
    <w:rsid w:val="00F10297"/>
    <w:rsid w:val="00F11338"/>
    <w:rsid w:val="00F137E5"/>
    <w:rsid w:val="00F137F3"/>
    <w:rsid w:val="00F151E1"/>
    <w:rsid w:val="00F161A4"/>
    <w:rsid w:val="00F17759"/>
    <w:rsid w:val="00F2439D"/>
    <w:rsid w:val="00F24B91"/>
    <w:rsid w:val="00F25D59"/>
    <w:rsid w:val="00F269A9"/>
    <w:rsid w:val="00F273A8"/>
    <w:rsid w:val="00F3013F"/>
    <w:rsid w:val="00F36427"/>
    <w:rsid w:val="00F400A2"/>
    <w:rsid w:val="00F41069"/>
    <w:rsid w:val="00F4124A"/>
    <w:rsid w:val="00F42A54"/>
    <w:rsid w:val="00F42BF8"/>
    <w:rsid w:val="00F444C7"/>
    <w:rsid w:val="00F45EC4"/>
    <w:rsid w:val="00F45FAE"/>
    <w:rsid w:val="00F471B8"/>
    <w:rsid w:val="00F47A5F"/>
    <w:rsid w:val="00F50AEE"/>
    <w:rsid w:val="00F526FD"/>
    <w:rsid w:val="00F52FA3"/>
    <w:rsid w:val="00F561D9"/>
    <w:rsid w:val="00F578A7"/>
    <w:rsid w:val="00F60D63"/>
    <w:rsid w:val="00F614E3"/>
    <w:rsid w:val="00F63997"/>
    <w:rsid w:val="00F651C6"/>
    <w:rsid w:val="00F662C5"/>
    <w:rsid w:val="00F6722A"/>
    <w:rsid w:val="00F67267"/>
    <w:rsid w:val="00F70A6A"/>
    <w:rsid w:val="00F756BE"/>
    <w:rsid w:val="00F763AF"/>
    <w:rsid w:val="00F770C1"/>
    <w:rsid w:val="00F8266A"/>
    <w:rsid w:val="00F854B9"/>
    <w:rsid w:val="00F85AC2"/>
    <w:rsid w:val="00F90247"/>
    <w:rsid w:val="00F91CCD"/>
    <w:rsid w:val="00F929E6"/>
    <w:rsid w:val="00F938E9"/>
    <w:rsid w:val="00F944BE"/>
    <w:rsid w:val="00F951D8"/>
    <w:rsid w:val="00FA1A16"/>
    <w:rsid w:val="00FA27D4"/>
    <w:rsid w:val="00FA2E30"/>
    <w:rsid w:val="00FA3DF7"/>
    <w:rsid w:val="00FA4680"/>
    <w:rsid w:val="00FA4C76"/>
    <w:rsid w:val="00FA5C21"/>
    <w:rsid w:val="00FA793C"/>
    <w:rsid w:val="00FB07C9"/>
    <w:rsid w:val="00FB0D46"/>
    <w:rsid w:val="00FB25CD"/>
    <w:rsid w:val="00FB5814"/>
    <w:rsid w:val="00FC0A94"/>
    <w:rsid w:val="00FC35B4"/>
    <w:rsid w:val="00FC4503"/>
    <w:rsid w:val="00FC7B52"/>
    <w:rsid w:val="00FC7B96"/>
    <w:rsid w:val="00FD30FE"/>
    <w:rsid w:val="00FD4549"/>
    <w:rsid w:val="00FD5CF8"/>
    <w:rsid w:val="00FD659D"/>
    <w:rsid w:val="00FE01B3"/>
    <w:rsid w:val="00FE0855"/>
    <w:rsid w:val="00FE1B26"/>
    <w:rsid w:val="00FE2EB5"/>
    <w:rsid w:val="00FE2EF2"/>
    <w:rsid w:val="00FE2F34"/>
    <w:rsid w:val="00FE2FD7"/>
    <w:rsid w:val="00FE44A6"/>
    <w:rsid w:val="00FE4A0F"/>
    <w:rsid w:val="00FE5CFD"/>
    <w:rsid w:val="00FE6521"/>
    <w:rsid w:val="00FE72BB"/>
    <w:rsid w:val="00FF129D"/>
    <w:rsid w:val="00FF206B"/>
    <w:rsid w:val="00FF45AF"/>
    <w:rsid w:val="00FF4604"/>
    <w:rsid w:val="00FF55B6"/>
    <w:rsid w:val="00FF61AD"/>
    <w:rsid w:val="00FF7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9" w:unhideWhenUsed="0"/>
    <w:lsdException w:name="footer" w:uiPriority="9"/>
    <w:lsdException w:name="caption" w:uiPriority="35" w:qFormat="1"/>
    <w:lsdException w:name="Title" w:semiHidden="0" w:uiPriority="5" w:unhideWhenUsed="0"/>
    <w:lsdException w:name="Default Paragraph Font" w:uiPriority="1"/>
    <w:lsdException w:name="Subtitle" w:semiHidden="0" w:uiPriority="9" w:unhideWhenUsed="0" w:qFormat="1"/>
    <w:lsdException w:name="Date" w:semiHidden="0" w:uiPriority="9"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locked="1"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locked="1"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locked="1"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 w:qFormat="1"/>
  </w:latentStyles>
  <w:style w:type="paragraph" w:default="1" w:styleId="Normal">
    <w:name w:val="Normal"/>
    <w:qFormat/>
    <w:rsid w:val="00E851E3"/>
    <w:pPr>
      <w:spacing w:after="0" w:line="300" w:lineRule="exact"/>
    </w:pPr>
    <w:rPr>
      <w:rFonts w:ascii="Times New Roman" w:hAnsi="Times New Roman"/>
      <w:color w:val="000000" w:themeColor="text1"/>
    </w:rPr>
  </w:style>
  <w:style w:type="paragraph" w:styleId="Heading1">
    <w:name w:val="heading 1"/>
    <w:aliases w:val="Section title,Subject page"/>
    <w:basedOn w:val="Normal"/>
    <w:next w:val="Normal"/>
    <w:link w:val="Heading1Char"/>
    <w:uiPriority w:val="9"/>
    <w:qFormat/>
    <w:rsid w:val="001103D3"/>
    <w:pPr>
      <w:pageBreakBefore/>
      <w:numPr>
        <w:numId w:val="4"/>
      </w:numPr>
      <w:autoSpaceDE w:val="0"/>
      <w:autoSpaceDN w:val="0"/>
      <w:adjustRightInd w:val="0"/>
      <w:spacing w:line="600" w:lineRule="exact"/>
      <w:ind w:left="2977" w:hanging="567"/>
      <w:outlineLvl w:val="0"/>
    </w:pPr>
    <w:rPr>
      <w:rFonts w:cstheme="minorHAnsi"/>
      <w:sz w:val="60"/>
      <w:szCs w:val="60"/>
    </w:rPr>
  </w:style>
  <w:style w:type="paragraph" w:styleId="Heading2">
    <w:name w:val="heading 2"/>
    <w:aliases w:val="Subject title,Sub-heading"/>
    <w:basedOn w:val="Heading1"/>
    <w:next w:val="Normal"/>
    <w:link w:val="Heading2Char"/>
    <w:uiPriority w:val="9"/>
    <w:unhideWhenUsed/>
    <w:qFormat/>
    <w:rsid w:val="008650BE"/>
    <w:pPr>
      <w:numPr>
        <w:ilvl w:val="1"/>
      </w:numPr>
      <w:outlineLvl w:val="1"/>
    </w:pPr>
    <w:rPr>
      <w:sz w:val="52"/>
    </w:rPr>
  </w:style>
  <w:style w:type="paragraph" w:styleId="Heading3">
    <w:name w:val="heading 3"/>
    <w:basedOn w:val="Normal"/>
    <w:next w:val="Normal"/>
    <w:link w:val="Heading3Char"/>
    <w:uiPriority w:val="9"/>
    <w:unhideWhenUsed/>
    <w:qFormat/>
    <w:rsid w:val="00C73CAC"/>
    <w:pPr>
      <w:keepNext/>
      <w:numPr>
        <w:ilvl w:val="2"/>
        <w:numId w:val="4"/>
      </w:numPr>
      <w:spacing w:before="60" w:after="60"/>
      <w:ind w:left="720"/>
      <w:outlineLvl w:val="2"/>
    </w:pPr>
    <w:rPr>
      <w:rFonts w:cstheme="minorHAnsi"/>
      <w:b/>
    </w:rPr>
  </w:style>
  <w:style w:type="paragraph" w:styleId="Heading4">
    <w:name w:val="heading 4"/>
    <w:basedOn w:val="Normal"/>
    <w:next w:val="Normal"/>
    <w:link w:val="Heading4Char"/>
    <w:uiPriority w:val="9"/>
    <w:semiHidden/>
    <w:qFormat/>
    <w:rsid w:val="0024784A"/>
    <w:pPr>
      <w:numPr>
        <w:ilvl w:val="3"/>
        <w:numId w:val="4"/>
      </w:numPr>
      <w:outlineLvl w:val="3"/>
    </w:pPr>
  </w:style>
  <w:style w:type="paragraph" w:styleId="Heading5">
    <w:name w:val="heading 5"/>
    <w:basedOn w:val="Normal"/>
    <w:next w:val="Normal"/>
    <w:link w:val="Heading5Char"/>
    <w:uiPriority w:val="9"/>
    <w:semiHidden/>
    <w:rsid w:val="00473585"/>
    <w:pPr>
      <w:keepNext/>
      <w:keepLines/>
      <w:numPr>
        <w:ilvl w:val="4"/>
        <w:numId w:val="4"/>
      </w:numPr>
      <w:spacing w:before="200"/>
      <w:outlineLvl w:val="4"/>
    </w:pPr>
    <w:rPr>
      <w:rFonts w:asciiTheme="majorHAnsi" w:eastAsiaTheme="majorEastAsia" w:hAnsiTheme="majorHAnsi" w:cstheme="majorBidi"/>
      <w:color w:val="475236" w:themeColor="accent1" w:themeShade="7F"/>
    </w:rPr>
  </w:style>
  <w:style w:type="paragraph" w:styleId="Heading6">
    <w:name w:val="heading 6"/>
    <w:basedOn w:val="Normal"/>
    <w:next w:val="Normal"/>
    <w:link w:val="Heading6Char"/>
    <w:uiPriority w:val="9"/>
    <w:semiHidden/>
    <w:unhideWhenUsed/>
    <w:qFormat/>
    <w:rsid w:val="00473585"/>
    <w:pPr>
      <w:keepNext/>
      <w:keepLines/>
      <w:numPr>
        <w:ilvl w:val="5"/>
        <w:numId w:val="4"/>
      </w:numPr>
      <w:spacing w:before="200"/>
      <w:outlineLvl w:val="5"/>
    </w:pPr>
    <w:rPr>
      <w:rFonts w:asciiTheme="majorHAnsi" w:eastAsiaTheme="majorEastAsia" w:hAnsiTheme="majorHAnsi" w:cstheme="majorBidi"/>
      <w:i/>
      <w:iCs/>
      <w:color w:val="475236" w:themeColor="accent1" w:themeShade="7F"/>
    </w:rPr>
  </w:style>
  <w:style w:type="paragraph" w:styleId="Heading7">
    <w:name w:val="heading 7"/>
    <w:basedOn w:val="Normal"/>
    <w:next w:val="Normal"/>
    <w:link w:val="Heading7Char"/>
    <w:uiPriority w:val="9"/>
    <w:semiHidden/>
    <w:unhideWhenUsed/>
    <w:qFormat/>
    <w:rsid w:val="00473585"/>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3585"/>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73585"/>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Subject page Char"/>
    <w:basedOn w:val="DefaultParagraphFont"/>
    <w:link w:val="Heading1"/>
    <w:uiPriority w:val="9"/>
    <w:rsid w:val="001103D3"/>
    <w:rPr>
      <w:rFonts w:ascii="Times New Roman" w:hAnsi="Times New Roman" w:cstheme="minorHAnsi"/>
      <w:color w:val="000000" w:themeColor="text1"/>
      <w:sz w:val="60"/>
      <w:szCs w:val="60"/>
    </w:rPr>
  </w:style>
  <w:style w:type="paragraph" w:styleId="Header">
    <w:name w:val="header"/>
    <w:basedOn w:val="Normal"/>
    <w:link w:val="HeaderChar"/>
    <w:autoRedefine/>
    <w:uiPriority w:val="99"/>
    <w:rsid w:val="00F10297"/>
    <w:pPr>
      <w:keepNext/>
      <w:pBdr>
        <w:bottom w:val="single" w:sz="4" w:space="1" w:color="7F7F7F" w:themeColor="text1" w:themeTint="80"/>
      </w:pBdr>
      <w:spacing w:line="240" w:lineRule="auto"/>
    </w:pPr>
    <w:rPr>
      <w:rFonts w:asciiTheme="majorHAnsi" w:hAnsiTheme="majorHAnsi" w:cstheme="majorHAnsi"/>
      <w:noProof/>
      <w:sz w:val="14"/>
      <w:szCs w:val="16"/>
      <w:lang w:eastAsia="en-GB"/>
    </w:rPr>
  </w:style>
  <w:style w:type="character" w:customStyle="1" w:styleId="HeaderChar">
    <w:name w:val="Header Char"/>
    <w:basedOn w:val="DefaultParagraphFont"/>
    <w:link w:val="Header"/>
    <w:uiPriority w:val="99"/>
    <w:rsid w:val="00F10297"/>
    <w:rPr>
      <w:rFonts w:asciiTheme="majorHAnsi" w:hAnsiTheme="majorHAnsi" w:cstheme="majorHAnsi"/>
      <w:noProof/>
      <w:color w:val="000000" w:themeColor="text1"/>
      <w:sz w:val="14"/>
      <w:szCs w:val="16"/>
      <w:lang w:eastAsia="en-GB"/>
    </w:rPr>
  </w:style>
  <w:style w:type="paragraph" w:styleId="Footer">
    <w:name w:val="footer"/>
    <w:basedOn w:val="Normal"/>
    <w:link w:val="FooterChar"/>
    <w:uiPriority w:val="9"/>
    <w:unhideWhenUsed/>
    <w:rsid w:val="00EF23E0"/>
    <w:pPr>
      <w:tabs>
        <w:tab w:val="center" w:pos="4513"/>
        <w:tab w:val="right" w:pos="9026"/>
      </w:tabs>
    </w:pPr>
  </w:style>
  <w:style w:type="character" w:customStyle="1" w:styleId="FooterChar">
    <w:name w:val="Footer Char"/>
    <w:basedOn w:val="DefaultParagraphFont"/>
    <w:link w:val="Footer"/>
    <w:uiPriority w:val="9"/>
    <w:rsid w:val="00FE1B26"/>
    <w:rPr>
      <w:rFonts w:ascii="Times New Roman" w:hAnsi="Times New Roman"/>
    </w:rPr>
  </w:style>
  <w:style w:type="paragraph" w:styleId="BalloonText">
    <w:name w:val="Balloon Text"/>
    <w:basedOn w:val="Normal"/>
    <w:link w:val="BalloonTextChar"/>
    <w:uiPriority w:val="99"/>
    <w:semiHidden/>
    <w:unhideWhenUsed/>
    <w:rsid w:val="00EF23E0"/>
    <w:rPr>
      <w:rFonts w:ascii="Tahoma" w:hAnsi="Tahoma" w:cs="Tahoma"/>
      <w:sz w:val="16"/>
      <w:szCs w:val="16"/>
    </w:rPr>
  </w:style>
  <w:style w:type="character" w:customStyle="1" w:styleId="BalloonTextChar">
    <w:name w:val="Balloon Text Char"/>
    <w:basedOn w:val="DefaultParagraphFont"/>
    <w:link w:val="BalloonText"/>
    <w:uiPriority w:val="99"/>
    <w:semiHidden/>
    <w:rsid w:val="00EF23E0"/>
    <w:rPr>
      <w:rFonts w:ascii="Tahoma" w:hAnsi="Tahoma" w:cs="Tahoma"/>
      <w:sz w:val="16"/>
      <w:szCs w:val="16"/>
    </w:rPr>
  </w:style>
  <w:style w:type="paragraph" w:styleId="Title">
    <w:name w:val="Title"/>
    <w:basedOn w:val="Normal"/>
    <w:next w:val="Normal"/>
    <w:link w:val="TitleChar"/>
    <w:uiPriority w:val="5"/>
    <w:rsid w:val="00DA0B74"/>
    <w:pPr>
      <w:pBdr>
        <w:bottom w:val="single" w:sz="4" w:space="12" w:color="auto"/>
      </w:pBdr>
      <w:spacing w:before="1080" w:line="600" w:lineRule="exact"/>
      <w:ind w:left="2410"/>
    </w:pPr>
    <w:rPr>
      <w:rFonts w:cstheme="minorHAnsi"/>
      <w:sz w:val="60"/>
      <w:szCs w:val="52"/>
    </w:rPr>
  </w:style>
  <w:style w:type="character" w:customStyle="1" w:styleId="TitleChar">
    <w:name w:val="Title Char"/>
    <w:basedOn w:val="DefaultParagraphFont"/>
    <w:link w:val="Title"/>
    <w:uiPriority w:val="5"/>
    <w:rsid w:val="00FE1B26"/>
    <w:rPr>
      <w:rFonts w:ascii="Times New Roman" w:hAnsi="Times New Roman" w:cstheme="minorHAnsi"/>
      <w:sz w:val="60"/>
      <w:szCs w:val="52"/>
    </w:rPr>
  </w:style>
  <w:style w:type="paragraph" w:customStyle="1" w:styleId="Client">
    <w:name w:val="Client"/>
    <w:basedOn w:val="Normal"/>
    <w:rsid w:val="00270306"/>
    <w:pPr>
      <w:spacing w:before="360" w:line="360" w:lineRule="exact"/>
      <w:ind w:left="2410"/>
    </w:pPr>
    <w:rPr>
      <w:rFonts w:asciiTheme="minorHAnsi" w:hAnsiTheme="minorHAnsi" w:cstheme="minorHAnsi"/>
      <w:b/>
      <w:sz w:val="28"/>
      <w:szCs w:val="20"/>
    </w:rPr>
  </w:style>
  <w:style w:type="paragraph" w:customStyle="1" w:styleId="Version">
    <w:name w:val="Version"/>
    <w:basedOn w:val="Normal"/>
    <w:rsid w:val="00270306"/>
    <w:pPr>
      <w:spacing w:before="840" w:line="360" w:lineRule="exact"/>
      <w:ind w:left="2410"/>
    </w:pPr>
    <w:rPr>
      <w:rFonts w:asciiTheme="minorHAnsi" w:hAnsiTheme="minorHAnsi" w:cstheme="minorHAnsi"/>
      <w:color w:val="666666"/>
      <w:sz w:val="28"/>
      <w:szCs w:val="30"/>
    </w:rPr>
  </w:style>
  <w:style w:type="paragraph" w:styleId="Date">
    <w:name w:val="Date"/>
    <w:basedOn w:val="Normal"/>
    <w:next w:val="Normal"/>
    <w:link w:val="DateChar"/>
    <w:uiPriority w:val="9"/>
    <w:rsid w:val="00270306"/>
    <w:pPr>
      <w:spacing w:line="360" w:lineRule="exact"/>
      <w:ind w:left="2410"/>
    </w:pPr>
    <w:rPr>
      <w:rFonts w:asciiTheme="minorHAnsi" w:hAnsiTheme="minorHAnsi" w:cstheme="minorHAnsi"/>
      <w:color w:val="666666"/>
      <w:sz w:val="28"/>
      <w:szCs w:val="30"/>
    </w:rPr>
  </w:style>
  <w:style w:type="character" w:customStyle="1" w:styleId="DateChar">
    <w:name w:val="Date Char"/>
    <w:basedOn w:val="DefaultParagraphFont"/>
    <w:link w:val="Date"/>
    <w:uiPriority w:val="9"/>
    <w:rsid w:val="00FE1B26"/>
    <w:rPr>
      <w:rFonts w:cstheme="minorHAnsi"/>
      <w:color w:val="666666"/>
      <w:sz w:val="28"/>
      <w:szCs w:val="30"/>
    </w:rPr>
  </w:style>
  <w:style w:type="paragraph" w:customStyle="1" w:styleId="Source">
    <w:name w:val="Source"/>
    <w:basedOn w:val="Normal"/>
    <w:qFormat/>
    <w:rsid w:val="00D27FF8"/>
    <w:pPr>
      <w:pBdr>
        <w:top w:val="single" w:sz="4" w:space="1" w:color="7F7F7F" w:themeColor="text1" w:themeTint="80"/>
      </w:pBdr>
      <w:tabs>
        <w:tab w:val="left" w:pos="993"/>
      </w:tabs>
      <w:autoSpaceDE w:val="0"/>
      <w:autoSpaceDN w:val="0"/>
      <w:adjustRightInd w:val="0"/>
      <w:spacing w:after="480"/>
      <w:ind w:left="993" w:hanging="993"/>
    </w:pPr>
    <w:rPr>
      <w:rFonts w:cstheme="minorHAnsi"/>
      <w:i/>
      <w:iCs/>
      <w:sz w:val="18"/>
      <w:szCs w:val="16"/>
    </w:rPr>
  </w:style>
  <w:style w:type="paragraph" w:customStyle="1" w:styleId="References">
    <w:name w:val="References"/>
    <w:basedOn w:val="Heading1"/>
    <w:rsid w:val="00E32B8E"/>
    <w:pPr>
      <w:numPr>
        <w:numId w:val="0"/>
      </w:numPr>
      <w:spacing w:after="600"/>
      <w:ind w:left="2410"/>
    </w:pPr>
  </w:style>
  <w:style w:type="paragraph" w:customStyle="1" w:styleId="Charttitle">
    <w:name w:val="Chart title"/>
    <w:basedOn w:val="Normal"/>
    <w:qFormat/>
    <w:rsid w:val="00D27FF8"/>
    <w:pPr>
      <w:keepNext/>
      <w:numPr>
        <w:numId w:val="1"/>
      </w:numPr>
      <w:pBdr>
        <w:top w:val="single" w:sz="4" w:space="1" w:color="7F7F7F" w:themeColor="text1" w:themeTint="80"/>
      </w:pBdr>
      <w:autoSpaceDE w:val="0"/>
      <w:autoSpaceDN w:val="0"/>
      <w:adjustRightInd w:val="0"/>
      <w:spacing w:before="480" w:after="120" w:line="220" w:lineRule="atLeast"/>
    </w:pPr>
    <w:rPr>
      <w:rFonts w:asciiTheme="minorHAnsi" w:hAnsiTheme="minorHAnsi" w:cstheme="minorHAnsi"/>
      <w:b/>
      <w:iCs/>
      <w:color w:val="000000"/>
      <w:sz w:val="18"/>
      <w:szCs w:val="20"/>
    </w:rPr>
  </w:style>
  <w:style w:type="character" w:styleId="PlaceholderText">
    <w:name w:val="Placeholder Text"/>
    <w:uiPriority w:val="99"/>
    <w:qFormat/>
    <w:rsid w:val="00AC2144"/>
    <w:rPr>
      <w:color w:val="000000" w:themeColor="text1"/>
    </w:rPr>
  </w:style>
  <w:style w:type="paragraph" w:customStyle="1" w:styleId="Subheading">
    <w:name w:val="Subheading"/>
    <w:basedOn w:val="Normal"/>
    <w:qFormat/>
    <w:rsid w:val="00AC2144"/>
    <w:pPr>
      <w:autoSpaceDE w:val="0"/>
      <w:autoSpaceDN w:val="0"/>
      <w:adjustRightInd w:val="0"/>
      <w:spacing w:before="240" w:after="600" w:line="360" w:lineRule="exact"/>
    </w:pPr>
    <w:rPr>
      <w:rFonts w:asciiTheme="minorHAnsi" w:hAnsiTheme="minorHAnsi" w:cstheme="minorHAnsi"/>
      <w:b/>
      <w:bCs/>
      <w:sz w:val="30"/>
      <w:szCs w:val="30"/>
    </w:rPr>
  </w:style>
  <w:style w:type="character" w:styleId="FootnoteReference">
    <w:name w:val="footnote reference"/>
    <w:basedOn w:val="DefaultParagraphFont"/>
    <w:uiPriority w:val="99"/>
    <w:semiHidden/>
    <w:unhideWhenUsed/>
    <w:rsid w:val="0024784A"/>
    <w:rPr>
      <w:vertAlign w:val="superscript"/>
    </w:rPr>
  </w:style>
  <w:style w:type="paragraph" w:customStyle="1" w:styleId="Dashedbullets">
    <w:name w:val="Dashed bullets"/>
    <w:basedOn w:val="Normal"/>
    <w:qFormat/>
    <w:rsid w:val="00A75BEB"/>
    <w:pPr>
      <w:numPr>
        <w:numId w:val="2"/>
      </w:numPr>
      <w:ind w:left="284" w:hanging="284"/>
    </w:pPr>
  </w:style>
  <w:style w:type="paragraph" w:styleId="FootnoteText">
    <w:name w:val="footnote text"/>
    <w:basedOn w:val="Normal"/>
    <w:link w:val="FootnoteTextChar"/>
    <w:uiPriority w:val="9"/>
    <w:rsid w:val="008D1CA6"/>
    <w:pPr>
      <w:pBdr>
        <w:top w:val="single" w:sz="4" w:space="1" w:color="7F7F7F" w:themeColor="text1" w:themeTint="80"/>
      </w:pBdr>
      <w:spacing w:before="120" w:after="240" w:line="240" w:lineRule="auto"/>
    </w:pPr>
    <w:rPr>
      <w:rFonts w:asciiTheme="minorHAnsi" w:hAnsiTheme="minorHAnsi" w:cstheme="minorHAnsi"/>
      <w:sz w:val="16"/>
      <w:szCs w:val="16"/>
    </w:rPr>
  </w:style>
  <w:style w:type="character" w:customStyle="1" w:styleId="FootnoteTextChar">
    <w:name w:val="Footnote Text Char"/>
    <w:basedOn w:val="DefaultParagraphFont"/>
    <w:link w:val="FootnoteText"/>
    <w:uiPriority w:val="9"/>
    <w:rsid w:val="008D1CA6"/>
    <w:rPr>
      <w:rFonts w:cstheme="minorHAnsi"/>
      <w:color w:val="000000" w:themeColor="text1"/>
      <w:sz w:val="16"/>
      <w:szCs w:val="16"/>
    </w:rPr>
  </w:style>
  <w:style w:type="paragraph" w:customStyle="1" w:styleId="Contents">
    <w:name w:val="Contents"/>
    <w:basedOn w:val="Normal"/>
    <w:rsid w:val="009C79B1"/>
    <w:pPr>
      <w:pageBreakBefore/>
      <w:spacing w:after="540" w:line="600" w:lineRule="exact"/>
      <w:ind w:left="2410"/>
    </w:pPr>
    <w:rPr>
      <w:rFonts w:cs="Arial"/>
      <w:color w:val="221E1F"/>
      <w:sz w:val="60"/>
      <w:szCs w:val="60"/>
    </w:rPr>
  </w:style>
  <w:style w:type="paragraph" w:styleId="TOC1">
    <w:name w:val="toc 1"/>
    <w:basedOn w:val="Normal"/>
    <w:next w:val="Normal"/>
    <w:autoRedefine/>
    <w:uiPriority w:val="39"/>
    <w:unhideWhenUsed/>
    <w:rsid w:val="003E1113"/>
    <w:pPr>
      <w:tabs>
        <w:tab w:val="left" w:pos="3261"/>
        <w:tab w:val="right" w:leader="dot" w:pos="9629"/>
      </w:tabs>
      <w:spacing w:after="120"/>
      <w:ind w:left="3261" w:hanging="851"/>
    </w:pPr>
    <w:rPr>
      <w:rFonts w:cs="Arial"/>
      <w:noProof/>
    </w:rPr>
  </w:style>
  <w:style w:type="character" w:styleId="Hyperlink">
    <w:name w:val="Hyperlink"/>
    <w:basedOn w:val="DefaultParagraphFont"/>
    <w:uiPriority w:val="99"/>
    <w:unhideWhenUsed/>
    <w:qFormat/>
    <w:rsid w:val="0043598E"/>
    <w:rPr>
      <w:color w:val="008CD1"/>
      <w:u w:val="single"/>
    </w:rPr>
  </w:style>
  <w:style w:type="paragraph" w:customStyle="1" w:styleId="Acknowledgements">
    <w:name w:val="Acknowledgements"/>
    <w:basedOn w:val="Normal"/>
    <w:qFormat/>
    <w:rsid w:val="006E3C42"/>
    <w:pPr>
      <w:spacing w:after="480" w:line="600" w:lineRule="exact"/>
    </w:pPr>
    <w:rPr>
      <w:sz w:val="60"/>
      <w:szCs w:val="60"/>
    </w:rPr>
  </w:style>
  <w:style w:type="character" w:customStyle="1" w:styleId="Heading2Char">
    <w:name w:val="Heading 2 Char"/>
    <w:aliases w:val="Subject title Char,Sub-heading Char"/>
    <w:basedOn w:val="DefaultParagraphFont"/>
    <w:link w:val="Heading2"/>
    <w:uiPriority w:val="9"/>
    <w:rsid w:val="008650BE"/>
    <w:rPr>
      <w:rFonts w:ascii="Times New Roman" w:hAnsi="Times New Roman" w:cstheme="minorHAnsi"/>
      <w:color w:val="000000" w:themeColor="text1"/>
      <w:sz w:val="52"/>
      <w:szCs w:val="60"/>
    </w:rPr>
  </w:style>
  <w:style w:type="paragraph" w:styleId="TOC2">
    <w:name w:val="toc 2"/>
    <w:basedOn w:val="TOC1"/>
    <w:next w:val="Normal"/>
    <w:autoRedefine/>
    <w:uiPriority w:val="39"/>
    <w:unhideWhenUsed/>
    <w:rsid w:val="00F938E9"/>
    <w:pPr>
      <w:spacing w:after="60"/>
      <w:ind w:hanging="426"/>
    </w:pPr>
    <w:rPr>
      <w:b/>
    </w:rPr>
  </w:style>
  <w:style w:type="paragraph" w:styleId="Quote">
    <w:name w:val="Quote"/>
    <w:basedOn w:val="Normal"/>
    <w:next w:val="Normal"/>
    <w:link w:val="QuoteChar"/>
    <w:uiPriority w:val="9"/>
    <w:qFormat/>
    <w:rsid w:val="00FE2EF2"/>
    <w:pPr>
      <w:spacing w:line="480" w:lineRule="exact"/>
    </w:pPr>
    <w:rPr>
      <w:rFonts w:cstheme="minorHAnsi"/>
      <w:i/>
      <w:iCs/>
      <w:color w:val="4D4D4D"/>
      <w:sz w:val="40"/>
      <w:szCs w:val="40"/>
    </w:rPr>
  </w:style>
  <w:style w:type="character" w:customStyle="1" w:styleId="QuoteChar">
    <w:name w:val="Quote Char"/>
    <w:basedOn w:val="DefaultParagraphFont"/>
    <w:link w:val="Quote"/>
    <w:uiPriority w:val="9"/>
    <w:rsid w:val="00FE1B26"/>
    <w:rPr>
      <w:rFonts w:ascii="Times New Roman" w:hAnsi="Times New Roman" w:cstheme="minorHAnsi"/>
      <w:i/>
      <w:iCs/>
      <w:color w:val="4D4D4D"/>
      <w:sz w:val="40"/>
      <w:szCs w:val="40"/>
    </w:rPr>
  </w:style>
  <w:style w:type="paragraph" w:customStyle="1" w:styleId="Sectionsubheading">
    <w:name w:val="Section subheading"/>
    <w:basedOn w:val="Subheading"/>
    <w:qFormat/>
    <w:rsid w:val="003647F9"/>
    <w:pPr>
      <w:spacing w:after="520"/>
      <w:ind w:left="2410"/>
    </w:pPr>
  </w:style>
  <w:style w:type="paragraph" w:customStyle="1" w:styleId="Sectionintroheading">
    <w:name w:val="Section intro heading"/>
    <w:basedOn w:val="Normal"/>
    <w:qFormat/>
    <w:rsid w:val="00720DFB"/>
    <w:pPr>
      <w:spacing w:before="600"/>
      <w:ind w:left="2410"/>
    </w:pPr>
    <w:rPr>
      <w:rFonts w:cs="Times New Roman"/>
      <w:b/>
      <w:bCs/>
    </w:rPr>
  </w:style>
  <w:style w:type="paragraph" w:customStyle="1" w:styleId="Indentedtext425cm">
    <w:name w:val="Indented text (4.25cm)"/>
    <w:basedOn w:val="Normal"/>
    <w:qFormat/>
    <w:rsid w:val="001103D3"/>
    <w:pPr>
      <w:suppressAutoHyphens/>
      <w:autoSpaceDE w:val="0"/>
      <w:autoSpaceDN w:val="0"/>
      <w:adjustRightInd w:val="0"/>
      <w:spacing w:line="300" w:lineRule="atLeast"/>
      <w:ind w:left="2410"/>
      <w:textAlignment w:val="center"/>
    </w:pPr>
    <w:rPr>
      <w:rFonts w:cs="Times New Roman"/>
    </w:rPr>
  </w:style>
  <w:style w:type="character" w:customStyle="1" w:styleId="Heading3Char">
    <w:name w:val="Heading 3 Char"/>
    <w:basedOn w:val="DefaultParagraphFont"/>
    <w:link w:val="Heading3"/>
    <w:uiPriority w:val="9"/>
    <w:rsid w:val="00C73CAC"/>
    <w:rPr>
      <w:rFonts w:ascii="Times New Roman" w:hAnsi="Times New Roman" w:cstheme="minorHAnsi"/>
      <w:b/>
      <w:color w:val="000000" w:themeColor="text1"/>
    </w:rPr>
  </w:style>
  <w:style w:type="paragraph" w:styleId="TableofFigures">
    <w:name w:val="table of figures"/>
    <w:basedOn w:val="Normal"/>
    <w:next w:val="Normal"/>
    <w:uiPriority w:val="99"/>
    <w:unhideWhenUsed/>
    <w:rsid w:val="003E1113"/>
    <w:pPr>
      <w:tabs>
        <w:tab w:val="left" w:pos="3402"/>
        <w:tab w:val="right" w:leader="dot" w:pos="9639"/>
      </w:tabs>
      <w:spacing w:line="400" w:lineRule="exact"/>
      <w:ind w:left="3402" w:hanging="992"/>
    </w:pPr>
    <w:rPr>
      <w:noProof/>
    </w:rPr>
  </w:style>
  <w:style w:type="paragraph" w:styleId="TOC3">
    <w:name w:val="toc 3"/>
    <w:basedOn w:val="TableofFigures"/>
    <w:next w:val="Normal"/>
    <w:autoRedefine/>
    <w:uiPriority w:val="19"/>
    <w:unhideWhenUsed/>
    <w:rsid w:val="001C11C6"/>
    <w:pPr>
      <w:tabs>
        <w:tab w:val="clear" w:pos="3402"/>
      </w:tabs>
      <w:ind w:left="3544" w:hanging="1134"/>
    </w:pPr>
  </w:style>
  <w:style w:type="character" w:customStyle="1" w:styleId="Heading4Char">
    <w:name w:val="Heading 4 Char"/>
    <w:basedOn w:val="DefaultParagraphFont"/>
    <w:link w:val="Heading4"/>
    <w:uiPriority w:val="9"/>
    <w:semiHidden/>
    <w:rsid w:val="0024784A"/>
    <w:rPr>
      <w:rFonts w:ascii="Times New Roman" w:hAnsi="Times New Roman"/>
      <w:color w:val="000000" w:themeColor="text1"/>
    </w:rPr>
  </w:style>
  <w:style w:type="character" w:customStyle="1" w:styleId="Heading5Char">
    <w:name w:val="Heading 5 Char"/>
    <w:basedOn w:val="DefaultParagraphFont"/>
    <w:link w:val="Heading5"/>
    <w:uiPriority w:val="9"/>
    <w:semiHidden/>
    <w:rsid w:val="00FE1B26"/>
    <w:rPr>
      <w:rFonts w:asciiTheme="majorHAnsi" w:eastAsiaTheme="majorEastAsia" w:hAnsiTheme="majorHAnsi" w:cstheme="majorBidi"/>
      <w:color w:val="475236" w:themeColor="accent1" w:themeShade="7F"/>
    </w:rPr>
  </w:style>
  <w:style w:type="character" w:customStyle="1" w:styleId="Heading6Char">
    <w:name w:val="Heading 6 Char"/>
    <w:basedOn w:val="DefaultParagraphFont"/>
    <w:link w:val="Heading6"/>
    <w:uiPriority w:val="9"/>
    <w:semiHidden/>
    <w:rsid w:val="00473585"/>
    <w:rPr>
      <w:rFonts w:asciiTheme="majorHAnsi" w:eastAsiaTheme="majorEastAsia" w:hAnsiTheme="majorHAnsi" w:cstheme="majorBidi"/>
      <w:i/>
      <w:iCs/>
      <w:color w:val="475236" w:themeColor="accent1" w:themeShade="7F"/>
    </w:rPr>
  </w:style>
  <w:style w:type="character" w:customStyle="1" w:styleId="Heading7Char">
    <w:name w:val="Heading 7 Char"/>
    <w:basedOn w:val="DefaultParagraphFont"/>
    <w:link w:val="Heading7"/>
    <w:uiPriority w:val="9"/>
    <w:semiHidden/>
    <w:rsid w:val="004735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358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473585"/>
    <w:rPr>
      <w:rFonts w:asciiTheme="majorHAnsi" w:eastAsiaTheme="majorEastAsia" w:hAnsiTheme="majorHAnsi" w:cstheme="majorBidi"/>
      <w:i/>
      <w:iCs/>
      <w:color w:val="404040" w:themeColor="text1" w:themeTint="BF"/>
      <w:szCs w:val="20"/>
    </w:rPr>
  </w:style>
  <w:style w:type="paragraph" w:styleId="Subtitle">
    <w:name w:val="Subtitle"/>
    <w:basedOn w:val="Normal"/>
    <w:next w:val="Normal"/>
    <w:link w:val="SubtitleChar"/>
    <w:uiPriority w:val="9"/>
    <w:qFormat/>
    <w:rsid w:val="00162D54"/>
    <w:pPr>
      <w:numPr>
        <w:ilvl w:val="1"/>
      </w:numPr>
      <w:spacing w:after="240"/>
    </w:pPr>
    <w:rPr>
      <w:rFonts w:eastAsiaTheme="majorEastAsia" w:cstheme="majorBidi"/>
      <w:b/>
      <w:iCs/>
      <w:szCs w:val="24"/>
    </w:rPr>
  </w:style>
  <w:style w:type="character" w:customStyle="1" w:styleId="SubtitleChar">
    <w:name w:val="Subtitle Char"/>
    <w:basedOn w:val="DefaultParagraphFont"/>
    <w:link w:val="Subtitle"/>
    <w:uiPriority w:val="9"/>
    <w:rsid w:val="00162D54"/>
    <w:rPr>
      <w:rFonts w:ascii="Times New Roman" w:eastAsiaTheme="majorEastAsia" w:hAnsi="Times New Roman" w:cstheme="majorBidi"/>
      <w:b/>
      <w:iCs/>
      <w:color w:val="000000" w:themeColor="text1"/>
      <w:szCs w:val="24"/>
    </w:rPr>
  </w:style>
  <w:style w:type="paragraph" w:customStyle="1" w:styleId="Subsubtitle">
    <w:name w:val="Sub subtitle"/>
    <w:basedOn w:val="Normal"/>
    <w:qFormat/>
    <w:rsid w:val="008438D3"/>
  </w:style>
  <w:style w:type="paragraph" w:customStyle="1" w:styleId="Listoffigures">
    <w:name w:val="List of figures"/>
    <w:basedOn w:val="Contents"/>
    <w:rsid w:val="009C79B1"/>
    <w:pPr>
      <w:pageBreakBefore w:val="0"/>
      <w:spacing w:before="120"/>
    </w:pPr>
  </w:style>
  <w:style w:type="paragraph" w:customStyle="1" w:styleId="Sectioncontents">
    <w:name w:val="Section contents"/>
    <w:basedOn w:val="Normal"/>
    <w:qFormat/>
    <w:rsid w:val="001103D3"/>
    <w:pPr>
      <w:spacing w:after="40"/>
      <w:ind w:left="2410"/>
    </w:pPr>
    <w:rPr>
      <w:b/>
    </w:rPr>
  </w:style>
  <w:style w:type="table" w:styleId="TableGrid">
    <w:name w:val="Table Grid"/>
    <w:basedOn w:val="TableNormal"/>
    <w:uiPriority w:val="59"/>
    <w:rsid w:val="00176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qFormat/>
    <w:rsid w:val="000D25DC"/>
    <w:pPr>
      <w:keepNext/>
      <w:numPr>
        <w:numId w:val="3"/>
      </w:numPr>
      <w:pBdr>
        <w:top w:val="single" w:sz="4" w:space="1" w:color="7F7F7F" w:themeColor="text1" w:themeTint="80"/>
      </w:pBdr>
      <w:spacing w:before="480" w:after="360" w:line="220" w:lineRule="exact"/>
    </w:pPr>
    <w:rPr>
      <w:rFonts w:cstheme="minorHAnsi"/>
      <w:b/>
      <w:iCs/>
      <w:color w:val="221E1F"/>
      <w:sz w:val="18"/>
      <w:szCs w:val="20"/>
    </w:rPr>
  </w:style>
  <w:style w:type="paragraph" w:styleId="TOCHeading">
    <w:name w:val="TOC Heading"/>
    <w:basedOn w:val="Heading1"/>
    <w:next w:val="Normal"/>
    <w:uiPriority w:val="9"/>
    <w:unhideWhenUsed/>
    <w:qFormat/>
    <w:rsid w:val="0023212F"/>
    <w:pPr>
      <w:keepNext/>
      <w:keepLines/>
      <w:pageBreakBefore w:val="0"/>
      <w:autoSpaceDE/>
      <w:autoSpaceDN/>
      <w:adjustRightInd/>
      <w:spacing w:before="480" w:line="276" w:lineRule="auto"/>
      <w:ind w:left="0" w:firstLine="0"/>
      <w:outlineLvl w:val="9"/>
    </w:pPr>
    <w:rPr>
      <w:rFonts w:asciiTheme="majorHAnsi" w:eastAsiaTheme="majorEastAsia" w:hAnsiTheme="majorHAnsi" w:cstheme="majorBidi"/>
      <w:b/>
      <w:bCs/>
      <w:color w:val="6B7B52" w:themeColor="accent1" w:themeShade="BF"/>
      <w:sz w:val="28"/>
      <w:szCs w:val="28"/>
      <w:lang w:val="en-US"/>
    </w:rPr>
  </w:style>
  <w:style w:type="paragraph" w:customStyle="1" w:styleId="Appendix">
    <w:name w:val="Appendix"/>
    <w:basedOn w:val="Heading1"/>
    <w:qFormat/>
    <w:rsid w:val="00E32B8E"/>
    <w:pPr>
      <w:numPr>
        <w:numId w:val="0"/>
      </w:numPr>
      <w:spacing w:after="480"/>
    </w:pPr>
  </w:style>
  <w:style w:type="paragraph" w:customStyle="1" w:styleId="CompanyProfile">
    <w:name w:val="Company Profile"/>
    <w:basedOn w:val="Heading1"/>
    <w:qFormat/>
    <w:rsid w:val="005E636F"/>
    <w:pPr>
      <w:pageBreakBefore w:val="0"/>
      <w:framePr w:hSpace="180" w:wrap="around" w:vAnchor="text" w:hAnchor="text" w:y="8277"/>
      <w:numPr>
        <w:numId w:val="0"/>
      </w:numPr>
      <w:spacing w:line="220" w:lineRule="exact"/>
      <w:outlineLvl w:val="9"/>
    </w:pPr>
    <w:rPr>
      <w:rFonts w:asciiTheme="minorHAnsi" w:hAnsiTheme="minorHAnsi"/>
      <w:b/>
      <w:sz w:val="19"/>
    </w:rPr>
  </w:style>
  <w:style w:type="paragraph" w:customStyle="1" w:styleId="ExecutiveSummary">
    <w:name w:val="Executive Summary"/>
    <w:basedOn w:val="Heading1"/>
    <w:rsid w:val="00243F32"/>
    <w:pPr>
      <w:numPr>
        <w:numId w:val="0"/>
      </w:numPr>
    </w:pPr>
  </w:style>
  <w:style w:type="paragraph" w:styleId="CommentText">
    <w:name w:val="annotation text"/>
    <w:basedOn w:val="Normal"/>
    <w:link w:val="CommentTextChar"/>
    <w:uiPriority w:val="99"/>
    <w:unhideWhenUsed/>
    <w:rsid w:val="00AD1916"/>
    <w:pPr>
      <w:spacing w:line="240" w:lineRule="auto"/>
    </w:pPr>
    <w:rPr>
      <w:sz w:val="20"/>
      <w:szCs w:val="20"/>
    </w:rPr>
  </w:style>
  <w:style w:type="character" w:customStyle="1" w:styleId="CommentTextChar">
    <w:name w:val="Comment Text Char"/>
    <w:basedOn w:val="DefaultParagraphFont"/>
    <w:link w:val="CommentText"/>
    <w:uiPriority w:val="99"/>
    <w:rsid w:val="00AD1916"/>
    <w:rPr>
      <w:rFonts w:ascii="Times New Roman" w:hAnsi="Times New Roman"/>
      <w:sz w:val="20"/>
      <w:szCs w:val="20"/>
    </w:rPr>
  </w:style>
  <w:style w:type="character" w:styleId="CommentReference">
    <w:name w:val="annotation reference"/>
    <w:basedOn w:val="DefaultParagraphFont"/>
    <w:uiPriority w:val="99"/>
    <w:semiHidden/>
    <w:unhideWhenUsed/>
    <w:rsid w:val="00AD1916"/>
    <w:rPr>
      <w:sz w:val="16"/>
      <w:szCs w:val="16"/>
    </w:rPr>
  </w:style>
  <w:style w:type="paragraph" w:styleId="ListParagraph">
    <w:name w:val="List Paragraph"/>
    <w:basedOn w:val="Normal"/>
    <w:uiPriority w:val="34"/>
    <w:semiHidden/>
    <w:qFormat/>
    <w:rsid w:val="00F651C6"/>
    <w:pPr>
      <w:ind w:left="720"/>
      <w:contextualSpacing/>
    </w:pPr>
  </w:style>
  <w:style w:type="table" w:customStyle="1" w:styleId="Vividtable">
    <w:name w:val="Vivid table"/>
    <w:basedOn w:val="TableNormal"/>
    <w:uiPriority w:val="99"/>
    <w:rsid w:val="00D64970"/>
    <w:pPr>
      <w:spacing w:after="0" w:line="240" w:lineRule="auto"/>
    </w:pPr>
    <w:rPr>
      <w:sz w:val="18"/>
    </w:rPr>
    <w:tblPr>
      <w:tblStyleRowBandSize w:val="1"/>
      <w:tblInd w:w="0" w:type="dxa"/>
      <w:tblCellMar>
        <w:top w:w="0" w:type="dxa"/>
        <w:left w:w="108" w:type="dxa"/>
        <w:bottom w:w="0" w:type="dxa"/>
        <w:right w:w="108" w:type="dxa"/>
      </w:tblCellMar>
    </w:tblPr>
    <w:tcPr>
      <w:vAlign w:val="center"/>
    </w:tcPr>
    <w:tblStylePr w:type="firstRow">
      <w:rPr>
        <w:rFonts w:asciiTheme="minorHAnsi" w:hAnsiTheme="minorHAnsi"/>
        <w:b/>
        <w:sz w:val="18"/>
      </w:rPr>
    </w:tblStylePr>
    <w:tblStylePr w:type="band1Horz">
      <w:tblPr/>
      <w:tcPr>
        <w:shd w:val="clear" w:color="auto" w:fill="DDDDDD"/>
      </w:tcPr>
    </w:tblStylePr>
  </w:style>
  <w:style w:type="paragraph" w:customStyle="1" w:styleId="Chartspacer">
    <w:name w:val="Chart spacer"/>
    <w:basedOn w:val="Normal"/>
    <w:qFormat/>
    <w:rsid w:val="00F10297"/>
    <w:pPr>
      <w:keepNext/>
      <w:spacing w:line="240" w:lineRule="auto"/>
    </w:pPr>
    <w:rPr>
      <w:sz w:val="8"/>
      <w:szCs w:val="8"/>
    </w:rPr>
  </w:style>
  <w:style w:type="paragraph" w:customStyle="1" w:styleId="Note">
    <w:name w:val="Note"/>
    <w:basedOn w:val="Source"/>
    <w:qFormat/>
    <w:rsid w:val="00D27FF8"/>
    <w:pPr>
      <w:keepNext/>
      <w:spacing w:after="0"/>
    </w:pPr>
  </w:style>
  <w:style w:type="character" w:styleId="PageNumber">
    <w:name w:val="page number"/>
    <w:basedOn w:val="DefaultParagraphFont"/>
    <w:uiPriority w:val="99"/>
    <w:rsid w:val="00E851E3"/>
    <w:rPr>
      <w:rFonts w:asciiTheme="minorHAnsi" w:hAnsiTheme="minorHAnsi"/>
      <w:sz w:val="16"/>
    </w:rPr>
  </w:style>
  <w:style w:type="paragraph" w:customStyle="1" w:styleId="Boxtitle">
    <w:name w:val="Box title"/>
    <w:basedOn w:val="Charttitle"/>
    <w:qFormat/>
    <w:rsid w:val="00013E54"/>
    <w:pPr>
      <w:numPr>
        <w:numId w:val="5"/>
      </w:numPr>
      <w:pBdr>
        <w:top w:val="none" w:sz="0" w:space="0" w:color="auto"/>
      </w:pBdr>
      <w:spacing w:before="240" w:after="240"/>
      <w:ind w:hanging="720"/>
    </w:pPr>
    <w:rPr>
      <w:color w:val="000000" w:themeColor="text1"/>
    </w:rPr>
  </w:style>
  <w:style w:type="paragraph" w:customStyle="1" w:styleId="Longquote">
    <w:name w:val="Long quote"/>
    <w:basedOn w:val="Indentedtext425cm"/>
    <w:qFormat/>
    <w:rsid w:val="004136F4"/>
    <w:pPr>
      <w:spacing w:before="360" w:after="360"/>
      <w:ind w:left="1134" w:right="1134"/>
    </w:pPr>
    <w:rPr>
      <w:i/>
    </w:rPr>
  </w:style>
  <w:style w:type="paragraph" w:customStyle="1" w:styleId="Indentedbullet">
    <w:name w:val="Indented bullet"/>
    <w:basedOn w:val="Dashedbullets"/>
    <w:qFormat/>
    <w:rsid w:val="00A75BEB"/>
    <w:pPr>
      <w:ind w:left="568"/>
    </w:pPr>
  </w:style>
  <w:style w:type="paragraph" w:customStyle="1" w:styleId="Appendixheading">
    <w:name w:val="Appendix heading"/>
    <w:basedOn w:val="Subheading"/>
    <w:next w:val="Normal"/>
    <w:qFormat/>
    <w:rsid w:val="003E1196"/>
    <w:pPr>
      <w:spacing w:before="120" w:after="120"/>
    </w:pPr>
  </w:style>
  <w:style w:type="paragraph" w:styleId="CommentSubject">
    <w:name w:val="annotation subject"/>
    <w:basedOn w:val="CommentText"/>
    <w:next w:val="CommentText"/>
    <w:link w:val="CommentSubjectChar"/>
    <w:uiPriority w:val="99"/>
    <w:semiHidden/>
    <w:unhideWhenUsed/>
    <w:rsid w:val="00303487"/>
    <w:rPr>
      <w:b/>
      <w:bCs/>
    </w:rPr>
  </w:style>
  <w:style w:type="character" w:customStyle="1" w:styleId="CommentSubjectChar">
    <w:name w:val="Comment Subject Char"/>
    <w:basedOn w:val="CommentTextChar"/>
    <w:link w:val="CommentSubject"/>
    <w:uiPriority w:val="99"/>
    <w:semiHidden/>
    <w:rsid w:val="00303487"/>
    <w:rPr>
      <w:rFonts w:ascii="Times New Roman" w:hAnsi="Times New Roman"/>
      <w:b/>
      <w:bCs/>
      <w:color w:val="000000" w:themeColor="text1"/>
      <w:sz w:val="20"/>
      <w:szCs w:val="20"/>
    </w:rPr>
  </w:style>
  <w:style w:type="paragraph" w:styleId="Revision">
    <w:name w:val="Revision"/>
    <w:hidden/>
    <w:uiPriority w:val="99"/>
    <w:semiHidden/>
    <w:rsid w:val="00911BF4"/>
    <w:pPr>
      <w:spacing w:after="0" w:line="240" w:lineRule="auto"/>
    </w:pPr>
    <w:rPr>
      <w:rFonts w:ascii="Times New Roman" w:hAnsi="Times New Roman"/>
      <w:color w:val="000000" w:themeColor="text1"/>
    </w:rPr>
  </w:style>
  <w:style w:type="paragraph" w:styleId="NormalWeb">
    <w:name w:val="Normal (Web)"/>
    <w:basedOn w:val="Normal"/>
    <w:uiPriority w:val="99"/>
    <w:unhideWhenUsed/>
    <w:rsid w:val="00911BF4"/>
    <w:pPr>
      <w:spacing w:before="100" w:beforeAutospacing="1" w:after="100" w:afterAutospacing="1" w:line="240" w:lineRule="auto"/>
    </w:pPr>
    <w:rPr>
      <w:rFonts w:eastAsia="Times New Roman" w:cs="Times New Roman"/>
      <w:color w:val="auto"/>
      <w:sz w:val="24"/>
      <w:szCs w:val="24"/>
      <w:lang w:eastAsia="en-GB"/>
    </w:rPr>
  </w:style>
  <w:style w:type="character" w:styleId="FollowedHyperlink">
    <w:name w:val="FollowedHyperlink"/>
    <w:basedOn w:val="DefaultParagraphFont"/>
    <w:uiPriority w:val="99"/>
    <w:semiHidden/>
    <w:unhideWhenUsed/>
    <w:rsid w:val="00911BF4"/>
    <w:rPr>
      <w:color w:val="857B93" w:themeColor="followedHyperlink"/>
      <w:u w:val="single"/>
    </w:rPr>
  </w:style>
  <w:style w:type="paragraph" w:styleId="EndnoteText">
    <w:name w:val="endnote text"/>
    <w:basedOn w:val="Normal"/>
    <w:link w:val="EndnoteTextChar"/>
    <w:uiPriority w:val="99"/>
    <w:semiHidden/>
    <w:unhideWhenUsed/>
    <w:rsid w:val="005329ED"/>
    <w:pPr>
      <w:spacing w:line="240" w:lineRule="auto"/>
    </w:pPr>
    <w:rPr>
      <w:sz w:val="20"/>
      <w:szCs w:val="20"/>
    </w:rPr>
  </w:style>
  <w:style w:type="character" w:customStyle="1" w:styleId="EndnoteTextChar">
    <w:name w:val="Endnote Text Char"/>
    <w:basedOn w:val="DefaultParagraphFont"/>
    <w:link w:val="EndnoteText"/>
    <w:uiPriority w:val="99"/>
    <w:semiHidden/>
    <w:rsid w:val="005329ED"/>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5329ED"/>
    <w:rPr>
      <w:vertAlign w:val="superscript"/>
    </w:rPr>
  </w:style>
  <w:style w:type="paragraph" w:customStyle="1" w:styleId="Default">
    <w:name w:val="Default"/>
    <w:rsid w:val="00B75E40"/>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0241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418D"/>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9" w:unhideWhenUsed="0"/>
    <w:lsdException w:name="footer" w:uiPriority="9"/>
    <w:lsdException w:name="caption" w:uiPriority="35" w:qFormat="1"/>
    <w:lsdException w:name="Title" w:semiHidden="0" w:uiPriority="5" w:unhideWhenUsed="0"/>
    <w:lsdException w:name="Default Paragraph Font" w:uiPriority="1"/>
    <w:lsdException w:name="Subtitle" w:semiHidden="0" w:uiPriority="9" w:unhideWhenUsed="0" w:qFormat="1"/>
    <w:lsdException w:name="Date" w:semiHidden="0" w:uiPriority="9"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locked="1"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locked="1"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locked="1"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 w:qFormat="1"/>
  </w:latentStyles>
  <w:style w:type="paragraph" w:default="1" w:styleId="Normal">
    <w:name w:val="Normal"/>
    <w:qFormat/>
    <w:rsid w:val="00E851E3"/>
    <w:pPr>
      <w:spacing w:after="0" w:line="300" w:lineRule="exact"/>
    </w:pPr>
    <w:rPr>
      <w:rFonts w:ascii="Times New Roman" w:hAnsi="Times New Roman"/>
      <w:color w:val="000000" w:themeColor="text1"/>
    </w:rPr>
  </w:style>
  <w:style w:type="paragraph" w:styleId="Heading1">
    <w:name w:val="heading 1"/>
    <w:aliases w:val="Section title,Subject page"/>
    <w:basedOn w:val="Normal"/>
    <w:next w:val="Normal"/>
    <w:link w:val="Heading1Char"/>
    <w:uiPriority w:val="9"/>
    <w:qFormat/>
    <w:rsid w:val="001103D3"/>
    <w:pPr>
      <w:pageBreakBefore/>
      <w:numPr>
        <w:numId w:val="4"/>
      </w:numPr>
      <w:autoSpaceDE w:val="0"/>
      <w:autoSpaceDN w:val="0"/>
      <w:adjustRightInd w:val="0"/>
      <w:spacing w:line="600" w:lineRule="exact"/>
      <w:ind w:left="2977" w:hanging="567"/>
      <w:outlineLvl w:val="0"/>
    </w:pPr>
    <w:rPr>
      <w:rFonts w:cstheme="minorHAnsi"/>
      <w:sz w:val="60"/>
      <w:szCs w:val="60"/>
    </w:rPr>
  </w:style>
  <w:style w:type="paragraph" w:styleId="Heading2">
    <w:name w:val="heading 2"/>
    <w:aliases w:val="Subject title,Sub-heading"/>
    <w:basedOn w:val="Heading1"/>
    <w:next w:val="Normal"/>
    <w:link w:val="Heading2Char"/>
    <w:uiPriority w:val="9"/>
    <w:unhideWhenUsed/>
    <w:qFormat/>
    <w:rsid w:val="008650BE"/>
    <w:pPr>
      <w:numPr>
        <w:ilvl w:val="1"/>
      </w:numPr>
      <w:outlineLvl w:val="1"/>
    </w:pPr>
    <w:rPr>
      <w:sz w:val="52"/>
    </w:rPr>
  </w:style>
  <w:style w:type="paragraph" w:styleId="Heading3">
    <w:name w:val="heading 3"/>
    <w:basedOn w:val="Normal"/>
    <w:next w:val="Normal"/>
    <w:link w:val="Heading3Char"/>
    <w:uiPriority w:val="9"/>
    <w:unhideWhenUsed/>
    <w:qFormat/>
    <w:rsid w:val="00C73CAC"/>
    <w:pPr>
      <w:keepNext/>
      <w:numPr>
        <w:ilvl w:val="2"/>
        <w:numId w:val="4"/>
      </w:numPr>
      <w:spacing w:before="60" w:after="60"/>
      <w:ind w:left="720"/>
      <w:outlineLvl w:val="2"/>
    </w:pPr>
    <w:rPr>
      <w:rFonts w:cstheme="minorHAnsi"/>
      <w:b/>
    </w:rPr>
  </w:style>
  <w:style w:type="paragraph" w:styleId="Heading4">
    <w:name w:val="heading 4"/>
    <w:basedOn w:val="Normal"/>
    <w:next w:val="Normal"/>
    <w:link w:val="Heading4Char"/>
    <w:uiPriority w:val="9"/>
    <w:semiHidden/>
    <w:qFormat/>
    <w:rsid w:val="0024784A"/>
    <w:pPr>
      <w:numPr>
        <w:ilvl w:val="3"/>
        <w:numId w:val="4"/>
      </w:numPr>
      <w:outlineLvl w:val="3"/>
    </w:pPr>
  </w:style>
  <w:style w:type="paragraph" w:styleId="Heading5">
    <w:name w:val="heading 5"/>
    <w:basedOn w:val="Normal"/>
    <w:next w:val="Normal"/>
    <w:link w:val="Heading5Char"/>
    <w:uiPriority w:val="9"/>
    <w:semiHidden/>
    <w:rsid w:val="00473585"/>
    <w:pPr>
      <w:keepNext/>
      <w:keepLines/>
      <w:numPr>
        <w:ilvl w:val="4"/>
        <w:numId w:val="4"/>
      </w:numPr>
      <w:spacing w:before="200"/>
      <w:outlineLvl w:val="4"/>
    </w:pPr>
    <w:rPr>
      <w:rFonts w:asciiTheme="majorHAnsi" w:eastAsiaTheme="majorEastAsia" w:hAnsiTheme="majorHAnsi" w:cstheme="majorBidi"/>
      <w:color w:val="475236" w:themeColor="accent1" w:themeShade="7F"/>
    </w:rPr>
  </w:style>
  <w:style w:type="paragraph" w:styleId="Heading6">
    <w:name w:val="heading 6"/>
    <w:basedOn w:val="Normal"/>
    <w:next w:val="Normal"/>
    <w:link w:val="Heading6Char"/>
    <w:uiPriority w:val="9"/>
    <w:semiHidden/>
    <w:unhideWhenUsed/>
    <w:qFormat/>
    <w:rsid w:val="00473585"/>
    <w:pPr>
      <w:keepNext/>
      <w:keepLines/>
      <w:numPr>
        <w:ilvl w:val="5"/>
        <w:numId w:val="4"/>
      </w:numPr>
      <w:spacing w:before="200"/>
      <w:outlineLvl w:val="5"/>
    </w:pPr>
    <w:rPr>
      <w:rFonts w:asciiTheme="majorHAnsi" w:eastAsiaTheme="majorEastAsia" w:hAnsiTheme="majorHAnsi" w:cstheme="majorBidi"/>
      <w:i/>
      <w:iCs/>
      <w:color w:val="475236" w:themeColor="accent1" w:themeShade="7F"/>
    </w:rPr>
  </w:style>
  <w:style w:type="paragraph" w:styleId="Heading7">
    <w:name w:val="heading 7"/>
    <w:basedOn w:val="Normal"/>
    <w:next w:val="Normal"/>
    <w:link w:val="Heading7Char"/>
    <w:uiPriority w:val="9"/>
    <w:semiHidden/>
    <w:unhideWhenUsed/>
    <w:qFormat/>
    <w:rsid w:val="00473585"/>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3585"/>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73585"/>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Subject page Char"/>
    <w:basedOn w:val="DefaultParagraphFont"/>
    <w:link w:val="Heading1"/>
    <w:uiPriority w:val="9"/>
    <w:rsid w:val="001103D3"/>
    <w:rPr>
      <w:rFonts w:ascii="Times New Roman" w:hAnsi="Times New Roman" w:cstheme="minorHAnsi"/>
      <w:color w:val="000000" w:themeColor="text1"/>
      <w:sz w:val="60"/>
      <w:szCs w:val="60"/>
    </w:rPr>
  </w:style>
  <w:style w:type="paragraph" w:styleId="Header">
    <w:name w:val="header"/>
    <w:basedOn w:val="Normal"/>
    <w:link w:val="HeaderChar"/>
    <w:autoRedefine/>
    <w:uiPriority w:val="99"/>
    <w:rsid w:val="00F10297"/>
    <w:pPr>
      <w:keepNext/>
      <w:pBdr>
        <w:bottom w:val="single" w:sz="4" w:space="1" w:color="7F7F7F" w:themeColor="text1" w:themeTint="80"/>
      </w:pBdr>
      <w:spacing w:line="240" w:lineRule="auto"/>
    </w:pPr>
    <w:rPr>
      <w:rFonts w:asciiTheme="majorHAnsi" w:hAnsiTheme="majorHAnsi" w:cstheme="majorHAnsi"/>
      <w:noProof/>
      <w:sz w:val="14"/>
      <w:szCs w:val="16"/>
      <w:lang w:eastAsia="en-GB"/>
    </w:rPr>
  </w:style>
  <w:style w:type="character" w:customStyle="1" w:styleId="HeaderChar">
    <w:name w:val="Header Char"/>
    <w:basedOn w:val="DefaultParagraphFont"/>
    <w:link w:val="Header"/>
    <w:uiPriority w:val="99"/>
    <w:rsid w:val="00F10297"/>
    <w:rPr>
      <w:rFonts w:asciiTheme="majorHAnsi" w:hAnsiTheme="majorHAnsi" w:cstheme="majorHAnsi"/>
      <w:noProof/>
      <w:color w:val="000000" w:themeColor="text1"/>
      <w:sz w:val="14"/>
      <w:szCs w:val="16"/>
      <w:lang w:eastAsia="en-GB"/>
    </w:rPr>
  </w:style>
  <w:style w:type="paragraph" w:styleId="Footer">
    <w:name w:val="footer"/>
    <w:basedOn w:val="Normal"/>
    <w:link w:val="FooterChar"/>
    <w:uiPriority w:val="9"/>
    <w:unhideWhenUsed/>
    <w:rsid w:val="00EF23E0"/>
    <w:pPr>
      <w:tabs>
        <w:tab w:val="center" w:pos="4513"/>
        <w:tab w:val="right" w:pos="9026"/>
      </w:tabs>
    </w:pPr>
  </w:style>
  <w:style w:type="character" w:customStyle="1" w:styleId="FooterChar">
    <w:name w:val="Footer Char"/>
    <w:basedOn w:val="DefaultParagraphFont"/>
    <w:link w:val="Footer"/>
    <w:uiPriority w:val="9"/>
    <w:rsid w:val="00FE1B26"/>
    <w:rPr>
      <w:rFonts w:ascii="Times New Roman" w:hAnsi="Times New Roman"/>
    </w:rPr>
  </w:style>
  <w:style w:type="paragraph" w:styleId="BalloonText">
    <w:name w:val="Balloon Text"/>
    <w:basedOn w:val="Normal"/>
    <w:link w:val="BalloonTextChar"/>
    <w:uiPriority w:val="99"/>
    <w:semiHidden/>
    <w:unhideWhenUsed/>
    <w:rsid w:val="00EF23E0"/>
    <w:rPr>
      <w:rFonts w:ascii="Tahoma" w:hAnsi="Tahoma" w:cs="Tahoma"/>
      <w:sz w:val="16"/>
      <w:szCs w:val="16"/>
    </w:rPr>
  </w:style>
  <w:style w:type="character" w:customStyle="1" w:styleId="BalloonTextChar">
    <w:name w:val="Balloon Text Char"/>
    <w:basedOn w:val="DefaultParagraphFont"/>
    <w:link w:val="BalloonText"/>
    <w:uiPriority w:val="99"/>
    <w:semiHidden/>
    <w:rsid w:val="00EF23E0"/>
    <w:rPr>
      <w:rFonts w:ascii="Tahoma" w:hAnsi="Tahoma" w:cs="Tahoma"/>
      <w:sz w:val="16"/>
      <w:szCs w:val="16"/>
    </w:rPr>
  </w:style>
  <w:style w:type="paragraph" w:styleId="Title">
    <w:name w:val="Title"/>
    <w:basedOn w:val="Normal"/>
    <w:next w:val="Normal"/>
    <w:link w:val="TitleChar"/>
    <w:uiPriority w:val="5"/>
    <w:rsid w:val="00DA0B74"/>
    <w:pPr>
      <w:pBdr>
        <w:bottom w:val="single" w:sz="4" w:space="12" w:color="auto"/>
      </w:pBdr>
      <w:spacing w:before="1080" w:line="600" w:lineRule="exact"/>
      <w:ind w:left="2410"/>
    </w:pPr>
    <w:rPr>
      <w:rFonts w:cstheme="minorHAnsi"/>
      <w:sz w:val="60"/>
      <w:szCs w:val="52"/>
    </w:rPr>
  </w:style>
  <w:style w:type="character" w:customStyle="1" w:styleId="TitleChar">
    <w:name w:val="Title Char"/>
    <w:basedOn w:val="DefaultParagraphFont"/>
    <w:link w:val="Title"/>
    <w:uiPriority w:val="5"/>
    <w:rsid w:val="00FE1B26"/>
    <w:rPr>
      <w:rFonts w:ascii="Times New Roman" w:hAnsi="Times New Roman" w:cstheme="minorHAnsi"/>
      <w:sz w:val="60"/>
      <w:szCs w:val="52"/>
    </w:rPr>
  </w:style>
  <w:style w:type="paragraph" w:customStyle="1" w:styleId="Client">
    <w:name w:val="Client"/>
    <w:basedOn w:val="Normal"/>
    <w:rsid w:val="00270306"/>
    <w:pPr>
      <w:spacing w:before="360" w:line="360" w:lineRule="exact"/>
      <w:ind w:left="2410"/>
    </w:pPr>
    <w:rPr>
      <w:rFonts w:asciiTheme="minorHAnsi" w:hAnsiTheme="minorHAnsi" w:cstheme="minorHAnsi"/>
      <w:b/>
      <w:sz w:val="28"/>
      <w:szCs w:val="20"/>
    </w:rPr>
  </w:style>
  <w:style w:type="paragraph" w:customStyle="1" w:styleId="Version">
    <w:name w:val="Version"/>
    <w:basedOn w:val="Normal"/>
    <w:rsid w:val="00270306"/>
    <w:pPr>
      <w:spacing w:before="840" w:line="360" w:lineRule="exact"/>
      <w:ind w:left="2410"/>
    </w:pPr>
    <w:rPr>
      <w:rFonts w:asciiTheme="minorHAnsi" w:hAnsiTheme="minorHAnsi" w:cstheme="minorHAnsi"/>
      <w:color w:val="666666"/>
      <w:sz w:val="28"/>
      <w:szCs w:val="30"/>
    </w:rPr>
  </w:style>
  <w:style w:type="paragraph" w:styleId="Date">
    <w:name w:val="Date"/>
    <w:basedOn w:val="Normal"/>
    <w:next w:val="Normal"/>
    <w:link w:val="DateChar"/>
    <w:uiPriority w:val="9"/>
    <w:rsid w:val="00270306"/>
    <w:pPr>
      <w:spacing w:line="360" w:lineRule="exact"/>
      <w:ind w:left="2410"/>
    </w:pPr>
    <w:rPr>
      <w:rFonts w:asciiTheme="minorHAnsi" w:hAnsiTheme="minorHAnsi" w:cstheme="minorHAnsi"/>
      <w:color w:val="666666"/>
      <w:sz w:val="28"/>
      <w:szCs w:val="30"/>
    </w:rPr>
  </w:style>
  <w:style w:type="character" w:customStyle="1" w:styleId="DateChar">
    <w:name w:val="Date Char"/>
    <w:basedOn w:val="DefaultParagraphFont"/>
    <w:link w:val="Date"/>
    <w:uiPriority w:val="9"/>
    <w:rsid w:val="00FE1B26"/>
    <w:rPr>
      <w:rFonts w:cstheme="minorHAnsi"/>
      <w:color w:val="666666"/>
      <w:sz w:val="28"/>
      <w:szCs w:val="30"/>
    </w:rPr>
  </w:style>
  <w:style w:type="paragraph" w:customStyle="1" w:styleId="Source">
    <w:name w:val="Source"/>
    <w:basedOn w:val="Normal"/>
    <w:qFormat/>
    <w:rsid w:val="00D27FF8"/>
    <w:pPr>
      <w:pBdr>
        <w:top w:val="single" w:sz="4" w:space="1" w:color="7F7F7F" w:themeColor="text1" w:themeTint="80"/>
      </w:pBdr>
      <w:tabs>
        <w:tab w:val="left" w:pos="993"/>
      </w:tabs>
      <w:autoSpaceDE w:val="0"/>
      <w:autoSpaceDN w:val="0"/>
      <w:adjustRightInd w:val="0"/>
      <w:spacing w:after="480"/>
      <w:ind w:left="993" w:hanging="993"/>
    </w:pPr>
    <w:rPr>
      <w:rFonts w:cstheme="minorHAnsi"/>
      <w:i/>
      <w:iCs/>
      <w:sz w:val="18"/>
      <w:szCs w:val="16"/>
    </w:rPr>
  </w:style>
  <w:style w:type="paragraph" w:customStyle="1" w:styleId="References">
    <w:name w:val="References"/>
    <w:basedOn w:val="Heading1"/>
    <w:rsid w:val="00E32B8E"/>
    <w:pPr>
      <w:numPr>
        <w:numId w:val="0"/>
      </w:numPr>
      <w:spacing w:after="600"/>
      <w:ind w:left="2410"/>
    </w:pPr>
  </w:style>
  <w:style w:type="paragraph" w:customStyle="1" w:styleId="Charttitle">
    <w:name w:val="Chart title"/>
    <w:basedOn w:val="Normal"/>
    <w:qFormat/>
    <w:rsid w:val="00D27FF8"/>
    <w:pPr>
      <w:keepNext/>
      <w:numPr>
        <w:numId w:val="1"/>
      </w:numPr>
      <w:pBdr>
        <w:top w:val="single" w:sz="4" w:space="1" w:color="7F7F7F" w:themeColor="text1" w:themeTint="80"/>
      </w:pBdr>
      <w:autoSpaceDE w:val="0"/>
      <w:autoSpaceDN w:val="0"/>
      <w:adjustRightInd w:val="0"/>
      <w:spacing w:before="480" w:after="120" w:line="220" w:lineRule="atLeast"/>
    </w:pPr>
    <w:rPr>
      <w:rFonts w:asciiTheme="minorHAnsi" w:hAnsiTheme="minorHAnsi" w:cstheme="minorHAnsi"/>
      <w:b/>
      <w:iCs/>
      <w:color w:val="000000"/>
      <w:sz w:val="18"/>
      <w:szCs w:val="20"/>
    </w:rPr>
  </w:style>
  <w:style w:type="character" w:styleId="PlaceholderText">
    <w:name w:val="Placeholder Text"/>
    <w:uiPriority w:val="99"/>
    <w:qFormat/>
    <w:rsid w:val="00AC2144"/>
    <w:rPr>
      <w:color w:val="000000" w:themeColor="text1"/>
    </w:rPr>
  </w:style>
  <w:style w:type="paragraph" w:customStyle="1" w:styleId="Subheading">
    <w:name w:val="Subheading"/>
    <w:basedOn w:val="Normal"/>
    <w:qFormat/>
    <w:rsid w:val="00AC2144"/>
    <w:pPr>
      <w:autoSpaceDE w:val="0"/>
      <w:autoSpaceDN w:val="0"/>
      <w:adjustRightInd w:val="0"/>
      <w:spacing w:before="240" w:after="600" w:line="360" w:lineRule="exact"/>
    </w:pPr>
    <w:rPr>
      <w:rFonts w:asciiTheme="minorHAnsi" w:hAnsiTheme="minorHAnsi" w:cstheme="minorHAnsi"/>
      <w:b/>
      <w:bCs/>
      <w:sz w:val="30"/>
      <w:szCs w:val="30"/>
    </w:rPr>
  </w:style>
  <w:style w:type="character" w:styleId="FootnoteReference">
    <w:name w:val="footnote reference"/>
    <w:basedOn w:val="DefaultParagraphFont"/>
    <w:uiPriority w:val="99"/>
    <w:semiHidden/>
    <w:unhideWhenUsed/>
    <w:rsid w:val="0024784A"/>
    <w:rPr>
      <w:vertAlign w:val="superscript"/>
    </w:rPr>
  </w:style>
  <w:style w:type="paragraph" w:customStyle="1" w:styleId="Dashedbullets">
    <w:name w:val="Dashed bullets"/>
    <w:basedOn w:val="Normal"/>
    <w:qFormat/>
    <w:rsid w:val="00A75BEB"/>
    <w:pPr>
      <w:numPr>
        <w:numId w:val="2"/>
      </w:numPr>
      <w:ind w:left="284" w:hanging="284"/>
    </w:pPr>
  </w:style>
  <w:style w:type="paragraph" w:styleId="FootnoteText">
    <w:name w:val="footnote text"/>
    <w:basedOn w:val="Normal"/>
    <w:link w:val="FootnoteTextChar"/>
    <w:uiPriority w:val="9"/>
    <w:rsid w:val="008D1CA6"/>
    <w:pPr>
      <w:pBdr>
        <w:top w:val="single" w:sz="4" w:space="1" w:color="7F7F7F" w:themeColor="text1" w:themeTint="80"/>
      </w:pBdr>
      <w:spacing w:before="120" w:after="240" w:line="240" w:lineRule="auto"/>
    </w:pPr>
    <w:rPr>
      <w:rFonts w:asciiTheme="minorHAnsi" w:hAnsiTheme="minorHAnsi" w:cstheme="minorHAnsi"/>
      <w:sz w:val="16"/>
      <w:szCs w:val="16"/>
    </w:rPr>
  </w:style>
  <w:style w:type="character" w:customStyle="1" w:styleId="FootnoteTextChar">
    <w:name w:val="Footnote Text Char"/>
    <w:basedOn w:val="DefaultParagraphFont"/>
    <w:link w:val="FootnoteText"/>
    <w:uiPriority w:val="9"/>
    <w:rsid w:val="008D1CA6"/>
    <w:rPr>
      <w:rFonts w:cstheme="minorHAnsi"/>
      <w:color w:val="000000" w:themeColor="text1"/>
      <w:sz w:val="16"/>
      <w:szCs w:val="16"/>
    </w:rPr>
  </w:style>
  <w:style w:type="paragraph" w:customStyle="1" w:styleId="Contents">
    <w:name w:val="Contents"/>
    <w:basedOn w:val="Normal"/>
    <w:rsid w:val="009C79B1"/>
    <w:pPr>
      <w:pageBreakBefore/>
      <w:spacing w:after="540" w:line="600" w:lineRule="exact"/>
      <w:ind w:left="2410"/>
    </w:pPr>
    <w:rPr>
      <w:rFonts w:cs="Arial"/>
      <w:color w:val="221E1F"/>
      <w:sz w:val="60"/>
      <w:szCs w:val="60"/>
    </w:rPr>
  </w:style>
  <w:style w:type="paragraph" w:styleId="TOC1">
    <w:name w:val="toc 1"/>
    <w:basedOn w:val="Normal"/>
    <w:next w:val="Normal"/>
    <w:autoRedefine/>
    <w:uiPriority w:val="39"/>
    <w:unhideWhenUsed/>
    <w:rsid w:val="003E1113"/>
    <w:pPr>
      <w:tabs>
        <w:tab w:val="left" w:pos="3261"/>
        <w:tab w:val="right" w:leader="dot" w:pos="9629"/>
      </w:tabs>
      <w:spacing w:after="120"/>
      <w:ind w:left="3261" w:hanging="851"/>
    </w:pPr>
    <w:rPr>
      <w:rFonts w:cs="Arial"/>
      <w:noProof/>
    </w:rPr>
  </w:style>
  <w:style w:type="character" w:styleId="Hyperlink">
    <w:name w:val="Hyperlink"/>
    <w:basedOn w:val="DefaultParagraphFont"/>
    <w:uiPriority w:val="99"/>
    <w:unhideWhenUsed/>
    <w:qFormat/>
    <w:rsid w:val="0043598E"/>
    <w:rPr>
      <w:color w:val="008CD1"/>
      <w:u w:val="single"/>
    </w:rPr>
  </w:style>
  <w:style w:type="paragraph" w:customStyle="1" w:styleId="Acknowledgements">
    <w:name w:val="Acknowledgements"/>
    <w:basedOn w:val="Normal"/>
    <w:qFormat/>
    <w:rsid w:val="006E3C42"/>
    <w:pPr>
      <w:spacing w:after="480" w:line="600" w:lineRule="exact"/>
    </w:pPr>
    <w:rPr>
      <w:sz w:val="60"/>
      <w:szCs w:val="60"/>
    </w:rPr>
  </w:style>
  <w:style w:type="character" w:customStyle="1" w:styleId="Heading2Char">
    <w:name w:val="Heading 2 Char"/>
    <w:aliases w:val="Subject title Char,Sub-heading Char"/>
    <w:basedOn w:val="DefaultParagraphFont"/>
    <w:link w:val="Heading2"/>
    <w:uiPriority w:val="9"/>
    <w:rsid w:val="008650BE"/>
    <w:rPr>
      <w:rFonts w:ascii="Times New Roman" w:hAnsi="Times New Roman" w:cstheme="minorHAnsi"/>
      <w:color w:val="000000" w:themeColor="text1"/>
      <w:sz w:val="52"/>
      <w:szCs w:val="60"/>
    </w:rPr>
  </w:style>
  <w:style w:type="paragraph" w:styleId="TOC2">
    <w:name w:val="toc 2"/>
    <w:basedOn w:val="TOC1"/>
    <w:next w:val="Normal"/>
    <w:autoRedefine/>
    <w:uiPriority w:val="39"/>
    <w:unhideWhenUsed/>
    <w:rsid w:val="00F938E9"/>
    <w:pPr>
      <w:spacing w:after="60"/>
      <w:ind w:hanging="426"/>
    </w:pPr>
    <w:rPr>
      <w:b/>
    </w:rPr>
  </w:style>
  <w:style w:type="paragraph" w:styleId="Quote">
    <w:name w:val="Quote"/>
    <w:basedOn w:val="Normal"/>
    <w:next w:val="Normal"/>
    <w:link w:val="QuoteChar"/>
    <w:uiPriority w:val="9"/>
    <w:qFormat/>
    <w:rsid w:val="00FE2EF2"/>
    <w:pPr>
      <w:spacing w:line="480" w:lineRule="exact"/>
    </w:pPr>
    <w:rPr>
      <w:rFonts w:cstheme="minorHAnsi"/>
      <w:i/>
      <w:iCs/>
      <w:color w:val="4D4D4D"/>
      <w:sz w:val="40"/>
      <w:szCs w:val="40"/>
    </w:rPr>
  </w:style>
  <w:style w:type="character" w:customStyle="1" w:styleId="QuoteChar">
    <w:name w:val="Quote Char"/>
    <w:basedOn w:val="DefaultParagraphFont"/>
    <w:link w:val="Quote"/>
    <w:uiPriority w:val="9"/>
    <w:rsid w:val="00FE1B26"/>
    <w:rPr>
      <w:rFonts w:ascii="Times New Roman" w:hAnsi="Times New Roman" w:cstheme="minorHAnsi"/>
      <w:i/>
      <w:iCs/>
      <w:color w:val="4D4D4D"/>
      <w:sz w:val="40"/>
      <w:szCs w:val="40"/>
    </w:rPr>
  </w:style>
  <w:style w:type="paragraph" w:customStyle="1" w:styleId="Sectionsubheading">
    <w:name w:val="Section subheading"/>
    <w:basedOn w:val="Subheading"/>
    <w:qFormat/>
    <w:rsid w:val="003647F9"/>
    <w:pPr>
      <w:spacing w:after="520"/>
      <w:ind w:left="2410"/>
    </w:pPr>
  </w:style>
  <w:style w:type="paragraph" w:customStyle="1" w:styleId="Sectionintroheading">
    <w:name w:val="Section intro heading"/>
    <w:basedOn w:val="Normal"/>
    <w:qFormat/>
    <w:rsid w:val="00720DFB"/>
    <w:pPr>
      <w:spacing w:before="600"/>
      <w:ind w:left="2410"/>
    </w:pPr>
    <w:rPr>
      <w:rFonts w:cs="Times New Roman"/>
      <w:b/>
      <w:bCs/>
    </w:rPr>
  </w:style>
  <w:style w:type="paragraph" w:customStyle="1" w:styleId="Indentedtext425cm">
    <w:name w:val="Indented text (4.25cm)"/>
    <w:basedOn w:val="Normal"/>
    <w:qFormat/>
    <w:rsid w:val="001103D3"/>
    <w:pPr>
      <w:suppressAutoHyphens/>
      <w:autoSpaceDE w:val="0"/>
      <w:autoSpaceDN w:val="0"/>
      <w:adjustRightInd w:val="0"/>
      <w:spacing w:line="300" w:lineRule="atLeast"/>
      <w:ind w:left="2410"/>
      <w:textAlignment w:val="center"/>
    </w:pPr>
    <w:rPr>
      <w:rFonts w:cs="Times New Roman"/>
    </w:rPr>
  </w:style>
  <w:style w:type="character" w:customStyle="1" w:styleId="Heading3Char">
    <w:name w:val="Heading 3 Char"/>
    <w:basedOn w:val="DefaultParagraphFont"/>
    <w:link w:val="Heading3"/>
    <w:uiPriority w:val="9"/>
    <w:rsid w:val="00C73CAC"/>
    <w:rPr>
      <w:rFonts w:ascii="Times New Roman" w:hAnsi="Times New Roman" w:cstheme="minorHAnsi"/>
      <w:b/>
      <w:color w:val="000000" w:themeColor="text1"/>
    </w:rPr>
  </w:style>
  <w:style w:type="paragraph" w:styleId="TableofFigures">
    <w:name w:val="table of figures"/>
    <w:basedOn w:val="Normal"/>
    <w:next w:val="Normal"/>
    <w:uiPriority w:val="99"/>
    <w:unhideWhenUsed/>
    <w:rsid w:val="003E1113"/>
    <w:pPr>
      <w:tabs>
        <w:tab w:val="left" w:pos="3402"/>
        <w:tab w:val="right" w:leader="dot" w:pos="9639"/>
      </w:tabs>
      <w:spacing w:line="400" w:lineRule="exact"/>
      <w:ind w:left="3402" w:hanging="992"/>
    </w:pPr>
    <w:rPr>
      <w:noProof/>
    </w:rPr>
  </w:style>
  <w:style w:type="paragraph" w:styleId="TOC3">
    <w:name w:val="toc 3"/>
    <w:basedOn w:val="TableofFigures"/>
    <w:next w:val="Normal"/>
    <w:autoRedefine/>
    <w:uiPriority w:val="19"/>
    <w:unhideWhenUsed/>
    <w:rsid w:val="001C11C6"/>
    <w:pPr>
      <w:tabs>
        <w:tab w:val="clear" w:pos="3402"/>
      </w:tabs>
      <w:ind w:left="3544" w:hanging="1134"/>
    </w:pPr>
  </w:style>
  <w:style w:type="character" w:customStyle="1" w:styleId="Heading4Char">
    <w:name w:val="Heading 4 Char"/>
    <w:basedOn w:val="DefaultParagraphFont"/>
    <w:link w:val="Heading4"/>
    <w:uiPriority w:val="9"/>
    <w:semiHidden/>
    <w:rsid w:val="0024784A"/>
    <w:rPr>
      <w:rFonts w:ascii="Times New Roman" w:hAnsi="Times New Roman"/>
      <w:color w:val="000000" w:themeColor="text1"/>
    </w:rPr>
  </w:style>
  <w:style w:type="character" w:customStyle="1" w:styleId="Heading5Char">
    <w:name w:val="Heading 5 Char"/>
    <w:basedOn w:val="DefaultParagraphFont"/>
    <w:link w:val="Heading5"/>
    <w:uiPriority w:val="9"/>
    <w:semiHidden/>
    <w:rsid w:val="00FE1B26"/>
    <w:rPr>
      <w:rFonts w:asciiTheme="majorHAnsi" w:eastAsiaTheme="majorEastAsia" w:hAnsiTheme="majorHAnsi" w:cstheme="majorBidi"/>
      <w:color w:val="475236" w:themeColor="accent1" w:themeShade="7F"/>
    </w:rPr>
  </w:style>
  <w:style w:type="character" w:customStyle="1" w:styleId="Heading6Char">
    <w:name w:val="Heading 6 Char"/>
    <w:basedOn w:val="DefaultParagraphFont"/>
    <w:link w:val="Heading6"/>
    <w:uiPriority w:val="9"/>
    <w:semiHidden/>
    <w:rsid w:val="00473585"/>
    <w:rPr>
      <w:rFonts w:asciiTheme="majorHAnsi" w:eastAsiaTheme="majorEastAsia" w:hAnsiTheme="majorHAnsi" w:cstheme="majorBidi"/>
      <w:i/>
      <w:iCs/>
      <w:color w:val="475236" w:themeColor="accent1" w:themeShade="7F"/>
    </w:rPr>
  </w:style>
  <w:style w:type="character" w:customStyle="1" w:styleId="Heading7Char">
    <w:name w:val="Heading 7 Char"/>
    <w:basedOn w:val="DefaultParagraphFont"/>
    <w:link w:val="Heading7"/>
    <w:uiPriority w:val="9"/>
    <w:semiHidden/>
    <w:rsid w:val="004735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358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473585"/>
    <w:rPr>
      <w:rFonts w:asciiTheme="majorHAnsi" w:eastAsiaTheme="majorEastAsia" w:hAnsiTheme="majorHAnsi" w:cstheme="majorBidi"/>
      <w:i/>
      <w:iCs/>
      <w:color w:val="404040" w:themeColor="text1" w:themeTint="BF"/>
      <w:szCs w:val="20"/>
    </w:rPr>
  </w:style>
  <w:style w:type="paragraph" w:styleId="Subtitle">
    <w:name w:val="Subtitle"/>
    <w:basedOn w:val="Normal"/>
    <w:next w:val="Normal"/>
    <w:link w:val="SubtitleChar"/>
    <w:uiPriority w:val="9"/>
    <w:qFormat/>
    <w:rsid w:val="00162D54"/>
    <w:pPr>
      <w:numPr>
        <w:ilvl w:val="1"/>
      </w:numPr>
      <w:spacing w:after="240"/>
    </w:pPr>
    <w:rPr>
      <w:rFonts w:eastAsiaTheme="majorEastAsia" w:cstheme="majorBidi"/>
      <w:b/>
      <w:iCs/>
      <w:szCs w:val="24"/>
    </w:rPr>
  </w:style>
  <w:style w:type="character" w:customStyle="1" w:styleId="SubtitleChar">
    <w:name w:val="Subtitle Char"/>
    <w:basedOn w:val="DefaultParagraphFont"/>
    <w:link w:val="Subtitle"/>
    <w:uiPriority w:val="9"/>
    <w:rsid w:val="00162D54"/>
    <w:rPr>
      <w:rFonts w:ascii="Times New Roman" w:eastAsiaTheme="majorEastAsia" w:hAnsi="Times New Roman" w:cstheme="majorBidi"/>
      <w:b/>
      <w:iCs/>
      <w:color w:val="000000" w:themeColor="text1"/>
      <w:szCs w:val="24"/>
    </w:rPr>
  </w:style>
  <w:style w:type="paragraph" w:customStyle="1" w:styleId="Subsubtitle">
    <w:name w:val="Sub subtitle"/>
    <w:basedOn w:val="Normal"/>
    <w:qFormat/>
    <w:rsid w:val="008438D3"/>
  </w:style>
  <w:style w:type="paragraph" w:customStyle="1" w:styleId="Listoffigures">
    <w:name w:val="List of figures"/>
    <w:basedOn w:val="Contents"/>
    <w:rsid w:val="009C79B1"/>
    <w:pPr>
      <w:pageBreakBefore w:val="0"/>
      <w:spacing w:before="120"/>
    </w:pPr>
  </w:style>
  <w:style w:type="paragraph" w:customStyle="1" w:styleId="Sectioncontents">
    <w:name w:val="Section contents"/>
    <w:basedOn w:val="Normal"/>
    <w:qFormat/>
    <w:rsid w:val="001103D3"/>
    <w:pPr>
      <w:spacing w:after="40"/>
      <w:ind w:left="2410"/>
    </w:pPr>
    <w:rPr>
      <w:b/>
    </w:rPr>
  </w:style>
  <w:style w:type="table" w:styleId="TableGrid">
    <w:name w:val="Table Grid"/>
    <w:basedOn w:val="TableNormal"/>
    <w:uiPriority w:val="59"/>
    <w:rsid w:val="00176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qFormat/>
    <w:rsid w:val="000D25DC"/>
    <w:pPr>
      <w:keepNext/>
      <w:numPr>
        <w:numId w:val="3"/>
      </w:numPr>
      <w:pBdr>
        <w:top w:val="single" w:sz="4" w:space="1" w:color="7F7F7F" w:themeColor="text1" w:themeTint="80"/>
      </w:pBdr>
      <w:spacing w:before="480" w:after="360" w:line="220" w:lineRule="exact"/>
    </w:pPr>
    <w:rPr>
      <w:rFonts w:cstheme="minorHAnsi"/>
      <w:b/>
      <w:iCs/>
      <w:color w:val="221E1F"/>
      <w:sz w:val="18"/>
      <w:szCs w:val="20"/>
    </w:rPr>
  </w:style>
  <w:style w:type="paragraph" w:styleId="TOCHeading">
    <w:name w:val="TOC Heading"/>
    <w:basedOn w:val="Heading1"/>
    <w:next w:val="Normal"/>
    <w:uiPriority w:val="9"/>
    <w:unhideWhenUsed/>
    <w:qFormat/>
    <w:rsid w:val="0023212F"/>
    <w:pPr>
      <w:keepNext/>
      <w:keepLines/>
      <w:pageBreakBefore w:val="0"/>
      <w:autoSpaceDE/>
      <w:autoSpaceDN/>
      <w:adjustRightInd/>
      <w:spacing w:before="480" w:line="276" w:lineRule="auto"/>
      <w:ind w:left="0" w:firstLine="0"/>
      <w:outlineLvl w:val="9"/>
    </w:pPr>
    <w:rPr>
      <w:rFonts w:asciiTheme="majorHAnsi" w:eastAsiaTheme="majorEastAsia" w:hAnsiTheme="majorHAnsi" w:cstheme="majorBidi"/>
      <w:b/>
      <w:bCs/>
      <w:color w:val="6B7B52" w:themeColor="accent1" w:themeShade="BF"/>
      <w:sz w:val="28"/>
      <w:szCs w:val="28"/>
      <w:lang w:val="en-US"/>
    </w:rPr>
  </w:style>
  <w:style w:type="paragraph" w:customStyle="1" w:styleId="Appendix">
    <w:name w:val="Appendix"/>
    <w:basedOn w:val="Heading1"/>
    <w:qFormat/>
    <w:rsid w:val="00E32B8E"/>
    <w:pPr>
      <w:numPr>
        <w:numId w:val="0"/>
      </w:numPr>
      <w:spacing w:after="480"/>
    </w:pPr>
  </w:style>
  <w:style w:type="paragraph" w:customStyle="1" w:styleId="CompanyProfile">
    <w:name w:val="Company Profile"/>
    <w:basedOn w:val="Heading1"/>
    <w:qFormat/>
    <w:rsid w:val="005E636F"/>
    <w:pPr>
      <w:pageBreakBefore w:val="0"/>
      <w:framePr w:hSpace="180" w:wrap="around" w:vAnchor="text" w:hAnchor="text" w:y="8277"/>
      <w:numPr>
        <w:numId w:val="0"/>
      </w:numPr>
      <w:spacing w:line="220" w:lineRule="exact"/>
      <w:outlineLvl w:val="9"/>
    </w:pPr>
    <w:rPr>
      <w:rFonts w:asciiTheme="minorHAnsi" w:hAnsiTheme="minorHAnsi"/>
      <w:b/>
      <w:sz w:val="19"/>
    </w:rPr>
  </w:style>
  <w:style w:type="paragraph" w:customStyle="1" w:styleId="ExecutiveSummary">
    <w:name w:val="Executive Summary"/>
    <w:basedOn w:val="Heading1"/>
    <w:rsid w:val="00243F32"/>
    <w:pPr>
      <w:numPr>
        <w:numId w:val="0"/>
      </w:numPr>
    </w:pPr>
  </w:style>
  <w:style w:type="paragraph" w:styleId="CommentText">
    <w:name w:val="annotation text"/>
    <w:basedOn w:val="Normal"/>
    <w:link w:val="CommentTextChar"/>
    <w:uiPriority w:val="99"/>
    <w:unhideWhenUsed/>
    <w:rsid w:val="00AD1916"/>
    <w:pPr>
      <w:spacing w:line="240" w:lineRule="auto"/>
    </w:pPr>
    <w:rPr>
      <w:sz w:val="20"/>
      <w:szCs w:val="20"/>
    </w:rPr>
  </w:style>
  <w:style w:type="character" w:customStyle="1" w:styleId="CommentTextChar">
    <w:name w:val="Comment Text Char"/>
    <w:basedOn w:val="DefaultParagraphFont"/>
    <w:link w:val="CommentText"/>
    <w:uiPriority w:val="99"/>
    <w:rsid w:val="00AD1916"/>
    <w:rPr>
      <w:rFonts w:ascii="Times New Roman" w:hAnsi="Times New Roman"/>
      <w:sz w:val="20"/>
      <w:szCs w:val="20"/>
    </w:rPr>
  </w:style>
  <w:style w:type="character" w:styleId="CommentReference">
    <w:name w:val="annotation reference"/>
    <w:basedOn w:val="DefaultParagraphFont"/>
    <w:uiPriority w:val="99"/>
    <w:semiHidden/>
    <w:unhideWhenUsed/>
    <w:rsid w:val="00AD1916"/>
    <w:rPr>
      <w:sz w:val="16"/>
      <w:szCs w:val="16"/>
    </w:rPr>
  </w:style>
  <w:style w:type="paragraph" w:styleId="ListParagraph">
    <w:name w:val="List Paragraph"/>
    <w:basedOn w:val="Normal"/>
    <w:uiPriority w:val="34"/>
    <w:semiHidden/>
    <w:qFormat/>
    <w:rsid w:val="00F651C6"/>
    <w:pPr>
      <w:ind w:left="720"/>
      <w:contextualSpacing/>
    </w:pPr>
  </w:style>
  <w:style w:type="table" w:customStyle="1" w:styleId="Vividtable">
    <w:name w:val="Vivid table"/>
    <w:basedOn w:val="TableNormal"/>
    <w:uiPriority w:val="99"/>
    <w:rsid w:val="00D64970"/>
    <w:pPr>
      <w:spacing w:after="0" w:line="240" w:lineRule="auto"/>
    </w:pPr>
    <w:rPr>
      <w:sz w:val="18"/>
    </w:rPr>
    <w:tblPr>
      <w:tblStyleRowBandSize w:val="1"/>
      <w:tblInd w:w="0" w:type="dxa"/>
      <w:tblCellMar>
        <w:top w:w="0" w:type="dxa"/>
        <w:left w:w="108" w:type="dxa"/>
        <w:bottom w:w="0" w:type="dxa"/>
        <w:right w:w="108" w:type="dxa"/>
      </w:tblCellMar>
    </w:tblPr>
    <w:tcPr>
      <w:vAlign w:val="center"/>
    </w:tcPr>
    <w:tblStylePr w:type="firstRow">
      <w:rPr>
        <w:rFonts w:asciiTheme="minorHAnsi" w:hAnsiTheme="minorHAnsi"/>
        <w:b/>
        <w:sz w:val="18"/>
      </w:rPr>
    </w:tblStylePr>
    <w:tblStylePr w:type="band1Horz">
      <w:tblPr/>
      <w:tcPr>
        <w:shd w:val="clear" w:color="auto" w:fill="DDDDDD"/>
      </w:tcPr>
    </w:tblStylePr>
  </w:style>
  <w:style w:type="paragraph" w:customStyle="1" w:styleId="Chartspacer">
    <w:name w:val="Chart spacer"/>
    <w:basedOn w:val="Normal"/>
    <w:qFormat/>
    <w:rsid w:val="00F10297"/>
    <w:pPr>
      <w:keepNext/>
      <w:spacing w:line="240" w:lineRule="auto"/>
    </w:pPr>
    <w:rPr>
      <w:sz w:val="8"/>
      <w:szCs w:val="8"/>
    </w:rPr>
  </w:style>
  <w:style w:type="paragraph" w:customStyle="1" w:styleId="Note">
    <w:name w:val="Note"/>
    <w:basedOn w:val="Source"/>
    <w:qFormat/>
    <w:rsid w:val="00D27FF8"/>
    <w:pPr>
      <w:keepNext/>
      <w:spacing w:after="0"/>
    </w:pPr>
  </w:style>
  <w:style w:type="character" w:styleId="PageNumber">
    <w:name w:val="page number"/>
    <w:basedOn w:val="DefaultParagraphFont"/>
    <w:uiPriority w:val="99"/>
    <w:rsid w:val="00E851E3"/>
    <w:rPr>
      <w:rFonts w:asciiTheme="minorHAnsi" w:hAnsiTheme="minorHAnsi"/>
      <w:sz w:val="16"/>
    </w:rPr>
  </w:style>
  <w:style w:type="paragraph" w:customStyle="1" w:styleId="Boxtitle">
    <w:name w:val="Box title"/>
    <w:basedOn w:val="Charttitle"/>
    <w:qFormat/>
    <w:rsid w:val="00013E54"/>
    <w:pPr>
      <w:numPr>
        <w:numId w:val="5"/>
      </w:numPr>
      <w:pBdr>
        <w:top w:val="none" w:sz="0" w:space="0" w:color="auto"/>
      </w:pBdr>
      <w:spacing w:before="240" w:after="240"/>
      <w:ind w:hanging="720"/>
    </w:pPr>
    <w:rPr>
      <w:color w:val="000000" w:themeColor="text1"/>
    </w:rPr>
  </w:style>
  <w:style w:type="paragraph" w:customStyle="1" w:styleId="Longquote">
    <w:name w:val="Long quote"/>
    <w:basedOn w:val="Indentedtext425cm"/>
    <w:qFormat/>
    <w:rsid w:val="004136F4"/>
    <w:pPr>
      <w:spacing w:before="360" w:after="360"/>
      <w:ind w:left="1134" w:right="1134"/>
    </w:pPr>
    <w:rPr>
      <w:i/>
    </w:rPr>
  </w:style>
  <w:style w:type="paragraph" w:customStyle="1" w:styleId="Indentedbullet">
    <w:name w:val="Indented bullet"/>
    <w:basedOn w:val="Dashedbullets"/>
    <w:qFormat/>
    <w:rsid w:val="00A75BEB"/>
    <w:pPr>
      <w:ind w:left="568"/>
    </w:pPr>
  </w:style>
  <w:style w:type="paragraph" w:customStyle="1" w:styleId="Appendixheading">
    <w:name w:val="Appendix heading"/>
    <w:basedOn w:val="Subheading"/>
    <w:next w:val="Normal"/>
    <w:qFormat/>
    <w:rsid w:val="003E1196"/>
    <w:pPr>
      <w:spacing w:before="120" w:after="120"/>
    </w:pPr>
  </w:style>
  <w:style w:type="paragraph" w:styleId="CommentSubject">
    <w:name w:val="annotation subject"/>
    <w:basedOn w:val="CommentText"/>
    <w:next w:val="CommentText"/>
    <w:link w:val="CommentSubjectChar"/>
    <w:uiPriority w:val="99"/>
    <w:semiHidden/>
    <w:unhideWhenUsed/>
    <w:rsid w:val="00303487"/>
    <w:rPr>
      <w:b/>
      <w:bCs/>
    </w:rPr>
  </w:style>
  <w:style w:type="character" w:customStyle="1" w:styleId="CommentSubjectChar">
    <w:name w:val="Comment Subject Char"/>
    <w:basedOn w:val="CommentTextChar"/>
    <w:link w:val="CommentSubject"/>
    <w:uiPriority w:val="99"/>
    <w:semiHidden/>
    <w:rsid w:val="00303487"/>
    <w:rPr>
      <w:rFonts w:ascii="Times New Roman" w:hAnsi="Times New Roman"/>
      <w:b/>
      <w:bCs/>
      <w:color w:val="000000" w:themeColor="text1"/>
      <w:sz w:val="20"/>
      <w:szCs w:val="20"/>
    </w:rPr>
  </w:style>
  <w:style w:type="paragraph" w:styleId="Revision">
    <w:name w:val="Revision"/>
    <w:hidden/>
    <w:uiPriority w:val="99"/>
    <w:semiHidden/>
    <w:rsid w:val="00911BF4"/>
    <w:pPr>
      <w:spacing w:after="0" w:line="240" w:lineRule="auto"/>
    </w:pPr>
    <w:rPr>
      <w:rFonts w:ascii="Times New Roman" w:hAnsi="Times New Roman"/>
      <w:color w:val="000000" w:themeColor="text1"/>
    </w:rPr>
  </w:style>
  <w:style w:type="paragraph" w:styleId="NormalWeb">
    <w:name w:val="Normal (Web)"/>
    <w:basedOn w:val="Normal"/>
    <w:uiPriority w:val="99"/>
    <w:unhideWhenUsed/>
    <w:rsid w:val="00911BF4"/>
    <w:pPr>
      <w:spacing w:before="100" w:beforeAutospacing="1" w:after="100" w:afterAutospacing="1" w:line="240" w:lineRule="auto"/>
    </w:pPr>
    <w:rPr>
      <w:rFonts w:eastAsia="Times New Roman" w:cs="Times New Roman"/>
      <w:color w:val="auto"/>
      <w:sz w:val="24"/>
      <w:szCs w:val="24"/>
      <w:lang w:eastAsia="en-GB"/>
    </w:rPr>
  </w:style>
  <w:style w:type="character" w:styleId="FollowedHyperlink">
    <w:name w:val="FollowedHyperlink"/>
    <w:basedOn w:val="DefaultParagraphFont"/>
    <w:uiPriority w:val="99"/>
    <w:semiHidden/>
    <w:unhideWhenUsed/>
    <w:rsid w:val="00911BF4"/>
    <w:rPr>
      <w:color w:val="857B93" w:themeColor="followedHyperlink"/>
      <w:u w:val="single"/>
    </w:rPr>
  </w:style>
  <w:style w:type="paragraph" w:styleId="EndnoteText">
    <w:name w:val="endnote text"/>
    <w:basedOn w:val="Normal"/>
    <w:link w:val="EndnoteTextChar"/>
    <w:uiPriority w:val="99"/>
    <w:semiHidden/>
    <w:unhideWhenUsed/>
    <w:rsid w:val="005329ED"/>
    <w:pPr>
      <w:spacing w:line="240" w:lineRule="auto"/>
    </w:pPr>
    <w:rPr>
      <w:sz w:val="20"/>
      <w:szCs w:val="20"/>
    </w:rPr>
  </w:style>
  <w:style w:type="character" w:customStyle="1" w:styleId="EndnoteTextChar">
    <w:name w:val="Endnote Text Char"/>
    <w:basedOn w:val="DefaultParagraphFont"/>
    <w:link w:val="EndnoteText"/>
    <w:uiPriority w:val="99"/>
    <w:semiHidden/>
    <w:rsid w:val="005329ED"/>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5329ED"/>
    <w:rPr>
      <w:vertAlign w:val="superscript"/>
    </w:rPr>
  </w:style>
  <w:style w:type="paragraph" w:customStyle="1" w:styleId="Default">
    <w:name w:val="Default"/>
    <w:rsid w:val="00B75E40"/>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0241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418D"/>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95">
      <w:bodyDiv w:val="1"/>
      <w:marLeft w:val="0"/>
      <w:marRight w:val="0"/>
      <w:marTop w:val="0"/>
      <w:marBottom w:val="0"/>
      <w:divBdr>
        <w:top w:val="none" w:sz="0" w:space="0" w:color="auto"/>
        <w:left w:val="none" w:sz="0" w:space="0" w:color="auto"/>
        <w:bottom w:val="none" w:sz="0" w:space="0" w:color="auto"/>
        <w:right w:val="none" w:sz="0" w:space="0" w:color="auto"/>
      </w:divBdr>
    </w:div>
    <w:div w:id="679233459">
      <w:bodyDiv w:val="1"/>
      <w:marLeft w:val="0"/>
      <w:marRight w:val="0"/>
      <w:marTop w:val="0"/>
      <w:marBottom w:val="0"/>
      <w:divBdr>
        <w:top w:val="none" w:sz="0" w:space="0" w:color="auto"/>
        <w:left w:val="none" w:sz="0" w:space="0" w:color="auto"/>
        <w:bottom w:val="none" w:sz="0" w:space="0" w:color="auto"/>
        <w:right w:val="none" w:sz="0" w:space="0" w:color="auto"/>
      </w:divBdr>
    </w:div>
    <w:div w:id="838541661">
      <w:bodyDiv w:val="1"/>
      <w:marLeft w:val="0"/>
      <w:marRight w:val="0"/>
      <w:marTop w:val="0"/>
      <w:marBottom w:val="0"/>
      <w:divBdr>
        <w:top w:val="none" w:sz="0" w:space="0" w:color="auto"/>
        <w:left w:val="none" w:sz="0" w:space="0" w:color="auto"/>
        <w:bottom w:val="none" w:sz="0" w:space="0" w:color="auto"/>
        <w:right w:val="none" w:sz="0" w:space="0" w:color="auto"/>
      </w:divBdr>
    </w:div>
    <w:div w:id="849759910">
      <w:bodyDiv w:val="1"/>
      <w:marLeft w:val="0"/>
      <w:marRight w:val="0"/>
      <w:marTop w:val="0"/>
      <w:marBottom w:val="0"/>
      <w:divBdr>
        <w:top w:val="none" w:sz="0" w:space="0" w:color="auto"/>
        <w:left w:val="none" w:sz="0" w:space="0" w:color="auto"/>
        <w:bottom w:val="none" w:sz="0" w:space="0" w:color="auto"/>
        <w:right w:val="none" w:sz="0" w:space="0" w:color="auto"/>
      </w:divBdr>
    </w:div>
    <w:div w:id="1203055241">
      <w:bodyDiv w:val="1"/>
      <w:marLeft w:val="0"/>
      <w:marRight w:val="0"/>
      <w:marTop w:val="0"/>
      <w:marBottom w:val="0"/>
      <w:divBdr>
        <w:top w:val="none" w:sz="0" w:space="0" w:color="auto"/>
        <w:left w:val="none" w:sz="0" w:space="0" w:color="auto"/>
        <w:bottom w:val="none" w:sz="0" w:space="0" w:color="auto"/>
        <w:right w:val="none" w:sz="0" w:space="0" w:color="auto"/>
      </w:divBdr>
    </w:div>
    <w:div w:id="1499887279">
      <w:bodyDiv w:val="1"/>
      <w:marLeft w:val="0"/>
      <w:marRight w:val="0"/>
      <w:marTop w:val="0"/>
      <w:marBottom w:val="0"/>
      <w:divBdr>
        <w:top w:val="none" w:sz="0" w:space="0" w:color="auto"/>
        <w:left w:val="none" w:sz="0" w:space="0" w:color="auto"/>
        <w:bottom w:val="none" w:sz="0" w:space="0" w:color="auto"/>
        <w:right w:val="none" w:sz="0" w:space="0" w:color="auto"/>
      </w:divBdr>
    </w:div>
    <w:div w:id="1745302499">
      <w:bodyDiv w:val="1"/>
      <w:marLeft w:val="0"/>
      <w:marRight w:val="0"/>
      <w:marTop w:val="0"/>
      <w:marBottom w:val="0"/>
      <w:divBdr>
        <w:top w:val="none" w:sz="0" w:space="0" w:color="auto"/>
        <w:left w:val="none" w:sz="0" w:space="0" w:color="auto"/>
        <w:bottom w:val="none" w:sz="0" w:space="0" w:color="auto"/>
        <w:right w:val="none" w:sz="0" w:space="0" w:color="auto"/>
      </w:divBdr>
    </w:div>
    <w:div w:id="2042391284">
      <w:bodyDiv w:val="1"/>
      <w:marLeft w:val="0"/>
      <w:marRight w:val="0"/>
      <w:marTop w:val="0"/>
      <w:marBottom w:val="0"/>
      <w:divBdr>
        <w:top w:val="none" w:sz="0" w:space="0" w:color="auto"/>
        <w:left w:val="none" w:sz="0" w:space="0" w:color="auto"/>
        <w:bottom w:val="none" w:sz="0" w:space="0" w:color="auto"/>
        <w:right w:val="none" w:sz="0" w:space="0" w:color="auto"/>
      </w:divBdr>
      <w:divsChild>
        <w:div w:id="1705444238">
          <w:marLeft w:val="225"/>
          <w:marRight w:val="225"/>
          <w:marTop w:val="225"/>
          <w:marBottom w:val="0"/>
          <w:divBdr>
            <w:top w:val="none" w:sz="0" w:space="0" w:color="auto"/>
            <w:left w:val="none" w:sz="0" w:space="0" w:color="auto"/>
            <w:bottom w:val="none" w:sz="0" w:space="0" w:color="auto"/>
            <w:right w:val="none" w:sz="0" w:space="0" w:color="auto"/>
          </w:divBdr>
          <w:divsChild>
            <w:div w:id="6614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oter" Target="footer4.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64.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4.jpeg"/></Relationships>
</file>

<file path=word/_rels/footer6.xml.rels><?xml version="1.0" encoding="UTF-8" standalone="yes"?>
<Relationships xmlns="http://schemas.openxmlformats.org/package/2006/relationships"><Relationship Id="rId1" Type="http://schemas.openxmlformats.org/officeDocument/2006/relationships/image" Target="media/image6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1\AppData\Local\Temp\Long%20Report%20v2.6.dotm" TargetMode="External"/></Relationships>
</file>

<file path=word/theme/theme1.xml><?xml version="1.0" encoding="utf-8"?>
<a:theme xmlns:a="http://schemas.openxmlformats.org/drawingml/2006/main" name="FM Primary">
  <a:themeElements>
    <a:clrScheme name="Vivid Colours 1">
      <a:dk1>
        <a:srgbClr val="000000"/>
      </a:dk1>
      <a:lt1>
        <a:srgbClr val="FFFFFF"/>
      </a:lt1>
      <a:dk2>
        <a:srgbClr val="FEDE5D"/>
      </a:dk2>
      <a:lt2>
        <a:srgbClr val="808080"/>
      </a:lt2>
      <a:accent1>
        <a:srgbClr val="8FA172"/>
      </a:accent1>
      <a:accent2>
        <a:srgbClr val="8BD3E5"/>
      </a:accent2>
      <a:accent3>
        <a:srgbClr val="FD9A3E"/>
      </a:accent3>
      <a:accent4>
        <a:srgbClr val="857B93"/>
      </a:accent4>
      <a:accent5>
        <a:srgbClr val="FEDE5D"/>
      </a:accent5>
      <a:accent6>
        <a:srgbClr val="FDC07B"/>
      </a:accent6>
      <a:hlink>
        <a:srgbClr val="FD9A3E"/>
      </a:hlink>
      <a:folHlink>
        <a:srgbClr val="857B93"/>
      </a:folHlink>
    </a:clrScheme>
    <a:fontScheme name="FreshMinds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rtlCol="0">
        <a:noAutofit/>
      </a:bodyPr>
      <a:lstStyle>
        <a:defPPr>
          <a:defRPr sz="1000"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Vivar</b:Tag>
    <b:SourceType>Report</b:SourceType>
    <b:Guid>{130AFB3E-CC4B-43E9-9331-4A6B353EF02A}</b:Guid>
    <b:Author>
      <b:Author>
        <b:NameList>
          <b:Person>
            <b:Last>Economics</b:Last>
            <b:First>Vivid</b:First>
          </b:Person>
        </b:NameList>
      </b:Author>
    </b:Author>
    <b:Title>Type report name here in Italics</b:Title>
    <b:Year>[Month] [Year]</b:Year>
    <b:City>report prepared for</b:City>
    <b:Publisher>[Type client name here]</b:Publisher>
    <b:RefOrder>1</b:RefOrder>
  </b:Source>
</b:Sources>
</file>

<file path=customXml/itemProps1.xml><?xml version="1.0" encoding="utf-8"?>
<ds:datastoreItem xmlns:ds="http://schemas.openxmlformats.org/officeDocument/2006/customXml" ds:itemID="{5B98834D-5291-4F56-9C3F-432523E1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 v2.6.dotm</Template>
  <TotalTime>0</TotalTime>
  <Pages>145</Pages>
  <Words>43052</Words>
  <Characters>245397</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Electricity and emissions analysis</vt:lpstr>
    </vt:vector>
  </TitlesOfParts>
  <Company>Vivid Economics</Company>
  <LinksUpToDate>false</LinksUpToDate>
  <CharactersWithSpaces>287874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and emissions analysis</dc:title>
  <dc:creator>Vivid Economics;Thomas Kansy</dc:creator>
  <cp:lastModifiedBy>Thomas Kansy</cp:lastModifiedBy>
  <cp:revision>3</cp:revision>
  <cp:lastPrinted>2013-10-18T19:28:00Z</cp:lastPrinted>
  <dcterms:created xsi:type="dcterms:W3CDTF">2013-10-18T19:28:00Z</dcterms:created>
  <dcterms:modified xsi:type="dcterms:W3CDTF">2013-10-18T19:28:00Z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thomas.kansy@vivideconomics.com@www.mendeley.com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