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F443" w14:textId="77777777" w:rsidR="006B40B2" w:rsidRPr="00C867D3" w:rsidRDefault="00591620" w:rsidP="00BB3F58">
      <w:pPr>
        <w:ind w:left="-142"/>
        <w:rPr>
          <w:rFonts w:ascii="Arial" w:eastAsia="+mj-ea" w:hAnsi="Arial" w:cs="+mj-cs"/>
          <w:b/>
          <w:color w:val="7A7A7A"/>
          <w:kern w:val="24"/>
          <w:sz w:val="48"/>
          <w:szCs w:val="48"/>
        </w:rPr>
      </w:pPr>
      <w:bookmarkStart w:id="0" w:name="_GoBack"/>
      <w:bookmarkEnd w:id="0"/>
      <w:permStart w:id="2041009750" w:edGrp="everyone"/>
      <w:permEnd w:id="2041009750"/>
      <w:r w:rsidRPr="00C867D3">
        <w:rPr>
          <w:rFonts w:ascii="Arial" w:eastAsia="+mj-ea" w:hAnsi="Arial" w:cs="+mj-cs"/>
          <w:b/>
          <w:color w:val="7A7A7A"/>
          <w:kern w:val="24"/>
          <w:sz w:val="48"/>
          <w:szCs w:val="48"/>
        </w:rPr>
        <w:t>This report</w:t>
      </w:r>
    </w:p>
    <w:p w14:paraId="701B5D2B" w14:textId="57F1A018" w:rsidR="00591620" w:rsidRPr="00D878E9" w:rsidRDefault="00591620" w:rsidP="00962C3A">
      <w:pPr>
        <w:pStyle w:val="BodyText"/>
        <w:numPr>
          <w:ilvl w:val="0"/>
          <w:numId w:val="20"/>
        </w:numPr>
        <w:ind w:left="-142"/>
        <w:rPr>
          <w:rFonts w:eastAsia="+mn-ea" w:cstheme="minorHAnsi"/>
          <w:b/>
          <w:color w:val="0C9FCD"/>
          <w:kern w:val="24"/>
        </w:rPr>
      </w:pPr>
      <w:r w:rsidRPr="00FB35C8">
        <w:rPr>
          <w:rFonts w:cstheme="minorHAnsi"/>
        </w:rPr>
        <w:t>The Climate Change Authority is pleased to release its research report</w:t>
      </w:r>
      <w:r w:rsidR="00D878E9" w:rsidRPr="00FB35C8">
        <w:rPr>
          <w:rFonts w:cstheme="minorHAnsi"/>
        </w:rPr>
        <w:t>:</w:t>
      </w:r>
      <w:r w:rsidRPr="00FB35C8">
        <w:rPr>
          <w:rFonts w:cstheme="minorHAnsi"/>
          <w:b/>
        </w:rPr>
        <w:t xml:space="preserve"> </w:t>
      </w:r>
      <w:r w:rsidR="00D878E9" w:rsidRPr="000200A0">
        <w:rPr>
          <w:rFonts w:eastAsia="+mn-ea" w:cstheme="minorHAnsi"/>
          <w:b/>
          <w:i/>
          <w:color w:val="808080" w:themeColor="background1" w:themeShade="80"/>
          <w:kern w:val="24"/>
        </w:rPr>
        <w:t xml:space="preserve">Prospering in a </w:t>
      </w:r>
      <w:r w:rsidR="008217B8">
        <w:rPr>
          <w:rFonts w:eastAsia="+mn-ea" w:cstheme="minorHAnsi"/>
          <w:b/>
          <w:i/>
          <w:color w:val="808080" w:themeColor="background1" w:themeShade="80"/>
          <w:kern w:val="24"/>
        </w:rPr>
        <w:t>l</w:t>
      </w:r>
      <w:r w:rsidR="00D878E9" w:rsidRPr="000200A0">
        <w:rPr>
          <w:rFonts w:eastAsia="+mn-ea" w:cstheme="minorHAnsi"/>
          <w:b/>
          <w:i/>
          <w:color w:val="808080" w:themeColor="background1" w:themeShade="80"/>
          <w:kern w:val="24"/>
        </w:rPr>
        <w:t>ow</w:t>
      </w:r>
      <w:r w:rsidR="00835987">
        <w:rPr>
          <w:rFonts w:eastAsia="+mn-ea" w:cstheme="minorHAnsi"/>
          <w:b/>
          <w:i/>
          <w:color w:val="808080" w:themeColor="background1" w:themeShade="80"/>
          <w:kern w:val="24"/>
        </w:rPr>
        <w:t>-</w:t>
      </w:r>
      <w:r w:rsidR="008217B8">
        <w:rPr>
          <w:rFonts w:eastAsia="+mn-ea" w:cstheme="minorHAnsi"/>
          <w:b/>
          <w:i/>
          <w:color w:val="808080" w:themeColor="background1" w:themeShade="80"/>
          <w:kern w:val="24"/>
        </w:rPr>
        <w:t>emissions w</w:t>
      </w:r>
      <w:r w:rsidR="00D878E9" w:rsidRPr="000200A0">
        <w:rPr>
          <w:rFonts w:eastAsia="+mn-ea" w:cstheme="minorHAnsi"/>
          <w:b/>
          <w:i/>
          <w:color w:val="808080" w:themeColor="background1" w:themeShade="80"/>
          <w:kern w:val="24"/>
        </w:rPr>
        <w:t>orld: An updated climate policy toolkit for Australia.</w:t>
      </w:r>
      <w:r w:rsidR="00D878E9" w:rsidRPr="000200A0">
        <w:rPr>
          <w:rFonts w:eastAsia="+mn-ea" w:cstheme="minorHAnsi"/>
          <w:b/>
          <w:color w:val="0C9FCD"/>
          <w:kern w:val="24"/>
        </w:rPr>
        <w:t xml:space="preserve"> </w:t>
      </w:r>
    </w:p>
    <w:p w14:paraId="64D2289E" w14:textId="3B2B6EE4" w:rsidR="00591620" w:rsidRPr="00591620" w:rsidRDefault="00D41C22" w:rsidP="00BB3F58">
      <w:pPr>
        <w:pStyle w:val="BodyText"/>
        <w:numPr>
          <w:ilvl w:val="0"/>
          <w:numId w:val="20"/>
        </w:numPr>
        <w:ind w:left="-142"/>
        <w:rPr>
          <w:b/>
        </w:rPr>
      </w:pPr>
      <w:r>
        <w:t xml:space="preserve">This </w:t>
      </w:r>
      <w:r w:rsidRPr="00133667">
        <w:t xml:space="preserve">report updates the Authority’s </w:t>
      </w:r>
      <w:r w:rsidRPr="00D41C22">
        <w:rPr>
          <w:i/>
        </w:rPr>
        <w:t>2016 Special Review</w:t>
      </w:r>
      <w:r w:rsidRPr="00133667">
        <w:t xml:space="preserve"> on policies for meeting Australia’s emissions reduction commitments under the historic Paris Agreement.</w:t>
      </w:r>
    </w:p>
    <w:p w14:paraId="6D6D18D3" w14:textId="4B656384" w:rsidR="00724500" w:rsidRPr="003542D2" w:rsidRDefault="00591620" w:rsidP="00BB3F58">
      <w:pPr>
        <w:pStyle w:val="BodyText"/>
        <w:numPr>
          <w:ilvl w:val="0"/>
          <w:numId w:val="20"/>
        </w:numPr>
        <w:ind w:left="-142"/>
        <w:rPr>
          <w:b/>
        </w:rPr>
      </w:pPr>
      <w:r w:rsidRPr="000A7482">
        <w:t xml:space="preserve">The </w:t>
      </w:r>
      <w:r w:rsidR="00B464EE">
        <w:t>climate policy toolkit</w:t>
      </w:r>
      <w:r>
        <w:t xml:space="preserve"> recommended</w:t>
      </w:r>
      <w:r w:rsidRPr="000A7482">
        <w:t xml:space="preserve"> in this report </w:t>
      </w:r>
      <w:r w:rsidRPr="0032163B">
        <w:t xml:space="preserve">builds on </w:t>
      </w:r>
      <w:r w:rsidR="00962C3A">
        <w:t>and further develops Australia’s existing</w:t>
      </w:r>
      <w:r w:rsidRPr="0032163B">
        <w:t xml:space="preserve"> policies to ensure we make our contribution to the global task of reducing emissions in both the short-</w:t>
      </w:r>
      <w:r w:rsidR="00887D49">
        <w:t xml:space="preserve"> </w:t>
      </w:r>
      <w:r w:rsidRPr="0032163B">
        <w:t xml:space="preserve">and long-term, and position Australia to take advantage of the opportunities of </w:t>
      </w:r>
      <w:r w:rsidR="001F7C8C">
        <w:t>a global low-emissions economy.</w:t>
      </w:r>
    </w:p>
    <w:p w14:paraId="0D5E5848" w14:textId="77777777" w:rsidR="00764C3F" w:rsidRPr="00931E22" w:rsidRDefault="00591620" w:rsidP="00BB3F58">
      <w:pPr>
        <w:pStyle w:val="BodyText"/>
        <w:ind w:left="-142"/>
        <w:rPr>
          <w:b/>
          <w:color w:val="808080" w:themeColor="background1" w:themeShade="80"/>
          <w:sz w:val="32"/>
          <w:szCs w:val="32"/>
        </w:rPr>
      </w:pPr>
      <w:r w:rsidRPr="00931E22">
        <w:rPr>
          <w:b/>
          <w:color w:val="808080" w:themeColor="background1" w:themeShade="80"/>
          <w:sz w:val="32"/>
          <w:szCs w:val="32"/>
        </w:rPr>
        <w:t>What’s covered?</w:t>
      </w:r>
    </w:p>
    <w:p w14:paraId="43923D2F" w14:textId="02F05140" w:rsidR="00AE0A28" w:rsidRDefault="00377C17" w:rsidP="00BB3F58">
      <w:pPr>
        <w:pStyle w:val="BodyText"/>
        <w:ind w:left="-142"/>
      </w:pPr>
      <w:r>
        <w:t>In this report, the Authority</w:t>
      </w:r>
      <w:r w:rsidR="0043508D">
        <w:t xml:space="preserve"> </w:t>
      </w:r>
      <w:r>
        <w:t xml:space="preserve">details the </w:t>
      </w:r>
      <w:r w:rsidRPr="00E77FBB">
        <w:rPr>
          <w:rFonts w:eastAsia="+mn-ea" w:cstheme="minorHAnsi"/>
          <w:b/>
          <w:color w:val="0C9FCD"/>
          <w:kern w:val="24"/>
        </w:rPr>
        <w:t>climate change</w:t>
      </w:r>
      <w:r w:rsidR="00887D49">
        <w:rPr>
          <w:rFonts w:eastAsia="+mn-ea" w:cstheme="minorHAnsi"/>
          <w:b/>
          <w:color w:val="0C9FCD"/>
          <w:kern w:val="24"/>
        </w:rPr>
        <w:t xml:space="preserve"> challenge</w:t>
      </w:r>
      <w:r w:rsidRPr="00E77FBB">
        <w:rPr>
          <w:rFonts w:eastAsia="+mn-ea" w:cstheme="minorHAnsi"/>
          <w:b/>
          <w:color w:val="0C9FCD"/>
          <w:kern w:val="24"/>
        </w:rPr>
        <w:t xml:space="preserve"> </w:t>
      </w:r>
      <w:r>
        <w:t>and makes the case</w:t>
      </w:r>
      <w:r w:rsidR="00962C3A">
        <w:t xml:space="preserve"> for strong</w:t>
      </w:r>
      <w:r w:rsidR="00500535">
        <w:t xml:space="preserve"> </w:t>
      </w:r>
      <w:r w:rsidR="00AE0A28">
        <w:t>global</w:t>
      </w:r>
      <w:r w:rsidR="00500535">
        <w:t xml:space="preserve"> action </w:t>
      </w:r>
      <w:r>
        <w:t>if we are to avoid the worst impacts of climate change</w:t>
      </w:r>
      <w:r w:rsidR="005C66F5">
        <w:t>. W</w:t>
      </w:r>
      <w:r w:rsidR="0043508D">
        <w:t xml:space="preserve">e </w:t>
      </w:r>
      <w:r w:rsidR="005C66F5">
        <w:t xml:space="preserve">also </w:t>
      </w:r>
      <w:r w:rsidR="00AE0A28">
        <w:t>r</w:t>
      </w:r>
      <w:r w:rsidR="0043508D">
        <w:t>ecognise</w:t>
      </w:r>
      <w:r>
        <w:t xml:space="preserve"> th</w:t>
      </w:r>
      <w:r w:rsidR="00F53BC2">
        <w:t>at while more needs to be done,</w:t>
      </w:r>
      <w:r>
        <w:t xml:space="preserve"> </w:t>
      </w:r>
      <w:r w:rsidR="00AE0A28" w:rsidRPr="00E77FBB">
        <w:rPr>
          <w:rFonts w:eastAsia="+mn-ea" w:cstheme="minorHAnsi"/>
          <w:b/>
          <w:color w:val="0C9FCD"/>
          <w:kern w:val="24"/>
        </w:rPr>
        <w:t>global action is accelerating</w:t>
      </w:r>
      <w:r w:rsidR="00AE0A28">
        <w:t xml:space="preserve"> and the transition to a low-emissions global economy has commenced</w:t>
      </w:r>
      <w:r w:rsidR="00F53BC2">
        <w:t>.</w:t>
      </w:r>
    </w:p>
    <w:p w14:paraId="057A5C3D" w14:textId="4B031D73" w:rsidR="00887D49" w:rsidRDefault="0043508D" w:rsidP="00BB3F58">
      <w:pPr>
        <w:pStyle w:val="BodyText"/>
        <w:ind w:left="-142"/>
      </w:pPr>
      <w:r>
        <w:t xml:space="preserve">The Authority </w:t>
      </w:r>
      <w:r w:rsidR="00AE0A28">
        <w:t xml:space="preserve">proposes that </w:t>
      </w:r>
      <w:r w:rsidR="00F54329">
        <w:rPr>
          <w:rFonts w:eastAsia="+mn-ea" w:cstheme="minorHAnsi"/>
          <w:b/>
          <w:color w:val="0C9FCD"/>
          <w:kern w:val="24"/>
        </w:rPr>
        <w:t>Australia</w:t>
      </w:r>
      <w:r w:rsidR="00AE0A28" w:rsidRPr="00E77FBB">
        <w:rPr>
          <w:rFonts w:eastAsia="+mn-ea" w:cstheme="minorHAnsi"/>
          <w:b/>
          <w:color w:val="0C9FCD"/>
          <w:kern w:val="24"/>
        </w:rPr>
        <w:t xml:space="preserve"> can prosper in a low</w:t>
      </w:r>
      <w:r w:rsidR="00835987">
        <w:rPr>
          <w:rFonts w:eastAsia="+mn-ea" w:cstheme="minorHAnsi"/>
          <w:b/>
          <w:color w:val="0C9FCD"/>
          <w:kern w:val="24"/>
        </w:rPr>
        <w:t>-</w:t>
      </w:r>
      <w:r w:rsidR="00AE0A28" w:rsidRPr="00E77FBB">
        <w:rPr>
          <w:rFonts w:eastAsia="+mn-ea" w:cstheme="minorHAnsi"/>
          <w:b/>
          <w:color w:val="0C9FCD"/>
          <w:kern w:val="24"/>
        </w:rPr>
        <w:t xml:space="preserve">emissions world if we plan for the future </w:t>
      </w:r>
      <w:r w:rsidR="00AE0A28">
        <w:t xml:space="preserve">and take advantage of the opportunities presented by the </w:t>
      </w:r>
      <w:r w:rsidR="005C66F5">
        <w:t>global transition</w:t>
      </w:r>
      <w:r w:rsidR="00846F92">
        <w:t>, for example by making the most of our abundant clean energy resources</w:t>
      </w:r>
      <w:r>
        <w:t xml:space="preserve">. </w:t>
      </w:r>
    </w:p>
    <w:p w14:paraId="7686BB30" w14:textId="77777777" w:rsidR="00887D49" w:rsidRDefault="00887D49" w:rsidP="00BB3F58">
      <w:pPr>
        <w:pStyle w:val="BodyText"/>
        <w:ind w:left="-142"/>
      </w:pPr>
    </w:p>
    <w:p w14:paraId="29C80957" w14:textId="77777777" w:rsidR="00887D49" w:rsidRDefault="00887D49" w:rsidP="00BB3F58">
      <w:pPr>
        <w:pStyle w:val="BodyText"/>
        <w:ind w:left="-142"/>
      </w:pPr>
    </w:p>
    <w:p w14:paraId="44E56BBF" w14:textId="77777777" w:rsidR="00BB3F58" w:rsidRDefault="00BB3F58" w:rsidP="00BB3F58">
      <w:pPr>
        <w:pStyle w:val="BodyText"/>
        <w:ind w:left="-142"/>
      </w:pPr>
    </w:p>
    <w:p w14:paraId="09986207" w14:textId="77777777" w:rsidR="00D878E9" w:rsidRDefault="00D878E9" w:rsidP="00D878E9">
      <w:pPr>
        <w:pStyle w:val="BodyText"/>
      </w:pPr>
    </w:p>
    <w:p w14:paraId="50B36077" w14:textId="77777777" w:rsidR="00FB35C8" w:rsidRDefault="00FB35C8" w:rsidP="00966E12">
      <w:pPr>
        <w:pStyle w:val="BodyText"/>
        <w:ind w:left="-142"/>
      </w:pPr>
    </w:p>
    <w:p w14:paraId="5FDCEE06" w14:textId="738AC10C" w:rsidR="00500535" w:rsidRDefault="00B20C37" w:rsidP="00966E12">
      <w:pPr>
        <w:pStyle w:val="BodyText"/>
        <w:ind w:left="-142"/>
      </w:pPr>
      <w:r>
        <w:br/>
      </w:r>
      <w:r w:rsidR="0043508D">
        <w:t>To achieve this</w:t>
      </w:r>
      <w:r w:rsidR="00846F92">
        <w:t xml:space="preserve"> we can</w:t>
      </w:r>
      <w:r w:rsidR="0043508D">
        <w:t>:</w:t>
      </w:r>
    </w:p>
    <w:p w14:paraId="371700DC" w14:textId="603024C9" w:rsidR="0043508D" w:rsidRPr="00E82DAE" w:rsidRDefault="00846F92" w:rsidP="00BB3F58">
      <w:pPr>
        <w:pStyle w:val="BodyText"/>
        <w:numPr>
          <w:ilvl w:val="0"/>
          <w:numId w:val="41"/>
        </w:numPr>
        <w:ind w:left="-142"/>
        <w:rPr>
          <w:rFonts w:eastAsia="+mn-ea" w:cstheme="minorHAnsi"/>
          <w:b/>
          <w:color w:val="0C9FCD"/>
          <w:kern w:val="24"/>
        </w:rPr>
      </w:pPr>
      <w:r>
        <w:rPr>
          <w:rFonts w:eastAsia="+mn-ea" w:cstheme="minorHAnsi"/>
          <w:b/>
          <w:color w:val="0C9FCD"/>
          <w:kern w:val="24"/>
        </w:rPr>
        <w:t xml:space="preserve">Develop </w:t>
      </w:r>
      <w:r w:rsidR="0043508D" w:rsidRPr="00E82DAE">
        <w:rPr>
          <w:rFonts w:eastAsia="+mn-ea" w:cstheme="minorHAnsi"/>
          <w:b/>
          <w:color w:val="0C9FCD"/>
          <w:kern w:val="24"/>
        </w:rPr>
        <w:t>new strategies and frameworks to deal with climate change</w:t>
      </w:r>
    </w:p>
    <w:p w14:paraId="15D4CC99" w14:textId="320021B1" w:rsidR="0043508D" w:rsidRPr="00E82DAE" w:rsidRDefault="00846F92" w:rsidP="00BB3F58">
      <w:pPr>
        <w:pStyle w:val="BodyText"/>
        <w:numPr>
          <w:ilvl w:val="0"/>
          <w:numId w:val="41"/>
        </w:numPr>
        <w:ind w:left="-142"/>
        <w:rPr>
          <w:rFonts w:eastAsia="+mn-ea" w:cstheme="minorHAnsi"/>
          <w:b/>
          <w:color w:val="0C9FCD"/>
          <w:kern w:val="24"/>
        </w:rPr>
      </w:pPr>
      <w:r>
        <w:rPr>
          <w:rFonts w:eastAsia="+mn-ea" w:cstheme="minorHAnsi"/>
          <w:b/>
          <w:color w:val="0C9FCD"/>
          <w:kern w:val="24"/>
        </w:rPr>
        <w:t>D</w:t>
      </w:r>
      <w:r w:rsidR="0043508D" w:rsidRPr="00E82DAE">
        <w:rPr>
          <w:rFonts w:eastAsia="+mn-ea" w:cstheme="minorHAnsi"/>
          <w:b/>
          <w:color w:val="0C9FCD"/>
          <w:kern w:val="24"/>
        </w:rPr>
        <w:t>o more to reduce emissions</w:t>
      </w:r>
    </w:p>
    <w:p w14:paraId="5084CE6C" w14:textId="4A1941A4" w:rsidR="00E00A24" w:rsidRPr="00E82DAE" w:rsidRDefault="00846F92" w:rsidP="00BB3F58">
      <w:pPr>
        <w:pStyle w:val="BodyText"/>
        <w:numPr>
          <w:ilvl w:val="0"/>
          <w:numId w:val="41"/>
        </w:numPr>
        <w:ind w:left="-142"/>
        <w:rPr>
          <w:rFonts w:eastAsia="+mn-ea" w:cstheme="minorHAnsi"/>
          <w:b/>
          <w:color w:val="0C9FCD"/>
          <w:kern w:val="24"/>
        </w:rPr>
      </w:pPr>
      <w:r>
        <w:rPr>
          <w:rFonts w:eastAsia="+mn-ea" w:cstheme="minorHAnsi"/>
          <w:b/>
          <w:color w:val="0C9FCD"/>
          <w:kern w:val="24"/>
        </w:rPr>
        <w:t>E</w:t>
      </w:r>
      <w:r w:rsidR="0043508D" w:rsidRPr="00E82DAE">
        <w:rPr>
          <w:rFonts w:eastAsia="+mn-ea" w:cstheme="minorHAnsi"/>
          <w:b/>
          <w:color w:val="0C9FCD"/>
          <w:kern w:val="24"/>
        </w:rPr>
        <w:t>mpower people to act</w:t>
      </w:r>
    </w:p>
    <w:p w14:paraId="2BA01E6B" w14:textId="77777777" w:rsidR="00072366" w:rsidRPr="00931E22" w:rsidRDefault="006B1ED6" w:rsidP="00BB3F58">
      <w:pPr>
        <w:pStyle w:val="BodyText"/>
        <w:ind w:left="-142"/>
        <w:rPr>
          <w:b/>
          <w:color w:val="808080" w:themeColor="background1" w:themeShade="80"/>
          <w:sz w:val="32"/>
          <w:szCs w:val="32"/>
        </w:rPr>
      </w:pPr>
      <w:r w:rsidRPr="00931E22">
        <w:rPr>
          <w:b/>
          <w:color w:val="808080" w:themeColor="background1" w:themeShade="80"/>
          <w:sz w:val="32"/>
          <w:szCs w:val="32"/>
        </w:rPr>
        <w:t>Our approach</w:t>
      </w:r>
      <w:r w:rsidR="00142D48" w:rsidRPr="00931E22">
        <w:rPr>
          <w:b/>
          <w:color w:val="808080" w:themeColor="background1" w:themeShade="80"/>
          <w:sz w:val="32"/>
          <w:szCs w:val="32"/>
        </w:rPr>
        <w:t xml:space="preserve"> </w:t>
      </w:r>
    </w:p>
    <w:p w14:paraId="38BBC377" w14:textId="1B097574" w:rsidR="00072366" w:rsidRDefault="006B1ED6" w:rsidP="00BB3F58">
      <w:pPr>
        <w:pStyle w:val="BodyText"/>
        <w:ind w:left="-142"/>
      </w:pPr>
      <w:r>
        <w:t xml:space="preserve">In updating our advice, the Authority took into account </w:t>
      </w:r>
      <w:r w:rsidRPr="0032163B">
        <w:t xml:space="preserve">significant developments in the climate science and policy landscape since the Authority's </w:t>
      </w:r>
      <w:r w:rsidRPr="00872B01">
        <w:rPr>
          <w:i/>
        </w:rPr>
        <w:t>201</w:t>
      </w:r>
      <w:r w:rsidR="001F7C8C" w:rsidRPr="00872B01">
        <w:rPr>
          <w:i/>
        </w:rPr>
        <w:t xml:space="preserve">6 </w:t>
      </w:r>
      <w:r w:rsidR="00887D49" w:rsidRPr="00872B01">
        <w:rPr>
          <w:i/>
        </w:rPr>
        <w:t>Special Review</w:t>
      </w:r>
      <w:r w:rsidR="001F7C8C">
        <w:t>.</w:t>
      </w:r>
    </w:p>
    <w:p w14:paraId="164688D8" w14:textId="15B96698" w:rsidR="006B1ED6" w:rsidRPr="00417A66" w:rsidRDefault="006B1ED6" w:rsidP="00417A66">
      <w:pPr>
        <w:pStyle w:val="BodyText"/>
        <w:numPr>
          <w:ilvl w:val="0"/>
          <w:numId w:val="20"/>
        </w:numPr>
      </w:pPr>
      <w:r w:rsidRPr="0032163B">
        <w:t xml:space="preserve">Scientific understanding of the current and future impacts of climate change has improved, as has </w:t>
      </w:r>
      <w:r w:rsidR="00835987">
        <w:t xml:space="preserve">our </w:t>
      </w:r>
      <w:r w:rsidRPr="0032163B">
        <w:t>understanding of the glo</w:t>
      </w:r>
      <w:r w:rsidR="00962C3A">
        <w:t>bal task to limit global warming</w:t>
      </w:r>
      <w:r w:rsidRPr="0032163B">
        <w:t xml:space="preserve"> in line with the 2°C temperature goal</w:t>
      </w:r>
      <w:r w:rsidR="00887D49">
        <w:t xml:space="preserve">. Current </w:t>
      </w:r>
      <w:r w:rsidR="00962C3A">
        <w:t xml:space="preserve">global </w:t>
      </w:r>
      <w:r w:rsidR="00887D49">
        <w:t xml:space="preserve">commitments are not sufficient to limit emissions to </w:t>
      </w:r>
      <w:r w:rsidR="00887D49" w:rsidRPr="0032163B">
        <w:t>2°C</w:t>
      </w:r>
      <w:r w:rsidR="00887D49">
        <w:t xml:space="preserve"> and</w:t>
      </w:r>
      <w:r w:rsidR="00B464EE">
        <w:t xml:space="preserve"> </w:t>
      </w:r>
      <w:r w:rsidR="00E00A24">
        <w:t>the</w:t>
      </w:r>
      <w:r w:rsidR="00E00A24" w:rsidRPr="0032163B">
        <w:t xml:space="preserve"> current level of countries' ambition needs to roughly triple.</w:t>
      </w:r>
    </w:p>
    <w:p w14:paraId="2AFC8D6D" w14:textId="7D09E555" w:rsidR="006B1ED6" w:rsidRPr="006B1ED6" w:rsidRDefault="006B1ED6" w:rsidP="00417A66">
      <w:pPr>
        <w:pStyle w:val="BodyText"/>
        <w:numPr>
          <w:ilvl w:val="0"/>
          <w:numId w:val="20"/>
        </w:numPr>
        <w:rPr>
          <w:b/>
        </w:rPr>
      </w:pPr>
      <w:r w:rsidRPr="0032163B">
        <w:t>The costs of low-</w:t>
      </w:r>
      <w:r w:rsidR="00887D49">
        <w:t>emissions</w:t>
      </w:r>
      <w:r w:rsidRPr="0032163B">
        <w:t xml:space="preserve"> technologies, including solar PV, wind, lithium-ion batteries and electric vehicles, have fallen and technological pr</w:t>
      </w:r>
      <w:r w:rsidR="001F7C8C">
        <w:t>ogress continues to accelerate.</w:t>
      </w:r>
    </w:p>
    <w:p w14:paraId="35CA68F6" w14:textId="77777777" w:rsidR="006B1ED6" w:rsidRDefault="006B1ED6" w:rsidP="00417A66">
      <w:pPr>
        <w:pStyle w:val="BodyText"/>
        <w:numPr>
          <w:ilvl w:val="0"/>
          <w:numId w:val="20"/>
        </w:numPr>
        <w:rPr>
          <w:b/>
        </w:rPr>
      </w:pPr>
      <w:r w:rsidRPr="0032163B">
        <w:t>A number of major economies are enhancing their ambition and implementing policies to lift prog</w:t>
      </w:r>
      <w:r w:rsidR="001F7C8C">
        <w:t>ress towards reducing emissions.</w:t>
      </w:r>
    </w:p>
    <w:p w14:paraId="0C88A494" w14:textId="77777777" w:rsidR="00FB35C8" w:rsidRDefault="006B1ED6" w:rsidP="00962C3A">
      <w:pPr>
        <w:pStyle w:val="BodyText"/>
        <w:ind w:left="-142"/>
      </w:pPr>
      <w:r w:rsidRPr="00057B1A">
        <w:t xml:space="preserve">This report draws on previous internal research, further desktop research, analysis and consultation with interested parties from industry, government and the non-profit sector. </w:t>
      </w:r>
    </w:p>
    <w:p w14:paraId="3B020125" w14:textId="77777777" w:rsidR="00FB35C8" w:rsidRDefault="00FB35C8">
      <w:r>
        <w:br w:type="page"/>
      </w:r>
    </w:p>
    <w:p w14:paraId="355CB930" w14:textId="380BE2A1" w:rsidR="006B1ED6" w:rsidRPr="00962C3A" w:rsidRDefault="00C867D3" w:rsidP="00962C3A">
      <w:pPr>
        <w:pStyle w:val="BodyText"/>
        <w:ind w:left="-142"/>
      </w:pPr>
      <w:r w:rsidRPr="00C867D3">
        <w:rPr>
          <w:rFonts w:ascii="Arial" w:eastAsia="+mj-ea" w:hAnsi="Arial" w:cs="+mj-cs"/>
          <w:b/>
          <w:color w:val="7A7A7A"/>
          <w:kern w:val="24"/>
          <w:sz w:val="48"/>
          <w:szCs w:val="48"/>
        </w:rPr>
        <w:lastRenderedPageBreak/>
        <w:t>Key findings and recommendations</w:t>
      </w:r>
    </w:p>
    <w:p w14:paraId="41393C15" w14:textId="44B19929" w:rsidR="0082112E" w:rsidRPr="00931E22" w:rsidRDefault="00E00A24" w:rsidP="00BB3F58">
      <w:pPr>
        <w:pStyle w:val="BodyText"/>
        <w:ind w:left="-142"/>
        <w:rPr>
          <w:b/>
          <w:color w:val="808080" w:themeColor="background1" w:themeShade="80"/>
          <w:sz w:val="32"/>
          <w:szCs w:val="32"/>
        </w:rPr>
      </w:pPr>
      <w:r w:rsidRPr="00931E22">
        <w:rPr>
          <w:b/>
          <w:color w:val="808080" w:themeColor="background1" w:themeShade="80"/>
          <w:sz w:val="32"/>
          <w:szCs w:val="32"/>
        </w:rPr>
        <w:t>The</w:t>
      </w:r>
      <w:r w:rsidR="00C867D3" w:rsidRPr="00931E22">
        <w:rPr>
          <w:b/>
          <w:color w:val="808080" w:themeColor="background1" w:themeShade="80"/>
          <w:sz w:val="32"/>
          <w:szCs w:val="32"/>
        </w:rPr>
        <w:t xml:space="preserve"> challenges of climate change</w:t>
      </w:r>
    </w:p>
    <w:p w14:paraId="1FBC6B89" w14:textId="7FAFE922" w:rsidR="00C867D3" w:rsidRDefault="00C867D3" w:rsidP="00BB3F58">
      <w:pPr>
        <w:tabs>
          <w:tab w:val="num" w:pos="720"/>
        </w:tabs>
        <w:spacing w:after="60"/>
        <w:ind w:left="-142"/>
      </w:pPr>
      <w:r w:rsidRPr="00B83A9A">
        <w:t>Globally, temperatures are 1.1</w:t>
      </w:r>
      <w:r w:rsidRPr="00B83A9A">
        <w:sym w:font="Symbol" w:char="F0B0"/>
      </w:r>
      <w:r w:rsidRPr="00B83A9A">
        <w:t>C above pre</w:t>
      </w:r>
      <w:r w:rsidR="00887D49">
        <w:noBreakHyphen/>
      </w:r>
      <w:r w:rsidRPr="00B83A9A">
        <w:t>industrial levels and 2015</w:t>
      </w:r>
      <w:r>
        <w:t>–</w:t>
      </w:r>
      <w:r w:rsidRPr="00B83A9A">
        <w:t xml:space="preserve">2019 </w:t>
      </w:r>
      <w:r>
        <w:t>wa</w:t>
      </w:r>
      <w:r w:rsidRPr="00B83A9A">
        <w:t>s the warmest 5-year period observed</w:t>
      </w:r>
      <w:r>
        <w:t xml:space="preserve">. </w:t>
      </w:r>
    </w:p>
    <w:p w14:paraId="5E6393D7" w14:textId="64890BC9" w:rsidR="00C867D3" w:rsidRDefault="001B36D6" w:rsidP="00BB3F58">
      <w:pPr>
        <w:tabs>
          <w:tab w:val="num" w:pos="720"/>
        </w:tabs>
        <w:spacing w:after="60"/>
        <w:ind w:left="-142"/>
      </w:pPr>
      <w:r>
        <w:t>The rise</w:t>
      </w:r>
      <w:r w:rsidR="00C867D3" w:rsidRPr="00931A69">
        <w:t xml:space="preserve"> in global temperature has already increased the frequency </w:t>
      </w:r>
      <w:r w:rsidR="00C867D3">
        <w:t>and</w:t>
      </w:r>
      <w:r w:rsidR="00C867D3" w:rsidRPr="00931A69">
        <w:t xml:space="preserve"> severity of heatwaves, droughts, floods and some other extreme weather events, altered ecosystems and exacerbated biodiversity losses across the world</w:t>
      </w:r>
      <w:r w:rsidR="00BB3F58">
        <w:t>.</w:t>
      </w:r>
    </w:p>
    <w:p w14:paraId="3D3A18A4" w14:textId="516FBF76" w:rsidR="00C867D3" w:rsidRPr="00D262A2" w:rsidRDefault="00C867D3" w:rsidP="00BB3F58">
      <w:pPr>
        <w:pStyle w:val="BodyText"/>
        <w:ind w:left="-142"/>
        <w:rPr>
          <w:rFonts w:eastAsia="+mn-ea" w:cstheme="minorHAnsi"/>
          <w:b/>
          <w:color w:val="0C9FCD"/>
          <w:kern w:val="24"/>
        </w:rPr>
      </w:pPr>
      <w:r w:rsidRPr="00B83A9A">
        <w:rPr>
          <w:rFonts w:eastAsia="+mn-ea" w:cstheme="minorHAnsi"/>
          <w:b/>
          <w:color w:val="0C9FCD"/>
          <w:kern w:val="24"/>
        </w:rPr>
        <w:t>Frequency of extreme heat events in Australia 1910 - 2020</w:t>
      </w:r>
    </w:p>
    <w:p w14:paraId="2A9BB419" w14:textId="4FE2CC64" w:rsidR="00C867D3" w:rsidRDefault="00C867D3" w:rsidP="00BB3F58">
      <w:pPr>
        <w:pStyle w:val="BodyText"/>
        <w:ind w:left="-142"/>
        <w:rPr>
          <w:b/>
          <w:color w:val="808080" w:themeColor="background1" w:themeShade="80"/>
          <w:sz w:val="28"/>
          <w:szCs w:val="28"/>
        </w:rPr>
      </w:pPr>
      <w:r>
        <w:rPr>
          <w:noProof/>
        </w:rPr>
        <w:drawing>
          <wp:inline distT="0" distB="0" distL="0" distR="0" wp14:anchorId="4AC8075F" wp14:editId="4FEA8D29">
            <wp:extent cx="2700020" cy="2000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20" cy="2000250"/>
                    </a:xfrm>
                    <a:prstGeom prst="rect">
                      <a:avLst/>
                    </a:prstGeom>
                    <a:noFill/>
                  </pic:spPr>
                </pic:pic>
              </a:graphicData>
            </a:graphic>
          </wp:inline>
        </w:drawing>
      </w:r>
    </w:p>
    <w:p w14:paraId="61768472" w14:textId="3B8F1C74" w:rsidR="003E5C93" w:rsidRPr="00E82DAE" w:rsidRDefault="00F54329" w:rsidP="00BB3F58">
      <w:pPr>
        <w:tabs>
          <w:tab w:val="num" w:pos="720"/>
        </w:tabs>
        <w:spacing w:after="60"/>
        <w:ind w:left="-142"/>
        <w:rPr>
          <w:color w:val="D9D9D9" w:themeColor="background1" w:themeShade="D9"/>
          <w:sz w:val="20"/>
          <w:szCs w:val="20"/>
        </w:rPr>
      </w:pPr>
      <w:r w:rsidRPr="00405540">
        <w:rPr>
          <w:color w:val="D9D9D9" w:themeColor="background1" w:themeShade="D9"/>
          <w:sz w:val="20"/>
          <w:szCs w:val="20"/>
        </w:rPr>
        <w:t>Source: BOM</w:t>
      </w:r>
    </w:p>
    <w:p w14:paraId="6BFA9E31" w14:textId="1D84E3FD" w:rsidR="00C867D3" w:rsidRPr="00931E22" w:rsidRDefault="00D262A2" w:rsidP="00BB3F58">
      <w:pPr>
        <w:pStyle w:val="BodyText"/>
        <w:ind w:left="-142"/>
        <w:rPr>
          <w:b/>
          <w:color w:val="808080" w:themeColor="background1" w:themeShade="80"/>
          <w:sz w:val="32"/>
          <w:szCs w:val="32"/>
        </w:rPr>
      </w:pPr>
      <w:r w:rsidRPr="00931E22">
        <w:rPr>
          <w:b/>
          <w:color w:val="808080" w:themeColor="background1" w:themeShade="80"/>
          <w:sz w:val="32"/>
          <w:szCs w:val="32"/>
        </w:rPr>
        <w:t>Accelerating global action</w:t>
      </w:r>
    </w:p>
    <w:p w14:paraId="16595070" w14:textId="0BEC50BF" w:rsidR="00D262A2" w:rsidRDefault="00D262A2" w:rsidP="00BB3F58">
      <w:pPr>
        <w:pStyle w:val="BodyText"/>
        <w:ind w:left="-142"/>
      </w:pPr>
      <w:r>
        <w:t xml:space="preserve">While </w:t>
      </w:r>
      <w:r w:rsidRPr="005031F1">
        <w:t>countries'</w:t>
      </w:r>
      <w:r w:rsidR="00340595">
        <w:t xml:space="preserve"> current</w:t>
      </w:r>
      <w:r w:rsidRPr="005031F1">
        <w:t xml:space="preserve"> pledged responses do not meet the le</w:t>
      </w:r>
      <w:r w:rsidR="001B36D6">
        <w:t>vel of ambition required to achieve</w:t>
      </w:r>
      <w:r w:rsidRPr="005031F1">
        <w:t xml:space="preserve"> the goals of the Paris Agreemen</w:t>
      </w:r>
      <w:r>
        <w:t xml:space="preserve">t, </w:t>
      </w:r>
      <w:r w:rsidRPr="005031F1">
        <w:t xml:space="preserve">the global transition is underway. </w:t>
      </w:r>
    </w:p>
    <w:p w14:paraId="02FEE650" w14:textId="13D64C57" w:rsidR="00D262A2" w:rsidRDefault="00D262A2" w:rsidP="00BB3F58">
      <w:pPr>
        <w:pStyle w:val="BodyText"/>
        <w:numPr>
          <w:ilvl w:val="0"/>
          <w:numId w:val="39"/>
        </w:numPr>
        <w:ind w:left="284"/>
      </w:pPr>
      <w:r w:rsidRPr="005031F1">
        <w:t xml:space="preserve">In keeping with the Paris Agreement, </w:t>
      </w:r>
      <w:r w:rsidR="00962C3A">
        <w:t xml:space="preserve">many </w:t>
      </w:r>
      <w:r w:rsidRPr="005031F1">
        <w:t>countries are increasi</w:t>
      </w:r>
      <w:r w:rsidR="00BD480B">
        <w:t xml:space="preserve">ng their ambition, adopting net </w:t>
      </w:r>
      <w:r w:rsidRPr="005031F1">
        <w:t>zero emis</w:t>
      </w:r>
      <w:r w:rsidR="005C66F5">
        <w:t>sion targets and deploying long-</w:t>
      </w:r>
      <w:r w:rsidRPr="005031F1">
        <w:t xml:space="preserve">term climate change strategies. </w:t>
      </w:r>
    </w:p>
    <w:p w14:paraId="76F836A3" w14:textId="7BD7BDAE" w:rsidR="00D262A2" w:rsidRDefault="00D262A2" w:rsidP="00BB3F58">
      <w:pPr>
        <w:pStyle w:val="BodyText"/>
        <w:numPr>
          <w:ilvl w:val="0"/>
          <w:numId w:val="39"/>
        </w:numPr>
        <w:ind w:left="284"/>
      </w:pPr>
      <w:r>
        <w:t>Regional and local</w:t>
      </w:r>
      <w:r w:rsidRPr="005031F1">
        <w:t xml:space="preserve"> governments are also taking action, </w:t>
      </w:r>
      <w:r>
        <w:t>in response to falling</w:t>
      </w:r>
      <w:r w:rsidRPr="005031F1">
        <w:t xml:space="preserve"> technology costs and </w:t>
      </w:r>
      <w:r>
        <w:t xml:space="preserve">changing </w:t>
      </w:r>
      <w:r w:rsidRPr="005031F1">
        <w:t xml:space="preserve">community demands. </w:t>
      </w:r>
    </w:p>
    <w:p w14:paraId="191D88F6" w14:textId="77777777" w:rsidR="00D262A2" w:rsidRDefault="00D262A2" w:rsidP="00BB3F58">
      <w:pPr>
        <w:pStyle w:val="BodyText"/>
        <w:numPr>
          <w:ilvl w:val="0"/>
          <w:numId w:val="39"/>
        </w:numPr>
        <w:ind w:left="284"/>
      </w:pPr>
      <w:r w:rsidRPr="005031F1">
        <w:t xml:space="preserve">Businesses have started to consider, disclose and manage climate risks, motivated by a desire to meet the expectations of customers, investors, regulators and, increasingly, the courts. </w:t>
      </w:r>
    </w:p>
    <w:p w14:paraId="6588AD11" w14:textId="140A140C" w:rsidR="008F274D" w:rsidRDefault="00D262A2" w:rsidP="00BB3F58">
      <w:pPr>
        <w:tabs>
          <w:tab w:val="num" w:pos="720"/>
        </w:tabs>
        <w:spacing w:after="60"/>
        <w:ind w:left="-142"/>
      </w:pPr>
      <w:r w:rsidRPr="005031F1">
        <w:t>This means Australia will need to respond to changing global circumstances, or risk getting left behind.</w:t>
      </w:r>
      <w:r w:rsidR="001B36D6">
        <w:t xml:space="preserve"> </w:t>
      </w:r>
    </w:p>
    <w:p w14:paraId="6320877B" w14:textId="71FA6E45" w:rsidR="00F53BC2" w:rsidRPr="00931E22" w:rsidRDefault="00F53BC2" w:rsidP="00BB3F58">
      <w:pPr>
        <w:pStyle w:val="BodyText"/>
        <w:ind w:left="-142"/>
        <w:rPr>
          <w:b/>
          <w:color w:val="808080" w:themeColor="background1" w:themeShade="80"/>
          <w:sz w:val="32"/>
          <w:szCs w:val="32"/>
        </w:rPr>
      </w:pPr>
      <w:r w:rsidRPr="00931E22">
        <w:rPr>
          <w:b/>
          <w:color w:val="808080" w:themeColor="background1" w:themeShade="80"/>
          <w:sz w:val="32"/>
          <w:szCs w:val="32"/>
        </w:rPr>
        <w:t>New strategies and frameworks</w:t>
      </w:r>
    </w:p>
    <w:p w14:paraId="6C5669A1" w14:textId="129AD0BC" w:rsidR="00A873C1" w:rsidRPr="00A873C1" w:rsidRDefault="004D0D04" w:rsidP="00BB3F58">
      <w:pPr>
        <w:pStyle w:val="BodyText"/>
        <w:ind w:left="-142"/>
      </w:pPr>
      <w:r w:rsidRPr="0070416D">
        <w:t>As a resource-rich trading nation whose prosperity depends on continued access t</w:t>
      </w:r>
      <w:r w:rsidR="00086DA2">
        <w:t>o overseas markets, strong global action to reduce emissions</w:t>
      </w:r>
      <w:r w:rsidRPr="0070416D">
        <w:t xml:space="preserve"> present</w:t>
      </w:r>
      <w:r w:rsidR="00086DA2">
        <w:t>s</w:t>
      </w:r>
      <w:r w:rsidRPr="0070416D">
        <w:t xml:space="preserve"> opportunities to grow our economy, increase jobs and reduce our living expenses.</w:t>
      </w:r>
    </w:p>
    <w:p w14:paraId="2B73F80D" w14:textId="6D27104F" w:rsidR="003D6E91" w:rsidRDefault="00962C3A" w:rsidP="00BB3F58">
      <w:pPr>
        <w:pStyle w:val="BodyText"/>
        <w:ind w:left="-142"/>
      </w:pPr>
      <w:r>
        <w:t xml:space="preserve">The Authority </w:t>
      </w:r>
      <w:r w:rsidR="00FB35C8">
        <w:t xml:space="preserve">has </w:t>
      </w:r>
      <w:r w:rsidRPr="00FF1352">
        <w:t>consider</w:t>
      </w:r>
      <w:r w:rsidR="00FB35C8">
        <w:t>ed</w:t>
      </w:r>
      <w:r w:rsidRPr="00FF1352">
        <w:t xml:space="preserve"> how the Government’s </w:t>
      </w:r>
      <w:r>
        <w:t xml:space="preserve">forthcoming </w:t>
      </w:r>
      <w:r w:rsidRPr="00962C3A">
        <w:rPr>
          <w:rFonts w:eastAsia="+mn-ea" w:cstheme="minorHAnsi"/>
          <w:b/>
          <w:color w:val="0C9FCD"/>
          <w:kern w:val="24"/>
        </w:rPr>
        <w:t>long-term climate strategy</w:t>
      </w:r>
      <w:r w:rsidR="004771FE">
        <w:t xml:space="preserve"> </w:t>
      </w:r>
      <w:r w:rsidR="005126CB">
        <w:t xml:space="preserve">and technology investment roadmap </w:t>
      </w:r>
      <w:r w:rsidR="004771FE">
        <w:t>can</w:t>
      </w:r>
      <w:r w:rsidRPr="00FF1352">
        <w:t xml:space="preserve"> most effectively support </w:t>
      </w:r>
      <w:r>
        <w:t>Australia’s transition to a low-</w:t>
      </w:r>
      <w:r w:rsidRPr="00FF1352">
        <w:t xml:space="preserve">emissions economy and our contribution to the aims of the Paris Agreement. </w:t>
      </w:r>
      <w:r>
        <w:t>The long-term climate strategy</w:t>
      </w:r>
      <w:r w:rsidR="00F53BC2">
        <w:t xml:space="preserve"> should incorporate or be complemented with:</w:t>
      </w:r>
    </w:p>
    <w:p w14:paraId="1AFFD667" w14:textId="44FF52D7" w:rsidR="004D0D04" w:rsidRDefault="00A873C1" w:rsidP="00BB3F58">
      <w:pPr>
        <w:pStyle w:val="BodyText"/>
        <w:numPr>
          <w:ilvl w:val="0"/>
          <w:numId w:val="36"/>
        </w:numPr>
        <w:ind w:left="284"/>
      </w:pPr>
      <w:r w:rsidRPr="00A873C1">
        <w:rPr>
          <w:rFonts w:eastAsia="+mn-ea" w:cstheme="minorHAnsi"/>
          <w:b/>
          <w:color w:val="0C9FCD"/>
          <w:kern w:val="24"/>
        </w:rPr>
        <w:t>a trade and investment strategy</w:t>
      </w:r>
      <w:r>
        <w:t xml:space="preserve"> that identifies Australia’s competitive advantages in a low-em</w:t>
      </w:r>
      <w:r w:rsidR="003D6E91">
        <w:t>issions world</w:t>
      </w:r>
    </w:p>
    <w:p w14:paraId="63D0F26D" w14:textId="0EFFDB80" w:rsidR="003D6E91" w:rsidRPr="00C9421D" w:rsidRDefault="003D6E91" w:rsidP="00BB3F58">
      <w:pPr>
        <w:pStyle w:val="BodyText"/>
        <w:numPr>
          <w:ilvl w:val="0"/>
          <w:numId w:val="36"/>
        </w:numPr>
        <w:ind w:left="284"/>
        <w:rPr>
          <w:color w:val="000000" w:themeColor="text1"/>
        </w:rPr>
      </w:pPr>
      <w:r>
        <w:t xml:space="preserve">an international climate change strategy to </w:t>
      </w:r>
      <w:r w:rsidRPr="004D0D04">
        <w:rPr>
          <w:rFonts w:eastAsia="+mn-ea" w:cstheme="minorHAnsi"/>
          <w:b/>
          <w:color w:val="0C9FCD"/>
          <w:kern w:val="24"/>
        </w:rPr>
        <w:t xml:space="preserve">support a strong global </w:t>
      </w:r>
      <w:r w:rsidRPr="00EC2A2C">
        <w:rPr>
          <w:rFonts w:eastAsia="+mn-ea" w:cstheme="minorHAnsi"/>
          <w:b/>
          <w:color w:val="00B0F0"/>
          <w:kern w:val="24"/>
        </w:rPr>
        <w:t>response</w:t>
      </w:r>
      <w:r w:rsidRPr="004D0D04">
        <w:rPr>
          <w:rFonts w:eastAsia="+mn-ea" w:cstheme="minorHAnsi"/>
          <w:b/>
          <w:color w:val="0C9FCD"/>
          <w:kern w:val="24"/>
        </w:rPr>
        <w:t xml:space="preserve"> to climate change</w:t>
      </w:r>
      <w:r w:rsidRPr="00C7300B">
        <w:t xml:space="preserve"> </w:t>
      </w:r>
      <w:r>
        <w:t xml:space="preserve">and </w:t>
      </w:r>
      <w:r w:rsidRPr="00C7300B">
        <w:t xml:space="preserve">grow international demand for Australia's emerging low-emissions export </w:t>
      </w:r>
      <w:r w:rsidRPr="00C9421D">
        <w:rPr>
          <w:color w:val="000000" w:themeColor="text1"/>
        </w:rPr>
        <w:t>industries</w:t>
      </w:r>
    </w:p>
    <w:p w14:paraId="430CE9A4" w14:textId="089479AC" w:rsidR="00F53BC2" w:rsidRPr="00C9421D" w:rsidRDefault="005C66F5" w:rsidP="00BB3F58">
      <w:pPr>
        <w:pStyle w:val="BodyText"/>
        <w:numPr>
          <w:ilvl w:val="0"/>
          <w:numId w:val="36"/>
        </w:numPr>
        <w:ind w:left="284"/>
        <w:rPr>
          <w:rFonts w:eastAsia="+mn-ea" w:cstheme="minorHAnsi"/>
          <w:b/>
          <w:color w:val="000000" w:themeColor="text1"/>
          <w:kern w:val="24"/>
        </w:rPr>
      </w:pPr>
      <w:r w:rsidRPr="00C9421D">
        <w:rPr>
          <w:color w:val="000000" w:themeColor="text1"/>
        </w:rPr>
        <w:t>e</w:t>
      </w:r>
      <w:r w:rsidR="00F53BC2" w:rsidRPr="00C9421D">
        <w:rPr>
          <w:color w:val="000000" w:themeColor="text1"/>
        </w:rPr>
        <w:t>fforts to</w:t>
      </w:r>
      <w:r w:rsidR="00F53BC2" w:rsidRPr="00C9421D">
        <w:rPr>
          <w:rFonts w:eastAsia="+mn-ea" w:cstheme="minorHAnsi"/>
          <w:b/>
          <w:color w:val="000000" w:themeColor="text1"/>
          <w:kern w:val="24"/>
        </w:rPr>
        <w:t xml:space="preserve"> </w:t>
      </w:r>
      <w:r w:rsidR="00F53BC2" w:rsidRPr="00BB3F58">
        <w:rPr>
          <w:rFonts w:eastAsia="+mn-ea" w:cstheme="minorHAnsi"/>
          <w:b/>
          <w:color w:val="0C9FCD"/>
          <w:kern w:val="24"/>
        </w:rPr>
        <w:t>support the development of Australia’s green finance market</w:t>
      </w:r>
      <w:r w:rsidR="00F53BC2" w:rsidRPr="00835987">
        <w:rPr>
          <w:rFonts w:eastAsia="+mn-ea" w:cstheme="minorHAnsi"/>
          <w:b/>
          <w:kern w:val="24"/>
        </w:rPr>
        <w:t>;</w:t>
      </w:r>
      <w:r w:rsidR="00F53BC2" w:rsidRPr="00C9421D">
        <w:rPr>
          <w:rFonts w:eastAsia="+mn-ea" w:cstheme="minorHAnsi"/>
          <w:b/>
          <w:color w:val="000000" w:themeColor="text1"/>
          <w:kern w:val="24"/>
        </w:rPr>
        <w:t xml:space="preserve"> </w:t>
      </w:r>
      <w:r w:rsidR="00F53BC2" w:rsidRPr="00C9421D">
        <w:rPr>
          <w:color w:val="000000" w:themeColor="text1"/>
        </w:rPr>
        <w:t>and ensure Australian low-carbon industries, products and services are able to benefit from increased international green investment flows</w:t>
      </w:r>
    </w:p>
    <w:p w14:paraId="59743CD7" w14:textId="1A00C090" w:rsidR="00E82DAE" w:rsidRPr="00962C3A" w:rsidRDefault="00F53BC2" w:rsidP="00962C3A">
      <w:pPr>
        <w:pStyle w:val="CCAListBullet1"/>
        <w:numPr>
          <w:ilvl w:val="0"/>
          <w:numId w:val="36"/>
        </w:numPr>
        <w:ind w:left="284"/>
      </w:pPr>
      <w:r w:rsidRPr="00F53BC2">
        <w:rPr>
          <w:rFonts w:asciiTheme="minorHAnsi" w:eastAsia="Calibri" w:hAnsiTheme="minorHAnsi" w:cstheme="minorBidi"/>
          <w:bCs w:val="0"/>
          <w:color w:val="auto"/>
          <w:sz w:val="22"/>
          <w:szCs w:val="22"/>
          <w:lang w:eastAsia="en-AU"/>
        </w:rPr>
        <w:t>strategies and pathways for</w:t>
      </w:r>
      <w:r>
        <w:t xml:space="preserve"> </w:t>
      </w:r>
      <w:r w:rsidRPr="00F53BC2">
        <w:rPr>
          <w:rFonts w:asciiTheme="minorHAnsi" w:eastAsia="+mn-ea" w:hAnsiTheme="minorHAnsi" w:cstheme="minorHAnsi"/>
          <w:b/>
          <w:bCs w:val="0"/>
          <w:color w:val="0C9FCD"/>
          <w:kern w:val="24"/>
          <w:sz w:val="22"/>
          <w:szCs w:val="22"/>
          <w:lang w:eastAsia="en-AU"/>
        </w:rPr>
        <w:t xml:space="preserve">supporting regions and communities position for new </w:t>
      </w:r>
      <w:r w:rsidR="00FB35C8">
        <w:rPr>
          <w:rFonts w:asciiTheme="minorHAnsi" w:eastAsia="+mn-ea" w:hAnsiTheme="minorHAnsi" w:cstheme="minorHAnsi"/>
          <w:b/>
          <w:bCs w:val="0"/>
          <w:color w:val="0C9FCD"/>
          <w:kern w:val="24"/>
          <w:sz w:val="22"/>
          <w:szCs w:val="22"/>
          <w:lang w:eastAsia="en-AU"/>
        </w:rPr>
        <w:t xml:space="preserve">technologies </w:t>
      </w:r>
      <w:r w:rsidRPr="00E82DAE">
        <w:rPr>
          <w:rFonts w:asciiTheme="minorHAnsi" w:eastAsia="Calibri" w:hAnsiTheme="minorHAnsi" w:cstheme="minorBidi"/>
          <w:bCs w:val="0"/>
          <w:color w:val="auto"/>
          <w:sz w:val="22"/>
          <w:szCs w:val="22"/>
          <w:lang w:eastAsia="en-AU"/>
        </w:rPr>
        <w:t xml:space="preserve">and </w:t>
      </w:r>
      <w:r w:rsidRPr="00F53BC2">
        <w:rPr>
          <w:rFonts w:asciiTheme="minorHAnsi" w:eastAsia="+mn-ea" w:hAnsiTheme="minorHAnsi" w:cstheme="minorHAnsi"/>
          <w:b/>
          <w:bCs w:val="0"/>
          <w:color w:val="0C9FCD"/>
          <w:kern w:val="24"/>
          <w:sz w:val="22"/>
          <w:szCs w:val="22"/>
          <w:lang w:eastAsia="en-AU"/>
        </w:rPr>
        <w:t>economic opportunities</w:t>
      </w:r>
      <w:r w:rsidR="005C66F5">
        <w:rPr>
          <w:rFonts w:asciiTheme="minorHAnsi" w:eastAsia="+mn-ea" w:hAnsiTheme="minorHAnsi" w:cstheme="minorHAnsi"/>
          <w:b/>
          <w:bCs w:val="0"/>
          <w:color w:val="0C9FCD"/>
          <w:kern w:val="24"/>
          <w:sz w:val="22"/>
          <w:szCs w:val="22"/>
          <w:lang w:eastAsia="en-AU"/>
        </w:rPr>
        <w:t>.</w:t>
      </w:r>
    </w:p>
    <w:p w14:paraId="5B4EF3D2" w14:textId="5CC103A3" w:rsidR="00E82DAE" w:rsidRDefault="00E82DAE" w:rsidP="00BB3F58">
      <w:pPr>
        <w:pStyle w:val="BodyText"/>
        <w:ind w:left="-142"/>
        <w:rPr>
          <w:b/>
          <w:color w:val="808080" w:themeColor="background1" w:themeShade="80"/>
          <w:sz w:val="28"/>
          <w:szCs w:val="28"/>
        </w:rPr>
      </w:pPr>
    </w:p>
    <w:p w14:paraId="7EECB8D2" w14:textId="5540DF38" w:rsidR="00E82DAE" w:rsidRDefault="005126CB" w:rsidP="00BB3F58">
      <w:pPr>
        <w:pStyle w:val="BodyText"/>
        <w:ind w:left="-142"/>
        <w:rPr>
          <w:b/>
          <w:color w:val="808080" w:themeColor="background1" w:themeShade="80"/>
          <w:sz w:val="28"/>
          <w:szCs w:val="28"/>
        </w:rPr>
      </w:pPr>
      <w:r w:rsidRPr="00724500">
        <w:rPr>
          <w:noProof/>
        </w:rPr>
        <w:lastRenderedPageBreak/>
        <mc:AlternateContent>
          <mc:Choice Requires="wps">
            <w:drawing>
              <wp:anchor distT="0" distB="0" distL="114300" distR="114300" simplePos="0" relativeHeight="251750400" behindDoc="0" locked="0" layoutInCell="1" allowOverlap="1" wp14:anchorId="4516A521" wp14:editId="06A7845D">
                <wp:simplePos x="0" y="0"/>
                <wp:positionH relativeFrom="margin">
                  <wp:posOffset>-189230</wp:posOffset>
                </wp:positionH>
                <wp:positionV relativeFrom="paragraph">
                  <wp:posOffset>-5080</wp:posOffset>
                </wp:positionV>
                <wp:extent cx="2749550" cy="5822950"/>
                <wp:effectExtent l="0" t="0" r="0" b="6350"/>
                <wp:wrapNone/>
                <wp:docPr id="1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5822950"/>
                        </a:xfrm>
                        <a:prstGeom prst="rect">
                          <a:avLst/>
                        </a:prstGeom>
                        <a:solidFill>
                          <a:srgbClr val="C7E499"/>
                        </a:solidFill>
                      </wps:spPr>
                      <wps:txbx>
                        <w:txbxContent>
                          <w:p w14:paraId="186815ED" w14:textId="77777777" w:rsidR="008F274D" w:rsidRPr="005B2313" w:rsidRDefault="008F274D" w:rsidP="008F274D">
                            <w:pPr>
                              <w:pStyle w:val="BodyText"/>
                              <w:spacing w:before="120" w:after="0" w:line="312" w:lineRule="auto"/>
                              <w:rPr>
                                <w:rFonts w:eastAsia="+mn-ea" w:cstheme="minorHAnsi"/>
                                <w:b/>
                                <w:color w:val="0C9FCD"/>
                                <w:kern w:val="24"/>
                                <w:sz w:val="28"/>
                                <w:szCs w:val="28"/>
                              </w:rPr>
                            </w:pPr>
                            <w:r>
                              <w:rPr>
                                <w:rFonts w:eastAsia="+mn-ea" w:cstheme="minorHAnsi"/>
                                <w:b/>
                                <w:color w:val="0C9FCD"/>
                                <w:kern w:val="24"/>
                                <w:sz w:val="28"/>
                                <w:szCs w:val="28"/>
                              </w:rPr>
                              <w:t>Australia’s emissions profile</w:t>
                            </w:r>
                          </w:p>
                          <w:p w14:paraId="6C1DD31A" w14:textId="348573B1" w:rsidR="008F274D" w:rsidRDefault="008F274D" w:rsidP="008F274D">
                            <w:pPr>
                              <w:pStyle w:val="BodyText"/>
                              <w:numPr>
                                <w:ilvl w:val="0"/>
                                <w:numId w:val="22"/>
                              </w:numPr>
                              <w:spacing w:line="312" w:lineRule="auto"/>
                            </w:pPr>
                            <w:r w:rsidRPr="001A6F70">
                              <w:t>In 2018</w:t>
                            </w:r>
                            <w:r>
                              <w:t>–</w:t>
                            </w:r>
                            <w:r w:rsidRPr="001A6F70">
                              <w:t xml:space="preserve">19, Australia’s emissions were 532 </w:t>
                            </w:r>
                            <w:r w:rsidRPr="005031F1">
                              <w:t>Mt</w:t>
                            </w:r>
                            <w:r w:rsidRPr="001A6F70">
                              <w:t xml:space="preserve"> of CO</w:t>
                            </w:r>
                            <w:r w:rsidRPr="00C9421D">
                              <w:rPr>
                                <w:vertAlign w:val="subscript"/>
                              </w:rPr>
                              <w:t>2</w:t>
                            </w:r>
                            <w:r w:rsidRPr="001A6F70">
                              <w:t>-e</w:t>
                            </w:r>
                            <w:r>
                              <w:t>, 13 per cent lower than in 2005</w:t>
                            </w:r>
                            <w:r w:rsidR="00BB3F58">
                              <w:t>—</w:t>
                            </w:r>
                            <w:r>
                              <w:t>the base year for Australia’s 2030 Paris Agreement emissions reduction target</w:t>
                            </w:r>
                            <w:r w:rsidRPr="001A6F70">
                              <w:t xml:space="preserve">. </w:t>
                            </w:r>
                          </w:p>
                          <w:p w14:paraId="4F387A84" w14:textId="77777777" w:rsidR="008F274D" w:rsidRPr="00931A69" w:rsidRDefault="008F274D" w:rsidP="008F274D">
                            <w:pPr>
                              <w:pStyle w:val="BodyText"/>
                              <w:numPr>
                                <w:ilvl w:val="0"/>
                                <w:numId w:val="22"/>
                              </w:numPr>
                              <w:spacing w:line="312" w:lineRule="auto"/>
                            </w:pPr>
                            <w:r w:rsidRPr="001A6F70">
                              <w:t>Australia’s emissions have fluctuated since 2005</w:t>
                            </w:r>
                            <w:r>
                              <w:t>, peaking</w:t>
                            </w:r>
                            <w:r w:rsidRPr="001A6F70">
                              <w:t xml:space="preserve"> at 6</w:t>
                            </w:r>
                            <w:r>
                              <w:t>27</w:t>
                            </w:r>
                            <w:r w:rsidRPr="001A6F70">
                              <w:t xml:space="preserve"> Mt CO</w:t>
                            </w:r>
                            <w:r w:rsidRPr="001A6F70">
                              <w:rPr>
                                <w:vertAlign w:val="subscript"/>
                              </w:rPr>
                              <w:t>2</w:t>
                            </w:r>
                            <w:r w:rsidRPr="001A6F70">
                              <w:t xml:space="preserve">-e </w:t>
                            </w:r>
                            <w:r>
                              <w:t xml:space="preserve">in 2007. </w:t>
                            </w:r>
                          </w:p>
                          <w:p w14:paraId="2D1971F2" w14:textId="217117C1" w:rsidR="00645ACB" w:rsidRDefault="008F274D" w:rsidP="008F274D">
                            <w:pPr>
                              <w:pStyle w:val="BodyText"/>
                              <w:numPr>
                                <w:ilvl w:val="0"/>
                                <w:numId w:val="22"/>
                              </w:numPr>
                              <w:spacing w:line="312" w:lineRule="auto"/>
                            </w:pPr>
                            <w:r w:rsidRPr="00931A69">
                              <w:t xml:space="preserve">Since 2016, Australia’s emissions have increased slightly. This </w:t>
                            </w:r>
                            <w:r w:rsidR="00645ACB">
                              <w:t>is primarily</w:t>
                            </w:r>
                            <w:r w:rsidRPr="00931A69">
                              <w:t xml:space="preserve"> attribut</w:t>
                            </w:r>
                            <w:r w:rsidR="00645ACB">
                              <w:t>able</w:t>
                            </w:r>
                            <w:r w:rsidRPr="00931A69">
                              <w:t xml:space="preserve"> to increasing emissions </w:t>
                            </w:r>
                            <w:r w:rsidR="00645ACB">
                              <w:t>in</w:t>
                            </w:r>
                            <w:r>
                              <w:t xml:space="preserve"> </w:t>
                            </w:r>
                            <w:r w:rsidRPr="00931A69">
                              <w:t>transport, direct combustion and fugitives</w:t>
                            </w:r>
                            <w:r w:rsidR="00645ACB">
                              <w:rPr>
                                <w:color w:val="000000"/>
                                <w:sz w:val="16"/>
                                <w:szCs w:val="16"/>
                              </w:rPr>
                              <w:t>—</w:t>
                            </w:r>
                            <w:r w:rsidR="00645ACB" w:rsidRPr="00645ACB">
                              <w:t xml:space="preserve">driven </w:t>
                            </w:r>
                            <w:r w:rsidR="00645ACB">
                              <w:t xml:space="preserve">by the rapid expansion in liquefied natural gas production for export. </w:t>
                            </w:r>
                          </w:p>
                          <w:p w14:paraId="44C0ED59" w14:textId="10689B9B" w:rsidR="008F274D" w:rsidRPr="00773771" w:rsidRDefault="008F274D" w:rsidP="008F274D">
                            <w:pPr>
                              <w:pStyle w:val="BodyText"/>
                              <w:numPr>
                                <w:ilvl w:val="0"/>
                                <w:numId w:val="22"/>
                              </w:numPr>
                              <w:spacing w:line="312" w:lineRule="auto"/>
                            </w:pPr>
                            <w:r w:rsidRPr="00931A69">
                              <w:t xml:space="preserve">A decrease in emissions from </w:t>
                            </w:r>
                            <w:r>
                              <w:t>increased uptake of renewable electricity,</w:t>
                            </w:r>
                            <w:r w:rsidRPr="00931A69">
                              <w:t xml:space="preserve"> reduced coal-fired generation</w:t>
                            </w:r>
                            <w:r>
                              <w:t xml:space="preserve"> and the effects of drought on agriculture</w:t>
                            </w:r>
                            <w:r w:rsidRPr="00931A69">
                              <w:t>, have offset some of this</w:t>
                            </w:r>
                            <w:r>
                              <w:t xml:space="preserve"> increase.</w:t>
                            </w:r>
                          </w:p>
                          <w:p w14:paraId="385E4F8A" w14:textId="77777777" w:rsidR="008F274D" w:rsidRDefault="008F274D" w:rsidP="008F274D">
                            <w:pPr>
                              <w:pStyle w:val="BodyText"/>
                              <w:ind w:left="72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4516A521" id="_x0000_t202" coordsize="21600,21600" o:spt="202" path="m,l,21600r21600,l21600,xe">
                <v:stroke joinstyle="miter"/>
                <v:path gradientshapeok="t" o:connecttype="rect"/>
              </v:shapetype>
              <v:shape id="TextBox 15" o:spid="_x0000_s1026" type="#_x0000_t202" style="position:absolute;left:0;text-align:left;margin-left:-14.9pt;margin-top:-.4pt;width:216.5pt;height:45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" fillcolor="#c7e499" stroked="f">
                <v:path arrowok="t"/>
                <v:textbox>
                  <w:txbxContent>
                    <w:p w14:paraId="186815ED" w14:textId="77777777" w:rsidR="008F274D" w:rsidRPr="005B2313" w:rsidRDefault="008F274D" w:rsidP="008F274D">
                      <w:pPr>
                        <w:pStyle w:val="BodyText"/>
                        <w:spacing w:before="120" w:after="0" w:line="312" w:lineRule="auto"/>
                        <w:rPr>
                          <w:rFonts w:eastAsia="+mn-ea" w:cstheme="minorHAnsi"/>
                          <w:b/>
                          <w:color w:val="0C9FCD"/>
                          <w:kern w:val="24"/>
                          <w:sz w:val="28"/>
                          <w:szCs w:val="28"/>
                        </w:rPr>
                      </w:pPr>
                      <w:r>
                        <w:rPr>
                          <w:rFonts w:eastAsia="+mn-ea" w:cstheme="minorHAnsi"/>
                          <w:b/>
                          <w:color w:val="0C9FCD"/>
                          <w:kern w:val="24"/>
                          <w:sz w:val="28"/>
                          <w:szCs w:val="28"/>
                        </w:rPr>
                        <w:t>Australia’s emissions profile</w:t>
                      </w:r>
                    </w:p>
                    <w:p w14:paraId="6C1DD31A" w14:textId="348573B1" w:rsidR="008F274D" w:rsidRDefault="008F274D" w:rsidP="008F274D">
                      <w:pPr>
                        <w:pStyle w:val="BodyText"/>
                        <w:numPr>
                          <w:ilvl w:val="0"/>
                          <w:numId w:val="22"/>
                        </w:numPr>
                        <w:spacing w:line="312" w:lineRule="auto"/>
                      </w:pPr>
                      <w:r w:rsidRPr="001A6F70">
                        <w:t>In 2018</w:t>
                      </w:r>
                      <w:r>
                        <w:t>–</w:t>
                      </w:r>
                      <w:r w:rsidRPr="001A6F70">
                        <w:t xml:space="preserve">19, Australia’s emissions were 532 </w:t>
                      </w:r>
                      <w:r w:rsidRPr="005031F1">
                        <w:t>Mt</w:t>
                      </w:r>
                      <w:r w:rsidRPr="001A6F70">
                        <w:t xml:space="preserve"> of CO</w:t>
                      </w:r>
                      <w:r w:rsidRPr="00C9421D">
                        <w:rPr>
                          <w:vertAlign w:val="subscript"/>
                        </w:rPr>
                        <w:t>2</w:t>
                      </w:r>
                      <w:r w:rsidRPr="001A6F70">
                        <w:t>-e</w:t>
                      </w:r>
                      <w:r>
                        <w:t>, 13 per cent lower than in 2005</w:t>
                      </w:r>
                      <w:r w:rsidR="00BB3F58">
                        <w:t>—</w:t>
                      </w:r>
                      <w:r>
                        <w:t>the base year for Australia’s 2030 Paris Agreement emissions reduction target</w:t>
                      </w:r>
                      <w:r w:rsidRPr="001A6F70">
                        <w:t xml:space="preserve">. </w:t>
                      </w:r>
                    </w:p>
                    <w:p w14:paraId="4F387A84" w14:textId="77777777" w:rsidR="008F274D" w:rsidRPr="00931A69" w:rsidRDefault="008F274D" w:rsidP="008F274D">
                      <w:pPr>
                        <w:pStyle w:val="BodyText"/>
                        <w:numPr>
                          <w:ilvl w:val="0"/>
                          <w:numId w:val="22"/>
                        </w:numPr>
                        <w:spacing w:line="312" w:lineRule="auto"/>
                      </w:pPr>
                      <w:r w:rsidRPr="001A6F70">
                        <w:t>Australia’s emissions have fluctuated since 2005</w:t>
                      </w:r>
                      <w:r>
                        <w:t>, peaking</w:t>
                      </w:r>
                      <w:r w:rsidRPr="001A6F70">
                        <w:t xml:space="preserve"> at 6</w:t>
                      </w:r>
                      <w:r>
                        <w:t>27</w:t>
                      </w:r>
                      <w:r w:rsidRPr="001A6F70">
                        <w:t xml:space="preserve"> Mt CO</w:t>
                      </w:r>
                      <w:r w:rsidRPr="001A6F70">
                        <w:rPr>
                          <w:vertAlign w:val="subscript"/>
                        </w:rPr>
                        <w:t>2</w:t>
                      </w:r>
                      <w:r w:rsidRPr="001A6F70">
                        <w:t xml:space="preserve">-e </w:t>
                      </w:r>
                      <w:r>
                        <w:t xml:space="preserve">in 2007. </w:t>
                      </w:r>
                    </w:p>
                    <w:p w14:paraId="2D1971F2" w14:textId="217117C1" w:rsidR="00645ACB" w:rsidRDefault="008F274D" w:rsidP="008F274D">
                      <w:pPr>
                        <w:pStyle w:val="BodyText"/>
                        <w:numPr>
                          <w:ilvl w:val="0"/>
                          <w:numId w:val="22"/>
                        </w:numPr>
                        <w:spacing w:line="312" w:lineRule="auto"/>
                      </w:pPr>
                      <w:r w:rsidRPr="00931A69">
                        <w:t xml:space="preserve">Since 2016, Australia’s emissions have increased slightly. This </w:t>
                      </w:r>
                      <w:r w:rsidR="00645ACB">
                        <w:t>is primarily</w:t>
                      </w:r>
                      <w:r w:rsidRPr="00931A69">
                        <w:t xml:space="preserve"> attribut</w:t>
                      </w:r>
                      <w:r w:rsidR="00645ACB">
                        <w:t>able</w:t>
                      </w:r>
                      <w:r w:rsidRPr="00931A69">
                        <w:t xml:space="preserve"> to increasing emissions </w:t>
                      </w:r>
                      <w:r w:rsidR="00645ACB">
                        <w:t>in</w:t>
                      </w:r>
                      <w:r>
                        <w:t xml:space="preserve"> </w:t>
                      </w:r>
                      <w:r w:rsidRPr="00931A69">
                        <w:t>transport, direct combustion and fugitives</w:t>
                      </w:r>
                      <w:r w:rsidR="00645ACB">
                        <w:rPr>
                          <w:color w:val="000000"/>
                          <w:sz w:val="16"/>
                          <w:szCs w:val="16"/>
                        </w:rPr>
                        <w:t>—</w:t>
                      </w:r>
                      <w:r w:rsidR="00645ACB" w:rsidRPr="00645ACB">
                        <w:t xml:space="preserve">driven </w:t>
                      </w:r>
                      <w:r w:rsidR="00645ACB">
                        <w:t xml:space="preserve">by the rapid expansion in liquefied natural gas production for export. </w:t>
                      </w:r>
                    </w:p>
                    <w:p w14:paraId="44C0ED59" w14:textId="10689B9B" w:rsidR="008F274D" w:rsidRPr="00773771" w:rsidRDefault="008F274D" w:rsidP="008F274D">
                      <w:pPr>
                        <w:pStyle w:val="BodyText"/>
                        <w:numPr>
                          <w:ilvl w:val="0"/>
                          <w:numId w:val="22"/>
                        </w:numPr>
                        <w:spacing w:line="312" w:lineRule="auto"/>
                      </w:pPr>
                      <w:r w:rsidRPr="00931A69">
                        <w:t xml:space="preserve">A decrease in emissions from </w:t>
                      </w:r>
                      <w:r>
                        <w:t>increased uptake of renewable electricity,</w:t>
                      </w:r>
                      <w:r w:rsidRPr="00931A69">
                        <w:t xml:space="preserve"> reduced coal-fired generation</w:t>
                      </w:r>
                      <w:r>
                        <w:t xml:space="preserve"> and the effects of drought on agriculture</w:t>
                      </w:r>
                      <w:r w:rsidRPr="00931A69">
                        <w:t>, have offset some of this</w:t>
                      </w:r>
                      <w:r>
                        <w:t xml:space="preserve"> increase.</w:t>
                      </w:r>
                    </w:p>
                    <w:p w14:paraId="385E4F8A" w14:textId="77777777" w:rsidR="008F274D" w:rsidRDefault="008F274D" w:rsidP="008F274D">
                      <w:pPr>
                        <w:pStyle w:val="BodyText"/>
                        <w:ind w:left="720"/>
                      </w:pPr>
                    </w:p>
                  </w:txbxContent>
                </v:textbox>
                <w10:wrap anchorx="margin"/>
              </v:shape>
            </w:pict>
          </mc:Fallback>
        </mc:AlternateContent>
      </w:r>
    </w:p>
    <w:p w14:paraId="5A7B41F4" w14:textId="422D0C62" w:rsidR="00E82DAE" w:rsidRDefault="00E82DAE" w:rsidP="00BB3F58">
      <w:pPr>
        <w:pStyle w:val="BodyText"/>
        <w:ind w:left="-142"/>
        <w:rPr>
          <w:b/>
          <w:color w:val="808080" w:themeColor="background1" w:themeShade="80"/>
          <w:sz w:val="28"/>
          <w:szCs w:val="28"/>
        </w:rPr>
      </w:pPr>
    </w:p>
    <w:p w14:paraId="73FA3BE2" w14:textId="77777777" w:rsidR="00E82DAE" w:rsidRDefault="00E82DAE" w:rsidP="00BB3F58">
      <w:pPr>
        <w:pStyle w:val="BodyText"/>
        <w:ind w:left="-142"/>
        <w:rPr>
          <w:b/>
          <w:color w:val="808080" w:themeColor="background1" w:themeShade="80"/>
          <w:sz w:val="28"/>
          <w:szCs w:val="28"/>
        </w:rPr>
      </w:pPr>
    </w:p>
    <w:p w14:paraId="61D843A3" w14:textId="3FB560FC" w:rsidR="00E82DAE" w:rsidRDefault="00E82DAE" w:rsidP="00BB3F58">
      <w:pPr>
        <w:pStyle w:val="BodyText"/>
        <w:ind w:left="-142"/>
        <w:rPr>
          <w:b/>
          <w:color w:val="808080" w:themeColor="background1" w:themeShade="80"/>
          <w:sz w:val="28"/>
          <w:szCs w:val="28"/>
        </w:rPr>
      </w:pPr>
    </w:p>
    <w:p w14:paraId="7B1408A1" w14:textId="77777777" w:rsidR="008F274D" w:rsidRDefault="008F274D" w:rsidP="00BB3F58">
      <w:pPr>
        <w:pStyle w:val="BodyText"/>
        <w:ind w:left="-142"/>
        <w:rPr>
          <w:b/>
          <w:color w:val="808080" w:themeColor="background1" w:themeShade="80"/>
          <w:sz w:val="28"/>
          <w:szCs w:val="28"/>
        </w:rPr>
      </w:pPr>
    </w:p>
    <w:p w14:paraId="4A9C113B" w14:textId="77777777" w:rsidR="008F274D" w:rsidRDefault="008F274D" w:rsidP="00BB3F58">
      <w:pPr>
        <w:pStyle w:val="BodyText"/>
        <w:ind w:left="-142"/>
        <w:rPr>
          <w:b/>
          <w:color w:val="808080" w:themeColor="background1" w:themeShade="80"/>
          <w:sz w:val="28"/>
          <w:szCs w:val="28"/>
        </w:rPr>
      </w:pPr>
    </w:p>
    <w:p w14:paraId="604DF14E" w14:textId="77777777" w:rsidR="008F274D" w:rsidRDefault="008F274D" w:rsidP="00BB3F58">
      <w:pPr>
        <w:pStyle w:val="BodyText"/>
        <w:ind w:left="-142"/>
        <w:rPr>
          <w:b/>
          <w:color w:val="808080" w:themeColor="background1" w:themeShade="80"/>
          <w:sz w:val="28"/>
          <w:szCs w:val="28"/>
        </w:rPr>
      </w:pPr>
    </w:p>
    <w:p w14:paraId="292F1441" w14:textId="77777777" w:rsidR="008F274D" w:rsidRDefault="008F274D" w:rsidP="00BB3F58">
      <w:pPr>
        <w:pStyle w:val="BodyText"/>
        <w:ind w:left="-142"/>
        <w:rPr>
          <w:b/>
          <w:color w:val="808080" w:themeColor="background1" w:themeShade="80"/>
          <w:sz w:val="28"/>
          <w:szCs w:val="28"/>
        </w:rPr>
      </w:pPr>
    </w:p>
    <w:p w14:paraId="74005F9C" w14:textId="77777777" w:rsidR="008F274D" w:rsidRDefault="008F274D" w:rsidP="00BB3F58">
      <w:pPr>
        <w:pStyle w:val="BodyText"/>
        <w:spacing w:before="120" w:after="0" w:line="312" w:lineRule="auto"/>
        <w:ind w:left="-142"/>
        <w:rPr>
          <w:b/>
          <w:color w:val="808080" w:themeColor="background1" w:themeShade="80"/>
          <w:sz w:val="28"/>
          <w:szCs w:val="28"/>
        </w:rPr>
      </w:pPr>
    </w:p>
    <w:p w14:paraId="2D4B3BA6" w14:textId="77777777" w:rsidR="008F274D" w:rsidRDefault="008F274D" w:rsidP="00BB3F58">
      <w:pPr>
        <w:pStyle w:val="BodyText"/>
        <w:spacing w:before="120" w:after="0" w:line="312" w:lineRule="auto"/>
        <w:ind w:left="-142"/>
        <w:rPr>
          <w:rFonts w:eastAsia="+mn-ea" w:cstheme="minorHAnsi"/>
          <w:b/>
          <w:color w:val="0C9FCD"/>
          <w:kern w:val="24"/>
        </w:rPr>
      </w:pPr>
    </w:p>
    <w:p w14:paraId="3D6F77D5" w14:textId="77777777" w:rsidR="00CA20E9" w:rsidRDefault="00CA20E9" w:rsidP="00BB3F58">
      <w:pPr>
        <w:pStyle w:val="BodyText"/>
        <w:spacing w:before="120" w:after="0" w:line="312" w:lineRule="auto"/>
        <w:ind w:left="-142"/>
        <w:rPr>
          <w:rFonts w:eastAsia="+mn-ea" w:cstheme="minorHAnsi"/>
          <w:b/>
          <w:color w:val="0C9FCD"/>
          <w:kern w:val="24"/>
        </w:rPr>
      </w:pPr>
    </w:p>
    <w:p w14:paraId="1E548841" w14:textId="77777777" w:rsidR="00BB3F58" w:rsidRDefault="00BB3F58" w:rsidP="00BB3F58">
      <w:pPr>
        <w:pStyle w:val="BodyText"/>
        <w:spacing w:before="120" w:after="0" w:line="312" w:lineRule="auto"/>
        <w:ind w:left="-142"/>
        <w:rPr>
          <w:rFonts w:eastAsia="+mn-ea" w:cstheme="minorHAnsi"/>
          <w:b/>
          <w:color w:val="0C9FCD"/>
          <w:kern w:val="24"/>
        </w:rPr>
      </w:pPr>
    </w:p>
    <w:p w14:paraId="481B4645" w14:textId="77777777" w:rsidR="00BB3F58" w:rsidRDefault="00BB3F58" w:rsidP="00BB3F58">
      <w:pPr>
        <w:pStyle w:val="BodyText"/>
        <w:spacing w:before="120" w:after="0" w:line="312" w:lineRule="auto"/>
        <w:ind w:left="-142"/>
        <w:rPr>
          <w:rFonts w:eastAsia="+mn-ea" w:cstheme="minorHAnsi"/>
          <w:b/>
          <w:color w:val="0C9FCD"/>
          <w:kern w:val="24"/>
        </w:rPr>
      </w:pPr>
    </w:p>
    <w:p w14:paraId="785501CA" w14:textId="77777777" w:rsidR="00CA20E9" w:rsidRDefault="00CA20E9" w:rsidP="00BB3F58">
      <w:pPr>
        <w:pStyle w:val="BodyText"/>
        <w:spacing w:before="120" w:after="0" w:line="312" w:lineRule="auto"/>
        <w:ind w:left="-142"/>
        <w:rPr>
          <w:rFonts w:eastAsia="+mn-ea" w:cstheme="minorHAnsi"/>
          <w:b/>
          <w:color w:val="0C9FCD"/>
          <w:kern w:val="24"/>
        </w:rPr>
      </w:pPr>
    </w:p>
    <w:p w14:paraId="7032934C" w14:textId="77777777" w:rsidR="00CA20E9" w:rsidRDefault="00CA20E9" w:rsidP="00BB3F58">
      <w:pPr>
        <w:pStyle w:val="BodyText"/>
        <w:spacing w:before="120" w:after="0" w:line="312" w:lineRule="auto"/>
        <w:ind w:left="-142"/>
        <w:rPr>
          <w:rFonts w:eastAsia="+mn-ea" w:cstheme="minorHAnsi"/>
          <w:b/>
          <w:color w:val="0C9FCD"/>
          <w:kern w:val="24"/>
        </w:rPr>
      </w:pPr>
    </w:p>
    <w:p w14:paraId="4A597C3C" w14:textId="77777777" w:rsidR="00CA20E9" w:rsidRDefault="00CA20E9" w:rsidP="00BB3F58">
      <w:pPr>
        <w:pStyle w:val="BodyText"/>
        <w:spacing w:before="120" w:after="0" w:line="312" w:lineRule="auto"/>
        <w:ind w:left="-142"/>
        <w:rPr>
          <w:rFonts w:eastAsia="+mn-ea" w:cstheme="minorHAnsi"/>
          <w:b/>
          <w:color w:val="0C9FCD"/>
          <w:kern w:val="24"/>
        </w:rPr>
      </w:pPr>
    </w:p>
    <w:p w14:paraId="292CDFA7" w14:textId="77777777" w:rsidR="003646AC" w:rsidRDefault="003646AC" w:rsidP="00BB3F58">
      <w:pPr>
        <w:pStyle w:val="BodyText"/>
        <w:spacing w:before="120" w:after="0" w:line="312" w:lineRule="auto"/>
        <w:ind w:left="-142"/>
        <w:rPr>
          <w:rFonts w:eastAsia="+mn-ea" w:cstheme="minorHAnsi"/>
          <w:b/>
          <w:color w:val="0C9FCD"/>
          <w:kern w:val="24"/>
        </w:rPr>
      </w:pPr>
    </w:p>
    <w:p w14:paraId="6BBE61C9" w14:textId="77777777" w:rsidR="003646AC" w:rsidRDefault="003646AC" w:rsidP="00BB3F58">
      <w:pPr>
        <w:pStyle w:val="BodyText"/>
        <w:spacing w:before="120" w:after="0" w:line="312" w:lineRule="auto"/>
        <w:ind w:left="-142"/>
        <w:rPr>
          <w:rFonts w:eastAsia="+mn-ea" w:cstheme="minorHAnsi"/>
          <w:b/>
          <w:color w:val="0C9FCD"/>
          <w:kern w:val="24"/>
        </w:rPr>
      </w:pPr>
    </w:p>
    <w:p w14:paraId="464450B9" w14:textId="77777777" w:rsidR="00645ACB" w:rsidRDefault="00645ACB" w:rsidP="00BB3F58">
      <w:pPr>
        <w:pStyle w:val="BodyText"/>
        <w:spacing w:before="120" w:after="0" w:line="312" w:lineRule="auto"/>
        <w:ind w:left="-142"/>
        <w:rPr>
          <w:rFonts w:eastAsia="+mn-ea" w:cstheme="minorHAnsi"/>
          <w:b/>
          <w:color w:val="0C9FCD"/>
          <w:kern w:val="24"/>
        </w:rPr>
      </w:pPr>
    </w:p>
    <w:p w14:paraId="476443CF" w14:textId="16428F87" w:rsidR="008F274D" w:rsidRPr="008F274D" w:rsidRDefault="008F274D" w:rsidP="00BB3F58">
      <w:pPr>
        <w:pStyle w:val="BodyText"/>
        <w:spacing w:before="120" w:after="0" w:line="312" w:lineRule="auto"/>
        <w:ind w:left="-142"/>
        <w:rPr>
          <w:rFonts w:eastAsia="+mn-ea" w:cstheme="minorHAnsi"/>
          <w:b/>
          <w:color w:val="0C9FCD"/>
          <w:kern w:val="24"/>
        </w:rPr>
      </w:pPr>
      <w:r>
        <w:rPr>
          <w:rFonts w:eastAsia="+mn-ea" w:cstheme="minorHAnsi"/>
          <w:b/>
          <w:color w:val="0C9FCD"/>
          <w:kern w:val="24"/>
        </w:rPr>
        <w:t>Australia’s emissions by sector 2005</w:t>
      </w:r>
      <w:r w:rsidR="00BB3F58">
        <w:rPr>
          <w:rFonts w:eastAsia="+mn-ea" w:cstheme="minorHAnsi"/>
          <w:b/>
          <w:color w:val="0C9FCD"/>
          <w:kern w:val="24"/>
        </w:rPr>
        <w:t xml:space="preserve"> – </w:t>
      </w:r>
      <w:r>
        <w:rPr>
          <w:rFonts w:eastAsia="+mn-ea" w:cstheme="minorHAnsi"/>
          <w:b/>
          <w:color w:val="0C9FCD"/>
          <w:kern w:val="24"/>
        </w:rPr>
        <w:t>2019</w:t>
      </w:r>
    </w:p>
    <w:p w14:paraId="0ECDD6A0" w14:textId="65441D0D" w:rsidR="00B44AAA" w:rsidRDefault="003646AC" w:rsidP="00645ACB">
      <w:pPr>
        <w:pStyle w:val="BodyText"/>
        <w:ind w:left="-142"/>
        <w:rPr>
          <w:b/>
          <w:color w:val="808080" w:themeColor="background1" w:themeShade="80"/>
          <w:sz w:val="32"/>
          <w:szCs w:val="32"/>
        </w:rPr>
      </w:pPr>
      <w:r>
        <w:rPr>
          <w:rFonts w:ascii="Arial" w:eastAsia="+mj-ea" w:hAnsi="Arial" w:cs="+mj-cs"/>
          <w:b/>
          <w:noProof/>
          <w:color w:val="7A7A7A"/>
          <w:kern w:val="24"/>
          <w:sz w:val="50"/>
          <w:szCs w:val="50"/>
        </w:rPr>
        <w:drawing>
          <wp:inline distT="0" distB="0" distL="0" distR="0" wp14:anchorId="77E5AC6D" wp14:editId="6D9C887C">
            <wp:extent cx="2700020" cy="19685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20" cy="1968500"/>
                    </a:xfrm>
                    <a:prstGeom prst="rect">
                      <a:avLst/>
                    </a:prstGeom>
                    <a:noFill/>
                  </pic:spPr>
                </pic:pic>
              </a:graphicData>
            </a:graphic>
          </wp:inline>
        </w:drawing>
      </w:r>
    </w:p>
    <w:p w14:paraId="59639384" w14:textId="2B365B64" w:rsidR="00BB3F58" w:rsidRDefault="00BB3F58" w:rsidP="00BB3F58">
      <w:pPr>
        <w:pStyle w:val="BodyText"/>
        <w:ind w:left="-142"/>
        <w:rPr>
          <w:b/>
          <w:color w:val="808080" w:themeColor="background1" w:themeShade="80"/>
          <w:sz w:val="32"/>
          <w:szCs w:val="32"/>
        </w:rPr>
      </w:pPr>
    </w:p>
    <w:p w14:paraId="05CF341B" w14:textId="77777777" w:rsidR="00C65422" w:rsidRPr="00931E22" w:rsidRDefault="00E82DAE" w:rsidP="00BB3F58">
      <w:pPr>
        <w:pStyle w:val="BodyText"/>
        <w:ind w:left="-142"/>
        <w:rPr>
          <w:b/>
          <w:color w:val="808080" w:themeColor="background1" w:themeShade="80"/>
          <w:sz w:val="32"/>
          <w:szCs w:val="32"/>
        </w:rPr>
      </w:pPr>
      <w:r w:rsidRPr="00931E22">
        <w:rPr>
          <w:b/>
          <w:color w:val="808080" w:themeColor="background1" w:themeShade="80"/>
          <w:sz w:val="32"/>
          <w:szCs w:val="32"/>
        </w:rPr>
        <w:t>We can do more to reduce emissions</w:t>
      </w:r>
    </w:p>
    <w:p w14:paraId="6FB4D72D" w14:textId="66C357D2" w:rsidR="008F274D" w:rsidRDefault="008F274D" w:rsidP="00BB3F58">
      <w:pPr>
        <w:pStyle w:val="BodyText"/>
        <w:ind w:left="-142"/>
      </w:pPr>
      <w:r>
        <w:t>The Government's initial Paris Agreement target is to achieve a 26 to 28 per cent reduction in emissions by 2030 compared with 2005 levels. More ambitious targets will be required in Australia and around the world over time to meet the goals of the Paris Agreement. Co</w:t>
      </w:r>
      <w:r w:rsidR="00872B01">
        <w:t>nsequently, mitigation</w:t>
      </w:r>
      <w:r>
        <w:t xml:space="preserve"> policies implemented today should be sufficiently flexible and scalable to deliver emissions reductions beyond those required for the 2030 target.</w:t>
      </w:r>
    </w:p>
    <w:p w14:paraId="596354B9" w14:textId="2D1CD8C7" w:rsidR="008F274D" w:rsidRDefault="003646AC" w:rsidP="00BB3F58">
      <w:pPr>
        <w:pStyle w:val="BodyText"/>
        <w:ind w:left="-142"/>
      </w:pPr>
      <w:r>
        <w:t>T</w:t>
      </w:r>
      <w:r w:rsidR="008F274D">
        <w:t xml:space="preserve">he Authority recommends </w:t>
      </w:r>
      <w:r w:rsidR="008F274D" w:rsidRPr="001B36D6">
        <w:t>Australia aim to</w:t>
      </w:r>
      <w:r w:rsidR="008F274D">
        <w:t xml:space="preserve"> </w:t>
      </w:r>
      <w:r w:rsidR="008F274D" w:rsidRPr="003E5C93">
        <w:rPr>
          <w:rFonts w:eastAsia="+mn-ea" w:cstheme="minorHAnsi"/>
          <w:b/>
          <w:color w:val="0C9FCD"/>
          <w:kern w:val="24"/>
        </w:rPr>
        <w:t xml:space="preserve">meet </w:t>
      </w:r>
      <w:r w:rsidR="00B20C37" w:rsidRPr="00E03799">
        <w:rPr>
          <w:rFonts w:eastAsia="+mn-ea" w:cstheme="minorHAnsi"/>
          <w:b/>
          <w:color w:val="0C9FCD"/>
          <w:kern w:val="24"/>
        </w:rPr>
        <w:t xml:space="preserve">all of </w:t>
      </w:r>
      <w:r w:rsidR="008F274D" w:rsidRPr="00E03799">
        <w:rPr>
          <w:rFonts w:eastAsia="+mn-ea" w:cstheme="minorHAnsi"/>
          <w:b/>
          <w:color w:val="0C9FCD"/>
          <w:kern w:val="24"/>
        </w:rPr>
        <w:t>our</w:t>
      </w:r>
      <w:r w:rsidR="008F274D" w:rsidRPr="003E5C93">
        <w:rPr>
          <w:rFonts w:eastAsia="+mn-ea" w:cstheme="minorHAnsi"/>
          <w:b/>
          <w:color w:val="0C9FCD"/>
          <w:kern w:val="24"/>
        </w:rPr>
        <w:t xml:space="preserve"> 2030 emissions </w:t>
      </w:r>
      <w:r w:rsidR="00872B01">
        <w:rPr>
          <w:rFonts w:eastAsia="+mn-ea" w:cstheme="minorHAnsi"/>
          <w:b/>
          <w:color w:val="0C9FCD"/>
          <w:kern w:val="24"/>
        </w:rPr>
        <w:t>reduction</w:t>
      </w:r>
      <w:r w:rsidR="008F274D">
        <w:rPr>
          <w:rFonts w:eastAsia="+mn-ea" w:cstheme="minorHAnsi"/>
          <w:b/>
          <w:color w:val="0C9FCD"/>
          <w:kern w:val="24"/>
        </w:rPr>
        <w:t xml:space="preserve"> target</w:t>
      </w:r>
      <w:r w:rsidR="008F274D" w:rsidRPr="003E5C93">
        <w:rPr>
          <w:rFonts w:eastAsia="+mn-ea" w:cstheme="minorHAnsi"/>
          <w:b/>
          <w:color w:val="0C9FCD"/>
          <w:kern w:val="24"/>
        </w:rPr>
        <w:t xml:space="preserve"> with new reductions</w:t>
      </w:r>
      <w:r w:rsidR="008F274D" w:rsidRPr="004D0D04">
        <w:t xml:space="preserve"> generated between 2021 and 2030</w:t>
      </w:r>
      <w:r w:rsidR="00962C3A">
        <w:t xml:space="preserve"> to help set Australia on a transition path to a prosperous low-emissions economy</w:t>
      </w:r>
      <w:r w:rsidR="00BB3F58">
        <w:t>.</w:t>
      </w:r>
    </w:p>
    <w:p w14:paraId="2C566CAE" w14:textId="7090B0D8" w:rsidR="00E82DAE" w:rsidRPr="00C65422" w:rsidRDefault="00E82DAE" w:rsidP="00872B01">
      <w:pPr>
        <w:pStyle w:val="BodyText"/>
        <w:rPr>
          <w:b/>
          <w:color w:val="808080" w:themeColor="background1" w:themeShade="80"/>
          <w:sz w:val="28"/>
          <w:szCs w:val="28"/>
        </w:rPr>
      </w:pPr>
      <w:r w:rsidRPr="009161BD">
        <w:rPr>
          <w:b/>
          <w:noProof/>
        </w:rPr>
        <w:drawing>
          <wp:anchor distT="0" distB="0" distL="114300" distR="114300" simplePos="0" relativeHeight="251729920" behindDoc="1" locked="0" layoutInCell="1" allowOverlap="1" wp14:anchorId="7F27E64F" wp14:editId="38BB5564">
            <wp:simplePos x="0" y="0"/>
            <wp:positionH relativeFrom="column">
              <wp:posOffset>0</wp:posOffset>
            </wp:positionH>
            <wp:positionV relativeFrom="paragraph">
              <wp:posOffset>273050</wp:posOffset>
            </wp:positionV>
            <wp:extent cx="539750" cy="565150"/>
            <wp:effectExtent l="0" t="0" r="0" b="6350"/>
            <wp:wrapTight wrapText="bothSides">
              <wp:wrapPolygon edited="0">
                <wp:start x="0" y="0"/>
                <wp:lineTo x="0" y="21115"/>
                <wp:lineTo x="20584" y="21115"/>
                <wp:lineTo x="205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9750" cy="565150"/>
                    </a:xfrm>
                    <a:prstGeom prst="rect">
                      <a:avLst/>
                    </a:prstGeom>
                  </pic:spPr>
                </pic:pic>
              </a:graphicData>
            </a:graphic>
            <wp14:sizeRelH relativeFrom="page">
              <wp14:pctWidth>0</wp14:pctWidth>
            </wp14:sizeRelH>
            <wp14:sizeRelV relativeFrom="page">
              <wp14:pctHeight>0</wp14:pctHeight>
            </wp14:sizeRelV>
          </wp:anchor>
        </w:drawing>
      </w:r>
    </w:p>
    <w:p w14:paraId="02934C9C" w14:textId="77777777" w:rsidR="00E82DAE" w:rsidRPr="00EE6BBC" w:rsidRDefault="00E82DAE" w:rsidP="00BB3F58">
      <w:pPr>
        <w:ind w:left="-142"/>
        <w:rPr>
          <w:b/>
          <w:color w:val="000000" w:themeColor="text1"/>
        </w:rPr>
      </w:pPr>
      <w:r w:rsidRPr="00EE6BBC">
        <w:rPr>
          <w:b/>
          <w:color w:val="000000" w:themeColor="text1"/>
        </w:rPr>
        <w:t>Electricity</w:t>
      </w:r>
    </w:p>
    <w:p w14:paraId="41E5FB9A" w14:textId="77777777" w:rsidR="00707E10" w:rsidRDefault="00707E10" w:rsidP="00BB3F58">
      <w:pPr>
        <w:pStyle w:val="BodyText"/>
        <w:spacing w:before="120" w:after="0" w:line="312" w:lineRule="auto"/>
        <w:ind w:left="-142"/>
        <w:rPr>
          <w:rFonts w:eastAsia="+mn-ea" w:cstheme="minorHAnsi"/>
          <w:b/>
          <w:color w:val="0C9FCD"/>
          <w:kern w:val="24"/>
        </w:rPr>
      </w:pPr>
    </w:p>
    <w:p w14:paraId="1030CBE8" w14:textId="4D2B835E" w:rsidR="001F7E4B" w:rsidRPr="001F7E4B" w:rsidRDefault="00E82DAE" w:rsidP="00FB35C8">
      <w:pPr>
        <w:pStyle w:val="BodyText"/>
        <w:ind w:left="-142"/>
        <w:rPr>
          <w:rFonts w:eastAsia="+mn-ea" w:cstheme="minorHAnsi"/>
          <w:b/>
          <w:color w:val="0C9FCD"/>
          <w:kern w:val="24"/>
        </w:rPr>
      </w:pPr>
      <w:r w:rsidRPr="00FB15EE">
        <w:t xml:space="preserve">Australia's electricity sector is undergoing a transformation. </w:t>
      </w:r>
      <w:r w:rsidR="00846F92">
        <w:t>G</w:t>
      </w:r>
      <w:r w:rsidRPr="00FB15EE">
        <w:t>overnment support for renewable energy, the emergence of new clean energy technologies, declining technology costs and the need to replace an ageing coal-fired generation fleet are all playing a part. The sector has already been a major contributor to emissions reductions and is well placed to lead Austra</w:t>
      </w:r>
      <w:r>
        <w:t>lia's transition to a low-emissions</w:t>
      </w:r>
      <w:r w:rsidRPr="00FB15EE">
        <w:t xml:space="preserve"> economy. </w:t>
      </w:r>
      <w:r w:rsidR="00036334">
        <w:t xml:space="preserve">To </w:t>
      </w:r>
      <w:r w:rsidR="00036334" w:rsidRPr="00036334">
        <w:rPr>
          <w:rFonts w:eastAsia="+mn-ea" w:cstheme="minorHAnsi"/>
          <w:b/>
          <w:color w:val="0C9FCD"/>
          <w:kern w:val="24"/>
        </w:rPr>
        <w:t>support a reliable, secure and affordable energy system,</w:t>
      </w:r>
      <w:r w:rsidR="00036334">
        <w:t xml:space="preserve"> the Australian Government and the states should </w:t>
      </w:r>
      <w:r w:rsidR="00036334" w:rsidRPr="00FB35C8">
        <w:t>align supported</w:t>
      </w:r>
      <w:r w:rsidR="00036334" w:rsidRPr="00AA003E">
        <w:rPr>
          <w:rFonts w:eastAsia="+mn-ea" w:cstheme="minorHAnsi"/>
          <w:b/>
          <w:color w:val="0C9FCD"/>
          <w:kern w:val="24"/>
        </w:rPr>
        <w:t xml:space="preserve"> low-emissions and transmission projects </w:t>
      </w:r>
      <w:r w:rsidR="00036334" w:rsidRPr="00FB35C8">
        <w:t>with the priorities identified by the Aus</w:t>
      </w:r>
      <w:r w:rsidR="00AA003E" w:rsidRPr="00FB35C8">
        <w:t>tralian Energy Market Operator’s Integrated Systems Plan</w:t>
      </w:r>
      <w:r w:rsidR="00FB35C8">
        <w:t xml:space="preserve"> and the price signals from the market</w:t>
      </w:r>
      <w:r w:rsidR="001F7E4B" w:rsidRPr="00FB35C8">
        <w:t>.</w:t>
      </w:r>
      <w:r w:rsidR="001F7E4B">
        <w:rPr>
          <w:rFonts w:eastAsia="+mn-ea" w:cstheme="minorHAnsi"/>
          <w:b/>
          <w:color w:val="0C9FCD"/>
          <w:kern w:val="24"/>
        </w:rPr>
        <w:t xml:space="preserve"> </w:t>
      </w:r>
      <w:r w:rsidR="001F7E4B" w:rsidRPr="00D34621">
        <w:t xml:space="preserve">The COAG Energy Council should fast-track reforms to facilitate the </w:t>
      </w:r>
      <w:r w:rsidR="001F7E4B" w:rsidRPr="00FB35C8">
        <w:rPr>
          <w:rFonts w:eastAsia="+mn-ea" w:cstheme="minorHAnsi"/>
          <w:b/>
          <w:color w:val="0C9FCD"/>
          <w:kern w:val="24"/>
        </w:rPr>
        <w:t>integration of large amounts of low- and zero-emissions generation, energy storage and other technologies</w:t>
      </w:r>
      <w:r w:rsidR="001F7E4B" w:rsidRPr="00D34621">
        <w:t xml:space="preserve"> to ‘firm up’ intermittent </w:t>
      </w:r>
      <w:r w:rsidR="001F7E4B" w:rsidRPr="00D34621">
        <w:lastRenderedPageBreak/>
        <w:t>renewables and demand-side response into the electricity market.</w:t>
      </w:r>
    </w:p>
    <w:p w14:paraId="4B81814E" w14:textId="6A15A170" w:rsidR="00E82DAE" w:rsidRPr="00036334" w:rsidRDefault="00BB3F58" w:rsidP="00BB3F58">
      <w:pPr>
        <w:ind w:left="-142"/>
        <w:rPr>
          <w:color w:val="000000" w:themeColor="text1"/>
        </w:rPr>
      </w:pPr>
      <w:r w:rsidRPr="00036334">
        <w:rPr>
          <w:rFonts w:cs="Whitney Light"/>
          <w:noProof/>
          <w:color w:val="000000"/>
          <w:sz w:val="4"/>
          <w:szCs w:val="21"/>
        </w:rPr>
        <w:drawing>
          <wp:anchor distT="0" distB="0" distL="114300" distR="114300" simplePos="0" relativeHeight="251731968" behindDoc="1" locked="0" layoutInCell="1" allowOverlap="1" wp14:anchorId="7432EF92" wp14:editId="115C9E7E">
            <wp:simplePos x="0" y="0"/>
            <wp:positionH relativeFrom="margin">
              <wp:align>left</wp:align>
            </wp:positionH>
            <wp:positionV relativeFrom="paragraph">
              <wp:posOffset>111125</wp:posOffset>
            </wp:positionV>
            <wp:extent cx="698500" cy="539750"/>
            <wp:effectExtent l="0" t="0" r="6350" b="0"/>
            <wp:wrapTight wrapText="bothSides">
              <wp:wrapPolygon edited="0">
                <wp:start x="8836" y="762"/>
                <wp:lineTo x="0" y="3049"/>
                <wp:lineTo x="0" y="12960"/>
                <wp:lineTo x="1178" y="19821"/>
                <wp:lineTo x="20029" y="19821"/>
                <wp:lineTo x="21207" y="13722"/>
                <wp:lineTo x="21207" y="3049"/>
                <wp:lineTo x="12371" y="762"/>
                <wp:lineTo x="8836" y="762"/>
              </wp:wrapPolygon>
            </wp:wrapTight>
            <wp:docPr id="13" name="Picture 13" descr="\\UPVVIRTCLUS02FS\Users$\A22701\Profile\Downloads\sports-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VVIRTCLUS02FS\Users$\A22701\Profile\Downloads\sports-ca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1CF5C" w14:textId="739D06AA" w:rsidR="00E82DAE" w:rsidRPr="00EE6BBC" w:rsidRDefault="00E82DAE" w:rsidP="00BB3F58">
      <w:pPr>
        <w:ind w:left="-142"/>
        <w:rPr>
          <w:b/>
          <w:color w:val="000000" w:themeColor="text1"/>
        </w:rPr>
      </w:pPr>
      <w:r w:rsidRPr="00EE6BBC">
        <w:rPr>
          <w:b/>
          <w:color w:val="000000" w:themeColor="text1"/>
        </w:rPr>
        <w:t>Transport</w:t>
      </w:r>
    </w:p>
    <w:p w14:paraId="7EACDAE7" w14:textId="77777777" w:rsidR="00E82DAE" w:rsidRPr="00C007D1" w:rsidRDefault="00E82DAE" w:rsidP="00BB3F58">
      <w:pPr>
        <w:pStyle w:val="BodyText"/>
        <w:ind w:left="-142"/>
      </w:pPr>
      <w:r w:rsidRPr="00C007D1">
        <w:t>The transport sector is the second largest source of emissions in Australia and transport emissions have sustained a clear upward trend over the past decade.</w:t>
      </w:r>
    </w:p>
    <w:p w14:paraId="4856DD75" w14:textId="70251AAB" w:rsidR="00E82DAE" w:rsidRPr="00C007D1" w:rsidRDefault="001E1CEE" w:rsidP="00BB3F58">
      <w:pPr>
        <w:pStyle w:val="BodyText"/>
        <w:ind w:left="-142"/>
      </w:pPr>
      <w:r>
        <w:t xml:space="preserve">The Authority recommends </w:t>
      </w:r>
      <w:r w:rsidR="005126CB">
        <w:t>t</w:t>
      </w:r>
      <w:r w:rsidR="00B21D08">
        <w:t xml:space="preserve">he Government </w:t>
      </w:r>
      <w:r>
        <w:t xml:space="preserve">reconsider the </w:t>
      </w:r>
      <w:r w:rsidR="00E82DAE" w:rsidRPr="00C007D1">
        <w:t xml:space="preserve">case for the </w:t>
      </w:r>
      <w:r w:rsidR="00E82DAE" w:rsidRPr="00515184">
        <w:rPr>
          <w:rFonts w:eastAsia="+mn-ea" w:cstheme="minorHAnsi"/>
          <w:b/>
          <w:color w:val="0C9FCD"/>
          <w:kern w:val="24"/>
        </w:rPr>
        <w:t>implementation of a greenhouse gas emissions standard for light vehicles</w:t>
      </w:r>
      <w:r>
        <w:rPr>
          <w:rFonts w:eastAsia="+mn-ea" w:cstheme="minorHAnsi"/>
          <w:b/>
          <w:color w:val="0C9FCD"/>
          <w:kern w:val="24"/>
        </w:rPr>
        <w:t>,</w:t>
      </w:r>
      <w:r w:rsidR="00E82DAE" w:rsidRPr="00515184">
        <w:rPr>
          <w:rFonts w:eastAsia="+mn-ea" w:cstheme="minorHAnsi"/>
          <w:b/>
          <w:color w:val="0C9FCD"/>
          <w:kern w:val="24"/>
        </w:rPr>
        <w:t xml:space="preserve"> </w:t>
      </w:r>
      <w:r w:rsidR="00E82DAE" w:rsidRPr="00515184">
        <w:t>which would deliver reduced emissions</w:t>
      </w:r>
      <w:r>
        <w:t>,</w:t>
      </w:r>
      <w:r w:rsidR="00E82DAE" w:rsidRPr="00515184">
        <w:t xml:space="preserve"> savings for motor vehicle users</w:t>
      </w:r>
      <w:r>
        <w:t xml:space="preserve"> and health benefits for the community</w:t>
      </w:r>
      <w:r w:rsidR="00E82DAE" w:rsidRPr="00515184">
        <w:t>.</w:t>
      </w:r>
    </w:p>
    <w:p w14:paraId="33E05EC4" w14:textId="6CE28F13" w:rsidR="003646AC" w:rsidRDefault="003646AC" w:rsidP="00BB3F58">
      <w:pPr>
        <w:pStyle w:val="BodyText"/>
        <w:ind w:left="-142"/>
      </w:pPr>
      <w:r w:rsidRPr="00C007D1">
        <w:t xml:space="preserve">The Government's forthcoming </w:t>
      </w:r>
      <w:r w:rsidRPr="00F80643">
        <w:rPr>
          <w:rFonts w:eastAsia="+mn-ea" w:cstheme="minorHAnsi"/>
          <w:b/>
          <w:color w:val="0C9FCD"/>
          <w:kern w:val="24"/>
        </w:rPr>
        <w:t>e</w:t>
      </w:r>
      <w:r w:rsidRPr="00515184">
        <w:rPr>
          <w:rFonts w:eastAsia="+mn-ea" w:cstheme="minorHAnsi"/>
          <w:b/>
          <w:color w:val="0C9FCD"/>
          <w:kern w:val="24"/>
        </w:rPr>
        <w:t xml:space="preserve">lectric vehicle strategy </w:t>
      </w:r>
      <w:r w:rsidRPr="00C007D1">
        <w:t xml:space="preserve">offers an excellent opportunity to </w:t>
      </w:r>
      <w:r w:rsidRPr="00515184">
        <w:rPr>
          <w:rFonts w:eastAsia="+mn-ea" w:cstheme="minorHAnsi"/>
          <w:b/>
          <w:color w:val="0C9FCD"/>
          <w:kern w:val="24"/>
        </w:rPr>
        <w:t>ensure that potential barriers to the uptake of electric vehicles are addressed</w:t>
      </w:r>
      <w:r w:rsidRPr="00C007D1">
        <w:t xml:space="preserve">. </w:t>
      </w:r>
      <w:r>
        <w:t xml:space="preserve">The </w:t>
      </w:r>
      <w:r w:rsidRPr="00C007D1">
        <w:t xml:space="preserve">Authority has </w:t>
      </w:r>
      <w:r>
        <w:t>identified several barriers to the uptake of electric vehicles t</w:t>
      </w:r>
      <w:r w:rsidR="00036334">
        <w:t>hat could</w:t>
      </w:r>
      <w:r>
        <w:t xml:space="preserve"> be addressed in the forthcoming strategy.</w:t>
      </w:r>
    </w:p>
    <w:p w14:paraId="48BE589F" w14:textId="46B52807" w:rsidR="00E82DAE" w:rsidRDefault="00E82DAE" w:rsidP="00BB3F58">
      <w:pPr>
        <w:pStyle w:val="BodyText"/>
        <w:ind w:left="-142"/>
        <w:rPr>
          <w:b/>
        </w:rPr>
      </w:pPr>
      <w:r w:rsidRPr="00C007D1">
        <w:t>The Authority has also reco</w:t>
      </w:r>
      <w:r w:rsidR="00036334">
        <w:t xml:space="preserve">mmended further work be done </w:t>
      </w:r>
      <w:r w:rsidRPr="00C007D1">
        <w:t xml:space="preserve">to identify and pursue </w:t>
      </w:r>
      <w:r w:rsidRPr="00515184">
        <w:rPr>
          <w:rFonts w:eastAsia="+mn-ea" w:cstheme="minorHAnsi"/>
          <w:b/>
          <w:color w:val="0C9FCD"/>
          <w:kern w:val="24"/>
        </w:rPr>
        <w:t>opportunities</w:t>
      </w:r>
      <w:r w:rsidRPr="007A1690">
        <w:t xml:space="preserve"> </w:t>
      </w:r>
      <w:r w:rsidRPr="00515184">
        <w:rPr>
          <w:rFonts w:eastAsia="+mn-ea" w:cstheme="minorHAnsi"/>
          <w:b/>
          <w:color w:val="0C9FCD"/>
          <w:kern w:val="24"/>
        </w:rPr>
        <w:t>to shift more of Australia's</w:t>
      </w:r>
      <w:r w:rsidR="00B20C37">
        <w:rPr>
          <w:rFonts w:eastAsia="+mn-ea" w:cstheme="minorHAnsi"/>
          <w:b/>
          <w:color w:val="0C9FCD"/>
          <w:kern w:val="24"/>
        </w:rPr>
        <w:t xml:space="preserve"> </w:t>
      </w:r>
      <w:r w:rsidR="00B20C37" w:rsidRPr="00E03799">
        <w:rPr>
          <w:rFonts w:eastAsia="+mn-ea" w:cstheme="minorHAnsi"/>
          <w:b/>
          <w:color w:val="0C9FCD"/>
          <w:kern w:val="24"/>
        </w:rPr>
        <w:t>domestic</w:t>
      </w:r>
      <w:r w:rsidRPr="00E03799">
        <w:rPr>
          <w:rFonts w:eastAsia="+mn-ea" w:cstheme="minorHAnsi"/>
          <w:b/>
          <w:color w:val="0C9FCD"/>
          <w:kern w:val="24"/>
        </w:rPr>
        <w:t xml:space="preserve"> f</w:t>
      </w:r>
      <w:r w:rsidRPr="00515184">
        <w:rPr>
          <w:rFonts w:eastAsia="+mn-ea" w:cstheme="minorHAnsi"/>
          <w:b/>
          <w:color w:val="0C9FCD"/>
          <w:kern w:val="24"/>
        </w:rPr>
        <w:t>reight task onto less emissions</w:t>
      </w:r>
      <w:r w:rsidRPr="00515184">
        <w:rPr>
          <w:rFonts w:eastAsia="+mn-ea" w:cstheme="minorHAnsi"/>
          <w:b/>
          <w:color w:val="0C9FCD"/>
          <w:kern w:val="24"/>
        </w:rPr>
        <w:noBreakHyphen/>
        <w:t>intensive forms of transport</w:t>
      </w:r>
      <w:r w:rsidRPr="007A1690">
        <w:rPr>
          <w:b/>
        </w:rPr>
        <w:t>.</w:t>
      </w:r>
    </w:p>
    <w:p w14:paraId="64796FDF" w14:textId="332D4BA8" w:rsidR="00E82DAE" w:rsidRDefault="00E82DAE" w:rsidP="00872B01">
      <w:pPr>
        <w:rPr>
          <w:b/>
          <w:color w:val="000000" w:themeColor="text1"/>
        </w:rPr>
      </w:pPr>
      <w:r w:rsidRPr="00A41CDD">
        <w:rPr>
          <w:noProof/>
          <w:color w:val="73BB00"/>
          <w:sz w:val="24"/>
        </w:rPr>
        <w:drawing>
          <wp:anchor distT="0" distB="0" distL="114300" distR="114300" simplePos="0" relativeHeight="251734016" behindDoc="0" locked="0" layoutInCell="1" allowOverlap="1" wp14:anchorId="0AB4384D" wp14:editId="3EE09C31">
            <wp:simplePos x="0" y="0"/>
            <wp:positionH relativeFrom="column">
              <wp:posOffset>0</wp:posOffset>
            </wp:positionH>
            <wp:positionV relativeFrom="paragraph">
              <wp:posOffset>323215</wp:posOffset>
            </wp:positionV>
            <wp:extent cx="781050" cy="596900"/>
            <wp:effectExtent l="0" t="0" r="0" b="0"/>
            <wp:wrapSquare wrapText="bothSides"/>
            <wp:docPr id="16" name="Picture 16" descr="\\UPVVIRTCLUS02FS\Users$\A22701\Profile\Downloads\fac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PVVIRTCLUS02FS\Users$\A22701\Profile\Downloads\factor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42EEF" w14:textId="77777777" w:rsidR="00E82DAE" w:rsidRPr="00EE6BBC" w:rsidRDefault="00E82DAE" w:rsidP="00BB3F58">
      <w:pPr>
        <w:ind w:left="-142"/>
        <w:rPr>
          <w:b/>
          <w:color w:val="000000" w:themeColor="text1"/>
        </w:rPr>
      </w:pPr>
      <w:r w:rsidRPr="00EE6BBC">
        <w:rPr>
          <w:b/>
          <w:color w:val="000000" w:themeColor="text1"/>
        </w:rPr>
        <w:t>Industry</w:t>
      </w:r>
    </w:p>
    <w:p w14:paraId="72FA789D" w14:textId="77777777" w:rsidR="00E82DAE" w:rsidRPr="00D40CDA" w:rsidRDefault="00E82DAE" w:rsidP="00BB3F58">
      <w:pPr>
        <w:pStyle w:val="BodyText"/>
        <w:ind w:left="-142"/>
      </w:pPr>
      <w:r w:rsidRPr="00D40CDA">
        <w:t>The primary policy for managing industry emissions is the Australian Government’s Safeguard Mechanism. While working as intended, the Safeguard Mechanism is not designed to reduce emissions or cap them in absolute terms.</w:t>
      </w:r>
    </w:p>
    <w:p w14:paraId="0DF20A90" w14:textId="7B415C3B" w:rsidR="00E82DAE" w:rsidRPr="00D40CDA" w:rsidRDefault="00E82DAE" w:rsidP="00BB3F58">
      <w:pPr>
        <w:pStyle w:val="BodyText"/>
        <w:ind w:left="-142"/>
      </w:pPr>
      <w:r w:rsidRPr="00D40CDA">
        <w:t xml:space="preserve">The Authority's view remains that </w:t>
      </w:r>
      <w:r w:rsidRPr="00515184">
        <w:rPr>
          <w:rFonts w:eastAsia="+mn-ea" w:cstheme="minorHAnsi"/>
          <w:b/>
          <w:color w:val="0C9FCD"/>
          <w:kern w:val="24"/>
        </w:rPr>
        <w:t xml:space="preserve">an enhanced Safeguard Mechanism should be deployed with declining baselines </w:t>
      </w:r>
      <w:r w:rsidRPr="00D40CDA">
        <w:t xml:space="preserve">to reduce direct combustion, industrial process and fugitive emissions, and ensure these sectors contribute towards the 2030 and subsequent Paris Agreement targets. </w:t>
      </w:r>
    </w:p>
    <w:p w14:paraId="198BDC9B" w14:textId="77777777" w:rsidR="00E82DAE" w:rsidRDefault="00E82DAE" w:rsidP="00BB3F58">
      <w:pPr>
        <w:pStyle w:val="BodyText"/>
        <w:ind w:left="-142"/>
      </w:pPr>
      <w:bookmarkStart w:id="1" w:name="_Toc27818620"/>
      <w:bookmarkStart w:id="2" w:name="_Toc27818795"/>
      <w:bookmarkStart w:id="3" w:name="_Toc27818936"/>
      <w:bookmarkStart w:id="4" w:name="_Toc29308072"/>
      <w:bookmarkStart w:id="5" w:name="_Toc30673654"/>
      <w:bookmarkStart w:id="6" w:name="_Toc31194014"/>
      <w:r w:rsidRPr="00D40CDA">
        <w:t xml:space="preserve">Declining baselines should have clear trajectories and </w:t>
      </w:r>
      <w:r w:rsidRPr="00515184">
        <w:rPr>
          <w:rFonts w:eastAsia="+mn-ea" w:cstheme="minorHAnsi"/>
          <w:b/>
          <w:color w:val="0C9FCD"/>
          <w:kern w:val="24"/>
        </w:rPr>
        <w:t>there should be an ability for facilities to trade under- and over-achievement</w:t>
      </w:r>
      <w:r w:rsidRPr="004A6242">
        <w:t xml:space="preserve"> </w:t>
      </w:r>
      <w:r w:rsidRPr="00D40CDA">
        <w:t>once baselines have commenced declining and are binding</w:t>
      </w:r>
      <w:bookmarkEnd w:id="1"/>
      <w:bookmarkEnd w:id="2"/>
      <w:bookmarkEnd w:id="3"/>
      <w:bookmarkEnd w:id="4"/>
      <w:bookmarkEnd w:id="5"/>
      <w:bookmarkEnd w:id="6"/>
      <w:r w:rsidRPr="00D40CDA">
        <w:t xml:space="preserve">. </w:t>
      </w:r>
    </w:p>
    <w:p w14:paraId="4FF1727D" w14:textId="1AE88060" w:rsidR="00274ABA" w:rsidRDefault="00E82DAE" w:rsidP="00BB3F58">
      <w:pPr>
        <w:ind w:left="-142"/>
      </w:pPr>
      <w:r w:rsidRPr="00D40CDA">
        <w:t xml:space="preserve">Where there is a </w:t>
      </w:r>
      <w:r w:rsidRPr="009B1B49">
        <w:t>demonstrated risk of carbon leakage</w:t>
      </w:r>
      <w:r w:rsidR="00FB35C8">
        <w:t xml:space="preserve"> to other countries</w:t>
      </w:r>
      <w:r w:rsidRPr="00D40CDA">
        <w:t xml:space="preserve"> as a result of the enhanced Safeguard Mechanism, </w:t>
      </w:r>
      <w:r w:rsidRPr="00C9421D">
        <w:rPr>
          <w:rFonts w:eastAsia="+mn-ea" w:cstheme="minorHAnsi"/>
          <w:b/>
          <w:color w:val="0C9FCD"/>
          <w:kern w:val="24"/>
        </w:rPr>
        <w:t>targeted, transitional and transparent competitiveness assistance</w:t>
      </w:r>
      <w:r w:rsidRPr="00D40CDA">
        <w:t xml:space="preserve"> should be offered to emissions intensive trade exposed industries captured by the Mechanism.</w:t>
      </w:r>
      <w:r>
        <w:t xml:space="preserve"> </w:t>
      </w:r>
    </w:p>
    <w:p w14:paraId="4D433487" w14:textId="7CC206D0" w:rsidR="00C65422" w:rsidRDefault="00C65422" w:rsidP="00BB3F58">
      <w:pPr>
        <w:ind w:left="-142"/>
      </w:pPr>
      <w:r w:rsidRPr="00EE6BBC">
        <w:rPr>
          <w:b/>
          <w:noProof/>
          <w:color w:val="000000" w:themeColor="text1"/>
        </w:rPr>
        <w:drawing>
          <wp:anchor distT="0" distB="0" distL="114300" distR="114300" simplePos="0" relativeHeight="251736064" behindDoc="1" locked="0" layoutInCell="1" allowOverlap="1" wp14:anchorId="74DC6A8B" wp14:editId="46F04B9C">
            <wp:simplePos x="0" y="0"/>
            <wp:positionH relativeFrom="column">
              <wp:posOffset>0</wp:posOffset>
            </wp:positionH>
            <wp:positionV relativeFrom="paragraph">
              <wp:posOffset>323215</wp:posOffset>
            </wp:positionV>
            <wp:extent cx="755650" cy="787400"/>
            <wp:effectExtent l="0" t="0" r="6350" b="0"/>
            <wp:wrapTight wrapText="bothSides">
              <wp:wrapPolygon edited="0">
                <wp:start x="0" y="0"/>
                <wp:lineTo x="0" y="20903"/>
                <wp:lineTo x="21237" y="20903"/>
                <wp:lineTo x="212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recycling-symbol[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650" cy="787400"/>
                    </a:xfrm>
                    <a:prstGeom prst="rect">
                      <a:avLst/>
                    </a:prstGeom>
                  </pic:spPr>
                </pic:pic>
              </a:graphicData>
            </a:graphic>
          </wp:anchor>
        </w:drawing>
      </w:r>
    </w:p>
    <w:p w14:paraId="2D634785" w14:textId="77777777" w:rsidR="00C65422" w:rsidRPr="00EE6BBC" w:rsidRDefault="00C65422" w:rsidP="00BB3F58">
      <w:pPr>
        <w:pStyle w:val="BodyText"/>
        <w:ind w:left="-142"/>
        <w:rPr>
          <w:b/>
          <w:color w:val="000000" w:themeColor="text1"/>
        </w:rPr>
      </w:pPr>
      <w:r w:rsidRPr="00EE6BBC">
        <w:rPr>
          <w:b/>
          <w:color w:val="000000" w:themeColor="text1"/>
        </w:rPr>
        <w:t>Waste</w:t>
      </w:r>
    </w:p>
    <w:p w14:paraId="10B760A6" w14:textId="6491ACFA" w:rsidR="00C65422" w:rsidRPr="00402333" w:rsidRDefault="00C65422" w:rsidP="00BB3F58">
      <w:pPr>
        <w:pStyle w:val="BodyText"/>
        <w:ind w:left="-142"/>
      </w:pPr>
      <w:r w:rsidRPr="000A43A3">
        <w:rPr>
          <w:color w:val="000000"/>
          <w14:textFill>
            <w14:solidFill>
              <w14:srgbClr w14:val="000000">
                <w14:lumMod w14:val="75000"/>
              </w14:srgbClr>
            </w14:solidFill>
          </w14:textFill>
        </w:rPr>
        <w:t xml:space="preserve">In the waste sector, the Authority </w:t>
      </w:r>
      <w:r w:rsidR="00872B01">
        <w:rPr>
          <w:color w:val="000000"/>
          <w14:textFill>
            <w14:solidFill>
              <w14:srgbClr w14:val="000000">
                <w14:lumMod w14:val="75000"/>
              </w14:srgbClr>
            </w14:solidFill>
          </w14:textFill>
        </w:rPr>
        <w:t>views</w:t>
      </w:r>
      <w:r w:rsidRPr="000A43A3">
        <w:rPr>
          <w:color w:val="000000"/>
          <w14:textFill>
            <w14:solidFill>
              <w14:srgbClr w14:val="000000">
                <w14:lumMod w14:val="75000"/>
              </w14:srgbClr>
            </w14:solidFill>
          </w14:textFill>
        </w:rPr>
        <w:t xml:space="preserve"> </w:t>
      </w:r>
      <w:r>
        <w:t>the best way forward to ensure continued reductions in</w:t>
      </w:r>
      <w:r w:rsidRPr="000A43A3">
        <w:t xml:space="preserve"> waste emissions is by </w:t>
      </w:r>
      <w:r w:rsidRPr="000A43A3">
        <w:rPr>
          <w:rFonts w:eastAsia="+mn-ea" w:cstheme="minorHAnsi"/>
          <w:b/>
          <w:color w:val="0C9FCD"/>
          <w:kern w:val="24"/>
        </w:rPr>
        <w:t xml:space="preserve">enhancing and harmonising current state and territory regulatory approaches </w:t>
      </w:r>
      <w:r w:rsidRPr="00036334">
        <w:t>to reducing emissions from waste,</w:t>
      </w:r>
      <w:r w:rsidRPr="000A43A3">
        <w:t xml:space="preserve"> especially landfill gas</w:t>
      </w:r>
      <w:r w:rsidR="00FB35C8">
        <w:t>,</w:t>
      </w:r>
      <w:r>
        <w:t xml:space="preserve"> and</w:t>
      </w:r>
      <w:r w:rsidRPr="000A43A3">
        <w:t xml:space="preserve"> </w:t>
      </w:r>
      <w:r w:rsidRPr="00402333">
        <w:rPr>
          <w:rFonts w:eastAsia="+mn-ea" w:cstheme="minorHAnsi"/>
          <w:b/>
          <w:color w:val="0C9FCD"/>
          <w:kern w:val="24"/>
        </w:rPr>
        <w:t>diverting organic waste from landfill</w:t>
      </w:r>
      <w:r w:rsidRPr="000A43A3">
        <w:t xml:space="preserve">. </w:t>
      </w:r>
    </w:p>
    <w:p w14:paraId="0E9565D9" w14:textId="04F44322" w:rsidR="003741CC" w:rsidRPr="003741CC" w:rsidRDefault="003741CC" w:rsidP="00872B01">
      <w:pPr>
        <w:rPr>
          <w:b/>
          <w:color w:val="000000" w:themeColor="text1"/>
        </w:rPr>
      </w:pPr>
      <w:r w:rsidRPr="00EE6BBC">
        <w:rPr>
          <w:b/>
          <w:noProof/>
          <w:color w:val="000000" w:themeColor="text1"/>
        </w:rPr>
        <w:drawing>
          <wp:anchor distT="0" distB="0" distL="114300" distR="114300" simplePos="0" relativeHeight="251768832" behindDoc="1" locked="0" layoutInCell="1" allowOverlap="1" wp14:anchorId="59AB1991" wp14:editId="1400C0D2">
            <wp:simplePos x="0" y="0"/>
            <wp:positionH relativeFrom="column">
              <wp:posOffset>0</wp:posOffset>
            </wp:positionH>
            <wp:positionV relativeFrom="paragraph">
              <wp:posOffset>361950</wp:posOffset>
            </wp:positionV>
            <wp:extent cx="629920" cy="356235"/>
            <wp:effectExtent l="0" t="0" r="0" b="5715"/>
            <wp:wrapTight wrapText="bothSides">
              <wp:wrapPolygon edited="0">
                <wp:start x="0" y="0"/>
                <wp:lineTo x="0" y="20791"/>
                <wp:lineTo x="20903" y="20791"/>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29920" cy="356235"/>
                    </a:xfrm>
                    <a:prstGeom prst="rect">
                      <a:avLst/>
                    </a:prstGeom>
                  </pic:spPr>
                </pic:pic>
              </a:graphicData>
            </a:graphic>
            <wp14:sizeRelH relativeFrom="margin">
              <wp14:pctWidth>0</wp14:pctWidth>
            </wp14:sizeRelH>
            <wp14:sizeRelV relativeFrom="margin">
              <wp14:pctHeight>0</wp14:pctHeight>
            </wp14:sizeRelV>
          </wp:anchor>
        </w:drawing>
      </w:r>
    </w:p>
    <w:p w14:paraId="1470DED2" w14:textId="48FA18EB" w:rsidR="003741CC" w:rsidRDefault="003741CC" w:rsidP="00BB3F58">
      <w:pPr>
        <w:ind w:left="-142"/>
        <w:rPr>
          <w:b/>
          <w:color w:val="000000" w:themeColor="text1"/>
        </w:rPr>
      </w:pPr>
      <w:r w:rsidRPr="003741CC">
        <w:rPr>
          <w:b/>
          <w:color w:val="000000" w:themeColor="text1"/>
        </w:rPr>
        <w:t>Agriculture and Land</w:t>
      </w:r>
    </w:p>
    <w:p w14:paraId="5C7918A8" w14:textId="77777777" w:rsidR="003741CC" w:rsidRPr="003741CC" w:rsidRDefault="003741CC" w:rsidP="00BB3F58">
      <w:pPr>
        <w:spacing w:after="120"/>
        <w:ind w:left="-142"/>
      </w:pPr>
      <w:r w:rsidRPr="003741CC">
        <w:t>There is significant potential for the land sector to contribute to achieving Australia’s long</w:t>
      </w:r>
      <w:r w:rsidRPr="003741CC">
        <w:noBreakHyphen/>
        <w:t>term emission reduction goals through holistic management approaches, including by reforesting and regenerating the land.</w:t>
      </w:r>
    </w:p>
    <w:p w14:paraId="6E9D8E35" w14:textId="59AC3BA4" w:rsidR="001F7E4B" w:rsidRDefault="003741CC" w:rsidP="001F7E4B">
      <w:pPr>
        <w:spacing w:after="120"/>
        <w:ind w:left="-142"/>
      </w:pPr>
      <w:r w:rsidRPr="003741CC">
        <w:t xml:space="preserve">The </w:t>
      </w:r>
      <w:r>
        <w:t xml:space="preserve">Authority has recommended </w:t>
      </w:r>
      <w:r w:rsidRPr="003741CC">
        <w:rPr>
          <w:rFonts w:eastAsia="+mn-ea" w:cstheme="minorHAnsi"/>
          <w:b/>
          <w:color w:val="0C9FCD"/>
          <w:kern w:val="24"/>
        </w:rPr>
        <w:t xml:space="preserve">continuing to cover land use and agriculture activities under </w:t>
      </w:r>
      <w:r w:rsidRPr="00E03799">
        <w:rPr>
          <w:rFonts w:eastAsia="+mn-ea" w:cstheme="minorHAnsi"/>
          <w:b/>
          <w:color w:val="0C9FCD"/>
          <w:kern w:val="24"/>
        </w:rPr>
        <w:t>the E</w:t>
      </w:r>
      <w:r w:rsidR="00FB35C8" w:rsidRPr="00E03799">
        <w:rPr>
          <w:rFonts w:eastAsia="+mn-ea" w:cstheme="minorHAnsi"/>
          <w:b/>
          <w:color w:val="0C9FCD"/>
          <w:kern w:val="24"/>
        </w:rPr>
        <w:t xml:space="preserve">mission </w:t>
      </w:r>
      <w:r w:rsidRPr="00E03799">
        <w:rPr>
          <w:rFonts w:eastAsia="+mn-ea" w:cstheme="minorHAnsi"/>
          <w:b/>
          <w:color w:val="0C9FCD"/>
          <w:kern w:val="24"/>
        </w:rPr>
        <w:t>R</w:t>
      </w:r>
      <w:r w:rsidR="00FB35C8" w:rsidRPr="00E03799">
        <w:rPr>
          <w:rFonts w:eastAsia="+mn-ea" w:cstheme="minorHAnsi"/>
          <w:b/>
          <w:color w:val="0C9FCD"/>
          <w:kern w:val="24"/>
        </w:rPr>
        <w:t xml:space="preserve">eduction </w:t>
      </w:r>
      <w:r w:rsidRPr="00E03799">
        <w:rPr>
          <w:rFonts w:eastAsia="+mn-ea" w:cstheme="minorHAnsi"/>
          <w:b/>
          <w:color w:val="0C9FCD"/>
          <w:kern w:val="24"/>
        </w:rPr>
        <w:t>F</w:t>
      </w:r>
      <w:r w:rsidR="00FB35C8" w:rsidRPr="00E03799">
        <w:rPr>
          <w:rFonts w:eastAsia="+mn-ea" w:cstheme="minorHAnsi"/>
          <w:b/>
          <w:color w:val="0C9FCD"/>
          <w:kern w:val="24"/>
        </w:rPr>
        <w:t>und</w:t>
      </w:r>
      <w:r w:rsidR="00B20C37" w:rsidRPr="00E03799">
        <w:rPr>
          <w:rFonts w:eastAsia="+mn-ea" w:cstheme="minorHAnsi"/>
          <w:kern w:val="24"/>
        </w:rPr>
        <w:t>,</w:t>
      </w:r>
      <w:r w:rsidRPr="00E03799">
        <w:t xml:space="preserve"> with</w:t>
      </w:r>
      <w:r w:rsidRPr="003741CC">
        <w:t xml:space="preserve"> credits continuing to be used as offsets for facilities cov</w:t>
      </w:r>
      <w:r w:rsidR="00036334">
        <w:t>ered by the Safeguard Mechanism</w:t>
      </w:r>
      <w:r w:rsidRPr="003741CC">
        <w:t xml:space="preserve"> and available for use in other (voluntary) markets. The</w:t>
      </w:r>
      <w:r w:rsidRPr="003741CC">
        <w:rPr>
          <w:b/>
        </w:rPr>
        <w:t xml:space="preserve"> </w:t>
      </w:r>
      <w:r w:rsidRPr="003741CC">
        <w:rPr>
          <w:rFonts w:eastAsia="+mn-ea" w:cstheme="minorHAnsi"/>
          <w:b/>
          <w:color w:val="0C9FCD"/>
          <w:kern w:val="24"/>
        </w:rPr>
        <w:t>ERF purchasing should continue until the enhanced Safeguard Mechanism provides a source of demand for credits</w:t>
      </w:r>
      <w:r w:rsidR="00BB3F58">
        <w:rPr>
          <w:rFonts w:eastAsia="+mn-ea" w:cstheme="minorHAnsi"/>
          <w:b/>
          <w:color w:val="0C9FCD"/>
          <w:kern w:val="24"/>
        </w:rPr>
        <w:t>.</w:t>
      </w:r>
    </w:p>
    <w:p w14:paraId="44262825" w14:textId="2D65678A" w:rsidR="003646AC" w:rsidRPr="001F7E4B" w:rsidRDefault="007D1343" w:rsidP="001F7E4B">
      <w:pPr>
        <w:spacing w:after="120"/>
        <w:ind w:left="-142"/>
      </w:pPr>
      <w:r w:rsidRPr="00EE6BBC">
        <w:rPr>
          <w:b/>
          <w:noProof/>
          <w:color w:val="000000" w:themeColor="text1"/>
        </w:rPr>
        <w:lastRenderedPageBreak/>
        <w:drawing>
          <wp:anchor distT="0" distB="0" distL="114300" distR="114300" simplePos="0" relativeHeight="251789312" behindDoc="0" locked="0" layoutInCell="1" allowOverlap="1" wp14:anchorId="36A5C8DF" wp14:editId="1117E942">
            <wp:simplePos x="0" y="0"/>
            <wp:positionH relativeFrom="column">
              <wp:posOffset>0</wp:posOffset>
            </wp:positionH>
            <wp:positionV relativeFrom="paragraph">
              <wp:posOffset>272415</wp:posOffset>
            </wp:positionV>
            <wp:extent cx="859790" cy="793115"/>
            <wp:effectExtent l="0" t="0" r="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provin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9790" cy="793115"/>
                    </a:xfrm>
                    <a:prstGeom prst="rect">
                      <a:avLst/>
                    </a:prstGeom>
                  </pic:spPr>
                </pic:pic>
              </a:graphicData>
            </a:graphic>
            <wp14:sizeRelH relativeFrom="page">
              <wp14:pctWidth>0</wp14:pctWidth>
            </wp14:sizeRelH>
            <wp14:sizeRelV relativeFrom="page">
              <wp14:pctHeight>0</wp14:pctHeight>
            </wp14:sizeRelV>
          </wp:anchor>
        </w:drawing>
      </w:r>
    </w:p>
    <w:p w14:paraId="06DEFA8C" w14:textId="77777777" w:rsidR="003646AC" w:rsidRPr="00EE6BBC" w:rsidRDefault="003646AC" w:rsidP="003646AC">
      <w:pPr>
        <w:pStyle w:val="BodyText"/>
        <w:ind w:left="-142"/>
        <w:rPr>
          <w:b/>
          <w:color w:val="000000" w:themeColor="text1"/>
        </w:rPr>
      </w:pPr>
      <w:r w:rsidRPr="00EE6BBC">
        <w:rPr>
          <w:b/>
          <w:color w:val="000000" w:themeColor="text1"/>
        </w:rPr>
        <w:t>Energy efficiency</w:t>
      </w:r>
    </w:p>
    <w:p w14:paraId="333E7DF0" w14:textId="77777777" w:rsidR="003646AC" w:rsidRPr="000A43A3" w:rsidRDefault="003646AC" w:rsidP="003646AC">
      <w:pPr>
        <w:pStyle w:val="BodyText"/>
        <w:ind w:left="-142"/>
      </w:pPr>
      <w:r w:rsidRPr="000A43A3">
        <w:t>Energy efficiency</w:t>
      </w:r>
      <w:r>
        <w:t xml:space="preserve"> improvements</w:t>
      </w:r>
      <w:r w:rsidRPr="000A43A3">
        <w:t xml:space="preserve"> can reduce emissions in all sectors of the economy, including in transport, industry and the built environment. The Authority’s view remains that energy efficiency offers some of the cheapest ways to reduce emissions.</w:t>
      </w:r>
    </w:p>
    <w:p w14:paraId="7F72390D" w14:textId="77777777" w:rsidR="003646AC" w:rsidRDefault="003646AC" w:rsidP="003646AC">
      <w:pPr>
        <w:pStyle w:val="BodyText"/>
        <w:ind w:left="-142"/>
      </w:pPr>
      <w:r w:rsidRPr="000A43A3">
        <w:t xml:space="preserve">Persistent barriers have continued to prevent increased uptake of energy efficiency improvements. </w:t>
      </w:r>
      <w:r>
        <w:rPr>
          <w:rFonts w:eastAsia="+mn-ea" w:cstheme="minorHAnsi"/>
          <w:b/>
          <w:color w:val="0C9FCD"/>
          <w:kern w:val="24"/>
        </w:rPr>
        <w:t>E</w:t>
      </w:r>
      <w:r w:rsidRPr="00402333">
        <w:rPr>
          <w:rFonts w:eastAsia="+mn-ea" w:cstheme="minorHAnsi"/>
          <w:b/>
          <w:color w:val="0C9FCD"/>
          <w:kern w:val="24"/>
        </w:rPr>
        <w:t>ffective regulation and information programs can unlock significant cost-effective emissions reductions</w:t>
      </w:r>
      <w:r w:rsidRPr="000A43A3">
        <w:t xml:space="preserve">. </w:t>
      </w:r>
    </w:p>
    <w:p w14:paraId="48E4F63B" w14:textId="7CAD5E12" w:rsidR="00D77CF6" w:rsidRPr="00966E12" w:rsidRDefault="003646AC" w:rsidP="00966E12">
      <w:pPr>
        <w:pStyle w:val="BodyText"/>
        <w:spacing w:before="120" w:after="0" w:line="312" w:lineRule="auto"/>
        <w:ind w:left="-142"/>
        <w:rPr>
          <w:rFonts w:eastAsia="+mn-ea" w:cstheme="minorHAnsi"/>
          <w:b/>
          <w:color w:val="0C9FCD"/>
          <w:kern w:val="24"/>
        </w:rPr>
      </w:pPr>
      <w:r>
        <w:t xml:space="preserve">Recommended </w:t>
      </w:r>
      <w:r w:rsidRPr="00E03799">
        <w:t xml:space="preserve">actions include </w:t>
      </w:r>
      <w:r w:rsidRPr="00E03799">
        <w:rPr>
          <w:rFonts w:eastAsia="+mn-ea" w:cstheme="minorHAnsi"/>
          <w:b/>
          <w:color w:val="0C9FCD"/>
          <w:kern w:val="24"/>
        </w:rPr>
        <w:t>targeted</w:t>
      </w:r>
      <w:r w:rsidRPr="002C77D5">
        <w:rPr>
          <w:rFonts w:eastAsia="+mn-ea" w:cstheme="minorHAnsi"/>
          <w:b/>
          <w:color w:val="0C9FCD"/>
          <w:kern w:val="24"/>
        </w:rPr>
        <w:t xml:space="preserve"> programs to improve energy efficiency </w:t>
      </w:r>
      <w:r w:rsidRPr="00617253">
        <w:rPr>
          <w:rFonts w:eastAsia="+mn-ea" w:cstheme="minorHAnsi"/>
          <w:kern w:val="24"/>
        </w:rPr>
        <w:t xml:space="preserve">in </w:t>
      </w:r>
      <w:r w:rsidR="00E03799" w:rsidRPr="00617253">
        <w:rPr>
          <w:rFonts w:eastAsia="+mn-ea" w:cstheme="minorHAnsi"/>
          <w:kern w:val="24"/>
        </w:rPr>
        <w:t xml:space="preserve">public housing and other government owned and leased buildings and for </w:t>
      </w:r>
      <w:r w:rsidRPr="00617253">
        <w:rPr>
          <w:rFonts w:eastAsia="+mn-ea" w:cstheme="minorHAnsi"/>
          <w:kern w:val="24"/>
        </w:rPr>
        <w:t>priority groups</w:t>
      </w:r>
      <w:r w:rsidRPr="00617253">
        <w:t xml:space="preserve"> </w:t>
      </w:r>
      <w:r w:rsidR="00E03799">
        <w:t xml:space="preserve">such as low income households, and </w:t>
      </w:r>
      <w:r w:rsidR="00E03799" w:rsidRPr="00617253">
        <w:rPr>
          <w:b/>
          <w:color w:val="00B0F0"/>
        </w:rPr>
        <w:t>accelerating the introduction and/or enhancement of energy efficiency standards</w:t>
      </w:r>
      <w:r w:rsidR="00E03799">
        <w:t xml:space="preserve"> for appliances, new buildings and the existing build</w:t>
      </w:r>
      <w:r>
        <w:t>i</w:t>
      </w:r>
      <w:r w:rsidRPr="000A43A3">
        <w:t>n</w:t>
      </w:r>
      <w:r w:rsidR="00E03799">
        <w:t>g stock</w:t>
      </w:r>
      <w:r w:rsidRPr="008217B8">
        <w:rPr>
          <w:rFonts w:eastAsia="+mn-ea" w:cstheme="minorHAnsi"/>
          <w:b/>
          <w:kern w:val="24"/>
        </w:rPr>
        <w:t>.</w:t>
      </w:r>
    </w:p>
    <w:p w14:paraId="2E4D8E3C" w14:textId="06765ECD" w:rsidR="00C65422" w:rsidRPr="00931E22" w:rsidRDefault="00C65422" w:rsidP="00966E12">
      <w:pPr>
        <w:pStyle w:val="BodyText"/>
        <w:ind w:left="-142"/>
        <w:rPr>
          <w:b/>
          <w:color w:val="808080" w:themeColor="background1" w:themeShade="80"/>
          <w:sz w:val="32"/>
          <w:szCs w:val="32"/>
        </w:rPr>
      </w:pPr>
      <w:r w:rsidRPr="00931E22">
        <w:rPr>
          <w:b/>
          <w:color w:val="808080" w:themeColor="background1" w:themeShade="80"/>
          <w:sz w:val="32"/>
          <w:szCs w:val="32"/>
        </w:rPr>
        <w:t>We can empower people to act</w:t>
      </w:r>
    </w:p>
    <w:p w14:paraId="7CC453CB" w14:textId="77777777" w:rsidR="00D518B1" w:rsidRDefault="00D518B1" w:rsidP="00BB3F58">
      <w:pPr>
        <w:pStyle w:val="BodyText"/>
        <w:ind w:left="-142"/>
      </w:pPr>
      <w:r>
        <w:t xml:space="preserve">Beyond direct policy interventions, there is a range of ways government can empower businesses, households, communities, non-governmental organisations and others to take action to reduce emissions, as well as help them better prepare for the changes in our climate already locked in. </w:t>
      </w:r>
    </w:p>
    <w:p w14:paraId="57240580" w14:textId="34192429" w:rsidR="00C65422" w:rsidRPr="00B44AAA" w:rsidRDefault="00D518B1" w:rsidP="00BB3F58">
      <w:pPr>
        <w:pStyle w:val="BodyText"/>
        <w:ind w:left="-142"/>
      </w:pPr>
      <w:r>
        <w:t>The</w:t>
      </w:r>
      <w:r w:rsidR="00FB35C8">
        <w:t xml:space="preserve">re are opportunities to </w:t>
      </w:r>
      <w:r>
        <w:t xml:space="preserve">do more </w:t>
      </w:r>
      <w:r w:rsidRPr="00E03799">
        <w:t xml:space="preserve">to </w:t>
      </w:r>
      <w:r w:rsidRPr="00E03799">
        <w:rPr>
          <w:b/>
          <w:color w:val="00B0F0"/>
        </w:rPr>
        <w:t>remove impediments to low-emissions activities</w:t>
      </w:r>
      <w:r w:rsidRPr="00A50F34">
        <w:rPr>
          <w:b/>
          <w:color w:val="00B0F0"/>
        </w:rPr>
        <w:t>,</w:t>
      </w:r>
      <w:r w:rsidRPr="00E03799">
        <w:t xml:space="preserve"> </w:t>
      </w:r>
      <w:r w:rsidRPr="00E03799">
        <w:rPr>
          <w:b/>
          <w:color w:val="00B0F0"/>
        </w:rPr>
        <w:t>support the research and development</w:t>
      </w:r>
      <w:r w:rsidRPr="00E03799">
        <w:rPr>
          <w:color w:val="00B0F0"/>
        </w:rPr>
        <w:t xml:space="preserve"> </w:t>
      </w:r>
      <w:r w:rsidRPr="00E03799">
        <w:t xml:space="preserve">that is required to solve the difficult abatement challenges that remain across our economy, and help arm businesses, communities and consumers </w:t>
      </w:r>
      <w:r w:rsidRPr="00E03799">
        <w:rPr>
          <w:b/>
          <w:color w:val="00B0F0"/>
        </w:rPr>
        <w:t>with better information to enhance their decision-making</w:t>
      </w:r>
      <w:r w:rsidRPr="00E03799">
        <w:t xml:space="preserve"> when it comes to</w:t>
      </w:r>
      <w:r>
        <w:t xml:space="preserve"> reducing emissions and managing the risks of a changing climate.</w:t>
      </w:r>
    </w:p>
    <w:p w14:paraId="0B801469" w14:textId="6142AE5A" w:rsidR="003741CC" w:rsidRDefault="007D1343" w:rsidP="00BB3F58">
      <w:pPr>
        <w:pStyle w:val="BodyText"/>
        <w:ind w:left="-142"/>
        <w:rPr>
          <w:b/>
          <w:color w:val="000000" w:themeColor="text1"/>
        </w:rPr>
      </w:pPr>
      <w:r w:rsidRPr="00B34F71">
        <w:rPr>
          <w:b/>
          <w:noProof/>
          <w:color w:val="0C9FCD"/>
          <w14:props3d w14:extrusionH="0" w14:contourW="0" w14:prstMaterial="matte"/>
        </w:rPr>
        <w:drawing>
          <wp:anchor distT="0" distB="0" distL="114300" distR="114300" simplePos="0" relativeHeight="251787264" behindDoc="0" locked="0" layoutInCell="1" allowOverlap="1" wp14:anchorId="5627AABB" wp14:editId="4ACDA153">
            <wp:simplePos x="0" y="0"/>
            <wp:positionH relativeFrom="margin">
              <wp:posOffset>3149600</wp:posOffset>
            </wp:positionH>
            <wp:positionV relativeFrom="paragraph">
              <wp:posOffset>266065</wp:posOffset>
            </wp:positionV>
            <wp:extent cx="751840" cy="762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rans.png"/>
                    <pic:cNvPicPr/>
                  </pic:nvPicPr>
                  <pic:blipFill>
                    <a:blip r:embed="rId21">
                      <a:extLst>
                        <a:ext uri="{28A0092B-C50C-407E-A947-70E740481C1C}">
                          <a14:useLocalDpi xmlns:a14="http://schemas.microsoft.com/office/drawing/2010/main" val="0"/>
                        </a:ext>
                      </a:extLst>
                    </a:blip>
                    <a:stretch>
                      <a:fillRect/>
                    </a:stretch>
                  </pic:blipFill>
                  <pic:spPr>
                    <a:xfrm>
                      <a:off x="0" y="0"/>
                      <a:ext cx="751840" cy="762000"/>
                    </a:xfrm>
                    <a:prstGeom prst="rect">
                      <a:avLst/>
                    </a:prstGeom>
                  </pic:spPr>
                </pic:pic>
              </a:graphicData>
            </a:graphic>
            <wp14:sizeRelH relativeFrom="page">
              <wp14:pctWidth>0</wp14:pctWidth>
            </wp14:sizeRelH>
            <wp14:sizeRelV relativeFrom="page">
              <wp14:pctHeight>0</wp14:pctHeight>
            </wp14:sizeRelV>
          </wp:anchor>
        </w:drawing>
      </w:r>
    </w:p>
    <w:p w14:paraId="3C5A532D" w14:textId="77777777" w:rsidR="00C65422" w:rsidRPr="00EE6BBC" w:rsidRDefault="00C65422" w:rsidP="00BB3F58">
      <w:pPr>
        <w:pStyle w:val="BodyText"/>
        <w:ind w:left="-142"/>
        <w:rPr>
          <w:b/>
          <w:color w:val="000000" w:themeColor="text1"/>
        </w:rPr>
      </w:pPr>
      <w:r w:rsidRPr="00EE6BBC">
        <w:rPr>
          <w:b/>
          <w:color w:val="000000" w:themeColor="text1"/>
        </w:rPr>
        <w:t>R&amp;D, innovation and technology</w:t>
      </w:r>
    </w:p>
    <w:p w14:paraId="7035B1FF" w14:textId="77777777" w:rsidR="00C65422" w:rsidRPr="002C77D5" w:rsidRDefault="00C65422" w:rsidP="00BB3F58">
      <w:pPr>
        <w:pStyle w:val="BodyText"/>
        <w:ind w:left="-142"/>
      </w:pPr>
      <w:r w:rsidRPr="002C77D5">
        <w:t xml:space="preserve">Research, development and innovation are critical to Australia’s response to climate change. </w:t>
      </w:r>
    </w:p>
    <w:p w14:paraId="56FA7CDF" w14:textId="1288E664" w:rsidR="00C65422" w:rsidRDefault="00C65422" w:rsidP="00BB3F58">
      <w:pPr>
        <w:pStyle w:val="BodyText"/>
        <w:ind w:left="-142"/>
      </w:pPr>
      <w:r w:rsidRPr="002C77D5">
        <w:t>Effective mitigation of climate change and decarbonisation in the long</w:t>
      </w:r>
      <w:r w:rsidR="00046702">
        <w:t>-</w:t>
      </w:r>
      <w:r w:rsidRPr="002C77D5">
        <w:t xml:space="preserve">term is heavily reliant on the development and deployment of new knowledge, technology and practices. This is particularly the case of harder-to-abate, emissions intensive industries. </w:t>
      </w:r>
    </w:p>
    <w:p w14:paraId="5AC22BB9" w14:textId="1E4195CF" w:rsidR="00036334" w:rsidRPr="00F126B8" w:rsidRDefault="00036334" w:rsidP="00036334">
      <w:pPr>
        <w:pStyle w:val="BodyText"/>
        <w:ind w:left="-142"/>
      </w:pPr>
      <w:r w:rsidRPr="00F126B8">
        <w:t>The Authority views the Australian Government’s focus on low-emissions technologies, through the recent release of the National Hydrogen Strategy</w:t>
      </w:r>
      <w:r w:rsidR="00D17937">
        <w:t xml:space="preserve"> and forthcoming release of the technology investment roadmap</w:t>
      </w:r>
      <w:r w:rsidRPr="00F126B8">
        <w:t xml:space="preserve"> </w:t>
      </w:r>
      <w:r w:rsidR="004771FE">
        <w:t>as significant step</w:t>
      </w:r>
      <w:r w:rsidR="00D17937">
        <w:t>s</w:t>
      </w:r>
      <w:r w:rsidRPr="00F126B8">
        <w:t xml:space="preserve"> in the right direction. </w:t>
      </w:r>
    </w:p>
    <w:p w14:paraId="322D8F2B" w14:textId="2BC0A381" w:rsidR="00036334" w:rsidRDefault="00F01E1E" w:rsidP="00FB35C8">
      <w:pPr>
        <w:pStyle w:val="BodyText"/>
        <w:ind w:left="-142"/>
      </w:pPr>
      <w:r>
        <w:t>In developing and implementing the Technology Investment Roadmap, t</w:t>
      </w:r>
      <w:r w:rsidR="00C65422" w:rsidRPr="00FB35C8">
        <w:t>he</w:t>
      </w:r>
      <w:r w:rsidR="00C65422">
        <w:rPr>
          <w:color w:val="000000"/>
          <w14:textFill>
            <w14:solidFill>
              <w14:srgbClr w14:val="000000">
                <w14:lumMod w14:val="75000"/>
              </w14:srgbClr>
            </w14:solidFill>
          </w14:textFill>
        </w:rPr>
        <w:t xml:space="preserve"> Authority recommends </w:t>
      </w:r>
      <w:r>
        <w:rPr>
          <w:color w:val="000000"/>
          <w14:textFill>
            <w14:solidFill>
              <w14:srgbClr w14:val="000000">
                <w14:lumMod w14:val="75000"/>
              </w14:srgbClr>
            </w14:solidFill>
          </w14:textFill>
        </w:rPr>
        <w:t>partnering</w:t>
      </w:r>
      <w:r w:rsidR="00C65422">
        <w:rPr>
          <w:color w:val="000000"/>
          <w14:textFill>
            <w14:solidFill>
              <w14:srgbClr w14:val="000000">
                <w14:lumMod w14:val="75000"/>
              </w14:srgbClr>
            </w14:solidFill>
          </w14:textFill>
        </w:rPr>
        <w:t xml:space="preserve"> with industry and researchers to </w:t>
      </w:r>
      <w:r w:rsidR="00C65422" w:rsidRPr="00B4539B">
        <w:rPr>
          <w:rFonts w:eastAsia="+mn-ea" w:cstheme="minorHAnsi"/>
          <w:b/>
          <w:color w:val="0C9FCD"/>
          <w:kern w:val="24"/>
        </w:rPr>
        <w:t>identify areas</w:t>
      </w:r>
      <w:r w:rsidR="00C65422">
        <w:t xml:space="preserve"> </w:t>
      </w:r>
      <w:r w:rsidR="00C65422" w:rsidRPr="002C77D5">
        <w:rPr>
          <w:rFonts w:eastAsia="+mn-ea" w:cstheme="minorHAnsi"/>
          <w:b/>
          <w:color w:val="0C9FCD"/>
          <w:kern w:val="24"/>
        </w:rPr>
        <w:t>where R&amp;D support</w:t>
      </w:r>
      <w:r w:rsidR="00C65422" w:rsidRPr="00EB031E">
        <w:t xml:space="preserve"> </w:t>
      </w:r>
      <w:r w:rsidR="00C65422" w:rsidRPr="00B4539B">
        <w:rPr>
          <w:rFonts w:eastAsia="+mn-ea" w:cstheme="minorHAnsi"/>
          <w:b/>
          <w:color w:val="0C9FCD"/>
          <w:kern w:val="24"/>
        </w:rPr>
        <w:t>is needed to capitalise on areas of comparative advantage</w:t>
      </w:r>
      <w:r w:rsidR="00C65422" w:rsidRPr="002C77D5">
        <w:t xml:space="preserve"> </w:t>
      </w:r>
      <w:r w:rsidR="00C65422" w:rsidRPr="00B4539B">
        <w:rPr>
          <w:rFonts w:eastAsia="+mn-ea" w:cstheme="minorHAnsi"/>
          <w:b/>
          <w:color w:val="0C9FCD"/>
          <w:kern w:val="24"/>
        </w:rPr>
        <w:t>for Australia</w:t>
      </w:r>
      <w:r w:rsidR="00C65422">
        <w:t xml:space="preserve"> as well as several funding policy actions through the Australian Renewable Energy Agency, the ERF and the C</w:t>
      </w:r>
      <w:r w:rsidR="00FB35C8">
        <w:t xml:space="preserve">lean </w:t>
      </w:r>
      <w:r w:rsidR="00C65422">
        <w:t>E</w:t>
      </w:r>
      <w:r w:rsidR="00FB35C8">
        <w:t xml:space="preserve">nergy </w:t>
      </w:r>
      <w:r w:rsidR="00C65422">
        <w:t>F</w:t>
      </w:r>
      <w:r w:rsidR="00FB35C8">
        <w:t xml:space="preserve">inance </w:t>
      </w:r>
      <w:r w:rsidR="00C65422">
        <w:t>C</w:t>
      </w:r>
      <w:r w:rsidR="00FB35C8">
        <w:t>orporation</w:t>
      </w:r>
      <w:r w:rsidR="00C65422">
        <w:t xml:space="preserve">. </w:t>
      </w:r>
    </w:p>
    <w:p w14:paraId="239A61DE" w14:textId="77777777" w:rsidR="00872B01" w:rsidRPr="00036334" w:rsidRDefault="00872B01" w:rsidP="00036334">
      <w:pPr>
        <w:pStyle w:val="BodyText"/>
      </w:pPr>
    </w:p>
    <w:p w14:paraId="682FC8F0" w14:textId="282B871F" w:rsidR="003741CC" w:rsidRPr="00D518B1" w:rsidRDefault="00BB3F58" w:rsidP="00BB3F58">
      <w:pPr>
        <w:pStyle w:val="BodyText"/>
        <w:ind w:left="-142"/>
        <w:rPr>
          <w:rFonts w:eastAsia="+mn-ea" w:cstheme="minorHAnsi"/>
          <w:b/>
          <w:color w:val="0C9FCD"/>
          <w:kern w:val="24"/>
        </w:rPr>
      </w:pPr>
      <w:r w:rsidRPr="000A0024">
        <w:rPr>
          <w:noProof/>
          <w:color w:val="0C9FCD"/>
        </w:rPr>
        <w:drawing>
          <wp:anchor distT="0" distB="0" distL="114300" distR="114300" simplePos="0" relativeHeight="251781120" behindDoc="1" locked="0" layoutInCell="1" allowOverlap="1" wp14:anchorId="73B40354" wp14:editId="1B6B148F">
            <wp:simplePos x="0" y="0"/>
            <wp:positionH relativeFrom="column">
              <wp:align>left</wp:align>
            </wp:positionH>
            <wp:positionV relativeFrom="paragraph">
              <wp:posOffset>0</wp:posOffset>
            </wp:positionV>
            <wp:extent cx="593090" cy="584200"/>
            <wp:effectExtent l="0" t="0" r="0" b="6350"/>
            <wp:wrapTight wrapText="bothSides">
              <wp:wrapPolygon edited="0">
                <wp:start x="0" y="0"/>
                <wp:lineTo x="0" y="21130"/>
                <wp:lineTo x="20814" y="21130"/>
                <wp:lineTo x="2081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lla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090" cy="584200"/>
                    </a:xfrm>
                    <a:prstGeom prst="rect">
                      <a:avLst/>
                    </a:prstGeom>
                  </pic:spPr>
                </pic:pic>
              </a:graphicData>
            </a:graphic>
            <wp14:sizeRelH relativeFrom="page">
              <wp14:pctWidth>0</wp14:pctWidth>
            </wp14:sizeRelH>
            <wp14:sizeRelV relativeFrom="page">
              <wp14:pctHeight>0</wp14:pctHeight>
            </wp14:sizeRelV>
          </wp:anchor>
        </w:drawing>
      </w:r>
      <w:r w:rsidR="003741CC" w:rsidRPr="00EE6BBC">
        <w:rPr>
          <w:b/>
          <w:color w:val="000000" w:themeColor="text1"/>
        </w:rPr>
        <w:t>Finance and investment</w:t>
      </w:r>
    </w:p>
    <w:p w14:paraId="0C3C9D12" w14:textId="24317168" w:rsidR="003741CC" w:rsidRPr="002C77D5" w:rsidRDefault="00D77CF6" w:rsidP="00BB3F58">
      <w:pPr>
        <w:pStyle w:val="BodyText"/>
        <w:ind w:left="-142"/>
      </w:pPr>
      <w:r>
        <w:t>Transitioning to a low-emissions</w:t>
      </w:r>
      <w:r w:rsidR="003741CC" w:rsidRPr="002C77D5">
        <w:t xml:space="preserve"> economy will require a re</w:t>
      </w:r>
      <w:r w:rsidR="00046702">
        <w:noBreakHyphen/>
      </w:r>
      <w:r w:rsidR="003741CC" w:rsidRPr="002C77D5">
        <w:t xml:space="preserve">orientation of public and private investment </w:t>
      </w:r>
      <w:r w:rsidR="00872B01">
        <w:t>away from high-</w:t>
      </w:r>
      <w:r w:rsidR="003741CC" w:rsidRPr="002C77D5">
        <w:t xml:space="preserve">emitting activities towards </w:t>
      </w:r>
      <w:r w:rsidR="003741CC">
        <w:t>existing and emerging low-emissions</w:t>
      </w:r>
      <w:r w:rsidR="003741CC" w:rsidRPr="002C77D5">
        <w:t xml:space="preserve"> industries. </w:t>
      </w:r>
    </w:p>
    <w:p w14:paraId="0C627503" w14:textId="77777777" w:rsidR="003741CC" w:rsidRDefault="003741CC" w:rsidP="00BB3F58">
      <w:pPr>
        <w:pStyle w:val="BodyText"/>
        <w:ind w:left="-142"/>
      </w:pPr>
      <w:r w:rsidRPr="002C77D5">
        <w:t>Australia’s large and highly sophisticated funds management industry and growing climate finance capacity mean we are well-placed to beco</w:t>
      </w:r>
      <w:r>
        <w:t>me a major investor in low-emissions</w:t>
      </w:r>
      <w:r w:rsidRPr="002C77D5">
        <w:t xml:space="preserve"> opportunities and a green finance hub for the region.</w:t>
      </w:r>
    </w:p>
    <w:p w14:paraId="382FB3C8" w14:textId="77777777" w:rsidR="003741CC" w:rsidRDefault="003741CC" w:rsidP="00BB3F58">
      <w:pPr>
        <w:pStyle w:val="BodyText"/>
        <w:ind w:left="-142"/>
      </w:pPr>
      <w:r w:rsidRPr="00BF160C">
        <w:t xml:space="preserve">Currently, markets fail to adequately recognise and price climate-related risk because of a lack </w:t>
      </w:r>
      <w:r w:rsidRPr="00BF160C">
        <w:lastRenderedPageBreak/>
        <w:t>of information and short-termism in investment decision making. However, this is changing quickly as relevant tools become available and financial regulators divert more attention to the issue.</w:t>
      </w:r>
    </w:p>
    <w:p w14:paraId="1F98291C" w14:textId="7D52CFEE" w:rsidR="000800DE" w:rsidRPr="000800DE" w:rsidRDefault="000800DE" w:rsidP="00BB3F58">
      <w:pPr>
        <w:spacing w:after="120"/>
        <w:ind w:left="-142"/>
      </w:pPr>
      <w:r w:rsidRPr="000800DE">
        <w:t xml:space="preserve">The Authority has recommended that a </w:t>
      </w:r>
      <w:r w:rsidRPr="000800DE">
        <w:rPr>
          <w:rFonts w:eastAsia="+mn-ea" w:cstheme="minorHAnsi"/>
          <w:b/>
          <w:color w:val="0C9FCD"/>
          <w:kern w:val="24"/>
        </w:rPr>
        <w:t>review be conducted of the data</w:t>
      </w:r>
      <w:r w:rsidRPr="000800DE">
        <w:t xml:space="preserve"> </w:t>
      </w:r>
      <w:r w:rsidRPr="00872B01">
        <w:t>necessary</w:t>
      </w:r>
      <w:r w:rsidRPr="000800DE">
        <w:t xml:space="preserve"> to enable industry, investors and business </w:t>
      </w:r>
      <w:r w:rsidRPr="000800DE">
        <w:rPr>
          <w:rFonts w:eastAsia="+mn-ea" w:cstheme="minorHAnsi"/>
          <w:b/>
          <w:color w:val="0C9FCD"/>
          <w:kern w:val="24"/>
        </w:rPr>
        <w:t>understand and manage climate-related financial risk</w:t>
      </w:r>
      <w:r w:rsidRPr="000800DE">
        <w:t xml:space="preserve"> and develop and implement plans to address</w:t>
      </w:r>
      <w:r w:rsidR="00F01E1E">
        <w:t xml:space="preserve"> </w:t>
      </w:r>
      <w:r w:rsidRPr="000800DE">
        <w:t>gaps</w:t>
      </w:r>
      <w:r w:rsidR="00F01E1E">
        <w:t xml:space="preserve"> and deficiencies in the data</w:t>
      </w:r>
      <w:r w:rsidRPr="000800DE">
        <w:t>.</w:t>
      </w:r>
    </w:p>
    <w:p w14:paraId="352E053D" w14:textId="16386DDF" w:rsidR="00D77CF6" w:rsidRDefault="00D77CF6" w:rsidP="00872B01">
      <w:pPr>
        <w:spacing w:after="120"/>
        <w:ind w:left="-142"/>
        <w:rPr>
          <w:rFonts w:eastAsia="+mn-ea" w:cstheme="minorHAnsi"/>
          <w:b/>
          <w:color w:val="0C9FCD"/>
          <w:kern w:val="24"/>
        </w:rPr>
      </w:pPr>
      <w:r>
        <w:t xml:space="preserve">The Authority is encouraged by the work Australia’s financial regulators are doing to assist the finance and investment sector manage and report on climate-related risk. We have identified </w:t>
      </w:r>
      <w:r w:rsidRPr="00D77CF6">
        <w:rPr>
          <w:rFonts w:eastAsia="+mn-ea" w:cstheme="minorHAnsi"/>
          <w:b/>
          <w:color w:val="0C9FCD"/>
          <w:kern w:val="24"/>
        </w:rPr>
        <w:t xml:space="preserve">several areas where the quality and usefulness of climate risk reporting can </w:t>
      </w:r>
      <w:r w:rsidR="00872B01">
        <w:rPr>
          <w:rFonts w:eastAsia="+mn-ea" w:cstheme="minorHAnsi"/>
          <w:b/>
          <w:color w:val="0C9FCD"/>
          <w:kern w:val="24"/>
        </w:rPr>
        <w:t xml:space="preserve">continue to </w:t>
      </w:r>
      <w:r w:rsidRPr="00D77CF6">
        <w:rPr>
          <w:rFonts w:eastAsia="+mn-ea" w:cstheme="minorHAnsi"/>
          <w:b/>
          <w:color w:val="0C9FCD"/>
          <w:kern w:val="24"/>
        </w:rPr>
        <w:t xml:space="preserve">be enhanced. </w:t>
      </w:r>
    </w:p>
    <w:p w14:paraId="74A945AE" w14:textId="77777777" w:rsidR="00872B01" w:rsidRPr="00872B01" w:rsidRDefault="00872B01" w:rsidP="00872B01">
      <w:pPr>
        <w:spacing w:after="120"/>
        <w:ind w:left="-142"/>
        <w:rPr>
          <w:rFonts w:eastAsia="+mn-ea" w:cstheme="minorHAnsi"/>
          <w:b/>
          <w:color w:val="0C9FCD"/>
          <w:kern w:val="24"/>
        </w:rPr>
      </w:pPr>
    </w:p>
    <w:p w14:paraId="60ED4FDD" w14:textId="4513A433" w:rsidR="00274ABA" w:rsidRPr="00931E22" w:rsidRDefault="003741CC" w:rsidP="00BB3F58">
      <w:pPr>
        <w:pStyle w:val="BodyText"/>
        <w:spacing w:before="120" w:after="0" w:line="312" w:lineRule="auto"/>
        <w:ind w:left="-142"/>
        <w:rPr>
          <w:rFonts w:eastAsia="+mn-ea" w:cstheme="minorHAnsi"/>
          <w:b/>
          <w:color w:val="0C9FCD"/>
          <w:kern w:val="24"/>
        </w:rPr>
      </w:pPr>
      <w:r w:rsidRPr="008511E2">
        <w:rPr>
          <w:b/>
          <w:caps/>
          <w:noProof/>
          <w:color w:val="0C9FCD"/>
        </w:rPr>
        <w:drawing>
          <wp:anchor distT="0" distB="0" distL="114300" distR="114300" simplePos="0" relativeHeight="251783168" behindDoc="0" locked="0" layoutInCell="1" allowOverlap="1" wp14:anchorId="7709C5C3" wp14:editId="595EF843">
            <wp:simplePos x="0" y="0"/>
            <wp:positionH relativeFrom="margin">
              <wp:posOffset>-3175</wp:posOffset>
            </wp:positionH>
            <wp:positionV relativeFrom="paragraph">
              <wp:posOffset>0</wp:posOffset>
            </wp:positionV>
            <wp:extent cx="685800" cy="7092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in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709295"/>
                    </a:xfrm>
                    <a:prstGeom prst="rect">
                      <a:avLst/>
                    </a:prstGeom>
                  </pic:spPr>
                </pic:pic>
              </a:graphicData>
            </a:graphic>
            <wp14:sizeRelH relativeFrom="page">
              <wp14:pctWidth>0</wp14:pctWidth>
            </wp14:sizeRelH>
            <wp14:sizeRelV relativeFrom="page">
              <wp14:pctHeight>0</wp14:pctHeight>
            </wp14:sizeRelV>
          </wp:anchor>
        </w:drawing>
      </w:r>
      <w:r w:rsidR="00274ABA">
        <w:rPr>
          <w:b/>
          <w:color w:val="000000" w:themeColor="text1"/>
        </w:rPr>
        <w:t xml:space="preserve">New </w:t>
      </w:r>
      <w:r w:rsidR="00931E22">
        <w:rPr>
          <w:b/>
          <w:color w:val="000000" w:themeColor="text1"/>
        </w:rPr>
        <w:t>electricity</w:t>
      </w:r>
      <w:r w:rsidR="00274ABA" w:rsidRPr="00274ABA">
        <w:rPr>
          <w:b/>
          <w:color w:val="000000" w:themeColor="text1"/>
        </w:rPr>
        <w:t xml:space="preserve"> generation </w:t>
      </w:r>
    </w:p>
    <w:p w14:paraId="258CF903" w14:textId="14F15262" w:rsidR="00274ABA" w:rsidRPr="00274ABA" w:rsidRDefault="00274ABA" w:rsidP="00BB3F58">
      <w:pPr>
        <w:pStyle w:val="BodyText"/>
        <w:ind w:left="-142"/>
      </w:pPr>
      <w:r>
        <w:t xml:space="preserve">New gains in emissions reduction can </w:t>
      </w:r>
      <w:r w:rsidRPr="00FB15EE">
        <w:t>be achieved</w:t>
      </w:r>
      <w:r w:rsidR="00931E22">
        <w:t xml:space="preserve"> through new sources of electricity</w:t>
      </w:r>
      <w:r>
        <w:t xml:space="preserve"> production </w:t>
      </w:r>
      <w:r w:rsidRPr="00FB15EE">
        <w:t xml:space="preserve">and through 'electrification' in sectors such as transport and industry. </w:t>
      </w:r>
    </w:p>
    <w:p w14:paraId="544F8CD1" w14:textId="506FC14B" w:rsidR="00931E22" w:rsidRDefault="008F274D" w:rsidP="00BB3F58">
      <w:pPr>
        <w:pStyle w:val="BodyText"/>
        <w:ind w:left="-142"/>
      </w:pPr>
      <w:r>
        <w:t xml:space="preserve">In the electricity sector, </w:t>
      </w:r>
      <w:r w:rsidRPr="00931E22">
        <w:rPr>
          <w:rFonts w:eastAsia="+mn-ea" w:cstheme="minorHAnsi"/>
          <w:b/>
          <w:color w:val="0C9FCD"/>
          <w:kern w:val="24"/>
        </w:rPr>
        <w:t>providing greater certainty on the timing of the retirement of coal-fired power stations</w:t>
      </w:r>
      <w:r>
        <w:t xml:space="preserve"> will raise the prospects for timely investment in replacement, lower emissions generation capacity. It will also enhance planning support for local workforces</w:t>
      </w:r>
      <w:r w:rsidR="005126CB">
        <w:t xml:space="preserve"> and the development of alternative industries providing employment</w:t>
      </w:r>
      <w:r>
        <w:t xml:space="preserve">. </w:t>
      </w:r>
    </w:p>
    <w:p w14:paraId="5551A159" w14:textId="573B3A4D" w:rsidR="00966E12" w:rsidRDefault="001F7E4B" w:rsidP="00872B01">
      <w:pPr>
        <w:pStyle w:val="BodyText"/>
        <w:ind w:left="-142"/>
      </w:pPr>
      <w:r w:rsidRPr="001F7E4B">
        <w:rPr>
          <w:rFonts w:eastAsia="+mn-ea" w:cstheme="minorHAnsi"/>
          <w:b/>
          <w:color w:val="0C9FCD"/>
          <w:kern w:val="24"/>
        </w:rPr>
        <w:t>Fast-tracking reforms to energy market rules to better facilitate the integration of large amounts of low- and zero-emissions generation</w:t>
      </w:r>
      <w:r w:rsidRPr="00D34621">
        <w:t xml:space="preserve"> will ensure the significant investor appetite for the sector is not held back.</w:t>
      </w:r>
    </w:p>
    <w:p w14:paraId="6A5727B8" w14:textId="77777777" w:rsidR="005126CB" w:rsidRDefault="005126CB" w:rsidP="00872B01">
      <w:pPr>
        <w:pStyle w:val="BodyText"/>
        <w:ind w:left="-142"/>
      </w:pPr>
    </w:p>
    <w:p w14:paraId="2C9BB701" w14:textId="77777777" w:rsidR="005126CB" w:rsidRDefault="005126CB" w:rsidP="00872B01">
      <w:pPr>
        <w:pStyle w:val="BodyText"/>
        <w:ind w:left="-142"/>
      </w:pPr>
    </w:p>
    <w:p w14:paraId="6CC8702F" w14:textId="77777777" w:rsidR="005126CB" w:rsidRDefault="005126CB" w:rsidP="00872B01">
      <w:pPr>
        <w:pStyle w:val="BodyText"/>
        <w:ind w:left="-142"/>
      </w:pPr>
    </w:p>
    <w:p w14:paraId="530F6EEE" w14:textId="0A14F63D" w:rsidR="00D518B1" w:rsidRPr="003A3420" w:rsidRDefault="003A3420" w:rsidP="003A3420">
      <w:pPr>
        <w:pStyle w:val="BodyText"/>
        <w:ind w:left="-142"/>
      </w:pPr>
      <w:r>
        <w:rPr>
          <w:noProof/>
        </w:rPr>
        <w:drawing>
          <wp:inline distT="0" distB="0" distL="0" distR="0" wp14:anchorId="2D68B05C" wp14:editId="222F0FED">
            <wp:extent cx="768350" cy="768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68350" cy="768350"/>
                    </a:xfrm>
                    <a:prstGeom prst="rect">
                      <a:avLst/>
                    </a:prstGeom>
                  </pic:spPr>
                </pic:pic>
              </a:graphicData>
            </a:graphic>
          </wp:inline>
        </w:drawing>
      </w:r>
      <w:bookmarkStart w:id="7" w:name="_Toc24640286"/>
      <w:bookmarkStart w:id="8" w:name="_Toc24640382"/>
      <w:r w:rsidR="003A6DE0">
        <w:rPr>
          <w:b/>
          <w:color w:val="000000" w:themeColor="text1"/>
        </w:rPr>
        <w:t>Growing sustainability</w:t>
      </w:r>
    </w:p>
    <w:p w14:paraId="5DC8E074" w14:textId="5159EC49" w:rsidR="00D518B1" w:rsidRPr="000A43A3" w:rsidRDefault="00D518B1" w:rsidP="00BB3F58">
      <w:pPr>
        <w:pStyle w:val="BodyText"/>
        <w:ind w:left="-142"/>
      </w:pPr>
      <w:r w:rsidRPr="000A43A3">
        <w:t>Agriculture producers are looking for opportunities to demonstrate their environmental credentials to meet emerging demand from domestic and export markets. For our agricultural products to retain market access, we need to ensure international standards and 'carbon footprint' labelling schemes take account of Australia's circumstances.</w:t>
      </w:r>
    </w:p>
    <w:p w14:paraId="7E579D2D" w14:textId="0C812345" w:rsidR="00D518B1" w:rsidRDefault="00D518B1" w:rsidP="00BB3F58">
      <w:pPr>
        <w:pStyle w:val="BodyText"/>
        <w:ind w:left="-142"/>
      </w:pPr>
      <w:r w:rsidRPr="000A43A3">
        <w:t xml:space="preserve">The Authority has identified a suite of recommendations to help the sector to </w:t>
      </w:r>
      <w:r w:rsidRPr="00402333">
        <w:rPr>
          <w:rFonts w:eastAsia="+mn-ea" w:cstheme="minorHAnsi"/>
          <w:b/>
          <w:color w:val="0C9FCD"/>
          <w:kern w:val="24"/>
        </w:rPr>
        <w:t>identify, fund and access mitigation and sequestration opportunities</w:t>
      </w:r>
      <w:r w:rsidRPr="00AA003E">
        <w:t xml:space="preserve"> and position themselves competitively in a global market demanding environmentally sustainable, low-emissions produce. </w:t>
      </w:r>
    </w:p>
    <w:p w14:paraId="6AD0C91C" w14:textId="7D71B48D" w:rsidR="00872B01" w:rsidRDefault="00872B01" w:rsidP="00872B01">
      <w:pPr>
        <w:pStyle w:val="BodyText"/>
      </w:pPr>
      <w:r>
        <w:rPr>
          <w:noProof/>
        </w:rPr>
        <w:drawing>
          <wp:anchor distT="0" distB="0" distL="114300" distR="114300" simplePos="0" relativeHeight="251791360" behindDoc="0" locked="0" layoutInCell="1" allowOverlap="1" wp14:anchorId="76755711" wp14:editId="0E9A133A">
            <wp:simplePos x="0" y="0"/>
            <wp:positionH relativeFrom="margin">
              <wp:posOffset>3149600</wp:posOffset>
            </wp:positionH>
            <wp:positionV relativeFrom="paragraph">
              <wp:posOffset>272415</wp:posOffset>
            </wp:positionV>
            <wp:extent cx="717550" cy="469900"/>
            <wp:effectExtent l="0" t="0" r="635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17550" cy="469900"/>
                    </a:xfrm>
                    <a:prstGeom prst="rect">
                      <a:avLst/>
                    </a:prstGeom>
                  </pic:spPr>
                </pic:pic>
              </a:graphicData>
            </a:graphic>
          </wp:anchor>
        </w:drawing>
      </w:r>
    </w:p>
    <w:p w14:paraId="1C854612" w14:textId="77777777" w:rsidR="00872B01" w:rsidRDefault="00872B01" w:rsidP="00BB3F58">
      <w:pPr>
        <w:pStyle w:val="BodyText"/>
        <w:ind w:left="-142"/>
      </w:pPr>
    </w:p>
    <w:p w14:paraId="3F7F8812" w14:textId="77777777" w:rsidR="00872B01" w:rsidRPr="003A3420" w:rsidRDefault="00872B01" w:rsidP="00872B01">
      <w:r>
        <w:rPr>
          <w:b/>
          <w:color w:val="000000" w:themeColor="text1"/>
        </w:rPr>
        <w:t>C</w:t>
      </w:r>
      <w:r w:rsidRPr="000800DE">
        <w:rPr>
          <w:b/>
          <w:color w:val="000000" w:themeColor="text1"/>
        </w:rPr>
        <w:t>ircular economy</w:t>
      </w:r>
    </w:p>
    <w:p w14:paraId="1A93E2FF" w14:textId="57C9EBDE" w:rsidR="00872B01" w:rsidRDefault="00872B01" w:rsidP="00872B01">
      <w:pPr>
        <w:pStyle w:val="BodyText"/>
        <w:ind w:left="-142"/>
      </w:pPr>
      <w:r>
        <w:t>Transitioning to a circular economy presents opportunities for significant emissions reductions in the waste sector. A circular economy displaces landfill gas emissions by reducing waste and avoiding landfill disposal. A circular economy also enables broader emissions reductions in other sectors such as transport and manufacturing</w:t>
      </w:r>
      <w:r w:rsidR="009D4535">
        <w:t>.</w:t>
      </w:r>
    </w:p>
    <w:p w14:paraId="3FDDEAA5" w14:textId="75B91DC9" w:rsidR="00872B01" w:rsidRDefault="00872B01" w:rsidP="00872B01">
      <w:pPr>
        <w:pStyle w:val="BodyText"/>
        <w:ind w:left="-142"/>
      </w:pPr>
      <w:r>
        <w:t xml:space="preserve">The Authority has recommended the </w:t>
      </w:r>
      <w:r w:rsidRPr="00C9421D">
        <w:rPr>
          <w:rFonts w:eastAsia="+mn-ea" w:cstheme="minorHAnsi"/>
          <w:b/>
          <w:color w:val="0C9FCD"/>
          <w:kern w:val="24"/>
        </w:rPr>
        <w:t>National Waste Policy Action Plan be implemented</w:t>
      </w:r>
      <w:r>
        <w:t xml:space="preserve"> in a way </w:t>
      </w:r>
      <w:r w:rsidRPr="000A43A3">
        <w:t>that considers industry development, the waste hierarchy, research and development needs, training requirements, barriers to adoption and an emphasis on creating industries in regions undergoing transition.</w:t>
      </w:r>
      <w:r>
        <w:t xml:space="preserve"> </w:t>
      </w:r>
    </w:p>
    <w:p w14:paraId="1BA489D5" w14:textId="124880DB" w:rsidR="00D41C22" w:rsidRDefault="00872B01" w:rsidP="00872B01">
      <w:pPr>
        <w:rPr>
          <w:rFonts w:eastAsia="+mn-ea" w:cstheme="minorHAnsi"/>
          <w:b/>
          <w:color w:val="0C9FCD"/>
          <w:kern w:val="24"/>
        </w:rPr>
      </w:pPr>
      <w:r>
        <w:rPr>
          <w:rFonts w:eastAsia="+mn-ea" w:cstheme="minorHAnsi"/>
          <w:b/>
          <w:color w:val="0C9FCD"/>
          <w:kern w:val="24"/>
        </w:rPr>
        <w:br w:type="page"/>
      </w:r>
    </w:p>
    <w:p w14:paraId="5624B5B8" w14:textId="709BC945" w:rsidR="00274ABA" w:rsidRPr="003A3420" w:rsidRDefault="003A3420" w:rsidP="003A3420">
      <w:pPr>
        <w:pStyle w:val="BodyText"/>
        <w:ind w:left="-142"/>
        <w:rPr>
          <w:rFonts w:eastAsia="+mn-ea" w:cstheme="minorHAnsi"/>
          <w:b/>
          <w:color w:val="0C9FCD"/>
          <w:kern w:val="24"/>
        </w:rPr>
      </w:pPr>
      <w:r>
        <w:rPr>
          <w:noProof/>
        </w:rPr>
        <w:lastRenderedPageBreak/>
        <w:drawing>
          <wp:inline distT="0" distB="0" distL="0" distR="0" wp14:anchorId="00F7655F" wp14:editId="07089DD6">
            <wp:extent cx="914400" cy="825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14400" cy="825500"/>
                    </a:xfrm>
                    <a:prstGeom prst="rect">
                      <a:avLst/>
                    </a:prstGeom>
                  </pic:spPr>
                </pic:pic>
              </a:graphicData>
            </a:graphic>
          </wp:inline>
        </w:drawing>
      </w:r>
      <w:r w:rsidR="00274ABA" w:rsidRPr="00EE6BBC">
        <w:rPr>
          <w:b/>
          <w:color w:val="000000" w:themeColor="text1"/>
        </w:rPr>
        <w:t>Preparing for a changing climate</w:t>
      </w:r>
    </w:p>
    <w:p w14:paraId="595C491B" w14:textId="0D3F183D" w:rsidR="00274ABA" w:rsidRDefault="00274ABA" w:rsidP="00C9421D">
      <w:pPr>
        <w:ind w:left="-142"/>
      </w:pPr>
      <w:r w:rsidRPr="00CC6EB8">
        <w:t>Enhancing our preparedness for future climate impacts will protect the resilience, health and well-being of Australians and sustain Australia’s economic productivity and natural systems.</w:t>
      </w:r>
    </w:p>
    <w:p w14:paraId="75D21931" w14:textId="54053241" w:rsidR="00D41C22" w:rsidRDefault="00D41C22" w:rsidP="00D41C22">
      <w:pPr>
        <w:ind w:left="-142"/>
      </w:pPr>
      <w:r>
        <w:t xml:space="preserve">The Authority recognises that </w:t>
      </w:r>
      <w:r w:rsidRPr="00D41C22">
        <w:rPr>
          <w:rFonts w:eastAsia="+mn-ea" w:cstheme="minorHAnsi"/>
          <w:b/>
          <w:color w:val="0C9FCD"/>
          <w:kern w:val="24"/>
        </w:rPr>
        <w:t>all levels of government have differentiated, yet complementary responsibilities in preparing Australia for a changing climate</w:t>
      </w:r>
      <w:r>
        <w:t xml:space="preserve">. The federal government has overall responsibility for the national economy and Australia’s national interests and should therefore play a leading role in positioning Australia to adapt to climate change as it </w:t>
      </w:r>
      <w:r w:rsidR="00FB35C8">
        <w:t>impacts on</w:t>
      </w:r>
      <w:r>
        <w:t xml:space="preserve"> the nation’s prosperity and security. State and territory and local governments also have </w:t>
      </w:r>
      <w:r w:rsidR="004771FE">
        <w:t xml:space="preserve">a </w:t>
      </w:r>
      <w:r>
        <w:t xml:space="preserve">crucial role in relation to </w:t>
      </w:r>
      <w:r w:rsidR="004771FE">
        <w:t xml:space="preserve">the </w:t>
      </w:r>
      <w:r>
        <w:t xml:space="preserve">delivery of services and infrastructure. </w:t>
      </w:r>
    </w:p>
    <w:p w14:paraId="620EA72E" w14:textId="2E828F37" w:rsidR="00E5012C" w:rsidRDefault="00D41C22" w:rsidP="00D41C22">
      <w:pPr>
        <w:ind w:left="-142"/>
      </w:pPr>
      <w:r>
        <w:t>The</w:t>
      </w:r>
      <w:r w:rsidR="00B858AF">
        <w:t xml:space="preserve"> Government has</w:t>
      </w:r>
      <w:r>
        <w:t xml:space="preserve"> </w:t>
      </w:r>
      <w:r w:rsidR="00B858AF">
        <w:t>a range of</w:t>
      </w:r>
      <w:r>
        <w:t xml:space="preserve"> </w:t>
      </w:r>
      <w:r w:rsidR="00422FC1">
        <w:t xml:space="preserve">initiatives currently underway </w:t>
      </w:r>
      <w:r w:rsidR="00B858AF">
        <w:t>on building climate resilience and strengthening government coordination. The Authority has proposed an</w:t>
      </w:r>
      <w:r w:rsidR="00B858AF" w:rsidRPr="00B32198">
        <w:t xml:space="preserve"> </w:t>
      </w:r>
      <w:r w:rsidR="00B858AF" w:rsidRPr="00B858AF">
        <w:rPr>
          <w:rFonts w:eastAsia="+mn-ea" w:cstheme="minorHAnsi"/>
          <w:b/>
          <w:color w:val="0C9FCD"/>
          <w:kern w:val="24"/>
        </w:rPr>
        <w:t>update of the National Climate Resilience and Adaptation Strategy</w:t>
      </w:r>
      <w:r w:rsidR="00B858AF" w:rsidRPr="00B32198">
        <w:t>, both to better communicate the</w:t>
      </w:r>
      <w:r w:rsidR="00B858AF">
        <w:t xml:space="preserve">se </w:t>
      </w:r>
      <w:r w:rsidR="00B858AF" w:rsidRPr="00B32198">
        <w:t>initiatives and to identify future priority actions to enhance Australia’s readiness for climate impacts.</w:t>
      </w:r>
    </w:p>
    <w:p w14:paraId="39D4E92A" w14:textId="7C8CC8C8" w:rsidR="00D41C22" w:rsidRDefault="00E5012C" w:rsidP="00D41C22">
      <w:pPr>
        <w:ind w:left="-142"/>
      </w:pPr>
      <w:r>
        <w:t xml:space="preserve">The Authority </w:t>
      </w:r>
      <w:r w:rsidR="00D41C22">
        <w:t xml:space="preserve">sees an </w:t>
      </w:r>
      <w:r w:rsidR="00D41C22" w:rsidRPr="00D41C22">
        <w:t>increased role for governments in the provision of information about the impacts of climate change and options to manage future changes.</w:t>
      </w:r>
      <w:r w:rsidR="00D41C22">
        <w:t xml:space="preserve"> </w:t>
      </w:r>
      <w:r w:rsidR="00D41C22" w:rsidRPr="00D41C22">
        <w:rPr>
          <w:rFonts w:eastAsia="+mn-ea" w:cstheme="minorHAnsi"/>
          <w:b/>
          <w:color w:val="0C9FCD"/>
          <w:kern w:val="24"/>
        </w:rPr>
        <w:t xml:space="preserve">The Australian Government and its science agencies are well placed to lead and coordinate the production and communication of Australian-specific climate </w:t>
      </w:r>
      <w:r w:rsidR="00D41C22">
        <w:rPr>
          <w:rFonts w:eastAsia="+mn-ea" w:cstheme="minorHAnsi"/>
          <w:b/>
          <w:color w:val="0C9FCD"/>
          <w:kern w:val="24"/>
        </w:rPr>
        <w:t>change informa</w:t>
      </w:r>
      <w:r w:rsidR="00D41C22" w:rsidRPr="00D41C22">
        <w:rPr>
          <w:rFonts w:eastAsia="+mn-ea" w:cstheme="minorHAnsi"/>
          <w:b/>
          <w:color w:val="0C9FCD"/>
          <w:kern w:val="24"/>
        </w:rPr>
        <w:t>t</w:t>
      </w:r>
      <w:r w:rsidR="00D41C22">
        <w:rPr>
          <w:rFonts w:eastAsia="+mn-ea" w:cstheme="minorHAnsi"/>
          <w:b/>
          <w:color w:val="0C9FCD"/>
          <w:kern w:val="24"/>
        </w:rPr>
        <w:t>i</w:t>
      </w:r>
      <w:r w:rsidR="00D41C22" w:rsidRPr="00D41C22">
        <w:rPr>
          <w:rFonts w:eastAsia="+mn-ea" w:cstheme="minorHAnsi"/>
          <w:b/>
          <w:color w:val="0C9FCD"/>
          <w:kern w:val="24"/>
        </w:rPr>
        <w:t>on.</w:t>
      </w:r>
    </w:p>
    <w:p w14:paraId="3EB1C85C" w14:textId="79E6E654" w:rsidR="00645ACB" w:rsidRDefault="00CA20E9" w:rsidP="00D41C22">
      <w:pPr>
        <w:ind w:left="-142"/>
      </w:pPr>
      <w:r>
        <w:t>In particular, c</w:t>
      </w:r>
      <w:r w:rsidRPr="000A43A3">
        <w:t xml:space="preserve">limate change represents a significant risk to the outlook for the agriculture sector. </w:t>
      </w:r>
      <w:r w:rsidRPr="00402333">
        <w:rPr>
          <w:rFonts w:eastAsia="+mn-ea" w:cstheme="minorHAnsi"/>
          <w:b/>
          <w:color w:val="0C9FCD"/>
          <w:kern w:val="24"/>
        </w:rPr>
        <w:t>Development of appropriate adaptation measures</w:t>
      </w:r>
      <w:r w:rsidR="00EB3A7D">
        <w:rPr>
          <w:rFonts w:eastAsia="+mn-ea" w:cstheme="minorHAnsi"/>
          <w:b/>
          <w:color w:val="0C9FCD"/>
          <w:kern w:val="24"/>
        </w:rPr>
        <w:t>, supported by information and g</w:t>
      </w:r>
      <w:r w:rsidRPr="00402333">
        <w:rPr>
          <w:rFonts w:eastAsia="+mn-ea" w:cstheme="minorHAnsi"/>
          <w:b/>
          <w:color w:val="0C9FCD"/>
          <w:kern w:val="24"/>
        </w:rPr>
        <w:t>overnment policies, are needed.</w:t>
      </w:r>
      <w:r w:rsidRPr="000A43A3">
        <w:t xml:space="preserve"> </w:t>
      </w:r>
    </w:p>
    <w:p w14:paraId="18DB2A89" w14:textId="77777777" w:rsidR="00645ACB" w:rsidRDefault="00645ACB" w:rsidP="00C603BA">
      <w:pPr>
        <w:ind w:left="-142"/>
      </w:pPr>
    </w:p>
    <w:p w14:paraId="2AFB789A" w14:textId="77777777" w:rsidR="00645ACB" w:rsidRDefault="00645ACB" w:rsidP="00C603BA">
      <w:pPr>
        <w:ind w:left="-142"/>
      </w:pPr>
    </w:p>
    <w:p w14:paraId="4609E690" w14:textId="77777777" w:rsidR="009D4535" w:rsidRDefault="009D4535" w:rsidP="00C603BA">
      <w:pPr>
        <w:ind w:left="-142"/>
      </w:pPr>
    </w:p>
    <w:p w14:paraId="38D8B81B" w14:textId="1458DD5F" w:rsidR="007B677B" w:rsidRDefault="00CA20E9" w:rsidP="00C603BA">
      <w:pPr>
        <w:ind w:left="-142"/>
      </w:pPr>
      <w:r w:rsidRPr="000A43A3">
        <w:t xml:space="preserve">The Authority has </w:t>
      </w:r>
      <w:r w:rsidR="00A50F34">
        <w:t>therefore recommended that the f</w:t>
      </w:r>
      <w:r w:rsidRPr="000A43A3">
        <w:t xml:space="preserve">ederal and state and territory governments continue to </w:t>
      </w:r>
      <w:r w:rsidRPr="00402333">
        <w:t>coordinate and integrate programs designed to increase mitigation, build resilience to drought and climate impacts, enhance biodiversity and provide benefits for Indigenous communities.</w:t>
      </w:r>
    </w:p>
    <w:p w14:paraId="145D3825" w14:textId="7E0C9BF5" w:rsidR="003A3420" w:rsidRDefault="00B27CE3" w:rsidP="003A3420">
      <w:pPr>
        <w:rPr>
          <w:b/>
          <w:color w:val="000000" w:themeColor="text1"/>
        </w:rPr>
      </w:pPr>
      <w:r w:rsidRPr="006A648E">
        <w:rPr>
          <w:noProof/>
        </w:rPr>
        <mc:AlternateContent>
          <mc:Choice Requires="wps">
            <w:drawing>
              <wp:anchor distT="0" distB="0" distL="114300" distR="114300" simplePos="0" relativeHeight="251717632" behindDoc="0" locked="0" layoutInCell="1" allowOverlap="1" wp14:anchorId="7031AC78" wp14:editId="62C0BE01">
                <wp:simplePos x="0" y="0"/>
                <wp:positionH relativeFrom="column">
                  <wp:posOffset>-119380</wp:posOffset>
                </wp:positionH>
                <wp:positionV relativeFrom="paragraph">
                  <wp:posOffset>154940</wp:posOffset>
                </wp:positionV>
                <wp:extent cx="2686050" cy="1600200"/>
                <wp:effectExtent l="0" t="0" r="0" b="0"/>
                <wp:wrapNone/>
                <wp:docPr id="1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600200"/>
                        </a:xfrm>
                        <a:prstGeom prst="rect">
                          <a:avLst/>
                        </a:prstGeom>
                        <a:solidFill>
                          <a:srgbClr val="C7E499"/>
                        </a:solidFill>
                      </wps:spPr>
                      <wps:txbx>
                        <w:txbxContent>
                          <w:p w14:paraId="35A4979F" w14:textId="028C5124" w:rsidR="006A648E" w:rsidRDefault="006A648E" w:rsidP="006A648E">
                            <w:pPr>
                              <w:pStyle w:val="BodyText"/>
                              <w:rPr>
                                <w:b/>
                                <w:color w:val="808080" w:themeColor="background1" w:themeShade="80"/>
                                <w:sz w:val="28"/>
                                <w:szCs w:val="28"/>
                              </w:rPr>
                            </w:pPr>
                            <w:r w:rsidRPr="006A648E">
                              <w:rPr>
                                <w:b/>
                                <w:color w:val="808080" w:themeColor="background1" w:themeShade="80"/>
                                <w:sz w:val="28"/>
                                <w:szCs w:val="28"/>
                              </w:rPr>
                              <w:t>Contact the Authority</w:t>
                            </w:r>
                          </w:p>
                          <w:p w14:paraId="1337E79C" w14:textId="30314521" w:rsidR="006A648E" w:rsidRDefault="006A648E" w:rsidP="006A648E">
                            <w:pPr>
                              <w:pStyle w:val="BodyText"/>
                            </w:pPr>
                            <w:r w:rsidRPr="00E03799">
                              <w:t xml:space="preserve">To contact the Climate Change Authority Freecall 1800 475 869 or email at </w:t>
                            </w:r>
                            <w:hyperlink r:id="rId27" w:history="1">
                              <w:r w:rsidRPr="00E03799">
                                <w:rPr>
                                  <w:rStyle w:val="Hyperlink"/>
                                </w:rPr>
                                <w:t>enquiries@climatechangeauthority.gov.au</w:t>
                              </w:r>
                            </w:hyperlink>
                            <w:r w:rsidRPr="00E03799">
                              <w:t>.</w:t>
                            </w:r>
                            <w:r>
                              <w:t xml:space="preserve"> </w:t>
                            </w:r>
                          </w:p>
                          <w:p w14:paraId="4F8A99B7" w14:textId="20D0134A" w:rsidR="006A648E" w:rsidRPr="00A3172E" w:rsidRDefault="00A3172E" w:rsidP="006A648E">
                            <w:pPr>
                              <w:pStyle w:val="BodyText"/>
                            </w:pPr>
                            <w:r>
                              <w:t xml:space="preserve">The full </w:t>
                            </w:r>
                            <w:r w:rsidRPr="00A3172E">
                              <w:t>report</w:t>
                            </w:r>
                            <w:r>
                              <w:t xml:space="preserve"> can be found at </w:t>
                            </w:r>
                            <w:hyperlink r:id="rId28" w:history="1">
                              <w:r w:rsidRPr="006936C8">
                                <w:rPr>
                                  <w:rStyle w:val="Hyperlink"/>
                                </w:rPr>
                                <w:t>www.climatechangeauthority.gov.au</w:t>
                              </w:r>
                            </w:hyperlink>
                            <w:r>
                              <w:t xml:space="preserve">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7031AC78" id="_x0000_s1027" type="#_x0000_t202" style="position:absolute;margin-left:-9.4pt;margin-top:12.2pt;width:211.5pt;height:1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" fillcolor="#c7e499" stroked="f">
                <v:path arrowok="t"/>
                <v:textbox>
                  <w:txbxContent>
                    <w:p w14:paraId="35A4979F" w14:textId="028C5124" w:rsidR="006A648E" w:rsidRDefault="006A648E" w:rsidP="006A648E">
                      <w:pPr>
                        <w:pStyle w:val="BodyText"/>
                        <w:rPr>
                          <w:b/>
                          <w:color w:val="808080" w:themeColor="background1" w:themeShade="80"/>
                          <w:sz w:val="28"/>
                          <w:szCs w:val="28"/>
                        </w:rPr>
                      </w:pPr>
                      <w:r w:rsidRPr="006A648E">
                        <w:rPr>
                          <w:b/>
                          <w:color w:val="808080" w:themeColor="background1" w:themeShade="80"/>
                          <w:sz w:val="28"/>
                          <w:szCs w:val="28"/>
                        </w:rPr>
                        <w:t>Contact the Authority</w:t>
                      </w:r>
                    </w:p>
                    <w:p w14:paraId="1337E79C" w14:textId="30314521" w:rsidR="006A648E" w:rsidRDefault="006A648E" w:rsidP="006A648E">
                      <w:pPr>
                        <w:pStyle w:val="BodyText"/>
                      </w:pPr>
                      <w:r w:rsidRPr="00E03799">
                        <w:t xml:space="preserve">To contact the Climate Change Authority Freecall 1800 475 869 or email at </w:t>
                      </w:r>
                      <w:hyperlink r:id="rId29" w:history="1">
                        <w:r w:rsidRPr="00E03799">
                          <w:rPr>
                            <w:rStyle w:val="Hyperlink"/>
                          </w:rPr>
                          <w:t>enquiries@climatechangeauthority.gov.au</w:t>
                        </w:r>
                      </w:hyperlink>
                      <w:r w:rsidRPr="00E03799">
                        <w:t>.</w:t>
                      </w:r>
                      <w:r>
                        <w:t xml:space="preserve"> </w:t>
                      </w:r>
                    </w:p>
                    <w:p w14:paraId="4F8A99B7" w14:textId="20D0134A" w:rsidR="006A648E" w:rsidRPr="00A3172E" w:rsidRDefault="00A3172E" w:rsidP="006A648E">
                      <w:pPr>
                        <w:pStyle w:val="BodyText"/>
                      </w:pPr>
                      <w:r>
                        <w:t xml:space="preserve">The full </w:t>
                      </w:r>
                      <w:r w:rsidRPr="00A3172E">
                        <w:t>report</w:t>
                      </w:r>
                      <w:r>
                        <w:t xml:space="preserve"> can be found at </w:t>
                      </w:r>
                      <w:hyperlink r:id="rId30" w:history="1">
                        <w:r w:rsidRPr="006936C8">
                          <w:rPr>
                            <w:rStyle w:val="Hyperlink"/>
                          </w:rPr>
                          <w:t>www.climatechangeauthority.gov.au</w:t>
                        </w:r>
                      </w:hyperlink>
                      <w:r>
                        <w:t xml:space="preserve"> </w:t>
                      </w:r>
                    </w:p>
                  </w:txbxContent>
                </v:textbox>
              </v:shape>
            </w:pict>
          </mc:Fallback>
        </mc:AlternateContent>
      </w:r>
    </w:p>
    <w:p w14:paraId="60DA3D5F" w14:textId="00DC6A24" w:rsidR="003741CC" w:rsidRDefault="003741CC" w:rsidP="00BB3F58">
      <w:pPr>
        <w:ind w:left="-142"/>
        <w:rPr>
          <w:rFonts w:ascii="Arial" w:eastAsia="+mj-ea" w:hAnsi="Arial" w:cs="+mj-cs"/>
          <w:b/>
          <w:color w:val="7A7A7A"/>
          <w:kern w:val="24"/>
          <w:sz w:val="50"/>
          <w:szCs w:val="50"/>
        </w:rPr>
      </w:pPr>
    </w:p>
    <w:p w14:paraId="2F714126" w14:textId="7584906F" w:rsidR="003741CC" w:rsidRDefault="003741CC" w:rsidP="00BB3F58">
      <w:pPr>
        <w:ind w:left="-142"/>
        <w:rPr>
          <w:rFonts w:ascii="Arial" w:eastAsia="+mj-ea" w:hAnsi="Arial" w:cs="+mj-cs"/>
          <w:b/>
          <w:color w:val="7A7A7A"/>
          <w:kern w:val="24"/>
          <w:sz w:val="50"/>
          <w:szCs w:val="50"/>
        </w:rPr>
      </w:pPr>
    </w:p>
    <w:p w14:paraId="26DD2E44" w14:textId="1534ECCC" w:rsidR="003741CC" w:rsidRDefault="003741CC" w:rsidP="00BB3F58">
      <w:pPr>
        <w:ind w:left="-142"/>
        <w:rPr>
          <w:rFonts w:ascii="Arial" w:eastAsia="+mj-ea" w:hAnsi="Arial" w:cs="+mj-cs"/>
          <w:b/>
          <w:color w:val="7A7A7A"/>
          <w:kern w:val="24"/>
          <w:sz w:val="50"/>
          <w:szCs w:val="50"/>
        </w:rPr>
      </w:pPr>
    </w:p>
    <w:p w14:paraId="0E44A9EB" w14:textId="472D8DBB" w:rsidR="003741CC" w:rsidRDefault="003741CC" w:rsidP="00BB3F58">
      <w:pPr>
        <w:ind w:left="-142"/>
        <w:rPr>
          <w:rFonts w:ascii="Arial" w:eastAsia="+mj-ea" w:hAnsi="Arial" w:cs="+mj-cs"/>
          <w:b/>
          <w:color w:val="7A7A7A"/>
          <w:kern w:val="24"/>
          <w:sz w:val="50"/>
          <w:szCs w:val="50"/>
        </w:rPr>
      </w:pPr>
    </w:p>
    <w:bookmarkEnd w:id="7"/>
    <w:bookmarkEnd w:id="8"/>
    <w:p w14:paraId="62BD1540" w14:textId="0069D007" w:rsidR="006A648E" w:rsidRPr="00931E22" w:rsidRDefault="006A648E" w:rsidP="00BB3F58">
      <w:pPr>
        <w:ind w:left="-142"/>
        <w:rPr>
          <w:rFonts w:ascii="Arial" w:eastAsia="+mj-ea" w:hAnsi="Arial" w:cs="+mj-cs"/>
          <w:b/>
          <w:color w:val="7A7A7A"/>
          <w:kern w:val="24"/>
          <w:sz w:val="50"/>
          <w:szCs w:val="50"/>
        </w:rPr>
      </w:pPr>
    </w:p>
    <w:p w14:paraId="3DEE55AF" w14:textId="3CAABB74" w:rsidR="002C77D5" w:rsidRPr="00C856F0" w:rsidRDefault="002C77D5" w:rsidP="00BB3F58">
      <w:pPr>
        <w:pStyle w:val="BodyText"/>
        <w:ind w:left="-142"/>
        <w:rPr>
          <w:b/>
        </w:rPr>
      </w:pPr>
    </w:p>
    <w:sectPr w:rsidR="002C77D5" w:rsidRPr="00C856F0" w:rsidSect="006B40B2">
      <w:footerReference w:type="default" r:id="rId31"/>
      <w:headerReference w:type="first" r:id="rId32"/>
      <w:footerReference w:type="first" r:id="rId33"/>
      <w:pgSz w:w="11906" w:h="16838"/>
      <w:pgMar w:top="1418" w:right="1276" w:bottom="567" w:left="1418" w:header="425" w:footer="425" w:gutter="0"/>
      <w:pgNumType w:start="1"/>
      <w:cols w:num="2" w:space="708"/>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8340" w14:textId="77777777" w:rsidR="004B3DC6" w:rsidRDefault="004B3DC6" w:rsidP="00A60185">
      <w:pPr>
        <w:spacing w:after="0" w:line="240" w:lineRule="auto"/>
      </w:pPr>
      <w:r>
        <w:separator/>
      </w:r>
    </w:p>
    <w:p w14:paraId="6EAB3558" w14:textId="77777777" w:rsidR="004B3DC6" w:rsidRDefault="004B3DC6"/>
  </w:endnote>
  <w:endnote w:type="continuationSeparator" w:id="0">
    <w:p w14:paraId="296497D7" w14:textId="77777777" w:rsidR="004B3DC6" w:rsidRDefault="004B3DC6" w:rsidP="00A60185">
      <w:pPr>
        <w:spacing w:after="0" w:line="240" w:lineRule="auto"/>
      </w:pPr>
      <w:r>
        <w:continuationSeparator/>
      </w:r>
    </w:p>
    <w:p w14:paraId="1321E049" w14:textId="77777777" w:rsidR="004B3DC6" w:rsidRDefault="004B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Whitney Light">
    <w:altName w:val="Whitney Light"/>
    <w:panose1 w:val="00000000000000000000"/>
    <w:charset w:val="00"/>
    <w:family w:val="swiss"/>
    <w:notTrueType/>
    <w:pitch w:val="default"/>
    <w:sig w:usb0="00000003" w:usb1="00000000" w:usb2="00000000" w:usb3="00000000" w:csb0="000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1D78595D" w14:textId="14A3A4F3" w:rsidR="00100BEF" w:rsidRDefault="00263007">
        <w:pPr>
          <w:pStyle w:val="Footer"/>
          <w:jc w:val="center"/>
        </w:pPr>
        <w:r>
          <w:rPr>
            <w:noProof/>
          </w:rPr>
          <w:fldChar w:fldCharType="begin"/>
        </w:r>
        <w:r>
          <w:rPr>
            <w:noProof/>
          </w:rPr>
          <w:instrText xml:space="preserve"> PAGE   \* MERGEFORMAT </w:instrText>
        </w:r>
        <w:r>
          <w:rPr>
            <w:noProof/>
          </w:rPr>
          <w:fldChar w:fldCharType="separate"/>
        </w:r>
        <w:r w:rsidR="008A0D9A">
          <w:rPr>
            <w:noProof/>
          </w:rPr>
          <w:t>7</w:t>
        </w:r>
        <w:r>
          <w:rPr>
            <w:noProof/>
          </w:rPr>
          <w:fldChar w:fldCharType="end"/>
        </w:r>
      </w:p>
    </w:sdtContent>
  </w:sdt>
  <w:p w14:paraId="2D08FA10" w14:textId="64FBC741" w:rsidR="00E11BE5" w:rsidRDefault="000200A0">
    <w:r w:rsidRPr="006B40B2">
      <w:rPr>
        <w:noProof/>
      </w:rPr>
      <mc:AlternateContent>
        <mc:Choice Requires="wps">
          <w:drawing>
            <wp:anchor distT="0" distB="0" distL="114300" distR="114300" simplePos="0" relativeHeight="251661312" behindDoc="0" locked="0" layoutInCell="1" allowOverlap="1" wp14:anchorId="11992736" wp14:editId="4261E120">
              <wp:simplePos x="0" y="0"/>
              <wp:positionH relativeFrom="page">
                <wp:align>left</wp:align>
              </wp:positionH>
              <wp:positionV relativeFrom="paragraph">
                <wp:posOffset>222250</wp:posOffset>
              </wp:positionV>
              <wp:extent cx="7753350" cy="352425"/>
              <wp:effectExtent l="0" t="0" r="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35242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4FD08" w14:textId="77777777" w:rsidR="000200A0" w:rsidRDefault="000200A0" w:rsidP="000200A0">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14:paraId="317BF260" w14:textId="77777777" w:rsidR="000200A0" w:rsidRDefault="000200A0" w:rsidP="000200A0">
                          <w:pPr>
                            <w:pStyle w:val="NormalWeb"/>
                            <w:spacing w:before="60" w:beforeAutospacing="0" w:after="120" w:afterAutospacing="0" w:line="276" w:lineRule="auto"/>
                          </w:pPr>
                          <w:r w:rsidRPr="006B40B2">
                            <w:rPr>
                              <w:rFonts w:ascii="Arial" w:eastAsia="Calibri" w:hAnsi="Arial"/>
                              <w:b/>
                              <w:bCs/>
                              <w:color w:val="FFFFFF"/>
                              <w:kern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2736" id="Rectangle 4" o:spid="_x0000_s1028" style="position:absolute;margin-left:0;margin-top:17.5pt;width:610.5pt;height:2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" fillcolor="#00b0f0" stroked="f">
              <v:textbox>
                <w:txbxContent>
                  <w:p w14:paraId="2254FD08" w14:textId="77777777" w:rsidR="000200A0" w:rsidRDefault="000200A0" w:rsidP="000200A0">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14:paraId="317BF260" w14:textId="77777777" w:rsidR="000200A0" w:rsidRDefault="000200A0" w:rsidP="000200A0">
                    <w:pPr>
                      <w:pStyle w:val="NormalWeb"/>
                      <w:spacing w:before="60" w:beforeAutospacing="0" w:after="120" w:afterAutospacing="0" w:line="276" w:lineRule="auto"/>
                    </w:pPr>
                    <w:r w:rsidRPr="006B40B2">
                      <w:rPr>
                        <w:rFonts w:ascii="Arial" w:eastAsia="Calibri" w:hAnsi="Arial"/>
                        <w:b/>
                        <w:bCs/>
                        <w:color w:val="FFFFFF"/>
                        <w:kern w:val="24"/>
                      </w:rPr>
                      <w:t> </w:t>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44CA" w14:textId="77777777" w:rsidR="00100BEF" w:rsidRDefault="006B40B2">
    <w:pPr>
      <w:pStyle w:val="Footer"/>
    </w:pPr>
    <w:r w:rsidRPr="006B40B2">
      <w:rPr>
        <w:noProof/>
      </w:rPr>
      <mc:AlternateContent>
        <mc:Choice Requires="wps">
          <w:drawing>
            <wp:anchor distT="0" distB="0" distL="114300" distR="114300" simplePos="0" relativeHeight="251659264" behindDoc="0" locked="0" layoutInCell="1" allowOverlap="1" wp14:anchorId="52910F77" wp14:editId="220B1DA7">
              <wp:simplePos x="0" y="0"/>
              <wp:positionH relativeFrom="column">
                <wp:posOffset>-895350</wp:posOffset>
              </wp:positionH>
              <wp:positionV relativeFrom="paragraph">
                <wp:posOffset>66675</wp:posOffset>
              </wp:positionV>
              <wp:extent cx="7753350" cy="35242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35242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E00CE" w14:textId="77777777" w:rsidR="006B40B2" w:rsidRDefault="006B40B2" w:rsidP="006B40B2">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14:paraId="56A1C676" w14:textId="77777777" w:rsidR="006B40B2" w:rsidRDefault="006B40B2" w:rsidP="006B40B2">
                          <w:pPr>
                            <w:pStyle w:val="NormalWeb"/>
                            <w:spacing w:before="60" w:beforeAutospacing="0" w:after="120" w:afterAutospacing="0" w:line="276" w:lineRule="auto"/>
                          </w:pPr>
                          <w:r w:rsidRPr="006B40B2">
                            <w:rPr>
                              <w:rFonts w:ascii="Arial" w:eastAsia="Calibri" w:hAnsi="Arial"/>
                              <w:b/>
                              <w:bCs/>
                              <w:color w:val="FFFFFF"/>
                              <w:kern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10F77" id="_x0000_s1029" style="position:absolute;margin-left:-70.5pt;margin-top:5.25pt;width:61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" fillcolor="#00b0f0" stroked="f">
              <v:textbox>
                <w:txbxContent>
                  <w:p w14:paraId="45EE00CE" w14:textId="77777777" w:rsidR="006B40B2" w:rsidRDefault="006B40B2" w:rsidP="006B40B2">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14:paraId="56A1C676" w14:textId="77777777" w:rsidR="006B40B2" w:rsidRDefault="006B40B2" w:rsidP="006B40B2">
                    <w:pPr>
                      <w:pStyle w:val="NormalWeb"/>
                      <w:spacing w:before="60" w:beforeAutospacing="0" w:after="120" w:afterAutospacing="0" w:line="276" w:lineRule="auto"/>
                    </w:pPr>
                    <w:r w:rsidRPr="006B40B2">
                      <w:rPr>
                        <w:rFonts w:ascii="Arial" w:eastAsia="Calibri" w:hAnsi="Arial"/>
                        <w:b/>
                        <w:bCs/>
                        <w:color w:val="FFFFFF"/>
                        <w:kern w:val="24"/>
                      </w:rPr>
                      <w:t>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1D2B" w14:textId="77777777" w:rsidR="004B3DC6" w:rsidRPr="00FC2D24" w:rsidRDefault="004B3DC6" w:rsidP="00FC2D24">
      <w:pPr>
        <w:pStyle w:val="Footer"/>
      </w:pPr>
    </w:p>
  </w:footnote>
  <w:footnote w:type="continuationSeparator" w:id="0">
    <w:p w14:paraId="6F007B3A" w14:textId="77777777" w:rsidR="004B3DC6" w:rsidRDefault="004B3DC6" w:rsidP="00A60185">
      <w:pPr>
        <w:spacing w:after="0" w:line="240" w:lineRule="auto"/>
      </w:pPr>
      <w:r>
        <w:continuationSeparator/>
      </w:r>
    </w:p>
    <w:p w14:paraId="008443CE" w14:textId="77777777" w:rsidR="004B3DC6" w:rsidRDefault="004B3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DDDB" w14:textId="5C5C4D36" w:rsidR="00591620" w:rsidRDefault="00FB35C8" w:rsidP="00FB35C8">
    <w:pPr>
      <w:pStyle w:val="Header"/>
      <w:spacing w:after="240"/>
      <w:jc w:val="center"/>
    </w:pPr>
    <w:r w:rsidRPr="006B40B2">
      <w:rPr>
        <w:noProof/>
      </w:rPr>
      <w:drawing>
        <wp:inline distT="0" distB="0" distL="0" distR="0" wp14:anchorId="6DD73778" wp14:editId="7477DAB2">
          <wp:extent cx="1949450" cy="583668"/>
          <wp:effectExtent l="0" t="0" r="0" b="6985"/>
          <wp:docPr id="7" name="Picture 7" descr="http://www.climatechangeauthority.gov.au/files/images/cca-logo-upd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climatechangeauthority.gov.au/files/images/cca-logo-upda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342" cy="607887"/>
                  </a:xfrm>
                  <a:prstGeom prst="rect">
                    <a:avLst/>
                  </a:prstGeom>
                  <a:noFill/>
                  <a:extLst/>
                </pic:spPr>
              </pic:pic>
            </a:graphicData>
          </a:graphic>
        </wp:inline>
      </w:drawing>
    </w:r>
  </w:p>
  <w:p w14:paraId="4BAEF1C6" w14:textId="0EDEEF1F" w:rsidR="006B40B2" w:rsidRPr="00FB35C8" w:rsidRDefault="00484849" w:rsidP="00764C3F">
    <w:pPr>
      <w:pStyle w:val="Header"/>
      <w:spacing w:after="240"/>
      <w:jc w:val="center"/>
      <w:rPr>
        <w:rFonts w:ascii="Arial" w:eastAsia="+mn-ea" w:hAnsi="Arial" w:cs="+mn-cs"/>
        <w:color w:val="0C9FCD"/>
        <w:kern w:val="24"/>
        <w:sz w:val="48"/>
        <w:szCs w:val="48"/>
      </w:rPr>
    </w:pPr>
    <w:r w:rsidRPr="00FB35C8">
      <w:rPr>
        <w:rFonts w:ascii="Arial" w:eastAsia="+mn-ea" w:hAnsi="Arial" w:cs="+mn-cs"/>
        <w:color w:val="0C9FCD"/>
        <w:kern w:val="24"/>
        <w:sz w:val="48"/>
        <w:szCs w:val="48"/>
      </w:rPr>
      <w:t xml:space="preserve">2020 </w:t>
    </w:r>
    <w:r w:rsidR="00B464EE" w:rsidRPr="00FB35C8">
      <w:rPr>
        <w:rFonts w:ascii="Arial" w:eastAsia="+mn-ea" w:hAnsi="Arial" w:cs="+mn-cs"/>
        <w:color w:val="0C9FCD"/>
        <w:kern w:val="24"/>
        <w:sz w:val="48"/>
        <w:szCs w:val="48"/>
      </w:rPr>
      <w:t>CLIMATE POLICY TOOLKIT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C12CDD"/>
    <w:multiLevelType w:val="hybridMultilevel"/>
    <w:tmpl w:val="A88C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81C37"/>
    <w:multiLevelType w:val="hybridMultilevel"/>
    <w:tmpl w:val="3B2EAD8A"/>
    <w:lvl w:ilvl="0" w:tplc="11BE015A">
      <w:start w:val="1"/>
      <w:numFmt w:val="bullet"/>
      <w:lvlText w:val="•"/>
      <w:lvlJc w:val="left"/>
      <w:pPr>
        <w:tabs>
          <w:tab w:val="num" w:pos="720"/>
        </w:tabs>
        <w:ind w:left="720" w:hanging="360"/>
      </w:pPr>
      <w:rPr>
        <w:rFonts w:ascii="Arial" w:hAnsi="Arial" w:hint="default"/>
      </w:rPr>
    </w:lvl>
    <w:lvl w:ilvl="1" w:tplc="145441F6" w:tentative="1">
      <w:start w:val="1"/>
      <w:numFmt w:val="bullet"/>
      <w:lvlText w:val="•"/>
      <w:lvlJc w:val="left"/>
      <w:pPr>
        <w:tabs>
          <w:tab w:val="num" w:pos="1440"/>
        </w:tabs>
        <w:ind w:left="1440" w:hanging="360"/>
      </w:pPr>
      <w:rPr>
        <w:rFonts w:ascii="Arial" w:hAnsi="Arial" w:hint="default"/>
      </w:rPr>
    </w:lvl>
    <w:lvl w:ilvl="2" w:tplc="DAB28D50" w:tentative="1">
      <w:start w:val="1"/>
      <w:numFmt w:val="bullet"/>
      <w:lvlText w:val="•"/>
      <w:lvlJc w:val="left"/>
      <w:pPr>
        <w:tabs>
          <w:tab w:val="num" w:pos="2160"/>
        </w:tabs>
        <w:ind w:left="2160" w:hanging="360"/>
      </w:pPr>
      <w:rPr>
        <w:rFonts w:ascii="Arial" w:hAnsi="Arial" w:hint="default"/>
      </w:rPr>
    </w:lvl>
    <w:lvl w:ilvl="3" w:tplc="BF4ECBAC" w:tentative="1">
      <w:start w:val="1"/>
      <w:numFmt w:val="bullet"/>
      <w:lvlText w:val="•"/>
      <w:lvlJc w:val="left"/>
      <w:pPr>
        <w:tabs>
          <w:tab w:val="num" w:pos="2880"/>
        </w:tabs>
        <w:ind w:left="2880" w:hanging="360"/>
      </w:pPr>
      <w:rPr>
        <w:rFonts w:ascii="Arial" w:hAnsi="Arial" w:hint="default"/>
      </w:rPr>
    </w:lvl>
    <w:lvl w:ilvl="4" w:tplc="264C7A88" w:tentative="1">
      <w:start w:val="1"/>
      <w:numFmt w:val="bullet"/>
      <w:lvlText w:val="•"/>
      <w:lvlJc w:val="left"/>
      <w:pPr>
        <w:tabs>
          <w:tab w:val="num" w:pos="3600"/>
        </w:tabs>
        <w:ind w:left="3600" w:hanging="360"/>
      </w:pPr>
      <w:rPr>
        <w:rFonts w:ascii="Arial" w:hAnsi="Arial" w:hint="default"/>
      </w:rPr>
    </w:lvl>
    <w:lvl w:ilvl="5" w:tplc="4EBA94F4" w:tentative="1">
      <w:start w:val="1"/>
      <w:numFmt w:val="bullet"/>
      <w:lvlText w:val="•"/>
      <w:lvlJc w:val="left"/>
      <w:pPr>
        <w:tabs>
          <w:tab w:val="num" w:pos="4320"/>
        </w:tabs>
        <w:ind w:left="4320" w:hanging="360"/>
      </w:pPr>
      <w:rPr>
        <w:rFonts w:ascii="Arial" w:hAnsi="Arial" w:hint="default"/>
      </w:rPr>
    </w:lvl>
    <w:lvl w:ilvl="6" w:tplc="D2C215A6" w:tentative="1">
      <w:start w:val="1"/>
      <w:numFmt w:val="bullet"/>
      <w:lvlText w:val="•"/>
      <w:lvlJc w:val="left"/>
      <w:pPr>
        <w:tabs>
          <w:tab w:val="num" w:pos="5040"/>
        </w:tabs>
        <w:ind w:left="5040" w:hanging="360"/>
      </w:pPr>
      <w:rPr>
        <w:rFonts w:ascii="Arial" w:hAnsi="Arial" w:hint="default"/>
      </w:rPr>
    </w:lvl>
    <w:lvl w:ilvl="7" w:tplc="D91EF9B2" w:tentative="1">
      <w:start w:val="1"/>
      <w:numFmt w:val="bullet"/>
      <w:lvlText w:val="•"/>
      <w:lvlJc w:val="left"/>
      <w:pPr>
        <w:tabs>
          <w:tab w:val="num" w:pos="5760"/>
        </w:tabs>
        <w:ind w:left="5760" w:hanging="360"/>
      </w:pPr>
      <w:rPr>
        <w:rFonts w:ascii="Arial" w:hAnsi="Arial" w:hint="default"/>
      </w:rPr>
    </w:lvl>
    <w:lvl w:ilvl="8" w:tplc="B25048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61FF1"/>
    <w:multiLevelType w:val="hybridMultilevel"/>
    <w:tmpl w:val="7208238A"/>
    <w:lvl w:ilvl="0" w:tplc="EBEA350A">
      <w:start w:val="1"/>
      <w:numFmt w:val="bullet"/>
      <w:pStyle w:val="CCAListBullet1"/>
      <w:lvlText w:val=""/>
      <w:lvlJc w:val="left"/>
      <w:pPr>
        <w:ind w:left="720" w:hanging="360"/>
      </w:pPr>
      <w:rPr>
        <w:rFonts w:ascii="Symbol" w:hAnsi="Symbol" w:hint="default"/>
      </w:rPr>
    </w:lvl>
    <w:lvl w:ilvl="1" w:tplc="0C090003">
      <w:start w:val="1"/>
      <w:numFmt w:val="bullet"/>
      <w:pStyle w:val="CCA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868C6"/>
    <w:multiLevelType w:val="hybridMultilevel"/>
    <w:tmpl w:val="8FB6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2580A"/>
    <w:multiLevelType w:val="hybridMultilevel"/>
    <w:tmpl w:val="A10A8DE8"/>
    <w:lvl w:ilvl="0" w:tplc="7ACE9818">
      <w:start w:val="1"/>
      <w:numFmt w:val="bullet"/>
      <w:lvlText w:val="•"/>
      <w:lvlJc w:val="left"/>
      <w:pPr>
        <w:tabs>
          <w:tab w:val="num" w:pos="720"/>
        </w:tabs>
        <w:ind w:left="720" w:hanging="360"/>
      </w:pPr>
      <w:rPr>
        <w:rFonts w:ascii="Arial" w:hAnsi="Arial" w:hint="default"/>
      </w:rPr>
    </w:lvl>
    <w:lvl w:ilvl="1" w:tplc="59E4DEB4">
      <w:start w:val="33"/>
      <w:numFmt w:val="bullet"/>
      <w:lvlText w:val="•"/>
      <w:lvlJc w:val="left"/>
      <w:pPr>
        <w:tabs>
          <w:tab w:val="num" w:pos="1440"/>
        </w:tabs>
        <w:ind w:left="1440" w:hanging="360"/>
      </w:pPr>
      <w:rPr>
        <w:rFonts w:ascii="Arial" w:hAnsi="Arial" w:hint="default"/>
      </w:rPr>
    </w:lvl>
    <w:lvl w:ilvl="2" w:tplc="4D5ACE14" w:tentative="1">
      <w:start w:val="1"/>
      <w:numFmt w:val="bullet"/>
      <w:lvlText w:val="•"/>
      <w:lvlJc w:val="left"/>
      <w:pPr>
        <w:tabs>
          <w:tab w:val="num" w:pos="2160"/>
        </w:tabs>
        <w:ind w:left="2160" w:hanging="360"/>
      </w:pPr>
      <w:rPr>
        <w:rFonts w:ascii="Arial" w:hAnsi="Arial" w:hint="default"/>
      </w:rPr>
    </w:lvl>
    <w:lvl w:ilvl="3" w:tplc="916426D0" w:tentative="1">
      <w:start w:val="1"/>
      <w:numFmt w:val="bullet"/>
      <w:lvlText w:val="•"/>
      <w:lvlJc w:val="left"/>
      <w:pPr>
        <w:tabs>
          <w:tab w:val="num" w:pos="2880"/>
        </w:tabs>
        <w:ind w:left="2880" w:hanging="360"/>
      </w:pPr>
      <w:rPr>
        <w:rFonts w:ascii="Arial" w:hAnsi="Arial" w:hint="default"/>
      </w:rPr>
    </w:lvl>
    <w:lvl w:ilvl="4" w:tplc="3DA8BC5E" w:tentative="1">
      <w:start w:val="1"/>
      <w:numFmt w:val="bullet"/>
      <w:lvlText w:val="•"/>
      <w:lvlJc w:val="left"/>
      <w:pPr>
        <w:tabs>
          <w:tab w:val="num" w:pos="3600"/>
        </w:tabs>
        <w:ind w:left="3600" w:hanging="360"/>
      </w:pPr>
      <w:rPr>
        <w:rFonts w:ascii="Arial" w:hAnsi="Arial" w:hint="default"/>
      </w:rPr>
    </w:lvl>
    <w:lvl w:ilvl="5" w:tplc="1674E152" w:tentative="1">
      <w:start w:val="1"/>
      <w:numFmt w:val="bullet"/>
      <w:lvlText w:val="•"/>
      <w:lvlJc w:val="left"/>
      <w:pPr>
        <w:tabs>
          <w:tab w:val="num" w:pos="4320"/>
        </w:tabs>
        <w:ind w:left="4320" w:hanging="360"/>
      </w:pPr>
      <w:rPr>
        <w:rFonts w:ascii="Arial" w:hAnsi="Arial" w:hint="default"/>
      </w:rPr>
    </w:lvl>
    <w:lvl w:ilvl="6" w:tplc="A232C940" w:tentative="1">
      <w:start w:val="1"/>
      <w:numFmt w:val="bullet"/>
      <w:lvlText w:val="•"/>
      <w:lvlJc w:val="left"/>
      <w:pPr>
        <w:tabs>
          <w:tab w:val="num" w:pos="5040"/>
        </w:tabs>
        <w:ind w:left="5040" w:hanging="360"/>
      </w:pPr>
      <w:rPr>
        <w:rFonts w:ascii="Arial" w:hAnsi="Arial" w:hint="default"/>
      </w:rPr>
    </w:lvl>
    <w:lvl w:ilvl="7" w:tplc="2CDAF540" w:tentative="1">
      <w:start w:val="1"/>
      <w:numFmt w:val="bullet"/>
      <w:lvlText w:val="•"/>
      <w:lvlJc w:val="left"/>
      <w:pPr>
        <w:tabs>
          <w:tab w:val="num" w:pos="5760"/>
        </w:tabs>
        <w:ind w:left="5760" w:hanging="360"/>
      </w:pPr>
      <w:rPr>
        <w:rFonts w:ascii="Arial" w:hAnsi="Arial" w:hint="default"/>
      </w:rPr>
    </w:lvl>
    <w:lvl w:ilvl="8" w:tplc="561492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0C6A56"/>
    <w:multiLevelType w:val="hybridMultilevel"/>
    <w:tmpl w:val="5936EDCA"/>
    <w:lvl w:ilvl="0" w:tplc="FCACF64A">
      <w:start w:val="1"/>
      <w:numFmt w:val="bullet"/>
      <w:lvlText w:val="•"/>
      <w:lvlJc w:val="left"/>
      <w:pPr>
        <w:tabs>
          <w:tab w:val="num" w:pos="720"/>
        </w:tabs>
        <w:ind w:left="720" w:hanging="360"/>
      </w:pPr>
      <w:rPr>
        <w:rFonts w:ascii="Arial" w:hAnsi="Arial" w:hint="default"/>
      </w:rPr>
    </w:lvl>
    <w:lvl w:ilvl="1" w:tplc="02F0F744" w:tentative="1">
      <w:start w:val="1"/>
      <w:numFmt w:val="bullet"/>
      <w:lvlText w:val="•"/>
      <w:lvlJc w:val="left"/>
      <w:pPr>
        <w:tabs>
          <w:tab w:val="num" w:pos="1440"/>
        </w:tabs>
        <w:ind w:left="1440" w:hanging="360"/>
      </w:pPr>
      <w:rPr>
        <w:rFonts w:ascii="Arial" w:hAnsi="Arial" w:hint="default"/>
      </w:rPr>
    </w:lvl>
    <w:lvl w:ilvl="2" w:tplc="94C028B2" w:tentative="1">
      <w:start w:val="1"/>
      <w:numFmt w:val="bullet"/>
      <w:lvlText w:val="•"/>
      <w:lvlJc w:val="left"/>
      <w:pPr>
        <w:tabs>
          <w:tab w:val="num" w:pos="2160"/>
        </w:tabs>
        <w:ind w:left="2160" w:hanging="360"/>
      </w:pPr>
      <w:rPr>
        <w:rFonts w:ascii="Arial" w:hAnsi="Arial" w:hint="default"/>
      </w:rPr>
    </w:lvl>
    <w:lvl w:ilvl="3" w:tplc="8606FB90" w:tentative="1">
      <w:start w:val="1"/>
      <w:numFmt w:val="bullet"/>
      <w:lvlText w:val="•"/>
      <w:lvlJc w:val="left"/>
      <w:pPr>
        <w:tabs>
          <w:tab w:val="num" w:pos="2880"/>
        </w:tabs>
        <w:ind w:left="2880" w:hanging="360"/>
      </w:pPr>
      <w:rPr>
        <w:rFonts w:ascii="Arial" w:hAnsi="Arial" w:hint="default"/>
      </w:rPr>
    </w:lvl>
    <w:lvl w:ilvl="4" w:tplc="769465D4" w:tentative="1">
      <w:start w:val="1"/>
      <w:numFmt w:val="bullet"/>
      <w:lvlText w:val="•"/>
      <w:lvlJc w:val="left"/>
      <w:pPr>
        <w:tabs>
          <w:tab w:val="num" w:pos="3600"/>
        </w:tabs>
        <w:ind w:left="3600" w:hanging="360"/>
      </w:pPr>
      <w:rPr>
        <w:rFonts w:ascii="Arial" w:hAnsi="Arial" w:hint="default"/>
      </w:rPr>
    </w:lvl>
    <w:lvl w:ilvl="5" w:tplc="D314278A" w:tentative="1">
      <w:start w:val="1"/>
      <w:numFmt w:val="bullet"/>
      <w:lvlText w:val="•"/>
      <w:lvlJc w:val="left"/>
      <w:pPr>
        <w:tabs>
          <w:tab w:val="num" w:pos="4320"/>
        </w:tabs>
        <w:ind w:left="4320" w:hanging="360"/>
      </w:pPr>
      <w:rPr>
        <w:rFonts w:ascii="Arial" w:hAnsi="Arial" w:hint="default"/>
      </w:rPr>
    </w:lvl>
    <w:lvl w:ilvl="6" w:tplc="5C92D73A" w:tentative="1">
      <w:start w:val="1"/>
      <w:numFmt w:val="bullet"/>
      <w:lvlText w:val="•"/>
      <w:lvlJc w:val="left"/>
      <w:pPr>
        <w:tabs>
          <w:tab w:val="num" w:pos="5040"/>
        </w:tabs>
        <w:ind w:left="5040" w:hanging="360"/>
      </w:pPr>
      <w:rPr>
        <w:rFonts w:ascii="Arial" w:hAnsi="Arial" w:hint="default"/>
      </w:rPr>
    </w:lvl>
    <w:lvl w:ilvl="7" w:tplc="72D6E6D6" w:tentative="1">
      <w:start w:val="1"/>
      <w:numFmt w:val="bullet"/>
      <w:lvlText w:val="•"/>
      <w:lvlJc w:val="left"/>
      <w:pPr>
        <w:tabs>
          <w:tab w:val="num" w:pos="5760"/>
        </w:tabs>
        <w:ind w:left="5760" w:hanging="360"/>
      </w:pPr>
      <w:rPr>
        <w:rFonts w:ascii="Arial" w:hAnsi="Arial" w:hint="default"/>
      </w:rPr>
    </w:lvl>
    <w:lvl w:ilvl="8" w:tplc="201896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45A3B"/>
    <w:multiLevelType w:val="hybridMultilevel"/>
    <w:tmpl w:val="DA1847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A8B0F90"/>
    <w:multiLevelType w:val="hybridMultilevel"/>
    <w:tmpl w:val="5372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23D93"/>
    <w:multiLevelType w:val="hybridMultilevel"/>
    <w:tmpl w:val="D3DAEC52"/>
    <w:lvl w:ilvl="0" w:tplc="8878F772">
      <w:start w:val="1"/>
      <w:numFmt w:val="bullet"/>
      <w:lvlText w:val="•"/>
      <w:lvlJc w:val="left"/>
      <w:pPr>
        <w:tabs>
          <w:tab w:val="num" w:pos="720"/>
        </w:tabs>
        <w:ind w:left="720" w:hanging="360"/>
      </w:pPr>
      <w:rPr>
        <w:rFonts w:ascii="Arial" w:hAnsi="Arial" w:hint="default"/>
      </w:rPr>
    </w:lvl>
    <w:lvl w:ilvl="1" w:tplc="607CDCA2" w:tentative="1">
      <w:start w:val="1"/>
      <w:numFmt w:val="bullet"/>
      <w:lvlText w:val="•"/>
      <w:lvlJc w:val="left"/>
      <w:pPr>
        <w:tabs>
          <w:tab w:val="num" w:pos="1440"/>
        </w:tabs>
        <w:ind w:left="1440" w:hanging="360"/>
      </w:pPr>
      <w:rPr>
        <w:rFonts w:ascii="Arial" w:hAnsi="Arial" w:hint="default"/>
      </w:rPr>
    </w:lvl>
    <w:lvl w:ilvl="2" w:tplc="E0DE2478" w:tentative="1">
      <w:start w:val="1"/>
      <w:numFmt w:val="bullet"/>
      <w:lvlText w:val="•"/>
      <w:lvlJc w:val="left"/>
      <w:pPr>
        <w:tabs>
          <w:tab w:val="num" w:pos="2160"/>
        </w:tabs>
        <w:ind w:left="2160" w:hanging="360"/>
      </w:pPr>
      <w:rPr>
        <w:rFonts w:ascii="Arial" w:hAnsi="Arial" w:hint="default"/>
      </w:rPr>
    </w:lvl>
    <w:lvl w:ilvl="3" w:tplc="8160B1B8" w:tentative="1">
      <w:start w:val="1"/>
      <w:numFmt w:val="bullet"/>
      <w:lvlText w:val="•"/>
      <w:lvlJc w:val="left"/>
      <w:pPr>
        <w:tabs>
          <w:tab w:val="num" w:pos="2880"/>
        </w:tabs>
        <w:ind w:left="2880" w:hanging="360"/>
      </w:pPr>
      <w:rPr>
        <w:rFonts w:ascii="Arial" w:hAnsi="Arial" w:hint="default"/>
      </w:rPr>
    </w:lvl>
    <w:lvl w:ilvl="4" w:tplc="5A468D00" w:tentative="1">
      <w:start w:val="1"/>
      <w:numFmt w:val="bullet"/>
      <w:lvlText w:val="•"/>
      <w:lvlJc w:val="left"/>
      <w:pPr>
        <w:tabs>
          <w:tab w:val="num" w:pos="3600"/>
        </w:tabs>
        <w:ind w:left="3600" w:hanging="360"/>
      </w:pPr>
      <w:rPr>
        <w:rFonts w:ascii="Arial" w:hAnsi="Arial" w:hint="default"/>
      </w:rPr>
    </w:lvl>
    <w:lvl w:ilvl="5" w:tplc="DC066CB8" w:tentative="1">
      <w:start w:val="1"/>
      <w:numFmt w:val="bullet"/>
      <w:lvlText w:val="•"/>
      <w:lvlJc w:val="left"/>
      <w:pPr>
        <w:tabs>
          <w:tab w:val="num" w:pos="4320"/>
        </w:tabs>
        <w:ind w:left="4320" w:hanging="360"/>
      </w:pPr>
      <w:rPr>
        <w:rFonts w:ascii="Arial" w:hAnsi="Arial" w:hint="default"/>
      </w:rPr>
    </w:lvl>
    <w:lvl w:ilvl="6" w:tplc="2D5A536C" w:tentative="1">
      <w:start w:val="1"/>
      <w:numFmt w:val="bullet"/>
      <w:lvlText w:val="•"/>
      <w:lvlJc w:val="left"/>
      <w:pPr>
        <w:tabs>
          <w:tab w:val="num" w:pos="5040"/>
        </w:tabs>
        <w:ind w:left="5040" w:hanging="360"/>
      </w:pPr>
      <w:rPr>
        <w:rFonts w:ascii="Arial" w:hAnsi="Arial" w:hint="default"/>
      </w:rPr>
    </w:lvl>
    <w:lvl w:ilvl="7" w:tplc="BE7C5262" w:tentative="1">
      <w:start w:val="1"/>
      <w:numFmt w:val="bullet"/>
      <w:lvlText w:val="•"/>
      <w:lvlJc w:val="left"/>
      <w:pPr>
        <w:tabs>
          <w:tab w:val="num" w:pos="5760"/>
        </w:tabs>
        <w:ind w:left="5760" w:hanging="360"/>
      </w:pPr>
      <w:rPr>
        <w:rFonts w:ascii="Arial" w:hAnsi="Arial" w:hint="default"/>
      </w:rPr>
    </w:lvl>
    <w:lvl w:ilvl="8" w:tplc="EC6EF1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2246714"/>
    <w:multiLevelType w:val="hybridMultilevel"/>
    <w:tmpl w:val="6EB480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6861CA"/>
    <w:multiLevelType w:val="hybridMultilevel"/>
    <w:tmpl w:val="765A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31556"/>
    <w:multiLevelType w:val="hybridMultilevel"/>
    <w:tmpl w:val="7C96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D1D9F"/>
    <w:multiLevelType w:val="hybridMultilevel"/>
    <w:tmpl w:val="34228A8C"/>
    <w:lvl w:ilvl="0" w:tplc="B3182C48">
      <w:start w:val="1"/>
      <w:numFmt w:val="bullet"/>
      <w:lvlText w:val="•"/>
      <w:lvlJc w:val="left"/>
      <w:pPr>
        <w:tabs>
          <w:tab w:val="num" w:pos="720"/>
        </w:tabs>
        <w:ind w:left="720" w:hanging="360"/>
      </w:pPr>
      <w:rPr>
        <w:rFonts w:ascii="Arial" w:hAnsi="Arial" w:hint="default"/>
      </w:rPr>
    </w:lvl>
    <w:lvl w:ilvl="1" w:tplc="42DECF98">
      <w:start w:val="33"/>
      <w:numFmt w:val="bullet"/>
      <w:lvlText w:val="•"/>
      <w:lvlJc w:val="left"/>
      <w:pPr>
        <w:tabs>
          <w:tab w:val="num" w:pos="1440"/>
        </w:tabs>
        <w:ind w:left="1440" w:hanging="360"/>
      </w:pPr>
      <w:rPr>
        <w:rFonts w:ascii="Arial" w:hAnsi="Arial" w:hint="default"/>
      </w:rPr>
    </w:lvl>
    <w:lvl w:ilvl="2" w:tplc="9B9C2520" w:tentative="1">
      <w:start w:val="1"/>
      <w:numFmt w:val="bullet"/>
      <w:lvlText w:val="•"/>
      <w:lvlJc w:val="left"/>
      <w:pPr>
        <w:tabs>
          <w:tab w:val="num" w:pos="2160"/>
        </w:tabs>
        <w:ind w:left="2160" w:hanging="360"/>
      </w:pPr>
      <w:rPr>
        <w:rFonts w:ascii="Arial" w:hAnsi="Arial" w:hint="default"/>
      </w:rPr>
    </w:lvl>
    <w:lvl w:ilvl="3" w:tplc="83864C54" w:tentative="1">
      <w:start w:val="1"/>
      <w:numFmt w:val="bullet"/>
      <w:lvlText w:val="•"/>
      <w:lvlJc w:val="left"/>
      <w:pPr>
        <w:tabs>
          <w:tab w:val="num" w:pos="2880"/>
        </w:tabs>
        <w:ind w:left="2880" w:hanging="360"/>
      </w:pPr>
      <w:rPr>
        <w:rFonts w:ascii="Arial" w:hAnsi="Arial" w:hint="default"/>
      </w:rPr>
    </w:lvl>
    <w:lvl w:ilvl="4" w:tplc="C4C09C7C" w:tentative="1">
      <w:start w:val="1"/>
      <w:numFmt w:val="bullet"/>
      <w:lvlText w:val="•"/>
      <w:lvlJc w:val="left"/>
      <w:pPr>
        <w:tabs>
          <w:tab w:val="num" w:pos="3600"/>
        </w:tabs>
        <w:ind w:left="3600" w:hanging="360"/>
      </w:pPr>
      <w:rPr>
        <w:rFonts w:ascii="Arial" w:hAnsi="Arial" w:hint="default"/>
      </w:rPr>
    </w:lvl>
    <w:lvl w:ilvl="5" w:tplc="CDEEC878" w:tentative="1">
      <w:start w:val="1"/>
      <w:numFmt w:val="bullet"/>
      <w:lvlText w:val="•"/>
      <w:lvlJc w:val="left"/>
      <w:pPr>
        <w:tabs>
          <w:tab w:val="num" w:pos="4320"/>
        </w:tabs>
        <w:ind w:left="4320" w:hanging="360"/>
      </w:pPr>
      <w:rPr>
        <w:rFonts w:ascii="Arial" w:hAnsi="Arial" w:hint="default"/>
      </w:rPr>
    </w:lvl>
    <w:lvl w:ilvl="6" w:tplc="30EAFDC8" w:tentative="1">
      <w:start w:val="1"/>
      <w:numFmt w:val="bullet"/>
      <w:lvlText w:val="•"/>
      <w:lvlJc w:val="left"/>
      <w:pPr>
        <w:tabs>
          <w:tab w:val="num" w:pos="5040"/>
        </w:tabs>
        <w:ind w:left="5040" w:hanging="360"/>
      </w:pPr>
      <w:rPr>
        <w:rFonts w:ascii="Arial" w:hAnsi="Arial" w:hint="default"/>
      </w:rPr>
    </w:lvl>
    <w:lvl w:ilvl="7" w:tplc="6EEE009E" w:tentative="1">
      <w:start w:val="1"/>
      <w:numFmt w:val="bullet"/>
      <w:lvlText w:val="•"/>
      <w:lvlJc w:val="left"/>
      <w:pPr>
        <w:tabs>
          <w:tab w:val="num" w:pos="5760"/>
        </w:tabs>
        <w:ind w:left="5760" w:hanging="360"/>
      </w:pPr>
      <w:rPr>
        <w:rFonts w:ascii="Arial" w:hAnsi="Arial" w:hint="default"/>
      </w:rPr>
    </w:lvl>
    <w:lvl w:ilvl="8" w:tplc="2778AD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F25835"/>
    <w:multiLevelType w:val="hybridMultilevel"/>
    <w:tmpl w:val="E034B398"/>
    <w:lvl w:ilvl="0" w:tplc="5B0C51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6C690F"/>
    <w:multiLevelType w:val="hybridMultilevel"/>
    <w:tmpl w:val="F368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F4BC6"/>
    <w:multiLevelType w:val="hybridMultilevel"/>
    <w:tmpl w:val="6E30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474DC"/>
    <w:multiLevelType w:val="multilevel"/>
    <w:tmpl w:val="891A2B84"/>
    <w:lvl w:ilvl="0">
      <w:start w:val="1"/>
      <w:numFmt w:val="decimal"/>
      <w:pStyle w:val="ChapterHeading1"/>
      <w:lvlText w:val="%1."/>
      <w:lvlJc w:val="left"/>
      <w:pPr>
        <w:ind w:left="360" w:hanging="36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DF01FD"/>
    <w:multiLevelType w:val="hybridMultilevel"/>
    <w:tmpl w:val="10E220D2"/>
    <w:lvl w:ilvl="0" w:tplc="A2566B86">
      <w:start w:val="1"/>
      <w:numFmt w:val="bullet"/>
      <w:lvlText w:val="•"/>
      <w:lvlJc w:val="left"/>
      <w:pPr>
        <w:tabs>
          <w:tab w:val="num" w:pos="720"/>
        </w:tabs>
        <w:ind w:left="720" w:hanging="360"/>
      </w:pPr>
      <w:rPr>
        <w:rFonts w:ascii="Arial" w:hAnsi="Arial" w:hint="default"/>
      </w:rPr>
    </w:lvl>
    <w:lvl w:ilvl="1" w:tplc="61CE9938" w:tentative="1">
      <w:start w:val="1"/>
      <w:numFmt w:val="bullet"/>
      <w:lvlText w:val="•"/>
      <w:lvlJc w:val="left"/>
      <w:pPr>
        <w:tabs>
          <w:tab w:val="num" w:pos="1440"/>
        </w:tabs>
        <w:ind w:left="1440" w:hanging="360"/>
      </w:pPr>
      <w:rPr>
        <w:rFonts w:ascii="Arial" w:hAnsi="Arial" w:hint="default"/>
      </w:rPr>
    </w:lvl>
    <w:lvl w:ilvl="2" w:tplc="9104C468" w:tentative="1">
      <w:start w:val="1"/>
      <w:numFmt w:val="bullet"/>
      <w:lvlText w:val="•"/>
      <w:lvlJc w:val="left"/>
      <w:pPr>
        <w:tabs>
          <w:tab w:val="num" w:pos="2160"/>
        </w:tabs>
        <w:ind w:left="2160" w:hanging="360"/>
      </w:pPr>
      <w:rPr>
        <w:rFonts w:ascii="Arial" w:hAnsi="Arial" w:hint="default"/>
      </w:rPr>
    </w:lvl>
    <w:lvl w:ilvl="3" w:tplc="5954647E" w:tentative="1">
      <w:start w:val="1"/>
      <w:numFmt w:val="bullet"/>
      <w:lvlText w:val="•"/>
      <w:lvlJc w:val="left"/>
      <w:pPr>
        <w:tabs>
          <w:tab w:val="num" w:pos="2880"/>
        </w:tabs>
        <w:ind w:left="2880" w:hanging="360"/>
      </w:pPr>
      <w:rPr>
        <w:rFonts w:ascii="Arial" w:hAnsi="Arial" w:hint="default"/>
      </w:rPr>
    </w:lvl>
    <w:lvl w:ilvl="4" w:tplc="BD6C6EE0" w:tentative="1">
      <w:start w:val="1"/>
      <w:numFmt w:val="bullet"/>
      <w:lvlText w:val="•"/>
      <w:lvlJc w:val="left"/>
      <w:pPr>
        <w:tabs>
          <w:tab w:val="num" w:pos="3600"/>
        </w:tabs>
        <w:ind w:left="3600" w:hanging="360"/>
      </w:pPr>
      <w:rPr>
        <w:rFonts w:ascii="Arial" w:hAnsi="Arial" w:hint="default"/>
      </w:rPr>
    </w:lvl>
    <w:lvl w:ilvl="5" w:tplc="13F02AD2" w:tentative="1">
      <w:start w:val="1"/>
      <w:numFmt w:val="bullet"/>
      <w:lvlText w:val="•"/>
      <w:lvlJc w:val="left"/>
      <w:pPr>
        <w:tabs>
          <w:tab w:val="num" w:pos="4320"/>
        </w:tabs>
        <w:ind w:left="4320" w:hanging="360"/>
      </w:pPr>
      <w:rPr>
        <w:rFonts w:ascii="Arial" w:hAnsi="Arial" w:hint="default"/>
      </w:rPr>
    </w:lvl>
    <w:lvl w:ilvl="6" w:tplc="34BA376E" w:tentative="1">
      <w:start w:val="1"/>
      <w:numFmt w:val="bullet"/>
      <w:lvlText w:val="•"/>
      <w:lvlJc w:val="left"/>
      <w:pPr>
        <w:tabs>
          <w:tab w:val="num" w:pos="5040"/>
        </w:tabs>
        <w:ind w:left="5040" w:hanging="360"/>
      </w:pPr>
      <w:rPr>
        <w:rFonts w:ascii="Arial" w:hAnsi="Arial" w:hint="default"/>
      </w:rPr>
    </w:lvl>
    <w:lvl w:ilvl="7" w:tplc="FEF45B94" w:tentative="1">
      <w:start w:val="1"/>
      <w:numFmt w:val="bullet"/>
      <w:lvlText w:val="•"/>
      <w:lvlJc w:val="left"/>
      <w:pPr>
        <w:tabs>
          <w:tab w:val="num" w:pos="5760"/>
        </w:tabs>
        <w:ind w:left="5760" w:hanging="360"/>
      </w:pPr>
      <w:rPr>
        <w:rFonts w:ascii="Arial" w:hAnsi="Arial" w:hint="default"/>
      </w:rPr>
    </w:lvl>
    <w:lvl w:ilvl="8" w:tplc="B2A619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F17CAB"/>
    <w:multiLevelType w:val="hybridMultilevel"/>
    <w:tmpl w:val="F0581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82532"/>
    <w:multiLevelType w:val="hybridMultilevel"/>
    <w:tmpl w:val="42B48880"/>
    <w:lvl w:ilvl="0" w:tplc="0804D9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758F2"/>
    <w:multiLevelType w:val="hybridMultilevel"/>
    <w:tmpl w:val="21BC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A46EE"/>
    <w:multiLevelType w:val="hybridMultilevel"/>
    <w:tmpl w:val="9BEAD386"/>
    <w:lvl w:ilvl="0" w:tplc="6DE6A832">
      <w:start w:val="1"/>
      <w:numFmt w:val="bullet"/>
      <w:lvlText w:val="•"/>
      <w:lvlJc w:val="left"/>
      <w:pPr>
        <w:tabs>
          <w:tab w:val="num" w:pos="720"/>
        </w:tabs>
        <w:ind w:left="720" w:hanging="360"/>
      </w:pPr>
      <w:rPr>
        <w:rFonts w:ascii="Arial" w:hAnsi="Arial" w:hint="default"/>
      </w:rPr>
    </w:lvl>
    <w:lvl w:ilvl="1" w:tplc="3B4E9E94">
      <w:start w:val="33"/>
      <w:numFmt w:val="bullet"/>
      <w:lvlText w:val="•"/>
      <w:lvlJc w:val="left"/>
      <w:pPr>
        <w:tabs>
          <w:tab w:val="num" w:pos="1440"/>
        </w:tabs>
        <w:ind w:left="1440" w:hanging="360"/>
      </w:pPr>
      <w:rPr>
        <w:rFonts w:ascii="Arial" w:hAnsi="Arial" w:hint="default"/>
      </w:rPr>
    </w:lvl>
    <w:lvl w:ilvl="2" w:tplc="37C6F996" w:tentative="1">
      <w:start w:val="1"/>
      <w:numFmt w:val="bullet"/>
      <w:lvlText w:val="•"/>
      <w:lvlJc w:val="left"/>
      <w:pPr>
        <w:tabs>
          <w:tab w:val="num" w:pos="2160"/>
        </w:tabs>
        <w:ind w:left="2160" w:hanging="360"/>
      </w:pPr>
      <w:rPr>
        <w:rFonts w:ascii="Arial" w:hAnsi="Arial" w:hint="default"/>
      </w:rPr>
    </w:lvl>
    <w:lvl w:ilvl="3" w:tplc="88D0F910" w:tentative="1">
      <w:start w:val="1"/>
      <w:numFmt w:val="bullet"/>
      <w:lvlText w:val="•"/>
      <w:lvlJc w:val="left"/>
      <w:pPr>
        <w:tabs>
          <w:tab w:val="num" w:pos="2880"/>
        </w:tabs>
        <w:ind w:left="2880" w:hanging="360"/>
      </w:pPr>
      <w:rPr>
        <w:rFonts w:ascii="Arial" w:hAnsi="Arial" w:hint="default"/>
      </w:rPr>
    </w:lvl>
    <w:lvl w:ilvl="4" w:tplc="998AE69C" w:tentative="1">
      <w:start w:val="1"/>
      <w:numFmt w:val="bullet"/>
      <w:lvlText w:val="•"/>
      <w:lvlJc w:val="left"/>
      <w:pPr>
        <w:tabs>
          <w:tab w:val="num" w:pos="3600"/>
        </w:tabs>
        <w:ind w:left="3600" w:hanging="360"/>
      </w:pPr>
      <w:rPr>
        <w:rFonts w:ascii="Arial" w:hAnsi="Arial" w:hint="default"/>
      </w:rPr>
    </w:lvl>
    <w:lvl w:ilvl="5" w:tplc="7700B0AC" w:tentative="1">
      <w:start w:val="1"/>
      <w:numFmt w:val="bullet"/>
      <w:lvlText w:val="•"/>
      <w:lvlJc w:val="left"/>
      <w:pPr>
        <w:tabs>
          <w:tab w:val="num" w:pos="4320"/>
        </w:tabs>
        <w:ind w:left="4320" w:hanging="360"/>
      </w:pPr>
      <w:rPr>
        <w:rFonts w:ascii="Arial" w:hAnsi="Arial" w:hint="default"/>
      </w:rPr>
    </w:lvl>
    <w:lvl w:ilvl="6" w:tplc="22E0455A" w:tentative="1">
      <w:start w:val="1"/>
      <w:numFmt w:val="bullet"/>
      <w:lvlText w:val="•"/>
      <w:lvlJc w:val="left"/>
      <w:pPr>
        <w:tabs>
          <w:tab w:val="num" w:pos="5040"/>
        </w:tabs>
        <w:ind w:left="5040" w:hanging="360"/>
      </w:pPr>
      <w:rPr>
        <w:rFonts w:ascii="Arial" w:hAnsi="Arial" w:hint="default"/>
      </w:rPr>
    </w:lvl>
    <w:lvl w:ilvl="7" w:tplc="0FB2734C" w:tentative="1">
      <w:start w:val="1"/>
      <w:numFmt w:val="bullet"/>
      <w:lvlText w:val="•"/>
      <w:lvlJc w:val="left"/>
      <w:pPr>
        <w:tabs>
          <w:tab w:val="num" w:pos="5760"/>
        </w:tabs>
        <w:ind w:left="5760" w:hanging="360"/>
      </w:pPr>
      <w:rPr>
        <w:rFonts w:ascii="Arial" w:hAnsi="Arial" w:hint="default"/>
      </w:rPr>
    </w:lvl>
    <w:lvl w:ilvl="8" w:tplc="9C782A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C27F78"/>
    <w:multiLevelType w:val="hybridMultilevel"/>
    <w:tmpl w:val="D69CACF6"/>
    <w:lvl w:ilvl="0" w:tplc="FCD2B684">
      <w:start w:val="1"/>
      <w:numFmt w:val="bullet"/>
      <w:lvlText w:val="•"/>
      <w:lvlJc w:val="left"/>
      <w:pPr>
        <w:tabs>
          <w:tab w:val="num" w:pos="720"/>
        </w:tabs>
        <w:ind w:left="720" w:hanging="360"/>
      </w:pPr>
      <w:rPr>
        <w:rFonts w:ascii="Arial" w:hAnsi="Arial" w:hint="default"/>
      </w:rPr>
    </w:lvl>
    <w:lvl w:ilvl="1" w:tplc="6DB06B86" w:tentative="1">
      <w:start w:val="1"/>
      <w:numFmt w:val="bullet"/>
      <w:lvlText w:val="•"/>
      <w:lvlJc w:val="left"/>
      <w:pPr>
        <w:tabs>
          <w:tab w:val="num" w:pos="1440"/>
        </w:tabs>
        <w:ind w:left="1440" w:hanging="360"/>
      </w:pPr>
      <w:rPr>
        <w:rFonts w:ascii="Arial" w:hAnsi="Arial" w:hint="default"/>
      </w:rPr>
    </w:lvl>
    <w:lvl w:ilvl="2" w:tplc="693C8B1E" w:tentative="1">
      <w:start w:val="1"/>
      <w:numFmt w:val="bullet"/>
      <w:lvlText w:val="•"/>
      <w:lvlJc w:val="left"/>
      <w:pPr>
        <w:tabs>
          <w:tab w:val="num" w:pos="2160"/>
        </w:tabs>
        <w:ind w:left="2160" w:hanging="360"/>
      </w:pPr>
      <w:rPr>
        <w:rFonts w:ascii="Arial" w:hAnsi="Arial" w:hint="default"/>
      </w:rPr>
    </w:lvl>
    <w:lvl w:ilvl="3" w:tplc="8FFE70A6" w:tentative="1">
      <w:start w:val="1"/>
      <w:numFmt w:val="bullet"/>
      <w:lvlText w:val="•"/>
      <w:lvlJc w:val="left"/>
      <w:pPr>
        <w:tabs>
          <w:tab w:val="num" w:pos="2880"/>
        </w:tabs>
        <w:ind w:left="2880" w:hanging="360"/>
      </w:pPr>
      <w:rPr>
        <w:rFonts w:ascii="Arial" w:hAnsi="Arial" w:hint="default"/>
      </w:rPr>
    </w:lvl>
    <w:lvl w:ilvl="4" w:tplc="01D47D44" w:tentative="1">
      <w:start w:val="1"/>
      <w:numFmt w:val="bullet"/>
      <w:lvlText w:val="•"/>
      <w:lvlJc w:val="left"/>
      <w:pPr>
        <w:tabs>
          <w:tab w:val="num" w:pos="3600"/>
        </w:tabs>
        <w:ind w:left="3600" w:hanging="360"/>
      </w:pPr>
      <w:rPr>
        <w:rFonts w:ascii="Arial" w:hAnsi="Arial" w:hint="default"/>
      </w:rPr>
    </w:lvl>
    <w:lvl w:ilvl="5" w:tplc="FE5838B4" w:tentative="1">
      <w:start w:val="1"/>
      <w:numFmt w:val="bullet"/>
      <w:lvlText w:val="•"/>
      <w:lvlJc w:val="left"/>
      <w:pPr>
        <w:tabs>
          <w:tab w:val="num" w:pos="4320"/>
        </w:tabs>
        <w:ind w:left="4320" w:hanging="360"/>
      </w:pPr>
      <w:rPr>
        <w:rFonts w:ascii="Arial" w:hAnsi="Arial" w:hint="default"/>
      </w:rPr>
    </w:lvl>
    <w:lvl w:ilvl="6" w:tplc="99E46D6A" w:tentative="1">
      <w:start w:val="1"/>
      <w:numFmt w:val="bullet"/>
      <w:lvlText w:val="•"/>
      <w:lvlJc w:val="left"/>
      <w:pPr>
        <w:tabs>
          <w:tab w:val="num" w:pos="5040"/>
        </w:tabs>
        <w:ind w:left="5040" w:hanging="360"/>
      </w:pPr>
      <w:rPr>
        <w:rFonts w:ascii="Arial" w:hAnsi="Arial" w:hint="default"/>
      </w:rPr>
    </w:lvl>
    <w:lvl w:ilvl="7" w:tplc="E7C4D84E" w:tentative="1">
      <w:start w:val="1"/>
      <w:numFmt w:val="bullet"/>
      <w:lvlText w:val="•"/>
      <w:lvlJc w:val="left"/>
      <w:pPr>
        <w:tabs>
          <w:tab w:val="num" w:pos="5760"/>
        </w:tabs>
        <w:ind w:left="5760" w:hanging="360"/>
      </w:pPr>
      <w:rPr>
        <w:rFonts w:ascii="Arial" w:hAnsi="Arial" w:hint="default"/>
      </w:rPr>
    </w:lvl>
    <w:lvl w:ilvl="8" w:tplc="C0E839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1257EF"/>
    <w:multiLevelType w:val="hybridMultilevel"/>
    <w:tmpl w:val="712047DC"/>
    <w:lvl w:ilvl="0" w:tplc="F1725F38">
      <w:start w:val="1"/>
      <w:numFmt w:val="decimal"/>
      <w:pStyle w:val="Figureheading"/>
      <w:lvlText w:val="Figure %1"/>
      <w:lvlJc w:val="left"/>
      <w:pPr>
        <w:ind w:left="360" w:hanging="360"/>
      </w:pPr>
      <w:rPr>
        <w:rFonts w:hint="default"/>
        <w:b/>
        <w:i w:val="0"/>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456429"/>
    <w:multiLevelType w:val="multilevel"/>
    <w:tmpl w:val="E898CC72"/>
    <w:numStyleLink w:val="KeyPoints"/>
  </w:abstractNum>
  <w:abstractNum w:abstractNumId="29" w15:restartNumberingAfterBreak="0">
    <w:nsid w:val="6A713684"/>
    <w:multiLevelType w:val="hybridMultilevel"/>
    <w:tmpl w:val="55F8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37378"/>
    <w:multiLevelType w:val="hybridMultilevel"/>
    <w:tmpl w:val="1FCC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A95E88"/>
    <w:multiLevelType w:val="hybridMultilevel"/>
    <w:tmpl w:val="8AB247A4"/>
    <w:lvl w:ilvl="0" w:tplc="F5F8C356">
      <w:start w:val="1"/>
      <w:numFmt w:val="bullet"/>
      <w:lvlText w:val="•"/>
      <w:lvlJc w:val="left"/>
      <w:pPr>
        <w:tabs>
          <w:tab w:val="num" w:pos="-2090"/>
        </w:tabs>
        <w:ind w:left="-2090" w:hanging="360"/>
      </w:pPr>
      <w:rPr>
        <w:rFonts w:ascii="Arial" w:hAnsi="Arial" w:hint="default"/>
      </w:rPr>
    </w:lvl>
    <w:lvl w:ilvl="1" w:tplc="439C33C0" w:tentative="1">
      <w:start w:val="1"/>
      <w:numFmt w:val="bullet"/>
      <w:lvlText w:val="•"/>
      <w:lvlJc w:val="left"/>
      <w:pPr>
        <w:tabs>
          <w:tab w:val="num" w:pos="-1370"/>
        </w:tabs>
        <w:ind w:left="-1370" w:hanging="360"/>
      </w:pPr>
      <w:rPr>
        <w:rFonts w:ascii="Arial" w:hAnsi="Arial" w:hint="default"/>
      </w:rPr>
    </w:lvl>
    <w:lvl w:ilvl="2" w:tplc="A00C62FA" w:tentative="1">
      <w:start w:val="1"/>
      <w:numFmt w:val="bullet"/>
      <w:lvlText w:val="•"/>
      <w:lvlJc w:val="left"/>
      <w:pPr>
        <w:tabs>
          <w:tab w:val="num" w:pos="-650"/>
        </w:tabs>
        <w:ind w:left="-650" w:hanging="360"/>
      </w:pPr>
      <w:rPr>
        <w:rFonts w:ascii="Arial" w:hAnsi="Arial" w:hint="default"/>
      </w:rPr>
    </w:lvl>
    <w:lvl w:ilvl="3" w:tplc="896ED4D4" w:tentative="1">
      <w:start w:val="1"/>
      <w:numFmt w:val="bullet"/>
      <w:lvlText w:val="•"/>
      <w:lvlJc w:val="left"/>
      <w:pPr>
        <w:tabs>
          <w:tab w:val="num" w:pos="70"/>
        </w:tabs>
        <w:ind w:left="70" w:hanging="360"/>
      </w:pPr>
      <w:rPr>
        <w:rFonts w:ascii="Arial" w:hAnsi="Arial" w:hint="default"/>
      </w:rPr>
    </w:lvl>
    <w:lvl w:ilvl="4" w:tplc="7A463162" w:tentative="1">
      <w:start w:val="1"/>
      <w:numFmt w:val="bullet"/>
      <w:lvlText w:val="•"/>
      <w:lvlJc w:val="left"/>
      <w:pPr>
        <w:tabs>
          <w:tab w:val="num" w:pos="790"/>
        </w:tabs>
        <w:ind w:left="790" w:hanging="360"/>
      </w:pPr>
      <w:rPr>
        <w:rFonts w:ascii="Arial" w:hAnsi="Arial" w:hint="default"/>
      </w:rPr>
    </w:lvl>
    <w:lvl w:ilvl="5" w:tplc="C8A8567C" w:tentative="1">
      <w:start w:val="1"/>
      <w:numFmt w:val="bullet"/>
      <w:lvlText w:val="•"/>
      <w:lvlJc w:val="left"/>
      <w:pPr>
        <w:tabs>
          <w:tab w:val="num" w:pos="1510"/>
        </w:tabs>
        <w:ind w:left="1510" w:hanging="360"/>
      </w:pPr>
      <w:rPr>
        <w:rFonts w:ascii="Arial" w:hAnsi="Arial" w:hint="default"/>
      </w:rPr>
    </w:lvl>
    <w:lvl w:ilvl="6" w:tplc="4BF67998" w:tentative="1">
      <w:start w:val="1"/>
      <w:numFmt w:val="bullet"/>
      <w:lvlText w:val="•"/>
      <w:lvlJc w:val="left"/>
      <w:pPr>
        <w:tabs>
          <w:tab w:val="num" w:pos="2230"/>
        </w:tabs>
        <w:ind w:left="2230" w:hanging="360"/>
      </w:pPr>
      <w:rPr>
        <w:rFonts w:ascii="Arial" w:hAnsi="Arial" w:hint="default"/>
      </w:rPr>
    </w:lvl>
    <w:lvl w:ilvl="7" w:tplc="2D72E780" w:tentative="1">
      <w:start w:val="1"/>
      <w:numFmt w:val="bullet"/>
      <w:lvlText w:val="•"/>
      <w:lvlJc w:val="left"/>
      <w:pPr>
        <w:tabs>
          <w:tab w:val="num" w:pos="2950"/>
        </w:tabs>
        <w:ind w:left="2950" w:hanging="360"/>
      </w:pPr>
      <w:rPr>
        <w:rFonts w:ascii="Arial" w:hAnsi="Arial" w:hint="default"/>
      </w:rPr>
    </w:lvl>
    <w:lvl w:ilvl="8" w:tplc="B14ADBAE" w:tentative="1">
      <w:start w:val="1"/>
      <w:numFmt w:val="bullet"/>
      <w:lvlText w:val="•"/>
      <w:lvlJc w:val="left"/>
      <w:pPr>
        <w:tabs>
          <w:tab w:val="num" w:pos="3670"/>
        </w:tabs>
        <w:ind w:left="3670" w:hanging="360"/>
      </w:pPr>
      <w:rPr>
        <w:rFonts w:ascii="Arial" w:hAnsi="Arial" w:hint="default"/>
      </w:rPr>
    </w:lvl>
  </w:abstractNum>
  <w:abstractNum w:abstractNumId="32" w15:restartNumberingAfterBreak="0">
    <w:nsid w:val="70C75E80"/>
    <w:multiLevelType w:val="hybridMultilevel"/>
    <w:tmpl w:val="1D2A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7B1876"/>
    <w:multiLevelType w:val="hybridMultilevel"/>
    <w:tmpl w:val="4B06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B00146D"/>
    <w:multiLevelType w:val="hybridMultilevel"/>
    <w:tmpl w:val="885A47F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CC5663"/>
    <w:multiLevelType w:val="hybridMultilevel"/>
    <w:tmpl w:val="C102F20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4"/>
  </w:num>
  <w:num w:numId="2">
    <w:abstractNumId w:val="0"/>
  </w:num>
  <w:num w:numId="3">
    <w:abstractNumId w:val="17"/>
  </w:num>
  <w:num w:numId="4">
    <w:abstractNumId w:val="14"/>
  </w:num>
  <w:num w:numId="5">
    <w:abstractNumId w:val="28"/>
  </w:num>
  <w:num w:numId="6">
    <w:abstractNumId w:val="10"/>
  </w:num>
  <w:num w:numId="7">
    <w:abstractNumId w:val="20"/>
  </w:num>
  <w:num w:numId="8">
    <w:abstractNumId w:val="27"/>
  </w:num>
  <w:num w:numId="9">
    <w:abstractNumId w:val="9"/>
  </w:num>
  <w:num w:numId="10">
    <w:abstractNumId w:val="5"/>
  </w:num>
  <w:num w:numId="11">
    <w:abstractNumId w:val="25"/>
  </w:num>
  <w:num w:numId="12">
    <w:abstractNumId w:val="15"/>
  </w:num>
  <w:num w:numId="13">
    <w:abstractNumId w:val="10"/>
  </w:num>
  <w:num w:numId="14">
    <w:abstractNumId w:val="10"/>
  </w:num>
  <w:num w:numId="15">
    <w:abstractNumId w:val="6"/>
  </w:num>
  <w:num w:numId="16">
    <w:abstractNumId w:val="26"/>
  </w:num>
  <w:num w:numId="17">
    <w:abstractNumId w:val="10"/>
  </w:num>
  <w:num w:numId="18">
    <w:abstractNumId w:val="2"/>
  </w:num>
  <w:num w:numId="19">
    <w:abstractNumId w:val="10"/>
  </w:num>
  <w:num w:numId="20">
    <w:abstractNumId w:val="16"/>
  </w:num>
  <w:num w:numId="21">
    <w:abstractNumId w:val="33"/>
  </w:num>
  <w:num w:numId="22">
    <w:abstractNumId w:val="11"/>
  </w:num>
  <w:num w:numId="23">
    <w:abstractNumId w:val="3"/>
  </w:num>
  <w:num w:numId="24">
    <w:abstractNumId w:val="22"/>
  </w:num>
  <w:num w:numId="25">
    <w:abstractNumId w:val="23"/>
  </w:num>
  <w:num w:numId="26">
    <w:abstractNumId w:val="7"/>
  </w:num>
  <w:num w:numId="27">
    <w:abstractNumId w:val="8"/>
  </w:num>
  <w:num w:numId="28">
    <w:abstractNumId w:val="12"/>
  </w:num>
  <w:num w:numId="29">
    <w:abstractNumId w:val="32"/>
  </w:num>
  <w:num w:numId="30">
    <w:abstractNumId w:val="19"/>
  </w:num>
  <w:num w:numId="31">
    <w:abstractNumId w:val="31"/>
  </w:num>
  <w:num w:numId="32">
    <w:abstractNumId w:val="21"/>
  </w:num>
  <w:num w:numId="33">
    <w:abstractNumId w:val="35"/>
  </w:num>
  <w:num w:numId="34">
    <w:abstractNumId w:val="13"/>
  </w:num>
  <w:num w:numId="35">
    <w:abstractNumId w:val="29"/>
  </w:num>
  <w:num w:numId="36">
    <w:abstractNumId w:val="36"/>
  </w:num>
  <w:num w:numId="37">
    <w:abstractNumId w:val="30"/>
  </w:num>
  <w:num w:numId="38">
    <w:abstractNumId w:val="24"/>
  </w:num>
  <w:num w:numId="39">
    <w:abstractNumId w:val="18"/>
  </w:num>
  <w:num w:numId="40">
    <w:abstractNumId w:val="1"/>
  </w:num>
  <w:num w:numId="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9yAnFkXemC/JC1GWuY94dBCvOEFpBmYIb+OLAhhVnvZ3hBPNDC+pMG6Kq5l3s8zRS6PEf/W8+PWlsbIeiGVqNQ==" w:salt="PwSUbcpgCoj+dsIDQc5ZXA=="/>
  <w:defaultTabStop w:val="720"/>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B40B2"/>
    <w:rsid w:val="00004AEE"/>
    <w:rsid w:val="00005CAA"/>
    <w:rsid w:val="00010210"/>
    <w:rsid w:val="00012D66"/>
    <w:rsid w:val="00015ADA"/>
    <w:rsid w:val="000200A0"/>
    <w:rsid w:val="00020C99"/>
    <w:rsid w:val="00024697"/>
    <w:rsid w:val="0002707B"/>
    <w:rsid w:val="0003070D"/>
    <w:rsid w:val="00036334"/>
    <w:rsid w:val="000408C5"/>
    <w:rsid w:val="00046702"/>
    <w:rsid w:val="0005148E"/>
    <w:rsid w:val="00057B1A"/>
    <w:rsid w:val="00072366"/>
    <w:rsid w:val="00072C5A"/>
    <w:rsid w:val="000759E5"/>
    <w:rsid w:val="000800DE"/>
    <w:rsid w:val="00084AC6"/>
    <w:rsid w:val="00086DA2"/>
    <w:rsid w:val="00091608"/>
    <w:rsid w:val="0009333C"/>
    <w:rsid w:val="0009704F"/>
    <w:rsid w:val="000A0F11"/>
    <w:rsid w:val="000A125A"/>
    <w:rsid w:val="000A43A3"/>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7C51"/>
    <w:rsid w:val="00100BEF"/>
    <w:rsid w:val="001013F2"/>
    <w:rsid w:val="00111326"/>
    <w:rsid w:val="0011485B"/>
    <w:rsid w:val="0011498E"/>
    <w:rsid w:val="00117A45"/>
    <w:rsid w:val="001224AE"/>
    <w:rsid w:val="001337D4"/>
    <w:rsid w:val="00142D48"/>
    <w:rsid w:val="00147C12"/>
    <w:rsid w:val="001527A1"/>
    <w:rsid w:val="001530DC"/>
    <w:rsid w:val="00154989"/>
    <w:rsid w:val="00155A9F"/>
    <w:rsid w:val="00155E8E"/>
    <w:rsid w:val="00160262"/>
    <w:rsid w:val="00161DF8"/>
    <w:rsid w:val="0016780A"/>
    <w:rsid w:val="001713FA"/>
    <w:rsid w:val="00173EBF"/>
    <w:rsid w:val="00175B2D"/>
    <w:rsid w:val="00175ED3"/>
    <w:rsid w:val="001779BB"/>
    <w:rsid w:val="001842A2"/>
    <w:rsid w:val="00186161"/>
    <w:rsid w:val="001872BE"/>
    <w:rsid w:val="00187FA8"/>
    <w:rsid w:val="00192F5E"/>
    <w:rsid w:val="00197772"/>
    <w:rsid w:val="001A51C8"/>
    <w:rsid w:val="001B36D6"/>
    <w:rsid w:val="001B4CA8"/>
    <w:rsid w:val="001B5EA1"/>
    <w:rsid w:val="001C4F3D"/>
    <w:rsid w:val="001D0CDC"/>
    <w:rsid w:val="001D1D82"/>
    <w:rsid w:val="001E1182"/>
    <w:rsid w:val="001E1CEE"/>
    <w:rsid w:val="001E70E9"/>
    <w:rsid w:val="001F7C8C"/>
    <w:rsid w:val="001F7E4B"/>
    <w:rsid w:val="00202C90"/>
    <w:rsid w:val="00213DE8"/>
    <w:rsid w:val="00216118"/>
    <w:rsid w:val="002209AB"/>
    <w:rsid w:val="002251E3"/>
    <w:rsid w:val="00227A95"/>
    <w:rsid w:val="002316BD"/>
    <w:rsid w:val="0024133A"/>
    <w:rsid w:val="002473FC"/>
    <w:rsid w:val="00252E3C"/>
    <w:rsid w:val="00262198"/>
    <w:rsid w:val="00263007"/>
    <w:rsid w:val="00274ABA"/>
    <w:rsid w:val="002840A2"/>
    <w:rsid w:val="00285F1B"/>
    <w:rsid w:val="00292B81"/>
    <w:rsid w:val="002B18AE"/>
    <w:rsid w:val="002C1C93"/>
    <w:rsid w:val="002C5066"/>
    <w:rsid w:val="002C5813"/>
    <w:rsid w:val="002C77D5"/>
    <w:rsid w:val="002D1DC1"/>
    <w:rsid w:val="002D4AAC"/>
    <w:rsid w:val="002F045A"/>
    <w:rsid w:val="002F3B53"/>
    <w:rsid w:val="0030039D"/>
    <w:rsid w:val="0030326F"/>
    <w:rsid w:val="00310701"/>
    <w:rsid w:val="00315980"/>
    <w:rsid w:val="00316F7F"/>
    <w:rsid w:val="003218E8"/>
    <w:rsid w:val="00325E34"/>
    <w:rsid w:val="00330DCE"/>
    <w:rsid w:val="00331E11"/>
    <w:rsid w:val="00334761"/>
    <w:rsid w:val="00337EBC"/>
    <w:rsid w:val="00340595"/>
    <w:rsid w:val="00341DCD"/>
    <w:rsid w:val="0034563E"/>
    <w:rsid w:val="00345E4B"/>
    <w:rsid w:val="003518D6"/>
    <w:rsid w:val="0035230D"/>
    <w:rsid w:val="003542D2"/>
    <w:rsid w:val="0035460C"/>
    <w:rsid w:val="003556BD"/>
    <w:rsid w:val="003573A0"/>
    <w:rsid w:val="003646AC"/>
    <w:rsid w:val="00365147"/>
    <w:rsid w:val="0037016E"/>
    <w:rsid w:val="00372908"/>
    <w:rsid w:val="003741CC"/>
    <w:rsid w:val="00377C17"/>
    <w:rsid w:val="00383020"/>
    <w:rsid w:val="0038632D"/>
    <w:rsid w:val="00391D7F"/>
    <w:rsid w:val="00394D7E"/>
    <w:rsid w:val="003975FD"/>
    <w:rsid w:val="003A3420"/>
    <w:rsid w:val="003A6DE0"/>
    <w:rsid w:val="003B057D"/>
    <w:rsid w:val="003B60CC"/>
    <w:rsid w:val="003B6945"/>
    <w:rsid w:val="003C1B25"/>
    <w:rsid w:val="003C2443"/>
    <w:rsid w:val="003C5DA3"/>
    <w:rsid w:val="003D1249"/>
    <w:rsid w:val="003D4BCD"/>
    <w:rsid w:val="003D633F"/>
    <w:rsid w:val="003D6C2B"/>
    <w:rsid w:val="003D6E91"/>
    <w:rsid w:val="003E01D8"/>
    <w:rsid w:val="003E2100"/>
    <w:rsid w:val="003E5C93"/>
    <w:rsid w:val="003F6F5B"/>
    <w:rsid w:val="0040046A"/>
    <w:rsid w:val="00402333"/>
    <w:rsid w:val="0040342D"/>
    <w:rsid w:val="00405540"/>
    <w:rsid w:val="0041192D"/>
    <w:rsid w:val="00413EE1"/>
    <w:rsid w:val="00417A66"/>
    <w:rsid w:val="0042128E"/>
    <w:rsid w:val="00422FC1"/>
    <w:rsid w:val="00432B60"/>
    <w:rsid w:val="0043508D"/>
    <w:rsid w:val="00440698"/>
    <w:rsid w:val="0044645A"/>
    <w:rsid w:val="004540E2"/>
    <w:rsid w:val="00454454"/>
    <w:rsid w:val="00467924"/>
    <w:rsid w:val="004712A5"/>
    <w:rsid w:val="0047266F"/>
    <w:rsid w:val="00476D6B"/>
    <w:rsid w:val="004771FE"/>
    <w:rsid w:val="00484849"/>
    <w:rsid w:val="00492C16"/>
    <w:rsid w:val="00495E2C"/>
    <w:rsid w:val="004A0678"/>
    <w:rsid w:val="004A48A3"/>
    <w:rsid w:val="004B0D92"/>
    <w:rsid w:val="004B0EC0"/>
    <w:rsid w:val="004B3DC6"/>
    <w:rsid w:val="004B66F1"/>
    <w:rsid w:val="004C050F"/>
    <w:rsid w:val="004C34D2"/>
    <w:rsid w:val="004C3EA0"/>
    <w:rsid w:val="004D0D04"/>
    <w:rsid w:val="004F506C"/>
    <w:rsid w:val="004F7169"/>
    <w:rsid w:val="00500535"/>
    <w:rsid w:val="00500D66"/>
    <w:rsid w:val="005126CB"/>
    <w:rsid w:val="00514C8E"/>
    <w:rsid w:val="00515184"/>
    <w:rsid w:val="00531DBF"/>
    <w:rsid w:val="005334A3"/>
    <w:rsid w:val="00545759"/>
    <w:rsid w:val="00545BE0"/>
    <w:rsid w:val="00546930"/>
    <w:rsid w:val="00554C6A"/>
    <w:rsid w:val="00562E85"/>
    <w:rsid w:val="0056332F"/>
    <w:rsid w:val="005719B3"/>
    <w:rsid w:val="00571A95"/>
    <w:rsid w:val="0057295E"/>
    <w:rsid w:val="00581C39"/>
    <w:rsid w:val="005903B6"/>
    <w:rsid w:val="00591620"/>
    <w:rsid w:val="005A0247"/>
    <w:rsid w:val="005A126E"/>
    <w:rsid w:val="005A452F"/>
    <w:rsid w:val="005B140D"/>
    <w:rsid w:val="005B2313"/>
    <w:rsid w:val="005C1FEA"/>
    <w:rsid w:val="005C3495"/>
    <w:rsid w:val="005C66F5"/>
    <w:rsid w:val="005E3DFC"/>
    <w:rsid w:val="005E51BB"/>
    <w:rsid w:val="005E5942"/>
    <w:rsid w:val="005E60AF"/>
    <w:rsid w:val="005F1DEA"/>
    <w:rsid w:val="005F5FE0"/>
    <w:rsid w:val="00607FC9"/>
    <w:rsid w:val="00617253"/>
    <w:rsid w:val="00622FE1"/>
    <w:rsid w:val="0062521C"/>
    <w:rsid w:val="00630A2B"/>
    <w:rsid w:val="00632DC7"/>
    <w:rsid w:val="006357FB"/>
    <w:rsid w:val="006406FC"/>
    <w:rsid w:val="00640E57"/>
    <w:rsid w:val="00645ACB"/>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48E"/>
    <w:rsid w:val="006A6C23"/>
    <w:rsid w:val="006B14DB"/>
    <w:rsid w:val="006B1ED6"/>
    <w:rsid w:val="006B21C4"/>
    <w:rsid w:val="006B40B2"/>
    <w:rsid w:val="006C4A1A"/>
    <w:rsid w:val="006D0393"/>
    <w:rsid w:val="006D1A83"/>
    <w:rsid w:val="006E1CFE"/>
    <w:rsid w:val="006E7011"/>
    <w:rsid w:val="006F10C4"/>
    <w:rsid w:val="006F40E9"/>
    <w:rsid w:val="006F5603"/>
    <w:rsid w:val="006F7B87"/>
    <w:rsid w:val="00701400"/>
    <w:rsid w:val="007037CF"/>
    <w:rsid w:val="00707E10"/>
    <w:rsid w:val="00710B3F"/>
    <w:rsid w:val="007167C0"/>
    <w:rsid w:val="00720481"/>
    <w:rsid w:val="00724500"/>
    <w:rsid w:val="00733193"/>
    <w:rsid w:val="00733F42"/>
    <w:rsid w:val="00742F12"/>
    <w:rsid w:val="00744DDA"/>
    <w:rsid w:val="00745E03"/>
    <w:rsid w:val="0075732A"/>
    <w:rsid w:val="007600F8"/>
    <w:rsid w:val="00760262"/>
    <w:rsid w:val="0076310C"/>
    <w:rsid w:val="00764C3F"/>
    <w:rsid w:val="0076744F"/>
    <w:rsid w:val="007678A4"/>
    <w:rsid w:val="00767BCE"/>
    <w:rsid w:val="00767EFC"/>
    <w:rsid w:val="007707DE"/>
    <w:rsid w:val="00770B5D"/>
    <w:rsid w:val="007752F1"/>
    <w:rsid w:val="00776768"/>
    <w:rsid w:val="0078054E"/>
    <w:rsid w:val="0078187A"/>
    <w:rsid w:val="00790F60"/>
    <w:rsid w:val="00794ED8"/>
    <w:rsid w:val="007A2573"/>
    <w:rsid w:val="007B106C"/>
    <w:rsid w:val="007B1A4E"/>
    <w:rsid w:val="007B2D39"/>
    <w:rsid w:val="007B3C1F"/>
    <w:rsid w:val="007B3D05"/>
    <w:rsid w:val="007B5503"/>
    <w:rsid w:val="007B677B"/>
    <w:rsid w:val="007C179C"/>
    <w:rsid w:val="007C6BB3"/>
    <w:rsid w:val="007D1343"/>
    <w:rsid w:val="007D14B4"/>
    <w:rsid w:val="007D3AD7"/>
    <w:rsid w:val="007E24F6"/>
    <w:rsid w:val="007E5C51"/>
    <w:rsid w:val="00800F64"/>
    <w:rsid w:val="00801050"/>
    <w:rsid w:val="00802F0B"/>
    <w:rsid w:val="00810A67"/>
    <w:rsid w:val="0082112E"/>
    <w:rsid w:val="008217B8"/>
    <w:rsid w:val="00833CF7"/>
    <w:rsid w:val="00834CDE"/>
    <w:rsid w:val="00835987"/>
    <w:rsid w:val="00842464"/>
    <w:rsid w:val="00845601"/>
    <w:rsid w:val="00846F92"/>
    <w:rsid w:val="00851E9D"/>
    <w:rsid w:val="00855C5C"/>
    <w:rsid w:val="00872B01"/>
    <w:rsid w:val="00887D49"/>
    <w:rsid w:val="00895E18"/>
    <w:rsid w:val="008962C3"/>
    <w:rsid w:val="008A0D9A"/>
    <w:rsid w:val="008A3C96"/>
    <w:rsid w:val="008B4019"/>
    <w:rsid w:val="008B65C9"/>
    <w:rsid w:val="008C2D4A"/>
    <w:rsid w:val="008D0C53"/>
    <w:rsid w:val="008D3900"/>
    <w:rsid w:val="008D693E"/>
    <w:rsid w:val="008D6E1D"/>
    <w:rsid w:val="008F0E34"/>
    <w:rsid w:val="008F274D"/>
    <w:rsid w:val="008F39B4"/>
    <w:rsid w:val="008F4162"/>
    <w:rsid w:val="008F5DB6"/>
    <w:rsid w:val="00901710"/>
    <w:rsid w:val="00903E02"/>
    <w:rsid w:val="00913175"/>
    <w:rsid w:val="009149E2"/>
    <w:rsid w:val="00916EDB"/>
    <w:rsid w:val="00920453"/>
    <w:rsid w:val="00920861"/>
    <w:rsid w:val="00922B13"/>
    <w:rsid w:val="009242EF"/>
    <w:rsid w:val="00931E22"/>
    <w:rsid w:val="00932291"/>
    <w:rsid w:val="00932861"/>
    <w:rsid w:val="0093408E"/>
    <w:rsid w:val="00937355"/>
    <w:rsid w:val="00952DDF"/>
    <w:rsid w:val="009610A3"/>
    <w:rsid w:val="00962C3A"/>
    <w:rsid w:val="00963B6A"/>
    <w:rsid w:val="00966E12"/>
    <w:rsid w:val="00970950"/>
    <w:rsid w:val="009812D4"/>
    <w:rsid w:val="009920D8"/>
    <w:rsid w:val="009952F5"/>
    <w:rsid w:val="009A6DB7"/>
    <w:rsid w:val="009B38BE"/>
    <w:rsid w:val="009C3D0F"/>
    <w:rsid w:val="009C7D47"/>
    <w:rsid w:val="009D4535"/>
    <w:rsid w:val="009E1B19"/>
    <w:rsid w:val="009F35E2"/>
    <w:rsid w:val="009F65F9"/>
    <w:rsid w:val="009F68BA"/>
    <w:rsid w:val="00A06277"/>
    <w:rsid w:val="00A079DC"/>
    <w:rsid w:val="00A1075E"/>
    <w:rsid w:val="00A111C2"/>
    <w:rsid w:val="00A11894"/>
    <w:rsid w:val="00A3172E"/>
    <w:rsid w:val="00A31FAA"/>
    <w:rsid w:val="00A338E7"/>
    <w:rsid w:val="00A35CAA"/>
    <w:rsid w:val="00A36E7F"/>
    <w:rsid w:val="00A41E65"/>
    <w:rsid w:val="00A43E0A"/>
    <w:rsid w:val="00A50F34"/>
    <w:rsid w:val="00A530C7"/>
    <w:rsid w:val="00A55F5B"/>
    <w:rsid w:val="00A60185"/>
    <w:rsid w:val="00A661EA"/>
    <w:rsid w:val="00A73251"/>
    <w:rsid w:val="00A830E5"/>
    <w:rsid w:val="00A87135"/>
    <w:rsid w:val="00A873C1"/>
    <w:rsid w:val="00A93280"/>
    <w:rsid w:val="00A951EA"/>
    <w:rsid w:val="00AA003E"/>
    <w:rsid w:val="00AA2548"/>
    <w:rsid w:val="00AA58C4"/>
    <w:rsid w:val="00AA6F7D"/>
    <w:rsid w:val="00AA7003"/>
    <w:rsid w:val="00AB11C8"/>
    <w:rsid w:val="00AC08A8"/>
    <w:rsid w:val="00AD56C8"/>
    <w:rsid w:val="00AD58F2"/>
    <w:rsid w:val="00AE0A28"/>
    <w:rsid w:val="00AE4169"/>
    <w:rsid w:val="00B0512A"/>
    <w:rsid w:val="00B0529F"/>
    <w:rsid w:val="00B0629B"/>
    <w:rsid w:val="00B1418B"/>
    <w:rsid w:val="00B20C37"/>
    <w:rsid w:val="00B21195"/>
    <w:rsid w:val="00B21D08"/>
    <w:rsid w:val="00B24B22"/>
    <w:rsid w:val="00B25310"/>
    <w:rsid w:val="00B27CE3"/>
    <w:rsid w:val="00B32F8F"/>
    <w:rsid w:val="00B3492A"/>
    <w:rsid w:val="00B34C05"/>
    <w:rsid w:val="00B44AAA"/>
    <w:rsid w:val="00B4539B"/>
    <w:rsid w:val="00B464EE"/>
    <w:rsid w:val="00B54DE9"/>
    <w:rsid w:val="00B553EC"/>
    <w:rsid w:val="00B55E3F"/>
    <w:rsid w:val="00B63C1E"/>
    <w:rsid w:val="00B82623"/>
    <w:rsid w:val="00B83A9A"/>
    <w:rsid w:val="00B858AF"/>
    <w:rsid w:val="00B93DD0"/>
    <w:rsid w:val="00B97732"/>
    <w:rsid w:val="00BA65A8"/>
    <w:rsid w:val="00BA6D19"/>
    <w:rsid w:val="00BA7461"/>
    <w:rsid w:val="00BA7DA9"/>
    <w:rsid w:val="00BB3F58"/>
    <w:rsid w:val="00BC4215"/>
    <w:rsid w:val="00BD1A6F"/>
    <w:rsid w:val="00BD480B"/>
    <w:rsid w:val="00BE6D3C"/>
    <w:rsid w:val="00BE7852"/>
    <w:rsid w:val="00BF7CEE"/>
    <w:rsid w:val="00C007D1"/>
    <w:rsid w:val="00C03880"/>
    <w:rsid w:val="00C06106"/>
    <w:rsid w:val="00C135CF"/>
    <w:rsid w:val="00C2683F"/>
    <w:rsid w:val="00C3184D"/>
    <w:rsid w:val="00C4714E"/>
    <w:rsid w:val="00C51CCA"/>
    <w:rsid w:val="00C5504F"/>
    <w:rsid w:val="00C57B55"/>
    <w:rsid w:val="00C603BA"/>
    <w:rsid w:val="00C63376"/>
    <w:rsid w:val="00C65422"/>
    <w:rsid w:val="00C74F97"/>
    <w:rsid w:val="00C758B9"/>
    <w:rsid w:val="00C8276E"/>
    <w:rsid w:val="00C842AC"/>
    <w:rsid w:val="00C856F0"/>
    <w:rsid w:val="00C867D3"/>
    <w:rsid w:val="00C9421D"/>
    <w:rsid w:val="00C946AE"/>
    <w:rsid w:val="00C96688"/>
    <w:rsid w:val="00CA0723"/>
    <w:rsid w:val="00CA20E9"/>
    <w:rsid w:val="00CB1690"/>
    <w:rsid w:val="00CC4365"/>
    <w:rsid w:val="00CD11B0"/>
    <w:rsid w:val="00CE71C2"/>
    <w:rsid w:val="00CF34E9"/>
    <w:rsid w:val="00CF42D5"/>
    <w:rsid w:val="00CF4EDA"/>
    <w:rsid w:val="00D01032"/>
    <w:rsid w:val="00D021CB"/>
    <w:rsid w:val="00D10F1A"/>
    <w:rsid w:val="00D116F8"/>
    <w:rsid w:val="00D1632F"/>
    <w:rsid w:val="00D17596"/>
    <w:rsid w:val="00D17937"/>
    <w:rsid w:val="00D21D54"/>
    <w:rsid w:val="00D22640"/>
    <w:rsid w:val="00D262A2"/>
    <w:rsid w:val="00D26D3A"/>
    <w:rsid w:val="00D40CDA"/>
    <w:rsid w:val="00D41C22"/>
    <w:rsid w:val="00D440C0"/>
    <w:rsid w:val="00D45EE3"/>
    <w:rsid w:val="00D50618"/>
    <w:rsid w:val="00D509E9"/>
    <w:rsid w:val="00D518B1"/>
    <w:rsid w:val="00D53B1C"/>
    <w:rsid w:val="00D74949"/>
    <w:rsid w:val="00D77CF6"/>
    <w:rsid w:val="00D86F98"/>
    <w:rsid w:val="00D878E9"/>
    <w:rsid w:val="00DA1B12"/>
    <w:rsid w:val="00DA54C9"/>
    <w:rsid w:val="00DA6739"/>
    <w:rsid w:val="00DA6CAE"/>
    <w:rsid w:val="00DB1A9E"/>
    <w:rsid w:val="00DB31D6"/>
    <w:rsid w:val="00DB4005"/>
    <w:rsid w:val="00DC34EB"/>
    <w:rsid w:val="00DE1786"/>
    <w:rsid w:val="00DF1E5B"/>
    <w:rsid w:val="00DF2275"/>
    <w:rsid w:val="00DF2293"/>
    <w:rsid w:val="00DF3F5E"/>
    <w:rsid w:val="00DF5653"/>
    <w:rsid w:val="00E00A24"/>
    <w:rsid w:val="00E03799"/>
    <w:rsid w:val="00E0596E"/>
    <w:rsid w:val="00E06F66"/>
    <w:rsid w:val="00E11BE5"/>
    <w:rsid w:val="00E34413"/>
    <w:rsid w:val="00E356E5"/>
    <w:rsid w:val="00E358E4"/>
    <w:rsid w:val="00E36F81"/>
    <w:rsid w:val="00E45765"/>
    <w:rsid w:val="00E5012C"/>
    <w:rsid w:val="00E5098C"/>
    <w:rsid w:val="00E60213"/>
    <w:rsid w:val="00E661B2"/>
    <w:rsid w:val="00E74D29"/>
    <w:rsid w:val="00E77FBB"/>
    <w:rsid w:val="00E82DAE"/>
    <w:rsid w:val="00E83C74"/>
    <w:rsid w:val="00E83CEE"/>
    <w:rsid w:val="00E91F18"/>
    <w:rsid w:val="00E9226D"/>
    <w:rsid w:val="00EA416C"/>
    <w:rsid w:val="00EA5941"/>
    <w:rsid w:val="00EA74B3"/>
    <w:rsid w:val="00EB3A7D"/>
    <w:rsid w:val="00EB60CE"/>
    <w:rsid w:val="00EB7D53"/>
    <w:rsid w:val="00EC0A41"/>
    <w:rsid w:val="00EC2A2C"/>
    <w:rsid w:val="00ED13C4"/>
    <w:rsid w:val="00EE3146"/>
    <w:rsid w:val="00EE46DB"/>
    <w:rsid w:val="00EE6BBC"/>
    <w:rsid w:val="00EF50BB"/>
    <w:rsid w:val="00EF53FF"/>
    <w:rsid w:val="00F00192"/>
    <w:rsid w:val="00F01DF6"/>
    <w:rsid w:val="00F01E1E"/>
    <w:rsid w:val="00F0340D"/>
    <w:rsid w:val="00F059A6"/>
    <w:rsid w:val="00F23756"/>
    <w:rsid w:val="00F2523A"/>
    <w:rsid w:val="00F25FFA"/>
    <w:rsid w:val="00F302D9"/>
    <w:rsid w:val="00F310D2"/>
    <w:rsid w:val="00F36529"/>
    <w:rsid w:val="00F36F3D"/>
    <w:rsid w:val="00F477BD"/>
    <w:rsid w:val="00F53491"/>
    <w:rsid w:val="00F53BC2"/>
    <w:rsid w:val="00F54329"/>
    <w:rsid w:val="00F65A1C"/>
    <w:rsid w:val="00F66F50"/>
    <w:rsid w:val="00F80643"/>
    <w:rsid w:val="00F82FF8"/>
    <w:rsid w:val="00F8330D"/>
    <w:rsid w:val="00F84305"/>
    <w:rsid w:val="00F8485C"/>
    <w:rsid w:val="00F87149"/>
    <w:rsid w:val="00F87FFE"/>
    <w:rsid w:val="00F938C2"/>
    <w:rsid w:val="00F954C9"/>
    <w:rsid w:val="00FA4CF0"/>
    <w:rsid w:val="00FA61AA"/>
    <w:rsid w:val="00FA69A4"/>
    <w:rsid w:val="00FB1279"/>
    <w:rsid w:val="00FB1495"/>
    <w:rsid w:val="00FB15EE"/>
    <w:rsid w:val="00FB35C8"/>
    <w:rsid w:val="00FC2D24"/>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647AD5"/>
  <w15:chartTrackingRefBased/>
  <w15:docId w15:val="{0BCC4402-5FEB-4F12-80AE-A640436C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BB"/>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ChapterHeading1">
    <w:name w:val="Chapter Heading 1"/>
    <w:basedOn w:val="Heading1"/>
    <w:next w:val="BodyText"/>
    <w:uiPriority w:val="5"/>
    <w:qFormat/>
    <w:rsid w:val="00263007"/>
    <w:pPr>
      <w:pageBreakBefore/>
      <w:numPr>
        <w:numId w:val="7"/>
      </w:numPr>
      <w:spacing w:before="800" w:after="360" w:line="240" w:lineRule="auto"/>
      <w:contextualSpacing/>
    </w:pPr>
    <w:rPr>
      <w:rFonts w:ascii="Arial" w:eastAsia="Times New Roman" w:hAnsi="Arial"/>
      <w:b w:val="0"/>
      <w:bCs/>
      <w:color w:val="0C9FCD"/>
      <w:sz w:val="40"/>
      <w:szCs w:val="32"/>
      <w:lang w:val="en-GB"/>
    </w:rPr>
  </w:style>
  <w:style w:type="paragraph" w:styleId="BodyText">
    <w:name w:val="Body Text"/>
    <w:basedOn w:val="Normal"/>
    <w:link w:val="BodyTextChar"/>
    <w:uiPriority w:val="99"/>
    <w:unhideWhenUsed/>
    <w:rsid w:val="00263007"/>
    <w:pPr>
      <w:spacing w:after="120"/>
    </w:pPr>
  </w:style>
  <w:style w:type="character" w:customStyle="1" w:styleId="BodyTextChar">
    <w:name w:val="Body Text Char"/>
    <w:basedOn w:val="DefaultParagraphFont"/>
    <w:link w:val="BodyText"/>
    <w:uiPriority w:val="99"/>
    <w:rsid w:val="00263007"/>
  </w:style>
  <w:style w:type="paragraph" w:customStyle="1" w:styleId="Figureheading">
    <w:name w:val="Figure heading"/>
    <w:basedOn w:val="Normal"/>
    <w:next w:val="Normal"/>
    <w:qFormat/>
    <w:rsid w:val="00263007"/>
    <w:pPr>
      <w:keepNext/>
      <w:numPr>
        <w:numId w:val="8"/>
      </w:numPr>
      <w:pBdr>
        <w:top w:val="dotted" w:sz="18" w:space="1" w:color="4F81BD" w:themeColor="accent1"/>
      </w:pBdr>
      <w:spacing w:before="120" w:after="0" w:line="240" w:lineRule="auto"/>
    </w:pPr>
    <w:rPr>
      <w:rFonts w:ascii="Arial" w:hAnsi="Arial" w:cs="Times New Roman"/>
      <w:caps/>
      <w:color w:val="159DCE"/>
      <w:lang w:eastAsia="en-US"/>
    </w:rPr>
  </w:style>
  <w:style w:type="paragraph" w:customStyle="1" w:styleId="Headingnon-numbered">
    <w:name w:val="Heading (non-numbered)"/>
    <w:basedOn w:val="Heading1"/>
    <w:next w:val="BodyText"/>
    <w:uiPriority w:val="5"/>
    <w:qFormat/>
    <w:rsid w:val="00263007"/>
    <w:pPr>
      <w:pageBreakBefore/>
      <w:spacing w:before="800" w:after="480" w:line="240" w:lineRule="auto"/>
      <w:contextualSpacing/>
    </w:pPr>
    <w:rPr>
      <w:rFonts w:ascii="Arial" w:eastAsia="Times New Roman" w:hAnsi="Arial"/>
      <w:b w:val="0"/>
      <w:bCs/>
      <w:color w:val="0C9FCD"/>
      <w:sz w:val="40"/>
      <w:szCs w:val="32"/>
      <w:lang w:val="en-GB"/>
    </w:rPr>
  </w:style>
  <w:style w:type="paragraph" w:customStyle="1" w:styleId="figure">
    <w:name w:val="figure"/>
    <w:basedOn w:val="Normal"/>
    <w:next w:val="Normal"/>
    <w:uiPriority w:val="99"/>
    <w:qFormat/>
    <w:rsid w:val="00B0629B"/>
    <w:pPr>
      <w:keepNext/>
      <w:spacing w:after="0" w:line="312" w:lineRule="auto"/>
    </w:pPr>
    <w:rPr>
      <w:rFonts w:ascii="Arial" w:eastAsiaTheme="minorHAnsi" w:hAnsi="Arial"/>
      <w:noProof/>
      <w:color w:val="000000"/>
      <w:sz w:val="21"/>
    </w:rPr>
  </w:style>
  <w:style w:type="paragraph" w:styleId="NormalWeb">
    <w:name w:val="Normal (Web)"/>
    <w:basedOn w:val="Normal"/>
    <w:uiPriority w:val="99"/>
    <w:semiHidden/>
    <w:unhideWhenUsed/>
    <w:rsid w:val="006B40B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B40B2"/>
    <w:rPr>
      <w:color w:val="0000FF"/>
      <w:u w:val="single"/>
    </w:rPr>
  </w:style>
  <w:style w:type="paragraph" w:styleId="FootnoteText">
    <w:name w:val="footnote text"/>
    <w:basedOn w:val="Normal"/>
    <w:link w:val="FootnoteTextChar"/>
    <w:uiPriority w:val="99"/>
    <w:unhideWhenUsed/>
    <w:qFormat/>
    <w:rsid w:val="00FC2D24"/>
    <w:pPr>
      <w:spacing w:after="0" w:line="240" w:lineRule="auto"/>
    </w:pPr>
    <w:rPr>
      <w:sz w:val="20"/>
      <w:szCs w:val="20"/>
    </w:rPr>
  </w:style>
  <w:style w:type="character" w:customStyle="1" w:styleId="FootnoteTextChar">
    <w:name w:val="Footnote Text Char"/>
    <w:basedOn w:val="DefaultParagraphFont"/>
    <w:link w:val="FootnoteText"/>
    <w:uiPriority w:val="99"/>
    <w:rsid w:val="00FC2D24"/>
    <w:rPr>
      <w:sz w:val="20"/>
      <w:szCs w:val="20"/>
    </w:rPr>
  </w:style>
  <w:style w:type="character" w:styleId="FootnoteReference">
    <w:name w:val="footnote reference"/>
    <w:aliases w:val="(NECG) Footnote Reference"/>
    <w:basedOn w:val="DefaultParagraphFont"/>
    <w:uiPriority w:val="99"/>
    <w:unhideWhenUsed/>
    <w:rsid w:val="00FC2D24"/>
    <w:rPr>
      <w:vertAlign w:val="superscript"/>
    </w:rPr>
  </w:style>
  <w:style w:type="character" w:styleId="CommentReference">
    <w:name w:val="annotation reference"/>
    <w:basedOn w:val="DefaultParagraphFont"/>
    <w:uiPriority w:val="99"/>
    <w:semiHidden/>
    <w:unhideWhenUsed/>
    <w:rsid w:val="007B3C1F"/>
    <w:rPr>
      <w:sz w:val="16"/>
      <w:szCs w:val="16"/>
    </w:rPr>
  </w:style>
  <w:style w:type="paragraph" w:styleId="CommentText">
    <w:name w:val="annotation text"/>
    <w:basedOn w:val="Normal"/>
    <w:link w:val="CommentTextChar"/>
    <w:uiPriority w:val="99"/>
    <w:semiHidden/>
    <w:unhideWhenUsed/>
    <w:rsid w:val="007B3C1F"/>
    <w:pPr>
      <w:spacing w:line="240" w:lineRule="auto"/>
    </w:pPr>
    <w:rPr>
      <w:sz w:val="20"/>
      <w:szCs w:val="20"/>
    </w:rPr>
  </w:style>
  <w:style w:type="character" w:customStyle="1" w:styleId="CommentTextChar">
    <w:name w:val="Comment Text Char"/>
    <w:basedOn w:val="DefaultParagraphFont"/>
    <w:link w:val="CommentText"/>
    <w:uiPriority w:val="99"/>
    <w:semiHidden/>
    <w:rsid w:val="007B3C1F"/>
    <w:rPr>
      <w:sz w:val="20"/>
      <w:szCs w:val="20"/>
    </w:rPr>
  </w:style>
  <w:style w:type="paragraph" w:styleId="CommentSubject">
    <w:name w:val="annotation subject"/>
    <w:basedOn w:val="CommentText"/>
    <w:next w:val="CommentText"/>
    <w:link w:val="CommentSubjectChar"/>
    <w:uiPriority w:val="99"/>
    <w:semiHidden/>
    <w:unhideWhenUsed/>
    <w:rsid w:val="007B3C1F"/>
    <w:rPr>
      <w:b/>
      <w:bCs/>
    </w:rPr>
  </w:style>
  <w:style w:type="character" w:customStyle="1" w:styleId="CommentSubjectChar">
    <w:name w:val="Comment Subject Char"/>
    <w:basedOn w:val="CommentTextChar"/>
    <w:link w:val="CommentSubject"/>
    <w:uiPriority w:val="99"/>
    <w:semiHidden/>
    <w:rsid w:val="007B3C1F"/>
    <w:rPr>
      <w:b/>
      <w:bCs/>
      <w:sz w:val="20"/>
      <w:szCs w:val="20"/>
    </w:rPr>
  </w:style>
  <w:style w:type="character" w:styleId="FollowedHyperlink">
    <w:name w:val="FollowedHyperlink"/>
    <w:basedOn w:val="DefaultParagraphFont"/>
    <w:uiPriority w:val="99"/>
    <w:semiHidden/>
    <w:unhideWhenUsed/>
    <w:rsid w:val="008962C3"/>
    <w:rPr>
      <w:color w:val="800080" w:themeColor="followedHyperlink"/>
      <w:u w:val="single"/>
    </w:rPr>
  </w:style>
  <w:style w:type="paragraph" w:customStyle="1" w:styleId="CCAListBullet1">
    <w:name w:val="CCA List Bullet 1"/>
    <w:basedOn w:val="Normal"/>
    <w:autoRedefine/>
    <w:uiPriority w:val="12"/>
    <w:qFormat/>
    <w:rsid w:val="006B1ED6"/>
    <w:pPr>
      <w:numPr>
        <w:numId w:val="23"/>
      </w:numPr>
      <w:spacing w:after="120" w:line="312" w:lineRule="auto"/>
    </w:pPr>
    <w:rPr>
      <w:rFonts w:ascii="Arial" w:eastAsia="Times New Roman" w:hAnsi="Arial" w:cs="Arial"/>
      <w:bCs/>
      <w:color w:val="000000"/>
      <w:sz w:val="21"/>
      <w:szCs w:val="21"/>
      <w:lang w:eastAsia="en-GB"/>
    </w:rPr>
  </w:style>
  <w:style w:type="paragraph" w:customStyle="1" w:styleId="CCAListBullet2">
    <w:name w:val="CCA List Bullet 2"/>
    <w:basedOn w:val="CCAListBullet1"/>
    <w:uiPriority w:val="12"/>
    <w:qFormat/>
    <w:rsid w:val="006B1ED6"/>
    <w:pPr>
      <w:numPr>
        <w:ilvl w:val="1"/>
      </w:numPr>
    </w:pPr>
  </w:style>
  <w:style w:type="paragraph" w:customStyle="1" w:styleId="Reporttitle">
    <w:name w:val="Report title"/>
    <w:basedOn w:val="Normal"/>
    <w:next w:val="Normal"/>
    <w:qFormat/>
    <w:rsid w:val="00D878E9"/>
    <w:pPr>
      <w:widowControl w:val="0"/>
      <w:spacing w:line="240" w:lineRule="auto"/>
      <w:contextualSpacing/>
      <w:outlineLvl w:val="0"/>
    </w:pPr>
    <w:rPr>
      <w:rFonts w:ascii="Arial Bold" w:eastAsia="Times New Roman" w:hAnsi="Arial Bold"/>
      <w:b/>
      <w:bCs/>
      <w:caps/>
      <w:color w:val="0C9FCD"/>
      <w:sz w:val="3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4201">
      <w:bodyDiv w:val="1"/>
      <w:marLeft w:val="0"/>
      <w:marRight w:val="0"/>
      <w:marTop w:val="0"/>
      <w:marBottom w:val="0"/>
      <w:divBdr>
        <w:top w:val="none" w:sz="0" w:space="0" w:color="auto"/>
        <w:left w:val="none" w:sz="0" w:space="0" w:color="auto"/>
        <w:bottom w:val="none" w:sz="0" w:space="0" w:color="auto"/>
        <w:right w:val="none" w:sz="0" w:space="0" w:color="auto"/>
      </w:divBdr>
      <w:divsChild>
        <w:div w:id="1903566344">
          <w:marLeft w:val="202"/>
          <w:marRight w:val="0"/>
          <w:marTop w:val="112"/>
          <w:marBottom w:val="0"/>
          <w:divBdr>
            <w:top w:val="none" w:sz="0" w:space="0" w:color="auto"/>
            <w:left w:val="none" w:sz="0" w:space="0" w:color="auto"/>
            <w:bottom w:val="none" w:sz="0" w:space="0" w:color="auto"/>
            <w:right w:val="none" w:sz="0" w:space="0" w:color="auto"/>
          </w:divBdr>
        </w:div>
        <w:div w:id="1009714589">
          <w:marLeft w:val="202"/>
          <w:marRight w:val="0"/>
          <w:marTop w:val="112"/>
          <w:marBottom w:val="0"/>
          <w:divBdr>
            <w:top w:val="none" w:sz="0" w:space="0" w:color="auto"/>
            <w:left w:val="none" w:sz="0" w:space="0" w:color="auto"/>
            <w:bottom w:val="none" w:sz="0" w:space="0" w:color="auto"/>
            <w:right w:val="none" w:sz="0" w:space="0" w:color="auto"/>
          </w:divBdr>
        </w:div>
        <w:div w:id="1549874887">
          <w:marLeft w:val="202"/>
          <w:marRight w:val="0"/>
          <w:marTop w:val="112"/>
          <w:marBottom w:val="0"/>
          <w:divBdr>
            <w:top w:val="none" w:sz="0" w:space="0" w:color="auto"/>
            <w:left w:val="none" w:sz="0" w:space="0" w:color="auto"/>
            <w:bottom w:val="none" w:sz="0" w:space="0" w:color="auto"/>
            <w:right w:val="none" w:sz="0" w:space="0" w:color="auto"/>
          </w:divBdr>
        </w:div>
        <w:div w:id="1690178508">
          <w:marLeft w:val="202"/>
          <w:marRight w:val="0"/>
          <w:marTop w:val="112"/>
          <w:marBottom w:val="0"/>
          <w:divBdr>
            <w:top w:val="none" w:sz="0" w:space="0" w:color="auto"/>
            <w:left w:val="none" w:sz="0" w:space="0" w:color="auto"/>
            <w:bottom w:val="none" w:sz="0" w:space="0" w:color="auto"/>
            <w:right w:val="none" w:sz="0" w:space="0" w:color="auto"/>
          </w:divBdr>
        </w:div>
      </w:divsChild>
    </w:div>
    <w:div w:id="248538701">
      <w:bodyDiv w:val="1"/>
      <w:marLeft w:val="0"/>
      <w:marRight w:val="0"/>
      <w:marTop w:val="0"/>
      <w:marBottom w:val="0"/>
      <w:divBdr>
        <w:top w:val="none" w:sz="0" w:space="0" w:color="auto"/>
        <w:left w:val="none" w:sz="0" w:space="0" w:color="auto"/>
        <w:bottom w:val="none" w:sz="0" w:space="0" w:color="auto"/>
        <w:right w:val="none" w:sz="0" w:space="0" w:color="auto"/>
      </w:divBdr>
      <w:divsChild>
        <w:div w:id="1971324626">
          <w:marLeft w:val="202"/>
          <w:marRight w:val="0"/>
          <w:marTop w:val="112"/>
          <w:marBottom w:val="0"/>
          <w:divBdr>
            <w:top w:val="none" w:sz="0" w:space="0" w:color="auto"/>
            <w:left w:val="none" w:sz="0" w:space="0" w:color="auto"/>
            <w:bottom w:val="none" w:sz="0" w:space="0" w:color="auto"/>
            <w:right w:val="none" w:sz="0" w:space="0" w:color="auto"/>
          </w:divBdr>
        </w:div>
        <w:div w:id="25762597">
          <w:marLeft w:val="202"/>
          <w:marRight w:val="0"/>
          <w:marTop w:val="112"/>
          <w:marBottom w:val="0"/>
          <w:divBdr>
            <w:top w:val="none" w:sz="0" w:space="0" w:color="auto"/>
            <w:left w:val="none" w:sz="0" w:space="0" w:color="auto"/>
            <w:bottom w:val="none" w:sz="0" w:space="0" w:color="auto"/>
            <w:right w:val="none" w:sz="0" w:space="0" w:color="auto"/>
          </w:divBdr>
        </w:div>
        <w:div w:id="709763869">
          <w:marLeft w:val="202"/>
          <w:marRight w:val="0"/>
          <w:marTop w:val="112"/>
          <w:marBottom w:val="0"/>
          <w:divBdr>
            <w:top w:val="none" w:sz="0" w:space="0" w:color="auto"/>
            <w:left w:val="none" w:sz="0" w:space="0" w:color="auto"/>
            <w:bottom w:val="none" w:sz="0" w:space="0" w:color="auto"/>
            <w:right w:val="none" w:sz="0" w:space="0" w:color="auto"/>
          </w:divBdr>
        </w:div>
        <w:div w:id="1515536678">
          <w:marLeft w:val="605"/>
          <w:marRight w:val="0"/>
          <w:marTop w:val="56"/>
          <w:marBottom w:val="0"/>
          <w:divBdr>
            <w:top w:val="none" w:sz="0" w:space="0" w:color="auto"/>
            <w:left w:val="none" w:sz="0" w:space="0" w:color="auto"/>
            <w:bottom w:val="none" w:sz="0" w:space="0" w:color="auto"/>
            <w:right w:val="none" w:sz="0" w:space="0" w:color="auto"/>
          </w:divBdr>
        </w:div>
        <w:div w:id="1363241769">
          <w:marLeft w:val="605"/>
          <w:marRight w:val="0"/>
          <w:marTop w:val="56"/>
          <w:marBottom w:val="0"/>
          <w:divBdr>
            <w:top w:val="none" w:sz="0" w:space="0" w:color="auto"/>
            <w:left w:val="none" w:sz="0" w:space="0" w:color="auto"/>
            <w:bottom w:val="none" w:sz="0" w:space="0" w:color="auto"/>
            <w:right w:val="none" w:sz="0" w:space="0" w:color="auto"/>
          </w:divBdr>
        </w:div>
        <w:div w:id="2026596680">
          <w:marLeft w:val="605"/>
          <w:marRight w:val="0"/>
          <w:marTop w:val="56"/>
          <w:marBottom w:val="0"/>
          <w:divBdr>
            <w:top w:val="none" w:sz="0" w:space="0" w:color="auto"/>
            <w:left w:val="none" w:sz="0" w:space="0" w:color="auto"/>
            <w:bottom w:val="none" w:sz="0" w:space="0" w:color="auto"/>
            <w:right w:val="none" w:sz="0" w:space="0" w:color="auto"/>
          </w:divBdr>
        </w:div>
      </w:divsChild>
    </w:div>
    <w:div w:id="299573213">
      <w:bodyDiv w:val="1"/>
      <w:marLeft w:val="0"/>
      <w:marRight w:val="0"/>
      <w:marTop w:val="0"/>
      <w:marBottom w:val="0"/>
      <w:divBdr>
        <w:top w:val="none" w:sz="0" w:space="0" w:color="auto"/>
        <w:left w:val="none" w:sz="0" w:space="0" w:color="auto"/>
        <w:bottom w:val="none" w:sz="0" w:space="0" w:color="auto"/>
        <w:right w:val="none" w:sz="0" w:space="0" w:color="auto"/>
      </w:divBdr>
      <w:divsChild>
        <w:div w:id="1048650115">
          <w:marLeft w:val="202"/>
          <w:marRight w:val="0"/>
          <w:marTop w:val="112"/>
          <w:marBottom w:val="0"/>
          <w:divBdr>
            <w:top w:val="none" w:sz="0" w:space="0" w:color="auto"/>
            <w:left w:val="none" w:sz="0" w:space="0" w:color="auto"/>
            <w:bottom w:val="none" w:sz="0" w:space="0" w:color="auto"/>
            <w:right w:val="none" w:sz="0" w:space="0" w:color="auto"/>
          </w:divBdr>
        </w:div>
        <w:div w:id="193228932">
          <w:marLeft w:val="202"/>
          <w:marRight w:val="0"/>
          <w:marTop w:val="112"/>
          <w:marBottom w:val="0"/>
          <w:divBdr>
            <w:top w:val="none" w:sz="0" w:space="0" w:color="auto"/>
            <w:left w:val="none" w:sz="0" w:space="0" w:color="auto"/>
            <w:bottom w:val="none" w:sz="0" w:space="0" w:color="auto"/>
            <w:right w:val="none" w:sz="0" w:space="0" w:color="auto"/>
          </w:divBdr>
        </w:div>
        <w:div w:id="455830592">
          <w:marLeft w:val="202"/>
          <w:marRight w:val="0"/>
          <w:marTop w:val="112"/>
          <w:marBottom w:val="0"/>
          <w:divBdr>
            <w:top w:val="none" w:sz="0" w:space="0" w:color="auto"/>
            <w:left w:val="none" w:sz="0" w:space="0" w:color="auto"/>
            <w:bottom w:val="none" w:sz="0" w:space="0" w:color="auto"/>
            <w:right w:val="none" w:sz="0" w:space="0" w:color="auto"/>
          </w:divBdr>
        </w:div>
        <w:div w:id="815605860">
          <w:marLeft w:val="202"/>
          <w:marRight w:val="0"/>
          <w:marTop w:val="112"/>
          <w:marBottom w:val="0"/>
          <w:divBdr>
            <w:top w:val="none" w:sz="0" w:space="0" w:color="auto"/>
            <w:left w:val="none" w:sz="0" w:space="0" w:color="auto"/>
            <w:bottom w:val="none" w:sz="0" w:space="0" w:color="auto"/>
            <w:right w:val="none" w:sz="0" w:space="0" w:color="auto"/>
          </w:divBdr>
        </w:div>
      </w:divsChild>
    </w:div>
    <w:div w:id="373775986">
      <w:bodyDiv w:val="1"/>
      <w:marLeft w:val="0"/>
      <w:marRight w:val="0"/>
      <w:marTop w:val="0"/>
      <w:marBottom w:val="0"/>
      <w:divBdr>
        <w:top w:val="none" w:sz="0" w:space="0" w:color="auto"/>
        <w:left w:val="none" w:sz="0" w:space="0" w:color="auto"/>
        <w:bottom w:val="none" w:sz="0" w:space="0" w:color="auto"/>
        <w:right w:val="none" w:sz="0" w:space="0" w:color="auto"/>
      </w:divBdr>
      <w:divsChild>
        <w:div w:id="938021343">
          <w:marLeft w:val="202"/>
          <w:marRight w:val="0"/>
          <w:marTop w:val="112"/>
          <w:marBottom w:val="0"/>
          <w:divBdr>
            <w:top w:val="none" w:sz="0" w:space="0" w:color="auto"/>
            <w:left w:val="none" w:sz="0" w:space="0" w:color="auto"/>
            <w:bottom w:val="none" w:sz="0" w:space="0" w:color="auto"/>
            <w:right w:val="none" w:sz="0" w:space="0" w:color="auto"/>
          </w:divBdr>
        </w:div>
        <w:div w:id="711147538">
          <w:marLeft w:val="202"/>
          <w:marRight w:val="0"/>
          <w:marTop w:val="112"/>
          <w:marBottom w:val="0"/>
          <w:divBdr>
            <w:top w:val="none" w:sz="0" w:space="0" w:color="auto"/>
            <w:left w:val="none" w:sz="0" w:space="0" w:color="auto"/>
            <w:bottom w:val="none" w:sz="0" w:space="0" w:color="auto"/>
            <w:right w:val="none" w:sz="0" w:space="0" w:color="auto"/>
          </w:divBdr>
        </w:div>
        <w:div w:id="893467739">
          <w:marLeft w:val="202"/>
          <w:marRight w:val="0"/>
          <w:marTop w:val="112"/>
          <w:marBottom w:val="0"/>
          <w:divBdr>
            <w:top w:val="none" w:sz="0" w:space="0" w:color="auto"/>
            <w:left w:val="none" w:sz="0" w:space="0" w:color="auto"/>
            <w:bottom w:val="none" w:sz="0" w:space="0" w:color="auto"/>
            <w:right w:val="none" w:sz="0" w:space="0" w:color="auto"/>
          </w:divBdr>
        </w:div>
      </w:divsChild>
    </w:div>
    <w:div w:id="381832006">
      <w:bodyDiv w:val="1"/>
      <w:marLeft w:val="0"/>
      <w:marRight w:val="0"/>
      <w:marTop w:val="0"/>
      <w:marBottom w:val="0"/>
      <w:divBdr>
        <w:top w:val="none" w:sz="0" w:space="0" w:color="auto"/>
        <w:left w:val="none" w:sz="0" w:space="0" w:color="auto"/>
        <w:bottom w:val="none" w:sz="0" w:space="0" w:color="auto"/>
        <w:right w:val="none" w:sz="0" w:space="0" w:color="auto"/>
      </w:divBdr>
    </w:div>
    <w:div w:id="420612709">
      <w:bodyDiv w:val="1"/>
      <w:marLeft w:val="0"/>
      <w:marRight w:val="0"/>
      <w:marTop w:val="0"/>
      <w:marBottom w:val="0"/>
      <w:divBdr>
        <w:top w:val="none" w:sz="0" w:space="0" w:color="auto"/>
        <w:left w:val="none" w:sz="0" w:space="0" w:color="auto"/>
        <w:bottom w:val="none" w:sz="0" w:space="0" w:color="auto"/>
        <w:right w:val="none" w:sz="0" w:space="0" w:color="auto"/>
      </w:divBdr>
      <w:divsChild>
        <w:div w:id="60950004">
          <w:marLeft w:val="202"/>
          <w:marRight w:val="0"/>
          <w:marTop w:val="112"/>
          <w:marBottom w:val="0"/>
          <w:divBdr>
            <w:top w:val="none" w:sz="0" w:space="0" w:color="auto"/>
            <w:left w:val="none" w:sz="0" w:space="0" w:color="auto"/>
            <w:bottom w:val="none" w:sz="0" w:space="0" w:color="auto"/>
            <w:right w:val="none" w:sz="0" w:space="0" w:color="auto"/>
          </w:divBdr>
        </w:div>
        <w:div w:id="897084617">
          <w:marLeft w:val="202"/>
          <w:marRight w:val="0"/>
          <w:marTop w:val="112"/>
          <w:marBottom w:val="0"/>
          <w:divBdr>
            <w:top w:val="none" w:sz="0" w:space="0" w:color="auto"/>
            <w:left w:val="none" w:sz="0" w:space="0" w:color="auto"/>
            <w:bottom w:val="none" w:sz="0" w:space="0" w:color="auto"/>
            <w:right w:val="none" w:sz="0" w:space="0" w:color="auto"/>
          </w:divBdr>
        </w:div>
        <w:div w:id="740979443">
          <w:marLeft w:val="202"/>
          <w:marRight w:val="0"/>
          <w:marTop w:val="112"/>
          <w:marBottom w:val="0"/>
          <w:divBdr>
            <w:top w:val="none" w:sz="0" w:space="0" w:color="auto"/>
            <w:left w:val="none" w:sz="0" w:space="0" w:color="auto"/>
            <w:bottom w:val="none" w:sz="0" w:space="0" w:color="auto"/>
            <w:right w:val="none" w:sz="0" w:space="0" w:color="auto"/>
          </w:divBdr>
        </w:div>
        <w:div w:id="987709048">
          <w:marLeft w:val="202"/>
          <w:marRight w:val="0"/>
          <w:marTop w:val="112"/>
          <w:marBottom w:val="0"/>
          <w:divBdr>
            <w:top w:val="none" w:sz="0" w:space="0" w:color="auto"/>
            <w:left w:val="none" w:sz="0" w:space="0" w:color="auto"/>
            <w:bottom w:val="none" w:sz="0" w:space="0" w:color="auto"/>
            <w:right w:val="none" w:sz="0" w:space="0" w:color="auto"/>
          </w:divBdr>
        </w:div>
      </w:divsChild>
    </w:div>
    <w:div w:id="490877001">
      <w:bodyDiv w:val="1"/>
      <w:marLeft w:val="0"/>
      <w:marRight w:val="0"/>
      <w:marTop w:val="0"/>
      <w:marBottom w:val="0"/>
      <w:divBdr>
        <w:top w:val="none" w:sz="0" w:space="0" w:color="auto"/>
        <w:left w:val="none" w:sz="0" w:space="0" w:color="auto"/>
        <w:bottom w:val="none" w:sz="0" w:space="0" w:color="auto"/>
        <w:right w:val="none" w:sz="0" w:space="0" w:color="auto"/>
      </w:divBdr>
      <w:divsChild>
        <w:div w:id="1554849765">
          <w:marLeft w:val="202"/>
          <w:marRight w:val="0"/>
          <w:marTop w:val="112"/>
          <w:marBottom w:val="0"/>
          <w:divBdr>
            <w:top w:val="none" w:sz="0" w:space="0" w:color="auto"/>
            <w:left w:val="none" w:sz="0" w:space="0" w:color="auto"/>
            <w:bottom w:val="none" w:sz="0" w:space="0" w:color="auto"/>
            <w:right w:val="none" w:sz="0" w:space="0" w:color="auto"/>
          </w:divBdr>
        </w:div>
        <w:div w:id="204215326">
          <w:marLeft w:val="202"/>
          <w:marRight w:val="0"/>
          <w:marTop w:val="112"/>
          <w:marBottom w:val="0"/>
          <w:divBdr>
            <w:top w:val="none" w:sz="0" w:space="0" w:color="auto"/>
            <w:left w:val="none" w:sz="0" w:space="0" w:color="auto"/>
            <w:bottom w:val="none" w:sz="0" w:space="0" w:color="auto"/>
            <w:right w:val="none" w:sz="0" w:space="0" w:color="auto"/>
          </w:divBdr>
        </w:div>
        <w:div w:id="1889802549">
          <w:marLeft w:val="202"/>
          <w:marRight w:val="0"/>
          <w:marTop w:val="112"/>
          <w:marBottom w:val="0"/>
          <w:divBdr>
            <w:top w:val="none" w:sz="0" w:space="0" w:color="auto"/>
            <w:left w:val="none" w:sz="0" w:space="0" w:color="auto"/>
            <w:bottom w:val="none" w:sz="0" w:space="0" w:color="auto"/>
            <w:right w:val="none" w:sz="0" w:space="0" w:color="auto"/>
          </w:divBdr>
        </w:div>
        <w:div w:id="1952782395">
          <w:marLeft w:val="202"/>
          <w:marRight w:val="0"/>
          <w:marTop w:val="112"/>
          <w:marBottom w:val="0"/>
          <w:divBdr>
            <w:top w:val="none" w:sz="0" w:space="0" w:color="auto"/>
            <w:left w:val="none" w:sz="0" w:space="0" w:color="auto"/>
            <w:bottom w:val="none" w:sz="0" w:space="0" w:color="auto"/>
            <w:right w:val="none" w:sz="0" w:space="0" w:color="auto"/>
          </w:divBdr>
        </w:div>
      </w:divsChild>
    </w:div>
    <w:div w:id="624116695">
      <w:bodyDiv w:val="1"/>
      <w:marLeft w:val="0"/>
      <w:marRight w:val="0"/>
      <w:marTop w:val="0"/>
      <w:marBottom w:val="0"/>
      <w:divBdr>
        <w:top w:val="none" w:sz="0" w:space="0" w:color="auto"/>
        <w:left w:val="none" w:sz="0" w:space="0" w:color="auto"/>
        <w:bottom w:val="none" w:sz="0" w:space="0" w:color="auto"/>
        <w:right w:val="none" w:sz="0" w:space="0" w:color="auto"/>
      </w:divBdr>
    </w:div>
    <w:div w:id="898639481">
      <w:bodyDiv w:val="1"/>
      <w:marLeft w:val="0"/>
      <w:marRight w:val="0"/>
      <w:marTop w:val="0"/>
      <w:marBottom w:val="0"/>
      <w:divBdr>
        <w:top w:val="none" w:sz="0" w:space="0" w:color="auto"/>
        <w:left w:val="none" w:sz="0" w:space="0" w:color="auto"/>
        <w:bottom w:val="none" w:sz="0" w:space="0" w:color="auto"/>
        <w:right w:val="none" w:sz="0" w:space="0" w:color="auto"/>
      </w:divBdr>
    </w:div>
    <w:div w:id="1007713920">
      <w:bodyDiv w:val="1"/>
      <w:marLeft w:val="0"/>
      <w:marRight w:val="0"/>
      <w:marTop w:val="0"/>
      <w:marBottom w:val="0"/>
      <w:divBdr>
        <w:top w:val="none" w:sz="0" w:space="0" w:color="auto"/>
        <w:left w:val="none" w:sz="0" w:space="0" w:color="auto"/>
        <w:bottom w:val="none" w:sz="0" w:space="0" w:color="auto"/>
        <w:right w:val="none" w:sz="0" w:space="0" w:color="auto"/>
      </w:divBdr>
    </w:div>
    <w:div w:id="1056734939">
      <w:bodyDiv w:val="1"/>
      <w:marLeft w:val="0"/>
      <w:marRight w:val="0"/>
      <w:marTop w:val="0"/>
      <w:marBottom w:val="0"/>
      <w:divBdr>
        <w:top w:val="none" w:sz="0" w:space="0" w:color="auto"/>
        <w:left w:val="none" w:sz="0" w:space="0" w:color="auto"/>
        <w:bottom w:val="none" w:sz="0" w:space="0" w:color="auto"/>
        <w:right w:val="none" w:sz="0" w:space="0" w:color="auto"/>
      </w:divBdr>
      <w:divsChild>
        <w:div w:id="1845239233">
          <w:marLeft w:val="202"/>
          <w:marRight w:val="0"/>
          <w:marTop w:val="112"/>
          <w:marBottom w:val="0"/>
          <w:divBdr>
            <w:top w:val="none" w:sz="0" w:space="0" w:color="auto"/>
            <w:left w:val="none" w:sz="0" w:space="0" w:color="auto"/>
            <w:bottom w:val="none" w:sz="0" w:space="0" w:color="auto"/>
            <w:right w:val="none" w:sz="0" w:space="0" w:color="auto"/>
          </w:divBdr>
        </w:div>
        <w:div w:id="485980071">
          <w:marLeft w:val="202"/>
          <w:marRight w:val="0"/>
          <w:marTop w:val="112"/>
          <w:marBottom w:val="0"/>
          <w:divBdr>
            <w:top w:val="none" w:sz="0" w:space="0" w:color="auto"/>
            <w:left w:val="none" w:sz="0" w:space="0" w:color="auto"/>
            <w:bottom w:val="none" w:sz="0" w:space="0" w:color="auto"/>
            <w:right w:val="none" w:sz="0" w:space="0" w:color="auto"/>
          </w:divBdr>
        </w:div>
        <w:div w:id="812715257">
          <w:marLeft w:val="605"/>
          <w:marRight w:val="0"/>
          <w:marTop w:val="56"/>
          <w:marBottom w:val="0"/>
          <w:divBdr>
            <w:top w:val="none" w:sz="0" w:space="0" w:color="auto"/>
            <w:left w:val="none" w:sz="0" w:space="0" w:color="auto"/>
            <w:bottom w:val="none" w:sz="0" w:space="0" w:color="auto"/>
            <w:right w:val="none" w:sz="0" w:space="0" w:color="auto"/>
          </w:divBdr>
        </w:div>
        <w:div w:id="608855764">
          <w:marLeft w:val="605"/>
          <w:marRight w:val="0"/>
          <w:marTop w:val="56"/>
          <w:marBottom w:val="0"/>
          <w:divBdr>
            <w:top w:val="none" w:sz="0" w:space="0" w:color="auto"/>
            <w:left w:val="none" w:sz="0" w:space="0" w:color="auto"/>
            <w:bottom w:val="none" w:sz="0" w:space="0" w:color="auto"/>
            <w:right w:val="none" w:sz="0" w:space="0" w:color="auto"/>
          </w:divBdr>
        </w:div>
        <w:div w:id="458501278">
          <w:marLeft w:val="202"/>
          <w:marRight w:val="0"/>
          <w:marTop w:val="112"/>
          <w:marBottom w:val="0"/>
          <w:divBdr>
            <w:top w:val="none" w:sz="0" w:space="0" w:color="auto"/>
            <w:left w:val="none" w:sz="0" w:space="0" w:color="auto"/>
            <w:bottom w:val="none" w:sz="0" w:space="0" w:color="auto"/>
            <w:right w:val="none" w:sz="0" w:space="0" w:color="auto"/>
          </w:divBdr>
        </w:div>
      </w:divsChild>
    </w:div>
    <w:div w:id="1167667464">
      <w:bodyDiv w:val="1"/>
      <w:marLeft w:val="0"/>
      <w:marRight w:val="0"/>
      <w:marTop w:val="0"/>
      <w:marBottom w:val="0"/>
      <w:divBdr>
        <w:top w:val="none" w:sz="0" w:space="0" w:color="auto"/>
        <w:left w:val="none" w:sz="0" w:space="0" w:color="auto"/>
        <w:bottom w:val="none" w:sz="0" w:space="0" w:color="auto"/>
        <w:right w:val="none" w:sz="0" w:space="0" w:color="auto"/>
      </w:divBdr>
      <w:divsChild>
        <w:div w:id="633801245">
          <w:marLeft w:val="202"/>
          <w:marRight w:val="0"/>
          <w:marTop w:val="112"/>
          <w:marBottom w:val="0"/>
          <w:divBdr>
            <w:top w:val="none" w:sz="0" w:space="0" w:color="auto"/>
            <w:left w:val="none" w:sz="0" w:space="0" w:color="auto"/>
            <w:bottom w:val="none" w:sz="0" w:space="0" w:color="auto"/>
            <w:right w:val="none" w:sz="0" w:space="0" w:color="auto"/>
          </w:divBdr>
        </w:div>
        <w:div w:id="1296377415">
          <w:marLeft w:val="202"/>
          <w:marRight w:val="0"/>
          <w:marTop w:val="112"/>
          <w:marBottom w:val="0"/>
          <w:divBdr>
            <w:top w:val="none" w:sz="0" w:space="0" w:color="auto"/>
            <w:left w:val="none" w:sz="0" w:space="0" w:color="auto"/>
            <w:bottom w:val="none" w:sz="0" w:space="0" w:color="auto"/>
            <w:right w:val="none" w:sz="0" w:space="0" w:color="auto"/>
          </w:divBdr>
        </w:div>
        <w:div w:id="117533525">
          <w:marLeft w:val="605"/>
          <w:marRight w:val="0"/>
          <w:marTop w:val="56"/>
          <w:marBottom w:val="0"/>
          <w:divBdr>
            <w:top w:val="none" w:sz="0" w:space="0" w:color="auto"/>
            <w:left w:val="none" w:sz="0" w:space="0" w:color="auto"/>
            <w:bottom w:val="none" w:sz="0" w:space="0" w:color="auto"/>
            <w:right w:val="none" w:sz="0" w:space="0" w:color="auto"/>
          </w:divBdr>
        </w:div>
        <w:div w:id="172379468">
          <w:marLeft w:val="605"/>
          <w:marRight w:val="0"/>
          <w:marTop w:val="56"/>
          <w:marBottom w:val="0"/>
          <w:divBdr>
            <w:top w:val="none" w:sz="0" w:space="0" w:color="auto"/>
            <w:left w:val="none" w:sz="0" w:space="0" w:color="auto"/>
            <w:bottom w:val="none" w:sz="0" w:space="0" w:color="auto"/>
            <w:right w:val="none" w:sz="0" w:space="0" w:color="auto"/>
          </w:divBdr>
        </w:div>
        <w:div w:id="259146558">
          <w:marLeft w:val="202"/>
          <w:marRight w:val="0"/>
          <w:marTop w:val="112"/>
          <w:marBottom w:val="0"/>
          <w:divBdr>
            <w:top w:val="none" w:sz="0" w:space="0" w:color="auto"/>
            <w:left w:val="none" w:sz="0" w:space="0" w:color="auto"/>
            <w:bottom w:val="none" w:sz="0" w:space="0" w:color="auto"/>
            <w:right w:val="none" w:sz="0" w:space="0" w:color="auto"/>
          </w:divBdr>
        </w:div>
      </w:divsChild>
    </w:div>
    <w:div w:id="1256934480">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
    <w:div w:id="1748770607">
      <w:bodyDiv w:val="1"/>
      <w:marLeft w:val="0"/>
      <w:marRight w:val="0"/>
      <w:marTop w:val="0"/>
      <w:marBottom w:val="0"/>
      <w:divBdr>
        <w:top w:val="none" w:sz="0" w:space="0" w:color="auto"/>
        <w:left w:val="none" w:sz="0" w:space="0" w:color="auto"/>
        <w:bottom w:val="none" w:sz="0" w:space="0" w:color="auto"/>
        <w:right w:val="none" w:sz="0" w:space="0" w:color="auto"/>
      </w:divBdr>
      <w:divsChild>
        <w:div w:id="798962754">
          <w:marLeft w:val="202"/>
          <w:marRight w:val="0"/>
          <w:marTop w:val="112"/>
          <w:marBottom w:val="0"/>
          <w:divBdr>
            <w:top w:val="none" w:sz="0" w:space="0" w:color="auto"/>
            <w:left w:val="none" w:sz="0" w:space="0" w:color="auto"/>
            <w:bottom w:val="none" w:sz="0" w:space="0" w:color="auto"/>
            <w:right w:val="none" w:sz="0" w:space="0" w:color="auto"/>
          </w:divBdr>
        </w:div>
        <w:div w:id="778256641">
          <w:marLeft w:val="202"/>
          <w:marRight w:val="0"/>
          <w:marTop w:val="112"/>
          <w:marBottom w:val="0"/>
          <w:divBdr>
            <w:top w:val="none" w:sz="0" w:space="0" w:color="auto"/>
            <w:left w:val="none" w:sz="0" w:space="0" w:color="auto"/>
            <w:bottom w:val="none" w:sz="0" w:space="0" w:color="auto"/>
            <w:right w:val="none" w:sz="0" w:space="0" w:color="auto"/>
          </w:divBdr>
        </w:div>
        <w:div w:id="1654409522">
          <w:marLeft w:val="605"/>
          <w:marRight w:val="0"/>
          <w:marTop w:val="56"/>
          <w:marBottom w:val="0"/>
          <w:divBdr>
            <w:top w:val="none" w:sz="0" w:space="0" w:color="auto"/>
            <w:left w:val="none" w:sz="0" w:space="0" w:color="auto"/>
            <w:bottom w:val="none" w:sz="0" w:space="0" w:color="auto"/>
            <w:right w:val="none" w:sz="0" w:space="0" w:color="auto"/>
          </w:divBdr>
        </w:div>
        <w:div w:id="1757362588">
          <w:marLeft w:val="605"/>
          <w:marRight w:val="0"/>
          <w:marTop w:val="56"/>
          <w:marBottom w:val="0"/>
          <w:divBdr>
            <w:top w:val="none" w:sz="0" w:space="0" w:color="auto"/>
            <w:left w:val="none" w:sz="0" w:space="0" w:color="auto"/>
            <w:bottom w:val="none" w:sz="0" w:space="0" w:color="auto"/>
            <w:right w:val="none" w:sz="0" w:space="0" w:color="auto"/>
          </w:divBdr>
        </w:div>
        <w:div w:id="980185774">
          <w:marLeft w:val="202"/>
          <w:marRight w:val="0"/>
          <w:marTop w:val="112"/>
          <w:marBottom w:val="0"/>
          <w:divBdr>
            <w:top w:val="none" w:sz="0" w:space="0" w:color="auto"/>
            <w:left w:val="none" w:sz="0" w:space="0" w:color="auto"/>
            <w:bottom w:val="none" w:sz="0" w:space="0" w:color="auto"/>
            <w:right w:val="none" w:sz="0" w:space="0" w:color="auto"/>
          </w:divBdr>
        </w:div>
        <w:div w:id="1212572461">
          <w:marLeft w:val="202"/>
          <w:marRight w:val="0"/>
          <w:marTop w:val="112"/>
          <w:marBottom w:val="0"/>
          <w:divBdr>
            <w:top w:val="none" w:sz="0" w:space="0" w:color="auto"/>
            <w:left w:val="none" w:sz="0" w:space="0" w:color="auto"/>
            <w:bottom w:val="none" w:sz="0" w:space="0" w:color="auto"/>
            <w:right w:val="none" w:sz="0" w:space="0" w:color="auto"/>
          </w:divBdr>
        </w:div>
      </w:divsChild>
    </w:div>
    <w:div w:id="1778208101">
      <w:bodyDiv w:val="1"/>
      <w:marLeft w:val="0"/>
      <w:marRight w:val="0"/>
      <w:marTop w:val="0"/>
      <w:marBottom w:val="0"/>
      <w:divBdr>
        <w:top w:val="none" w:sz="0" w:space="0" w:color="auto"/>
        <w:left w:val="none" w:sz="0" w:space="0" w:color="auto"/>
        <w:bottom w:val="none" w:sz="0" w:space="0" w:color="auto"/>
        <w:right w:val="none" w:sz="0" w:space="0" w:color="auto"/>
      </w:divBdr>
      <w:divsChild>
        <w:div w:id="1374891362">
          <w:marLeft w:val="202"/>
          <w:marRight w:val="0"/>
          <w:marTop w:val="112"/>
          <w:marBottom w:val="0"/>
          <w:divBdr>
            <w:top w:val="none" w:sz="0" w:space="0" w:color="auto"/>
            <w:left w:val="none" w:sz="0" w:space="0" w:color="auto"/>
            <w:bottom w:val="none" w:sz="0" w:space="0" w:color="auto"/>
            <w:right w:val="none" w:sz="0" w:space="0" w:color="auto"/>
          </w:divBdr>
        </w:div>
        <w:div w:id="1124153507">
          <w:marLeft w:val="202"/>
          <w:marRight w:val="0"/>
          <w:marTop w:val="112"/>
          <w:marBottom w:val="0"/>
          <w:divBdr>
            <w:top w:val="none" w:sz="0" w:space="0" w:color="auto"/>
            <w:left w:val="none" w:sz="0" w:space="0" w:color="auto"/>
            <w:bottom w:val="none" w:sz="0" w:space="0" w:color="auto"/>
            <w:right w:val="none" w:sz="0" w:space="0" w:color="auto"/>
          </w:divBdr>
        </w:div>
        <w:div w:id="472793045">
          <w:marLeft w:val="202"/>
          <w:marRight w:val="0"/>
          <w:marTop w:val="112"/>
          <w:marBottom w:val="0"/>
          <w:divBdr>
            <w:top w:val="none" w:sz="0" w:space="0" w:color="auto"/>
            <w:left w:val="none" w:sz="0" w:space="0" w:color="auto"/>
            <w:bottom w:val="none" w:sz="0" w:space="0" w:color="auto"/>
            <w:right w:val="none" w:sz="0" w:space="0" w:color="auto"/>
          </w:divBdr>
        </w:div>
      </w:divsChild>
    </w:div>
    <w:div w:id="1920366670">
      <w:bodyDiv w:val="1"/>
      <w:marLeft w:val="0"/>
      <w:marRight w:val="0"/>
      <w:marTop w:val="0"/>
      <w:marBottom w:val="0"/>
      <w:divBdr>
        <w:top w:val="none" w:sz="0" w:space="0" w:color="auto"/>
        <w:left w:val="none" w:sz="0" w:space="0" w:color="auto"/>
        <w:bottom w:val="none" w:sz="0" w:space="0" w:color="auto"/>
        <w:right w:val="none" w:sz="0" w:space="0" w:color="auto"/>
      </w:divBdr>
      <w:divsChild>
        <w:div w:id="318385461">
          <w:marLeft w:val="202"/>
          <w:marRight w:val="0"/>
          <w:marTop w:val="112"/>
          <w:marBottom w:val="0"/>
          <w:divBdr>
            <w:top w:val="none" w:sz="0" w:space="0" w:color="auto"/>
            <w:left w:val="none" w:sz="0" w:space="0" w:color="auto"/>
            <w:bottom w:val="none" w:sz="0" w:space="0" w:color="auto"/>
            <w:right w:val="none" w:sz="0" w:space="0" w:color="auto"/>
          </w:divBdr>
        </w:div>
        <w:div w:id="1626496685">
          <w:marLeft w:val="202"/>
          <w:marRight w:val="0"/>
          <w:marTop w:val="112"/>
          <w:marBottom w:val="0"/>
          <w:divBdr>
            <w:top w:val="none" w:sz="0" w:space="0" w:color="auto"/>
            <w:left w:val="none" w:sz="0" w:space="0" w:color="auto"/>
            <w:bottom w:val="none" w:sz="0" w:space="0" w:color="auto"/>
            <w:right w:val="none" w:sz="0" w:space="0" w:color="auto"/>
          </w:divBdr>
        </w:div>
        <w:div w:id="2146242100">
          <w:marLeft w:val="202"/>
          <w:marRight w:val="0"/>
          <w:marTop w:val="112"/>
          <w:marBottom w:val="0"/>
          <w:divBdr>
            <w:top w:val="none" w:sz="0" w:space="0" w:color="auto"/>
            <w:left w:val="none" w:sz="0" w:space="0" w:color="auto"/>
            <w:bottom w:val="none" w:sz="0" w:space="0" w:color="auto"/>
            <w:right w:val="none" w:sz="0" w:space="0" w:color="auto"/>
          </w:divBdr>
        </w:div>
        <w:div w:id="866217294">
          <w:marLeft w:val="202"/>
          <w:marRight w:val="0"/>
          <w:marTop w:val="112"/>
          <w:marBottom w:val="0"/>
          <w:divBdr>
            <w:top w:val="none" w:sz="0" w:space="0" w:color="auto"/>
            <w:left w:val="none" w:sz="0" w:space="0" w:color="auto"/>
            <w:bottom w:val="none" w:sz="0" w:space="0" w:color="auto"/>
            <w:right w:val="none" w:sz="0" w:space="0" w:color="auto"/>
          </w:divBdr>
        </w:div>
      </w:divsChild>
    </w:div>
    <w:div w:id="1986200851">
      <w:bodyDiv w:val="1"/>
      <w:marLeft w:val="0"/>
      <w:marRight w:val="0"/>
      <w:marTop w:val="0"/>
      <w:marBottom w:val="0"/>
      <w:divBdr>
        <w:top w:val="none" w:sz="0" w:space="0" w:color="auto"/>
        <w:left w:val="none" w:sz="0" w:space="0" w:color="auto"/>
        <w:bottom w:val="none" w:sz="0" w:space="0" w:color="auto"/>
        <w:right w:val="none" w:sz="0" w:space="0" w:color="auto"/>
      </w:divBdr>
      <w:divsChild>
        <w:div w:id="1744715527">
          <w:marLeft w:val="202"/>
          <w:marRight w:val="0"/>
          <w:marTop w:val="112"/>
          <w:marBottom w:val="0"/>
          <w:divBdr>
            <w:top w:val="none" w:sz="0" w:space="0" w:color="auto"/>
            <w:left w:val="none" w:sz="0" w:space="0" w:color="auto"/>
            <w:bottom w:val="none" w:sz="0" w:space="0" w:color="auto"/>
            <w:right w:val="none" w:sz="0" w:space="0" w:color="auto"/>
          </w:divBdr>
        </w:div>
        <w:div w:id="571623382">
          <w:marLeft w:val="202"/>
          <w:marRight w:val="0"/>
          <w:marTop w:val="112"/>
          <w:marBottom w:val="0"/>
          <w:divBdr>
            <w:top w:val="none" w:sz="0" w:space="0" w:color="auto"/>
            <w:left w:val="none" w:sz="0" w:space="0" w:color="auto"/>
            <w:bottom w:val="none" w:sz="0" w:space="0" w:color="auto"/>
            <w:right w:val="none" w:sz="0" w:space="0" w:color="auto"/>
          </w:divBdr>
        </w:div>
        <w:div w:id="1229461322">
          <w:marLeft w:val="605"/>
          <w:marRight w:val="0"/>
          <w:marTop w:val="56"/>
          <w:marBottom w:val="0"/>
          <w:divBdr>
            <w:top w:val="none" w:sz="0" w:space="0" w:color="auto"/>
            <w:left w:val="none" w:sz="0" w:space="0" w:color="auto"/>
            <w:bottom w:val="none" w:sz="0" w:space="0" w:color="auto"/>
            <w:right w:val="none" w:sz="0" w:space="0" w:color="auto"/>
          </w:divBdr>
        </w:div>
        <w:div w:id="268584955">
          <w:marLeft w:val="605"/>
          <w:marRight w:val="0"/>
          <w:marTop w:val="56"/>
          <w:marBottom w:val="0"/>
          <w:divBdr>
            <w:top w:val="none" w:sz="0" w:space="0" w:color="auto"/>
            <w:left w:val="none" w:sz="0" w:space="0" w:color="auto"/>
            <w:bottom w:val="none" w:sz="0" w:space="0" w:color="auto"/>
            <w:right w:val="none" w:sz="0" w:space="0" w:color="auto"/>
          </w:divBdr>
        </w:div>
        <w:div w:id="1522547028">
          <w:marLeft w:val="202"/>
          <w:marRight w:val="0"/>
          <w:marTop w:val="112"/>
          <w:marBottom w:val="0"/>
          <w:divBdr>
            <w:top w:val="none" w:sz="0" w:space="0" w:color="auto"/>
            <w:left w:val="none" w:sz="0" w:space="0" w:color="auto"/>
            <w:bottom w:val="none" w:sz="0" w:space="0" w:color="auto"/>
            <w:right w:val="none" w:sz="0" w:space="0" w:color="auto"/>
          </w:divBdr>
        </w:div>
      </w:divsChild>
    </w:div>
    <w:div w:id="2091998789">
      <w:bodyDiv w:val="1"/>
      <w:marLeft w:val="0"/>
      <w:marRight w:val="0"/>
      <w:marTop w:val="0"/>
      <w:marBottom w:val="0"/>
      <w:divBdr>
        <w:top w:val="none" w:sz="0" w:space="0" w:color="auto"/>
        <w:left w:val="none" w:sz="0" w:space="0" w:color="auto"/>
        <w:bottom w:val="none" w:sz="0" w:space="0" w:color="auto"/>
        <w:right w:val="none" w:sz="0" w:space="0" w:color="auto"/>
      </w:divBdr>
    </w:div>
    <w:div w:id="2133203805">
      <w:bodyDiv w:val="1"/>
      <w:marLeft w:val="0"/>
      <w:marRight w:val="0"/>
      <w:marTop w:val="0"/>
      <w:marBottom w:val="0"/>
      <w:divBdr>
        <w:top w:val="none" w:sz="0" w:space="0" w:color="auto"/>
        <w:left w:val="none" w:sz="0" w:space="0" w:color="auto"/>
        <w:bottom w:val="none" w:sz="0" w:space="0" w:color="auto"/>
        <w:right w:val="none" w:sz="0" w:space="0" w:color="auto"/>
      </w:divBdr>
      <w:divsChild>
        <w:div w:id="1843545934">
          <w:marLeft w:val="274"/>
          <w:marRight w:val="0"/>
          <w:marTop w:val="0"/>
          <w:marBottom w:val="0"/>
          <w:divBdr>
            <w:top w:val="none" w:sz="0" w:space="0" w:color="auto"/>
            <w:left w:val="none" w:sz="0" w:space="0" w:color="auto"/>
            <w:bottom w:val="none" w:sz="0" w:space="0" w:color="auto"/>
            <w:right w:val="none" w:sz="0" w:space="0" w:color="auto"/>
          </w:divBdr>
        </w:div>
        <w:div w:id="741950047">
          <w:marLeft w:val="274"/>
          <w:marRight w:val="0"/>
          <w:marTop w:val="0"/>
          <w:marBottom w:val="0"/>
          <w:divBdr>
            <w:top w:val="none" w:sz="0" w:space="0" w:color="auto"/>
            <w:left w:val="none" w:sz="0" w:space="0" w:color="auto"/>
            <w:bottom w:val="none" w:sz="0" w:space="0" w:color="auto"/>
            <w:right w:val="none" w:sz="0" w:space="0" w:color="auto"/>
          </w:divBdr>
        </w:div>
        <w:div w:id="13028042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enquiries@climatechangeauthorit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climatechangeauthority.gov.au"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enquiries@climatechangeauthority.gov.au" TargetMode="External"/><Relationship Id="rId30" Type="http://schemas.openxmlformats.org/officeDocument/2006/relationships/hyperlink" Target="http://www.climatechangeauthority.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E2EA31D43EB7EC4B8C44239A8E4A9E6D01008587857569075B4AB7B5C35E2F468A64" ma:contentTypeVersion="3" ma:contentTypeDescription="Create a new Word Document" ma:contentTypeScope="" ma:versionID="f3f9867ffe9d212f339301a5f9640a6c">
  <xsd:schema xmlns:xsd="http://www.w3.org/2001/XMLSchema" xmlns:xs="http://www.w3.org/2001/XMLSchema" xmlns:p="http://schemas.microsoft.com/office/2006/metadata/properties" xmlns:ns2="e0c1e391-29fd-4ceb-82b5-dfc916cb1980" targetNamespace="http://schemas.microsoft.com/office/2006/metadata/properties" ma:root="true" ma:fieldsID="3a1108e361b84d81cee7b50e714f3905" ns2:_="">
    <xsd:import namespace="e0c1e391-29fd-4ceb-82b5-dfc916cb1980"/>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pproval xmlns="e0c1e391-29fd-4ceb-82b5-dfc916cb1980" xsi:nil="true"/>
    <Function xmlns="e0c1e391-29fd-4ceb-82b5-dfc916cb1980">Administration</Function>
    <RecordNumber xmlns="e0c1e391-29fd-4ceb-82b5-dfc916cb1980" xsi:nil="true"/>
    <DocumentDescription xmlns="e0c1e391-29fd-4ceb-82b5-dfc916cb1980"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7B234C4-197A-4CCF-B593-C05A2920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schemas.openxmlformats.org/package/2006/metadata/core-properties"/>
    <ds:schemaRef ds:uri="http://purl.org/dc/dcmitype/"/>
    <ds:schemaRef ds:uri="http://schemas.microsoft.com/office/2006/documentManagement/types"/>
    <ds:schemaRef ds:uri="e0c1e391-29fd-4ceb-82b5-dfc916cb1980"/>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5BAE0A9-23E0-4368-A8BC-0BEFD7F176B5}">
  <ds:schemaRefs>
    <ds:schemaRef ds:uri="http://schemas.microsoft.com/sharepoint/events"/>
  </ds:schemaRefs>
</ds:datastoreItem>
</file>

<file path=customXml/itemProps5.xml><?xml version="1.0" encoding="utf-8"?>
<ds:datastoreItem xmlns:ds="http://schemas.openxmlformats.org/officeDocument/2006/customXml" ds:itemID="{AA76007A-D2E7-4CD6-9130-7D4FFB9538C5}">
  <ds:schemaRefs>
    <ds:schemaRef ds:uri="http://schemas.microsoft.com/office/2006/metadata/customXsn"/>
  </ds:schemaRefs>
</ds:datastoreItem>
</file>

<file path=customXml/itemProps6.xml><?xml version="1.0" encoding="utf-8"?>
<ds:datastoreItem xmlns:ds="http://schemas.openxmlformats.org/officeDocument/2006/customXml" ds:itemID="{AAA7F9BE-D981-4688-AF34-181B7470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14745</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Fact sheet - ag in word</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ag in word</dc:title>
  <dc:subject/>
  <dc:creator>Catherine Tulloh</dc:creator>
  <cp:keywords/>
  <dc:description/>
  <cp:lastModifiedBy>Yazbek-Martin, Nicole</cp:lastModifiedBy>
  <cp:revision>2</cp:revision>
  <cp:lastPrinted>2020-03-17T23:35:00Z</cp:lastPrinted>
  <dcterms:created xsi:type="dcterms:W3CDTF">2020-03-18T02:19:00Z</dcterms:created>
  <dcterms:modified xsi:type="dcterms:W3CDTF">2020-03-18T02:19:00Z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0x010100E2EA31D43EB7EC4B8C44239A8E4A9E6D01008587857569075B4AB7B5C35E2F468A64</vt:lpwstr>
  </property>
  <property fmtid="{D5CDD505-2E9C-101B-9397-08002B2CF9AE}" pid="3" name="RecordPoint_WorkflowType">
    <vt:lpwstr>ActiveSubmitStub</vt:lpwstr>
  </property>
  <property fmtid="{D5CDD505-2E9C-101B-9397-08002B2CF9AE}" pid="4" name="RecordPoint_ActiveItemSiteId">
    <vt:lpwstr>{abd38ece-07d8-48b7-85e6-163aea83b37f}</vt:lpwstr>
  </property>
  <property fmtid="{D5CDD505-2E9C-101B-9397-08002B2CF9AE}" pid="5" name="RecordPoint_ActiveItemListId">
    <vt:lpwstr>{5b78f0d4-1256-4c3c-ad91-c965eb4ed03d}</vt:lpwstr>
  </property>
  <property fmtid="{D5CDD505-2E9C-101B-9397-08002B2CF9AE}" pid="6" name="RecordPoint_ActiveItemUniqueId">
    <vt:lpwstr>{e38e9fe3-49e1-40eb-b40e-42dd914e2757}</vt:lpwstr>
  </property>
  <property fmtid="{D5CDD505-2E9C-101B-9397-08002B2CF9AE}" pid="7" name="RecordPoint_ActiveItemWebId">
    <vt:lpwstr>{e0c1e391-29fd-4ceb-82b5-dfc916cb1980}</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